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Local Government Act 1995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Act 1995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Introductory matters</w:t>
      </w:r>
    </w:p>
    <w:p>
      <w:pPr>
        <w:pStyle w:val="TOC8"/>
        <w:rPr>
          <w:rFonts w:asciiTheme="minorHAnsi" w:eastAsiaTheme="minorEastAsia" w:hAnsiTheme="minorHAnsi" w:cstheme="minorBidi"/>
          <w:szCs w:val="22"/>
        </w:rPr>
      </w:pPr>
      <w:r>
        <w:t>1.1</w:t>
      </w:r>
      <w:r>
        <w:rPr>
          <w:snapToGrid w:val="0"/>
        </w:rPr>
        <w:t>.</w:t>
      </w:r>
      <w:r>
        <w:rPr>
          <w:snapToGrid w:val="0"/>
        </w:rPr>
        <w:tab/>
        <w:t>Short title</w:t>
      </w:r>
      <w:r>
        <w:tab/>
      </w:r>
      <w:r>
        <w:fldChar w:fldCharType="begin"/>
      </w:r>
      <w:r>
        <w:instrText xml:space="preserve"> PAGEREF _Toc462409100 \h </w:instrText>
      </w:r>
      <w:r>
        <w:fldChar w:fldCharType="separate"/>
      </w:r>
      <w:r>
        <w:t>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Commencement</w:t>
      </w:r>
      <w:r>
        <w:tab/>
      </w:r>
      <w:r>
        <w:fldChar w:fldCharType="begin"/>
      </w:r>
      <w:r>
        <w:instrText xml:space="preserve"> PAGEREF _Toc462409101 \h </w:instrText>
      </w:r>
      <w:r>
        <w:fldChar w:fldCharType="separate"/>
      </w:r>
      <w:r>
        <w:t>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Content and intent</w:t>
      </w:r>
      <w:r>
        <w:tab/>
      </w:r>
      <w:r>
        <w:fldChar w:fldCharType="begin"/>
      </w:r>
      <w:r>
        <w:instrText xml:space="preserve"> PAGEREF _Toc462409102 \h </w:instrText>
      </w:r>
      <w:r>
        <w:fldChar w:fldCharType="separate"/>
      </w:r>
      <w:r>
        <w:t>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Terms used</w:t>
      </w:r>
      <w:r>
        <w:tab/>
      </w:r>
      <w:r>
        <w:fldChar w:fldCharType="begin"/>
      </w:r>
      <w:r>
        <w:instrText xml:space="preserve"> PAGEREF _Toc462409103 \h </w:instrText>
      </w:r>
      <w:r>
        <w:fldChar w:fldCharType="separate"/>
      </w:r>
      <w:r>
        <w:t>3</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Descriptions in italics not part of the law</w:t>
      </w:r>
      <w:r>
        <w:tab/>
      </w:r>
      <w:r>
        <w:fldChar w:fldCharType="begin"/>
      </w:r>
      <w:r>
        <w:instrText xml:space="preserve"> PAGEREF _Toc462409104 \h </w:instrText>
      </w:r>
      <w:r>
        <w:fldChar w:fldCharType="separate"/>
      </w:r>
      <w:r>
        <w:t>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Crown not generally bound</w:t>
      </w:r>
      <w:r>
        <w:tab/>
      </w:r>
      <w:r>
        <w:fldChar w:fldCharType="begin"/>
      </w:r>
      <w:r>
        <w:instrText xml:space="preserve"> PAGEREF _Toc462409105 \h </w:instrText>
      </w:r>
      <w:r>
        <w:fldChar w:fldCharType="separate"/>
      </w:r>
      <w:r>
        <w:t>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Local public notice</w:t>
      </w:r>
      <w:r>
        <w:tab/>
      </w:r>
      <w:r>
        <w:fldChar w:fldCharType="begin"/>
      </w:r>
      <w:r>
        <w:instrText xml:space="preserve"> PAGEREF _Toc462409106 \h </w:instrText>
      </w:r>
      <w:r>
        <w:fldChar w:fldCharType="separate"/>
      </w:r>
      <w:r>
        <w:t>8</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Statewide public notice</w:t>
      </w:r>
      <w:r>
        <w:tab/>
      </w:r>
      <w:r>
        <w:fldChar w:fldCharType="begin"/>
      </w:r>
      <w:r>
        <w:instrText xml:space="preserve"> PAGEREF _Toc462409107 \h </w:instrText>
      </w:r>
      <w:r>
        <w:fldChar w:fldCharType="separate"/>
      </w:r>
      <w:r>
        <w:t>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Decisions by absolute majority</w:t>
      </w:r>
      <w:r>
        <w:tab/>
      </w:r>
      <w:r>
        <w:fldChar w:fldCharType="begin"/>
      </w:r>
      <w:r>
        <w:instrText xml:space="preserve"> PAGEREF _Toc462409108 \h </w:instrText>
      </w:r>
      <w:r>
        <w:fldChar w:fldCharType="separate"/>
      </w:r>
      <w:r>
        <w:t>9</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Decisions by special majority</w:t>
      </w:r>
      <w:r>
        <w:tab/>
      </w:r>
      <w:r>
        <w:fldChar w:fldCharType="begin"/>
      </w:r>
      <w:r>
        <w:instrText xml:space="preserve"> PAGEREF _Toc462409109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2 — Constitution of local government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Districts and wards</w:t>
      </w:r>
    </w:p>
    <w:p>
      <w:pPr>
        <w:pStyle w:val="TOC8"/>
        <w:rPr>
          <w:rFonts w:asciiTheme="minorHAnsi" w:eastAsiaTheme="minorEastAsia" w:hAnsiTheme="minorHAnsi" w:cstheme="minorBidi"/>
          <w:szCs w:val="22"/>
        </w:rPr>
      </w:pPr>
      <w:r>
        <w:t>2.1</w:t>
      </w:r>
      <w:r>
        <w:rPr>
          <w:snapToGrid w:val="0"/>
        </w:rPr>
        <w:t>.</w:t>
      </w:r>
      <w:r>
        <w:rPr>
          <w:snapToGrid w:val="0"/>
        </w:rPr>
        <w:tab/>
        <w:t>State divided into districts</w:t>
      </w:r>
      <w:r>
        <w:tab/>
      </w:r>
      <w:r>
        <w:fldChar w:fldCharType="begin"/>
      </w:r>
      <w:r>
        <w:instrText xml:space="preserve"> PAGEREF _Toc462409112 \h </w:instrText>
      </w:r>
      <w:r>
        <w:fldChar w:fldCharType="separate"/>
      </w:r>
      <w:r>
        <w:t>11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Districts may be divided into wards</w:t>
      </w:r>
      <w:r>
        <w:tab/>
      </w:r>
      <w:r>
        <w:fldChar w:fldCharType="begin"/>
      </w:r>
      <w:r>
        <w:instrText xml:space="preserve"> PAGEREF _Toc462409113 \h </w:instrText>
      </w:r>
      <w:r>
        <w:fldChar w:fldCharType="separate"/>
      </w:r>
      <w:r>
        <w:t>12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Names of districts and wards</w:t>
      </w:r>
      <w:r>
        <w:tab/>
      </w:r>
      <w:r>
        <w:fldChar w:fldCharType="begin"/>
      </w:r>
      <w:r>
        <w:instrText xml:space="preserve"> PAGEREF _Toc462409114 \h </w:instrText>
      </w:r>
      <w:r>
        <w:fldChar w:fldCharType="separate"/>
      </w:r>
      <w:r>
        <w:t>12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District to be designated city, town or shire</w:t>
      </w:r>
      <w:r>
        <w:tab/>
      </w:r>
      <w:r>
        <w:fldChar w:fldCharType="begin"/>
      </w:r>
      <w:r>
        <w:instrText xml:space="preserve"> PAGEREF _Toc462409115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 — Local governments and councils of local governments</w:t>
      </w:r>
    </w:p>
    <w:p>
      <w:pPr>
        <w:pStyle w:val="TOC8"/>
        <w:rPr>
          <w:rFonts w:asciiTheme="minorHAnsi" w:eastAsiaTheme="minorEastAsia" w:hAnsiTheme="minorHAnsi" w:cstheme="minorBidi"/>
          <w:szCs w:val="22"/>
        </w:rPr>
      </w:pPr>
      <w:r>
        <w:t>2.5</w:t>
      </w:r>
      <w:r>
        <w:rPr>
          <w:snapToGrid w:val="0"/>
        </w:rPr>
        <w:t>.</w:t>
      </w:r>
      <w:r>
        <w:rPr>
          <w:snapToGrid w:val="0"/>
        </w:rPr>
        <w:tab/>
        <w:t>Local governments created as bodies corporate</w:t>
      </w:r>
      <w:r>
        <w:tab/>
      </w:r>
      <w:r>
        <w:fldChar w:fldCharType="begin"/>
      </w:r>
      <w:r>
        <w:instrText xml:space="preserve"> PAGEREF _Toc462409117 \h </w:instrText>
      </w:r>
      <w:r>
        <w:fldChar w:fldCharType="separate"/>
      </w:r>
      <w:r>
        <w:t>14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Local governments to be run by elected councils</w:t>
      </w:r>
      <w:r>
        <w:tab/>
      </w:r>
      <w:r>
        <w:fldChar w:fldCharType="begin"/>
      </w:r>
      <w:r>
        <w:instrText xml:space="preserve"> PAGEREF _Toc462409118 \h </w:instrText>
      </w:r>
      <w:r>
        <w:fldChar w:fldCharType="separate"/>
      </w:r>
      <w:r>
        <w:t>14</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Role of council</w:t>
      </w:r>
      <w:r>
        <w:tab/>
      </w:r>
      <w:r>
        <w:fldChar w:fldCharType="begin"/>
      </w:r>
      <w:r>
        <w:instrText xml:space="preserve"> PAGEREF _Toc462409119 \h </w:instrText>
      </w:r>
      <w:r>
        <w:fldChar w:fldCharType="separate"/>
      </w:r>
      <w:r>
        <w:t>15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Role of mayor or president</w:t>
      </w:r>
      <w:r>
        <w:tab/>
      </w:r>
      <w:r>
        <w:fldChar w:fldCharType="begin"/>
      </w:r>
      <w:r>
        <w:instrText xml:space="preserve"> PAGEREF _Toc462409120 \h </w:instrText>
      </w:r>
      <w:r>
        <w:fldChar w:fldCharType="separate"/>
      </w:r>
      <w:r>
        <w:t>15</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Role of deputy mayor or deputy president</w:t>
      </w:r>
      <w:r>
        <w:tab/>
      </w:r>
      <w:r>
        <w:fldChar w:fldCharType="begin"/>
      </w:r>
      <w:r>
        <w:instrText xml:space="preserve"> PAGEREF _Toc462409121 \h </w:instrText>
      </w:r>
      <w:r>
        <w:fldChar w:fldCharType="separate"/>
      </w:r>
      <w:r>
        <w:t>16</w:t>
      </w:r>
      <w:r>
        <w:fldChar w:fldCharType="end"/>
      </w:r>
    </w:p>
    <w:p>
      <w:pPr>
        <w:pStyle w:val="TOC8"/>
        <w:rPr>
          <w:rFonts w:asciiTheme="minorHAnsi" w:eastAsiaTheme="minorEastAsia" w:hAnsiTheme="minorHAnsi" w:cstheme="minorBidi"/>
          <w:szCs w:val="22"/>
        </w:rPr>
      </w:pPr>
      <w:r>
        <w:t>2.10</w:t>
      </w:r>
      <w:r>
        <w:rPr>
          <w:snapToGrid w:val="0"/>
        </w:rPr>
        <w:t>.</w:t>
      </w:r>
      <w:r>
        <w:rPr>
          <w:snapToGrid w:val="0"/>
        </w:rPr>
        <w:tab/>
        <w:t>Role of councillors</w:t>
      </w:r>
      <w:r>
        <w:tab/>
      </w:r>
      <w:r>
        <w:fldChar w:fldCharType="begin"/>
      </w:r>
      <w:r>
        <w:instrText xml:space="preserve"> PAGEREF _Toc462409122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How offices on the council are filled</w:t>
      </w:r>
    </w:p>
    <w:p>
      <w:pPr>
        <w:pStyle w:val="TOC8"/>
        <w:rPr>
          <w:rFonts w:asciiTheme="minorHAnsi" w:eastAsiaTheme="minorEastAsia" w:hAnsiTheme="minorHAnsi" w:cstheme="minorBidi"/>
          <w:szCs w:val="22"/>
        </w:rPr>
      </w:pPr>
      <w:r>
        <w:t>2.11</w:t>
      </w:r>
      <w:r>
        <w:rPr>
          <w:snapToGrid w:val="0"/>
        </w:rPr>
        <w:t>.</w:t>
      </w:r>
      <w:r>
        <w:rPr>
          <w:snapToGrid w:val="0"/>
        </w:rPr>
        <w:tab/>
        <w:t>Alternative methods of filling office of mayor or president</w:t>
      </w:r>
      <w:r>
        <w:tab/>
      </w:r>
      <w:r>
        <w:fldChar w:fldCharType="begin"/>
      </w:r>
      <w:r>
        <w:instrText xml:space="preserve"> PAGEREF _Toc462409124 \h </w:instrText>
      </w:r>
      <w:r>
        <w:fldChar w:fldCharType="separate"/>
      </w:r>
      <w:r>
        <w:t>16</w:t>
      </w:r>
      <w:r>
        <w:fldChar w:fldCharType="end"/>
      </w:r>
    </w:p>
    <w:p>
      <w:pPr>
        <w:pStyle w:val="TOC8"/>
        <w:rPr>
          <w:rFonts w:asciiTheme="minorHAnsi" w:eastAsiaTheme="minorEastAsia" w:hAnsiTheme="minorHAnsi" w:cstheme="minorBidi"/>
          <w:szCs w:val="22"/>
        </w:rPr>
      </w:pPr>
      <w:r>
        <w:t>2.12</w:t>
      </w:r>
      <w:r>
        <w:rPr>
          <w:snapToGrid w:val="0"/>
        </w:rPr>
        <w:t>.</w:t>
      </w:r>
      <w:r>
        <w:rPr>
          <w:snapToGrid w:val="0"/>
        </w:rPr>
        <w:tab/>
        <w:t>Electors may propose change of method</w:t>
      </w:r>
      <w:r>
        <w:tab/>
      </w:r>
      <w:r>
        <w:fldChar w:fldCharType="begin"/>
      </w:r>
      <w:r>
        <w:instrText xml:space="preserve"> PAGEREF _Toc462409125 \h </w:instrText>
      </w:r>
      <w:r>
        <w:fldChar w:fldCharType="separate"/>
      </w:r>
      <w:r>
        <w:t>17</w:t>
      </w:r>
      <w:r>
        <w:fldChar w:fldCharType="end"/>
      </w:r>
    </w:p>
    <w:p>
      <w:pPr>
        <w:pStyle w:val="TOC8"/>
        <w:rPr>
          <w:rFonts w:asciiTheme="minorHAnsi" w:eastAsiaTheme="minorEastAsia" w:hAnsiTheme="minorHAnsi" w:cstheme="minorBidi"/>
          <w:szCs w:val="22"/>
        </w:rPr>
      </w:pPr>
      <w:r>
        <w:t>2.12A.</w:t>
      </w:r>
      <w:r>
        <w:tab/>
        <w:t>Procedure to change method to election by council</w:t>
      </w:r>
      <w:r>
        <w:tab/>
      </w:r>
      <w:r>
        <w:fldChar w:fldCharType="begin"/>
      </w:r>
      <w:r>
        <w:instrText xml:space="preserve"> PAGEREF _Toc462409126 \h </w:instrText>
      </w:r>
      <w:r>
        <w:fldChar w:fldCharType="separate"/>
      </w:r>
      <w:r>
        <w:t>17</w:t>
      </w:r>
      <w:r>
        <w:fldChar w:fldCharType="end"/>
      </w:r>
    </w:p>
    <w:p>
      <w:pPr>
        <w:pStyle w:val="TOC8"/>
        <w:rPr>
          <w:rFonts w:asciiTheme="minorHAnsi" w:eastAsiaTheme="minorEastAsia" w:hAnsiTheme="minorHAnsi" w:cstheme="minorBidi"/>
          <w:szCs w:val="22"/>
        </w:rPr>
      </w:pPr>
      <w:r>
        <w:t>2.13</w:t>
      </w:r>
      <w:r>
        <w:rPr>
          <w:snapToGrid w:val="0"/>
        </w:rPr>
        <w:t>.</w:t>
      </w:r>
      <w:r>
        <w:rPr>
          <w:snapToGrid w:val="0"/>
        </w:rPr>
        <w:tab/>
        <w:t>When new method takes effect</w:t>
      </w:r>
      <w:r>
        <w:tab/>
      </w:r>
      <w:r>
        <w:fldChar w:fldCharType="begin"/>
      </w:r>
      <w:r>
        <w:instrText xml:space="preserve"> PAGEREF _Toc462409127 \h </w:instrText>
      </w:r>
      <w:r>
        <w:fldChar w:fldCharType="separate"/>
      </w:r>
      <w:r>
        <w:t>19</w:t>
      </w:r>
      <w:r>
        <w:fldChar w:fldCharType="end"/>
      </w:r>
    </w:p>
    <w:p>
      <w:pPr>
        <w:pStyle w:val="TOC8"/>
        <w:rPr>
          <w:rFonts w:asciiTheme="minorHAnsi" w:eastAsiaTheme="minorEastAsia" w:hAnsiTheme="minorHAnsi" w:cstheme="minorBidi"/>
          <w:szCs w:val="22"/>
        </w:rPr>
      </w:pPr>
      <w:r>
        <w:t>2.14</w:t>
      </w:r>
      <w:r>
        <w:rPr>
          <w:snapToGrid w:val="0"/>
        </w:rPr>
        <w:t>.</w:t>
      </w:r>
      <w:r>
        <w:rPr>
          <w:snapToGrid w:val="0"/>
        </w:rPr>
        <w:tab/>
        <w:t>Extension of term in certain cases</w:t>
      </w:r>
      <w:r>
        <w:tab/>
      </w:r>
      <w:r>
        <w:fldChar w:fldCharType="begin"/>
      </w:r>
      <w:r>
        <w:instrText xml:space="preserve"> PAGEREF _Toc462409128 \h </w:instrText>
      </w:r>
      <w:r>
        <w:fldChar w:fldCharType="separate"/>
      </w:r>
      <w:r>
        <w:t>20</w:t>
      </w:r>
      <w:r>
        <w:fldChar w:fldCharType="end"/>
      </w:r>
    </w:p>
    <w:p>
      <w:pPr>
        <w:pStyle w:val="TOC8"/>
        <w:rPr>
          <w:rFonts w:asciiTheme="minorHAnsi" w:eastAsiaTheme="minorEastAsia" w:hAnsiTheme="minorHAnsi" w:cstheme="minorBidi"/>
          <w:szCs w:val="22"/>
        </w:rPr>
      </w:pPr>
      <w:r>
        <w:t>2.15</w:t>
      </w:r>
      <w:r>
        <w:rPr>
          <w:snapToGrid w:val="0"/>
        </w:rPr>
        <w:t>.</w:t>
      </w:r>
      <w:r>
        <w:rPr>
          <w:snapToGrid w:val="0"/>
        </w:rPr>
        <w:tab/>
        <w:t>Filling office of deputy mayor or deputy president</w:t>
      </w:r>
      <w:r>
        <w:tab/>
      </w:r>
      <w:r>
        <w:fldChar w:fldCharType="begin"/>
      </w:r>
      <w:r>
        <w:instrText xml:space="preserve"> PAGEREF _Toc462409129 \h </w:instrText>
      </w:r>
      <w:r>
        <w:fldChar w:fldCharType="separate"/>
      </w:r>
      <w:r>
        <w:t>20</w:t>
      </w:r>
      <w:r>
        <w:fldChar w:fldCharType="end"/>
      </w:r>
    </w:p>
    <w:p>
      <w:pPr>
        <w:pStyle w:val="TOC8"/>
        <w:rPr>
          <w:rFonts w:asciiTheme="minorHAnsi" w:eastAsiaTheme="minorEastAsia" w:hAnsiTheme="minorHAnsi" w:cstheme="minorBidi"/>
          <w:szCs w:val="22"/>
        </w:rPr>
      </w:pPr>
      <w:r>
        <w:t>2.16</w:t>
      </w:r>
      <w:r>
        <w:rPr>
          <w:snapToGrid w:val="0"/>
        </w:rPr>
        <w:t>.</w:t>
      </w:r>
      <w:r>
        <w:rPr>
          <w:snapToGrid w:val="0"/>
        </w:rPr>
        <w:tab/>
        <w:t>Filling offices of councillors</w:t>
      </w:r>
      <w:r>
        <w:tab/>
      </w:r>
      <w:r>
        <w:fldChar w:fldCharType="begin"/>
      </w:r>
      <w:r>
        <w:instrText xml:space="preserve"> PAGEREF _Toc462409130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Membership and size of the council</w:t>
      </w:r>
    </w:p>
    <w:p>
      <w:pPr>
        <w:pStyle w:val="TOC8"/>
        <w:rPr>
          <w:rFonts w:asciiTheme="minorHAnsi" w:eastAsiaTheme="minorEastAsia" w:hAnsiTheme="minorHAnsi" w:cstheme="minorBidi"/>
          <w:szCs w:val="22"/>
        </w:rPr>
      </w:pPr>
      <w:r>
        <w:t>2.17</w:t>
      </w:r>
      <w:r>
        <w:rPr>
          <w:snapToGrid w:val="0"/>
        </w:rPr>
        <w:t>.</w:t>
      </w:r>
      <w:r>
        <w:rPr>
          <w:snapToGrid w:val="0"/>
        </w:rPr>
        <w:tab/>
        <w:t>Members of council</w:t>
      </w:r>
      <w:r>
        <w:tab/>
      </w:r>
      <w:r>
        <w:fldChar w:fldCharType="begin"/>
      </w:r>
      <w:r>
        <w:instrText xml:space="preserve"> PAGEREF _Toc462409132 \h </w:instrText>
      </w:r>
      <w:r>
        <w:fldChar w:fldCharType="separate"/>
      </w:r>
      <w:r>
        <w:t>20</w:t>
      </w:r>
      <w:r>
        <w:fldChar w:fldCharType="end"/>
      </w:r>
    </w:p>
    <w:p>
      <w:pPr>
        <w:pStyle w:val="TOC8"/>
        <w:rPr>
          <w:rFonts w:asciiTheme="minorHAnsi" w:eastAsiaTheme="minorEastAsia" w:hAnsiTheme="minorHAnsi" w:cstheme="minorBidi"/>
          <w:szCs w:val="22"/>
        </w:rPr>
      </w:pPr>
      <w:r>
        <w:t>2.18</w:t>
      </w:r>
      <w:r>
        <w:rPr>
          <w:snapToGrid w:val="0"/>
        </w:rPr>
        <w:t>.</w:t>
      </w:r>
      <w:r>
        <w:rPr>
          <w:snapToGrid w:val="0"/>
        </w:rPr>
        <w:tab/>
        <w:t>Fixing and changing number of councillors</w:t>
      </w:r>
      <w:r>
        <w:tab/>
      </w:r>
      <w:r>
        <w:fldChar w:fldCharType="begin"/>
      </w:r>
      <w:r>
        <w:instrText xml:space="preserve"> PAGEREF _Toc462409133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Qualifications for holding office on the council</w:t>
      </w:r>
    </w:p>
    <w:p>
      <w:pPr>
        <w:pStyle w:val="TOC8"/>
        <w:rPr>
          <w:rFonts w:asciiTheme="minorHAnsi" w:eastAsiaTheme="minorEastAsia" w:hAnsiTheme="minorHAnsi" w:cstheme="minorBidi"/>
          <w:szCs w:val="22"/>
        </w:rPr>
      </w:pPr>
      <w:r>
        <w:t>2.19</w:t>
      </w:r>
      <w:r>
        <w:rPr>
          <w:snapToGrid w:val="0"/>
        </w:rPr>
        <w:t>.</w:t>
      </w:r>
      <w:r>
        <w:rPr>
          <w:snapToGrid w:val="0"/>
        </w:rPr>
        <w:tab/>
        <w:t>Qualifications for election to council</w:t>
      </w:r>
      <w:r>
        <w:tab/>
      </w:r>
      <w:r>
        <w:fldChar w:fldCharType="begin"/>
      </w:r>
      <w:r>
        <w:instrText xml:space="preserve"> PAGEREF _Toc462409135 \h </w:instrText>
      </w:r>
      <w:r>
        <w:fldChar w:fldCharType="separate"/>
      </w:r>
      <w:r>
        <w:t>22</w:t>
      </w:r>
      <w:r>
        <w:fldChar w:fldCharType="end"/>
      </w:r>
    </w:p>
    <w:p>
      <w:pPr>
        <w:pStyle w:val="TOC8"/>
        <w:rPr>
          <w:rFonts w:asciiTheme="minorHAnsi" w:eastAsiaTheme="minorEastAsia" w:hAnsiTheme="minorHAnsi" w:cstheme="minorBidi"/>
          <w:szCs w:val="22"/>
        </w:rPr>
      </w:pPr>
      <w:r>
        <w:t>2.20</w:t>
      </w:r>
      <w:r>
        <w:rPr>
          <w:snapToGrid w:val="0"/>
        </w:rPr>
        <w:t>.</w:t>
      </w:r>
      <w:r>
        <w:rPr>
          <w:snapToGrid w:val="0"/>
        </w:rPr>
        <w:tab/>
        <w:t>Members of parliament disqualified</w:t>
      </w:r>
      <w:r>
        <w:tab/>
      </w:r>
      <w:r>
        <w:fldChar w:fldCharType="begin"/>
      </w:r>
      <w:r>
        <w:instrText xml:space="preserve"> PAGEREF _Toc462409136 \h </w:instrText>
      </w:r>
      <w:r>
        <w:fldChar w:fldCharType="separate"/>
      </w:r>
      <w:r>
        <w:t>22</w:t>
      </w:r>
      <w:r>
        <w:fldChar w:fldCharType="end"/>
      </w:r>
    </w:p>
    <w:p>
      <w:pPr>
        <w:pStyle w:val="TOC8"/>
        <w:rPr>
          <w:rFonts w:asciiTheme="minorHAnsi" w:eastAsiaTheme="minorEastAsia" w:hAnsiTheme="minorHAnsi" w:cstheme="minorBidi"/>
          <w:szCs w:val="22"/>
        </w:rPr>
      </w:pPr>
      <w:r>
        <w:t>2.21</w:t>
      </w:r>
      <w:r>
        <w:rPr>
          <w:snapToGrid w:val="0"/>
        </w:rPr>
        <w:t>.</w:t>
      </w:r>
      <w:r>
        <w:rPr>
          <w:snapToGrid w:val="0"/>
        </w:rPr>
        <w:tab/>
        <w:t>Disqualification because of insolvency</w:t>
      </w:r>
      <w:r>
        <w:tab/>
      </w:r>
      <w:r>
        <w:fldChar w:fldCharType="begin"/>
      </w:r>
      <w:r>
        <w:instrText xml:space="preserve"> PAGEREF _Toc462409137 \h </w:instrText>
      </w:r>
      <w:r>
        <w:fldChar w:fldCharType="separate"/>
      </w:r>
      <w:r>
        <w:t>23</w:t>
      </w:r>
      <w:r>
        <w:fldChar w:fldCharType="end"/>
      </w:r>
    </w:p>
    <w:p>
      <w:pPr>
        <w:pStyle w:val="TOC8"/>
        <w:rPr>
          <w:rFonts w:asciiTheme="minorHAnsi" w:eastAsiaTheme="minorEastAsia" w:hAnsiTheme="minorHAnsi" w:cstheme="minorBidi"/>
          <w:szCs w:val="22"/>
        </w:rPr>
      </w:pPr>
      <w:r>
        <w:t>2.22</w:t>
      </w:r>
      <w:r>
        <w:rPr>
          <w:snapToGrid w:val="0"/>
        </w:rPr>
        <w:t>.</w:t>
      </w:r>
      <w:r>
        <w:rPr>
          <w:snapToGrid w:val="0"/>
        </w:rPr>
        <w:tab/>
        <w:t>Disqualification because of convictions</w:t>
      </w:r>
      <w:r>
        <w:tab/>
      </w:r>
      <w:r>
        <w:fldChar w:fldCharType="begin"/>
      </w:r>
      <w:r>
        <w:instrText xml:space="preserve"> PAGEREF _Toc462409138 \h </w:instrText>
      </w:r>
      <w:r>
        <w:fldChar w:fldCharType="separate"/>
      </w:r>
      <w:r>
        <w:t>23</w:t>
      </w:r>
      <w:r>
        <w:fldChar w:fldCharType="end"/>
      </w:r>
    </w:p>
    <w:p>
      <w:pPr>
        <w:pStyle w:val="TOC8"/>
        <w:rPr>
          <w:rFonts w:asciiTheme="minorHAnsi" w:eastAsiaTheme="minorEastAsia" w:hAnsiTheme="minorHAnsi" w:cstheme="minorBidi"/>
          <w:szCs w:val="22"/>
        </w:rPr>
      </w:pPr>
      <w:r>
        <w:t>2.23</w:t>
      </w:r>
      <w:r>
        <w:rPr>
          <w:snapToGrid w:val="0"/>
        </w:rPr>
        <w:t>.</w:t>
      </w:r>
      <w:r>
        <w:rPr>
          <w:snapToGrid w:val="0"/>
        </w:rPr>
        <w:tab/>
        <w:t>Disqualification because of membership of another council</w:t>
      </w:r>
      <w:r>
        <w:tab/>
      </w:r>
      <w:r>
        <w:fldChar w:fldCharType="begin"/>
      </w:r>
      <w:r>
        <w:instrText xml:space="preserve"> PAGEREF _Toc462409139 \h </w:instrText>
      </w:r>
      <w:r>
        <w:fldChar w:fldCharType="separate"/>
      </w:r>
      <w:r>
        <w:t>24</w:t>
      </w:r>
      <w:r>
        <w:fldChar w:fldCharType="end"/>
      </w:r>
    </w:p>
    <w:p>
      <w:pPr>
        <w:pStyle w:val="TOC8"/>
        <w:rPr>
          <w:rFonts w:asciiTheme="minorHAnsi" w:eastAsiaTheme="minorEastAsia" w:hAnsiTheme="minorHAnsi" w:cstheme="minorBidi"/>
          <w:szCs w:val="22"/>
        </w:rPr>
      </w:pPr>
      <w:r>
        <w:t>2.24</w:t>
      </w:r>
      <w:r>
        <w:rPr>
          <w:snapToGrid w:val="0"/>
        </w:rPr>
        <w:t>.</w:t>
      </w:r>
      <w:r>
        <w:rPr>
          <w:snapToGrid w:val="0"/>
        </w:rPr>
        <w:tab/>
        <w:t>Disqualification because of misapplication of funds or property</w:t>
      </w:r>
      <w:r>
        <w:tab/>
      </w:r>
      <w:r>
        <w:fldChar w:fldCharType="begin"/>
      </w:r>
      <w:r>
        <w:instrText xml:space="preserve"> PAGEREF _Toc462409140 \h </w:instrText>
      </w:r>
      <w:r>
        <w:fldChar w:fldCharType="separate"/>
      </w:r>
      <w:r>
        <w:t>24</w:t>
      </w:r>
      <w:r>
        <w:fldChar w:fldCharType="end"/>
      </w:r>
    </w:p>
    <w:p>
      <w:pPr>
        <w:pStyle w:val="TOC8"/>
        <w:rPr>
          <w:rFonts w:asciiTheme="minorHAnsi" w:eastAsiaTheme="minorEastAsia" w:hAnsiTheme="minorHAnsi" w:cstheme="minorBidi"/>
          <w:szCs w:val="22"/>
        </w:rPr>
      </w:pPr>
      <w:r>
        <w:t>2.25</w:t>
      </w:r>
      <w:r>
        <w:rPr>
          <w:snapToGrid w:val="0"/>
        </w:rPr>
        <w:t>.</w:t>
      </w:r>
      <w:r>
        <w:rPr>
          <w:snapToGrid w:val="0"/>
        </w:rPr>
        <w:tab/>
        <w:t>Disqualification for failure to attend meetings</w:t>
      </w:r>
      <w:r>
        <w:tab/>
      </w:r>
      <w:r>
        <w:fldChar w:fldCharType="begin"/>
      </w:r>
      <w:r>
        <w:instrText xml:space="preserve"> PAGEREF _Toc462409141 \h </w:instrText>
      </w:r>
      <w:r>
        <w:fldChar w:fldCharType="separate"/>
      </w:r>
      <w:r>
        <w:t>24</w:t>
      </w:r>
      <w:r>
        <w:fldChar w:fldCharType="end"/>
      </w:r>
    </w:p>
    <w:p>
      <w:pPr>
        <w:pStyle w:val="TOC8"/>
        <w:rPr>
          <w:rFonts w:asciiTheme="minorHAnsi" w:eastAsiaTheme="minorEastAsia" w:hAnsiTheme="minorHAnsi" w:cstheme="minorBidi"/>
          <w:szCs w:val="22"/>
        </w:rPr>
      </w:pPr>
      <w:r>
        <w:t>2.26</w:t>
      </w:r>
      <w:r>
        <w:rPr>
          <w:snapToGrid w:val="0"/>
        </w:rPr>
        <w:t>.</w:t>
      </w:r>
      <w:r>
        <w:rPr>
          <w:snapToGrid w:val="0"/>
        </w:rPr>
        <w:tab/>
        <w:t>Election to council terminates employment with local government</w:t>
      </w:r>
      <w:r>
        <w:tab/>
      </w:r>
      <w:r>
        <w:fldChar w:fldCharType="begin"/>
      </w:r>
      <w:r>
        <w:instrText xml:space="preserve"> PAGEREF _Toc462409142 \h </w:instrText>
      </w:r>
      <w:r>
        <w:fldChar w:fldCharType="separate"/>
      </w:r>
      <w:r>
        <w:t>26</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Procedure to determine qualification to retain membership of council</w:t>
      </w:r>
      <w:r>
        <w:tab/>
      </w:r>
      <w:r>
        <w:fldChar w:fldCharType="begin"/>
      </w:r>
      <w:r>
        <w:instrText xml:space="preserve"> PAGEREF _Toc462409143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Terms of office on the council and vacation of office</w:t>
      </w:r>
    </w:p>
    <w:p>
      <w:pPr>
        <w:pStyle w:val="TOC8"/>
        <w:rPr>
          <w:rFonts w:asciiTheme="minorHAnsi" w:eastAsiaTheme="minorEastAsia" w:hAnsiTheme="minorHAnsi" w:cstheme="minorBidi"/>
          <w:szCs w:val="22"/>
        </w:rPr>
      </w:pPr>
      <w:r>
        <w:t>2.28</w:t>
      </w:r>
      <w:r>
        <w:rPr>
          <w:snapToGrid w:val="0"/>
        </w:rPr>
        <w:t>.</w:t>
      </w:r>
      <w:r>
        <w:rPr>
          <w:snapToGrid w:val="0"/>
        </w:rPr>
        <w:tab/>
        <w:t>Days on which terms begin and end</w:t>
      </w:r>
      <w:r>
        <w:tab/>
      </w:r>
      <w:r>
        <w:fldChar w:fldCharType="begin"/>
      </w:r>
      <w:r>
        <w:instrText xml:space="preserve"> PAGEREF _Toc462409145 \h </w:instrText>
      </w:r>
      <w:r>
        <w:fldChar w:fldCharType="separate"/>
      </w:r>
      <w:r>
        <w:t>28</w:t>
      </w:r>
      <w:r>
        <w:fldChar w:fldCharType="end"/>
      </w:r>
    </w:p>
    <w:p>
      <w:pPr>
        <w:pStyle w:val="TOC8"/>
        <w:rPr>
          <w:rFonts w:asciiTheme="minorHAnsi" w:eastAsiaTheme="minorEastAsia" w:hAnsiTheme="minorHAnsi" w:cstheme="minorBidi"/>
          <w:szCs w:val="22"/>
        </w:rPr>
      </w:pPr>
      <w:r>
        <w:t>2.29</w:t>
      </w:r>
      <w:r>
        <w:rPr>
          <w:snapToGrid w:val="0"/>
        </w:rPr>
        <w:t>.</w:t>
      </w:r>
      <w:r>
        <w:tab/>
        <w:t>Declaration</w:t>
      </w:r>
      <w:r>
        <w:tab/>
      </w:r>
      <w:r>
        <w:fldChar w:fldCharType="begin"/>
      </w:r>
      <w:r>
        <w:instrText xml:space="preserve"> PAGEREF _Toc462409146 \h </w:instrText>
      </w:r>
      <w:r>
        <w:fldChar w:fldCharType="separate"/>
      </w:r>
      <w:r>
        <w:t>31</w:t>
      </w:r>
      <w:r>
        <w:fldChar w:fldCharType="end"/>
      </w:r>
    </w:p>
    <w:p>
      <w:pPr>
        <w:pStyle w:val="TOC8"/>
        <w:rPr>
          <w:rFonts w:asciiTheme="minorHAnsi" w:eastAsiaTheme="minorEastAsia" w:hAnsiTheme="minorHAnsi" w:cstheme="minorBidi"/>
          <w:szCs w:val="22"/>
        </w:rPr>
      </w:pPr>
      <w:r>
        <w:t>2.30</w:t>
      </w:r>
      <w:r>
        <w:rPr>
          <w:snapToGrid w:val="0"/>
        </w:rPr>
        <w:t>.</w:t>
      </w:r>
      <w:r>
        <w:tab/>
        <w:t>Terms extended if ordinary elections delayed</w:t>
      </w:r>
      <w:r>
        <w:tab/>
      </w:r>
      <w:r>
        <w:fldChar w:fldCharType="begin"/>
      </w:r>
      <w:r>
        <w:instrText xml:space="preserve"> PAGEREF _Toc462409147 \h </w:instrText>
      </w:r>
      <w:r>
        <w:fldChar w:fldCharType="separate"/>
      </w:r>
      <w:r>
        <w:t>32</w:t>
      </w:r>
      <w:r>
        <w:fldChar w:fldCharType="end"/>
      </w:r>
    </w:p>
    <w:p>
      <w:pPr>
        <w:pStyle w:val="TOC8"/>
        <w:rPr>
          <w:rFonts w:asciiTheme="minorHAnsi" w:eastAsiaTheme="minorEastAsia" w:hAnsiTheme="minorHAnsi" w:cstheme="minorBidi"/>
          <w:szCs w:val="22"/>
        </w:rPr>
      </w:pPr>
      <w:r>
        <w:t>2.31</w:t>
      </w:r>
      <w:r>
        <w:rPr>
          <w:snapToGrid w:val="0"/>
        </w:rPr>
        <w:t>.</w:t>
      </w:r>
      <w:r>
        <w:tab/>
        <w:t>Resignation</w:t>
      </w:r>
      <w:r>
        <w:tab/>
      </w:r>
      <w:r>
        <w:fldChar w:fldCharType="begin"/>
      </w:r>
      <w:r>
        <w:instrText xml:space="preserve"> PAGEREF _Toc462409148 \h </w:instrText>
      </w:r>
      <w:r>
        <w:fldChar w:fldCharType="separate"/>
      </w:r>
      <w:r>
        <w:t>32</w:t>
      </w:r>
      <w:r>
        <w:fldChar w:fldCharType="end"/>
      </w:r>
    </w:p>
    <w:p>
      <w:pPr>
        <w:pStyle w:val="TOC8"/>
        <w:rPr>
          <w:rFonts w:asciiTheme="minorHAnsi" w:eastAsiaTheme="minorEastAsia" w:hAnsiTheme="minorHAnsi" w:cstheme="minorBidi"/>
          <w:szCs w:val="22"/>
        </w:rPr>
      </w:pPr>
      <w:r>
        <w:t>2.32</w:t>
      </w:r>
      <w:r>
        <w:rPr>
          <w:snapToGrid w:val="0"/>
        </w:rPr>
        <w:t>.</w:t>
      </w:r>
      <w:r>
        <w:tab/>
        <w:t>How extraordinary vacancies occur in offices elected by electors</w:t>
      </w:r>
      <w:r>
        <w:tab/>
      </w:r>
      <w:r>
        <w:fldChar w:fldCharType="begin"/>
      </w:r>
      <w:r>
        <w:instrText xml:space="preserve"> PAGEREF _Toc462409149 \h </w:instrText>
      </w:r>
      <w:r>
        <w:fldChar w:fldCharType="separate"/>
      </w:r>
      <w:r>
        <w:t>32</w:t>
      </w:r>
      <w:r>
        <w:fldChar w:fldCharType="end"/>
      </w:r>
    </w:p>
    <w:p>
      <w:pPr>
        <w:pStyle w:val="TOC8"/>
        <w:rPr>
          <w:rFonts w:asciiTheme="minorHAnsi" w:eastAsiaTheme="minorEastAsia" w:hAnsiTheme="minorHAnsi" w:cstheme="minorBidi"/>
          <w:szCs w:val="22"/>
        </w:rPr>
      </w:pPr>
      <w:r>
        <w:t>2.34</w:t>
      </w:r>
      <w:r>
        <w:rPr>
          <w:snapToGrid w:val="0"/>
        </w:rPr>
        <w:t>.</w:t>
      </w:r>
      <w:r>
        <w:tab/>
        <w:t>How extraordinary vacancies occur in offices elected by council</w:t>
      </w:r>
      <w:r>
        <w:tab/>
      </w:r>
      <w:r>
        <w:fldChar w:fldCharType="begin"/>
      </w:r>
      <w:r>
        <w:instrText xml:space="preserve"> PAGEREF _Toc462409150 \h </w:instrText>
      </w:r>
      <w:r>
        <w:fldChar w:fldCharType="separate"/>
      </w:r>
      <w:r>
        <w:t>33</w:t>
      </w:r>
      <w:r>
        <w:fldChar w:fldCharType="end"/>
      </w:r>
    </w:p>
    <w:p>
      <w:pPr>
        <w:pStyle w:val="TOC8"/>
        <w:rPr>
          <w:rFonts w:asciiTheme="minorHAnsi" w:eastAsiaTheme="minorEastAsia" w:hAnsiTheme="minorHAnsi" w:cstheme="minorBidi"/>
          <w:szCs w:val="22"/>
        </w:rPr>
      </w:pPr>
      <w:r>
        <w:t>2.35</w:t>
      </w:r>
      <w:r>
        <w:rPr>
          <w:snapToGrid w:val="0"/>
        </w:rPr>
        <w:t>.</w:t>
      </w:r>
      <w:r>
        <w:tab/>
        <w:t>Vacancies on restructure of districts, wards or membership</w:t>
      </w:r>
      <w:r>
        <w:tab/>
      </w:r>
      <w:r>
        <w:fldChar w:fldCharType="begin"/>
      </w:r>
      <w:r>
        <w:instrText xml:space="preserve"> PAGEREF _Toc462409151 \h </w:instrText>
      </w:r>
      <w:r>
        <w:fldChar w:fldCharType="separate"/>
      </w:r>
      <w:r>
        <w:t>34</w:t>
      </w:r>
      <w:r>
        <w:fldChar w:fldCharType="end"/>
      </w:r>
    </w:p>
    <w:p>
      <w:pPr>
        <w:pStyle w:val="TOC8"/>
        <w:rPr>
          <w:rFonts w:asciiTheme="minorHAnsi" w:eastAsiaTheme="minorEastAsia" w:hAnsiTheme="minorHAnsi" w:cstheme="minorBidi"/>
          <w:szCs w:val="22"/>
        </w:rPr>
      </w:pPr>
      <w:r>
        <w:t>2.36</w:t>
      </w:r>
      <w:r>
        <w:rPr>
          <w:snapToGrid w:val="0"/>
        </w:rPr>
        <w:t>.</w:t>
      </w:r>
      <w:r>
        <w:tab/>
        <w:t>Vacancies on dismissal of council</w:t>
      </w:r>
      <w:r>
        <w:tab/>
      </w:r>
      <w:r>
        <w:fldChar w:fldCharType="begin"/>
      </w:r>
      <w:r>
        <w:instrText xml:space="preserve"> PAGEREF _Toc462409152 \h </w:instrText>
      </w:r>
      <w:r>
        <w:fldChar w:fldCharType="separate"/>
      </w:r>
      <w:r>
        <w:t>34</w:t>
      </w:r>
      <w:r>
        <w:fldChar w:fldCharType="end"/>
      </w:r>
    </w:p>
    <w:p>
      <w:pPr>
        <w:pStyle w:val="TOC8"/>
        <w:rPr>
          <w:rFonts w:asciiTheme="minorHAnsi" w:eastAsiaTheme="minorEastAsia" w:hAnsiTheme="minorHAnsi" w:cstheme="minorBidi"/>
          <w:szCs w:val="22"/>
        </w:rPr>
      </w:pPr>
      <w:r>
        <w:t>2.36A</w:t>
      </w:r>
      <w:r>
        <w:rPr>
          <w:snapToGrid w:val="0"/>
        </w:rPr>
        <w:t>.</w:t>
      </w:r>
      <w:r>
        <w:tab/>
        <w:t>Power to declare offices vacant if district to be abolished</w:t>
      </w:r>
      <w:r>
        <w:tab/>
      </w:r>
      <w:r>
        <w:fldChar w:fldCharType="begin"/>
      </w:r>
      <w:r>
        <w:instrText xml:space="preserve"> PAGEREF _Toc462409153 \h </w:instrText>
      </w:r>
      <w:r>
        <w:fldChar w:fldCharType="separate"/>
      </w:r>
      <w:r>
        <w:t>34</w:t>
      </w:r>
      <w:r>
        <w:fldChar w:fldCharType="end"/>
      </w:r>
    </w:p>
    <w:p>
      <w:pPr>
        <w:pStyle w:val="TOC8"/>
        <w:rPr>
          <w:rFonts w:asciiTheme="minorHAnsi" w:eastAsiaTheme="minorEastAsia" w:hAnsiTheme="minorHAnsi" w:cstheme="minorBidi"/>
          <w:szCs w:val="22"/>
        </w:rPr>
      </w:pPr>
      <w:r>
        <w:t>2.37.</w:t>
      </w:r>
      <w:r>
        <w:tab/>
        <w:t>Power to declare offices vacant</w:t>
      </w:r>
      <w:r>
        <w:tab/>
      </w:r>
      <w:r>
        <w:fldChar w:fldCharType="begin"/>
      </w:r>
      <w:r>
        <w:instrText xml:space="preserve"> PAGEREF _Toc462409154 \h </w:instrText>
      </w:r>
      <w:r>
        <w:fldChar w:fldCharType="separate"/>
      </w:r>
      <w:r>
        <w:t>35</w:t>
      </w:r>
      <w:r>
        <w:fldChar w:fldCharType="end"/>
      </w:r>
    </w:p>
    <w:p>
      <w:pPr>
        <w:pStyle w:val="TOC8"/>
        <w:rPr>
          <w:rFonts w:asciiTheme="minorHAnsi" w:eastAsiaTheme="minorEastAsia" w:hAnsiTheme="minorHAnsi" w:cstheme="minorBidi"/>
          <w:szCs w:val="22"/>
        </w:rPr>
      </w:pPr>
      <w:r>
        <w:t>2.37A.</w:t>
      </w:r>
      <w:r>
        <w:tab/>
        <w:t>Vacancies in all offices for any other reason</w:t>
      </w:r>
      <w:r>
        <w:tab/>
      </w:r>
      <w:r>
        <w:fldChar w:fldCharType="begin"/>
      </w:r>
      <w:r>
        <w:instrText xml:space="preserve"> PAGEREF _Toc462409155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7 — Commissioners</w:t>
      </w:r>
    </w:p>
    <w:p>
      <w:pPr>
        <w:pStyle w:val="TOC8"/>
        <w:rPr>
          <w:rFonts w:asciiTheme="minorHAnsi" w:eastAsiaTheme="minorEastAsia" w:hAnsiTheme="minorHAnsi" w:cstheme="minorBidi"/>
          <w:szCs w:val="22"/>
        </w:rPr>
      </w:pPr>
      <w:r>
        <w:t>2.38.</w:t>
      </w:r>
      <w:r>
        <w:tab/>
        <w:t>Function of commissioner</w:t>
      </w:r>
      <w:r>
        <w:tab/>
      </w:r>
      <w:r>
        <w:fldChar w:fldCharType="begin"/>
      </w:r>
      <w:r>
        <w:instrText xml:space="preserve"> PAGEREF _Toc462409157 \h </w:instrText>
      </w:r>
      <w:r>
        <w:fldChar w:fldCharType="separate"/>
      </w:r>
      <w:r>
        <w:t>36</w:t>
      </w:r>
      <w:r>
        <w:fldChar w:fldCharType="end"/>
      </w:r>
    </w:p>
    <w:p>
      <w:pPr>
        <w:pStyle w:val="TOC8"/>
        <w:rPr>
          <w:rFonts w:asciiTheme="minorHAnsi" w:eastAsiaTheme="minorEastAsia" w:hAnsiTheme="minorHAnsi" w:cstheme="minorBidi"/>
          <w:szCs w:val="22"/>
        </w:rPr>
      </w:pPr>
      <w:r>
        <w:t>2.39.</w:t>
      </w:r>
      <w:r>
        <w:tab/>
        <w:t>Appointment of commissioner</w:t>
      </w:r>
      <w:r>
        <w:tab/>
      </w:r>
      <w:r>
        <w:fldChar w:fldCharType="begin"/>
      </w:r>
      <w:r>
        <w:instrText xml:space="preserve"> PAGEREF _Toc462409158 \h </w:instrText>
      </w:r>
      <w:r>
        <w:fldChar w:fldCharType="separate"/>
      </w:r>
      <w:r>
        <w:t>36</w:t>
      </w:r>
      <w:r>
        <w:fldChar w:fldCharType="end"/>
      </w:r>
    </w:p>
    <w:p>
      <w:pPr>
        <w:pStyle w:val="TOC8"/>
        <w:rPr>
          <w:rFonts w:asciiTheme="minorHAnsi" w:eastAsiaTheme="minorEastAsia" w:hAnsiTheme="minorHAnsi" w:cstheme="minorBidi"/>
          <w:szCs w:val="22"/>
        </w:rPr>
      </w:pPr>
      <w:r>
        <w:t>2.40.</w:t>
      </w:r>
      <w:r>
        <w:tab/>
        <w:t>Joint commissioners</w:t>
      </w:r>
      <w:r>
        <w:tab/>
      </w:r>
      <w:r>
        <w:fldChar w:fldCharType="begin"/>
      </w:r>
      <w:r>
        <w:instrText xml:space="preserve"> PAGEREF _Toc462409159 \h </w:instrText>
      </w:r>
      <w:r>
        <w:fldChar w:fldCharType="separate"/>
      </w:r>
      <w:r>
        <w:t>36</w:t>
      </w:r>
      <w:r>
        <w:fldChar w:fldCharType="end"/>
      </w:r>
    </w:p>
    <w:p>
      <w:pPr>
        <w:pStyle w:val="TOC8"/>
        <w:rPr>
          <w:rFonts w:asciiTheme="minorHAnsi" w:eastAsiaTheme="minorEastAsia" w:hAnsiTheme="minorHAnsi" w:cstheme="minorBidi"/>
          <w:szCs w:val="22"/>
        </w:rPr>
      </w:pPr>
      <w:r>
        <w:t>2.41.</w:t>
      </w:r>
      <w:r>
        <w:tab/>
        <w:t>Appointment, tenure, meetings etc.</w:t>
      </w:r>
      <w:r>
        <w:tab/>
      </w:r>
      <w:r>
        <w:fldChar w:fldCharType="begin"/>
      </w:r>
      <w:r>
        <w:instrText xml:space="preserve"> PAGEREF _Toc462409160 \h </w:instrText>
      </w:r>
      <w:r>
        <w:fldChar w:fldCharType="separate"/>
      </w:r>
      <w:r>
        <w:t>37</w:t>
      </w:r>
      <w:r>
        <w:fldChar w:fldCharType="end"/>
      </w:r>
    </w:p>
    <w:p>
      <w:pPr>
        <w:pStyle w:val="TOC8"/>
        <w:rPr>
          <w:rFonts w:asciiTheme="minorHAnsi" w:eastAsiaTheme="minorEastAsia" w:hAnsiTheme="minorHAnsi" w:cstheme="minorBidi"/>
          <w:szCs w:val="22"/>
        </w:rPr>
      </w:pPr>
      <w:r>
        <w:t>2.42.</w:t>
      </w:r>
      <w:r>
        <w:tab/>
        <w:t>Commissioner to make declaration</w:t>
      </w:r>
      <w:r>
        <w:tab/>
      </w:r>
      <w:r>
        <w:fldChar w:fldCharType="begin"/>
      </w:r>
      <w:r>
        <w:instrText xml:space="preserve"> PAGEREF _Toc462409161 \h </w:instrText>
      </w:r>
      <w:r>
        <w:fldChar w:fldCharType="separate"/>
      </w:r>
      <w:r>
        <w:t>37</w:t>
      </w:r>
      <w:r>
        <w:fldChar w:fldCharType="end"/>
      </w:r>
    </w:p>
    <w:p>
      <w:pPr>
        <w:pStyle w:val="TOC8"/>
        <w:rPr>
          <w:rFonts w:asciiTheme="minorHAnsi" w:eastAsiaTheme="minorEastAsia" w:hAnsiTheme="minorHAnsi" w:cstheme="minorBidi"/>
          <w:szCs w:val="22"/>
        </w:rPr>
      </w:pPr>
      <w:r>
        <w:t>2.43.</w:t>
      </w:r>
      <w:r>
        <w:tab/>
        <w:t>Applicability of certain provisions of this Act</w:t>
      </w:r>
      <w:r>
        <w:tab/>
      </w:r>
      <w:r>
        <w:fldChar w:fldCharType="begin"/>
      </w:r>
      <w:r>
        <w:instrText xml:space="preserve"> PAGEREF _Toc462409162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8 — Local Government Advisory Board</w:t>
      </w:r>
    </w:p>
    <w:p>
      <w:pPr>
        <w:pStyle w:val="TOC8"/>
        <w:rPr>
          <w:rFonts w:asciiTheme="minorHAnsi" w:eastAsiaTheme="minorEastAsia" w:hAnsiTheme="minorHAnsi" w:cstheme="minorBidi"/>
          <w:szCs w:val="22"/>
        </w:rPr>
      </w:pPr>
      <w:r>
        <w:t>2.44.</w:t>
      </w:r>
      <w:r>
        <w:tab/>
        <w:t>Advisory Board, establishment of</w:t>
      </w:r>
      <w:r>
        <w:tab/>
      </w:r>
      <w:r>
        <w:fldChar w:fldCharType="begin"/>
      </w:r>
      <w:r>
        <w:instrText xml:space="preserve"> PAGEREF _Toc462409164 \h </w:instrText>
      </w:r>
      <w:r>
        <w:fldChar w:fldCharType="separate"/>
      </w:r>
      <w:r>
        <w:t>38</w:t>
      </w:r>
      <w:r>
        <w:fldChar w:fldCharType="end"/>
      </w:r>
    </w:p>
    <w:p>
      <w:pPr>
        <w:pStyle w:val="TOC8"/>
        <w:rPr>
          <w:rFonts w:asciiTheme="minorHAnsi" w:eastAsiaTheme="minorEastAsia" w:hAnsiTheme="minorHAnsi" w:cstheme="minorBidi"/>
          <w:szCs w:val="22"/>
        </w:rPr>
      </w:pPr>
      <w:r>
        <w:t>2.45.</w:t>
      </w:r>
      <w:r>
        <w:tab/>
        <w:t>Advisory Board, functions of</w:t>
      </w:r>
      <w:r>
        <w:tab/>
      </w:r>
      <w:r>
        <w:fldChar w:fldCharType="begin"/>
      </w:r>
      <w:r>
        <w:instrText xml:space="preserve"> PAGEREF _Toc462409165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3 — Functions of local governments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3.1.</w:t>
      </w:r>
      <w:r>
        <w:tab/>
        <w:t>General function</w:t>
      </w:r>
      <w:r>
        <w:tab/>
      </w:r>
      <w:r>
        <w:fldChar w:fldCharType="begin"/>
      </w:r>
      <w:r>
        <w:instrText xml:space="preserve"> PAGEREF _Toc462409168 \h </w:instrText>
      </w:r>
      <w:r>
        <w:fldChar w:fldCharType="separate"/>
      </w:r>
      <w:r>
        <w:t>39</w:t>
      </w:r>
      <w:r>
        <w:fldChar w:fldCharType="end"/>
      </w:r>
    </w:p>
    <w:p>
      <w:pPr>
        <w:pStyle w:val="TOC8"/>
        <w:rPr>
          <w:rFonts w:asciiTheme="minorHAnsi" w:eastAsiaTheme="minorEastAsia" w:hAnsiTheme="minorHAnsi" w:cstheme="minorBidi"/>
          <w:szCs w:val="22"/>
        </w:rPr>
      </w:pPr>
      <w:r>
        <w:t>3.2.</w:t>
      </w:r>
      <w:r>
        <w:tab/>
        <w:t>Relationship to State Government</w:t>
      </w:r>
      <w:r>
        <w:tab/>
      </w:r>
      <w:r>
        <w:fldChar w:fldCharType="begin"/>
      </w:r>
      <w:r>
        <w:instrText xml:space="preserve"> PAGEREF _Toc462409169 \h </w:instrText>
      </w:r>
      <w:r>
        <w:fldChar w:fldCharType="separate"/>
      </w:r>
      <w:r>
        <w:t>39</w:t>
      </w:r>
      <w:r>
        <w:fldChar w:fldCharType="end"/>
      </w:r>
    </w:p>
    <w:p>
      <w:pPr>
        <w:pStyle w:val="TOC8"/>
        <w:rPr>
          <w:rFonts w:asciiTheme="minorHAnsi" w:eastAsiaTheme="minorEastAsia" w:hAnsiTheme="minorHAnsi" w:cstheme="minorBidi"/>
          <w:szCs w:val="22"/>
        </w:rPr>
      </w:pPr>
      <w:r>
        <w:t>3.3.</w:t>
      </w:r>
      <w:r>
        <w:tab/>
        <w:t>Act not to affect Crown’s rights concerning alienated land</w:t>
      </w:r>
      <w:r>
        <w:tab/>
      </w:r>
      <w:r>
        <w:fldChar w:fldCharType="begin"/>
      </w:r>
      <w:r>
        <w:instrText xml:space="preserve"> PAGEREF _Toc462409170 \h </w:instrText>
      </w:r>
      <w:r>
        <w:fldChar w:fldCharType="separate"/>
      </w:r>
      <w:r>
        <w:t>40</w:t>
      </w:r>
      <w:r>
        <w:fldChar w:fldCharType="end"/>
      </w:r>
    </w:p>
    <w:p>
      <w:pPr>
        <w:pStyle w:val="TOC8"/>
        <w:rPr>
          <w:rFonts w:asciiTheme="minorHAnsi" w:eastAsiaTheme="minorEastAsia" w:hAnsiTheme="minorHAnsi" w:cstheme="minorBidi"/>
          <w:szCs w:val="22"/>
        </w:rPr>
      </w:pPr>
      <w:r>
        <w:t>3.4.</w:t>
      </w:r>
      <w:r>
        <w:tab/>
        <w:t>Functions may be legislative or executive</w:t>
      </w:r>
      <w:r>
        <w:tab/>
      </w:r>
      <w:r>
        <w:fldChar w:fldCharType="begin"/>
      </w:r>
      <w:r>
        <w:instrText xml:space="preserve"> PAGEREF _Toc462409171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2 — Legislative functions of local governments</w:t>
      </w:r>
    </w:p>
    <w:p>
      <w:pPr>
        <w:pStyle w:val="TOC6"/>
        <w:tabs>
          <w:tab w:val="right" w:leader="dot" w:pos="7077"/>
        </w:tabs>
        <w:rPr>
          <w:rFonts w:asciiTheme="minorHAnsi" w:eastAsiaTheme="minorEastAsia" w:hAnsiTheme="minorHAnsi" w:cstheme="minorBidi"/>
          <w:b w:val="0"/>
          <w:sz w:val="22"/>
          <w:szCs w:val="22"/>
        </w:rPr>
      </w:pPr>
      <w:r>
        <w:t>Subdivision 1 — Local laws made under this Act</w:t>
      </w:r>
    </w:p>
    <w:p>
      <w:pPr>
        <w:pStyle w:val="TOC8"/>
        <w:rPr>
          <w:rFonts w:asciiTheme="minorHAnsi" w:eastAsiaTheme="minorEastAsia" w:hAnsiTheme="minorHAnsi" w:cstheme="minorBidi"/>
          <w:szCs w:val="22"/>
        </w:rPr>
      </w:pPr>
      <w:r>
        <w:t>3.5.</w:t>
      </w:r>
      <w:r>
        <w:tab/>
        <w:t>Legislative power of local governments</w:t>
      </w:r>
      <w:r>
        <w:tab/>
      </w:r>
      <w:r>
        <w:fldChar w:fldCharType="begin"/>
      </w:r>
      <w:r>
        <w:instrText xml:space="preserve"> PAGEREF _Toc462409174 \h </w:instrText>
      </w:r>
      <w:r>
        <w:fldChar w:fldCharType="separate"/>
      </w:r>
      <w:r>
        <w:t>40</w:t>
      </w:r>
      <w:r>
        <w:fldChar w:fldCharType="end"/>
      </w:r>
    </w:p>
    <w:p>
      <w:pPr>
        <w:pStyle w:val="TOC8"/>
        <w:rPr>
          <w:rFonts w:asciiTheme="minorHAnsi" w:eastAsiaTheme="minorEastAsia" w:hAnsiTheme="minorHAnsi" w:cstheme="minorBidi"/>
          <w:szCs w:val="22"/>
        </w:rPr>
      </w:pPr>
      <w:r>
        <w:t>3.6.</w:t>
      </w:r>
      <w:r>
        <w:tab/>
        <w:t>Places outside district</w:t>
      </w:r>
      <w:r>
        <w:tab/>
      </w:r>
      <w:r>
        <w:fldChar w:fldCharType="begin"/>
      </w:r>
      <w:r>
        <w:instrText xml:space="preserve"> PAGEREF _Toc462409175 \h </w:instrText>
      </w:r>
      <w:r>
        <w:fldChar w:fldCharType="separate"/>
      </w:r>
      <w:r>
        <w:t>41</w:t>
      </w:r>
      <w:r>
        <w:fldChar w:fldCharType="end"/>
      </w:r>
    </w:p>
    <w:p>
      <w:pPr>
        <w:pStyle w:val="TOC8"/>
        <w:rPr>
          <w:rFonts w:asciiTheme="minorHAnsi" w:eastAsiaTheme="minorEastAsia" w:hAnsiTheme="minorHAnsi" w:cstheme="minorBidi"/>
          <w:szCs w:val="22"/>
        </w:rPr>
      </w:pPr>
      <w:r>
        <w:t>3.7.</w:t>
      </w:r>
      <w:r>
        <w:tab/>
        <w:t>Inconsistency with written laws</w:t>
      </w:r>
      <w:r>
        <w:tab/>
      </w:r>
      <w:r>
        <w:fldChar w:fldCharType="begin"/>
      </w:r>
      <w:r>
        <w:instrText xml:space="preserve"> PAGEREF _Toc462409176 \h </w:instrText>
      </w:r>
      <w:r>
        <w:fldChar w:fldCharType="separate"/>
      </w:r>
      <w:r>
        <w:t>42</w:t>
      </w:r>
      <w:r>
        <w:fldChar w:fldCharType="end"/>
      </w:r>
    </w:p>
    <w:p>
      <w:pPr>
        <w:pStyle w:val="TOC8"/>
        <w:rPr>
          <w:rFonts w:asciiTheme="minorHAnsi" w:eastAsiaTheme="minorEastAsia" w:hAnsiTheme="minorHAnsi" w:cstheme="minorBidi"/>
          <w:szCs w:val="22"/>
        </w:rPr>
      </w:pPr>
      <w:r>
        <w:t>3.8.</w:t>
      </w:r>
      <w:r>
        <w:tab/>
        <w:t>Local laws may adopt codes etc.</w:t>
      </w:r>
      <w:r>
        <w:tab/>
      </w:r>
      <w:r>
        <w:fldChar w:fldCharType="begin"/>
      </w:r>
      <w:r>
        <w:instrText xml:space="preserve"> PAGEREF _Toc462409177 \h </w:instrText>
      </w:r>
      <w:r>
        <w:fldChar w:fldCharType="separate"/>
      </w:r>
      <w:r>
        <w:t>42</w:t>
      </w:r>
      <w:r>
        <w:fldChar w:fldCharType="end"/>
      </w:r>
    </w:p>
    <w:p>
      <w:pPr>
        <w:pStyle w:val="TOC8"/>
        <w:rPr>
          <w:rFonts w:asciiTheme="minorHAnsi" w:eastAsiaTheme="minorEastAsia" w:hAnsiTheme="minorHAnsi" w:cstheme="minorBidi"/>
          <w:szCs w:val="22"/>
        </w:rPr>
      </w:pPr>
      <w:r>
        <w:t>3.9.</w:t>
      </w:r>
      <w:r>
        <w:tab/>
        <w:t>Model local laws</w:t>
      </w:r>
      <w:r>
        <w:tab/>
      </w:r>
      <w:r>
        <w:fldChar w:fldCharType="begin"/>
      </w:r>
      <w:r>
        <w:instrText xml:space="preserve"> PAGEREF _Toc462409178 \h </w:instrText>
      </w:r>
      <w:r>
        <w:fldChar w:fldCharType="separate"/>
      </w:r>
      <w:r>
        <w:t>42</w:t>
      </w:r>
      <w:r>
        <w:fldChar w:fldCharType="end"/>
      </w:r>
    </w:p>
    <w:p>
      <w:pPr>
        <w:pStyle w:val="TOC8"/>
        <w:rPr>
          <w:rFonts w:asciiTheme="minorHAnsi" w:eastAsiaTheme="minorEastAsia" w:hAnsiTheme="minorHAnsi" w:cstheme="minorBidi"/>
          <w:szCs w:val="22"/>
        </w:rPr>
      </w:pPr>
      <w:r>
        <w:t>3.10.</w:t>
      </w:r>
      <w:r>
        <w:tab/>
        <w:t>Creating offences and prescribing penalties</w:t>
      </w:r>
      <w:r>
        <w:tab/>
      </w:r>
      <w:r>
        <w:fldChar w:fldCharType="begin"/>
      </w:r>
      <w:r>
        <w:instrText xml:space="preserve"> PAGEREF _Toc462409179 \h </w:instrText>
      </w:r>
      <w:r>
        <w:fldChar w:fldCharType="separate"/>
      </w:r>
      <w:r>
        <w:t>43</w:t>
      </w:r>
      <w:r>
        <w:fldChar w:fldCharType="end"/>
      </w:r>
    </w:p>
    <w:p>
      <w:pPr>
        <w:pStyle w:val="TOC6"/>
        <w:tabs>
          <w:tab w:val="right" w:leader="dot" w:pos="7077"/>
        </w:tabs>
        <w:rPr>
          <w:rFonts w:asciiTheme="minorHAnsi" w:eastAsiaTheme="minorEastAsia" w:hAnsiTheme="minorHAnsi" w:cstheme="minorBidi"/>
          <w:b w:val="0"/>
          <w:sz w:val="22"/>
          <w:szCs w:val="22"/>
        </w:rPr>
      </w:pPr>
      <w:r>
        <w:t>Subdivision 2 — Local laws made under any Act</w:t>
      </w:r>
    </w:p>
    <w:p>
      <w:pPr>
        <w:pStyle w:val="TOC8"/>
        <w:rPr>
          <w:rFonts w:asciiTheme="minorHAnsi" w:eastAsiaTheme="minorEastAsia" w:hAnsiTheme="minorHAnsi" w:cstheme="minorBidi"/>
          <w:szCs w:val="22"/>
        </w:rPr>
      </w:pPr>
      <w:r>
        <w:t>3.11.</w:t>
      </w:r>
      <w:r>
        <w:tab/>
        <w:t>Subdivision applies to local laws made under any Act</w:t>
      </w:r>
      <w:r>
        <w:tab/>
      </w:r>
      <w:r>
        <w:fldChar w:fldCharType="begin"/>
      </w:r>
      <w:r>
        <w:instrText xml:space="preserve"> PAGEREF _Toc462409181 \h </w:instrText>
      </w:r>
      <w:r>
        <w:fldChar w:fldCharType="separate"/>
      </w:r>
      <w:r>
        <w:t>43</w:t>
      </w:r>
      <w:r>
        <w:fldChar w:fldCharType="end"/>
      </w:r>
    </w:p>
    <w:p>
      <w:pPr>
        <w:pStyle w:val="TOC8"/>
        <w:rPr>
          <w:rFonts w:asciiTheme="minorHAnsi" w:eastAsiaTheme="minorEastAsia" w:hAnsiTheme="minorHAnsi" w:cstheme="minorBidi"/>
          <w:szCs w:val="22"/>
        </w:rPr>
      </w:pPr>
      <w:r>
        <w:t>3.12.</w:t>
      </w:r>
      <w:r>
        <w:tab/>
        <w:t>Procedure for making local laws</w:t>
      </w:r>
      <w:r>
        <w:tab/>
      </w:r>
      <w:r>
        <w:fldChar w:fldCharType="begin"/>
      </w:r>
      <w:r>
        <w:instrText xml:space="preserve"> PAGEREF _Toc462409182 \h </w:instrText>
      </w:r>
      <w:r>
        <w:fldChar w:fldCharType="separate"/>
      </w:r>
      <w:r>
        <w:t>44</w:t>
      </w:r>
      <w:r>
        <w:fldChar w:fldCharType="end"/>
      </w:r>
    </w:p>
    <w:p>
      <w:pPr>
        <w:pStyle w:val="TOC8"/>
        <w:rPr>
          <w:rFonts w:asciiTheme="minorHAnsi" w:eastAsiaTheme="minorEastAsia" w:hAnsiTheme="minorHAnsi" w:cstheme="minorBidi"/>
          <w:szCs w:val="22"/>
        </w:rPr>
      </w:pPr>
      <w:r>
        <w:t>3.13.</w:t>
      </w:r>
      <w:r>
        <w:tab/>
        <w:t>Procedure where significant change in proposal</w:t>
      </w:r>
      <w:r>
        <w:tab/>
      </w:r>
      <w:r>
        <w:fldChar w:fldCharType="begin"/>
      </w:r>
      <w:r>
        <w:instrText xml:space="preserve"> PAGEREF _Toc462409183 \h </w:instrText>
      </w:r>
      <w:r>
        <w:fldChar w:fldCharType="separate"/>
      </w:r>
      <w:r>
        <w:t>45</w:t>
      </w:r>
      <w:r>
        <w:fldChar w:fldCharType="end"/>
      </w:r>
    </w:p>
    <w:p>
      <w:pPr>
        <w:pStyle w:val="TOC8"/>
        <w:rPr>
          <w:rFonts w:asciiTheme="minorHAnsi" w:eastAsiaTheme="minorEastAsia" w:hAnsiTheme="minorHAnsi" w:cstheme="minorBidi"/>
          <w:szCs w:val="22"/>
        </w:rPr>
      </w:pPr>
      <w:r>
        <w:t>3.14.</w:t>
      </w:r>
      <w:r>
        <w:tab/>
        <w:t>Commencement of local laws</w:t>
      </w:r>
      <w:r>
        <w:tab/>
      </w:r>
      <w:r>
        <w:fldChar w:fldCharType="begin"/>
      </w:r>
      <w:r>
        <w:instrText xml:space="preserve"> PAGEREF _Toc462409184 \h </w:instrText>
      </w:r>
      <w:r>
        <w:fldChar w:fldCharType="separate"/>
      </w:r>
      <w:r>
        <w:t>46</w:t>
      </w:r>
      <w:r>
        <w:fldChar w:fldCharType="end"/>
      </w:r>
    </w:p>
    <w:p>
      <w:pPr>
        <w:pStyle w:val="TOC8"/>
        <w:rPr>
          <w:rFonts w:asciiTheme="minorHAnsi" w:eastAsiaTheme="minorEastAsia" w:hAnsiTheme="minorHAnsi" w:cstheme="minorBidi"/>
          <w:szCs w:val="22"/>
        </w:rPr>
      </w:pPr>
      <w:r>
        <w:t>3.15.</w:t>
      </w:r>
      <w:r>
        <w:tab/>
        <w:t>Local laws to be publicised</w:t>
      </w:r>
      <w:r>
        <w:tab/>
      </w:r>
      <w:r>
        <w:fldChar w:fldCharType="begin"/>
      </w:r>
      <w:r>
        <w:instrText xml:space="preserve"> PAGEREF _Toc462409185 \h </w:instrText>
      </w:r>
      <w:r>
        <w:fldChar w:fldCharType="separate"/>
      </w:r>
      <w:r>
        <w:t>46</w:t>
      </w:r>
      <w:r>
        <w:fldChar w:fldCharType="end"/>
      </w:r>
    </w:p>
    <w:p>
      <w:pPr>
        <w:pStyle w:val="TOC8"/>
        <w:rPr>
          <w:rFonts w:asciiTheme="minorHAnsi" w:eastAsiaTheme="minorEastAsia" w:hAnsiTheme="minorHAnsi" w:cstheme="minorBidi"/>
          <w:szCs w:val="22"/>
        </w:rPr>
      </w:pPr>
      <w:r>
        <w:t>3.16.</w:t>
      </w:r>
      <w:r>
        <w:tab/>
        <w:t>Periodic review of local laws</w:t>
      </w:r>
      <w:r>
        <w:tab/>
      </w:r>
      <w:r>
        <w:fldChar w:fldCharType="begin"/>
      </w:r>
      <w:r>
        <w:instrText xml:space="preserve"> PAGEREF _Toc462409186 \h </w:instrText>
      </w:r>
      <w:r>
        <w:fldChar w:fldCharType="separate"/>
      </w:r>
      <w:r>
        <w:t>46</w:t>
      </w:r>
      <w:r>
        <w:fldChar w:fldCharType="end"/>
      </w:r>
    </w:p>
    <w:p>
      <w:pPr>
        <w:pStyle w:val="TOC8"/>
        <w:rPr>
          <w:rFonts w:asciiTheme="minorHAnsi" w:eastAsiaTheme="minorEastAsia" w:hAnsiTheme="minorHAnsi" w:cstheme="minorBidi"/>
          <w:szCs w:val="22"/>
        </w:rPr>
      </w:pPr>
      <w:r>
        <w:t>3.17.</w:t>
      </w:r>
      <w:r>
        <w:tab/>
        <w:t>Governor may amend or repeal local laws</w:t>
      </w:r>
      <w:r>
        <w:tab/>
      </w:r>
      <w:r>
        <w:fldChar w:fldCharType="begin"/>
      </w:r>
      <w:r>
        <w:instrText xml:space="preserve"> PAGEREF _Toc462409187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3 — Executive functions of local governments</w:t>
      </w:r>
    </w:p>
    <w:p>
      <w:pPr>
        <w:pStyle w:val="TOC6"/>
        <w:tabs>
          <w:tab w:val="right" w:leader="dot" w:pos="7077"/>
        </w:tabs>
        <w:rPr>
          <w:rFonts w:asciiTheme="minorHAnsi" w:eastAsiaTheme="minorEastAsia" w:hAnsiTheme="minorHAnsi" w:cstheme="minorBidi"/>
          <w:b w:val="0"/>
          <w:sz w:val="22"/>
          <w:szCs w:val="22"/>
        </w:rPr>
      </w:pPr>
      <w:r>
        <w:t>Subdivision 1 — Performing executive functions</w:t>
      </w:r>
    </w:p>
    <w:p>
      <w:pPr>
        <w:pStyle w:val="TOC8"/>
        <w:rPr>
          <w:rFonts w:asciiTheme="minorHAnsi" w:eastAsiaTheme="minorEastAsia" w:hAnsiTheme="minorHAnsi" w:cstheme="minorBidi"/>
          <w:szCs w:val="22"/>
        </w:rPr>
      </w:pPr>
      <w:r>
        <w:t>3.18.</w:t>
      </w:r>
      <w:r>
        <w:tab/>
        <w:t>Performing executive functions</w:t>
      </w:r>
      <w:r>
        <w:tab/>
      </w:r>
      <w:r>
        <w:fldChar w:fldCharType="begin"/>
      </w:r>
      <w:r>
        <w:instrText xml:space="preserve"> PAGEREF _Toc462409190 \h </w:instrText>
      </w:r>
      <w:r>
        <w:fldChar w:fldCharType="separate"/>
      </w:r>
      <w:r>
        <w:t>47</w:t>
      </w:r>
      <w:r>
        <w:fldChar w:fldCharType="end"/>
      </w:r>
    </w:p>
    <w:p>
      <w:pPr>
        <w:pStyle w:val="TOC8"/>
        <w:rPr>
          <w:rFonts w:asciiTheme="minorHAnsi" w:eastAsiaTheme="minorEastAsia" w:hAnsiTheme="minorHAnsi" w:cstheme="minorBidi"/>
          <w:szCs w:val="22"/>
        </w:rPr>
      </w:pPr>
      <w:r>
        <w:t>3.19.</w:t>
      </w:r>
      <w:r>
        <w:tab/>
        <w:t>Places to be regarded as within district</w:t>
      </w:r>
      <w:r>
        <w:tab/>
      </w:r>
      <w:r>
        <w:fldChar w:fldCharType="begin"/>
      </w:r>
      <w:r>
        <w:instrText xml:space="preserve"> PAGEREF _Toc462409191 \h </w:instrText>
      </w:r>
      <w:r>
        <w:fldChar w:fldCharType="separate"/>
      </w:r>
      <w:r>
        <w:t>48</w:t>
      </w:r>
      <w:r>
        <w:fldChar w:fldCharType="end"/>
      </w:r>
    </w:p>
    <w:p>
      <w:pPr>
        <w:pStyle w:val="TOC8"/>
        <w:rPr>
          <w:rFonts w:asciiTheme="minorHAnsi" w:eastAsiaTheme="minorEastAsia" w:hAnsiTheme="minorHAnsi" w:cstheme="minorBidi"/>
          <w:szCs w:val="22"/>
        </w:rPr>
      </w:pPr>
      <w:r>
        <w:t>3.20.</w:t>
      </w:r>
      <w:r>
        <w:tab/>
        <w:t>Performing functions outside district</w:t>
      </w:r>
      <w:r>
        <w:tab/>
      </w:r>
      <w:r>
        <w:fldChar w:fldCharType="begin"/>
      </w:r>
      <w:r>
        <w:instrText xml:space="preserve"> PAGEREF _Toc462409192 \h </w:instrText>
      </w:r>
      <w:r>
        <w:fldChar w:fldCharType="separate"/>
      </w:r>
      <w:r>
        <w:t>49</w:t>
      </w:r>
      <w:r>
        <w:fldChar w:fldCharType="end"/>
      </w:r>
    </w:p>
    <w:p>
      <w:pPr>
        <w:pStyle w:val="TOC8"/>
        <w:rPr>
          <w:rFonts w:asciiTheme="minorHAnsi" w:eastAsiaTheme="minorEastAsia" w:hAnsiTheme="minorHAnsi" w:cstheme="minorBidi"/>
          <w:szCs w:val="22"/>
        </w:rPr>
      </w:pPr>
      <w:r>
        <w:t>3.21.</w:t>
      </w:r>
      <w:r>
        <w:tab/>
        <w:t>Duties when performing functions</w:t>
      </w:r>
      <w:r>
        <w:tab/>
      </w:r>
      <w:r>
        <w:fldChar w:fldCharType="begin"/>
      </w:r>
      <w:r>
        <w:instrText xml:space="preserve"> PAGEREF _Toc462409193 \h </w:instrText>
      </w:r>
      <w:r>
        <w:fldChar w:fldCharType="separate"/>
      </w:r>
      <w:r>
        <w:t>49</w:t>
      </w:r>
      <w:r>
        <w:fldChar w:fldCharType="end"/>
      </w:r>
    </w:p>
    <w:p>
      <w:pPr>
        <w:pStyle w:val="TOC8"/>
        <w:rPr>
          <w:rFonts w:asciiTheme="minorHAnsi" w:eastAsiaTheme="minorEastAsia" w:hAnsiTheme="minorHAnsi" w:cstheme="minorBidi"/>
          <w:szCs w:val="22"/>
        </w:rPr>
      </w:pPr>
      <w:r>
        <w:t>3.22.</w:t>
      </w:r>
      <w:r>
        <w:tab/>
        <w:t>Compensation</w:t>
      </w:r>
      <w:r>
        <w:tab/>
      </w:r>
      <w:r>
        <w:fldChar w:fldCharType="begin"/>
      </w:r>
      <w:r>
        <w:instrText xml:space="preserve"> PAGEREF _Toc462409194 \h </w:instrText>
      </w:r>
      <w:r>
        <w:fldChar w:fldCharType="separate"/>
      </w:r>
      <w:r>
        <w:t>50</w:t>
      </w:r>
      <w:r>
        <w:fldChar w:fldCharType="end"/>
      </w:r>
    </w:p>
    <w:p>
      <w:pPr>
        <w:pStyle w:val="TOC8"/>
        <w:rPr>
          <w:rFonts w:asciiTheme="minorHAnsi" w:eastAsiaTheme="minorEastAsia" w:hAnsiTheme="minorHAnsi" w:cstheme="minorBidi"/>
          <w:szCs w:val="22"/>
        </w:rPr>
      </w:pPr>
      <w:r>
        <w:t>3.23.</w:t>
      </w:r>
      <w:r>
        <w:tab/>
        <w:t>Arbitration</w:t>
      </w:r>
      <w:r>
        <w:tab/>
      </w:r>
      <w:r>
        <w:fldChar w:fldCharType="begin"/>
      </w:r>
      <w:r>
        <w:instrText xml:space="preserve"> PAGEREF _Toc462409195 \h </w:instrText>
      </w:r>
      <w:r>
        <w:fldChar w:fldCharType="separate"/>
      </w:r>
      <w:r>
        <w:t>51</w:t>
      </w:r>
      <w:r>
        <w:fldChar w:fldCharType="end"/>
      </w:r>
    </w:p>
    <w:p>
      <w:pPr>
        <w:pStyle w:val="TOC6"/>
        <w:tabs>
          <w:tab w:val="right" w:leader="dot" w:pos="7077"/>
        </w:tabs>
        <w:rPr>
          <w:rFonts w:asciiTheme="minorHAnsi" w:eastAsiaTheme="minorEastAsia" w:hAnsiTheme="minorHAnsi" w:cstheme="minorBidi"/>
          <w:b w:val="0"/>
          <w:sz w:val="22"/>
          <w:szCs w:val="22"/>
        </w:rPr>
      </w:pPr>
      <w:r>
        <w:t>Subdivision 2 — Certain provisions about land</w:t>
      </w:r>
    </w:p>
    <w:p>
      <w:pPr>
        <w:pStyle w:val="TOC8"/>
        <w:rPr>
          <w:rFonts w:asciiTheme="minorHAnsi" w:eastAsiaTheme="minorEastAsia" w:hAnsiTheme="minorHAnsi" w:cstheme="minorBidi"/>
          <w:szCs w:val="22"/>
        </w:rPr>
      </w:pPr>
      <w:r>
        <w:t>3.24.</w:t>
      </w:r>
      <w:r>
        <w:tab/>
        <w:t>Authorising persons under this Subdivision</w:t>
      </w:r>
      <w:r>
        <w:tab/>
      </w:r>
      <w:r>
        <w:fldChar w:fldCharType="begin"/>
      </w:r>
      <w:r>
        <w:instrText xml:space="preserve"> PAGEREF _Toc462409197 \h </w:instrText>
      </w:r>
      <w:r>
        <w:fldChar w:fldCharType="separate"/>
      </w:r>
      <w:r>
        <w:t>52</w:t>
      </w:r>
      <w:r>
        <w:fldChar w:fldCharType="end"/>
      </w:r>
    </w:p>
    <w:p>
      <w:pPr>
        <w:pStyle w:val="TOC8"/>
        <w:rPr>
          <w:rFonts w:asciiTheme="minorHAnsi" w:eastAsiaTheme="minorEastAsia" w:hAnsiTheme="minorHAnsi" w:cstheme="minorBidi"/>
          <w:szCs w:val="22"/>
        </w:rPr>
      </w:pPr>
      <w:r>
        <w:t>3.25.</w:t>
      </w:r>
      <w:r>
        <w:tab/>
        <w:t>Notices requiring certain things to be done by owner or occupier of land</w:t>
      </w:r>
      <w:r>
        <w:tab/>
      </w:r>
      <w:r>
        <w:fldChar w:fldCharType="begin"/>
      </w:r>
      <w:r>
        <w:instrText xml:space="preserve"> PAGEREF _Toc462409198 \h </w:instrText>
      </w:r>
      <w:r>
        <w:fldChar w:fldCharType="separate"/>
      </w:r>
      <w:r>
        <w:t>52</w:t>
      </w:r>
      <w:r>
        <w:fldChar w:fldCharType="end"/>
      </w:r>
    </w:p>
    <w:p>
      <w:pPr>
        <w:pStyle w:val="TOC8"/>
        <w:rPr>
          <w:rFonts w:asciiTheme="minorHAnsi" w:eastAsiaTheme="minorEastAsia" w:hAnsiTheme="minorHAnsi" w:cstheme="minorBidi"/>
          <w:szCs w:val="22"/>
        </w:rPr>
      </w:pPr>
      <w:r>
        <w:t>3.26.</w:t>
      </w:r>
      <w:r>
        <w:tab/>
        <w:t>Additional powers when notices given</w:t>
      </w:r>
      <w:r>
        <w:tab/>
      </w:r>
      <w:r>
        <w:fldChar w:fldCharType="begin"/>
      </w:r>
      <w:r>
        <w:instrText xml:space="preserve"> PAGEREF _Toc462409199 \h </w:instrText>
      </w:r>
      <w:r>
        <w:fldChar w:fldCharType="separate"/>
      </w:r>
      <w:r>
        <w:t>53</w:t>
      </w:r>
      <w:r>
        <w:fldChar w:fldCharType="end"/>
      </w:r>
    </w:p>
    <w:p>
      <w:pPr>
        <w:pStyle w:val="TOC8"/>
        <w:rPr>
          <w:rFonts w:asciiTheme="minorHAnsi" w:eastAsiaTheme="minorEastAsia" w:hAnsiTheme="minorHAnsi" w:cstheme="minorBidi"/>
          <w:szCs w:val="22"/>
        </w:rPr>
      </w:pPr>
      <w:r>
        <w:t>3.27.</w:t>
      </w:r>
      <w:r>
        <w:tab/>
        <w:t>Particular things local governments can do on land that is not local government property</w:t>
      </w:r>
      <w:r>
        <w:tab/>
      </w:r>
      <w:r>
        <w:fldChar w:fldCharType="begin"/>
      </w:r>
      <w:r>
        <w:instrText xml:space="preserve"> PAGEREF _Toc462409200 \h </w:instrText>
      </w:r>
      <w:r>
        <w:fldChar w:fldCharType="separate"/>
      </w:r>
      <w:r>
        <w:t>54</w:t>
      </w:r>
      <w:r>
        <w:fldChar w:fldCharType="end"/>
      </w:r>
    </w:p>
    <w:p>
      <w:pPr>
        <w:pStyle w:val="TOC6"/>
        <w:tabs>
          <w:tab w:val="right" w:leader="dot" w:pos="7077"/>
        </w:tabs>
        <w:rPr>
          <w:rFonts w:asciiTheme="minorHAnsi" w:eastAsiaTheme="minorEastAsia" w:hAnsiTheme="minorHAnsi" w:cstheme="minorBidi"/>
          <w:b w:val="0"/>
          <w:sz w:val="22"/>
          <w:szCs w:val="22"/>
        </w:rPr>
      </w:pPr>
      <w:r>
        <w:t>Subdivision 3 — Powers of entry</w:t>
      </w:r>
    </w:p>
    <w:p>
      <w:pPr>
        <w:pStyle w:val="TOC8"/>
        <w:rPr>
          <w:rFonts w:asciiTheme="minorHAnsi" w:eastAsiaTheme="minorEastAsia" w:hAnsiTheme="minorHAnsi" w:cstheme="minorBidi"/>
          <w:szCs w:val="22"/>
        </w:rPr>
      </w:pPr>
      <w:r>
        <w:t>3.28.</w:t>
      </w:r>
      <w:r>
        <w:tab/>
        <w:t>When this Subdivision applies</w:t>
      </w:r>
      <w:r>
        <w:tab/>
      </w:r>
      <w:r>
        <w:fldChar w:fldCharType="begin"/>
      </w:r>
      <w:r>
        <w:instrText xml:space="preserve"> PAGEREF _Toc462409202 \h </w:instrText>
      </w:r>
      <w:r>
        <w:fldChar w:fldCharType="separate"/>
      </w:r>
      <w:r>
        <w:t>55</w:t>
      </w:r>
      <w:r>
        <w:fldChar w:fldCharType="end"/>
      </w:r>
    </w:p>
    <w:p>
      <w:pPr>
        <w:pStyle w:val="TOC8"/>
        <w:rPr>
          <w:rFonts w:asciiTheme="minorHAnsi" w:eastAsiaTheme="minorEastAsia" w:hAnsiTheme="minorHAnsi" w:cstheme="minorBidi"/>
          <w:szCs w:val="22"/>
        </w:rPr>
      </w:pPr>
      <w:r>
        <w:t>3.29.</w:t>
      </w:r>
      <w:r>
        <w:tab/>
        <w:t>Powers of entry are additional</w:t>
      </w:r>
      <w:r>
        <w:tab/>
      </w:r>
      <w:r>
        <w:fldChar w:fldCharType="begin"/>
      </w:r>
      <w:r>
        <w:instrText xml:space="preserve"> PAGEREF _Toc462409203 \h </w:instrText>
      </w:r>
      <w:r>
        <w:fldChar w:fldCharType="separate"/>
      </w:r>
      <w:r>
        <w:t>55</w:t>
      </w:r>
      <w:r>
        <w:fldChar w:fldCharType="end"/>
      </w:r>
    </w:p>
    <w:p>
      <w:pPr>
        <w:pStyle w:val="TOC8"/>
        <w:rPr>
          <w:rFonts w:asciiTheme="minorHAnsi" w:eastAsiaTheme="minorEastAsia" w:hAnsiTheme="minorHAnsi" w:cstheme="minorBidi"/>
          <w:szCs w:val="22"/>
        </w:rPr>
      </w:pPr>
      <w:r>
        <w:t>3.30.</w:t>
      </w:r>
      <w:r>
        <w:tab/>
        <w:t>Assistants and equipment</w:t>
      </w:r>
      <w:r>
        <w:tab/>
      </w:r>
      <w:r>
        <w:fldChar w:fldCharType="begin"/>
      </w:r>
      <w:r>
        <w:instrText xml:space="preserve"> PAGEREF _Toc462409204 \h </w:instrText>
      </w:r>
      <w:r>
        <w:fldChar w:fldCharType="separate"/>
      </w:r>
      <w:r>
        <w:t>55</w:t>
      </w:r>
      <w:r>
        <w:fldChar w:fldCharType="end"/>
      </w:r>
    </w:p>
    <w:p>
      <w:pPr>
        <w:pStyle w:val="TOC8"/>
        <w:rPr>
          <w:rFonts w:asciiTheme="minorHAnsi" w:eastAsiaTheme="minorEastAsia" w:hAnsiTheme="minorHAnsi" w:cstheme="minorBidi"/>
          <w:szCs w:val="22"/>
        </w:rPr>
      </w:pPr>
      <w:r>
        <w:t>3.31.</w:t>
      </w:r>
      <w:r>
        <w:tab/>
        <w:t>General procedure for entering property</w:t>
      </w:r>
      <w:r>
        <w:tab/>
      </w:r>
      <w:r>
        <w:fldChar w:fldCharType="begin"/>
      </w:r>
      <w:r>
        <w:instrText xml:space="preserve"> PAGEREF _Toc462409205 \h </w:instrText>
      </w:r>
      <w:r>
        <w:fldChar w:fldCharType="separate"/>
      </w:r>
      <w:r>
        <w:t>55</w:t>
      </w:r>
      <w:r>
        <w:fldChar w:fldCharType="end"/>
      </w:r>
    </w:p>
    <w:p>
      <w:pPr>
        <w:pStyle w:val="TOC8"/>
        <w:rPr>
          <w:rFonts w:asciiTheme="minorHAnsi" w:eastAsiaTheme="minorEastAsia" w:hAnsiTheme="minorHAnsi" w:cstheme="minorBidi"/>
          <w:szCs w:val="22"/>
        </w:rPr>
      </w:pPr>
      <w:r>
        <w:t>3.32.</w:t>
      </w:r>
      <w:r>
        <w:tab/>
        <w:t>Notice of entry</w:t>
      </w:r>
      <w:r>
        <w:tab/>
      </w:r>
      <w:r>
        <w:fldChar w:fldCharType="begin"/>
      </w:r>
      <w:r>
        <w:instrText xml:space="preserve"> PAGEREF _Toc462409206 \h </w:instrText>
      </w:r>
      <w:r>
        <w:fldChar w:fldCharType="separate"/>
      </w:r>
      <w:r>
        <w:t>56</w:t>
      </w:r>
      <w:r>
        <w:fldChar w:fldCharType="end"/>
      </w:r>
    </w:p>
    <w:p>
      <w:pPr>
        <w:pStyle w:val="TOC8"/>
        <w:rPr>
          <w:rFonts w:asciiTheme="minorHAnsi" w:eastAsiaTheme="minorEastAsia" w:hAnsiTheme="minorHAnsi" w:cstheme="minorBidi"/>
          <w:szCs w:val="22"/>
        </w:rPr>
      </w:pPr>
      <w:r>
        <w:t>3.33.</w:t>
      </w:r>
      <w:r>
        <w:tab/>
        <w:t>Entry under warrant</w:t>
      </w:r>
      <w:r>
        <w:tab/>
      </w:r>
      <w:r>
        <w:fldChar w:fldCharType="begin"/>
      </w:r>
      <w:r>
        <w:instrText xml:space="preserve"> PAGEREF _Toc462409207 \h </w:instrText>
      </w:r>
      <w:r>
        <w:fldChar w:fldCharType="separate"/>
      </w:r>
      <w:r>
        <w:t>56</w:t>
      </w:r>
      <w:r>
        <w:fldChar w:fldCharType="end"/>
      </w:r>
    </w:p>
    <w:p>
      <w:pPr>
        <w:pStyle w:val="TOC8"/>
        <w:rPr>
          <w:rFonts w:asciiTheme="minorHAnsi" w:eastAsiaTheme="minorEastAsia" w:hAnsiTheme="minorHAnsi" w:cstheme="minorBidi"/>
          <w:szCs w:val="22"/>
        </w:rPr>
      </w:pPr>
      <w:r>
        <w:t>3.34.</w:t>
      </w:r>
      <w:r>
        <w:tab/>
        <w:t>Entry in emergency</w:t>
      </w:r>
      <w:r>
        <w:tab/>
      </w:r>
      <w:r>
        <w:fldChar w:fldCharType="begin"/>
      </w:r>
      <w:r>
        <w:instrText xml:space="preserve"> PAGEREF _Toc462409208 \h </w:instrText>
      </w:r>
      <w:r>
        <w:fldChar w:fldCharType="separate"/>
      </w:r>
      <w:r>
        <w:t>57</w:t>
      </w:r>
      <w:r>
        <w:fldChar w:fldCharType="end"/>
      </w:r>
    </w:p>
    <w:p>
      <w:pPr>
        <w:pStyle w:val="TOC8"/>
        <w:rPr>
          <w:rFonts w:asciiTheme="minorHAnsi" w:eastAsiaTheme="minorEastAsia" w:hAnsiTheme="minorHAnsi" w:cstheme="minorBidi"/>
          <w:szCs w:val="22"/>
        </w:rPr>
      </w:pPr>
      <w:r>
        <w:t>3.35.</w:t>
      </w:r>
      <w:r>
        <w:tab/>
        <w:t>Purpose of entry to be given on request</w:t>
      </w:r>
      <w:r>
        <w:tab/>
      </w:r>
      <w:r>
        <w:fldChar w:fldCharType="begin"/>
      </w:r>
      <w:r>
        <w:instrText xml:space="preserve"> PAGEREF _Toc462409209 \h </w:instrText>
      </w:r>
      <w:r>
        <w:fldChar w:fldCharType="separate"/>
      </w:r>
      <w:r>
        <w:t>57</w:t>
      </w:r>
      <w:r>
        <w:fldChar w:fldCharType="end"/>
      </w:r>
    </w:p>
    <w:p>
      <w:pPr>
        <w:pStyle w:val="TOC8"/>
        <w:rPr>
          <w:rFonts w:asciiTheme="minorHAnsi" w:eastAsiaTheme="minorEastAsia" w:hAnsiTheme="minorHAnsi" w:cstheme="minorBidi"/>
          <w:szCs w:val="22"/>
        </w:rPr>
      </w:pPr>
      <w:r>
        <w:t>3.36.</w:t>
      </w:r>
      <w:r>
        <w:tab/>
        <w:t>Opening fences</w:t>
      </w:r>
      <w:r>
        <w:tab/>
      </w:r>
      <w:r>
        <w:fldChar w:fldCharType="begin"/>
      </w:r>
      <w:r>
        <w:instrText xml:space="preserve"> PAGEREF _Toc462409210 \h </w:instrText>
      </w:r>
      <w:r>
        <w:fldChar w:fldCharType="separate"/>
      </w:r>
      <w:r>
        <w:t>58</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Subdivision 4 — Impounding </w:t>
      </w:r>
      <w:r>
        <w:rPr>
          <w:rFonts w:eastAsia="MS Mincho"/>
          <w:bCs/>
        </w:rPr>
        <w:t>abandoned vehicle wrecks and</w:t>
      </w:r>
      <w:r>
        <w:t xml:space="preserve"> goods involved in certain contraventions</w:t>
      </w:r>
    </w:p>
    <w:p>
      <w:pPr>
        <w:pStyle w:val="TOC8"/>
        <w:rPr>
          <w:rFonts w:asciiTheme="minorHAnsi" w:eastAsiaTheme="minorEastAsia" w:hAnsiTheme="minorHAnsi" w:cstheme="minorBidi"/>
          <w:szCs w:val="22"/>
        </w:rPr>
      </w:pPr>
      <w:r>
        <w:t>3.37.</w:t>
      </w:r>
      <w:r>
        <w:tab/>
        <w:t>Contraventions that can lead to impounding</w:t>
      </w:r>
      <w:r>
        <w:tab/>
      </w:r>
      <w:r>
        <w:fldChar w:fldCharType="begin"/>
      </w:r>
      <w:r>
        <w:instrText xml:space="preserve"> PAGEREF _Toc462409212 \h </w:instrText>
      </w:r>
      <w:r>
        <w:fldChar w:fldCharType="separate"/>
      </w:r>
      <w:r>
        <w:t>58</w:t>
      </w:r>
      <w:r>
        <w:fldChar w:fldCharType="end"/>
      </w:r>
    </w:p>
    <w:p>
      <w:pPr>
        <w:pStyle w:val="TOC8"/>
        <w:rPr>
          <w:rFonts w:asciiTheme="minorHAnsi" w:eastAsiaTheme="minorEastAsia" w:hAnsiTheme="minorHAnsi" w:cstheme="minorBidi"/>
          <w:szCs w:val="22"/>
        </w:rPr>
      </w:pPr>
      <w:r>
        <w:t>3.38.</w:t>
      </w:r>
      <w:r>
        <w:tab/>
        <w:t>Terms used</w:t>
      </w:r>
      <w:r>
        <w:tab/>
      </w:r>
      <w:r>
        <w:fldChar w:fldCharType="begin"/>
      </w:r>
      <w:r>
        <w:instrText xml:space="preserve"> PAGEREF _Toc462409213 \h </w:instrText>
      </w:r>
      <w:r>
        <w:fldChar w:fldCharType="separate"/>
      </w:r>
      <w:r>
        <w:t>59</w:t>
      </w:r>
      <w:r>
        <w:fldChar w:fldCharType="end"/>
      </w:r>
    </w:p>
    <w:p>
      <w:pPr>
        <w:pStyle w:val="TOC8"/>
        <w:rPr>
          <w:rFonts w:asciiTheme="minorHAnsi" w:eastAsiaTheme="minorEastAsia" w:hAnsiTheme="minorHAnsi" w:cstheme="minorBidi"/>
          <w:szCs w:val="22"/>
        </w:rPr>
      </w:pPr>
      <w:r>
        <w:t>3.39.</w:t>
      </w:r>
      <w:r>
        <w:tab/>
        <w:t>Power to remove and impound</w:t>
      </w:r>
      <w:r>
        <w:tab/>
      </w:r>
      <w:r>
        <w:fldChar w:fldCharType="begin"/>
      </w:r>
      <w:r>
        <w:instrText xml:space="preserve"> PAGEREF _Toc462409214 \h </w:instrText>
      </w:r>
      <w:r>
        <w:fldChar w:fldCharType="separate"/>
      </w:r>
      <w:r>
        <w:t>59</w:t>
      </w:r>
      <w:r>
        <w:fldChar w:fldCharType="end"/>
      </w:r>
    </w:p>
    <w:p>
      <w:pPr>
        <w:pStyle w:val="TOC8"/>
        <w:rPr>
          <w:rFonts w:asciiTheme="minorHAnsi" w:eastAsiaTheme="minorEastAsia" w:hAnsiTheme="minorHAnsi" w:cstheme="minorBidi"/>
          <w:szCs w:val="22"/>
        </w:rPr>
      </w:pPr>
      <w:r>
        <w:t>3.40.</w:t>
      </w:r>
      <w:r>
        <w:tab/>
        <w:t>Vehicle may be removed if goods to be impounded are in or on vehicle</w:t>
      </w:r>
      <w:r>
        <w:tab/>
      </w:r>
      <w:r>
        <w:fldChar w:fldCharType="begin"/>
      </w:r>
      <w:r>
        <w:instrText xml:space="preserve"> PAGEREF _Toc462409215 \h </w:instrText>
      </w:r>
      <w:r>
        <w:fldChar w:fldCharType="separate"/>
      </w:r>
      <w:r>
        <w:t>59</w:t>
      </w:r>
      <w:r>
        <w:fldChar w:fldCharType="end"/>
      </w:r>
    </w:p>
    <w:p>
      <w:pPr>
        <w:pStyle w:val="TOC8"/>
        <w:rPr>
          <w:rFonts w:asciiTheme="minorHAnsi" w:eastAsiaTheme="minorEastAsia" w:hAnsiTheme="minorHAnsi" w:cstheme="minorBidi"/>
          <w:szCs w:val="22"/>
        </w:rPr>
      </w:pPr>
      <w:r>
        <w:t>3.40A.</w:t>
      </w:r>
      <w:r>
        <w:tab/>
        <w:t>Abandoned vehicle wreck may be taken</w:t>
      </w:r>
      <w:r>
        <w:tab/>
      </w:r>
      <w:r>
        <w:fldChar w:fldCharType="begin"/>
      </w:r>
      <w:r>
        <w:instrText xml:space="preserve"> PAGEREF _Toc462409216 \h </w:instrText>
      </w:r>
      <w:r>
        <w:fldChar w:fldCharType="separate"/>
      </w:r>
      <w:r>
        <w:t>60</w:t>
      </w:r>
      <w:r>
        <w:fldChar w:fldCharType="end"/>
      </w:r>
    </w:p>
    <w:p>
      <w:pPr>
        <w:pStyle w:val="TOC8"/>
        <w:rPr>
          <w:rFonts w:asciiTheme="minorHAnsi" w:eastAsiaTheme="minorEastAsia" w:hAnsiTheme="minorHAnsi" w:cstheme="minorBidi"/>
          <w:szCs w:val="22"/>
        </w:rPr>
      </w:pPr>
      <w:r>
        <w:t>3.41.</w:t>
      </w:r>
      <w:r>
        <w:tab/>
        <w:t>Impounded perishable goods, notice to collect</w:t>
      </w:r>
      <w:r>
        <w:tab/>
      </w:r>
      <w:r>
        <w:fldChar w:fldCharType="begin"/>
      </w:r>
      <w:r>
        <w:instrText xml:space="preserve"> PAGEREF _Toc462409217 \h </w:instrText>
      </w:r>
      <w:r>
        <w:fldChar w:fldCharType="separate"/>
      </w:r>
      <w:r>
        <w:t>61</w:t>
      </w:r>
      <w:r>
        <w:fldChar w:fldCharType="end"/>
      </w:r>
    </w:p>
    <w:p>
      <w:pPr>
        <w:pStyle w:val="TOC8"/>
        <w:rPr>
          <w:rFonts w:asciiTheme="minorHAnsi" w:eastAsiaTheme="minorEastAsia" w:hAnsiTheme="minorHAnsi" w:cstheme="minorBidi"/>
          <w:szCs w:val="22"/>
        </w:rPr>
      </w:pPr>
      <w:r>
        <w:t>3.42.</w:t>
      </w:r>
      <w:r>
        <w:tab/>
        <w:t>Impounded non</w:t>
      </w:r>
      <w:r>
        <w:noBreakHyphen/>
        <w:t>perishable goods</w:t>
      </w:r>
      <w:r>
        <w:tab/>
      </w:r>
      <w:r>
        <w:fldChar w:fldCharType="begin"/>
      </w:r>
      <w:r>
        <w:instrText xml:space="preserve"> PAGEREF _Toc462409218 \h </w:instrText>
      </w:r>
      <w:r>
        <w:fldChar w:fldCharType="separate"/>
      </w:r>
      <w:r>
        <w:t>61</w:t>
      </w:r>
      <w:r>
        <w:fldChar w:fldCharType="end"/>
      </w:r>
    </w:p>
    <w:p>
      <w:pPr>
        <w:pStyle w:val="TOC8"/>
        <w:rPr>
          <w:rFonts w:asciiTheme="minorHAnsi" w:eastAsiaTheme="minorEastAsia" w:hAnsiTheme="minorHAnsi" w:cstheme="minorBidi"/>
          <w:szCs w:val="22"/>
        </w:rPr>
      </w:pPr>
      <w:r>
        <w:t>3.43.</w:t>
      </w:r>
      <w:r>
        <w:tab/>
        <w:t>Impounded non</w:t>
      </w:r>
      <w:r>
        <w:noBreakHyphen/>
        <w:t>perishable goods, court may confiscate</w:t>
      </w:r>
      <w:r>
        <w:tab/>
      </w:r>
      <w:r>
        <w:fldChar w:fldCharType="begin"/>
      </w:r>
      <w:r>
        <w:instrText xml:space="preserve"> PAGEREF _Toc462409219 \h </w:instrText>
      </w:r>
      <w:r>
        <w:fldChar w:fldCharType="separate"/>
      </w:r>
      <w:r>
        <w:t>62</w:t>
      </w:r>
      <w:r>
        <w:fldChar w:fldCharType="end"/>
      </w:r>
    </w:p>
    <w:p>
      <w:pPr>
        <w:pStyle w:val="TOC8"/>
        <w:rPr>
          <w:rFonts w:asciiTheme="minorHAnsi" w:eastAsiaTheme="minorEastAsia" w:hAnsiTheme="minorHAnsi" w:cstheme="minorBidi"/>
          <w:szCs w:val="22"/>
        </w:rPr>
      </w:pPr>
      <w:r>
        <w:t>3.44.</w:t>
      </w:r>
      <w:r>
        <w:tab/>
        <w:t>Notice to collect goods if not confiscated</w:t>
      </w:r>
      <w:r>
        <w:tab/>
      </w:r>
      <w:r>
        <w:fldChar w:fldCharType="begin"/>
      </w:r>
      <w:r>
        <w:instrText xml:space="preserve"> PAGEREF _Toc462409220 \h </w:instrText>
      </w:r>
      <w:r>
        <w:fldChar w:fldCharType="separate"/>
      </w:r>
      <w:r>
        <w:t>62</w:t>
      </w:r>
      <w:r>
        <w:fldChar w:fldCharType="end"/>
      </w:r>
    </w:p>
    <w:p>
      <w:pPr>
        <w:pStyle w:val="TOC8"/>
        <w:rPr>
          <w:rFonts w:asciiTheme="minorHAnsi" w:eastAsiaTheme="minorEastAsia" w:hAnsiTheme="minorHAnsi" w:cstheme="minorBidi"/>
          <w:szCs w:val="22"/>
        </w:rPr>
      </w:pPr>
      <w:r>
        <w:t>3.45.</w:t>
      </w:r>
      <w:r>
        <w:tab/>
        <w:t>Notice to include warning</w:t>
      </w:r>
      <w:r>
        <w:tab/>
      </w:r>
      <w:r>
        <w:fldChar w:fldCharType="begin"/>
      </w:r>
      <w:r>
        <w:instrText xml:space="preserve"> PAGEREF _Toc462409221 \h </w:instrText>
      </w:r>
      <w:r>
        <w:fldChar w:fldCharType="separate"/>
      </w:r>
      <w:r>
        <w:t>62</w:t>
      </w:r>
      <w:r>
        <w:fldChar w:fldCharType="end"/>
      </w:r>
    </w:p>
    <w:p>
      <w:pPr>
        <w:pStyle w:val="TOC8"/>
        <w:rPr>
          <w:rFonts w:asciiTheme="minorHAnsi" w:eastAsiaTheme="minorEastAsia" w:hAnsiTheme="minorHAnsi" w:cstheme="minorBidi"/>
          <w:szCs w:val="22"/>
        </w:rPr>
      </w:pPr>
      <w:r>
        <w:t>3.46.</w:t>
      </w:r>
      <w:r>
        <w:tab/>
        <w:t>Goods may be withheld until costs paid</w:t>
      </w:r>
      <w:r>
        <w:tab/>
      </w:r>
      <w:r>
        <w:fldChar w:fldCharType="begin"/>
      </w:r>
      <w:r>
        <w:instrText xml:space="preserve"> PAGEREF _Toc462409222 \h </w:instrText>
      </w:r>
      <w:r>
        <w:fldChar w:fldCharType="separate"/>
      </w:r>
      <w:r>
        <w:t>62</w:t>
      </w:r>
      <w:r>
        <w:fldChar w:fldCharType="end"/>
      </w:r>
    </w:p>
    <w:p>
      <w:pPr>
        <w:pStyle w:val="TOC8"/>
        <w:rPr>
          <w:rFonts w:asciiTheme="minorHAnsi" w:eastAsiaTheme="minorEastAsia" w:hAnsiTheme="minorHAnsi" w:cstheme="minorBidi"/>
          <w:szCs w:val="22"/>
        </w:rPr>
      </w:pPr>
      <w:r>
        <w:t>3.47.</w:t>
      </w:r>
      <w:r>
        <w:tab/>
        <w:t>Confiscated or uncollected goods, disposal of</w:t>
      </w:r>
      <w:r>
        <w:tab/>
      </w:r>
      <w:r>
        <w:fldChar w:fldCharType="begin"/>
      </w:r>
      <w:r>
        <w:instrText xml:space="preserve"> PAGEREF _Toc462409223 \h </w:instrText>
      </w:r>
      <w:r>
        <w:fldChar w:fldCharType="separate"/>
      </w:r>
      <w:r>
        <w:t>63</w:t>
      </w:r>
      <w:r>
        <w:fldChar w:fldCharType="end"/>
      </w:r>
    </w:p>
    <w:p>
      <w:pPr>
        <w:pStyle w:val="TOC8"/>
        <w:rPr>
          <w:rFonts w:asciiTheme="minorHAnsi" w:eastAsiaTheme="minorEastAsia" w:hAnsiTheme="minorHAnsi" w:cstheme="minorBidi"/>
          <w:szCs w:val="22"/>
        </w:rPr>
      </w:pPr>
      <w:r>
        <w:t>3.47A.</w:t>
      </w:r>
      <w:r>
        <w:tab/>
        <w:t>Sick or injured animals, disposal of</w:t>
      </w:r>
      <w:r>
        <w:tab/>
      </w:r>
      <w:r>
        <w:fldChar w:fldCharType="begin"/>
      </w:r>
      <w:r>
        <w:instrText xml:space="preserve"> PAGEREF _Toc462409224 \h </w:instrText>
      </w:r>
      <w:r>
        <w:fldChar w:fldCharType="separate"/>
      </w:r>
      <w:r>
        <w:t>64</w:t>
      </w:r>
      <w:r>
        <w:fldChar w:fldCharType="end"/>
      </w:r>
    </w:p>
    <w:p>
      <w:pPr>
        <w:pStyle w:val="TOC8"/>
        <w:rPr>
          <w:rFonts w:asciiTheme="minorHAnsi" w:eastAsiaTheme="minorEastAsia" w:hAnsiTheme="minorHAnsi" w:cstheme="minorBidi"/>
          <w:szCs w:val="22"/>
        </w:rPr>
      </w:pPr>
      <w:r>
        <w:t>3.48.</w:t>
      </w:r>
      <w:r>
        <w:tab/>
        <w:t>Impounding expenses, recovery of</w:t>
      </w:r>
      <w:r>
        <w:tab/>
      </w:r>
      <w:r>
        <w:fldChar w:fldCharType="begin"/>
      </w:r>
      <w:r>
        <w:instrText xml:space="preserve"> PAGEREF _Toc462409225 \h </w:instrText>
      </w:r>
      <w:r>
        <w:fldChar w:fldCharType="separate"/>
      </w:r>
      <w:r>
        <w:t>65</w:t>
      </w:r>
      <w:r>
        <w:fldChar w:fldCharType="end"/>
      </w:r>
    </w:p>
    <w:p>
      <w:pPr>
        <w:pStyle w:val="TOC6"/>
        <w:tabs>
          <w:tab w:val="right" w:leader="dot" w:pos="7077"/>
        </w:tabs>
        <w:rPr>
          <w:rFonts w:asciiTheme="minorHAnsi" w:eastAsiaTheme="minorEastAsia" w:hAnsiTheme="minorHAnsi" w:cstheme="minorBidi"/>
          <w:b w:val="0"/>
          <w:sz w:val="22"/>
          <w:szCs w:val="22"/>
        </w:rPr>
      </w:pPr>
      <w:r>
        <w:t>Subdivision 5 — Certain provisions about thoroughfares</w:t>
      </w:r>
    </w:p>
    <w:p>
      <w:pPr>
        <w:pStyle w:val="TOC8"/>
        <w:rPr>
          <w:rFonts w:asciiTheme="minorHAnsi" w:eastAsiaTheme="minorEastAsia" w:hAnsiTheme="minorHAnsi" w:cstheme="minorBidi"/>
          <w:szCs w:val="22"/>
        </w:rPr>
      </w:pPr>
      <w:r>
        <w:t>3.50.</w:t>
      </w:r>
      <w:r>
        <w:tab/>
        <w:t>Closing certain thoroughfares to vehicles</w:t>
      </w:r>
      <w:r>
        <w:tab/>
      </w:r>
      <w:r>
        <w:fldChar w:fldCharType="begin"/>
      </w:r>
      <w:r>
        <w:instrText xml:space="preserve"> PAGEREF _Toc462409227 \h </w:instrText>
      </w:r>
      <w:r>
        <w:fldChar w:fldCharType="separate"/>
      </w:r>
      <w:r>
        <w:t>65</w:t>
      </w:r>
      <w:r>
        <w:fldChar w:fldCharType="end"/>
      </w:r>
    </w:p>
    <w:p>
      <w:pPr>
        <w:pStyle w:val="TOC8"/>
        <w:rPr>
          <w:rFonts w:asciiTheme="minorHAnsi" w:eastAsiaTheme="minorEastAsia" w:hAnsiTheme="minorHAnsi" w:cstheme="minorBidi"/>
          <w:szCs w:val="22"/>
        </w:rPr>
      </w:pPr>
      <w:r>
        <w:t>3.50A.</w:t>
      </w:r>
      <w:r>
        <w:tab/>
        <w:t>Partial closure of thoroughfare for repairs or maintenance</w:t>
      </w:r>
      <w:r>
        <w:tab/>
      </w:r>
      <w:r>
        <w:fldChar w:fldCharType="begin"/>
      </w:r>
      <w:r>
        <w:instrText xml:space="preserve"> PAGEREF _Toc462409228 \h </w:instrText>
      </w:r>
      <w:r>
        <w:fldChar w:fldCharType="separate"/>
      </w:r>
      <w:r>
        <w:t>67</w:t>
      </w:r>
      <w:r>
        <w:fldChar w:fldCharType="end"/>
      </w:r>
    </w:p>
    <w:p>
      <w:pPr>
        <w:pStyle w:val="TOC8"/>
        <w:rPr>
          <w:rFonts w:asciiTheme="minorHAnsi" w:eastAsiaTheme="minorEastAsia" w:hAnsiTheme="minorHAnsi" w:cstheme="minorBidi"/>
          <w:szCs w:val="22"/>
        </w:rPr>
      </w:pPr>
      <w:r>
        <w:t>3.51.</w:t>
      </w:r>
      <w:r>
        <w:tab/>
        <w:t>Affected owners to be notified of certain proposals</w:t>
      </w:r>
      <w:r>
        <w:tab/>
      </w:r>
      <w:r>
        <w:fldChar w:fldCharType="begin"/>
      </w:r>
      <w:r>
        <w:instrText xml:space="preserve"> PAGEREF _Toc462409229 \h </w:instrText>
      </w:r>
      <w:r>
        <w:fldChar w:fldCharType="separate"/>
      </w:r>
      <w:r>
        <w:t>67</w:t>
      </w:r>
      <w:r>
        <w:fldChar w:fldCharType="end"/>
      </w:r>
    </w:p>
    <w:p>
      <w:pPr>
        <w:pStyle w:val="TOC8"/>
        <w:rPr>
          <w:rFonts w:asciiTheme="minorHAnsi" w:eastAsiaTheme="minorEastAsia" w:hAnsiTheme="minorHAnsi" w:cstheme="minorBidi"/>
          <w:szCs w:val="22"/>
        </w:rPr>
      </w:pPr>
      <w:r>
        <w:t>3.52.</w:t>
      </w:r>
      <w:r>
        <w:tab/>
        <w:t>Public access to be maintained and plans kept</w:t>
      </w:r>
      <w:r>
        <w:tab/>
      </w:r>
      <w:r>
        <w:fldChar w:fldCharType="begin"/>
      </w:r>
      <w:r>
        <w:instrText xml:space="preserve"> PAGEREF _Toc462409230 \h </w:instrText>
      </w:r>
      <w:r>
        <w:fldChar w:fldCharType="separate"/>
      </w:r>
      <w:r>
        <w:t>68</w:t>
      </w:r>
      <w:r>
        <w:fldChar w:fldCharType="end"/>
      </w:r>
    </w:p>
    <w:p>
      <w:pPr>
        <w:pStyle w:val="TOC6"/>
        <w:tabs>
          <w:tab w:val="right" w:leader="dot" w:pos="7077"/>
        </w:tabs>
        <w:rPr>
          <w:rFonts w:asciiTheme="minorHAnsi" w:eastAsiaTheme="minorEastAsia" w:hAnsiTheme="minorHAnsi" w:cstheme="minorBidi"/>
          <w:b w:val="0"/>
          <w:sz w:val="22"/>
          <w:szCs w:val="22"/>
        </w:rPr>
      </w:pPr>
      <w:r>
        <w:t>Subdivision 6 — Various executive functions</w:t>
      </w:r>
    </w:p>
    <w:p>
      <w:pPr>
        <w:pStyle w:val="TOC8"/>
        <w:rPr>
          <w:rFonts w:asciiTheme="minorHAnsi" w:eastAsiaTheme="minorEastAsia" w:hAnsiTheme="minorHAnsi" w:cstheme="minorBidi"/>
          <w:szCs w:val="22"/>
        </w:rPr>
      </w:pPr>
      <w:r>
        <w:t>3.53.</w:t>
      </w:r>
      <w:r>
        <w:tab/>
        <w:t>Control of certain unvested facilities</w:t>
      </w:r>
      <w:r>
        <w:tab/>
      </w:r>
      <w:r>
        <w:fldChar w:fldCharType="begin"/>
      </w:r>
      <w:r>
        <w:instrText xml:space="preserve"> PAGEREF _Toc462409232 \h </w:instrText>
      </w:r>
      <w:r>
        <w:fldChar w:fldCharType="separate"/>
      </w:r>
      <w:r>
        <w:t>69</w:t>
      </w:r>
      <w:r>
        <w:fldChar w:fldCharType="end"/>
      </w:r>
    </w:p>
    <w:p>
      <w:pPr>
        <w:pStyle w:val="TOC8"/>
        <w:rPr>
          <w:rFonts w:asciiTheme="minorHAnsi" w:eastAsiaTheme="minorEastAsia" w:hAnsiTheme="minorHAnsi" w:cstheme="minorBidi"/>
          <w:szCs w:val="22"/>
        </w:rPr>
      </w:pPr>
      <w:r>
        <w:t>3.54.</w:t>
      </w:r>
      <w:r>
        <w:tab/>
        <w:t>Reserves under control of local government</w:t>
      </w:r>
      <w:r>
        <w:tab/>
      </w:r>
      <w:r>
        <w:fldChar w:fldCharType="begin"/>
      </w:r>
      <w:r>
        <w:instrText xml:space="preserve"> PAGEREF _Toc462409233 \h </w:instrText>
      </w:r>
      <w:r>
        <w:fldChar w:fldCharType="separate"/>
      </w:r>
      <w:r>
        <w:t>69</w:t>
      </w:r>
      <w:r>
        <w:fldChar w:fldCharType="end"/>
      </w:r>
    </w:p>
    <w:p>
      <w:pPr>
        <w:pStyle w:val="TOC8"/>
        <w:rPr>
          <w:rFonts w:asciiTheme="minorHAnsi" w:eastAsiaTheme="minorEastAsia" w:hAnsiTheme="minorHAnsi" w:cstheme="minorBidi"/>
          <w:szCs w:val="22"/>
        </w:rPr>
      </w:pPr>
      <w:r>
        <w:t>3.55.</w:t>
      </w:r>
      <w:r>
        <w:tab/>
        <w:t>Acquisition</w:t>
      </w:r>
      <w:r>
        <w:rPr>
          <w:spacing w:val="-2"/>
        </w:rPr>
        <w:t xml:space="preserve"> of land</w:t>
      </w:r>
      <w:r>
        <w:tab/>
      </w:r>
      <w:r>
        <w:fldChar w:fldCharType="begin"/>
      </w:r>
      <w:r>
        <w:instrText xml:space="preserve"> PAGEREF _Toc462409234 \h </w:instrText>
      </w:r>
      <w:r>
        <w:fldChar w:fldCharType="separate"/>
      </w:r>
      <w:r>
        <w:t>70</w:t>
      </w:r>
      <w:r>
        <w:fldChar w:fldCharType="end"/>
      </w:r>
    </w:p>
    <w:p>
      <w:pPr>
        <w:pStyle w:val="TOC8"/>
        <w:rPr>
          <w:rFonts w:asciiTheme="minorHAnsi" w:eastAsiaTheme="minorEastAsia" w:hAnsiTheme="minorHAnsi" w:cstheme="minorBidi"/>
          <w:szCs w:val="22"/>
        </w:rPr>
      </w:pPr>
      <w:r>
        <w:t>3.56.</w:t>
      </w:r>
      <w:r>
        <w:tab/>
        <w:t>Tidal waters</w:t>
      </w:r>
      <w:r>
        <w:tab/>
      </w:r>
      <w:r>
        <w:fldChar w:fldCharType="begin"/>
      </w:r>
      <w:r>
        <w:instrText xml:space="preserve"> PAGEREF _Toc462409235 \h </w:instrText>
      </w:r>
      <w:r>
        <w:fldChar w:fldCharType="separate"/>
      </w:r>
      <w:r>
        <w:t>70</w:t>
      </w:r>
      <w:r>
        <w:fldChar w:fldCharType="end"/>
      </w:r>
    </w:p>
    <w:p>
      <w:pPr>
        <w:pStyle w:val="TOC8"/>
        <w:rPr>
          <w:rFonts w:asciiTheme="minorHAnsi" w:eastAsiaTheme="minorEastAsia" w:hAnsiTheme="minorHAnsi" w:cstheme="minorBidi"/>
          <w:szCs w:val="22"/>
        </w:rPr>
      </w:pPr>
      <w:r>
        <w:t>3.57.</w:t>
      </w:r>
      <w:r>
        <w:tab/>
        <w:t>Tenders for providing goods or services</w:t>
      </w:r>
      <w:r>
        <w:tab/>
      </w:r>
      <w:r>
        <w:fldChar w:fldCharType="begin"/>
      </w:r>
      <w:r>
        <w:instrText xml:space="preserve"> PAGEREF _Toc462409236 \h </w:instrText>
      </w:r>
      <w:r>
        <w:fldChar w:fldCharType="separate"/>
      </w:r>
      <w:r>
        <w:t>70</w:t>
      </w:r>
      <w:r>
        <w:fldChar w:fldCharType="end"/>
      </w:r>
    </w:p>
    <w:p>
      <w:pPr>
        <w:pStyle w:val="TOC8"/>
        <w:rPr>
          <w:rFonts w:asciiTheme="minorHAnsi" w:eastAsiaTheme="minorEastAsia" w:hAnsiTheme="minorHAnsi" w:cstheme="minorBidi"/>
          <w:szCs w:val="22"/>
        </w:rPr>
      </w:pPr>
      <w:r>
        <w:t>3.58.</w:t>
      </w:r>
      <w:r>
        <w:tab/>
        <w:t>Disposing of property</w:t>
      </w:r>
      <w:r>
        <w:tab/>
      </w:r>
      <w:r>
        <w:fldChar w:fldCharType="begin"/>
      </w:r>
      <w:r>
        <w:instrText xml:space="preserve"> PAGEREF _Toc462409237 \h </w:instrText>
      </w:r>
      <w:r>
        <w:fldChar w:fldCharType="separate"/>
      </w:r>
      <w:r>
        <w:t>70</w:t>
      </w:r>
      <w:r>
        <w:fldChar w:fldCharType="end"/>
      </w:r>
    </w:p>
    <w:p>
      <w:pPr>
        <w:pStyle w:val="TOC8"/>
        <w:rPr>
          <w:rFonts w:asciiTheme="minorHAnsi" w:eastAsiaTheme="minorEastAsia" w:hAnsiTheme="minorHAnsi" w:cstheme="minorBidi"/>
          <w:szCs w:val="22"/>
        </w:rPr>
      </w:pPr>
      <w:r>
        <w:t>3.59.</w:t>
      </w:r>
      <w:r>
        <w:tab/>
        <w:t>Commercial enterprises by local governments</w:t>
      </w:r>
      <w:r>
        <w:tab/>
      </w:r>
      <w:r>
        <w:fldChar w:fldCharType="begin"/>
      </w:r>
      <w:r>
        <w:instrText xml:space="preserve"> PAGEREF _Toc462409238 \h </w:instrText>
      </w:r>
      <w:r>
        <w:fldChar w:fldCharType="separate"/>
      </w:r>
      <w:r>
        <w:t>72</w:t>
      </w:r>
      <w:r>
        <w:fldChar w:fldCharType="end"/>
      </w:r>
    </w:p>
    <w:p>
      <w:pPr>
        <w:pStyle w:val="TOC8"/>
        <w:rPr>
          <w:rFonts w:asciiTheme="minorHAnsi" w:eastAsiaTheme="minorEastAsia" w:hAnsiTheme="minorHAnsi" w:cstheme="minorBidi"/>
          <w:szCs w:val="22"/>
        </w:rPr>
      </w:pPr>
      <w:r>
        <w:t>3.60.</w:t>
      </w:r>
      <w:r>
        <w:tab/>
        <w:t>No capacity to form or acquire control of body corporate</w:t>
      </w:r>
      <w:r>
        <w:tab/>
      </w:r>
      <w:r>
        <w:fldChar w:fldCharType="begin"/>
      </w:r>
      <w:r>
        <w:instrText xml:space="preserve"> PAGEREF _Toc462409239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4 — Regional local governments</w:t>
      </w:r>
    </w:p>
    <w:p>
      <w:pPr>
        <w:pStyle w:val="TOC8"/>
        <w:rPr>
          <w:rFonts w:asciiTheme="minorHAnsi" w:eastAsiaTheme="minorEastAsia" w:hAnsiTheme="minorHAnsi" w:cstheme="minorBidi"/>
          <w:szCs w:val="22"/>
        </w:rPr>
      </w:pPr>
      <w:r>
        <w:t>3.61.</w:t>
      </w:r>
      <w:r>
        <w:tab/>
        <w:t>Establishing regional local government</w:t>
      </w:r>
      <w:r>
        <w:tab/>
      </w:r>
      <w:r>
        <w:fldChar w:fldCharType="begin"/>
      </w:r>
      <w:r>
        <w:instrText xml:space="preserve"> PAGEREF _Toc462409241 \h </w:instrText>
      </w:r>
      <w:r>
        <w:fldChar w:fldCharType="separate"/>
      </w:r>
      <w:r>
        <w:t>76</w:t>
      </w:r>
      <w:r>
        <w:fldChar w:fldCharType="end"/>
      </w:r>
    </w:p>
    <w:p>
      <w:pPr>
        <w:pStyle w:val="TOC8"/>
        <w:rPr>
          <w:rFonts w:asciiTheme="minorHAnsi" w:eastAsiaTheme="minorEastAsia" w:hAnsiTheme="minorHAnsi" w:cstheme="minorBidi"/>
          <w:szCs w:val="22"/>
        </w:rPr>
      </w:pPr>
      <w:r>
        <w:t>3.62.</w:t>
      </w:r>
      <w:r>
        <w:tab/>
        <w:t>Constitution and purpose of regional local government</w:t>
      </w:r>
      <w:r>
        <w:tab/>
      </w:r>
      <w:r>
        <w:fldChar w:fldCharType="begin"/>
      </w:r>
      <w:r>
        <w:instrText xml:space="preserve"> PAGEREF _Toc462409242 \h </w:instrText>
      </w:r>
      <w:r>
        <w:fldChar w:fldCharType="separate"/>
      </w:r>
      <w:r>
        <w:t>76</w:t>
      </w:r>
      <w:r>
        <w:fldChar w:fldCharType="end"/>
      </w:r>
    </w:p>
    <w:p>
      <w:pPr>
        <w:pStyle w:val="TOC8"/>
        <w:rPr>
          <w:rFonts w:asciiTheme="minorHAnsi" w:eastAsiaTheme="minorEastAsia" w:hAnsiTheme="minorHAnsi" w:cstheme="minorBidi"/>
          <w:szCs w:val="22"/>
        </w:rPr>
      </w:pPr>
      <w:r>
        <w:t>3.63.</w:t>
      </w:r>
      <w:r>
        <w:tab/>
        <w:t>Dissolution or partial dissolution of regional local government</w:t>
      </w:r>
      <w:r>
        <w:tab/>
      </w:r>
      <w:r>
        <w:fldChar w:fldCharType="begin"/>
      </w:r>
      <w:r>
        <w:instrText xml:space="preserve"> PAGEREF _Toc462409243 \h </w:instrText>
      </w:r>
      <w:r>
        <w:fldChar w:fldCharType="separate"/>
      </w:r>
      <w:r>
        <w:t>77</w:t>
      </w:r>
      <w:r>
        <w:fldChar w:fldCharType="end"/>
      </w:r>
    </w:p>
    <w:p>
      <w:pPr>
        <w:pStyle w:val="TOC8"/>
        <w:rPr>
          <w:rFonts w:asciiTheme="minorHAnsi" w:eastAsiaTheme="minorEastAsia" w:hAnsiTheme="minorHAnsi" w:cstheme="minorBidi"/>
          <w:szCs w:val="22"/>
        </w:rPr>
      </w:pPr>
      <w:r>
        <w:t>3.64.</w:t>
      </w:r>
      <w:r>
        <w:tab/>
        <w:t>Establishment agreement, what it must contain</w:t>
      </w:r>
      <w:r>
        <w:tab/>
      </w:r>
      <w:r>
        <w:fldChar w:fldCharType="begin"/>
      </w:r>
      <w:r>
        <w:instrText xml:space="preserve"> PAGEREF _Toc462409244 \h </w:instrText>
      </w:r>
      <w:r>
        <w:fldChar w:fldCharType="separate"/>
      </w:r>
      <w:r>
        <w:t>77</w:t>
      </w:r>
      <w:r>
        <w:fldChar w:fldCharType="end"/>
      </w:r>
    </w:p>
    <w:p>
      <w:pPr>
        <w:pStyle w:val="TOC8"/>
        <w:rPr>
          <w:rFonts w:asciiTheme="minorHAnsi" w:eastAsiaTheme="minorEastAsia" w:hAnsiTheme="minorHAnsi" w:cstheme="minorBidi"/>
          <w:szCs w:val="22"/>
        </w:rPr>
      </w:pPr>
      <w:r>
        <w:t>3.65.</w:t>
      </w:r>
      <w:r>
        <w:tab/>
        <w:t>Establishment agreement, amendment of</w:t>
      </w:r>
      <w:r>
        <w:tab/>
      </w:r>
      <w:r>
        <w:fldChar w:fldCharType="begin"/>
      </w:r>
      <w:r>
        <w:instrText xml:space="preserve"> PAGEREF _Toc462409245 \h </w:instrText>
      </w:r>
      <w:r>
        <w:fldChar w:fldCharType="separate"/>
      </w:r>
      <w:r>
        <w:t>78</w:t>
      </w:r>
      <w:r>
        <w:fldChar w:fldCharType="end"/>
      </w:r>
    </w:p>
    <w:p>
      <w:pPr>
        <w:pStyle w:val="TOC8"/>
        <w:rPr>
          <w:rFonts w:asciiTheme="minorHAnsi" w:eastAsiaTheme="minorEastAsia" w:hAnsiTheme="minorHAnsi" w:cstheme="minorBidi"/>
          <w:szCs w:val="22"/>
        </w:rPr>
      </w:pPr>
      <w:r>
        <w:t>3.66.</w:t>
      </w:r>
      <w:r>
        <w:tab/>
        <w:t>Application of enabling Acts to regional local government</w:t>
      </w:r>
      <w:r>
        <w:tab/>
      </w:r>
      <w:r>
        <w:fldChar w:fldCharType="begin"/>
      </w:r>
      <w:r>
        <w:instrText xml:space="preserve"> PAGEREF _Toc462409246 \h </w:instrText>
      </w:r>
      <w:r>
        <w:fldChar w:fldCharType="separate"/>
      </w:r>
      <w:r>
        <w:t>79</w:t>
      </w:r>
      <w:r>
        <w:fldChar w:fldCharType="end"/>
      </w:r>
    </w:p>
    <w:p>
      <w:pPr>
        <w:pStyle w:val="TOC8"/>
        <w:rPr>
          <w:rFonts w:asciiTheme="minorHAnsi" w:eastAsiaTheme="minorEastAsia" w:hAnsiTheme="minorHAnsi" w:cstheme="minorBidi"/>
          <w:szCs w:val="22"/>
        </w:rPr>
      </w:pPr>
      <w:r>
        <w:t>3.67.</w:t>
      </w:r>
      <w:r>
        <w:tab/>
        <w:t>Inconsistency between regional and other local laws</w:t>
      </w:r>
      <w:r>
        <w:tab/>
      </w:r>
      <w:r>
        <w:fldChar w:fldCharType="begin"/>
      </w:r>
      <w:r>
        <w:instrText xml:space="preserve"> PAGEREF _Toc462409247 \h </w:instrText>
      </w:r>
      <w:r>
        <w:fldChar w:fldCharType="separate"/>
      </w:r>
      <w:r>
        <w:t>79</w:t>
      </w:r>
      <w:r>
        <w:fldChar w:fldCharType="end"/>
      </w:r>
    </w:p>
    <w:p>
      <w:pPr>
        <w:pStyle w:val="TOC8"/>
        <w:rPr>
          <w:rFonts w:asciiTheme="minorHAnsi" w:eastAsiaTheme="minorEastAsia" w:hAnsiTheme="minorHAnsi" w:cstheme="minorBidi"/>
          <w:szCs w:val="22"/>
        </w:rPr>
      </w:pPr>
      <w:r>
        <w:t>3.68.</w:t>
      </w:r>
      <w:r>
        <w:tab/>
        <w:t>Other arrangements not affected</w:t>
      </w:r>
      <w:r>
        <w:tab/>
      </w:r>
      <w:r>
        <w:fldChar w:fldCharType="begin"/>
      </w:r>
      <w:r>
        <w:instrText xml:space="preserve"> PAGEREF _Toc462409248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Part 4 — Elections and other polls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4.1.</w:t>
      </w:r>
      <w:r>
        <w:tab/>
        <w:t>Terms used</w:t>
      </w:r>
      <w:r>
        <w:tab/>
      </w:r>
      <w:r>
        <w:fldChar w:fldCharType="begin"/>
      </w:r>
      <w:r>
        <w:instrText xml:space="preserve"> PAGEREF _Toc462409251 \h </w:instrText>
      </w:r>
      <w:r>
        <w:fldChar w:fldCharType="separate"/>
      </w:r>
      <w:r>
        <w:t>81</w:t>
      </w:r>
      <w:r>
        <w:fldChar w:fldCharType="end"/>
      </w:r>
    </w:p>
    <w:p>
      <w:pPr>
        <w:pStyle w:val="TOC8"/>
        <w:rPr>
          <w:rFonts w:asciiTheme="minorHAnsi" w:eastAsiaTheme="minorEastAsia" w:hAnsiTheme="minorHAnsi" w:cstheme="minorBidi"/>
          <w:szCs w:val="22"/>
        </w:rPr>
      </w:pPr>
      <w:r>
        <w:t>4.1A.</w:t>
      </w:r>
      <w:r>
        <w:tab/>
        <w:t>Conflict with Commonwealth or State election or referendum</w:t>
      </w:r>
      <w:r>
        <w:tab/>
      </w:r>
      <w:r>
        <w:fldChar w:fldCharType="begin"/>
      </w:r>
      <w:r>
        <w:instrText xml:space="preserve"> PAGEREF _Toc462409252 \h </w:instrText>
      </w:r>
      <w:r>
        <w:fldChar w:fldCharType="separate"/>
      </w:r>
      <w:r>
        <w:t>82</w:t>
      </w:r>
      <w:r>
        <w:fldChar w:fldCharType="end"/>
      </w:r>
    </w:p>
    <w:p>
      <w:pPr>
        <w:pStyle w:val="TOC8"/>
        <w:rPr>
          <w:rFonts w:asciiTheme="minorHAnsi" w:eastAsiaTheme="minorEastAsia" w:hAnsiTheme="minorHAnsi" w:cstheme="minorBidi"/>
          <w:szCs w:val="22"/>
        </w:rPr>
      </w:pPr>
      <w:r>
        <w:t>4.1B.</w:t>
      </w:r>
      <w:r>
        <w:tab/>
        <w:t>Polling day may be changed where conflict with Commonwealth or State election or referendum</w:t>
      </w:r>
      <w:r>
        <w:tab/>
      </w:r>
      <w:r>
        <w:fldChar w:fldCharType="begin"/>
      </w:r>
      <w:r>
        <w:instrText xml:space="preserve"> PAGEREF _Toc462409253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2 — Inaugural elections</w:t>
      </w:r>
    </w:p>
    <w:p>
      <w:pPr>
        <w:pStyle w:val="TOC8"/>
        <w:rPr>
          <w:rFonts w:asciiTheme="minorHAnsi" w:eastAsiaTheme="minorEastAsia" w:hAnsiTheme="minorHAnsi" w:cstheme="minorBidi"/>
          <w:szCs w:val="22"/>
        </w:rPr>
      </w:pPr>
      <w:r>
        <w:t>4.2.</w:t>
      </w:r>
      <w:r>
        <w:tab/>
        <w:t>Inaugural elections</w:t>
      </w:r>
      <w:r>
        <w:tab/>
      </w:r>
      <w:r>
        <w:fldChar w:fldCharType="begin"/>
      </w:r>
      <w:r>
        <w:instrText xml:space="preserve"> PAGEREF _Toc462409255 \h </w:instrText>
      </w:r>
      <w:r>
        <w:fldChar w:fldCharType="separate"/>
      </w:r>
      <w:r>
        <w:t>83</w:t>
      </w:r>
      <w:r>
        <w:fldChar w:fldCharType="end"/>
      </w:r>
    </w:p>
    <w:p>
      <w:pPr>
        <w:pStyle w:val="TOC8"/>
        <w:rPr>
          <w:rFonts w:asciiTheme="minorHAnsi" w:eastAsiaTheme="minorEastAsia" w:hAnsiTheme="minorHAnsi" w:cstheme="minorBidi"/>
          <w:szCs w:val="22"/>
        </w:rPr>
      </w:pPr>
      <w:r>
        <w:t>4.3.</w:t>
      </w:r>
      <w:r>
        <w:tab/>
        <w:t>Polling day for inaugural election</w:t>
      </w:r>
      <w:r>
        <w:tab/>
      </w:r>
      <w:r>
        <w:fldChar w:fldCharType="begin"/>
      </w:r>
      <w:r>
        <w:instrText xml:space="preserve"> PAGEREF _Toc462409256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3 — Ordinary elections</w:t>
      </w:r>
    </w:p>
    <w:p>
      <w:pPr>
        <w:pStyle w:val="TOC8"/>
        <w:rPr>
          <w:rFonts w:asciiTheme="minorHAnsi" w:eastAsiaTheme="minorEastAsia" w:hAnsiTheme="minorHAnsi" w:cstheme="minorBidi"/>
          <w:szCs w:val="22"/>
        </w:rPr>
      </w:pPr>
      <w:r>
        <w:t>4.4.</w:t>
      </w:r>
      <w:r>
        <w:tab/>
        <w:t>Ordinary elections</w:t>
      </w:r>
      <w:r>
        <w:tab/>
      </w:r>
      <w:r>
        <w:fldChar w:fldCharType="begin"/>
      </w:r>
      <w:r>
        <w:instrText xml:space="preserve"> PAGEREF _Toc462409258 \h </w:instrText>
      </w:r>
      <w:r>
        <w:fldChar w:fldCharType="separate"/>
      </w:r>
      <w:r>
        <w:t>84</w:t>
      </w:r>
      <w:r>
        <w:fldChar w:fldCharType="end"/>
      </w:r>
    </w:p>
    <w:p>
      <w:pPr>
        <w:pStyle w:val="TOC8"/>
        <w:rPr>
          <w:rFonts w:asciiTheme="minorHAnsi" w:eastAsiaTheme="minorEastAsia" w:hAnsiTheme="minorHAnsi" w:cstheme="minorBidi"/>
          <w:szCs w:val="22"/>
        </w:rPr>
      </w:pPr>
      <w:r>
        <w:t>4.5.</w:t>
      </w:r>
      <w:r>
        <w:tab/>
        <w:t>Frequency of ordinary elections</w:t>
      </w:r>
      <w:r>
        <w:tab/>
      </w:r>
      <w:r>
        <w:fldChar w:fldCharType="begin"/>
      </w:r>
      <w:r>
        <w:instrText xml:space="preserve"> PAGEREF _Toc462409259 \h </w:instrText>
      </w:r>
      <w:r>
        <w:fldChar w:fldCharType="separate"/>
      </w:r>
      <w:r>
        <w:t>84</w:t>
      </w:r>
      <w:r>
        <w:fldChar w:fldCharType="end"/>
      </w:r>
    </w:p>
    <w:p>
      <w:pPr>
        <w:pStyle w:val="TOC8"/>
        <w:rPr>
          <w:rFonts w:asciiTheme="minorHAnsi" w:eastAsiaTheme="minorEastAsia" w:hAnsiTheme="minorHAnsi" w:cstheme="minorBidi"/>
          <w:szCs w:val="22"/>
        </w:rPr>
      </w:pPr>
      <w:r>
        <w:t>4.6.</w:t>
      </w:r>
      <w:r>
        <w:tab/>
        <w:t>Election day for ordinary elections</w:t>
      </w:r>
      <w:r>
        <w:tab/>
      </w:r>
      <w:r>
        <w:fldChar w:fldCharType="begin"/>
      </w:r>
      <w:r>
        <w:instrText xml:space="preserve"> PAGEREF _Toc462409260 \h </w:instrText>
      </w:r>
      <w:r>
        <w:fldChar w:fldCharType="separate"/>
      </w:r>
      <w:r>
        <w:t>84</w:t>
      </w:r>
      <w:r>
        <w:fldChar w:fldCharType="end"/>
      </w:r>
    </w:p>
    <w:p>
      <w:pPr>
        <w:pStyle w:val="TOC8"/>
        <w:rPr>
          <w:rFonts w:asciiTheme="minorHAnsi" w:eastAsiaTheme="minorEastAsia" w:hAnsiTheme="minorHAnsi" w:cstheme="minorBidi"/>
          <w:szCs w:val="22"/>
        </w:rPr>
      </w:pPr>
      <w:r>
        <w:t>4.7.</w:t>
      </w:r>
      <w:r>
        <w:tab/>
        <w:t>Ordinary elections day usually third Saturday in October</w:t>
      </w:r>
      <w:r>
        <w:tab/>
      </w:r>
      <w:r>
        <w:fldChar w:fldCharType="begin"/>
      </w:r>
      <w:r>
        <w:instrText xml:space="preserve"> PAGEREF _Toc462409261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Division 4 — Extraordinary elections</w:t>
      </w:r>
    </w:p>
    <w:p>
      <w:pPr>
        <w:pStyle w:val="TOC8"/>
        <w:rPr>
          <w:rFonts w:asciiTheme="minorHAnsi" w:eastAsiaTheme="minorEastAsia" w:hAnsiTheme="minorHAnsi" w:cstheme="minorBidi"/>
          <w:szCs w:val="22"/>
        </w:rPr>
      </w:pPr>
      <w:r>
        <w:t>4.8.</w:t>
      </w:r>
      <w:r>
        <w:tab/>
        <w:t>Extraordinary elections</w:t>
      </w:r>
      <w:r>
        <w:tab/>
      </w:r>
      <w:r>
        <w:fldChar w:fldCharType="begin"/>
      </w:r>
      <w:r>
        <w:instrText xml:space="preserve"> PAGEREF _Toc462409263 \h </w:instrText>
      </w:r>
      <w:r>
        <w:fldChar w:fldCharType="separate"/>
      </w:r>
      <w:r>
        <w:t>85</w:t>
      </w:r>
      <w:r>
        <w:fldChar w:fldCharType="end"/>
      </w:r>
    </w:p>
    <w:p>
      <w:pPr>
        <w:pStyle w:val="TOC8"/>
        <w:rPr>
          <w:rFonts w:asciiTheme="minorHAnsi" w:eastAsiaTheme="minorEastAsia" w:hAnsiTheme="minorHAnsi" w:cstheme="minorBidi"/>
          <w:szCs w:val="22"/>
        </w:rPr>
      </w:pPr>
      <w:r>
        <w:t>4.9.</w:t>
      </w:r>
      <w:r>
        <w:tab/>
        <w:t>Election day for extraordinary election</w:t>
      </w:r>
      <w:r>
        <w:tab/>
      </w:r>
      <w:r>
        <w:fldChar w:fldCharType="begin"/>
      </w:r>
      <w:r>
        <w:instrText xml:space="preserve"> PAGEREF _Toc462409264 \h </w:instrText>
      </w:r>
      <w:r>
        <w:fldChar w:fldCharType="separate"/>
      </w:r>
      <w:r>
        <w:t>86</w:t>
      </w:r>
      <w:r>
        <w:fldChar w:fldCharType="end"/>
      </w:r>
    </w:p>
    <w:p>
      <w:pPr>
        <w:pStyle w:val="TOC8"/>
        <w:rPr>
          <w:rFonts w:asciiTheme="minorHAnsi" w:eastAsiaTheme="minorEastAsia" w:hAnsiTheme="minorHAnsi" w:cstheme="minorBidi"/>
          <w:szCs w:val="22"/>
        </w:rPr>
      </w:pPr>
      <w:r>
        <w:t>4.10.</w:t>
      </w:r>
      <w:r>
        <w:tab/>
        <w:t>Extraordinary election can be held before resignation has taken effect</w:t>
      </w:r>
      <w:r>
        <w:tab/>
      </w:r>
      <w:r>
        <w:fldChar w:fldCharType="begin"/>
      </w:r>
      <w:r>
        <w:instrText xml:space="preserve"> PAGEREF _Toc462409265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5 — Other elections</w:t>
      </w:r>
    </w:p>
    <w:p>
      <w:pPr>
        <w:pStyle w:val="TOC8"/>
        <w:rPr>
          <w:rFonts w:asciiTheme="minorHAnsi" w:eastAsiaTheme="minorEastAsia" w:hAnsiTheme="minorHAnsi" w:cstheme="minorBidi"/>
          <w:szCs w:val="22"/>
        </w:rPr>
      </w:pPr>
      <w:r>
        <w:t>4.11.</w:t>
      </w:r>
      <w:r>
        <w:tab/>
        <w:t>Elections after restructure of districts, wards or membership</w:t>
      </w:r>
      <w:r>
        <w:tab/>
      </w:r>
      <w:r>
        <w:fldChar w:fldCharType="begin"/>
      </w:r>
      <w:r>
        <w:instrText xml:space="preserve"> PAGEREF _Toc462409267 \h </w:instrText>
      </w:r>
      <w:r>
        <w:fldChar w:fldCharType="separate"/>
      </w:r>
      <w:r>
        <w:t>87</w:t>
      </w:r>
      <w:r>
        <w:fldChar w:fldCharType="end"/>
      </w:r>
    </w:p>
    <w:p>
      <w:pPr>
        <w:pStyle w:val="TOC8"/>
        <w:rPr>
          <w:rFonts w:asciiTheme="minorHAnsi" w:eastAsiaTheme="minorEastAsia" w:hAnsiTheme="minorHAnsi" w:cstheme="minorBidi"/>
          <w:szCs w:val="22"/>
        </w:rPr>
      </w:pPr>
      <w:r>
        <w:t>4.12.</w:t>
      </w:r>
      <w:r>
        <w:tab/>
        <w:t>Elections after reinstatement of council</w:t>
      </w:r>
      <w:r>
        <w:tab/>
      </w:r>
      <w:r>
        <w:fldChar w:fldCharType="begin"/>
      </w:r>
      <w:r>
        <w:instrText xml:space="preserve"> PAGEREF _Toc462409268 \h </w:instrText>
      </w:r>
      <w:r>
        <w:fldChar w:fldCharType="separate"/>
      </w:r>
      <w:r>
        <w:t>87</w:t>
      </w:r>
      <w:r>
        <w:fldChar w:fldCharType="end"/>
      </w:r>
    </w:p>
    <w:p>
      <w:pPr>
        <w:pStyle w:val="TOC8"/>
        <w:rPr>
          <w:rFonts w:asciiTheme="minorHAnsi" w:eastAsiaTheme="minorEastAsia" w:hAnsiTheme="minorHAnsi" w:cstheme="minorBidi"/>
          <w:szCs w:val="22"/>
        </w:rPr>
      </w:pPr>
      <w:r>
        <w:t>4.13.</w:t>
      </w:r>
      <w:r>
        <w:tab/>
        <w:t>Elections after all members’ offices become vacant</w:t>
      </w:r>
      <w:r>
        <w:tab/>
      </w:r>
      <w:r>
        <w:fldChar w:fldCharType="begin"/>
      </w:r>
      <w:r>
        <w:instrText xml:space="preserve"> PAGEREF _Toc462409269 \h </w:instrText>
      </w:r>
      <w:r>
        <w:fldChar w:fldCharType="separate"/>
      </w:r>
      <w:r>
        <w:t>87</w:t>
      </w:r>
      <w:r>
        <w:fldChar w:fldCharType="end"/>
      </w:r>
    </w:p>
    <w:p>
      <w:pPr>
        <w:pStyle w:val="TOC8"/>
        <w:rPr>
          <w:rFonts w:asciiTheme="minorHAnsi" w:eastAsiaTheme="minorEastAsia" w:hAnsiTheme="minorHAnsi" w:cstheme="minorBidi"/>
          <w:szCs w:val="22"/>
        </w:rPr>
      </w:pPr>
      <w:r>
        <w:t>4.14.</w:t>
      </w:r>
      <w:r>
        <w:tab/>
        <w:t>Elections after council is dismissed</w:t>
      </w:r>
      <w:r>
        <w:tab/>
      </w:r>
      <w:r>
        <w:fldChar w:fldCharType="begin"/>
      </w:r>
      <w:r>
        <w:instrText xml:space="preserve"> PAGEREF _Toc462409270 \h </w:instrText>
      </w:r>
      <w:r>
        <w:fldChar w:fldCharType="separate"/>
      </w:r>
      <w:r>
        <w:t>87</w:t>
      </w:r>
      <w:r>
        <w:fldChar w:fldCharType="end"/>
      </w:r>
    </w:p>
    <w:p>
      <w:pPr>
        <w:pStyle w:val="TOC8"/>
        <w:rPr>
          <w:rFonts w:asciiTheme="minorHAnsi" w:eastAsiaTheme="minorEastAsia" w:hAnsiTheme="minorHAnsi" w:cstheme="minorBidi"/>
          <w:szCs w:val="22"/>
        </w:rPr>
      </w:pPr>
      <w:r>
        <w:t>4.15.</w:t>
      </w:r>
      <w:r>
        <w:tab/>
        <w:t>Fresh election after election declared invalid</w:t>
      </w:r>
      <w:r>
        <w:tab/>
      </w:r>
      <w:r>
        <w:fldChar w:fldCharType="begin"/>
      </w:r>
      <w:r>
        <w:instrText xml:space="preserve"> PAGEREF _Toc462409271 \h </w:instrText>
      </w:r>
      <w:r>
        <w:fldChar w:fldCharType="separate"/>
      </w:r>
      <w:r>
        <w:t>87</w:t>
      </w:r>
      <w:r>
        <w:fldChar w:fldCharType="end"/>
      </w:r>
    </w:p>
    <w:p>
      <w:pPr>
        <w:pStyle w:val="TOC4"/>
        <w:tabs>
          <w:tab w:val="right" w:leader="dot" w:pos="7077"/>
        </w:tabs>
        <w:rPr>
          <w:rFonts w:asciiTheme="minorHAnsi" w:eastAsiaTheme="minorEastAsia" w:hAnsiTheme="minorHAnsi" w:cstheme="minorBidi"/>
          <w:b w:val="0"/>
          <w:szCs w:val="22"/>
        </w:rPr>
      </w:pPr>
      <w:r>
        <w:t>Division 6 — Postponement and consolidation of elections</w:t>
      </w:r>
    </w:p>
    <w:p>
      <w:pPr>
        <w:pStyle w:val="TOC8"/>
        <w:rPr>
          <w:rFonts w:asciiTheme="minorHAnsi" w:eastAsiaTheme="minorEastAsia" w:hAnsiTheme="minorHAnsi" w:cstheme="minorBidi"/>
          <w:szCs w:val="22"/>
        </w:rPr>
      </w:pPr>
      <w:r>
        <w:t>4.16.</w:t>
      </w:r>
      <w:r>
        <w:tab/>
        <w:t>Postponement of elections to allow consolidation</w:t>
      </w:r>
      <w:r>
        <w:tab/>
      </w:r>
      <w:r>
        <w:fldChar w:fldCharType="begin"/>
      </w:r>
      <w:r>
        <w:instrText xml:space="preserve"> PAGEREF _Toc462409273 \h </w:instrText>
      </w:r>
      <w:r>
        <w:fldChar w:fldCharType="separate"/>
      </w:r>
      <w:r>
        <w:t>88</w:t>
      </w:r>
      <w:r>
        <w:fldChar w:fldCharType="end"/>
      </w:r>
    </w:p>
    <w:p>
      <w:pPr>
        <w:pStyle w:val="TOC8"/>
        <w:rPr>
          <w:rFonts w:asciiTheme="minorHAnsi" w:eastAsiaTheme="minorEastAsia" w:hAnsiTheme="minorHAnsi" w:cstheme="minorBidi"/>
          <w:szCs w:val="22"/>
        </w:rPr>
      </w:pPr>
      <w:r>
        <w:t>4.17.</w:t>
      </w:r>
      <w:r>
        <w:tab/>
        <w:t>Cases in which vacant offices can remain unfilled</w:t>
      </w:r>
      <w:r>
        <w:tab/>
      </w:r>
      <w:r>
        <w:fldChar w:fldCharType="begin"/>
      </w:r>
      <w:r>
        <w:instrText xml:space="preserve"> PAGEREF _Toc462409274 \h </w:instrText>
      </w:r>
      <w:r>
        <w:fldChar w:fldCharType="separate"/>
      </w:r>
      <w:r>
        <w:t>89</w:t>
      </w:r>
      <w:r>
        <w:fldChar w:fldCharType="end"/>
      </w:r>
    </w:p>
    <w:p>
      <w:pPr>
        <w:pStyle w:val="TOC8"/>
        <w:rPr>
          <w:rFonts w:asciiTheme="minorHAnsi" w:eastAsiaTheme="minorEastAsia" w:hAnsiTheme="minorHAnsi" w:cstheme="minorBidi"/>
          <w:szCs w:val="22"/>
        </w:rPr>
      </w:pPr>
      <w:r>
        <w:t>4.18.</w:t>
      </w:r>
      <w:r>
        <w:tab/>
        <w:t>Certain elections to be held as one</w:t>
      </w:r>
      <w:r>
        <w:tab/>
      </w:r>
      <w:r>
        <w:fldChar w:fldCharType="begin"/>
      </w:r>
      <w:r>
        <w:instrText xml:space="preserve"> PAGEREF _Toc462409275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Division 7 — Provisions about electoral officers and the conduct of elections</w:t>
      </w:r>
    </w:p>
    <w:p>
      <w:pPr>
        <w:pStyle w:val="TOC8"/>
        <w:rPr>
          <w:rFonts w:asciiTheme="minorHAnsi" w:eastAsiaTheme="minorEastAsia" w:hAnsiTheme="minorHAnsi" w:cstheme="minorBidi"/>
          <w:szCs w:val="22"/>
        </w:rPr>
      </w:pPr>
      <w:r>
        <w:t>4.19.</w:t>
      </w:r>
      <w:r>
        <w:tab/>
        <w:t>Returning officer</w:t>
      </w:r>
      <w:r>
        <w:tab/>
      </w:r>
      <w:r>
        <w:fldChar w:fldCharType="begin"/>
      </w:r>
      <w:r>
        <w:instrText xml:space="preserve"> PAGEREF _Toc462409277 \h </w:instrText>
      </w:r>
      <w:r>
        <w:fldChar w:fldCharType="separate"/>
      </w:r>
      <w:r>
        <w:t>90</w:t>
      </w:r>
      <w:r>
        <w:fldChar w:fldCharType="end"/>
      </w:r>
    </w:p>
    <w:p>
      <w:pPr>
        <w:pStyle w:val="TOC8"/>
        <w:rPr>
          <w:rFonts w:asciiTheme="minorHAnsi" w:eastAsiaTheme="minorEastAsia" w:hAnsiTheme="minorHAnsi" w:cstheme="minorBidi"/>
          <w:szCs w:val="22"/>
        </w:rPr>
      </w:pPr>
      <w:r>
        <w:t>4.20.</w:t>
      </w:r>
      <w:r>
        <w:tab/>
        <w:t>CEO to be returning officer unless other arrangements made</w:t>
      </w:r>
      <w:r>
        <w:tab/>
      </w:r>
      <w:r>
        <w:fldChar w:fldCharType="begin"/>
      </w:r>
      <w:r>
        <w:instrText xml:space="preserve"> PAGEREF _Toc462409278 \h </w:instrText>
      </w:r>
      <w:r>
        <w:fldChar w:fldCharType="separate"/>
      </w:r>
      <w:r>
        <w:t>91</w:t>
      </w:r>
      <w:r>
        <w:fldChar w:fldCharType="end"/>
      </w:r>
    </w:p>
    <w:p>
      <w:pPr>
        <w:pStyle w:val="TOC8"/>
        <w:rPr>
          <w:rFonts w:asciiTheme="minorHAnsi" w:eastAsiaTheme="minorEastAsia" w:hAnsiTheme="minorHAnsi" w:cstheme="minorBidi"/>
          <w:szCs w:val="22"/>
        </w:rPr>
      </w:pPr>
      <w:r>
        <w:t>4.21.</w:t>
      </w:r>
      <w:r>
        <w:tab/>
        <w:t>Deputy returning officers</w:t>
      </w:r>
      <w:r>
        <w:tab/>
      </w:r>
      <w:r>
        <w:fldChar w:fldCharType="begin"/>
      </w:r>
      <w:r>
        <w:instrText xml:space="preserve"> PAGEREF _Toc462409279 \h </w:instrText>
      </w:r>
      <w:r>
        <w:fldChar w:fldCharType="separate"/>
      </w:r>
      <w:r>
        <w:t>92</w:t>
      </w:r>
      <w:r>
        <w:fldChar w:fldCharType="end"/>
      </w:r>
    </w:p>
    <w:p>
      <w:pPr>
        <w:pStyle w:val="TOC8"/>
        <w:rPr>
          <w:rFonts w:asciiTheme="minorHAnsi" w:eastAsiaTheme="minorEastAsia" w:hAnsiTheme="minorHAnsi" w:cstheme="minorBidi"/>
          <w:szCs w:val="22"/>
        </w:rPr>
      </w:pPr>
      <w:r>
        <w:t>4.22.</w:t>
      </w:r>
      <w:r>
        <w:tab/>
        <w:t>Returning officer to conduct elections</w:t>
      </w:r>
      <w:r>
        <w:tab/>
      </w:r>
      <w:r>
        <w:fldChar w:fldCharType="begin"/>
      </w:r>
      <w:r>
        <w:instrText xml:space="preserve"> PAGEREF _Toc462409280 \h </w:instrText>
      </w:r>
      <w:r>
        <w:fldChar w:fldCharType="separate"/>
      </w:r>
      <w:r>
        <w:t>92</w:t>
      </w:r>
      <w:r>
        <w:fldChar w:fldCharType="end"/>
      </w:r>
    </w:p>
    <w:p>
      <w:pPr>
        <w:pStyle w:val="TOC8"/>
        <w:rPr>
          <w:rFonts w:asciiTheme="minorHAnsi" w:eastAsiaTheme="minorEastAsia" w:hAnsiTheme="minorHAnsi" w:cstheme="minorBidi"/>
          <w:szCs w:val="22"/>
        </w:rPr>
      </w:pPr>
      <w:r>
        <w:t>4.23.</w:t>
      </w:r>
      <w:r>
        <w:tab/>
        <w:t>Returning officer’s functions</w:t>
      </w:r>
      <w:r>
        <w:tab/>
      </w:r>
      <w:r>
        <w:fldChar w:fldCharType="begin"/>
      </w:r>
      <w:r>
        <w:instrText xml:space="preserve"> PAGEREF _Toc462409281 \h </w:instrText>
      </w:r>
      <w:r>
        <w:fldChar w:fldCharType="separate"/>
      </w:r>
      <w:r>
        <w:t>92</w:t>
      </w:r>
      <w:r>
        <w:fldChar w:fldCharType="end"/>
      </w:r>
    </w:p>
    <w:p>
      <w:pPr>
        <w:pStyle w:val="TOC8"/>
        <w:rPr>
          <w:rFonts w:asciiTheme="minorHAnsi" w:eastAsiaTheme="minorEastAsia" w:hAnsiTheme="minorHAnsi" w:cstheme="minorBidi"/>
          <w:szCs w:val="22"/>
        </w:rPr>
      </w:pPr>
      <w:r>
        <w:t>4.24.</w:t>
      </w:r>
      <w:r>
        <w:tab/>
        <w:t>Electoral Commissioner’s functions</w:t>
      </w:r>
      <w:r>
        <w:tab/>
      </w:r>
      <w:r>
        <w:fldChar w:fldCharType="begin"/>
      </w:r>
      <w:r>
        <w:instrText xml:space="preserve"> PAGEREF _Toc462409282 \h </w:instrText>
      </w:r>
      <w:r>
        <w:fldChar w:fldCharType="separate"/>
      </w:r>
      <w:r>
        <w:t>93</w:t>
      </w:r>
      <w:r>
        <w:fldChar w:fldCharType="end"/>
      </w:r>
    </w:p>
    <w:p>
      <w:pPr>
        <w:pStyle w:val="TOC8"/>
        <w:rPr>
          <w:rFonts w:asciiTheme="minorHAnsi" w:eastAsiaTheme="minorEastAsia" w:hAnsiTheme="minorHAnsi" w:cstheme="minorBidi"/>
          <w:szCs w:val="22"/>
        </w:rPr>
      </w:pPr>
      <w:r>
        <w:t>4.25.</w:t>
      </w:r>
      <w:r>
        <w:tab/>
        <w:t>Access to information</w:t>
      </w:r>
      <w:r>
        <w:tab/>
      </w:r>
      <w:r>
        <w:fldChar w:fldCharType="begin"/>
      </w:r>
      <w:r>
        <w:instrText xml:space="preserve"> PAGEREF _Toc462409283 \h </w:instrText>
      </w:r>
      <w:r>
        <w:fldChar w:fldCharType="separate"/>
      </w:r>
      <w:r>
        <w:t>93</w:t>
      </w:r>
      <w:r>
        <w:fldChar w:fldCharType="end"/>
      </w:r>
    </w:p>
    <w:p>
      <w:pPr>
        <w:pStyle w:val="TOC8"/>
        <w:rPr>
          <w:rFonts w:asciiTheme="minorHAnsi" w:eastAsiaTheme="minorEastAsia" w:hAnsiTheme="minorHAnsi" w:cstheme="minorBidi"/>
          <w:szCs w:val="22"/>
        </w:rPr>
      </w:pPr>
      <w:r>
        <w:t>4.26.</w:t>
      </w:r>
      <w:r>
        <w:tab/>
        <w:t>Delegation</w:t>
      </w:r>
      <w:r>
        <w:tab/>
      </w:r>
      <w:r>
        <w:fldChar w:fldCharType="begin"/>
      </w:r>
      <w:r>
        <w:instrText xml:space="preserve"> PAGEREF _Toc462409284 \h </w:instrText>
      </w:r>
      <w:r>
        <w:fldChar w:fldCharType="separate"/>
      </w:r>
      <w:r>
        <w:t>93</w:t>
      </w:r>
      <w:r>
        <w:fldChar w:fldCharType="end"/>
      </w:r>
    </w:p>
    <w:p>
      <w:pPr>
        <w:pStyle w:val="TOC8"/>
        <w:rPr>
          <w:rFonts w:asciiTheme="minorHAnsi" w:eastAsiaTheme="minorEastAsia" w:hAnsiTheme="minorHAnsi" w:cstheme="minorBidi"/>
          <w:szCs w:val="22"/>
        </w:rPr>
      </w:pPr>
      <w:r>
        <w:t>4.27.</w:t>
      </w:r>
      <w:r>
        <w:tab/>
        <w:t>Regulations about electoral officers and conduct of elections</w:t>
      </w:r>
      <w:r>
        <w:tab/>
      </w:r>
      <w:r>
        <w:fldChar w:fldCharType="begin"/>
      </w:r>
      <w:r>
        <w:instrText xml:space="preserve"> PAGEREF _Toc462409285 \h </w:instrText>
      </w:r>
      <w:r>
        <w:fldChar w:fldCharType="separate"/>
      </w:r>
      <w:r>
        <w:t>93</w:t>
      </w:r>
      <w:r>
        <w:fldChar w:fldCharType="end"/>
      </w:r>
    </w:p>
    <w:p>
      <w:pPr>
        <w:pStyle w:val="TOC8"/>
        <w:rPr>
          <w:rFonts w:asciiTheme="minorHAnsi" w:eastAsiaTheme="minorEastAsia" w:hAnsiTheme="minorHAnsi" w:cstheme="minorBidi"/>
          <w:szCs w:val="22"/>
        </w:rPr>
      </w:pPr>
      <w:r>
        <w:t>4.28.</w:t>
      </w:r>
      <w:r>
        <w:tab/>
        <w:t>Fees and expenses</w:t>
      </w:r>
      <w:r>
        <w:tab/>
      </w:r>
      <w:r>
        <w:fldChar w:fldCharType="begin"/>
      </w:r>
      <w:r>
        <w:instrText xml:space="preserve"> PAGEREF _Toc462409286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8 — Eligibility for enrolment</w:t>
      </w:r>
    </w:p>
    <w:p>
      <w:pPr>
        <w:pStyle w:val="TOC8"/>
        <w:rPr>
          <w:rFonts w:asciiTheme="minorHAnsi" w:eastAsiaTheme="minorEastAsia" w:hAnsiTheme="minorHAnsi" w:cstheme="minorBidi"/>
          <w:szCs w:val="22"/>
        </w:rPr>
      </w:pPr>
      <w:r>
        <w:t>4.29.</w:t>
      </w:r>
      <w:r>
        <w:tab/>
        <w:t>Eligibility of residents to be enrolled</w:t>
      </w:r>
      <w:r>
        <w:tab/>
      </w:r>
      <w:r>
        <w:fldChar w:fldCharType="begin"/>
      </w:r>
      <w:r>
        <w:instrText xml:space="preserve"> PAGEREF _Toc462409288 \h </w:instrText>
      </w:r>
      <w:r>
        <w:fldChar w:fldCharType="separate"/>
      </w:r>
      <w:r>
        <w:t>94</w:t>
      </w:r>
      <w:r>
        <w:fldChar w:fldCharType="end"/>
      </w:r>
    </w:p>
    <w:p>
      <w:pPr>
        <w:pStyle w:val="TOC8"/>
        <w:rPr>
          <w:rFonts w:asciiTheme="minorHAnsi" w:eastAsiaTheme="minorEastAsia" w:hAnsiTheme="minorHAnsi" w:cstheme="minorBidi"/>
          <w:szCs w:val="22"/>
        </w:rPr>
      </w:pPr>
      <w:r>
        <w:t>4.30.</w:t>
      </w:r>
      <w:r>
        <w:tab/>
        <w:t>Eligibility of non</w:t>
      </w:r>
      <w:r>
        <w:noBreakHyphen/>
        <w:t>resident owners and occupiers to be enrolled</w:t>
      </w:r>
      <w:r>
        <w:tab/>
      </w:r>
      <w:r>
        <w:fldChar w:fldCharType="begin"/>
      </w:r>
      <w:r>
        <w:instrText xml:space="preserve"> PAGEREF _Toc462409289 \h </w:instrText>
      </w:r>
      <w:r>
        <w:fldChar w:fldCharType="separate"/>
      </w:r>
      <w:r>
        <w:t>95</w:t>
      </w:r>
      <w:r>
        <w:fldChar w:fldCharType="end"/>
      </w:r>
    </w:p>
    <w:p>
      <w:pPr>
        <w:pStyle w:val="TOC8"/>
        <w:rPr>
          <w:rFonts w:asciiTheme="minorHAnsi" w:eastAsiaTheme="minorEastAsia" w:hAnsiTheme="minorHAnsi" w:cstheme="minorBidi"/>
          <w:szCs w:val="22"/>
        </w:rPr>
      </w:pPr>
      <w:r>
        <w:t>4.31.</w:t>
      </w:r>
      <w:r>
        <w:tab/>
        <w:t>Rateable property: ownership and occupation</w:t>
      </w:r>
      <w:r>
        <w:tab/>
      </w:r>
      <w:r>
        <w:fldChar w:fldCharType="begin"/>
      </w:r>
      <w:r>
        <w:instrText xml:space="preserve"> PAGEREF _Toc462409290 \h </w:instrText>
      </w:r>
      <w:r>
        <w:fldChar w:fldCharType="separate"/>
      </w:r>
      <w:r>
        <w:t>95</w:t>
      </w:r>
      <w:r>
        <w:fldChar w:fldCharType="end"/>
      </w:r>
    </w:p>
    <w:p>
      <w:pPr>
        <w:pStyle w:val="TOC8"/>
        <w:rPr>
          <w:rFonts w:asciiTheme="minorHAnsi" w:eastAsiaTheme="minorEastAsia" w:hAnsiTheme="minorHAnsi" w:cstheme="minorBidi"/>
          <w:szCs w:val="22"/>
        </w:rPr>
      </w:pPr>
      <w:r>
        <w:t>4.32.</w:t>
      </w:r>
      <w:r>
        <w:tab/>
        <w:t>Eligibility to enrol under s. 4.30, how to claim</w:t>
      </w:r>
      <w:r>
        <w:tab/>
      </w:r>
      <w:r>
        <w:fldChar w:fldCharType="begin"/>
      </w:r>
      <w:r>
        <w:instrText xml:space="preserve"> PAGEREF _Toc462409291 \h </w:instrText>
      </w:r>
      <w:r>
        <w:fldChar w:fldCharType="separate"/>
      </w:r>
      <w:r>
        <w:t>97</w:t>
      </w:r>
      <w:r>
        <w:fldChar w:fldCharType="end"/>
      </w:r>
    </w:p>
    <w:p>
      <w:pPr>
        <w:pStyle w:val="TOC8"/>
        <w:rPr>
          <w:rFonts w:asciiTheme="minorHAnsi" w:eastAsiaTheme="minorEastAsia" w:hAnsiTheme="minorHAnsi" w:cstheme="minorBidi"/>
          <w:szCs w:val="22"/>
        </w:rPr>
      </w:pPr>
      <w:r>
        <w:t>4.33.</w:t>
      </w:r>
      <w:r>
        <w:tab/>
        <w:t>Claim of eligibility to enrol under s. 4.30, expiry of</w:t>
      </w:r>
      <w:r>
        <w:tab/>
      </w:r>
      <w:r>
        <w:fldChar w:fldCharType="begin"/>
      </w:r>
      <w:r>
        <w:instrText xml:space="preserve"> PAGEREF _Toc462409292 \h </w:instrText>
      </w:r>
      <w:r>
        <w:fldChar w:fldCharType="separate"/>
      </w:r>
      <w:r>
        <w:t>98</w:t>
      </w:r>
      <w:r>
        <w:fldChar w:fldCharType="end"/>
      </w:r>
    </w:p>
    <w:p>
      <w:pPr>
        <w:pStyle w:val="TOC8"/>
        <w:rPr>
          <w:rFonts w:asciiTheme="minorHAnsi" w:eastAsiaTheme="minorEastAsia" w:hAnsiTheme="minorHAnsi" w:cstheme="minorBidi"/>
          <w:szCs w:val="22"/>
        </w:rPr>
      </w:pPr>
      <w:r>
        <w:t>4.34.</w:t>
      </w:r>
      <w:r>
        <w:tab/>
        <w:t>Accuracy of enrolment details to be maintained</w:t>
      </w:r>
      <w:r>
        <w:tab/>
      </w:r>
      <w:r>
        <w:fldChar w:fldCharType="begin"/>
      </w:r>
      <w:r>
        <w:instrText xml:space="preserve"> PAGEREF _Toc462409293 \h </w:instrText>
      </w:r>
      <w:r>
        <w:fldChar w:fldCharType="separate"/>
      </w:r>
      <w:r>
        <w:t>99</w:t>
      </w:r>
      <w:r>
        <w:fldChar w:fldCharType="end"/>
      </w:r>
    </w:p>
    <w:p>
      <w:pPr>
        <w:pStyle w:val="TOC8"/>
        <w:rPr>
          <w:rFonts w:asciiTheme="minorHAnsi" w:eastAsiaTheme="minorEastAsia" w:hAnsiTheme="minorHAnsi" w:cstheme="minorBidi"/>
          <w:szCs w:val="22"/>
        </w:rPr>
      </w:pPr>
      <w:r>
        <w:t>4.35.</w:t>
      </w:r>
      <w:r>
        <w:tab/>
        <w:t>Decision that eligibility to enrol under s. 4.30 has ended</w:t>
      </w:r>
      <w:r>
        <w:tab/>
      </w:r>
      <w:r>
        <w:fldChar w:fldCharType="begin"/>
      </w:r>
      <w:r>
        <w:instrText xml:space="preserve"> PAGEREF _Toc462409294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szCs w:val="22"/>
        </w:rPr>
      </w:pPr>
      <w:r>
        <w:t>Division 9 — Electoral process</w:t>
      </w:r>
    </w:p>
    <w:p>
      <w:pPr>
        <w:pStyle w:val="TOC6"/>
        <w:tabs>
          <w:tab w:val="right" w:leader="dot" w:pos="7077"/>
        </w:tabs>
        <w:rPr>
          <w:rFonts w:asciiTheme="minorHAnsi" w:eastAsiaTheme="minorEastAsia" w:hAnsiTheme="minorHAnsi" w:cstheme="minorBidi"/>
          <w:b w:val="0"/>
          <w:sz w:val="22"/>
          <w:szCs w:val="22"/>
        </w:rPr>
      </w:pPr>
      <w:r>
        <w:t>Subdivision 1 — Stages of electoral process</w:t>
      </w:r>
    </w:p>
    <w:p>
      <w:pPr>
        <w:pStyle w:val="TOC8"/>
        <w:rPr>
          <w:rFonts w:asciiTheme="minorHAnsi" w:eastAsiaTheme="minorEastAsia" w:hAnsiTheme="minorHAnsi" w:cstheme="minorBidi"/>
          <w:szCs w:val="22"/>
        </w:rPr>
      </w:pPr>
      <w:r>
        <w:t>4.36.</w:t>
      </w:r>
      <w:r>
        <w:tab/>
        <w:t>Application and term used: election</w:t>
      </w:r>
      <w:r>
        <w:tab/>
      </w:r>
      <w:r>
        <w:fldChar w:fldCharType="begin"/>
      </w:r>
      <w:r>
        <w:instrText xml:space="preserve"> PAGEREF _Toc462409297 \h </w:instrText>
      </w:r>
      <w:r>
        <w:fldChar w:fldCharType="separate"/>
      </w:r>
      <w:r>
        <w:t>100</w:t>
      </w:r>
      <w:r>
        <w:fldChar w:fldCharType="end"/>
      </w:r>
    </w:p>
    <w:p>
      <w:pPr>
        <w:pStyle w:val="TOC6"/>
        <w:tabs>
          <w:tab w:val="right" w:leader="dot" w:pos="7077"/>
        </w:tabs>
        <w:rPr>
          <w:rFonts w:asciiTheme="minorHAnsi" w:eastAsiaTheme="minorEastAsia" w:hAnsiTheme="minorHAnsi" w:cstheme="minorBidi"/>
          <w:b w:val="0"/>
          <w:sz w:val="22"/>
          <w:szCs w:val="22"/>
        </w:rPr>
      </w:pPr>
      <w:r>
        <w:t>Subdivision 2 — Stage 1: Preparing the electoral roll</w:t>
      </w:r>
    </w:p>
    <w:p>
      <w:pPr>
        <w:pStyle w:val="TOC8"/>
        <w:rPr>
          <w:rFonts w:asciiTheme="minorHAnsi" w:eastAsiaTheme="minorEastAsia" w:hAnsiTheme="minorHAnsi" w:cstheme="minorBidi"/>
          <w:szCs w:val="22"/>
        </w:rPr>
      </w:pPr>
      <w:r>
        <w:t>4.37.</w:t>
      </w:r>
      <w:r>
        <w:tab/>
        <w:t>New roll for each election</w:t>
      </w:r>
      <w:r>
        <w:tab/>
      </w:r>
      <w:r>
        <w:fldChar w:fldCharType="begin"/>
      </w:r>
      <w:r>
        <w:instrText xml:space="preserve"> PAGEREF _Toc462409299 \h </w:instrText>
      </w:r>
      <w:r>
        <w:fldChar w:fldCharType="separate"/>
      </w:r>
      <w:r>
        <w:t>101</w:t>
      </w:r>
      <w:r>
        <w:fldChar w:fldCharType="end"/>
      </w:r>
    </w:p>
    <w:p>
      <w:pPr>
        <w:pStyle w:val="TOC8"/>
        <w:rPr>
          <w:rFonts w:asciiTheme="minorHAnsi" w:eastAsiaTheme="minorEastAsia" w:hAnsiTheme="minorHAnsi" w:cstheme="minorBidi"/>
          <w:szCs w:val="22"/>
        </w:rPr>
      </w:pPr>
      <w:r>
        <w:t>4.38.</w:t>
      </w:r>
      <w:r>
        <w:tab/>
        <w:t>What roll consists of</w:t>
      </w:r>
      <w:r>
        <w:tab/>
      </w:r>
      <w:r>
        <w:fldChar w:fldCharType="begin"/>
      </w:r>
      <w:r>
        <w:instrText xml:space="preserve"> PAGEREF _Toc462409300 \h </w:instrText>
      </w:r>
      <w:r>
        <w:fldChar w:fldCharType="separate"/>
      </w:r>
      <w:r>
        <w:t>101</w:t>
      </w:r>
      <w:r>
        <w:fldChar w:fldCharType="end"/>
      </w:r>
    </w:p>
    <w:p>
      <w:pPr>
        <w:pStyle w:val="TOC8"/>
        <w:rPr>
          <w:rFonts w:asciiTheme="minorHAnsi" w:eastAsiaTheme="minorEastAsia" w:hAnsiTheme="minorHAnsi" w:cstheme="minorBidi"/>
          <w:szCs w:val="22"/>
        </w:rPr>
      </w:pPr>
      <w:r>
        <w:t>4.39.</w:t>
      </w:r>
      <w:r>
        <w:tab/>
        <w:t>Close of enrolments</w:t>
      </w:r>
      <w:r>
        <w:tab/>
      </w:r>
      <w:r>
        <w:fldChar w:fldCharType="begin"/>
      </w:r>
      <w:r>
        <w:instrText xml:space="preserve"> PAGEREF _Toc462409301 \h </w:instrText>
      </w:r>
      <w:r>
        <w:fldChar w:fldCharType="separate"/>
      </w:r>
      <w:r>
        <w:t>101</w:t>
      </w:r>
      <w:r>
        <w:fldChar w:fldCharType="end"/>
      </w:r>
    </w:p>
    <w:p>
      <w:pPr>
        <w:pStyle w:val="TOC8"/>
        <w:rPr>
          <w:rFonts w:asciiTheme="minorHAnsi" w:eastAsiaTheme="minorEastAsia" w:hAnsiTheme="minorHAnsi" w:cstheme="minorBidi"/>
          <w:szCs w:val="22"/>
        </w:rPr>
      </w:pPr>
      <w:r>
        <w:t>4.40.</w:t>
      </w:r>
      <w:r>
        <w:tab/>
        <w:t>Residents roll</w:t>
      </w:r>
      <w:r>
        <w:tab/>
      </w:r>
      <w:r>
        <w:fldChar w:fldCharType="begin"/>
      </w:r>
      <w:r>
        <w:instrText xml:space="preserve"> PAGEREF _Toc462409302 \h </w:instrText>
      </w:r>
      <w:r>
        <w:fldChar w:fldCharType="separate"/>
      </w:r>
      <w:r>
        <w:t>102</w:t>
      </w:r>
      <w:r>
        <w:fldChar w:fldCharType="end"/>
      </w:r>
    </w:p>
    <w:p>
      <w:pPr>
        <w:pStyle w:val="TOC8"/>
        <w:rPr>
          <w:rFonts w:asciiTheme="minorHAnsi" w:eastAsiaTheme="minorEastAsia" w:hAnsiTheme="minorHAnsi" w:cstheme="minorBidi"/>
          <w:szCs w:val="22"/>
        </w:rPr>
      </w:pPr>
      <w:r>
        <w:t>4.41.</w:t>
      </w:r>
      <w:r>
        <w:tab/>
        <w:t>Owners and occupiers roll</w:t>
      </w:r>
      <w:r>
        <w:tab/>
      </w:r>
      <w:r>
        <w:fldChar w:fldCharType="begin"/>
      </w:r>
      <w:r>
        <w:instrText xml:space="preserve"> PAGEREF _Toc462409303 \h </w:instrText>
      </w:r>
      <w:r>
        <w:fldChar w:fldCharType="separate"/>
      </w:r>
      <w:r>
        <w:t>102</w:t>
      </w:r>
      <w:r>
        <w:fldChar w:fldCharType="end"/>
      </w:r>
    </w:p>
    <w:p>
      <w:pPr>
        <w:pStyle w:val="TOC8"/>
        <w:rPr>
          <w:rFonts w:asciiTheme="minorHAnsi" w:eastAsiaTheme="minorEastAsia" w:hAnsiTheme="minorHAnsi" w:cstheme="minorBidi"/>
          <w:szCs w:val="22"/>
        </w:rPr>
      </w:pPr>
      <w:r>
        <w:t>4.42.</w:t>
      </w:r>
      <w:r>
        <w:tab/>
        <w:t>Supply of rolls to returning officer, members and candidates</w:t>
      </w:r>
      <w:r>
        <w:tab/>
      </w:r>
      <w:r>
        <w:fldChar w:fldCharType="begin"/>
      </w:r>
      <w:r>
        <w:instrText xml:space="preserve"> PAGEREF _Toc462409304 \h </w:instrText>
      </w:r>
      <w:r>
        <w:fldChar w:fldCharType="separate"/>
      </w:r>
      <w:r>
        <w:t>103</w:t>
      </w:r>
      <w:r>
        <w:fldChar w:fldCharType="end"/>
      </w:r>
    </w:p>
    <w:p>
      <w:pPr>
        <w:pStyle w:val="TOC8"/>
        <w:rPr>
          <w:rFonts w:asciiTheme="minorHAnsi" w:eastAsiaTheme="minorEastAsia" w:hAnsiTheme="minorHAnsi" w:cstheme="minorBidi"/>
          <w:szCs w:val="22"/>
        </w:rPr>
      </w:pPr>
      <w:r>
        <w:t>4.43.</w:t>
      </w:r>
      <w:r>
        <w:tab/>
        <w:t>Correction of rolls</w:t>
      </w:r>
      <w:r>
        <w:tab/>
      </w:r>
      <w:r>
        <w:fldChar w:fldCharType="begin"/>
      </w:r>
      <w:r>
        <w:instrText xml:space="preserve"> PAGEREF _Toc462409305 \h </w:instrText>
      </w:r>
      <w:r>
        <w:fldChar w:fldCharType="separate"/>
      </w:r>
      <w:r>
        <w:t>103</w:t>
      </w:r>
      <w:r>
        <w:fldChar w:fldCharType="end"/>
      </w:r>
    </w:p>
    <w:p>
      <w:pPr>
        <w:pStyle w:val="TOC8"/>
        <w:rPr>
          <w:rFonts w:asciiTheme="minorHAnsi" w:eastAsiaTheme="minorEastAsia" w:hAnsiTheme="minorHAnsi" w:cstheme="minorBidi"/>
          <w:szCs w:val="22"/>
        </w:rPr>
      </w:pPr>
      <w:r>
        <w:t>4.44A.</w:t>
      </w:r>
      <w:r>
        <w:tab/>
        <w:t>Alteration of rolls</w:t>
      </w:r>
      <w:r>
        <w:tab/>
      </w:r>
      <w:r>
        <w:fldChar w:fldCharType="begin"/>
      </w:r>
      <w:r>
        <w:instrText xml:space="preserve"> PAGEREF _Toc462409306 \h </w:instrText>
      </w:r>
      <w:r>
        <w:fldChar w:fldCharType="separate"/>
      </w:r>
      <w:r>
        <w:t>104</w:t>
      </w:r>
      <w:r>
        <w:fldChar w:fldCharType="end"/>
      </w:r>
    </w:p>
    <w:p>
      <w:pPr>
        <w:pStyle w:val="TOC8"/>
        <w:rPr>
          <w:rFonts w:asciiTheme="minorHAnsi" w:eastAsiaTheme="minorEastAsia" w:hAnsiTheme="minorHAnsi" w:cstheme="minorBidi"/>
          <w:szCs w:val="22"/>
        </w:rPr>
      </w:pPr>
      <w:r>
        <w:t>4.44.</w:t>
      </w:r>
      <w:r>
        <w:tab/>
        <w:t>One enrolment per roll</w:t>
      </w:r>
      <w:r>
        <w:tab/>
      </w:r>
      <w:r>
        <w:fldChar w:fldCharType="begin"/>
      </w:r>
      <w:r>
        <w:instrText xml:space="preserve"> PAGEREF _Toc462409307 \h </w:instrText>
      </w:r>
      <w:r>
        <w:fldChar w:fldCharType="separate"/>
      </w:r>
      <w:r>
        <w:t>104</w:t>
      </w:r>
      <w:r>
        <w:fldChar w:fldCharType="end"/>
      </w:r>
    </w:p>
    <w:p>
      <w:pPr>
        <w:pStyle w:val="TOC8"/>
        <w:rPr>
          <w:rFonts w:asciiTheme="minorHAnsi" w:eastAsiaTheme="minorEastAsia" w:hAnsiTheme="minorHAnsi" w:cstheme="minorBidi"/>
          <w:szCs w:val="22"/>
        </w:rPr>
      </w:pPr>
      <w:r>
        <w:t>4.45.</w:t>
      </w:r>
      <w:r>
        <w:tab/>
        <w:t>Failure to comply with time limits as to preparation of rolls</w:t>
      </w:r>
      <w:r>
        <w:tab/>
      </w:r>
      <w:r>
        <w:fldChar w:fldCharType="begin"/>
      </w:r>
      <w:r>
        <w:instrText xml:space="preserve"> PAGEREF _Toc462409308 \h </w:instrText>
      </w:r>
      <w:r>
        <w:fldChar w:fldCharType="separate"/>
      </w:r>
      <w:r>
        <w:t>104</w:t>
      </w:r>
      <w:r>
        <w:fldChar w:fldCharType="end"/>
      </w:r>
    </w:p>
    <w:p>
      <w:pPr>
        <w:pStyle w:val="TOC8"/>
        <w:rPr>
          <w:rFonts w:asciiTheme="minorHAnsi" w:eastAsiaTheme="minorEastAsia" w:hAnsiTheme="minorHAnsi" w:cstheme="minorBidi"/>
          <w:szCs w:val="22"/>
        </w:rPr>
      </w:pPr>
      <w:r>
        <w:t>4.46.</w:t>
      </w:r>
      <w:r>
        <w:tab/>
        <w:t>Fresh roll may be required</w:t>
      </w:r>
      <w:r>
        <w:tab/>
      </w:r>
      <w:r>
        <w:fldChar w:fldCharType="begin"/>
      </w:r>
      <w:r>
        <w:instrText xml:space="preserve"> PAGEREF _Toc462409309 \h </w:instrText>
      </w:r>
      <w:r>
        <w:fldChar w:fldCharType="separate"/>
      </w:r>
      <w:r>
        <w:t>105</w:t>
      </w:r>
      <w:r>
        <w:fldChar w:fldCharType="end"/>
      </w:r>
    </w:p>
    <w:p>
      <w:pPr>
        <w:pStyle w:val="TOC6"/>
        <w:tabs>
          <w:tab w:val="right" w:leader="dot" w:pos="7077"/>
        </w:tabs>
        <w:rPr>
          <w:rFonts w:asciiTheme="minorHAnsi" w:eastAsiaTheme="minorEastAsia" w:hAnsiTheme="minorHAnsi" w:cstheme="minorBidi"/>
          <w:b w:val="0"/>
          <w:sz w:val="22"/>
          <w:szCs w:val="22"/>
        </w:rPr>
      </w:pPr>
      <w:r>
        <w:t>Subdivision 3 — Stage 2: Nomination of candidates</w:t>
      </w:r>
    </w:p>
    <w:p>
      <w:pPr>
        <w:pStyle w:val="TOC8"/>
        <w:rPr>
          <w:rFonts w:asciiTheme="minorHAnsi" w:eastAsiaTheme="minorEastAsia" w:hAnsiTheme="minorHAnsi" w:cstheme="minorBidi"/>
          <w:szCs w:val="22"/>
        </w:rPr>
      </w:pPr>
      <w:r>
        <w:t>4.47.</w:t>
      </w:r>
      <w:r>
        <w:tab/>
        <w:t>Nominations, call for</w:t>
      </w:r>
      <w:r>
        <w:tab/>
      </w:r>
      <w:r>
        <w:fldChar w:fldCharType="begin"/>
      </w:r>
      <w:r>
        <w:instrText xml:space="preserve"> PAGEREF _Toc462409311 \h </w:instrText>
      </w:r>
      <w:r>
        <w:fldChar w:fldCharType="separate"/>
      </w:r>
      <w:r>
        <w:t>105</w:t>
      </w:r>
      <w:r>
        <w:fldChar w:fldCharType="end"/>
      </w:r>
    </w:p>
    <w:p>
      <w:pPr>
        <w:pStyle w:val="TOC8"/>
        <w:rPr>
          <w:rFonts w:asciiTheme="minorHAnsi" w:eastAsiaTheme="minorEastAsia" w:hAnsiTheme="minorHAnsi" w:cstheme="minorBidi"/>
          <w:szCs w:val="22"/>
        </w:rPr>
      </w:pPr>
      <w:r>
        <w:t>4.48.</w:t>
      </w:r>
      <w:r>
        <w:tab/>
        <w:t>Candidate, eligibility of</w:t>
      </w:r>
      <w:r>
        <w:tab/>
      </w:r>
      <w:r>
        <w:fldChar w:fldCharType="begin"/>
      </w:r>
      <w:r>
        <w:instrText xml:space="preserve"> PAGEREF _Toc462409312 \h </w:instrText>
      </w:r>
      <w:r>
        <w:fldChar w:fldCharType="separate"/>
      </w:r>
      <w:r>
        <w:t>106</w:t>
      </w:r>
      <w:r>
        <w:fldChar w:fldCharType="end"/>
      </w:r>
    </w:p>
    <w:p>
      <w:pPr>
        <w:pStyle w:val="TOC8"/>
        <w:rPr>
          <w:rFonts w:asciiTheme="minorHAnsi" w:eastAsiaTheme="minorEastAsia" w:hAnsiTheme="minorHAnsi" w:cstheme="minorBidi"/>
          <w:szCs w:val="22"/>
        </w:rPr>
      </w:pPr>
      <w:r>
        <w:t>4.49.</w:t>
      </w:r>
      <w:r>
        <w:tab/>
        <w:t>How to make an effective nomination</w:t>
      </w:r>
      <w:r>
        <w:tab/>
      </w:r>
      <w:r>
        <w:fldChar w:fldCharType="begin"/>
      </w:r>
      <w:r>
        <w:instrText xml:space="preserve"> PAGEREF _Toc462409313 \h </w:instrText>
      </w:r>
      <w:r>
        <w:fldChar w:fldCharType="separate"/>
      </w:r>
      <w:r>
        <w:t>106</w:t>
      </w:r>
      <w:r>
        <w:fldChar w:fldCharType="end"/>
      </w:r>
    </w:p>
    <w:p>
      <w:pPr>
        <w:pStyle w:val="TOC8"/>
        <w:rPr>
          <w:rFonts w:asciiTheme="minorHAnsi" w:eastAsiaTheme="minorEastAsia" w:hAnsiTheme="minorHAnsi" w:cstheme="minorBidi"/>
          <w:szCs w:val="22"/>
        </w:rPr>
      </w:pPr>
      <w:r>
        <w:t>4.50.</w:t>
      </w:r>
      <w:r>
        <w:tab/>
        <w:t>Deposits, how dealt with</w:t>
      </w:r>
      <w:r>
        <w:tab/>
      </w:r>
      <w:r>
        <w:fldChar w:fldCharType="begin"/>
      </w:r>
      <w:r>
        <w:instrText xml:space="preserve"> PAGEREF _Toc462409314 \h </w:instrText>
      </w:r>
      <w:r>
        <w:fldChar w:fldCharType="separate"/>
      </w:r>
      <w:r>
        <w:t>107</w:t>
      </w:r>
      <w:r>
        <w:fldChar w:fldCharType="end"/>
      </w:r>
    </w:p>
    <w:p>
      <w:pPr>
        <w:pStyle w:val="TOC8"/>
        <w:rPr>
          <w:rFonts w:asciiTheme="minorHAnsi" w:eastAsiaTheme="minorEastAsia" w:hAnsiTheme="minorHAnsi" w:cstheme="minorBidi"/>
          <w:szCs w:val="22"/>
        </w:rPr>
      </w:pPr>
      <w:r>
        <w:t>4.51.</w:t>
      </w:r>
      <w:r>
        <w:tab/>
        <w:t>Nominations, rejection of</w:t>
      </w:r>
      <w:r>
        <w:tab/>
      </w:r>
      <w:r>
        <w:fldChar w:fldCharType="begin"/>
      </w:r>
      <w:r>
        <w:instrText xml:space="preserve"> PAGEREF _Toc462409315 \h </w:instrText>
      </w:r>
      <w:r>
        <w:fldChar w:fldCharType="separate"/>
      </w:r>
      <w:r>
        <w:t>107</w:t>
      </w:r>
      <w:r>
        <w:fldChar w:fldCharType="end"/>
      </w:r>
    </w:p>
    <w:p>
      <w:pPr>
        <w:pStyle w:val="TOC8"/>
        <w:rPr>
          <w:rFonts w:asciiTheme="minorHAnsi" w:eastAsiaTheme="minorEastAsia" w:hAnsiTheme="minorHAnsi" w:cstheme="minorBidi"/>
          <w:szCs w:val="22"/>
        </w:rPr>
      </w:pPr>
      <w:r>
        <w:t>4.52.</w:t>
      </w:r>
      <w:r>
        <w:tab/>
        <w:t>Candidates’ details etc., exhibition of</w:t>
      </w:r>
      <w:r>
        <w:tab/>
      </w:r>
      <w:r>
        <w:fldChar w:fldCharType="begin"/>
      </w:r>
      <w:r>
        <w:instrText xml:space="preserve"> PAGEREF _Toc462409316 \h </w:instrText>
      </w:r>
      <w:r>
        <w:fldChar w:fldCharType="separate"/>
      </w:r>
      <w:r>
        <w:t>108</w:t>
      </w:r>
      <w:r>
        <w:fldChar w:fldCharType="end"/>
      </w:r>
    </w:p>
    <w:p>
      <w:pPr>
        <w:pStyle w:val="TOC8"/>
        <w:rPr>
          <w:rFonts w:asciiTheme="minorHAnsi" w:eastAsiaTheme="minorEastAsia" w:hAnsiTheme="minorHAnsi" w:cstheme="minorBidi"/>
          <w:szCs w:val="22"/>
        </w:rPr>
      </w:pPr>
      <w:r>
        <w:t>4.53.</w:t>
      </w:r>
      <w:r>
        <w:tab/>
        <w:t>Nominations, cancellation of</w:t>
      </w:r>
      <w:r>
        <w:tab/>
      </w:r>
      <w:r>
        <w:fldChar w:fldCharType="begin"/>
      </w:r>
      <w:r>
        <w:instrText xml:space="preserve"> PAGEREF _Toc462409317 \h </w:instrText>
      </w:r>
      <w:r>
        <w:fldChar w:fldCharType="separate"/>
      </w:r>
      <w:r>
        <w:t>108</w:t>
      </w:r>
      <w:r>
        <w:fldChar w:fldCharType="end"/>
      </w:r>
    </w:p>
    <w:p>
      <w:pPr>
        <w:pStyle w:val="TOC6"/>
        <w:tabs>
          <w:tab w:val="right" w:leader="dot" w:pos="7077"/>
        </w:tabs>
        <w:rPr>
          <w:rFonts w:asciiTheme="minorHAnsi" w:eastAsiaTheme="minorEastAsia" w:hAnsiTheme="minorHAnsi" w:cstheme="minorBidi"/>
          <w:b w:val="0"/>
          <w:sz w:val="22"/>
          <w:szCs w:val="22"/>
        </w:rPr>
      </w:pPr>
      <w:r>
        <w:t>Subdivision 4 — Stage 3: After nominations close</w:t>
      </w:r>
    </w:p>
    <w:p>
      <w:pPr>
        <w:pStyle w:val="TOC8"/>
        <w:rPr>
          <w:rFonts w:asciiTheme="minorHAnsi" w:eastAsiaTheme="minorEastAsia" w:hAnsiTheme="minorHAnsi" w:cstheme="minorBidi"/>
          <w:szCs w:val="22"/>
        </w:rPr>
      </w:pPr>
      <w:r>
        <w:t>4.54.</w:t>
      </w:r>
      <w:r>
        <w:tab/>
        <w:t>Nominations to be declared</w:t>
      </w:r>
      <w:r>
        <w:tab/>
      </w:r>
      <w:r>
        <w:fldChar w:fldCharType="begin"/>
      </w:r>
      <w:r>
        <w:instrText xml:space="preserve"> PAGEREF _Toc462409319 \h </w:instrText>
      </w:r>
      <w:r>
        <w:fldChar w:fldCharType="separate"/>
      </w:r>
      <w:r>
        <w:t>109</w:t>
      </w:r>
      <w:r>
        <w:fldChar w:fldCharType="end"/>
      </w:r>
    </w:p>
    <w:p>
      <w:pPr>
        <w:pStyle w:val="TOC8"/>
        <w:rPr>
          <w:rFonts w:asciiTheme="minorHAnsi" w:eastAsiaTheme="minorEastAsia" w:hAnsiTheme="minorHAnsi" w:cstheme="minorBidi"/>
          <w:szCs w:val="22"/>
        </w:rPr>
      </w:pPr>
      <w:r>
        <w:t>4.55.</w:t>
      </w:r>
      <w:r>
        <w:tab/>
        <w:t>Same number of candidates as vacancies</w:t>
      </w:r>
      <w:r>
        <w:tab/>
      </w:r>
      <w:r>
        <w:fldChar w:fldCharType="begin"/>
      </w:r>
      <w:r>
        <w:instrText xml:space="preserve"> PAGEREF _Toc462409320 \h </w:instrText>
      </w:r>
      <w:r>
        <w:fldChar w:fldCharType="separate"/>
      </w:r>
      <w:r>
        <w:t>110</w:t>
      </w:r>
      <w:r>
        <w:fldChar w:fldCharType="end"/>
      </w:r>
    </w:p>
    <w:p>
      <w:pPr>
        <w:pStyle w:val="TOC8"/>
        <w:rPr>
          <w:rFonts w:asciiTheme="minorHAnsi" w:eastAsiaTheme="minorEastAsia" w:hAnsiTheme="minorHAnsi" w:cstheme="minorBidi"/>
          <w:szCs w:val="22"/>
        </w:rPr>
      </w:pPr>
      <w:r>
        <w:t>4.56.</w:t>
      </w:r>
      <w:r>
        <w:tab/>
        <w:t>More candidates than vacancies</w:t>
      </w:r>
      <w:r>
        <w:tab/>
      </w:r>
      <w:r>
        <w:fldChar w:fldCharType="begin"/>
      </w:r>
      <w:r>
        <w:instrText xml:space="preserve"> PAGEREF _Toc462409321 \h </w:instrText>
      </w:r>
      <w:r>
        <w:fldChar w:fldCharType="separate"/>
      </w:r>
      <w:r>
        <w:t>110</w:t>
      </w:r>
      <w:r>
        <w:fldChar w:fldCharType="end"/>
      </w:r>
    </w:p>
    <w:p>
      <w:pPr>
        <w:pStyle w:val="TOC8"/>
        <w:rPr>
          <w:rFonts w:asciiTheme="minorHAnsi" w:eastAsiaTheme="minorEastAsia" w:hAnsiTheme="minorHAnsi" w:cstheme="minorBidi"/>
          <w:szCs w:val="22"/>
        </w:rPr>
      </w:pPr>
      <w:r>
        <w:t>4.57.</w:t>
      </w:r>
      <w:r>
        <w:tab/>
        <w:t>Less candidates than vacancies</w:t>
      </w:r>
      <w:r>
        <w:tab/>
      </w:r>
      <w:r>
        <w:fldChar w:fldCharType="begin"/>
      </w:r>
      <w:r>
        <w:instrText xml:space="preserve"> PAGEREF _Toc462409322 \h </w:instrText>
      </w:r>
      <w:r>
        <w:fldChar w:fldCharType="separate"/>
      </w:r>
      <w:r>
        <w:t>110</w:t>
      </w:r>
      <w:r>
        <w:fldChar w:fldCharType="end"/>
      </w:r>
    </w:p>
    <w:p>
      <w:pPr>
        <w:pStyle w:val="TOC8"/>
        <w:rPr>
          <w:rFonts w:asciiTheme="minorHAnsi" w:eastAsiaTheme="minorEastAsia" w:hAnsiTheme="minorHAnsi" w:cstheme="minorBidi"/>
          <w:szCs w:val="22"/>
        </w:rPr>
      </w:pPr>
      <w:r>
        <w:t>4.58.</w:t>
      </w:r>
      <w:r>
        <w:tab/>
        <w:t>Candidates, death of after close of nominations</w:t>
      </w:r>
      <w:r>
        <w:tab/>
      </w:r>
      <w:r>
        <w:fldChar w:fldCharType="begin"/>
      </w:r>
      <w:r>
        <w:instrText xml:space="preserve"> PAGEREF _Toc462409323 \h </w:instrText>
      </w:r>
      <w:r>
        <w:fldChar w:fldCharType="separate"/>
      </w:r>
      <w:r>
        <w:t>111</w:t>
      </w:r>
      <w:r>
        <w:fldChar w:fldCharType="end"/>
      </w:r>
    </w:p>
    <w:p>
      <w:pPr>
        <w:pStyle w:val="TOC8"/>
        <w:rPr>
          <w:rFonts w:asciiTheme="minorHAnsi" w:eastAsiaTheme="minorEastAsia" w:hAnsiTheme="minorHAnsi" w:cstheme="minorBidi"/>
          <w:szCs w:val="22"/>
        </w:rPr>
      </w:pPr>
      <w:r>
        <w:t>4.59.</w:t>
      </w:r>
      <w:r>
        <w:tab/>
        <w:t>Candidates, regulations about</w:t>
      </w:r>
      <w:r>
        <w:tab/>
      </w:r>
      <w:r>
        <w:fldChar w:fldCharType="begin"/>
      </w:r>
      <w:r>
        <w:instrText xml:space="preserve"> PAGEREF _Toc462409324 \h </w:instrText>
      </w:r>
      <w:r>
        <w:fldChar w:fldCharType="separate"/>
      </w:r>
      <w:r>
        <w:t>111</w:t>
      </w:r>
      <w:r>
        <w:fldChar w:fldCharType="end"/>
      </w:r>
    </w:p>
    <w:p>
      <w:pPr>
        <w:pStyle w:val="TOC6"/>
        <w:tabs>
          <w:tab w:val="right" w:leader="dot" w:pos="7077"/>
        </w:tabs>
        <w:rPr>
          <w:rFonts w:asciiTheme="minorHAnsi" w:eastAsiaTheme="minorEastAsia" w:hAnsiTheme="minorHAnsi" w:cstheme="minorBidi"/>
          <w:b w:val="0"/>
          <w:sz w:val="22"/>
          <w:szCs w:val="22"/>
        </w:rPr>
      </w:pPr>
      <w:r>
        <w:t>Subdivision 5 — Stage 4: Preparing for voting</w:t>
      </w:r>
    </w:p>
    <w:p>
      <w:pPr>
        <w:pStyle w:val="TOC8"/>
        <w:rPr>
          <w:rFonts w:asciiTheme="minorHAnsi" w:eastAsiaTheme="minorEastAsia" w:hAnsiTheme="minorHAnsi" w:cstheme="minorBidi"/>
          <w:szCs w:val="22"/>
        </w:rPr>
      </w:pPr>
      <w:r>
        <w:t>4.60.</w:t>
      </w:r>
      <w:r>
        <w:tab/>
        <w:t>Voting by electors</w:t>
      </w:r>
      <w:r>
        <w:tab/>
      </w:r>
      <w:r>
        <w:fldChar w:fldCharType="begin"/>
      </w:r>
      <w:r>
        <w:instrText xml:space="preserve"> PAGEREF _Toc462409326 \h </w:instrText>
      </w:r>
      <w:r>
        <w:fldChar w:fldCharType="separate"/>
      </w:r>
      <w:r>
        <w:t>111</w:t>
      </w:r>
      <w:r>
        <w:fldChar w:fldCharType="end"/>
      </w:r>
    </w:p>
    <w:p>
      <w:pPr>
        <w:pStyle w:val="TOC8"/>
        <w:rPr>
          <w:rFonts w:asciiTheme="minorHAnsi" w:eastAsiaTheme="minorEastAsia" w:hAnsiTheme="minorHAnsi" w:cstheme="minorBidi"/>
          <w:szCs w:val="22"/>
        </w:rPr>
      </w:pPr>
      <w:r>
        <w:t>4.61.</w:t>
      </w:r>
      <w:r>
        <w:tab/>
        <w:t>Choice of methods of conducting election</w:t>
      </w:r>
      <w:r>
        <w:tab/>
      </w:r>
      <w:r>
        <w:fldChar w:fldCharType="begin"/>
      </w:r>
      <w:r>
        <w:instrText xml:space="preserve"> PAGEREF _Toc462409327 \h </w:instrText>
      </w:r>
      <w:r>
        <w:fldChar w:fldCharType="separate"/>
      </w:r>
      <w:r>
        <w:t>112</w:t>
      </w:r>
      <w:r>
        <w:fldChar w:fldCharType="end"/>
      </w:r>
    </w:p>
    <w:p>
      <w:pPr>
        <w:pStyle w:val="TOC8"/>
        <w:rPr>
          <w:rFonts w:asciiTheme="minorHAnsi" w:eastAsiaTheme="minorEastAsia" w:hAnsiTheme="minorHAnsi" w:cstheme="minorBidi"/>
          <w:szCs w:val="22"/>
        </w:rPr>
      </w:pPr>
      <w:r>
        <w:t>4.62.</w:t>
      </w:r>
      <w:r>
        <w:tab/>
        <w:t>Polling places required</w:t>
      </w:r>
      <w:r>
        <w:tab/>
      </w:r>
      <w:r>
        <w:fldChar w:fldCharType="begin"/>
      </w:r>
      <w:r>
        <w:instrText xml:space="preserve"> PAGEREF _Toc462409328 \h </w:instrText>
      </w:r>
      <w:r>
        <w:fldChar w:fldCharType="separate"/>
      </w:r>
      <w:r>
        <w:t>113</w:t>
      </w:r>
      <w:r>
        <w:fldChar w:fldCharType="end"/>
      </w:r>
    </w:p>
    <w:p>
      <w:pPr>
        <w:pStyle w:val="TOC8"/>
        <w:rPr>
          <w:rFonts w:asciiTheme="minorHAnsi" w:eastAsiaTheme="minorEastAsia" w:hAnsiTheme="minorHAnsi" w:cstheme="minorBidi"/>
          <w:szCs w:val="22"/>
        </w:rPr>
      </w:pPr>
      <w:r>
        <w:t>4.63.</w:t>
      </w:r>
      <w:r>
        <w:tab/>
        <w:t>Presiding and other officers, appointment of</w:t>
      </w:r>
      <w:r>
        <w:tab/>
      </w:r>
      <w:r>
        <w:fldChar w:fldCharType="begin"/>
      </w:r>
      <w:r>
        <w:instrText xml:space="preserve"> PAGEREF _Toc462409329 \h </w:instrText>
      </w:r>
      <w:r>
        <w:fldChar w:fldCharType="separate"/>
      </w:r>
      <w:r>
        <w:t>113</w:t>
      </w:r>
      <w:r>
        <w:fldChar w:fldCharType="end"/>
      </w:r>
    </w:p>
    <w:p>
      <w:pPr>
        <w:pStyle w:val="TOC8"/>
        <w:rPr>
          <w:rFonts w:asciiTheme="minorHAnsi" w:eastAsiaTheme="minorEastAsia" w:hAnsiTheme="minorHAnsi" w:cstheme="minorBidi"/>
          <w:szCs w:val="22"/>
        </w:rPr>
      </w:pPr>
      <w:r>
        <w:t>4.64.</w:t>
      </w:r>
      <w:r>
        <w:tab/>
        <w:t>Public notice about election</w:t>
      </w:r>
      <w:r>
        <w:tab/>
      </w:r>
      <w:r>
        <w:fldChar w:fldCharType="begin"/>
      </w:r>
      <w:r>
        <w:instrText xml:space="preserve"> PAGEREF _Toc462409330 \h </w:instrText>
      </w:r>
      <w:r>
        <w:fldChar w:fldCharType="separate"/>
      </w:r>
      <w:r>
        <w:t>113</w:t>
      </w:r>
      <w:r>
        <w:fldChar w:fldCharType="end"/>
      </w:r>
    </w:p>
    <w:p>
      <w:pPr>
        <w:pStyle w:val="TOC6"/>
        <w:tabs>
          <w:tab w:val="right" w:leader="dot" w:pos="7077"/>
        </w:tabs>
        <w:rPr>
          <w:rFonts w:asciiTheme="minorHAnsi" w:eastAsiaTheme="minorEastAsia" w:hAnsiTheme="minorHAnsi" w:cstheme="minorBidi"/>
          <w:b w:val="0"/>
          <w:sz w:val="22"/>
          <w:szCs w:val="22"/>
        </w:rPr>
      </w:pPr>
      <w:r>
        <w:t>Subdivision 6 — Stage 5: Voting</w:t>
      </w:r>
    </w:p>
    <w:p>
      <w:pPr>
        <w:pStyle w:val="TOC8"/>
        <w:rPr>
          <w:rFonts w:asciiTheme="minorHAnsi" w:eastAsiaTheme="minorEastAsia" w:hAnsiTheme="minorHAnsi" w:cstheme="minorBidi"/>
          <w:szCs w:val="22"/>
        </w:rPr>
      </w:pPr>
      <w:r>
        <w:t>4.65.</w:t>
      </w:r>
      <w:r>
        <w:tab/>
        <w:t>Right to vote</w:t>
      </w:r>
      <w:r>
        <w:tab/>
      </w:r>
      <w:r>
        <w:fldChar w:fldCharType="begin"/>
      </w:r>
      <w:r>
        <w:instrText xml:space="preserve"> PAGEREF _Toc462409332 \h </w:instrText>
      </w:r>
      <w:r>
        <w:fldChar w:fldCharType="separate"/>
      </w:r>
      <w:r>
        <w:t>114</w:t>
      </w:r>
      <w:r>
        <w:fldChar w:fldCharType="end"/>
      </w:r>
    </w:p>
    <w:p>
      <w:pPr>
        <w:pStyle w:val="TOC8"/>
        <w:rPr>
          <w:rFonts w:asciiTheme="minorHAnsi" w:eastAsiaTheme="minorEastAsia" w:hAnsiTheme="minorHAnsi" w:cstheme="minorBidi"/>
          <w:szCs w:val="22"/>
        </w:rPr>
      </w:pPr>
      <w:r>
        <w:t>4.66.</w:t>
      </w:r>
      <w:r>
        <w:tab/>
        <w:t>One vote for each elector</w:t>
      </w:r>
      <w:r>
        <w:tab/>
      </w:r>
      <w:r>
        <w:fldChar w:fldCharType="begin"/>
      </w:r>
      <w:r>
        <w:instrText xml:space="preserve"> PAGEREF _Toc462409333 \h </w:instrText>
      </w:r>
      <w:r>
        <w:fldChar w:fldCharType="separate"/>
      </w:r>
      <w:r>
        <w:t>114</w:t>
      </w:r>
      <w:r>
        <w:fldChar w:fldCharType="end"/>
      </w:r>
    </w:p>
    <w:p>
      <w:pPr>
        <w:pStyle w:val="TOC8"/>
        <w:rPr>
          <w:rFonts w:asciiTheme="minorHAnsi" w:eastAsiaTheme="minorEastAsia" w:hAnsiTheme="minorHAnsi" w:cstheme="minorBidi"/>
          <w:szCs w:val="22"/>
        </w:rPr>
      </w:pPr>
      <w:r>
        <w:t>4.67.</w:t>
      </w:r>
      <w:r>
        <w:tab/>
        <w:t>Where to vote in person</w:t>
      </w:r>
      <w:r>
        <w:tab/>
      </w:r>
      <w:r>
        <w:fldChar w:fldCharType="begin"/>
      </w:r>
      <w:r>
        <w:instrText xml:space="preserve"> PAGEREF _Toc462409334 \h </w:instrText>
      </w:r>
      <w:r>
        <w:fldChar w:fldCharType="separate"/>
      </w:r>
      <w:r>
        <w:t>114</w:t>
      </w:r>
      <w:r>
        <w:fldChar w:fldCharType="end"/>
      </w:r>
    </w:p>
    <w:p>
      <w:pPr>
        <w:pStyle w:val="TOC8"/>
        <w:rPr>
          <w:rFonts w:asciiTheme="minorHAnsi" w:eastAsiaTheme="minorEastAsia" w:hAnsiTheme="minorHAnsi" w:cstheme="minorBidi"/>
          <w:szCs w:val="22"/>
        </w:rPr>
      </w:pPr>
      <w:r>
        <w:t>4.68.</w:t>
      </w:r>
      <w:r>
        <w:tab/>
        <w:t>When to vote</w:t>
      </w:r>
      <w:r>
        <w:tab/>
      </w:r>
      <w:r>
        <w:fldChar w:fldCharType="begin"/>
      </w:r>
      <w:r>
        <w:instrText xml:space="preserve"> PAGEREF _Toc462409335 \h </w:instrText>
      </w:r>
      <w:r>
        <w:fldChar w:fldCharType="separate"/>
      </w:r>
      <w:r>
        <w:t>115</w:t>
      </w:r>
      <w:r>
        <w:fldChar w:fldCharType="end"/>
      </w:r>
    </w:p>
    <w:p>
      <w:pPr>
        <w:pStyle w:val="TOC8"/>
        <w:rPr>
          <w:rFonts w:asciiTheme="minorHAnsi" w:eastAsiaTheme="minorEastAsia" w:hAnsiTheme="minorHAnsi" w:cstheme="minorBidi"/>
          <w:szCs w:val="22"/>
        </w:rPr>
      </w:pPr>
      <w:r>
        <w:t>4.69.</w:t>
      </w:r>
      <w:r>
        <w:tab/>
        <w:t>How to vote</w:t>
      </w:r>
      <w:r>
        <w:tab/>
      </w:r>
      <w:r>
        <w:fldChar w:fldCharType="begin"/>
      </w:r>
      <w:r>
        <w:instrText xml:space="preserve"> PAGEREF _Toc462409336 \h </w:instrText>
      </w:r>
      <w:r>
        <w:fldChar w:fldCharType="separate"/>
      </w:r>
      <w:r>
        <w:t>115</w:t>
      </w:r>
      <w:r>
        <w:fldChar w:fldCharType="end"/>
      </w:r>
    </w:p>
    <w:p>
      <w:pPr>
        <w:pStyle w:val="TOC8"/>
        <w:rPr>
          <w:rFonts w:asciiTheme="minorHAnsi" w:eastAsiaTheme="minorEastAsia" w:hAnsiTheme="minorHAnsi" w:cstheme="minorBidi"/>
          <w:szCs w:val="22"/>
        </w:rPr>
      </w:pPr>
      <w:r>
        <w:t>4.70.</w:t>
      </w:r>
      <w:r>
        <w:tab/>
        <w:t>Presiding officer to maintain order at polling place</w:t>
      </w:r>
      <w:r>
        <w:tab/>
      </w:r>
      <w:r>
        <w:fldChar w:fldCharType="begin"/>
      </w:r>
      <w:r>
        <w:instrText xml:space="preserve"> PAGEREF _Toc462409337 \h </w:instrText>
      </w:r>
      <w:r>
        <w:fldChar w:fldCharType="separate"/>
      </w:r>
      <w:r>
        <w:t>116</w:t>
      </w:r>
      <w:r>
        <w:fldChar w:fldCharType="end"/>
      </w:r>
    </w:p>
    <w:p>
      <w:pPr>
        <w:pStyle w:val="TOC8"/>
        <w:rPr>
          <w:rFonts w:asciiTheme="minorHAnsi" w:eastAsiaTheme="minorEastAsia" w:hAnsiTheme="minorHAnsi" w:cstheme="minorBidi"/>
          <w:szCs w:val="22"/>
        </w:rPr>
      </w:pPr>
      <w:r>
        <w:t>4.71.</w:t>
      </w:r>
      <w:r>
        <w:tab/>
        <w:t>Regulations about voting procedure</w:t>
      </w:r>
      <w:r>
        <w:tab/>
      </w:r>
      <w:r>
        <w:fldChar w:fldCharType="begin"/>
      </w:r>
      <w:r>
        <w:instrText xml:space="preserve"> PAGEREF _Toc462409338 \h </w:instrText>
      </w:r>
      <w:r>
        <w:fldChar w:fldCharType="separate"/>
      </w:r>
      <w:r>
        <w:t>116</w:t>
      </w:r>
      <w:r>
        <w:fldChar w:fldCharType="end"/>
      </w:r>
    </w:p>
    <w:p>
      <w:pPr>
        <w:pStyle w:val="TOC6"/>
        <w:tabs>
          <w:tab w:val="right" w:leader="dot" w:pos="7077"/>
        </w:tabs>
        <w:rPr>
          <w:rFonts w:asciiTheme="minorHAnsi" w:eastAsiaTheme="minorEastAsia" w:hAnsiTheme="minorHAnsi" w:cstheme="minorBidi"/>
          <w:b w:val="0"/>
          <w:sz w:val="22"/>
          <w:szCs w:val="22"/>
        </w:rPr>
      </w:pPr>
      <w:r>
        <w:t>Subdivision 7 — Stage 6: Counting the votes</w:t>
      </w:r>
    </w:p>
    <w:p>
      <w:pPr>
        <w:pStyle w:val="TOC8"/>
        <w:rPr>
          <w:rFonts w:asciiTheme="minorHAnsi" w:eastAsiaTheme="minorEastAsia" w:hAnsiTheme="minorHAnsi" w:cstheme="minorBidi"/>
          <w:szCs w:val="22"/>
        </w:rPr>
      </w:pPr>
      <w:r>
        <w:t>4.72.</w:t>
      </w:r>
      <w:r>
        <w:tab/>
        <w:t>Outcome of election to be determined</w:t>
      </w:r>
      <w:r>
        <w:tab/>
      </w:r>
      <w:r>
        <w:fldChar w:fldCharType="begin"/>
      </w:r>
      <w:r>
        <w:instrText xml:space="preserve"> PAGEREF _Toc462409340 \h </w:instrText>
      </w:r>
      <w:r>
        <w:fldChar w:fldCharType="separate"/>
      </w:r>
      <w:r>
        <w:t>117</w:t>
      </w:r>
      <w:r>
        <w:fldChar w:fldCharType="end"/>
      </w:r>
    </w:p>
    <w:p>
      <w:pPr>
        <w:pStyle w:val="TOC8"/>
        <w:rPr>
          <w:rFonts w:asciiTheme="minorHAnsi" w:eastAsiaTheme="minorEastAsia" w:hAnsiTheme="minorHAnsi" w:cstheme="minorBidi"/>
          <w:szCs w:val="22"/>
        </w:rPr>
      </w:pPr>
      <w:r>
        <w:t>4.73.</w:t>
      </w:r>
      <w:r>
        <w:tab/>
        <w:t>Procedure when person is candidate in 2 elections</w:t>
      </w:r>
      <w:r>
        <w:tab/>
      </w:r>
      <w:r>
        <w:fldChar w:fldCharType="begin"/>
      </w:r>
      <w:r>
        <w:instrText xml:space="preserve"> PAGEREF _Toc462409341 \h </w:instrText>
      </w:r>
      <w:r>
        <w:fldChar w:fldCharType="separate"/>
      </w:r>
      <w:r>
        <w:t>117</w:t>
      </w:r>
      <w:r>
        <w:fldChar w:fldCharType="end"/>
      </w:r>
    </w:p>
    <w:p>
      <w:pPr>
        <w:pStyle w:val="TOC8"/>
        <w:rPr>
          <w:rFonts w:asciiTheme="minorHAnsi" w:eastAsiaTheme="minorEastAsia" w:hAnsiTheme="minorHAnsi" w:cstheme="minorBidi"/>
          <w:szCs w:val="22"/>
        </w:rPr>
      </w:pPr>
      <w:r>
        <w:t>4.74.</w:t>
      </w:r>
      <w:r>
        <w:tab/>
        <w:t>How votes counted (Sch. 4.1)</w:t>
      </w:r>
      <w:r>
        <w:tab/>
      </w:r>
      <w:r>
        <w:fldChar w:fldCharType="begin"/>
      </w:r>
      <w:r>
        <w:instrText xml:space="preserve"> PAGEREF _Toc462409342 \h </w:instrText>
      </w:r>
      <w:r>
        <w:fldChar w:fldCharType="separate"/>
      </w:r>
      <w:r>
        <w:t>118</w:t>
      </w:r>
      <w:r>
        <w:fldChar w:fldCharType="end"/>
      </w:r>
    </w:p>
    <w:p>
      <w:pPr>
        <w:pStyle w:val="TOC8"/>
        <w:rPr>
          <w:rFonts w:asciiTheme="minorHAnsi" w:eastAsiaTheme="minorEastAsia" w:hAnsiTheme="minorHAnsi" w:cstheme="minorBidi"/>
          <w:szCs w:val="22"/>
        </w:rPr>
      </w:pPr>
      <w:r>
        <w:t>4.75.</w:t>
      </w:r>
      <w:r>
        <w:tab/>
        <w:t>Giving effect to elector’s wishes</w:t>
      </w:r>
      <w:r>
        <w:tab/>
      </w:r>
      <w:r>
        <w:fldChar w:fldCharType="begin"/>
      </w:r>
      <w:r>
        <w:instrText xml:space="preserve"> PAGEREF _Toc462409343 \h </w:instrText>
      </w:r>
      <w:r>
        <w:fldChar w:fldCharType="separate"/>
      </w:r>
      <w:r>
        <w:t>118</w:t>
      </w:r>
      <w:r>
        <w:fldChar w:fldCharType="end"/>
      </w:r>
    </w:p>
    <w:p>
      <w:pPr>
        <w:pStyle w:val="TOC8"/>
        <w:rPr>
          <w:rFonts w:asciiTheme="minorHAnsi" w:eastAsiaTheme="minorEastAsia" w:hAnsiTheme="minorHAnsi" w:cstheme="minorBidi"/>
          <w:szCs w:val="22"/>
        </w:rPr>
      </w:pPr>
      <w:r>
        <w:t>4.76.</w:t>
      </w:r>
      <w:r>
        <w:tab/>
        <w:t>Review of decisions on ballot papers</w:t>
      </w:r>
      <w:r>
        <w:tab/>
      </w:r>
      <w:r>
        <w:fldChar w:fldCharType="begin"/>
      </w:r>
      <w:r>
        <w:instrText xml:space="preserve"> PAGEREF _Toc462409344 \h </w:instrText>
      </w:r>
      <w:r>
        <w:fldChar w:fldCharType="separate"/>
      </w:r>
      <w:r>
        <w:t>119</w:t>
      </w:r>
      <w:r>
        <w:fldChar w:fldCharType="end"/>
      </w:r>
    </w:p>
    <w:p>
      <w:pPr>
        <w:pStyle w:val="TOC6"/>
        <w:tabs>
          <w:tab w:val="right" w:leader="dot" w:pos="7077"/>
        </w:tabs>
        <w:rPr>
          <w:rFonts w:asciiTheme="minorHAnsi" w:eastAsiaTheme="minorEastAsia" w:hAnsiTheme="minorHAnsi" w:cstheme="minorBidi"/>
          <w:b w:val="0"/>
          <w:sz w:val="22"/>
          <w:szCs w:val="22"/>
        </w:rPr>
      </w:pPr>
      <w:r>
        <w:t>Subdivision 8 — Stage 7: Declaring the result</w:t>
      </w:r>
    </w:p>
    <w:p>
      <w:pPr>
        <w:pStyle w:val="TOC8"/>
        <w:rPr>
          <w:rFonts w:asciiTheme="minorHAnsi" w:eastAsiaTheme="minorEastAsia" w:hAnsiTheme="minorHAnsi" w:cstheme="minorBidi"/>
          <w:szCs w:val="22"/>
        </w:rPr>
      </w:pPr>
      <w:r>
        <w:t>4.77.</w:t>
      </w:r>
      <w:r>
        <w:tab/>
        <w:t>Returning officer to declare result</w:t>
      </w:r>
      <w:r>
        <w:tab/>
      </w:r>
      <w:r>
        <w:fldChar w:fldCharType="begin"/>
      </w:r>
      <w:r>
        <w:instrText xml:space="preserve"> PAGEREF _Toc462409346 \h </w:instrText>
      </w:r>
      <w:r>
        <w:fldChar w:fldCharType="separate"/>
      </w:r>
      <w:r>
        <w:t>119</w:t>
      </w:r>
      <w:r>
        <w:fldChar w:fldCharType="end"/>
      </w:r>
    </w:p>
    <w:p>
      <w:pPr>
        <w:pStyle w:val="TOC8"/>
        <w:rPr>
          <w:rFonts w:asciiTheme="minorHAnsi" w:eastAsiaTheme="minorEastAsia" w:hAnsiTheme="minorHAnsi" w:cstheme="minorBidi"/>
          <w:szCs w:val="22"/>
        </w:rPr>
      </w:pPr>
      <w:r>
        <w:t>4.78.</w:t>
      </w:r>
      <w:r>
        <w:tab/>
        <w:t>Order of retirement of councillors</w:t>
      </w:r>
      <w:r>
        <w:tab/>
      </w:r>
      <w:r>
        <w:fldChar w:fldCharType="begin"/>
      </w:r>
      <w:r>
        <w:instrText xml:space="preserve"> PAGEREF _Toc462409347 \h </w:instrText>
      </w:r>
      <w:r>
        <w:fldChar w:fldCharType="separate"/>
      </w:r>
      <w:r>
        <w:t>119</w:t>
      </w:r>
      <w:r>
        <w:fldChar w:fldCharType="end"/>
      </w:r>
    </w:p>
    <w:p>
      <w:pPr>
        <w:pStyle w:val="TOC8"/>
        <w:rPr>
          <w:rFonts w:asciiTheme="minorHAnsi" w:eastAsiaTheme="minorEastAsia" w:hAnsiTheme="minorHAnsi" w:cstheme="minorBidi"/>
          <w:szCs w:val="22"/>
        </w:rPr>
      </w:pPr>
      <w:r>
        <w:t>4.79.</w:t>
      </w:r>
      <w:r>
        <w:tab/>
        <w:t>Report to Minister</w:t>
      </w:r>
      <w:r>
        <w:tab/>
      </w:r>
      <w:r>
        <w:fldChar w:fldCharType="begin"/>
      </w:r>
      <w:r>
        <w:instrText xml:space="preserve"> PAGEREF _Toc462409348 \h </w:instrText>
      </w:r>
      <w:r>
        <w:fldChar w:fldCharType="separate"/>
      </w:r>
      <w:r>
        <w:t>119</w:t>
      </w:r>
      <w:r>
        <w:fldChar w:fldCharType="end"/>
      </w:r>
    </w:p>
    <w:p>
      <w:pPr>
        <w:pStyle w:val="TOC4"/>
        <w:tabs>
          <w:tab w:val="right" w:leader="dot" w:pos="7077"/>
        </w:tabs>
        <w:rPr>
          <w:rFonts w:asciiTheme="minorHAnsi" w:eastAsiaTheme="minorEastAsia" w:hAnsiTheme="minorHAnsi" w:cstheme="minorBidi"/>
          <w:b w:val="0"/>
          <w:szCs w:val="22"/>
        </w:rPr>
      </w:pPr>
      <w:r>
        <w:t>Division 10 — Validity of elections</w:t>
      </w:r>
    </w:p>
    <w:p>
      <w:pPr>
        <w:pStyle w:val="TOC8"/>
        <w:rPr>
          <w:rFonts w:asciiTheme="minorHAnsi" w:eastAsiaTheme="minorEastAsia" w:hAnsiTheme="minorHAnsi" w:cstheme="minorBidi"/>
          <w:szCs w:val="22"/>
        </w:rPr>
      </w:pPr>
      <w:r>
        <w:t>4.80.</w:t>
      </w:r>
      <w:r>
        <w:tab/>
        <w:t>Complaints about result of election</w:t>
      </w:r>
      <w:r>
        <w:tab/>
      </w:r>
      <w:r>
        <w:fldChar w:fldCharType="begin"/>
      </w:r>
      <w:r>
        <w:instrText xml:space="preserve"> PAGEREF _Toc462409350 \h </w:instrText>
      </w:r>
      <w:r>
        <w:fldChar w:fldCharType="separate"/>
      </w:r>
      <w:r>
        <w:t>120</w:t>
      </w:r>
      <w:r>
        <w:fldChar w:fldCharType="end"/>
      </w:r>
    </w:p>
    <w:p>
      <w:pPr>
        <w:pStyle w:val="TOC8"/>
        <w:rPr>
          <w:rFonts w:asciiTheme="minorHAnsi" w:eastAsiaTheme="minorEastAsia" w:hAnsiTheme="minorHAnsi" w:cstheme="minorBidi"/>
          <w:szCs w:val="22"/>
        </w:rPr>
      </w:pPr>
      <w:r>
        <w:t>4.81.</w:t>
      </w:r>
      <w:r>
        <w:tab/>
        <w:t>Complaints to go to Court of Disputed Returns</w:t>
      </w:r>
      <w:r>
        <w:tab/>
      </w:r>
      <w:r>
        <w:fldChar w:fldCharType="begin"/>
      </w:r>
      <w:r>
        <w:instrText xml:space="preserve"> PAGEREF _Toc462409351 \h </w:instrText>
      </w:r>
      <w:r>
        <w:fldChar w:fldCharType="separate"/>
      </w:r>
      <w:r>
        <w:t>120</w:t>
      </w:r>
      <w:r>
        <w:fldChar w:fldCharType="end"/>
      </w:r>
    </w:p>
    <w:p>
      <w:pPr>
        <w:pStyle w:val="TOC8"/>
        <w:rPr>
          <w:rFonts w:asciiTheme="minorHAnsi" w:eastAsiaTheme="minorEastAsia" w:hAnsiTheme="minorHAnsi" w:cstheme="minorBidi"/>
          <w:szCs w:val="22"/>
        </w:rPr>
      </w:pPr>
      <w:r>
        <w:t>4.82.</w:t>
      </w:r>
      <w:r>
        <w:tab/>
        <w:t>No appeal</w:t>
      </w:r>
      <w:r>
        <w:tab/>
      </w:r>
      <w:r>
        <w:fldChar w:fldCharType="begin"/>
      </w:r>
      <w:r>
        <w:instrText xml:space="preserve"> PAGEREF _Toc462409352 \h </w:instrText>
      </w:r>
      <w:r>
        <w:fldChar w:fldCharType="separate"/>
      </w:r>
      <w:r>
        <w:t>121</w:t>
      </w:r>
      <w:r>
        <w:fldChar w:fldCharType="end"/>
      </w:r>
    </w:p>
    <w:p>
      <w:pPr>
        <w:pStyle w:val="TOC8"/>
        <w:rPr>
          <w:rFonts w:asciiTheme="minorHAnsi" w:eastAsiaTheme="minorEastAsia" w:hAnsiTheme="minorHAnsi" w:cstheme="minorBidi"/>
          <w:szCs w:val="22"/>
        </w:rPr>
      </w:pPr>
      <w:r>
        <w:t>4.83.</w:t>
      </w:r>
      <w:r>
        <w:tab/>
        <w:t>Validity of election</w:t>
      </w:r>
      <w:r>
        <w:tab/>
      </w:r>
      <w:r>
        <w:fldChar w:fldCharType="begin"/>
      </w:r>
      <w:r>
        <w:instrText xml:space="preserve"> PAGEREF _Toc462409353 \h </w:instrText>
      </w:r>
      <w:r>
        <w:fldChar w:fldCharType="separate"/>
      </w:r>
      <w:r>
        <w:t>121</w:t>
      </w:r>
      <w:r>
        <w:fldChar w:fldCharType="end"/>
      </w:r>
    </w:p>
    <w:p>
      <w:pPr>
        <w:pStyle w:val="TOC8"/>
        <w:rPr>
          <w:rFonts w:asciiTheme="minorHAnsi" w:eastAsiaTheme="minorEastAsia" w:hAnsiTheme="minorHAnsi" w:cstheme="minorBidi"/>
          <w:szCs w:val="22"/>
        </w:rPr>
      </w:pPr>
      <w:r>
        <w:t>4.84.</w:t>
      </w:r>
      <w:r>
        <w:tab/>
        <w:t>Retention and availability of electoral papers, regulations about</w:t>
      </w:r>
      <w:r>
        <w:tab/>
      </w:r>
      <w:r>
        <w:fldChar w:fldCharType="begin"/>
      </w:r>
      <w:r>
        <w:instrText xml:space="preserve"> PAGEREF _Toc462409354 \h </w:instrText>
      </w:r>
      <w:r>
        <w:fldChar w:fldCharType="separate"/>
      </w:r>
      <w:r>
        <w:t>121</w:t>
      </w:r>
      <w:r>
        <w:fldChar w:fldCharType="end"/>
      </w:r>
    </w:p>
    <w:p>
      <w:pPr>
        <w:pStyle w:val="TOC4"/>
        <w:tabs>
          <w:tab w:val="right" w:leader="dot" w:pos="7077"/>
        </w:tabs>
        <w:rPr>
          <w:rFonts w:asciiTheme="minorHAnsi" w:eastAsiaTheme="minorEastAsia" w:hAnsiTheme="minorHAnsi" w:cstheme="minorBidi"/>
          <w:b w:val="0"/>
          <w:szCs w:val="22"/>
        </w:rPr>
      </w:pPr>
      <w:r>
        <w:t>Division 11 — Electoral offences</w:t>
      </w:r>
    </w:p>
    <w:p>
      <w:pPr>
        <w:pStyle w:val="TOC8"/>
        <w:rPr>
          <w:rFonts w:asciiTheme="minorHAnsi" w:eastAsiaTheme="minorEastAsia" w:hAnsiTheme="minorHAnsi" w:cstheme="minorBidi"/>
          <w:szCs w:val="22"/>
        </w:rPr>
      </w:pPr>
      <w:r>
        <w:t>4.85.</w:t>
      </w:r>
      <w:r>
        <w:tab/>
        <w:t>Bribery and undue influence, offence</w:t>
      </w:r>
      <w:r>
        <w:tab/>
      </w:r>
      <w:r>
        <w:fldChar w:fldCharType="begin"/>
      </w:r>
      <w:r>
        <w:instrText xml:space="preserve"> PAGEREF _Toc462409356 \h </w:instrText>
      </w:r>
      <w:r>
        <w:fldChar w:fldCharType="separate"/>
      </w:r>
      <w:r>
        <w:t>122</w:t>
      </w:r>
      <w:r>
        <w:fldChar w:fldCharType="end"/>
      </w:r>
    </w:p>
    <w:p>
      <w:pPr>
        <w:pStyle w:val="TOC8"/>
        <w:rPr>
          <w:rFonts w:asciiTheme="minorHAnsi" w:eastAsiaTheme="minorEastAsia" w:hAnsiTheme="minorHAnsi" w:cstheme="minorBidi"/>
          <w:szCs w:val="22"/>
        </w:rPr>
      </w:pPr>
      <w:r>
        <w:t>4.86.</w:t>
      </w:r>
      <w:r>
        <w:tab/>
        <w:t>Breach or neglect by officers, offence</w:t>
      </w:r>
      <w:r>
        <w:tab/>
      </w:r>
      <w:r>
        <w:fldChar w:fldCharType="begin"/>
      </w:r>
      <w:r>
        <w:instrText xml:space="preserve"> PAGEREF _Toc462409357 \h </w:instrText>
      </w:r>
      <w:r>
        <w:fldChar w:fldCharType="separate"/>
      </w:r>
      <w:r>
        <w:t>123</w:t>
      </w:r>
      <w:r>
        <w:fldChar w:fldCharType="end"/>
      </w:r>
    </w:p>
    <w:p>
      <w:pPr>
        <w:pStyle w:val="TOC8"/>
        <w:rPr>
          <w:rFonts w:asciiTheme="minorHAnsi" w:eastAsiaTheme="minorEastAsia" w:hAnsiTheme="minorHAnsi" w:cstheme="minorBidi"/>
          <w:szCs w:val="22"/>
        </w:rPr>
      </w:pPr>
      <w:r>
        <w:t>4.87.</w:t>
      </w:r>
      <w:r>
        <w:tab/>
        <w:t>Printing and publication of electoral material</w:t>
      </w:r>
      <w:r>
        <w:tab/>
      </w:r>
      <w:r>
        <w:fldChar w:fldCharType="begin"/>
      </w:r>
      <w:r>
        <w:instrText xml:space="preserve"> PAGEREF _Toc462409358 \h </w:instrText>
      </w:r>
      <w:r>
        <w:fldChar w:fldCharType="separate"/>
      </w:r>
      <w:r>
        <w:t>123</w:t>
      </w:r>
      <w:r>
        <w:fldChar w:fldCharType="end"/>
      </w:r>
    </w:p>
    <w:p>
      <w:pPr>
        <w:pStyle w:val="TOC8"/>
        <w:rPr>
          <w:rFonts w:asciiTheme="minorHAnsi" w:eastAsiaTheme="minorEastAsia" w:hAnsiTheme="minorHAnsi" w:cstheme="minorBidi"/>
          <w:szCs w:val="22"/>
        </w:rPr>
      </w:pPr>
      <w:r>
        <w:t>4.88.</w:t>
      </w:r>
      <w:r>
        <w:tab/>
        <w:t>Misleading, false or defamatory statements, offence</w:t>
      </w:r>
      <w:r>
        <w:tab/>
      </w:r>
      <w:r>
        <w:fldChar w:fldCharType="begin"/>
      </w:r>
      <w:r>
        <w:instrText xml:space="preserve"> PAGEREF _Toc462409359 \h </w:instrText>
      </w:r>
      <w:r>
        <w:fldChar w:fldCharType="separate"/>
      </w:r>
      <w:r>
        <w:t>124</w:t>
      </w:r>
      <w:r>
        <w:fldChar w:fldCharType="end"/>
      </w:r>
    </w:p>
    <w:p>
      <w:pPr>
        <w:pStyle w:val="TOC8"/>
        <w:rPr>
          <w:rFonts w:asciiTheme="minorHAnsi" w:eastAsiaTheme="minorEastAsia" w:hAnsiTheme="minorHAnsi" w:cstheme="minorBidi"/>
          <w:szCs w:val="22"/>
        </w:rPr>
      </w:pPr>
      <w:r>
        <w:t>4.89.</w:t>
      </w:r>
      <w:r>
        <w:tab/>
        <w:t>Canvassing in or near polling places, offence</w:t>
      </w:r>
      <w:r>
        <w:tab/>
      </w:r>
      <w:r>
        <w:fldChar w:fldCharType="begin"/>
      </w:r>
      <w:r>
        <w:instrText xml:space="preserve"> PAGEREF _Toc462409360 \h </w:instrText>
      </w:r>
      <w:r>
        <w:fldChar w:fldCharType="separate"/>
      </w:r>
      <w:r>
        <w:t>125</w:t>
      </w:r>
      <w:r>
        <w:fldChar w:fldCharType="end"/>
      </w:r>
    </w:p>
    <w:p>
      <w:pPr>
        <w:pStyle w:val="TOC8"/>
        <w:rPr>
          <w:rFonts w:asciiTheme="minorHAnsi" w:eastAsiaTheme="minorEastAsia" w:hAnsiTheme="minorHAnsi" w:cstheme="minorBidi"/>
          <w:szCs w:val="22"/>
        </w:rPr>
      </w:pPr>
      <w:r>
        <w:t>4.90.</w:t>
      </w:r>
      <w:r>
        <w:tab/>
        <w:t>False statements, offence</w:t>
      </w:r>
      <w:r>
        <w:tab/>
      </w:r>
      <w:r>
        <w:fldChar w:fldCharType="begin"/>
      </w:r>
      <w:r>
        <w:instrText xml:space="preserve"> PAGEREF _Toc462409361 \h </w:instrText>
      </w:r>
      <w:r>
        <w:fldChar w:fldCharType="separate"/>
      </w:r>
      <w:r>
        <w:t>125</w:t>
      </w:r>
      <w:r>
        <w:fldChar w:fldCharType="end"/>
      </w:r>
    </w:p>
    <w:p>
      <w:pPr>
        <w:pStyle w:val="TOC8"/>
        <w:rPr>
          <w:rFonts w:asciiTheme="minorHAnsi" w:eastAsiaTheme="minorEastAsia" w:hAnsiTheme="minorHAnsi" w:cstheme="minorBidi"/>
          <w:szCs w:val="22"/>
        </w:rPr>
      </w:pPr>
      <w:r>
        <w:t>4.91.</w:t>
      </w:r>
      <w:r>
        <w:tab/>
        <w:t>Nomination papers, ballot papers and ballot boxes, offences relating to</w:t>
      </w:r>
      <w:r>
        <w:tab/>
      </w:r>
      <w:r>
        <w:fldChar w:fldCharType="begin"/>
      </w:r>
      <w:r>
        <w:instrText xml:space="preserve"> PAGEREF _Toc462409362 \h </w:instrText>
      </w:r>
      <w:r>
        <w:fldChar w:fldCharType="separate"/>
      </w:r>
      <w:r>
        <w:t>126</w:t>
      </w:r>
      <w:r>
        <w:fldChar w:fldCharType="end"/>
      </w:r>
    </w:p>
    <w:p>
      <w:pPr>
        <w:pStyle w:val="TOC8"/>
        <w:rPr>
          <w:rFonts w:asciiTheme="minorHAnsi" w:eastAsiaTheme="minorEastAsia" w:hAnsiTheme="minorHAnsi" w:cstheme="minorBidi"/>
          <w:szCs w:val="22"/>
        </w:rPr>
      </w:pPr>
      <w:r>
        <w:t>4.92.</w:t>
      </w:r>
      <w:r>
        <w:tab/>
        <w:t>Postal votes, offences relating to</w:t>
      </w:r>
      <w:r>
        <w:tab/>
      </w:r>
      <w:r>
        <w:fldChar w:fldCharType="begin"/>
      </w:r>
      <w:r>
        <w:instrText xml:space="preserve"> PAGEREF _Toc462409363 \h </w:instrText>
      </w:r>
      <w:r>
        <w:fldChar w:fldCharType="separate"/>
      </w:r>
      <w:r>
        <w:t>126</w:t>
      </w:r>
      <w:r>
        <w:fldChar w:fldCharType="end"/>
      </w:r>
    </w:p>
    <w:p>
      <w:pPr>
        <w:pStyle w:val="TOC8"/>
        <w:rPr>
          <w:rFonts w:asciiTheme="minorHAnsi" w:eastAsiaTheme="minorEastAsia" w:hAnsiTheme="minorHAnsi" w:cstheme="minorBidi"/>
          <w:szCs w:val="22"/>
        </w:rPr>
      </w:pPr>
      <w:r>
        <w:t>4.93.</w:t>
      </w:r>
      <w:r>
        <w:tab/>
        <w:t>Interference with electors: infringement of secrecy, offence</w:t>
      </w:r>
      <w:r>
        <w:tab/>
      </w:r>
      <w:r>
        <w:fldChar w:fldCharType="begin"/>
      </w:r>
      <w:r>
        <w:instrText xml:space="preserve"> PAGEREF _Toc462409364 \h </w:instrText>
      </w:r>
      <w:r>
        <w:fldChar w:fldCharType="separate"/>
      </w:r>
      <w:r>
        <w:t>127</w:t>
      </w:r>
      <w:r>
        <w:fldChar w:fldCharType="end"/>
      </w:r>
    </w:p>
    <w:p>
      <w:pPr>
        <w:pStyle w:val="TOC8"/>
        <w:rPr>
          <w:rFonts w:asciiTheme="minorHAnsi" w:eastAsiaTheme="minorEastAsia" w:hAnsiTheme="minorHAnsi" w:cstheme="minorBidi"/>
          <w:szCs w:val="22"/>
        </w:rPr>
      </w:pPr>
      <w:r>
        <w:t>4.94.</w:t>
      </w:r>
      <w:r>
        <w:tab/>
        <w:t>Other electoral offences</w:t>
      </w:r>
      <w:r>
        <w:tab/>
      </w:r>
      <w:r>
        <w:fldChar w:fldCharType="begin"/>
      </w:r>
      <w:r>
        <w:instrText xml:space="preserve"> PAGEREF _Toc462409365 \h </w:instrText>
      </w:r>
      <w:r>
        <w:fldChar w:fldCharType="separate"/>
      </w:r>
      <w:r>
        <w:t>127</w:t>
      </w:r>
      <w:r>
        <w:fldChar w:fldCharType="end"/>
      </w:r>
    </w:p>
    <w:p>
      <w:pPr>
        <w:pStyle w:val="TOC8"/>
        <w:rPr>
          <w:rFonts w:asciiTheme="minorHAnsi" w:eastAsiaTheme="minorEastAsia" w:hAnsiTheme="minorHAnsi" w:cstheme="minorBidi"/>
          <w:szCs w:val="22"/>
        </w:rPr>
      </w:pPr>
      <w:r>
        <w:t>4.95.</w:t>
      </w:r>
      <w:r>
        <w:tab/>
        <w:t>Offences, attempts to commit</w:t>
      </w:r>
      <w:r>
        <w:tab/>
      </w:r>
      <w:r>
        <w:fldChar w:fldCharType="begin"/>
      </w:r>
      <w:r>
        <w:instrText xml:space="preserve"> PAGEREF _Toc462409366 \h </w:instrText>
      </w:r>
      <w:r>
        <w:fldChar w:fldCharType="separate"/>
      </w:r>
      <w:r>
        <w:t>128</w:t>
      </w:r>
      <w:r>
        <w:fldChar w:fldCharType="end"/>
      </w:r>
    </w:p>
    <w:p>
      <w:pPr>
        <w:pStyle w:val="TOC8"/>
        <w:rPr>
          <w:rFonts w:asciiTheme="minorHAnsi" w:eastAsiaTheme="minorEastAsia" w:hAnsiTheme="minorHAnsi" w:cstheme="minorBidi"/>
          <w:szCs w:val="22"/>
        </w:rPr>
      </w:pPr>
      <w:r>
        <w:t>4.96.</w:t>
      </w:r>
      <w:r>
        <w:tab/>
        <w:t>Investigation of electoral misconduct</w:t>
      </w:r>
      <w:r>
        <w:tab/>
      </w:r>
      <w:r>
        <w:fldChar w:fldCharType="begin"/>
      </w:r>
      <w:r>
        <w:instrText xml:space="preserve"> PAGEREF _Toc462409367 \h </w:instrText>
      </w:r>
      <w:r>
        <w:fldChar w:fldCharType="separate"/>
      </w:r>
      <w:r>
        <w:t>128</w:t>
      </w:r>
      <w:r>
        <w:fldChar w:fldCharType="end"/>
      </w:r>
    </w:p>
    <w:p>
      <w:pPr>
        <w:pStyle w:val="TOC8"/>
        <w:rPr>
          <w:rFonts w:asciiTheme="minorHAnsi" w:eastAsiaTheme="minorEastAsia" w:hAnsiTheme="minorHAnsi" w:cstheme="minorBidi"/>
          <w:szCs w:val="22"/>
        </w:rPr>
      </w:pPr>
      <w:r>
        <w:t>4.97.</w:t>
      </w:r>
      <w:r>
        <w:tab/>
        <w:t>Prosecutions</w:t>
      </w:r>
      <w:r>
        <w:tab/>
      </w:r>
      <w:r>
        <w:fldChar w:fldCharType="begin"/>
      </w:r>
      <w:r>
        <w:instrText xml:space="preserve"> PAGEREF _Toc462409368 \h </w:instrText>
      </w:r>
      <w:r>
        <w:fldChar w:fldCharType="separate"/>
      </w:r>
      <w:r>
        <w:t>129</w:t>
      </w:r>
      <w:r>
        <w:fldChar w:fldCharType="end"/>
      </w:r>
    </w:p>
    <w:p>
      <w:pPr>
        <w:pStyle w:val="TOC8"/>
        <w:rPr>
          <w:rFonts w:asciiTheme="minorHAnsi" w:eastAsiaTheme="minorEastAsia" w:hAnsiTheme="minorHAnsi" w:cstheme="minorBidi"/>
          <w:szCs w:val="22"/>
        </w:rPr>
      </w:pPr>
      <w:r>
        <w:t>4.98.</w:t>
      </w:r>
      <w:r>
        <w:tab/>
        <w:t>Criminal Code not to apply</w:t>
      </w:r>
      <w:r>
        <w:tab/>
      </w:r>
      <w:r>
        <w:fldChar w:fldCharType="begin"/>
      </w:r>
      <w:r>
        <w:instrText xml:space="preserve"> PAGEREF _Toc462409369 \h </w:instrText>
      </w:r>
      <w:r>
        <w:fldChar w:fldCharType="separate"/>
      </w:r>
      <w:r>
        <w:t>129</w:t>
      </w:r>
      <w:r>
        <w:fldChar w:fldCharType="end"/>
      </w:r>
    </w:p>
    <w:p>
      <w:pPr>
        <w:pStyle w:val="TOC4"/>
        <w:tabs>
          <w:tab w:val="right" w:leader="dot" w:pos="7077"/>
        </w:tabs>
        <w:rPr>
          <w:rFonts w:asciiTheme="minorHAnsi" w:eastAsiaTheme="minorEastAsia" w:hAnsiTheme="minorHAnsi" w:cstheme="minorBidi"/>
          <w:b w:val="0"/>
          <w:szCs w:val="22"/>
        </w:rPr>
      </w:pPr>
      <w:r>
        <w:t>Division 12 — Polls and referendums</w:t>
      </w:r>
    </w:p>
    <w:p>
      <w:pPr>
        <w:pStyle w:val="TOC8"/>
        <w:rPr>
          <w:rFonts w:asciiTheme="minorHAnsi" w:eastAsiaTheme="minorEastAsia" w:hAnsiTheme="minorHAnsi" w:cstheme="minorBidi"/>
          <w:szCs w:val="22"/>
        </w:rPr>
      </w:pPr>
      <w:r>
        <w:t>4.99.</w:t>
      </w:r>
      <w:r>
        <w:tab/>
        <w:t>Election procedures to apply to polls and referendums</w:t>
      </w:r>
      <w:r>
        <w:tab/>
      </w:r>
      <w:r>
        <w:fldChar w:fldCharType="begin"/>
      </w:r>
      <w:r>
        <w:instrText xml:space="preserve"> PAGEREF _Toc462409371 \h </w:instrText>
      </w:r>
      <w:r>
        <w:fldChar w:fldCharType="separate"/>
      </w:r>
      <w:r>
        <w:t>129</w:t>
      </w:r>
      <w:r>
        <w:fldChar w:fldCharType="end"/>
      </w:r>
    </w:p>
    <w:p>
      <w:pPr>
        <w:pStyle w:val="TOC2"/>
        <w:tabs>
          <w:tab w:val="right" w:leader="dot" w:pos="7077"/>
        </w:tabs>
        <w:rPr>
          <w:rFonts w:asciiTheme="minorHAnsi" w:eastAsiaTheme="minorEastAsia" w:hAnsiTheme="minorHAnsi" w:cstheme="minorBidi"/>
          <w:b w:val="0"/>
          <w:sz w:val="22"/>
          <w:szCs w:val="22"/>
        </w:rPr>
      </w:pPr>
      <w:r>
        <w:t>Part 5 — Administration</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5.1.</w:t>
      </w:r>
      <w:r>
        <w:tab/>
        <w:t>Term used: committee</w:t>
      </w:r>
      <w:r>
        <w:tab/>
      </w:r>
      <w:r>
        <w:fldChar w:fldCharType="begin"/>
      </w:r>
      <w:r>
        <w:instrText xml:space="preserve"> PAGEREF _Toc462409374 \h </w:instrText>
      </w:r>
      <w:r>
        <w:fldChar w:fldCharType="separate"/>
      </w:r>
      <w:r>
        <w:t>131</w:t>
      </w:r>
      <w:r>
        <w:fldChar w:fldCharType="end"/>
      </w:r>
    </w:p>
    <w:p>
      <w:pPr>
        <w:pStyle w:val="TOC8"/>
        <w:rPr>
          <w:rFonts w:asciiTheme="minorHAnsi" w:eastAsiaTheme="minorEastAsia" w:hAnsiTheme="minorHAnsi" w:cstheme="minorBidi"/>
          <w:szCs w:val="22"/>
        </w:rPr>
      </w:pPr>
      <w:r>
        <w:t>5.2.</w:t>
      </w:r>
      <w:r>
        <w:tab/>
        <w:t>Administration of local governments</w:t>
      </w:r>
      <w:r>
        <w:tab/>
      </w:r>
      <w:r>
        <w:fldChar w:fldCharType="begin"/>
      </w:r>
      <w:r>
        <w:instrText xml:space="preserve"> PAGEREF _Toc462409375 \h </w:instrText>
      </w:r>
      <w:r>
        <w:fldChar w:fldCharType="separate"/>
      </w:r>
      <w:r>
        <w:t>131</w:t>
      </w:r>
      <w:r>
        <w:fldChar w:fldCharType="end"/>
      </w:r>
    </w:p>
    <w:p>
      <w:pPr>
        <w:pStyle w:val="TOC4"/>
        <w:tabs>
          <w:tab w:val="right" w:leader="dot" w:pos="7077"/>
        </w:tabs>
        <w:rPr>
          <w:rFonts w:asciiTheme="minorHAnsi" w:eastAsiaTheme="minorEastAsia" w:hAnsiTheme="minorHAnsi" w:cstheme="minorBidi"/>
          <w:b w:val="0"/>
          <w:szCs w:val="22"/>
        </w:rPr>
      </w:pPr>
      <w:r>
        <w:t>Division 2 — Council meetings, committees and their meetings and electors’ meetings</w:t>
      </w:r>
    </w:p>
    <w:p>
      <w:pPr>
        <w:pStyle w:val="TOC6"/>
        <w:tabs>
          <w:tab w:val="right" w:leader="dot" w:pos="7077"/>
        </w:tabs>
        <w:rPr>
          <w:rFonts w:asciiTheme="minorHAnsi" w:eastAsiaTheme="minorEastAsia" w:hAnsiTheme="minorHAnsi" w:cstheme="minorBidi"/>
          <w:b w:val="0"/>
          <w:sz w:val="22"/>
          <w:szCs w:val="22"/>
        </w:rPr>
      </w:pPr>
      <w:r>
        <w:t>Subdivision 1 — Council meetings</w:t>
      </w:r>
    </w:p>
    <w:p>
      <w:pPr>
        <w:pStyle w:val="TOC8"/>
        <w:rPr>
          <w:rFonts w:asciiTheme="minorHAnsi" w:eastAsiaTheme="minorEastAsia" w:hAnsiTheme="minorHAnsi" w:cstheme="minorBidi"/>
          <w:szCs w:val="22"/>
        </w:rPr>
      </w:pPr>
      <w:r>
        <w:t>5.3.</w:t>
      </w:r>
      <w:r>
        <w:tab/>
        <w:t>Ordinary and special council meetings</w:t>
      </w:r>
      <w:r>
        <w:tab/>
      </w:r>
      <w:r>
        <w:fldChar w:fldCharType="begin"/>
      </w:r>
      <w:r>
        <w:instrText xml:space="preserve"> PAGEREF _Toc462409378 \h </w:instrText>
      </w:r>
      <w:r>
        <w:fldChar w:fldCharType="separate"/>
      </w:r>
      <w:r>
        <w:t>132</w:t>
      </w:r>
      <w:r>
        <w:fldChar w:fldCharType="end"/>
      </w:r>
    </w:p>
    <w:p>
      <w:pPr>
        <w:pStyle w:val="TOC8"/>
        <w:rPr>
          <w:rFonts w:asciiTheme="minorHAnsi" w:eastAsiaTheme="minorEastAsia" w:hAnsiTheme="minorHAnsi" w:cstheme="minorBidi"/>
          <w:szCs w:val="22"/>
        </w:rPr>
      </w:pPr>
      <w:r>
        <w:t>5.4.</w:t>
      </w:r>
      <w:r>
        <w:tab/>
        <w:t>Calling council meetings</w:t>
      </w:r>
      <w:r>
        <w:tab/>
      </w:r>
      <w:r>
        <w:fldChar w:fldCharType="begin"/>
      </w:r>
      <w:r>
        <w:instrText xml:space="preserve"> PAGEREF _Toc462409379 \h </w:instrText>
      </w:r>
      <w:r>
        <w:fldChar w:fldCharType="separate"/>
      </w:r>
      <w:r>
        <w:t>132</w:t>
      </w:r>
      <w:r>
        <w:fldChar w:fldCharType="end"/>
      </w:r>
    </w:p>
    <w:p>
      <w:pPr>
        <w:pStyle w:val="TOC8"/>
        <w:rPr>
          <w:rFonts w:asciiTheme="minorHAnsi" w:eastAsiaTheme="minorEastAsia" w:hAnsiTheme="minorHAnsi" w:cstheme="minorBidi"/>
          <w:szCs w:val="22"/>
        </w:rPr>
      </w:pPr>
      <w:r>
        <w:t>5.5.</w:t>
      </w:r>
      <w:r>
        <w:tab/>
        <w:t>Convening council meetings</w:t>
      </w:r>
      <w:r>
        <w:tab/>
      </w:r>
      <w:r>
        <w:fldChar w:fldCharType="begin"/>
      </w:r>
      <w:r>
        <w:instrText xml:space="preserve"> PAGEREF _Toc462409380 \h </w:instrText>
      </w:r>
      <w:r>
        <w:fldChar w:fldCharType="separate"/>
      </w:r>
      <w:r>
        <w:t>132</w:t>
      </w:r>
      <w:r>
        <w:fldChar w:fldCharType="end"/>
      </w:r>
    </w:p>
    <w:p>
      <w:pPr>
        <w:pStyle w:val="TOC8"/>
        <w:rPr>
          <w:rFonts w:asciiTheme="minorHAnsi" w:eastAsiaTheme="minorEastAsia" w:hAnsiTheme="minorHAnsi" w:cstheme="minorBidi"/>
          <w:szCs w:val="22"/>
        </w:rPr>
      </w:pPr>
      <w:r>
        <w:t>5.6.</w:t>
      </w:r>
      <w:r>
        <w:tab/>
        <w:t>Who presides at council meetings</w:t>
      </w:r>
      <w:r>
        <w:tab/>
      </w:r>
      <w:r>
        <w:fldChar w:fldCharType="begin"/>
      </w:r>
      <w:r>
        <w:instrText xml:space="preserve"> PAGEREF _Toc462409381 \h </w:instrText>
      </w:r>
      <w:r>
        <w:fldChar w:fldCharType="separate"/>
      </w:r>
      <w:r>
        <w:t>132</w:t>
      </w:r>
      <w:r>
        <w:fldChar w:fldCharType="end"/>
      </w:r>
    </w:p>
    <w:p>
      <w:pPr>
        <w:pStyle w:val="TOC8"/>
        <w:rPr>
          <w:rFonts w:asciiTheme="minorHAnsi" w:eastAsiaTheme="minorEastAsia" w:hAnsiTheme="minorHAnsi" w:cstheme="minorBidi"/>
          <w:szCs w:val="22"/>
        </w:rPr>
      </w:pPr>
      <w:r>
        <w:t>5.7.</w:t>
      </w:r>
      <w:r>
        <w:tab/>
        <w:t>Minister may reduce number for quorum and certain majorities</w:t>
      </w:r>
      <w:r>
        <w:tab/>
      </w:r>
      <w:r>
        <w:fldChar w:fldCharType="begin"/>
      </w:r>
      <w:r>
        <w:instrText xml:space="preserve"> PAGEREF _Toc462409382 \h </w:instrText>
      </w:r>
      <w:r>
        <w:fldChar w:fldCharType="separate"/>
      </w:r>
      <w:r>
        <w:t>133</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Committees and their meetings</w:t>
      </w:r>
    </w:p>
    <w:p>
      <w:pPr>
        <w:pStyle w:val="TOC8"/>
        <w:rPr>
          <w:rFonts w:asciiTheme="minorHAnsi" w:eastAsiaTheme="minorEastAsia" w:hAnsiTheme="minorHAnsi" w:cstheme="minorBidi"/>
          <w:szCs w:val="22"/>
        </w:rPr>
      </w:pPr>
      <w:r>
        <w:t>5.8.</w:t>
      </w:r>
      <w:r>
        <w:tab/>
        <w:t>Establishment of committees</w:t>
      </w:r>
      <w:r>
        <w:tab/>
      </w:r>
      <w:r>
        <w:fldChar w:fldCharType="begin"/>
      </w:r>
      <w:r>
        <w:instrText xml:space="preserve"> PAGEREF _Toc462409384 \h </w:instrText>
      </w:r>
      <w:r>
        <w:fldChar w:fldCharType="separate"/>
      </w:r>
      <w:r>
        <w:t>133</w:t>
      </w:r>
      <w:r>
        <w:fldChar w:fldCharType="end"/>
      </w:r>
    </w:p>
    <w:p>
      <w:pPr>
        <w:pStyle w:val="TOC8"/>
        <w:rPr>
          <w:rFonts w:asciiTheme="minorHAnsi" w:eastAsiaTheme="minorEastAsia" w:hAnsiTheme="minorHAnsi" w:cstheme="minorBidi"/>
          <w:szCs w:val="22"/>
        </w:rPr>
      </w:pPr>
      <w:r>
        <w:t>5.9.</w:t>
      </w:r>
      <w:r>
        <w:tab/>
        <w:t>Committees, types of</w:t>
      </w:r>
      <w:r>
        <w:tab/>
      </w:r>
      <w:r>
        <w:fldChar w:fldCharType="begin"/>
      </w:r>
      <w:r>
        <w:instrText xml:space="preserve"> PAGEREF _Toc462409385 \h </w:instrText>
      </w:r>
      <w:r>
        <w:fldChar w:fldCharType="separate"/>
      </w:r>
      <w:r>
        <w:t>134</w:t>
      </w:r>
      <w:r>
        <w:fldChar w:fldCharType="end"/>
      </w:r>
    </w:p>
    <w:p>
      <w:pPr>
        <w:pStyle w:val="TOC8"/>
        <w:rPr>
          <w:rFonts w:asciiTheme="minorHAnsi" w:eastAsiaTheme="minorEastAsia" w:hAnsiTheme="minorHAnsi" w:cstheme="minorBidi"/>
          <w:szCs w:val="22"/>
        </w:rPr>
      </w:pPr>
      <w:r>
        <w:t>5.10.</w:t>
      </w:r>
      <w:r>
        <w:tab/>
        <w:t>Committee members, appointment of</w:t>
      </w:r>
      <w:r>
        <w:tab/>
      </w:r>
      <w:r>
        <w:fldChar w:fldCharType="begin"/>
      </w:r>
      <w:r>
        <w:instrText xml:space="preserve"> PAGEREF _Toc462409386 \h </w:instrText>
      </w:r>
      <w:r>
        <w:fldChar w:fldCharType="separate"/>
      </w:r>
      <w:r>
        <w:t>134</w:t>
      </w:r>
      <w:r>
        <w:fldChar w:fldCharType="end"/>
      </w:r>
    </w:p>
    <w:p>
      <w:pPr>
        <w:pStyle w:val="TOC8"/>
        <w:rPr>
          <w:rFonts w:asciiTheme="minorHAnsi" w:eastAsiaTheme="minorEastAsia" w:hAnsiTheme="minorHAnsi" w:cstheme="minorBidi"/>
          <w:szCs w:val="22"/>
        </w:rPr>
      </w:pPr>
      <w:r>
        <w:t>5.11A.</w:t>
      </w:r>
      <w:r>
        <w:tab/>
        <w:t>Deputy committee members</w:t>
      </w:r>
      <w:r>
        <w:tab/>
      </w:r>
      <w:r>
        <w:fldChar w:fldCharType="begin"/>
      </w:r>
      <w:r>
        <w:instrText xml:space="preserve"> PAGEREF _Toc462409387 \h </w:instrText>
      </w:r>
      <w:r>
        <w:fldChar w:fldCharType="separate"/>
      </w:r>
      <w:r>
        <w:t>135</w:t>
      </w:r>
      <w:r>
        <w:fldChar w:fldCharType="end"/>
      </w:r>
    </w:p>
    <w:p>
      <w:pPr>
        <w:pStyle w:val="TOC8"/>
        <w:rPr>
          <w:rFonts w:asciiTheme="minorHAnsi" w:eastAsiaTheme="minorEastAsia" w:hAnsiTheme="minorHAnsi" w:cstheme="minorBidi"/>
          <w:szCs w:val="22"/>
        </w:rPr>
      </w:pPr>
      <w:r>
        <w:t>5.11.</w:t>
      </w:r>
      <w:r>
        <w:tab/>
        <w:t>Committee membership, tenure of</w:t>
      </w:r>
      <w:r>
        <w:tab/>
      </w:r>
      <w:r>
        <w:fldChar w:fldCharType="begin"/>
      </w:r>
      <w:r>
        <w:instrText xml:space="preserve"> PAGEREF _Toc462409388 \h </w:instrText>
      </w:r>
      <w:r>
        <w:fldChar w:fldCharType="separate"/>
      </w:r>
      <w:r>
        <w:t>136</w:t>
      </w:r>
      <w:r>
        <w:fldChar w:fldCharType="end"/>
      </w:r>
    </w:p>
    <w:p>
      <w:pPr>
        <w:pStyle w:val="TOC8"/>
        <w:rPr>
          <w:rFonts w:asciiTheme="minorHAnsi" w:eastAsiaTheme="minorEastAsia" w:hAnsiTheme="minorHAnsi" w:cstheme="minorBidi"/>
          <w:szCs w:val="22"/>
        </w:rPr>
      </w:pPr>
      <w:r>
        <w:t>5.12.</w:t>
      </w:r>
      <w:r>
        <w:tab/>
        <w:t>Presiding members and deputies, election of</w:t>
      </w:r>
      <w:r>
        <w:tab/>
      </w:r>
      <w:r>
        <w:fldChar w:fldCharType="begin"/>
      </w:r>
      <w:r>
        <w:instrText xml:space="preserve"> PAGEREF _Toc462409389 \h </w:instrText>
      </w:r>
      <w:r>
        <w:fldChar w:fldCharType="separate"/>
      </w:r>
      <w:r>
        <w:t>137</w:t>
      </w:r>
      <w:r>
        <w:fldChar w:fldCharType="end"/>
      </w:r>
    </w:p>
    <w:p>
      <w:pPr>
        <w:pStyle w:val="TOC8"/>
        <w:rPr>
          <w:rFonts w:asciiTheme="minorHAnsi" w:eastAsiaTheme="minorEastAsia" w:hAnsiTheme="minorHAnsi" w:cstheme="minorBidi"/>
          <w:szCs w:val="22"/>
        </w:rPr>
      </w:pPr>
      <w:r>
        <w:t>5.13.</w:t>
      </w:r>
      <w:r>
        <w:tab/>
        <w:t>Deputy presiding members, functions of</w:t>
      </w:r>
      <w:r>
        <w:tab/>
      </w:r>
      <w:r>
        <w:fldChar w:fldCharType="begin"/>
      </w:r>
      <w:r>
        <w:instrText xml:space="preserve"> PAGEREF _Toc462409390 \h </w:instrText>
      </w:r>
      <w:r>
        <w:fldChar w:fldCharType="separate"/>
      </w:r>
      <w:r>
        <w:t>137</w:t>
      </w:r>
      <w:r>
        <w:fldChar w:fldCharType="end"/>
      </w:r>
    </w:p>
    <w:p>
      <w:pPr>
        <w:pStyle w:val="TOC8"/>
        <w:rPr>
          <w:rFonts w:asciiTheme="minorHAnsi" w:eastAsiaTheme="minorEastAsia" w:hAnsiTheme="minorHAnsi" w:cstheme="minorBidi"/>
          <w:szCs w:val="22"/>
        </w:rPr>
      </w:pPr>
      <w:r>
        <w:t>5.14.</w:t>
      </w:r>
      <w:r>
        <w:tab/>
        <w:t>Who acts if no presiding member</w:t>
      </w:r>
      <w:r>
        <w:tab/>
      </w:r>
      <w:r>
        <w:fldChar w:fldCharType="begin"/>
      </w:r>
      <w:r>
        <w:instrText xml:space="preserve"> PAGEREF _Toc462409391 \h </w:instrText>
      </w:r>
      <w:r>
        <w:fldChar w:fldCharType="separate"/>
      </w:r>
      <w:r>
        <w:t>138</w:t>
      </w:r>
      <w:r>
        <w:fldChar w:fldCharType="end"/>
      </w:r>
    </w:p>
    <w:p>
      <w:pPr>
        <w:pStyle w:val="TOC8"/>
        <w:rPr>
          <w:rFonts w:asciiTheme="minorHAnsi" w:eastAsiaTheme="minorEastAsia" w:hAnsiTheme="minorHAnsi" w:cstheme="minorBidi"/>
          <w:szCs w:val="22"/>
        </w:rPr>
      </w:pPr>
      <w:r>
        <w:t>5.15.</w:t>
      </w:r>
      <w:r>
        <w:tab/>
        <w:t>Reduction of quorum for committees</w:t>
      </w:r>
      <w:r>
        <w:tab/>
      </w:r>
      <w:r>
        <w:fldChar w:fldCharType="begin"/>
      </w:r>
      <w:r>
        <w:instrText xml:space="preserve"> PAGEREF _Toc462409392 \h </w:instrText>
      </w:r>
      <w:r>
        <w:fldChar w:fldCharType="separate"/>
      </w:r>
      <w:r>
        <w:t>138</w:t>
      </w:r>
      <w:r>
        <w:fldChar w:fldCharType="end"/>
      </w:r>
    </w:p>
    <w:p>
      <w:pPr>
        <w:pStyle w:val="TOC8"/>
        <w:rPr>
          <w:rFonts w:asciiTheme="minorHAnsi" w:eastAsiaTheme="minorEastAsia" w:hAnsiTheme="minorHAnsi" w:cstheme="minorBidi"/>
          <w:szCs w:val="22"/>
        </w:rPr>
      </w:pPr>
      <w:r>
        <w:t>5.16.</w:t>
      </w:r>
      <w:r>
        <w:tab/>
        <w:t>Delegation of some powers and duties to certain committees</w:t>
      </w:r>
      <w:r>
        <w:tab/>
      </w:r>
      <w:r>
        <w:fldChar w:fldCharType="begin"/>
      </w:r>
      <w:r>
        <w:instrText xml:space="preserve"> PAGEREF _Toc462409393 \h </w:instrText>
      </w:r>
      <w:r>
        <w:fldChar w:fldCharType="separate"/>
      </w:r>
      <w:r>
        <w:t>138</w:t>
      </w:r>
      <w:r>
        <w:fldChar w:fldCharType="end"/>
      </w:r>
    </w:p>
    <w:p>
      <w:pPr>
        <w:pStyle w:val="TOC8"/>
        <w:rPr>
          <w:rFonts w:asciiTheme="minorHAnsi" w:eastAsiaTheme="minorEastAsia" w:hAnsiTheme="minorHAnsi" w:cstheme="minorBidi"/>
          <w:szCs w:val="22"/>
        </w:rPr>
      </w:pPr>
      <w:r>
        <w:t>5.17.</w:t>
      </w:r>
      <w:r>
        <w:tab/>
        <w:t>Limits on delegation of powers and duties to certain committees</w:t>
      </w:r>
      <w:r>
        <w:tab/>
      </w:r>
      <w:r>
        <w:fldChar w:fldCharType="begin"/>
      </w:r>
      <w:r>
        <w:instrText xml:space="preserve"> PAGEREF _Toc462409394 \h </w:instrText>
      </w:r>
      <w:r>
        <w:fldChar w:fldCharType="separate"/>
      </w:r>
      <w:r>
        <w:t>139</w:t>
      </w:r>
      <w:r>
        <w:fldChar w:fldCharType="end"/>
      </w:r>
    </w:p>
    <w:p>
      <w:pPr>
        <w:pStyle w:val="TOC8"/>
        <w:rPr>
          <w:rFonts w:asciiTheme="minorHAnsi" w:eastAsiaTheme="minorEastAsia" w:hAnsiTheme="minorHAnsi" w:cstheme="minorBidi"/>
          <w:szCs w:val="22"/>
        </w:rPr>
      </w:pPr>
      <w:r>
        <w:t>5.18.</w:t>
      </w:r>
      <w:r>
        <w:tab/>
        <w:t>Register of delegations to committees</w:t>
      </w:r>
      <w:r>
        <w:tab/>
      </w:r>
      <w:r>
        <w:fldChar w:fldCharType="begin"/>
      </w:r>
      <w:r>
        <w:instrText xml:space="preserve"> PAGEREF _Toc462409395 \h </w:instrText>
      </w:r>
      <w:r>
        <w:fldChar w:fldCharType="separate"/>
      </w:r>
      <w:r>
        <w:t>139</w:t>
      </w:r>
      <w:r>
        <w:fldChar w:fldCharType="end"/>
      </w:r>
    </w:p>
    <w:p>
      <w:pPr>
        <w:pStyle w:val="TOC6"/>
        <w:tabs>
          <w:tab w:val="right" w:leader="dot" w:pos="7077"/>
        </w:tabs>
        <w:rPr>
          <w:rFonts w:asciiTheme="minorHAnsi" w:eastAsiaTheme="minorEastAsia" w:hAnsiTheme="minorHAnsi" w:cstheme="minorBidi"/>
          <w:b w:val="0"/>
          <w:sz w:val="22"/>
          <w:szCs w:val="22"/>
        </w:rPr>
      </w:pPr>
      <w:r>
        <w:t>Subdivision 3 — Matters affecting council and committee meetings</w:t>
      </w:r>
    </w:p>
    <w:p>
      <w:pPr>
        <w:pStyle w:val="TOC8"/>
        <w:rPr>
          <w:rFonts w:asciiTheme="minorHAnsi" w:eastAsiaTheme="minorEastAsia" w:hAnsiTheme="minorHAnsi" w:cstheme="minorBidi"/>
          <w:szCs w:val="22"/>
        </w:rPr>
      </w:pPr>
      <w:r>
        <w:t>5.19.</w:t>
      </w:r>
      <w:r>
        <w:tab/>
        <w:t>Quorum for meetings</w:t>
      </w:r>
      <w:r>
        <w:tab/>
      </w:r>
      <w:r>
        <w:fldChar w:fldCharType="begin"/>
      </w:r>
      <w:r>
        <w:instrText xml:space="preserve"> PAGEREF _Toc462409397 \h </w:instrText>
      </w:r>
      <w:r>
        <w:fldChar w:fldCharType="separate"/>
      </w:r>
      <w:r>
        <w:t>140</w:t>
      </w:r>
      <w:r>
        <w:fldChar w:fldCharType="end"/>
      </w:r>
    </w:p>
    <w:p>
      <w:pPr>
        <w:pStyle w:val="TOC8"/>
        <w:rPr>
          <w:rFonts w:asciiTheme="minorHAnsi" w:eastAsiaTheme="minorEastAsia" w:hAnsiTheme="minorHAnsi" w:cstheme="minorBidi"/>
          <w:szCs w:val="22"/>
        </w:rPr>
      </w:pPr>
      <w:r>
        <w:t>5.20.</w:t>
      </w:r>
      <w:r>
        <w:tab/>
        <w:t>Decisions of councils and committees</w:t>
      </w:r>
      <w:r>
        <w:tab/>
      </w:r>
      <w:r>
        <w:fldChar w:fldCharType="begin"/>
      </w:r>
      <w:r>
        <w:instrText xml:space="preserve"> PAGEREF _Toc462409398 \h </w:instrText>
      </w:r>
      <w:r>
        <w:fldChar w:fldCharType="separate"/>
      </w:r>
      <w:r>
        <w:t>140</w:t>
      </w:r>
      <w:r>
        <w:fldChar w:fldCharType="end"/>
      </w:r>
    </w:p>
    <w:p>
      <w:pPr>
        <w:pStyle w:val="TOC8"/>
        <w:rPr>
          <w:rFonts w:asciiTheme="minorHAnsi" w:eastAsiaTheme="minorEastAsia" w:hAnsiTheme="minorHAnsi" w:cstheme="minorBidi"/>
          <w:szCs w:val="22"/>
        </w:rPr>
      </w:pPr>
      <w:r>
        <w:t>5.21.</w:t>
      </w:r>
      <w:r>
        <w:tab/>
        <w:t>Voting</w:t>
      </w:r>
      <w:r>
        <w:tab/>
      </w:r>
      <w:r>
        <w:fldChar w:fldCharType="begin"/>
      </w:r>
      <w:r>
        <w:instrText xml:space="preserve"> PAGEREF _Toc462409399 \h </w:instrText>
      </w:r>
      <w:r>
        <w:fldChar w:fldCharType="separate"/>
      </w:r>
      <w:r>
        <w:t>140</w:t>
      </w:r>
      <w:r>
        <w:fldChar w:fldCharType="end"/>
      </w:r>
    </w:p>
    <w:p>
      <w:pPr>
        <w:pStyle w:val="TOC8"/>
        <w:rPr>
          <w:rFonts w:asciiTheme="minorHAnsi" w:eastAsiaTheme="minorEastAsia" w:hAnsiTheme="minorHAnsi" w:cstheme="minorBidi"/>
          <w:szCs w:val="22"/>
        </w:rPr>
      </w:pPr>
      <w:r>
        <w:t>5.22.</w:t>
      </w:r>
      <w:r>
        <w:tab/>
        <w:t>Minutes of council and committee meetings</w:t>
      </w:r>
      <w:r>
        <w:tab/>
      </w:r>
      <w:r>
        <w:fldChar w:fldCharType="begin"/>
      </w:r>
      <w:r>
        <w:instrText xml:space="preserve"> PAGEREF _Toc462409400 \h </w:instrText>
      </w:r>
      <w:r>
        <w:fldChar w:fldCharType="separate"/>
      </w:r>
      <w:r>
        <w:t>141</w:t>
      </w:r>
      <w:r>
        <w:fldChar w:fldCharType="end"/>
      </w:r>
    </w:p>
    <w:p>
      <w:pPr>
        <w:pStyle w:val="TOC8"/>
        <w:rPr>
          <w:rFonts w:asciiTheme="minorHAnsi" w:eastAsiaTheme="minorEastAsia" w:hAnsiTheme="minorHAnsi" w:cstheme="minorBidi"/>
          <w:szCs w:val="22"/>
        </w:rPr>
      </w:pPr>
      <w:r>
        <w:t>5.23.</w:t>
      </w:r>
      <w:r>
        <w:tab/>
        <w:t>Meetings generally open to public</w:t>
      </w:r>
      <w:r>
        <w:tab/>
      </w:r>
      <w:r>
        <w:fldChar w:fldCharType="begin"/>
      </w:r>
      <w:r>
        <w:instrText xml:space="preserve"> PAGEREF _Toc462409401 \h </w:instrText>
      </w:r>
      <w:r>
        <w:fldChar w:fldCharType="separate"/>
      </w:r>
      <w:r>
        <w:t>141</w:t>
      </w:r>
      <w:r>
        <w:fldChar w:fldCharType="end"/>
      </w:r>
    </w:p>
    <w:p>
      <w:pPr>
        <w:pStyle w:val="TOC8"/>
        <w:rPr>
          <w:rFonts w:asciiTheme="minorHAnsi" w:eastAsiaTheme="minorEastAsia" w:hAnsiTheme="minorHAnsi" w:cstheme="minorBidi"/>
          <w:szCs w:val="22"/>
        </w:rPr>
      </w:pPr>
      <w:r>
        <w:t>5.24.</w:t>
      </w:r>
      <w:r>
        <w:tab/>
        <w:t>Question time for public</w:t>
      </w:r>
      <w:r>
        <w:tab/>
      </w:r>
      <w:r>
        <w:fldChar w:fldCharType="begin"/>
      </w:r>
      <w:r>
        <w:instrText xml:space="preserve"> PAGEREF _Toc462409402 \h </w:instrText>
      </w:r>
      <w:r>
        <w:fldChar w:fldCharType="separate"/>
      </w:r>
      <w:r>
        <w:t>143</w:t>
      </w:r>
      <w:r>
        <w:fldChar w:fldCharType="end"/>
      </w:r>
    </w:p>
    <w:p>
      <w:pPr>
        <w:pStyle w:val="TOC8"/>
        <w:rPr>
          <w:rFonts w:asciiTheme="minorHAnsi" w:eastAsiaTheme="minorEastAsia" w:hAnsiTheme="minorHAnsi" w:cstheme="minorBidi"/>
          <w:szCs w:val="22"/>
        </w:rPr>
      </w:pPr>
      <w:r>
        <w:t>5.25.</w:t>
      </w:r>
      <w:r>
        <w:tab/>
        <w:t>Regulations about council and committee meetings and committees</w:t>
      </w:r>
      <w:r>
        <w:tab/>
      </w:r>
      <w:r>
        <w:fldChar w:fldCharType="begin"/>
      </w:r>
      <w:r>
        <w:instrText xml:space="preserve"> PAGEREF _Toc462409403 \h </w:instrText>
      </w:r>
      <w:r>
        <w:fldChar w:fldCharType="separate"/>
      </w:r>
      <w:r>
        <w:t>143</w:t>
      </w:r>
      <w:r>
        <w:fldChar w:fldCharType="end"/>
      </w:r>
    </w:p>
    <w:p>
      <w:pPr>
        <w:pStyle w:val="TOC6"/>
        <w:tabs>
          <w:tab w:val="right" w:leader="dot" w:pos="7077"/>
        </w:tabs>
        <w:rPr>
          <w:rFonts w:asciiTheme="minorHAnsi" w:eastAsiaTheme="minorEastAsia" w:hAnsiTheme="minorHAnsi" w:cstheme="minorBidi"/>
          <w:b w:val="0"/>
          <w:sz w:val="22"/>
          <w:szCs w:val="22"/>
        </w:rPr>
      </w:pPr>
      <w:r>
        <w:t>Subdivision 4 — Electors’ meetings</w:t>
      </w:r>
    </w:p>
    <w:p>
      <w:pPr>
        <w:pStyle w:val="TOC8"/>
        <w:rPr>
          <w:rFonts w:asciiTheme="minorHAnsi" w:eastAsiaTheme="minorEastAsia" w:hAnsiTheme="minorHAnsi" w:cstheme="minorBidi"/>
          <w:szCs w:val="22"/>
        </w:rPr>
      </w:pPr>
      <w:r>
        <w:t>5.26.</w:t>
      </w:r>
      <w:r>
        <w:tab/>
        <w:t>Term used: electors</w:t>
      </w:r>
      <w:r>
        <w:tab/>
      </w:r>
      <w:r>
        <w:fldChar w:fldCharType="begin"/>
      </w:r>
      <w:r>
        <w:instrText xml:space="preserve"> PAGEREF _Toc462409405 \h </w:instrText>
      </w:r>
      <w:r>
        <w:fldChar w:fldCharType="separate"/>
      </w:r>
      <w:r>
        <w:t>144</w:t>
      </w:r>
      <w:r>
        <w:fldChar w:fldCharType="end"/>
      </w:r>
    </w:p>
    <w:p>
      <w:pPr>
        <w:pStyle w:val="TOC8"/>
        <w:rPr>
          <w:rFonts w:asciiTheme="minorHAnsi" w:eastAsiaTheme="minorEastAsia" w:hAnsiTheme="minorHAnsi" w:cstheme="minorBidi"/>
          <w:szCs w:val="22"/>
        </w:rPr>
      </w:pPr>
      <w:r>
        <w:t>5.27.</w:t>
      </w:r>
      <w:r>
        <w:tab/>
        <w:t>Electors’ general meetings</w:t>
      </w:r>
      <w:r>
        <w:tab/>
      </w:r>
      <w:r>
        <w:fldChar w:fldCharType="begin"/>
      </w:r>
      <w:r>
        <w:instrText xml:space="preserve"> PAGEREF _Toc462409406 \h </w:instrText>
      </w:r>
      <w:r>
        <w:fldChar w:fldCharType="separate"/>
      </w:r>
      <w:r>
        <w:t>145</w:t>
      </w:r>
      <w:r>
        <w:fldChar w:fldCharType="end"/>
      </w:r>
    </w:p>
    <w:p>
      <w:pPr>
        <w:pStyle w:val="TOC8"/>
        <w:rPr>
          <w:rFonts w:asciiTheme="minorHAnsi" w:eastAsiaTheme="minorEastAsia" w:hAnsiTheme="minorHAnsi" w:cstheme="minorBidi"/>
          <w:szCs w:val="22"/>
        </w:rPr>
      </w:pPr>
      <w:r>
        <w:t>5.28.</w:t>
      </w:r>
      <w:r>
        <w:tab/>
        <w:t>Electors’ special meetings</w:t>
      </w:r>
      <w:r>
        <w:tab/>
      </w:r>
      <w:r>
        <w:fldChar w:fldCharType="begin"/>
      </w:r>
      <w:r>
        <w:instrText xml:space="preserve"> PAGEREF _Toc462409407 \h </w:instrText>
      </w:r>
      <w:r>
        <w:fldChar w:fldCharType="separate"/>
      </w:r>
      <w:r>
        <w:t>145</w:t>
      </w:r>
      <w:r>
        <w:fldChar w:fldCharType="end"/>
      </w:r>
    </w:p>
    <w:p>
      <w:pPr>
        <w:pStyle w:val="TOC8"/>
        <w:rPr>
          <w:rFonts w:asciiTheme="minorHAnsi" w:eastAsiaTheme="minorEastAsia" w:hAnsiTheme="minorHAnsi" w:cstheme="minorBidi"/>
          <w:szCs w:val="22"/>
        </w:rPr>
      </w:pPr>
      <w:r>
        <w:t>5.29.</w:t>
      </w:r>
      <w:r>
        <w:tab/>
        <w:t>Convening electors’ meetings</w:t>
      </w:r>
      <w:r>
        <w:tab/>
      </w:r>
      <w:r>
        <w:fldChar w:fldCharType="begin"/>
      </w:r>
      <w:r>
        <w:instrText xml:space="preserve"> PAGEREF _Toc462409408 \h </w:instrText>
      </w:r>
      <w:r>
        <w:fldChar w:fldCharType="separate"/>
      </w:r>
      <w:r>
        <w:t>145</w:t>
      </w:r>
      <w:r>
        <w:fldChar w:fldCharType="end"/>
      </w:r>
    </w:p>
    <w:p>
      <w:pPr>
        <w:pStyle w:val="TOC8"/>
        <w:rPr>
          <w:rFonts w:asciiTheme="minorHAnsi" w:eastAsiaTheme="minorEastAsia" w:hAnsiTheme="minorHAnsi" w:cstheme="minorBidi"/>
          <w:szCs w:val="22"/>
        </w:rPr>
      </w:pPr>
      <w:r>
        <w:t>5.30.</w:t>
      </w:r>
      <w:r>
        <w:tab/>
        <w:t>Who presides at electors’ meetings</w:t>
      </w:r>
      <w:r>
        <w:tab/>
      </w:r>
      <w:r>
        <w:fldChar w:fldCharType="begin"/>
      </w:r>
      <w:r>
        <w:instrText xml:space="preserve"> PAGEREF _Toc462409409 \h </w:instrText>
      </w:r>
      <w:r>
        <w:fldChar w:fldCharType="separate"/>
      </w:r>
      <w:r>
        <w:t>146</w:t>
      </w:r>
      <w:r>
        <w:fldChar w:fldCharType="end"/>
      </w:r>
    </w:p>
    <w:p>
      <w:pPr>
        <w:pStyle w:val="TOC8"/>
        <w:rPr>
          <w:rFonts w:asciiTheme="minorHAnsi" w:eastAsiaTheme="minorEastAsia" w:hAnsiTheme="minorHAnsi" w:cstheme="minorBidi"/>
          <w:szCs w:val="22"/>
        </w:rPr>
      </w:pPr>
      <w:r>
        <w:t>5.31.</w:t>
      </w:r>
      <w:r>
        <w:tab/>
        <w:t>Procedure for electors’ meetings</w:t>
      </w:r>
      <w:r>
        <w:tab/>
      </w:r>
      <w:r>
        <w:fldChar w:fldCharType="begin"/>
      </w:r>
      <w:r>
        <w:instrText xml:space="preserve"> PAGEREF _Toc462409410 \h </w:instrText>
      </w:r>
      <w:r>
        <w:fldChar w:fldCharType="separate"/>
      </w:r>
      <w:r>
        <w:t>146</w:t>
      </w:r>
      <w:r>
        <w:fldChar w:fldCharType="end"/>
      </w:r>
    </w:p>
    <w:p>
      <w:pPr>
        <w:pStyle w:val="TOC8"/>
        <w:rPr>
          <w:rFonts w:asciiTheme="minorHAnsi" w:eastAsiaTheme="minorEastAsia" w:hAnsiTheme="minorHAnsi" w:cstheme="minorBidi"/>
          <w:szCs w:val="22"/>
        </w:rPr>
      </w:pPr>
      <w:r>
        <w:t>5.32.</w:t>
      </w:r>
      <w:r>
        <w:tab/>
        <w:t>Minutes of electors’ meetings</w:t>
      </w:r>
      <w:r>
        <w:tab/>
      </w:r>
      <w:r>
        <w:fldChar w:fldCharType="begin"/>
      </w:r>
      <w:r>
        <w:instrText xml:space="preserve"> PAGEREF _Toc462409411 \h </w:instrText>
      </w:r>
      <w:r>
        <w:fldChar w:fldCharType="separate"/>
      </w:r>
      <w:r>
        <w:t>146</w:t>
      </w:r>
      <w:r>
        <w:fldChar w:fldCharType="end"/>
      </w:r>
    </w:p>
    <w:p>
      <w:pPr>
        <w:pStyle w:val="TOC8"/>
        <w:rPr>
          <w:rFonts w:asciiTheme="minorHAnsi" w:eastAsiaTheme="minorEastAsia" w:hAnsiTheme="minorHAnsi" w:cstheme="minorBidi"/>
          <w:szCs w:val="22"/>
        </w:rPr>
      </w:pPr>
      <w:r>
        <w:t>5.33.</w:t>
      </w:r>
      <w:r>
        <w:tab/>
        <w:t>Decisions made at electors’ meetings</w:t>
      </w:r>
      <w:r>
        <w:tab/>
      </w:r>
      <w:r>
        <w:fldChar w:fldCharType="begin"/>
      </w:r>
      <w:r>
        <w:instrText xml:space="preserve"> PAGEREF _Toc462409412 \h </w:instrText>
      </w:r>
      <w:r>
        <w:fldChar w:fldCharType="separate"/>
      </w:r>
      <w:r>
        <w:t>147</w:t>
      </w:r>
      <w:r>
        <w:fldChar w:fldCharType="end"/>
      </w:r>
    </w:p>
    <w:p>
      <w:pPr>
        <w:pStyle w:val="TOC4"/>
        <w:tabs>
          <w:tab w:val="right" w:leader="dot" w:pos="7077"/>
        </w:tabs>
        <w:rPr>
          <w:rFonts w:asciiTheme="minorHAnsi" w:eastAsiaTheme="minorEastAsia" w:hAnsiTheme="minorHAnsi" w:cstheme="minorBidi"/>
          <w:b w:val="0"/>
          <w:szCs w:val="22"/>
        </w:rPr>
      </w:pPr>
      <w:r>
        <w:t>Division 3 — Acting for the mayor or president</w:t>
      </w:r>
    </w:p>
    <w:p>
      <w:pPr>
        <w:pStyle w:val="TOC8"/>
        <w:rPr>
          <w:rFonts w:asciiTheme="minorHAnsi" w:eastAsiaTheme="minorEastAsia" w:hAnsiTheme="minorHAnsi" w:cstheme="minorBidi"/>
          <w:szCs w:val="22"/>
        </w:rPr>
      </w:pPr>
      <w:r>
        <w:t>5.34.</w:t>
      </w:r>
      <w:r>
        <w:tab/>
        <w:t>When deputy mayors and deputy presidents can act</w:t>
      </w:r>
      <w:r>
        <w:tab/>
      </w:r>
      <w:r>
        <w:fldChar w:fldCharType="begin"/>
      </w:r>
      <w:r>
        <w:instrText xml:space="preserve"> PAGEREF _Toc462409414 \h </w:instrText>
      </w:r>
      <w:r>
        <w:fldChar w:fldCharType="separate"/>
      </w:r>
      <w:r>
        <w:t>147</w:t>
      </w:r>
      <w:r>
        <w:fldChar w:fldCharType="end"/>
      </w:r>
    </w:p>
    <w:p>
      <w:pPr>
        <w:pStyle w:val="TOC8"/>
        <w:rPr>
          <w:rFonts w:asciiTheme="minorHAnsi" w:eastAsiaTheme="minorEastAsia" w:hAnsiTheme="minorHAnsi" w:cstheme="minorBidi"/>
          <w:szCs w:val="22"/>
        </w:rPr>
      </w:pPr>
      <w:r>
        <w:t>5.35.</w:t>
      </w:r>
      <w:r>
        <w:tab/>
        <w:t>Who acts if no mayor, president or deputy</w:t>
      </w:r>
      <w:r>
        <w:tab/>
      </w:r>
      <w:r>
        <w:fldChar w:fldCharType="begin"/>
      </w:r>
      <w:r>
        <w:instrText xml:space="preserve"> PAGEREF _Toc462409415 \h </w:instrText>
      </w:r>
      <w:r>
        <w:fldChar w:fldCharType="separate"/>
      </w:r>
      <w:r>
        <w:t>147</w:t>
      </w:r>
      <w:r>
        <w:fldChar w:fldCharType="end"/>
      </w:r>
    </w:p>
    <w:p>
      <w:pPr>
        <w:pStyle w:val="TOC4"/>
        <w:tabs>
          <w:tab w:val="right" w:leader="dot" w:pos="7077"/>
        </w:tabs>
        <w:rPr>
          <w:rFonts w:asciiTheme="minorHAnsi" w:eastAsiaTheme="minorEastAsia" w:hAnsiTheme="minorHAnsi" w:cstheme="minorBidi"/>
          <w:b w:val="0"/>
          <w:szCs w:val="22"/>
        </w:rPr>
      </w:pPr>
      <w:r>
        <w:t>Division 4 — Local government employees</w:t>
      </w:r>
    </w:p>
    <w:p>
      <w:pPr>
        <w:pStyle w:val="TOC8"/>
        <w:rPr>
          <w:rFonts w:asciiTheme="minorHAnsi" w:eastAsiaTheme="minorEastAsia" w:hAnsiTheme="minorHAnsi" w:cstheme="minorBidi"/>
          <w:szCs w:val="22"/>
        </w:rPr>
      </w:pPr>
      <w:r>
        <w:t>5.36.</w:t>
      </w:r>
      <w:r>
        <w:tab/>
        <w:t>Local government employees</w:t>
      </w:r>
      <w:r>
        <w:tab/>
      </w:r>
      <w:r>
        <w:fldChar w:fldCharType="begin"/>
      </w:r>
      <w:r>
        <w:instrText xml:space="preserve"> PAGEREF _Toc462409417 \h </w:instrText>
      </w:r>
      <w:r>
        <w:fldChar w:fldCharType="separate"/>
      </w:r>
      <w:r>
        <w:t>148</w:t>
      </w:r>
      <w:r>
        <w:fldChar w:fldCharType="end"/>
      </w:r>
    </w:p>
    <w:p>
      <w:pPr>
        <w:pStyle w:val="TOC8"/>
        <w:rPr>
          <w:rFonts w:asciiTheme="minorHAnsi" w:eastAsiaTheme="minorEastAsia" w:hAnsiTheme="minorHAnsi" w:cstheme="minorBidi"/>
          <w:szCs w:val="22"/>
        </w:rPr>
      </w:pPr>
      <w:r>
        <w:t>5.37.</w:t>
      </w:r>
      <w:r>
        <w:tab/>
        <w:t>Senior employees</w:t>
      </w:r>
      <w:r>
        <w:tab/>
      </w:r>
      <w:r>
        <w:fldChar w:fldCharType="begin"/>
      </w:r>
      <w:r>
        <w:instrText xml:space="preserve"> PAGEREF _Toc462409418 \h </w:instrText>
      </w:r>
      <w:r>
        <w:fldChar w:fldCharType="separate"/>
      </w:r>
      <w:r>
        <w:t>149</w:t>
      </w:r>
      <w:r>
        <w:fldChar w:fldCharType="end"/>
      </w:r>
    </w:p>
    <w:p>
      <w:pPr>
        <w:pStyle w:val="TOC8"/>
        <w:rPr>
          <w:rFonts w:asciiTheme="minorHAnsi" w:eastAsiaTheme="minorEastAsia" w:hAnsiTheme="minorHAnsi" w:cstheme="minorBidi"/>
          <w:szCs w:val="22"/>
        </w:rPr>
      </w:pPr>
      <w:r>
        <w:t>5.38.</w:t>
      </w:r>
      <w:r>
        <w:tab/>
        <w:t>Annual review of certain employees’ performances</w:t>
      </w:r>
      <w:r>
        <w:tab/>
      </w:r>
      <w:r>
        <w:fldChar w:fldCharType="begin"/>
      </w:r>
      <w:r>
        <w:instrText xml:space="preserve"> PAGEREF _Toc462409419 \h </w:instrText>
      </w:r>
      <w:r>
        <w:fldChar w:fldCharType="separate"/>
      </w:r>
      <w:r>
        <w:t>150</w:t>
      </w:r>
      <w:r>
        <w:fldChar w:fldCharType="end"/>
      </w:r>
    </w:p>
    <w:p>
      <w:pPr>
        <w:pStyle w:val="TOC8"/>
        <w:rPr>
          <w:rFonts w:asciiTheme="minorHAnsi" w:eastAsiaTheme="minorEastAsia" w:hAnsiTheme="minorHAnsi" w:cstheme="minorBidi"/>
          <w:szCs w:val="22"/>
        </w:rPr>
      </w:pPr>
      <w:r>
        <w:t>5.39.</w:t>
      </w:r>
      <w:r>
        <w:tab/>
        <w:t>Contracts for CEO and senior employees</w:t>
      </w:r>
      <w:r>
        <w:tab/>
      </w:r>
      <w:r>
        <w:fldChar w:fldCharType="begin"/>
      </w:r>
      <w:r>
        <w:instrText xml:space="preserve"> PAGEREF _Toc462409420 \h </w:instrText>
      </w:r>
      <w:r>
        <w:fldChar w:fldCharType="separate"/>
      </w:r>
      <w:r>
        <w:t>150</w:t>
      </w:r>
      <w:r>
        <w:fldChar w:fldCharType="end"/>
      </w:r>
    </w:p>
    <w:p>
      <w:pPr>
        <w:pStyle w:val="TOC8"/>
        <w:rPr>
          <w:rFonts w:asciiTheme="minorHAnsi" w:eastAsiaTheme="minorEastAsia" w:hAnsiTheme="minorHAnsi" w:cstheme="minorBidi"/>
          <w:szCs w:val="22"/>
        </w:rPr>
      </w:pPr>
      <w:r>
        <w:t>5.40.</w:t>
      </w:r>
      <w:r>
        <w:tab/>
        <w:t>Principles affecting employment by local governments</w:t>
      </w:r>
      <w:r>
        <w:tab/>
      </w:r>
      <w:r>
        <w:fldChar w:fldCharType="begin"/>
      </w:r>
      <w:r>
        <w:instrText xml:space="preserve"> PAGEREF _Toc462409421 \h </w:instrText>
      </w:r>
      <w:r>
        <w:fldChar w:fldCharType="separate"/>
      </w:r>
      <w:r>
        <w:t>152</w:t>
      </w:r>
      <w:r>
        <w:fldChar w:fldCharType="end"/>
      </w:r>
    </w:p>
    <w:p>
      <w:pPr>
        <w:pStyle w:val="TOC8"/>
        <w:rPr>
          <w:rFonts w:asciiTheme="minorHAnsi" w:eastAsiaTheme="minorEastAsia" w:hAnsiTheme="minorHAnsi" w:cstheme="minorBidi"/>
          <w:szCs w:val="22"/>
        </w:rPr>
      </w:pPr>
      <w:r>
        <w:t>5.41.</w:t>
      </w:r>
      <w:r>
        <w:tab/>
        <w:t>Functions of CEO</w:t>
      </w:r>
      <w:r>
        <w:tab/>
      </w:r>
      <w:r>
        <w:fldChar w:fldCharType="begin"/>
      </w:r>
      <w:r>
        <w:instrText xml:space="preserve"> PAGEREF _Toc462409422 \h </w:instrText>
      </w:r>
      <w:r>
        <w:fldChar w:fldCharType="separate"/>
      </w:r>
      <w:r>
        <w:t>152</w:t>
      </w:r>
      <w:r>
        <w:fldChar w:fldCharType="end"/>
      </w:r>
    </w:p>
    <w:p>
      <w:pPr>
        <w:pStyle w:val="TOC8"/>
        <w:rPr>
          <w:rFonts w:asciiTheme="minorHAnsi" w:eastAsiaTheme="minorEastAsia" w:hAnsiTheme="minorHAnsi" w:cstheme="minorBidi"/>
          <w:szCs w:val="22"/>
        </w:rPr>
      </w:pPr>
      <w:r>
        <w:t>5.42.</w:t>
      </w:r>
      <w:r>
        <w:tab/>
        <w:t>Delegation of some powers and duties to CEO</w:t>
      </w:r>
      <w:r>
        <w:tab/>
      </w:r>
      <w:r>
        <w:fldChar w:fldCharType="begin"/>
      </w:r>
      <w:r>
        <w:instrText xml:space="preserve"> PAGEREF _Toc462409423 \h </w:instrText>
      </w:r>
      <w:r>
        <w:fldChar w:fldCharType="separate"/>
      </w:r>
      <w:r>
        <w:t>153</w:t>
      </w:r>
      <w:r>
        <w:fldChar w:fldCharType="end"/>
      </w:r>
    </w:p>
    <w:p>
      <w:pPr>
        <w:pStyle w:val="TOC8"/>
        <w:rPr>
          <w:rFonts w:asciiTheme="minorHAnsi" w:eastAsiaTheme="minorEastAsia" w:hAnsiTheme="minorHAnsi" w:cstheme="minorBidi"/>
          <w:szCs w:val="22"/>
        </w:rPr>
      </w:pPr>
      <w:r>
        <w:t>5.43.</w:t>
      </w:r>
      <w:r>
        <w:tab/>
        <w:t>Limits on delegations to CEO</w:t>
      </w:r>
      <w:r>
        <w:tab/>
      </w:r>
      <w:r>
        <w:fldChar w:fldCharType="begin"/>
      </w:r>
      <w:r>
        <w:instrText xml:space="preserve"> PAGEREF _Toc462409424 \h </w:instrText>
      </w:r>
      <w:r>
        <w:fldChar w:fldCharType="separate"/>
      </w:r>
      <w:r>
        <w:t>153</w:t>
      </w:r>
      <w:r>
        <w:fldChar w:fldCharType="end"/>
      </w:r>
    </w:p>
    <w:p>
      <w:pPr>
        <w:pStyle w:val="TOC8"/>
        <w:rPr>
          <w:rFonts w:asciiTheme="minorHAnsi" w:eastAsiaTheme="minorEastAsia" w:hAnsiTheme="minorHAnsi" w:cstheme="minorBidi"/>
          <w:szCs w:val="22"/>
        </w:rPr>
      </w:pPr>
      <w:r>
        <w:t>5.44.</w:t>
      </w:r>
      <w:r>
        <w:tab/>
        <w:t>CEO may delegate powers and duties to other employees</w:t>
      </w:r>
      <w:r>
        <w:tab/>
      </w:r>
      <w:r>
        <w:fldChar w:fldCharType="begin"/>
      </w:r>
      <w:r>
        <w:instrText xml:space="preserve"> PAGEREF _Toc462409425 \h </w:instrText>
      </w:r>
      <w:r>
        <w:fldChar w:fldCharType="separate"/>
      </w:r>
      <w:r>
        <w:t>154</w:t>
      </w:r>
      <w:r>
        <w:fldChar w:fldCharType="end"/>
      </w:r>
    </w:p>
    <w:p>
      <w:pPr>
        <w:pStyle w:val="TOC8"/>
        <w:rPr>
          <w:rFonts w:asciiTheme="minorHAnsi" w:eastAsiaTheme="minorEastAsia" w:hAnsiTheme="minorHAnsi" w:cstheme="minorBidi"/>
          <w:szCs w:val="22"/>
        </w:rPr>
      </w:pPr>
      <w:r>
        <w:t>5.45.</w:t>
      </w:r>
      <w:r>
        <w:tab/>
        <w:t>Other matters relevant to delegations under this Division</w:t>
      </w:r>
      <w:r>
        <w:tab/>
      </w:r>
      <w:r>
        <w:fldChar w:fldCharType="begin"/>
      </w:r>
      <w:r>
        <w:instrText xml:space="preserve"> PAGEREF _Toc462409426 \h </w:instrText>
      </w:r>
      <w:r>
        <w:fldChar w:fldCharType="separate"/>
      </w:r>
      <w:r>
        <w:t>155</w:t>
      </w:r>
      <w:r>
        <w:fldChar w:fldCharType="end"/>
      </w:r>
    </w:p>
    <w:p>
      <w:pPr>
        <w:pStyle w:val="TOC8"/>
        <w:rPr>
          <w:rFonts w:asciiTheme="minorHAnsi" w:eastAsiaTheme="minorEastAsia" w:hAnsiTheme="minorHAnsi" w:cstheme="minorBidi"/>
          <w:szCs w:val="22"/>
        </w:rPr>
      </w:pPr>
      <w:r>
        <w:t>5.46.</w:t>
      </w:r>
      <w:r>
        <w:tab/>
        <w:t>Register of, and records relevant to, delegations to CEO and employees</w:t>
      </w:r>
      <w:r>
        <w:tab/>
      </w:r>
      <w:r>
        <w:fldChar w:fldCharType="begin"/>
      </w:r>
      <w:r>
        <w:instrText xml:space="preserve"> PAGEREF _Toc462409427 \h </w:instrText>
      </w:r>
      <w:r>
        <w:fldChar w:fldCharType="separate"/>
      </w:r>
      <w:r>
        <w:t>155</w:t>
      </w:r>
      <w:r>
        <w:fldChar w:fldCharType="end"/>
      </w:r>
    </w:p>
    <w:p>
      <w:pPr>
        <w:pStyle w:val="TOC8"/>
        <w:rPr>
          <w:rFonts w:asciiTheme="minorHAnsi" w:eastAsiaTheme="minorEastAsia" w:hAnsiTheme="minorHAnsi" w:cstheme="minorBidi"/>
          <w:szCs w:val="22"/>
        </w:rPr>
      </w:pPr>
      <w:r>
        <w:t>5.47.</w:t>
      </w:r>
      <w:r>
        <w:tab/>
        <w:t>Superannuation regulations</w:t>
      </w:r>
      <w:r>
        <w:tab/>
      </w:r>
      <w:r>
        <w:fldChar w:fldCharType="begin"/>
      </w:r>
      <w:r>
        <w:instrText xml:space="preserve"> PAGEREF _Toc462409428 \h </w:instrText>
      </w:r>
      <w:r>
        <w:fldChar w:fldCharType="separate"/>
      </w:r>
      <w:r>
        <w:t>156</w:t>
      </w:r>
      <w:r>
        <w:fldChar w:fldCharType="end"/>
      </w:r>
    </w:p>
    <w:p>
      <w:pPr>
        <w:pStyle w:val="TOC8"/>
        <w:rPr>
          <w:rFonts w:asciiTheme="minorHAnsi" w:eastAsiaTheme="minorEastAsia" w:hAnsiTheme="minorHAnsi" w:cstheme="minorBidi"/>
          <w:szCs w:val="22"/>
        </w:rPr>
      </w:pPr>
      <w:r>
        <w:t>5.48.</w:t>
      </w:r>
      <w:r>
        <w:tab/>
        <w:t>Long service benefits for employees and employees of local government associations</w:t>
      </w:r>
      <w:r>
        <w:tab/>
      </w:r>
      <w:r>
        <w:fldChar w:fldCharType="begin"/>
      </w:r>
      <w:r>
        <w:instrText xml:space="preserve"> PAGEREF _Toc462409429 \h </w:instrText>
      </w:r>
      <w:r>
        <w:fldChar w:fldCharType="separate"/>
      </w:r>
      <w:r>
        <w:t>156</w:t>
      </w:r>
      <w:r>
        <w:fldChar w:fldCharType="end"/>
      </w:r>
    </w:p>
    <w:p>
      <w:pPr>
        <w:pStyle w:val="TOC8"/>
        <w:rPr>
          <w:rFonts w:asciiTheme="minorHAnsi" w:eastAsiaTheme="minorEastAsia" w:hAnsiTheme="minorHAnsi" w:cstheme="minorBidi"/>
          <w:szCs w:val="22"/>
        </w:rPr>
      </w:pPr>
      <w:r>
        <w:t>5.49.</w:t>
      </w:r>
      <w:r>
        <w:tab/>
        <w:t>Workers’ compensation arrangement</w:t>
      </w:r>
      <w:r>
        <w:tab/>
      </w:r>
      <w:r>
        <w:fldChar w:fldCharType="begin"/>
      </w:r>
      <w:r>
        <w:instrText xml:space="preserve"> PAGEREF _Toc462409430 \h </w:instrText>
      </w:r>
      <w:r>
        <w:fldChar w:fldCharType="separate"/>
      </w:r>
      <w:r>
        <w:t>156</w:t>
      </w:r>
      <w:r>
        <w:fldChar w:fldCharType="end"/>
      </w:r>
    </w:p>
    <w:p>
      <w:pPr>
        <w:pStyle w:val="TOC8"/>
        <w:rPr>
          <w:rFonts w:asciiTheme="minorHAnsi" w:eastAsiaTheme="minorEastAsia" w:hAnsiTheme="minorHAnsi" w:cstheme="minorBidi"/>
          <w:szCs w:val="22"/>
        </w:rPr>
      </w:pPr>
      <w:r>
        <w:t>5.50.</w:t>
      </w:r>
      <w:r>
        <w:tab/>
        <w:t>Payments to employees in addition to contract or award</w:t>
      </w:r>
      <w:r>
        <w:tab/>
      </w:r>
      <w:r>
        <w:fldChar w:fldCharType="begin"/>
      </w:r>
      <w:r>
        <w:instrText xml:space="preserve"> PAGEREF _Toc462409431 \h </w:instrText>
      </w:r>
      <w:r>
        <w:fldChar w:fldCharType="separate"/>
      </w:r>
      <w:r>
        <w:t>157</w:t>
      </w:r>
      <w:r>
        <w:fldChar w:fldCharType="end"/>
      </w:r>
    </w:p>
    <w:p>
      <w:pPr>
        <w:pStyle w:val="TOC8"/>
        <w:rPr>
          <w:rFonts w:asciiTheme="minorHAnsi" w:eastAsiaTheme="minorEastAsia" w:hAnsiTheme="minorHAnsi" w:cstheme="minorBidi"/>
          <w:szCs w:val="22"/>
        </w:rPr>
      </w:pPr>
      <w:r>
        <w:t>5.51.</w:t>
      </w:r>
      <w:r>
        <w:tab/>
        <w:t>Employee who nominates for election to council to take leave</w:t>
      </w:r>
      <w:r>
        <w:tab/>
      </w:r>
      <w:r>
        <w:fldChar w:fldCharType="begin"/>
      </w:r>
      <w:r>
        <w:instrText xml:space="preserve"> PAGEREF _Toc462409432 \h </w:instrText>
      </w:r>
      <w:r>
        <w:fldChar w:fldCharType="separate"/>
      </w:r>
      <w:r>
        <w:t>158</w:t>
      </w:r>
      <w:r>
        <w:fldChar w:fldCharType="end"/>
      </w:r>
    </w:p>
    <w:p>
      <w:pPr>
        <w:pStyle w:val="TOC4"/>
        <w:tabs>
          <w:tab w:val="right" w:leader="dot" w:pos="7077"/>
        </w:tabs>
        <w:rPr>
          <w:rFonts w:asciiTheme="minorHAnsi" w:eastAsiaTheme="minorEastAsia" w:hAnsiTheme="minorHAnsi" w:cstheme="minorBidi"/>
          <w:b w:val="0"/>
          <w:szCs w:val="22"/>
        </w:rPr>
      </w:pPr>
      <w:r>
        <w:t>Division 5 — Annual reports and planning</w:t>
      </w:r>
    </w:p>
    <w:p>
      <w:pPr>
        <w:pStyle w:val="TOC8"/>
        <w:rPr>
          <w:rFonts w:asciiTheme="minorHAnsi" w:eastAsiaTheme="minorEastAsia" w:hAnsiTheme="minorHAnsi" w:cstheme="minorBidi"/>
          <w:szCs w:val="22"/>
        </w:rPr>
      </w:pPr>
      <w:r>
        <w:t>5.53.</w:t>
      </w:r>
      <w:r>
        <w:tab/>
        <w:t>Annual reports</w:t>
      </w:r>
      <w:r>
        <w:tab/>
      </w:r>
      <w:r>
        <w:fldChar w:fldCharType="begin"/>
      </w:r>
      <w:r>
        <w:instrText xml:space="preserve"> PAGEREF _Toc462409434 \h </w:instrText>
      </w:r>
      <w:r>
        <w:fldChar w:fldCharType="separate"/>
      </w:r>
      <w:r>
        <w:t>159</w:t>
      </w:r>
      <w:r>
        <w:fldChar w:fldCharType="end"/>
      </w:r>
    </w:p>
    <w:p>
      <w:pPr>
        <w:pStyle w:val="TOC8"/>
        <w:rPr>
          <w:rFonts w:asciiTheme="minorHAnsi" w:eastAsiaTheme="minorEastAsia" w:hAnsiTheme="minorHAnsi" w:cstheme="minorBidi"/>
          <w:szCs w:val="22"/>
        </w:rPr>
      </w:pPr>
      <w:r>
        <w:t>5.54.</w:t>
      </w:r>
      <w:r>
        <w:tab/>
        <w:t>Acceptance of annual reports</w:t>
      </w:r>
      <w:r>
        <w:tab/>
      </w:r>
      <w:r>
        <w:fldChar w:fldCharType="begin"/>
      </w:r>
      <w:r>
        <w:instrText xml:space="preserve"> PAGEREF _Toc462409435 \h </w:instrText>
      </w:r>
      <w:r>
        <w:fldChar w:fldCharType="separate"/>
      </w:r>
      <w:r>
        <w:t>160</w:t>
      </w:r>
      <w:r>
        <w:fldChar w:fldCharType="end"/>
      </w:r>
    </w:p>
    <w:p>
      <w:pPr>
        <w:pStyle w:val="TOC8"/>
        <w:rPr>
          <w:rFonts w:asciiTheme="minorHAnsi" w:eastAsiaTheme="minorEastAsia" w:hAnsiTheme="minorHAnsi" w:cstheme="minorBidi"/>
          <w:szCs w:val="22"/>
        </w:rPr>
      </w:pPr>
      <w:r>
        <w:t>5.55.</w:t>
      </w:r>
      <w:r>
        <w:tab/>
        <w:t>Notice of annual reports</w:t>
      </w:r>
      <w:r>
        <w:tab/>
      </w:r>
      <w:r>
        <w:fldChar w:fldCharType="begin"/>
      </w:r>
      <w:r>
        <w:instrText xml:space="preserve"> PAGEREF _Toc462409436 \h </w:instrText>
      </w:r>
      <w:r>
        <w:fldChar w:fldCharType="separate"/>
      </w:r>
      <w:r>
        <w:t>160</w:t>
      </w:r>
      <w:r>
        <w:fldChar w:fldCharType="end"/>
      </w:r>
    </w:p>
    <w:p>
      <w:pPr>
        <w:pStyle w:val="TOC8"/>
        <w:rPr>
          <w:rFonts w:asciiTheme="minorHAnsi" w:eastAsiaTheme="minorEastAsia" w:hAnsiTheme="minorHAnsi" w:cstheme="minorBidi"/>
          <w:szCs w:val="22"/>
        </w:rPr>
      </w:pPr>
      <w:r>
        <w:t>5.56.</w:t>
      </w:r>
      <w:r>
        <w:tab/>
        <w:t>Planning for the future</w:t>
      </w:r>
      <w:r>
        <w:tab/>
      </w:r>
      <w:r>
        <w:fldChar w:fldCharType="begin"/>
      </w:r>
      <w:r>
        <w:instrText xml:space="preserve"> PAGEREF _Toc462409437 \h </w:instrText>
      </w:r>
      <w:r>
        <w:fldChar w:fldCharType="separate"/>
      </w:r>
      <w:r>
        <w:t>160</w:t>
      </w:r>
      <w:r>
        <w:fldChar w:fldCharType="end"/>
      </w:r>
    </w:p>
    <w:p>
      <w:pPr>
        <w:pStyle w:val="TOC4"/>
        <w:tabs>
          <w:tab w:val="right" w:leader="dot" w:pos="7077"/>
        </w:tabs>
        <w:rPr>
          <w:rFonts w:asciiTheme="minorHAnsi" w:eastAsiaTheme="minorEastAsia" w:hAnsiTheme="minorHAnsi" w:cstheme="minorBidi"/>
          <w:b w:val="0"/>
          <w:szCs w:val="22"/>
        </w:rPr>
      </w:pPr>
      <w:r>
        <w:t>Division 6 — Disclosure of financial interests</w:t>
      </w:r>
    </w:p>
    <w:p>
      <w:pPr>
        <w:pStyle w:val="TOC6"/>
        <w:tabs>
          <w:tab w:val="right" w:leader="dot" w:pos="7077"/>
        </w:tabs>
        <w:rPr>
          <w:rFonts w:asciiTheme="minorHAnsi" w:eastAsiaTheme="minorEastAsia" w:hAnsiTheme="minorHAnsi" w:cstheme="minorBidi"/>
          <w:b w:val="0"/>
          <w:sz w:val="22"/>
          <w:szCs w:val="22"/>
        </w:rPr>
      </w:pPr>
      <w:r>
        <w:t>Subdivision 1 — Disclosure of financial interests in matters affecting local government decisions</w:t>
      </w:r>
    </w:p>
    <w:p>
      <w:pPr>
        <w:pStyle w:val="TOC8"/>
        <w:rPr>
          <w:rFonts w:asciiTheme="minorHAnsi" w:eastAsiaTheme="minorEastAsia" w:hAnsiTheme="minorHAnsi" w:cstheme="minorBidi"/>
          <w:szCs w:val="22"/>
        </w:rPr>
      </w:pPr>
      <w:r>
        <w:t>5.59.</w:t>
      </w:r>
      <w:r>
        <w:tab/>
        <w:t>Terms used</w:t>
      </w:r>
      <w:r>
        <w:tab/>
      </w:r>
      <w:r>
        <w:fldChar w:fldCharType="begin"/>
      </w:r>
      <w:r>
        <w:instrText xml:space="preserve"> PAGEREF _Toc462409440 \h </w:instrText>
      </w:r>
      <w:r>
        <w:fldChar w:fldCharType="separate"/>
      </w:r>
      <w:r>
        <w:t>161</w:t>
      </w:r>
      <w:r>
        <w:fldChar w:fldCharType="end"/>
      </w:r>
    </w:p>
    <w:p>
      <w:pPr>
        <w:pStyle w:val="TOC8"/>
        <w:rPr>
          <w:rFonts w:asciiTheme="minorHAnsi" w:eastAsiaTheme="minorEastAsia" w:hAnsiTheme="minorHAnsi" w:cstheme="minorBidi"/>
          <w:szCs w:val="22"/>
        </w:rPr>
      </w:pPr>
      <w:r>
        <w:t>5.60.</w:t>
      </w:r>
      <w:r>
        <w:tab/>
        <w:t>When person has an interest</w:t>
      </w:r>
      <w:r>
        <w:tab/>
      </w:r>
      <w:r>
        <w:fldChar w:fldCharType="begin"/>
      </w:r>
      <w:r>
        <w:instrText xml:space="preserve"> PAGEREF _Toc462409441 \h </w:instrText>
      </w:r>
      <w:r>
        <w:fldChar w:fldCharType="separate"/>
      </w:r>
      <w:r>
        <w:t>161</w:t>
      </w:r>
      <w:r>
        <w:fldChar w:fldCharType="end"/>
      </w:r>
    </w:p>
    <w:p>
      <w:pPr>
        <w:pStyle w:val="TOC8"/>
        <w:rPr>
          <w:rFonts w:asciiTheme="minorHAnsi" w:eastAsiaTheme="minorEastAsia" w:hAnsiTheme="minorHAnsi" w:cstheme="minorBidi"/>
          <w:szCs w:val="22"/>
        </w:rPr>
      </w:pPr>
      <w:r>
        <w:t>5.60A.</w:t>
      </w:r>
      <w:r>
        <w:tab/>
        <w:t>Financial interest</w:t>
      </w:r>
      <w:r>
        <w:tab/>
      </w:r>
      <w:r>
        <w:fldChar w:fldCharType="begin"/>
      </w:r>
      <w:r>
        <w:instrText xml:space="preserve"> PAGEREF _Toc462409442 \h </w:instrText>
      </w:r>
      <w:r>
        <w:fldChar w:fldCharType="separate"/>
      </w:r>
      <w:r>
        <w:t>161</w:t>
      </w:r>
      <w:r>
        <w:fldChar w:fldCharType="end"/>
      </w:r>
    </w:p>
    <w:p>
      <w:pPr>
        <w:pStyle w:val="TOC8"/>
        <w:rPr>
          <w:rFonts w:asciiTheme="minorHAnsi" w:eastAsiaTheme="minorEastAsia" w:hAnsiTheme="minorHAnsi" w:cstheme="minorBidi"/>
          <w:szCs w:val="22"/>
        </w:rPr>
      </w:pPr>
      <w:r>
        <w:t>5.60B.</w:t>
      </w:r>
      <w:r>
        <w:tab/>
        <w:t>Proximity interest</w:t>
      </w:r>
      <w:r>
        <w:tab/>
      </w:r>
      <w:r>
        <w:fldChar w:fldCharType="begin"/>
      </w:r>
      <w:r>
        <w:instrText xml:space="preserve"> PAGEREF _Toc462409443 \h </w:instrText>
      </w:r>
      <w:r>
        <w:fldChar w:fldCharType="separate"/>
      </w:r>
      <w:r>
        <w:t>162</w:t>
      </w:r>
      <w:r>
        <w:fldChar w:fldCharType="end"/>
      </w:r>
    </w:p>
    <w:p>
      <w:pPr>
        <w:pStyle w:val="TOC8"/>
        <w:rPr>
          <w:rFonts w:asciiTheme="minorHAnsi" w:eastAsiaTheme="minorEastAsia" w:hAnsiTheme="minorHAnsi" w:cstheme="minorBidi"/>
          <w:szCs w:val="22"/>
        </w:rPr>
      </w:pPr>
      <w:r>
        <w:t>5.61.</w:t>
      </w:r>
      <w:r>
        <w:tab/>
        <w:t>Indirect financial interests</w:t>
      </w:r>
      <w:r>
        <w:tab/>
      </w:r>
      <w:r>
        <w:fldChar w:fldCharType="begin"/>
      </w:r>
      <w:r>
        <w:instrText xml:space="preserve"> PAGEREF _Toc462409444 \h </w:instrText>
      </w:r>
      <w:r>
        <w:fldChar w:fldCharType="separate"/>
      </w:r>
      <w:r>
        <w:t>162</w:t>
      </w:r>
      <w:r>
        <w:fldChar w:fldCharType="end"/>
      </w:r>
    </w:p>
    <w:p>
      <w:pPr>
        <w:pStyle w:val="TOC8"/>
        <w:rPr>
          <w:rFonts w:asciiTheme="minorHAnsi" w:eastAsiaTheme="minorEastAsia" w:hAnsiTheme="minorHAnsi" w:cstheme="minorBidi"/>
          <w:szCs w:val="22"/>
        </w:rPr>
      </w:pPr>
      <w:r>
        <w:t>5.62.</w:t>
      </w:r>
      <w:r>
        <w:tab/>
        <w:t>Closely associated persons</w:t>
      </w:r>
      <w:r>
        <w:tab/>
      </w:r>
      <w:r>
        <w:fldChar w:fldCharType="begin"/>
      </w:r>
      <w:r>
        <w:instrText xml:space="preserve"> PAGEREF _Toc462409445 \h </w:instrText>
      </w:r>
      <w:r>
        <w:fldChar w:fldCharType="separate"/>
      </w:r>
      <w:r>
        <w:t>162</w:t>
      </w:r>
      <w:r>
        <w:fldChar w:fldCharType="end"/>
      </w:r>
    </w:p>
    <w:p>
      <w:pPr>
        <w:pStyle w:val="TOC8"/>
        <w:rPr>
          <w:rFonts w:asciiTheme="minorHAnsi" w:eastAsiaTheme="minorEastAsia" w:hAnsiTheme="minorHAnsi" w:cstheme="minorBidi"/>
          <w:szCs w:val="22"/>
        </w:rPr>
      </w:pPr>
      <w:r>
        <w:t>5.63.</w:t>
      </w:r>
      <w:r>
        <w:tab/>
        <w:t>Some interests need not be disclosed</w:t>
      </w:r>
      <w:r>
        <w:tab/>
      </w:r>
      <w:r>
        <w:fldChar w:fldCharType="begin"/>
      </w:r>
      <w:r>
        <w:instrText xml:space="preserve"> PAGEREF _Toc462409446 \h </w:instrText>
      </w:r>
      <w:r>
        <w:fldChar w:fldCharType="separate"/>
      </w:r>
      <w:r>
        <w:t>164</w:t>
      </w:r>
      <w:r>
        <w:fldChar w:fldCharType="end"/>
      </w:r>
    </w:p>
    <w:p>
      <w:pPr>
        <w:pStyle w:val="TOC8"/>
        <w:rPr>
          <w:rFonts w:asciiTheme="minorHAnsi" w:eastAsiaTheme="minorEastAsia" w:hAnsiTheme="minorHAnsi" w:cstheme="minorBidi"/>
          <w:szCs w:val="22"/>
        </w:rPr>
      </w:pPr>
      <w:r>
        <w:t>5.65.</w:t>
      </w:r>
      <w:r>
        <w:tab/>
        <w:t>Members’ interests in matters to be discussed at meetings to be disclosed</w:t>
      </w:r>
      <w:r>
        <w:tab/>
      </w:r>
      <w:r>
        <w:fldChar w:fldCharType="begin"/>
      </w:r>
      <w:r>
        <w:instrText xml:space="preserve"> PAGEREF _Toc462409447 \h </w:instrText>
      </w:r>
      <w:r>
        <w:fldChar w:fldCharType="separate"/>
      </w:r>
      <w:r>
        <w:t>166</w:t>
      </w:r>
      <w:r>
        <w:fldChar w:fldCharType="end"/>
      </w:r>
    </w:p>
    <w:p>
      <w:pPr>
        <w:pStyle w:val="TOC8"/>
        <w:rPr>
          <w:rFonts w:asciiTheme="minorHAnsi" w:eastAsiaTheme="minorEastAsia" w:hAnsiTheme="minorHAnsi" w:cstheme="minorBidi"/>
          <w:szCs w:val="22"/>
        </w:rPr>
      </w:pPr>
      <w:r>
        <w:t>5.66.</w:t>
      </w:r>
      <w:r>
        <w:tab/>
        <w:t>Meeting to be informed of disclosures</w:t>
      </w:r>
      <w:r>
        <w:tab/>
      </w:r>
      <w:r>
        <w:fldChar w:fldCharType="begin"/>
      </w:r>
      <w:r>
        <w:instrText xml:space="preserve"> PAGEREF _Toc462409448 \h </w:instrText>
      </w:r>
      <w:r>
        <w:fldChar w:fldCharType="separate"/>
      </w:r>
      <w:r>
        <w:t>167</w:t>
      </w:r>
      <w:r>
        <w:fldChar w:fldCharType="end"/>
      </w:r>
    </w:p>
    <w:p>
      <w:pPr>
        <w:pStyle w:val="TOC8"/>
        <w:rPr>
          <w:rFonts w:asciiTheme="minorHAnsi" w:eastAsiaTheme="minorEastAsia" w:hAnsiTheme="minorHAnsi" w:cstheme="minorBidi"/>
          <w:szCs w:val="22"/>
        </w:rPr>
      </w:pPr>
      <w:r>
        <w:t>5.67.</w:t>
      </w:r>
      <w:r>
        <w:tab/>
        <w:t>Disclosing members not to participate in meetings</w:t>
      </w:r>
      <w:r>
        <w:tab/>
      </w:r>
      <w:r>
        <w:fldChar w:fldCharType="begin"/>
      </w:r>
      <w:r>
        <w:instrText xml:space="preserve"> PAGEREF _Toc462409449 \h </w:instrText>
      </w:r>
      <w:r>
        <w:fldChar w:fldCharType="separate"/>
      </w:r>
      <w:r>
        <w:t>167</w:t>
      </w:r>
      <w:r>
        <w:fldChar w:fldCharType="end"/>
      </w:r>
    </w:p>
    <w:p>
      <w:pPr>
        <w:pStyle w:val="TOC8"/>
        <w:rPr>
          <w:rFonts w:asciiTheme="minorHAnsi" w:eastAsiaTheme="minorEastAsia" w:hAnsiTheme="minorHAnsi" w:cstheme="minorBidi"/>
          <w:szCs w:val="22"/>
        </w:rPr>
      </w:pPr>
      <w:r>
        <w:t>5.68.</w:t>
      </w:r>
      <w:r>
        <w:tab/>
        <w:t>Councils and committees may allow members disclosing interests to participate etc. in meetings</w:t>
      </w:r>
      <w:r>
        <w:tab/>
      </w:r>
      <w:r>
        <w:fldChar w:fldCharType="begin"/>
      </w:r>
      <w:r>
        <w:instrText xml:space="preserve"> PAGEREF _Toc462409450 \h </w:instrText>
      </w:r>
      <w:r>
        <w:fldChar w:fldCharType="separate"/>
      </w:r>
      <w:r>
        <w:t>168</w:t>
      </w:r>
      <w:r>
        <w:fldChar w:fldCharType="end"/>
      </w:r>
    </w:p>
    <w:p>
      <w:pPr>
        <w:pStyle w:val="TOC8"/>
        <w:rPr>
          <w:rFonts w:asciiTheme="minorHAnsi" w:eastAsiaTheme="minorEastAsia" w:hAnsiTheme="minorHAnsi" w:cstheme="minorBidi"/>
          <w:szCs w:val="22"/>
        </w:rPr>
      </w:pPr>
      <w:r>
        <w:t>5.69.</w:t>
      </w:r>
      <w:r>
        <w:tab/>
        <w:t>Minister may allow members disclosing interests to participate etc. in meetings</w:t>
      </w:r>
      <w:r>
        <w:tab/>
      </w:r>
      <w:r>
        <w:fldChar w:fldCharType="begin"/>
      </w:r>
      <w:r>
        <w:instrText xml:space="preserve"> PAGEREF _Toc462409451 \h </w:instrText>
      </w:r>
      <w:r>
        <w:fldChar w:fldCharType="separate"/>
      </w:r>
      <w:r>
        <w:t>168</w:t>
      </w:r>
      <w:r>
        <w:fldChar w:fldCharType="end"/>
      </w:r>
    </w:p>
    <w:p>
      <w:pPr>
        <w:pStyle w:val="TOC8"/>
        <w:rPr>
          <w:rFonts w:asciiTheme="minorHAnsi" w:eastAsiaTheme="minorEastAsia" w:hAnsiTheme="minorHAnsi" w:cstheme="minorBidi"/>
          <w:szCs w:val="22"/>
        </w:rPr>
      </w:pPr>
      <w:r>
        <w:t>5.69A.</w:t>
      </w:r>
      <w:r>
        <w:tab/>
        <w:t>Minister may exempt committee members from disclosure requirements</w:t>
      </w:r>
      <w:r>
        <w:tab/>
      </w:r>
      <w:r>
        <w:fldChar w:fldCharType="begin"/>
      </w:r>
      <w:r>
        <w:instrText xml:space="preserve"> PAGEREF _Toc462409452 \h </w:instrText>
      </w:r>
      <w:r>
        <w:fldChar w:fldCharType="separate"/>
      </w:r>
      <w:r>
        <w:t>169</w:t>
      </w:r>
      <w:r>
        <w:fldChar w:fldCharType="end"/>
      </w:r>
    </w:p>
    <w:p>
      <w:pPr>
        <w:pStyle w:val="TOC8"/>
        <w:rPr>
          <w:rFonts w:asciiTheme="minorHAnsi" w:eastAsiaTheme="minorEastAsia" w:hAnsiTheme="minorHAnsi" w:cstheme="minorBidi"/>
          <w:szCs w:val="22"/>
        </w:rPr>
      </w:pPr>
      <w:r>
        <w:t>5.70.</w:t>
      </w:r>
      <w:r>
        <w:tab/>
        <w:t>Employees to disclose interests relating to advice or reports</w:t>
      </w:r>
      <w:r>
        <w:tab/>
      </w:r>
      <w:r>
        <w:fldChar w:fldCharType="begin"/>
      </w:r>
      <w:r>
        <w:instrText xml:space="preserve"> PAGEREF _Toc462409453 \h </w:instrText>
      </w:r>
      <w:r>
        <w:fldChar w:fldCharType="separate"/>
      </w:r>
      <w:r>
        <w:t>170</w:t>
      </w:r>
      <w:r>
        <w:fldChar w:fldCharType="end"/>
      </w:r>
    </w:p>
    <w:p>
      <w:pPr>
        <w:pStyle w:val="TOC8"/>
        <w:rPr>
          <w:rFonts w:asciiTheme="minorHAnsi" w:eastAsiaTheme="minorEastAsia" w:hAnsiTheme="minorHAnsi" w:cstheme="minorBidi"/>
          <w:szCs w:val="22"/>
        </w:rPr>
      </w:pPr>
      <w:r>
        <w:t>5.71.</w:t>
      </w:r>
      <w:r>
        <w:tab/>
        <w:t>Employees to disclose interests relating to delegated functions</w:t>
      </w:r>
      <w:r>
        <w:tab/>
      </w:r>
      <w:r>
        <w:fldChar w:fldCharType="begin"/>
      </w:r>
      <w:r>
        <w:instrText xml:space="preserve"> PAGEREF _Toc462409454 \h </w:instrText>
      </w:r>
      <w:r>
        <w:fldChar w:fldCharType="separate"/>
      </w:r>
      <w:r>
        <w:t>170</w:t>
      </w:r>
      <w:r>
        <w:fldChar w:fldCharType="end"/>
      </w:r>
    </w:p>
    <w:p>
      <w:pPr>
        <w:pStyle w:val="TOC8"/>
        <w:rPr>
          <w:rFonts w:asciiTheme="minorHAnsi" w:eastAsiaTheme="minorEastAsia" w:hAnsiTheme="minorHAnsi" w:cstheme="minorBidi"/>
          <w:szCs w:val="22"/>
        </w:rPr>
      </w:pPr>
      <w:r>
        <w:t>5.72.</w:t>
      </w:r>
      <w:r>
        <w:tab/>
        <w:t>Defence to prosecution</w:t>
      </w:r>
      <w:r>
        <w:tab/>
      </w:r>
      <w:r>
        <w:fldChar w:fldCharType="begin"/>
      </w:r>
      <w:r>
        <w:instrText xml:space="preserve"> PAGEREF _Toc462409455 \h </w:instrText>
      </w:r>
      <w:r>
        <w:fldChar w:fldCharType="separate"/>
      </w:r>
      <w:r>
        <w:t>171</w:t>
      </w:r>
      <w:r>
        <w:fldChar w:fldCharType="end"/>
      </w:r>
    </w:p>
    <w:p>
      <w:pPr>
        <w:pStyle w:val="TOC8"/>
        <w:rPr>
          <w:rFonts w:asciiTheme="minorHAnsi" w:eastAsiaTheme="minorEastAsia" w:hAnsiTheme="minorHAnsi" w:cstheme="minorBidi"/>
          <w:szCs w:val="22"/>
        </w:rPr>
      </w:pPr>
      <w:r>
        <w:t>5.73.</w:t>
      </w:r>
      <w:r>
        <w:tab/>
        <w:t>Disclosures to be minuted</w:t>
      </w:r>
      <w:r>
        <w:tab/>
      </w:r>
      <w:r>
        <w:fldChar w:fldCharType="begin"/>
      </w:r>
      <w:r>
        <w:instrText xml:space="preserve"> PAGEREF _Toc462409456 \h </w:instrText>
      </w:r>
      <w:r>
        <w:fldChar w:fldCharType="separate"/>
      </w:r>
      <w:r>
        <w:t>171</w:t>
      </w:r>
      <w:r>
        <w:fldChar w:fldCharType="end"/>
      </w:r>
    </w:p>
    <w:p>
      <w:pPr>
        <w:pStyle w:val="TOC6"/>
        <w:tabs>
          <w:tab w:val="right" w:leader="dot" w:pos="7077"/>
        </w:tabs>
        <w:rPr>
          <w:rFonts w:asciiTheme="minorHAnsi" w:eastAsiaTheme="minorEastAsia" w:hAnsiTheme="minorHAnsi" w:cstheme="minorBidi"/>
          <w:b w:val="0"/>
          <w:sz w:val="22"/>
          <w:szCs w:val="22"/>
        </w:rPr>
      </w:pPr>
      <w:r>
        <w:t>Subdivision 2 — Disclosure of financial interests in returns</w:t>
      </w:r>
    </w:p>
    <w:p>
      <w:pPr>
        <w:pStyle w:val="TOC8"/>
        <w:rPr>
          <w:rFonts w:asciiTheme="minorHAnsi" w:eastAsiaTheme="minorEastAsia" w:hAnsiTheme="minorHAnsi" w:cstheme="minorBidi"/>
          <w:szCs w:val="22"/>
        </w:rPr>
      </w:pPr>
      <w:r>
        <w:t>5.74.</w:t>
      </w:r>
      <w:r>
        <w:tab/>
        <w:t>Terms used</w:t>
      </w:r>
      <w:r>
        <w:tab/>
      </w:r>
      <w:r>
        <w:fldChar w:fldCharType="begin"/>
      </w:r>
      <w:r>
        <w:instrText xml:space="preserve"> PAGEREF _Toc462409458 \h </w:instrText>
      </w:r>
      <w:r>
        <w:fldChar w:fldCharType="separate"/>
      </w:r>
      <w:r>
        <w:t>171</w:t>
      </w:r>
      <w:r>
        <w:fldChar w:fldCharType="end"/>
      </w:r>
    </w:p>
    <w:p>
      <w:pPr>
        <w:pStyle w:val="TOC8"/>
        <w:rPr>
          <w:rFonts w:asciiTheme="minorHAnsi" w:eastAsiaTheme="minorEastAsia" w:hAnsiTheme="minorHAnsi" w:cstheme="minorBidi"/>
          <w:szCs w:val="22"/>
        </w:rPr>
      </w:pPr>
      <w:r>
        <w:t>5.75.</w:t>
      </w:r>
      <w:r>
        <w:tab/>
        <w:t>Primary returns</w:t>
      </w:r>
      <w:r>
        <w:tab/>
      </w:r>
      <w:r>
        <w:fldChar w:fldCharType="begin"/>
      </w:r>
      <w:r>
        <w:instrText xml:space="preserve"> PAGEREF _Toc462409459 \h </w:instrText>
      </w:r>
      <w:r>
        <w:fldChar w:fldCharType="separate"/>
      </w:r>
      <w:r>
        <w:t>174</w:t>
      </w:r>
      <w:r>
        <w:fldChar w:fldCharType="end"/>
      </w:r>
    </w:p>
    <w:p>
      <w:pPr>
        <w:pStyle w:val="TOC8"/>
        <w:rPr>
          <w:rFonts w:asciiTheme="minorHAnsi" w:eastAsiaTheme="minorEastAsia" w:hAnsiTheme="minorHAnsi" w:cstheme="minorBidi"/>
          <w:szCs w:val="22"/>
        </w:rPr>
      </w:pPr>
      <w:r>
        <w:t>5.76.</w:t>
      </w:r>
      <w:r>
        <w:tab/>
        <w:t>Annual returns</w:t>
      </w:r>
      <w:r>
        <w:tab/>
      </w:r>
      <w:r>
        <w:fldChar w:fldCharType="begin"/>
      </w:r>
      <w:r>
        <w:instrText xml:space="preserve"> PAGEREF _Toc462409460 \h </w:instrText>
      </w:r>
      <w:r>
        <w:fldChar w:fldCharType="separate"/>
      </w:r>
      <w:r>
        <w:t>174</w:t>
      </w:r>
      <w:r>
        <w:fldChar w:fldCharType="end"/>
      </w:r>
    </w:p>
    <w:p>
      <w:pPr>
        <w:pStyle w:val="TOC8"/>
        <w:rPr>
          <w:rFonts w:asciiTheme="minorHAnsi" w:eastAsiaTheme="minorEastAsia" w:hAnsiTheme="minorHAnsi" w:cstheme="minorBidi"/>
          <w:szCs w:val="22"/>
        </w:rPr>
      </w:pPr>
      <w:r>
        <w:t>5.77.</w:t>
      </w:r>
      <w:r>
        <w:tab/>
        <w:t>Acknowledging receipt of returns</w:t>
      </w:r>
      <w:r>
        <w:tab/>
      </w:r>
      <w:r>
        <w:fldChar w:fldCharType="begin"/>
      </w:r>
      <w:r>
        <w:instrText xml:space="preserve"> PAGEREF _Toc462409461 \h </w:instrText>
      </w:r>
      <w:r>
        <w:fldChar w:fldCharType="separate"/>
      </w:r>
      <w:r>
        <w:t>174</w:t>
      </w:r>
      <w:r>
        <w:fldChar w:fldCharType="end"/>
      </w:r>
    </w:p>
    <w:p>
      <w:pPr>
        <w:pStyle w:val="TOC8"/>
        <w:rPr>
          <w:rFonts w:asciiTheme="minorHAnsi" w:eastAsiaTheme="minorEastAsia" w:hAnsiTheme="minorHAnsi" w:cstheme="minorBidi"/>
          <w:szCs w:val="22"/>
        </w:rPr>
      </w:pPr>
      <w:r>
        <w:t>5.78.</w:t>
      </w:r>
      <w:r>
        <w:tab/>
        <w:t>Information to be disclosed in returns</w:t>
      </w:r>
      <w:r>
        <w:tab/>
      </w:r>
      <w:r>
        <w:fldChar w:fldCharType="begin"/>
      </w:r>
      <w:r>
        <w:instrText xml:space="preserve"> PAGEREF _Toc462409462 \h </w:instrText>
      </w:r>
      <w:r>
        <w:fldChar w:fldCharType="separate"/>
      </w:r>
      <w:r>
        <w:t>174</w:t>
      </w:r>
      <w:r>
        <w:fldChar w:fldCharType="end"/>
      </w:r>
    </w:p>
    <w:p>
      <w:pPr>
        <w:pStyle w:val="TOC8"/>
        <w:rPr>
          <w:rFonts w:asciiTheme="minorHAnsi" w:eastAsiaTheme="minorEastAsia" w:hAnsiTheme="minorHAnsi" w:cstheme="minorBidi"/>
          <w:szCs w:val="22"/>
        </w:rPr>
      </w:pPr>
      <w:r>
        <w:t>5.79.</w:t>
      </w:r>
      <w:r>
        <w:tab/>
        <w:t>Real property</w:t>
      </w:r>
      <w:r>
        <w:tab/>
      </w:r>
      <w:r>
        <w:fldChar w:fldCharType="begin"/>
      </w:r>
      <w:r>
        <w:instrText xml:space="preserve"> PAGEREF _Toc462409463 \h </w:instrText>
      </w:r>
      <w:r>
        <w:fldChar w:fldCharType="separate"/>
      </w:r>
      <w:r>
        <w:t>175</w:t>
      </w:r>
      <w:r>
        <w:fldChar w:fldCharType="end"/>
      </w:r>
    </w:p>
    <w:p>
      <w:pPr>
        <w:pStyle w:val="TOC8"/>
        <w:rPr>
          <w:rFonts w:asciiTheme="minorHAnsi" w:eastAsiaTheme="minorEastAsia" w:hAnsiTheme="minorHAnsi" w:cstheme="minorBidi"/>
          <w:szCs w:val="22"/>
        </w:rPr>
      </w:pPr>
      <w:r>
        <w:t>5.80.</w:t>
      </w:r>
      <w:r>
        <w:tab/>
        <w:t>Source of income</w:t>
      </w:r>
      <w:r>
        <w:tab/>
      </w:r>
      <w:r>
        <w:fldChar w:fldCharType="begin"/>
      </w:r>
      <w:r>
        <w:instrText xml:space="preserve"> PAGEREF _Toc462409464 \h </w:instrText>
      </w:r>
      <w:r>
        <w:fldChar w:fldCharType="separate"/>
      </w:r>
      <w:r>
        <w:t>176</w:t>
      </w:r>
      <w:r>
        <w:fldChar w:fldCharType="end"/>
      </w:r>
    </w:p>
    <w:p>
      <w:pPr>
        <w:pStyle w:val="TOC8"/>
        <w:rPr>
          <w:rFonts w:asciiTheme="minorHAnsi" w:eastAsiaTheme="minorEastAsia" w:hAnsiTheme="minorHAnsi" w:cstheme="minorBidi"/>
          <w:szCs w:val="22"/>
        </w:rPr>
      </w:pPr>
      <w:r>
        <w:t>5.81.</w:t>
      </w:r>
      <w:r>
        <w:tab/>
        <w:t>Trusts</w:t>
      </w:r>
      <w:r>
        <w:tab/>
      </w:r>
      <w:r>
        <w:fldChar w:fldCharType="begin"/>
      </w:r>
      <w:r>
        <w:instrText xml:space="preserve"> PAGEREF _Toc462409465 \h </w:instrText>
      </w:r>
      <w:r>
        <w:fldChar w:fldCharType="separate"/>
      </w:r>
      <w:r>
        <w:t>177</w:t>
      </w:r>
      <w:r>
        <w:fldChar w:fldCharType="end"/>
      </w:r>
    </w:p>
    <w:p>
      <w:pPr>
        <w:pStyle w:val="TOC8"/>
        <w:rPr>
          <w:rFonts w:asciiTheme="minorHAnsi" w:eastAsiaTheme="minorEastAsia" w:hAnsiTheme="minorHAnsi" w:cstheme="minorBidi"/>
          <w:szCs w:val="22"/>
        </w:rPr>
      </w:pPr>
      <w:r>
        <w:t>5.82.</w:t>
      </w:r>
      <w:r>
        <w:tab/>
        <w:t>Gifts</w:t>
      </w:r>
      <w:r>
        <w:tab/>
      </w:r>
      <w:r>
        <w:fldChar w:fldCharType="begin"/>
      </w:r>
      <w:r>
        <w:instrText xml:space="preserve"> PAGEREF _Toc462409466 \h </w:instrText>
      </w:r>
      <w:r>
        <w:fldChar w:fldCharType="separate"/>
      </w:r>
      <w:r>
        <w:t>177</w:t>
      </w:r>
      <w:r>
        <w:fldChar w:fldCharType="end"/>
      </w:r>
    </w:p>
    <w:p>
      <w:pPr>
        <w:pStyle w:val="TOC8"/>
        <w:rPr>
          <w:rFonts w:asciiTheme="minorHAnsi" w:eastAsiaTheme="minorEastAsia" w:hAnsiTheme="minorHAnsi" w:cstheme="minorBidi"/>
          <w:szCs w:val="22"/>
        </w:rPr>
      </w:pPr>
      <w:r>
        <w:t>5.83.</w:t>
      </w:r>
      <w:r>
        <w:tab/>
        <w:t>Contributions to travel</w:t>
      </w:r>
      <w:r>
        <w:tab/>
      </w:r>
      <w:r>
        <w:fldChar w:fldCharType="begin"/>
      </w:r>
      <w:r>
        <w:instrText xml:space="preserve"> PAGEREF _Toc462409467 \h </w:instrText>
      </w:r>
      <w:r>
        <w:fldChar w:fldCharType="separate"/>
      </w:r>
      <w:r>
        <w:t>179</w:t>
      </w:r>
      <w:r>
        <w:fldChar w:fldCharType="end"/>
      </w:r>
    </w:p>
    <w:p>
      <w:pPr>
        <w:pStyle w:val="TOC8"/>
        <w:rPr>
          <w:rFonts w:asciiTheme="minorHAnsi" w:eastAsiaTheme="minorEastAsia" w:hAnsiTheme="minorHAnsi" w:cstheme="minorBidi"/>
          <w:szCs w:val="22"/>
        </w:rPr>
      </w:pPr>
      <w:r>
        <w:t>5.84.</w:t>
      </w:r>
      <w:r>
        <w:tab/>
        <w:t>Interests and positions in corporations</w:t>
      </w:r>
      <w:r>
        <w:tab/>
      </w:r>
      <w:r>
        <w:fldChar w:fldCharType="begin"/>
      </w:r>
      <w:r>
        <w:instrText xml:space="preserve"> PAGEREF _Toc462409468 \h </w:instrText>
      </w:r>
      <w:r>
        <w:fldChar w:fldCharType="separate"/>
      </w:r>
      <w:r>
        <w:t>180</w:t>
      </w:r>
      <w:r>
        <w:fldChar w:fldCharType="end"/>
      </w:r>
    </w:p>
    <w:p>
      <w:pPr>
        <w:pStyle w:val="TOC8"/>
        <w:rPr>
          <w:rFonts w:asciiTheme="minorHAnsi" w:eastAsiaTheme="minorEastAsia" w:hAnsiTheme="minorHAnsi" w:cstheme="minorBidi"/>
          <w:szCs w:val="22"/>
        </w:rPr>
      </w:pPr>
      <w:r>
        <w:t>5.85.</w:t>
      </w:r>
      <w:r>
        <w:tab/>
        <w:t>Debts</w:t>
      </w:r>
      <w:r>
        <w:tab/>
      </w:r>
      <w:r>
        <w:fldChar w:fldCharType="begin"/>
      </w:r>
      <w:r>
        <w:instrText xml:space="preserve"> PAGEREF _Toc462409469 \h </w:instrText>
      </w:r>
      <w:r>
        <w:fldChar w:fldCharType="separate"/>
      </w:r>
      <w:r>
        <w:t>181</w:t>
      </w:r>
      <w:r>
        <w:fldChar w:fldCharType="end"/>
      </w:r>
    </w:p>
    <w:p>
      <w:pPr>
        <w:pStyle w:val="TOC8"/>
        <w:rPr>
          <w:rFonts w:asciiTheme="minorHAnsi" w:eastAsiaTheme="minorEastAsia" w:hAnsiTheme="minorHAnsi" w:cstheme="minorBidi"/>
          <w:szCs w:val="22"/>
        </w:rPr>
      </w:pPr>
      <w:r>
        <w:t>5.86.</w:t>
      </w:r>
      <w:r>
        <w:tab/>
        <w:t>Dispositions of property</w:t>
      </w:r>
      <w:r>
        <w:tab/>
      </w:r>
      <w:r>
        <w:fldChar w:fldCharType="begin"/>
      </w:r>
      <w:r>
        <w:instrText xml:space="preserve"> PAGEREF _Toc462409470 \h </w:instrText>
      </w:r>
      <w:r>
        <w:fldChar w:fldCharType="separate"/>
      </w:r>
      <w:r>
        <w:t>183</w:t>
      </w:r>
      <w:r>
        <w:fldChar w:fldCharType="end"/>
      </w:r>
    </w:p>
    <w:p>
      <w:pPr>
        <w:pStyle w:val="TOC8"/>
        <w:rPr>
          <w:rFonts w:asciiTheme="minorHAnsi" w:eastAsiaTheme="minorEastAsia" w:hAnsiTheme="minorHAnsi" w:cstheme="minorBidi"/>
          <w:szCs w:val="22"/>
        </w:rPr>
      </w:pPr>
      <w:r>
        <w:t>5.87.</w:t>
      </w:r>
      <w:r>
        <w:tab/>
        <w:t>Discretionary disclosures generally</w:t>
      </w:r>
      <w:r>
        <w:tab/>
      </w:r>
      <w:r>
        <w:fldChar w:fldCharType="begin"/>
      </w:r>
      <w:r>
        <w:instrText xml:space="preserve"> PAGEREF _Toc462409471 \h </w:instrText>
      </w:r>
      <w:r>
        <w:fldChar w:fldCharType="separate"/>
      </w:r>
      <w:r>
        <w:t>184</w:t>
      </w:r>
      <w:r>
        <w:fldChar w:fldCharType="end"/>
      </w:r>
    </w:p>
    <w:p>
      <w:pPr>
        <w:pStyle w:val="TOC6"/>
        <w:tabs>
          <w:tab w:val="right" w:leader="dot" w:pos="7077"/>
        </w:tabs>
        <w:rPr>
          <w:rFonts w:asciiTheme="minorHAnsi" w:eastAsiaTheme="minorEastAsia" w:hAnsiTheme="minorHAnsi" w:cstheme="minorBidi"/>
          <w:b w:val="0"/>
          <w:sz w:val="22"/>
          <w:szCs w:val="22"/>
        </w:rPr>
      </w:pPr>
      <w:r>
        <w:t>Subdivision 3 — General</w:t>
      </w:r>
    </w:p>
    <w:p>
      <w:pPr>
        <w:pStyle w:val="TOC8"/>
        <w:rPr>
          <w:rFonts w:asciiTheme="minorHAnsi" w:eastAsiaTheme="minorEastAsia" w:hAnsiTheme="minorHAnsi" w:cstheme="minorBidi"/>
          <w:szCs w:val="22"/>
        </w:rPr>
      </w:pPr>
      <w:r>
        <w:t>5.88.</w:t>
      </w:r>
      <w:r>
        <w:tab/>
        <w:t>Register of financial interests</w:t>
      </w:r>
      <w:r>
        <w:tab/>
      </w:r>
      <w:r>
        <w:fldChar w:fldCharType="begin"/>
      </w:r>
      <w:r>
        <w:instrText xml:space="preserve"> PAGEREF _Toc462409473 \h </w:instrText>
      </w:r>
      <w:r>
        <w:fldChar w:fldCharType="separate"/>
      </w:r>
      <w:r>
        <w:t>184</w:t>
      </w:r>
      <w:r>
        <w:fldChar w:fldCharType="end"/>
      </w:r>
    </w:p>
    <w:p>
      <w:pPr>
        <w:pStyle w:val="TOC8"/>
        <w:rPr>
          <w:rFonts w:asciiTheme="minorHAnsi" w:eastAsiaTheme="minorEastAsia" w:hAnsiTheme="minorHAnsi" w:cstheme="minorBidi"/>
          <w:szCs w:val="22"/>
        </w:rPr>
      </w:pPr>
      <w:r>
        <w:t>5.89A.</w:t>
      </w:r>
      <w:r>
        <w:tab/>
        <w:t>Register of gifts and contributions to travel</w:t>
      </w:r>
      <w:r>
        <w:tab/>
      </w:r>
      <w:r>
        <w:fldChar w:fldCharType="begin"/>
      </w:r>
      <w:r>
        <w:instrText xml:space="preserve"> PAGEREF _Toc462409474 \h </w:instrText>
      </w:r>
      <w:r>
        <w:fldChar w:fldCharType="separate"/>
      </w:r>
      <w:r>
        <w:t>185</w:t>
      </w:r>
      <w:r>
        <w:fldChar w:fldCharType="end"/>
      </w:r>
    </w:p>
    <w:p>
      <w:pPr>
        <w:pStyle w:val="TOC8"/>
        <w:rPr>
          <w:rFonts w:asciiTheme="minorHAnsi" w:eastAsiaTheme="minorEastAsia" w:hAnsiTheme="minorHAnsi" w:cstheme="minorBidi"/>
          <w:szCs w:val="22"/>
        </w:rPr>
      </w:pPr>
      <w:r>
        <w:t>5.89B.</w:t>
      </w:r>
      <w:r>
        <w:tab/>
        <w:t>Offence to fail to disclose under sections 5.82 and 5.83</w:t>
      </w:r>
      <w:r>
        <w:tab/>
      </w:r>
      <w:r>
        <w:fldChar w:fldCharType="begin"/>
      </w:r>
      <w:r>
        <w:instrText xml:space="preserve"> PAGEREF _Toc462409475 \h </w:instrText>
      </w:r>
      <w:r>
        <w:fldChar w:fldCharType="separate"/>
      </w:r>
      <w:r>
        <w:t>185</w:t>
      </w:r>
      <w:r>
        <w:fldChar w:fldCharType="end"/>
      </w:r>
    </w:p>
    <w:p>
      <w:pPr>
        <w:pStyle w:val="TOC8"/>
        <w:rPr>
          <w:rFonts w:asciiTheme="minorHAnsi" w:eastAsiaTheme="minorEastAsia" w:hAnsiTheme="minorHAnsi" w:cstheme="minorBidi"/>
          <w:szCs w:val="22"/>
        </w:rPr>
      </w:pPr>
      <w:r>
        <w:t>5.89.</w:t>
      </w:r>
      <w:r>
        <w:tab/>
        <w:t>Offence to give false or misleading information</w:t>
      </w:r>
      <w:r>
        <w:tab/>
      </w:r>
      <w:r>
        <w:fldChar w:fldCharType="begin"/>
      </w:r>
      <w:r>
        <w:instrText xml:space="preserve"> PAGEREF _Toc462409476 \h </w:instrText>
      </w:r>
      <w:r>
        <w:fldChar w:fldCharType="separate"/>
      </w:r>
      <w:r>
        <w:t>186</w:t>
      </w:r>
      <w:r>
        <w:fldChar w:fldCharType="end"/>
      </w:r>
    </w:p>
    <w:p>
      <w:pPr>
        <w:pStyle w:val="TOC8"/>
        <w:rPr>
          <w:rFonts w:asciiTheme="minorHAnsi" w:eastAsiaTheme="minorEastAsia" w:hAnsiTheme="minorHAnsi" w:cstheme="minorBidi"/>
          <w:szCs w:val="22"/>
        </w:rPr>
      </w:pPr>
      <w:r>
        <w:t>5.90.</w:t>
      </w:r>
      <w:r>
        <w:tab/>
        <w:t>Offence to publish information in certain cases</w:t>
      </w:r>
      <w:r>
        <w:tab/>
      </w:r>
      <w:r>
        <w:fldChar w:fldCharType="begin"/>
      </w:r>
      <w:r>
        <w:instrText xml:space="preserve"> PAGEREF _Toc462409477 \h </w:instrText>
      </w:r>
      <w:r>
        <w:fldChar w:fldCharType="separate"/>
      </w:r>
      <w:r>
        <w:t>186</w:t>
      </w:r>
      <w:r>
        <w:fldChar w:fldCharType="end"/>
      </w:r>
    </w:p>
    <w:p>
      <w:pPr>
        <w:pStyle w:val="TOC4"/>
        <w:tabs>
          <w:tab w:val="right" w:leader="dot" w:pos="7077"/>
        </w:tabs>
        <w:rPr>
          <w:rFonts w:asciiTheme="minorHAnsi" w:eastAsiaTheme="minorEastAsia" w:hAnsiTheme="minorHAnsi" w:cstheme="minorBidi"/>
          <w:b w:val="0"/>
          <w:szCs w:val="22"/>
        </w:rPr>
      </w:pPr>
      <w:r>
        <w:t>Division 7 — Access to information</w:t>
      </w:r>
    </w:p>
    <w:p>
      <w:pPr>
        <w:pStyle w:val="TOC8"/>
        <w:rPr>
          <w:rFonts w:asciiTheme="minorHAnsi" w:eastAsiaTheme="minorEastAsia" w:hAnsiTheme="minorHAnsi" w:cstheme="minorBidi"/>
          <w:szCs w:val="22"/>
        </w:rPr>
      </w:pPr>
      <w:r>
        <w:t>5.91.</w:t>
      </w:r>
      <w:r>
        <w:tab/>
        <w:t>Interpretation</w:t>
      </w:r>
      <w:r>
        <w:tab/>
      </w:r>
      <w:r>
        <w:fldChar w:fldCharType="begin"/>
      </w:r>
      <w:r>
        <w:instrText xml:space="preserve"> PAGEREF _Toc462409479 \h </w:instrText>
      </w:r>
      <w:r>
        <w:fldChar w:fldCharType="separate"/>
      </w:r>
      <w:r>
        <w:t>186</w:t>
      </w:r>
      <w:r>
        <w:fldChar w:fldCharType="end"/>
      </w:r>
    </w:p>
    <w:p>
      <w:pPr>
        <w:pStyle w:val="TOC8"/>
        <w:rPr>
          <w:rFonts w:asciiTheme="minorHAnsi" w:eastAsiaTheme="minorEastAsia" w:hAnsiTheme="minorHAnsi" w:cstheme="minorBidi"/>
          <w:szCs w:val="22"/>
        </w:rPr>
      </w:pPr>
      <w:r>
        <w:t>5.92.</w:t>
      </w:r>
      <w:r>
        <w:tab/>
        <w:t>Access to information by council, committee members</w:t>
      </w:r>
      <w:r>
        <w:tab/>
      </w:r>
      <w:r>
        <w:fldChar w:fldCharType="begin"/>
      </w:r>
      <w:r>
        <w:instrText xml:space="preserve"> PAGEREF _Toc462409480 \h </w:instrText>
      </w:r>
      <w:r>
        <w:fldChar w:fldCharType="separate"/>
      </w:r>
      <w:r>
        <w:t>187</w:t>
      </w:r>
      <w:r>
        <w:fldChar w:fldCharType="end"/>
      </w:r>
    </w:p>
    <w:p>
      <w:pPr>
        <w:pStyle w:val="TOC8"/>
        <w:rPr>
          <w:rFonts w:asciiTheme="minorHAnsi" w:eastAsiaTheme="minorEastAsia" w:hAnsiTheme="minorHAnsi" w:cstheme="minorBidi"/>
          <w:szCs w:val="22"/>
        </w:rPr>
      </w:pPr>
      <w:r>
        <w:t>5.93.</w:t>
      </w:r>
      <w:r>
        <w:tab/>
        <w:t>Improper use of information</w:t>
      </w:r>
      <w:r>
        <w:tab/>
      </w:r>
      <w:r>
        <w:fldChar w:fldCharType="begin"/>
      </w:r>
      <w:r>
        <w:instrText xml:space="preserve"> PAGEREF _Toc462409481 \h </w:instrText>
      </w:r>
      <w:r>
        <w:fldChar w:fldCharType="separate"/>
      </w:r>
      <w:r>
        <w:t>187</w:t>
      </w:r>
      <w:r>
        <w:fldChar w:fldCharType="end"/>
      </w:r>
    </w:p>
    <w:p>
      <w:pPr>
        <w:pStyle w:val="TOC8"/>
        <w:rPr>
          <w:rFonts w:asciiTheme="minorHAnsi" w:eastAsiaTheme="minorEastAsia" w:hAnsiTheme="minorHAnsi" w:cstheme="minorBidi"/>
          <w:szCs w:val="22"/>
        </w:rPr>
      </w:pPr>
      <w:r>
        <w:t>5.94.</w:t>
      </w:r>
      <w:r>
        <w:tab/>
        <w:t>Public can inspect certain local government information</w:t>
      </w:r>
      <w:r>
        <w:tab/>
      </w:r>
      <w:r>
        <w:fldChar w:fldCharType="begin"/>
      </w:r>
      <w:r>
        <w:instrText xml:space="preserve"> PAGEREF _Toc462409482 \h </w:instrText>
      </w:r>
      <w:r>
        <w:fldChar w:fldCharType="separate"/>
      </w:r>
      <w:r>
        <w:t>187</w:t>
      </w:r>
      <w:r>
        <w:fldChar w:fldCharType="end"/>
      </w:r>
    </w:p>
    <w:p>
      <w:pPr>
        <w:pStyle w:val="TOC8"/>
        <w:rPr>
          <w:rFonts w:asciiTheme="minorHAnsi" w:eastAsiaTheme="minorEastAsia" w:hAnsiTheme="minorHAnsi" w:cstheme="minorBidi"/>
          <w:szCs w:val="22"/>
        </w:rPr>
      </w:pPr>
      <w:r>
        <w:t>5.95.</w:t>
      </w:r>
      <w:r>
        <w:tab/>
        <w:t>Limits on right to inspect local government information</w:t>
      </w:r>
      <w:r>
        <w:tab/>
      </w:r>
      <w:r>
        <w:fldChar w:fldCharType="begin"/>
      </w:r>
      <w:r>
        <w:instrText xml:space="preserve"> PAGEREF _Toc462409483 \h </w:instrText>
      </w:r>
      <w:r>
        <w:fldChar w:fldCharType="separate"/>
      </w:r>
      <w:r>
        <w:t>189</w:t>
      </w:r>
      <w:r>
        <w:fldChar w:fldCharType="end"/>
      </w:r>
    </w:p>
    <w:p>
      <w:pPr>
        <w:pStyle w:val="TOC8"/>
        <w:rPr>
          <w:rFonts w:asciiTheme="minorHAnsi" w:eastAsiaTheme="minorEastAsia" w:hAnsiTheme="minorHAnsi" w:cstheme="minorBidi"/>
          <w:szCs w:val="22"/>
        </w:rPr>
      </w:pPr>
      <w:r>
        <w:t>5.96.</w:t>
      </w:r>
      <w:r>
        <w:tab/>
        <w:t>Copies of information to be available</w:t>
      </w:r>
      <w:r>
        <w:tab/>
      </w:r>
      <w:r>
        <w:fldChar w:fldCharType="begin"/>
      </w:r>
      <w:r>
        <w:instrText xml:space="preserve"> PAGEREF _Toc462409484 \h </w:instrText>
      </w:r>
      <w:r>
        <w:fldChar w:fldCharType="separate"/>
      </w:r>
      <w:r>
        <w:t>191</w:t>
      </w:r>
      <w:r>
        <w:fldChar w:fldCharType="end"/>
      </w:r>
    </w:p>
    <w:p>
      <w:pPr>
        <w:pStyle w:val="TOC8"/>
        <w:rPr>
          <w:rFonts w:asciiTheme="minorHAnsi" w:eastAsiaTheme="minorEastAsia" w:hAnsiTheme="minorHAnsi" w:cstheme="minorBidi"/>
          <w:szCs w:val="22"/>
        </w:rPr>
      </w:pPr>
      <w:r>
        <w:t>5.97.</w:t>
      </w:r>
      <w:r>
        <w:tab/>
      </w:r>
      <w:r>
        <w:rPr>
          <w:i/>
        </w:rPr>
        <w:t>Freedom of Information Act 1992</w:t>
      </w:r>
      <w:r>
        <w:t xml:space="preserve"> not affected</w:t>
      </w:r>
      <w:r>
        <w:tab/>
      </w:r>
      <w:r>
        <w:fldChar w:fldCharType="begin"/>
      </w:r>
      <w:r>
        <w:instrText xml:space="preserve"> PAGEREF _Toc462409485 \h </w:instrText>
      </w:r>
      <w:r>
        <w:fldChar w:fldCharType="separate"/>
      </w:r>
      <w:r>
        <w:t>191</w:t>
      </w:r>
      <w:r>
        <w:fldChar w:fldCharType="end"/>
      </w:r>
    </w:p>
    <w:p>
      <w:pPr>
        <w:pStyle w:val="TOC4"/>
        <w:tabs>
          <w:tab w:val="right" w:leader="dot" w:pos="7077"/>
        </w:tabs>
        <w:rPr>
          <w:rFonts w:asciiTheme="minorHAnsi" w:eastAsiaTheme="minorEastAsia" w:hAnsiTheme="minorHAnsi" w:cstheme="minorBidi"/>
          <w:b w:val="0"/>
          <w:szCs w:val="22"/>
        </w:rPr>
      </w:pPr>
      <w:r>
        <w:t>Division 8 — Local government payments and gifts to its members</w:t>
      </w:r>
    </w:p>
    <w:p>
      <w:pPr>
        <w:pStyle w:val="TOC8"/>
        <w:rPr>
          <w:rFonts w:asciiTheme="minorHAnsi" w:eastAsiaTheme="minorEastAsia" w:hAnsiTheme="minorHAnsi" w:cstheme="minorBidi"/>
          <w:szCs w:val="22"/>
        </w:rPr>
      </w:pPr>
      <w:r>
        <w:t>5.98.</w:t>
      </w:r>
      <w:r>
        <w:tab/>
        <w:t>Fees etc. for council members</w:t>
      </w:r>
      <w:r>
        <w:tab/>
      </w:r>
      <w:r>
        <w:fldChar w:fldCharType="begin"/>
      </w:r>
      <w:r>
        <w:instrText xml:space="preserve"> PAGEREF _Toc462409487 \h </w:instrText>
      </w:r>
      <w:r>
        <w:fldChar w:fldCharType="separate"/>
      </w:r>
      <w:r>
        <w:t>192</w:t>
      </w:r>
      <w:r>
        <w:fldChar w:fldCharType="end"/>
      </w:r>
    </w:p>
    <w:p>
      <w:pPr>
        <w:pStyle w:val="TOC8"/>
        <w:rPr>
          <w:rFonts w:asciiTheme="minorHAnsi" w:eastAsiaTheme="minorEastAsia" w:hAnsiTheme="minorHAnsi" w:cstheme="minorBidi"/>
          <w:szCs w:val="22"/>
        </w:rPr>
      </w:pPr>
      <w:r>
        <w:t>5.98A.</w:t>
      </w:r>
      <w:r>
        <w:tab/>
        <w:t>Allowance for deputy mayor or deputy president</w:t>
      </w:r>
      <w:r>
        <w:tab/>
      </w:r>
      <w:r>
        <w:fldChar w:fldCharType="begin"/>
      </w:r>
      <w:r>
        <w:instrText xml:space="preserve"> PAGEREF _Toc462409488 \h </w:instrText>
      </w:r>
      <w:r>
        <w:fldChar w:fldCharType="separate"/>
      </w:r>
      <w:r>
        <w:t>194</w:t>
      </w:r>
      <w:r>
        <w:fldChar w:fldCharType="end"/>
      </w:r>
    </w:p>
    <w:p>
      <w:pPr>
        <w:pStyle w:val="TOC8"/>
        <w:rPr>
          <w:rFonts w:asciiTheme="minorHAnsi" w:eastAsiaTheme="minorEastAsia" w:hAnsiTheme="minorHAnsi" w:cstheme="minorBidi"/>
          <w:szCs w:val="22"/>
        </w:rPr>
      </w:pPr>
      <w:r>
        <w:t>5.99.</w:t>
      </w:r>
      <w:r>
        <w:tab/>
        <w:t>Annual fee for council members in lieu of fees for attending meetings</w:t>
      </w:r>
      <w:r>
        <w:tab/>
      </w:r>
      <w:r>
        <w:fldChar w:fldCharType="begin"/>
      </w:r>
      <w:r>
        <w:instrText xml:space="preserve"> PAGEREF _Toc462409489 \h </w:instrText>
      </w:r>
      <w:r>
        <w:fldChar w:fldCharType="separate"/>
      </w:r>
      <w:r>
        <w:t>194</w:t>
      </w:r>
      <w:r>
        <w:fldChar w:fldCharType="end"/>
      </w:r>
    </w:p>
    <w:p>
      <w:pPr>
        <w:pStyle w:val="TOC8"/>
        <w:rPr>
          <w:rFonts w:asciiTheme="minorHAnsi" w:eastAsiaTheme="minorEastAsia" w:hAnsiTheme="minorHAnsi" w:cstheme="minorBidi"/>
          <w:szCs w:val="22"/>
        </w:rPr>
      </w:pPr>
      <w:r>
        <w:t>5.99A.</w:t>
      </w:r>
      <w:r>
        <w:tab/>
        <w:t>Allowances for council members in lieu of reimbursement of expenses</w:t>
      </w:r>
      <w:r>
        <w:tab/>
      </w:r>
      <w:r>
        <w:fldChar w:fldCharType="begin"/>
      </w:r>
      <w:r>
        <w:instrText xml:space="preserve"> PAGEREF _Toc462409490 \h </w:instrText>
      </w:r>
      <w:r>
        <w:fldChar w:fldCharType="separate"/>
      </w:r>
      <w:r>
        <w:t>195</w:t>
      </w:r>
      <w:r>
        <w:fldChar w:fldCharType="end"/>
      </w:r>
    </w:p>
    <w:p>
      <w:pPr>
        <w:pStyle w:val="TOC8"/>
        <w:rPr>
          <w:rFonts w:asciiTheme="minorHAnsi" w:eastAsiaTheme="minorEastAsia" w:hAnsiTheme="minorHAnsi" w:cstheme="minorBidi"/>
          <w:szCs w:val="22"/>
        </w:rPr>
      </w:pPr>
      <w:r>
        <w:t>5.100A.</w:t>
      </w:r>
      <w:r>
        <w:tab/>
        <w:t>Gifts to council members</w:t>
      </w:r>
      <w:r>
        <w:tab/>
      </w:r>
      <w:r>
        <w:fldChar w:fldCharType="begin"/>
      </w:r>
      <w:r>
        <w:instrText xml:space="preserve"> PAGEREF _Toc462409491 \h </w:instrText>
      </w:r>
      <w:r>
        <w:fldChar w:fldCharType="separate"/>
      </w:r>
      <w:r>
        <w:t>195</w:t>
      </w:r>
      <w:r>
        <w:fldChar w:fldCharType="end"/>
      </w:r>
    </w:p>
    <w:p>
      <w:pPr>
        <w:pStyle w:val="TOC8"/>
        <w:rPr>
          <w:rFonts w:asciiTheme="minorHAnsi" w:eastAsiaTheme="minorEastAsia" w:hAnsiTheme="minorHAnsi" w:cstheme="minorBidi"/>
          <w:szCs w:val="22"/>
        </w:rPr>
      </w:pPr>
      <w:r>
        <w:t>5.100.</w:t>
      </w:r>
      <w:r>
        <w:tab/>
        <w:t>Payments for certain committee members</w:t>
      </w:r>
      <w:r>
        <w:tab/>
      </w:r>
      <w:r>
        <w:fldChar w:fldCharType="begin"/>
      </w:r>
      <w:r>
        <w:instrText xml:space="preserve"> PAGEREF _Toc462409492 \h </w:instrText>
      </w:r>
      <w:r>
        <w:fldChar w:fldCharType="separate"/>
      </w:r>
      <w:r>
        <w:t>195</w:t>
      </w:r>
      <w:r>
        <w:fldChar w:fldCharType="end"/>
      </w:r>
    </w:p>
    <w:p>
      <w:pPr>
        <w:pStyle w:val="TOC8"/>
        <w:rPr>
          <w:rFonts w:asciiTheme="minorHAnsi" w:eastAsiaTheme="minorEastAsia" w:hAnsiTheme="minorHAnsi" w:cstheme="minorBidi"/>
          <w:szCs w:val="22"/>
        </w:rPr>
      </w:pPr>
      <w:r>
        <w:t>5.101.</w:t>
      </w:r>
      <w:r>
        <w:tab/>
        <w:t>Payments for employee committee members</w:t>
      </w:r>
      <w:r>
        <w:tab/>
      </w:r>
      <w:r>
        <w:fldChar w:fldCharType="begin"/>
      </w:r>
      <w:r>
        <w:instrText xml:space="preserve"> PAGEREF _Toc462409493 \h </w:instrText>
      </w:r>
      <w:r>
        <w:fldChar w:fldCharType="separate"/>
      </w:r>
      <w:r>
        <w:t>196</w:t>
      </w:r>
      <w:r>
        <w:fldChar w:fldCharType="end"/>
      </w:r>
    </w:p>
    <w:p>
      <w:pPr>
        <w:pStyle w:val="TOC8"/>
        <w:rPr>
          <w:rFonts w:asciiTheme="minorHAnsi" w:eastAsiaTheme="minorEastAsia" w:hAnsiTheme="minorHAnsi" w:cstheme="minorBidi"/>
          <w:szCs w:val="22"/>
        </w:rPr>
      </w:pPr>
      <w:r>
        <w:t>5.101A.</w:t>
      </w:r>
      <w:r>
        <w:tab/>
        <w:t>Regulations about payment of expenses</w:t>
      </w:r>
      <w:r>
        <w:tab/>
      </w:r>
      <w:r>
        <w:fldChar w:fldCharType="begin"/>
      </w:r>
      <w:r>
        <w:instrText xml:space="preserve"> PAGEREF _Toc462409494 \h </w:instrText>
      </w:r>
      <w:r>
        <w:fldChar w:fldCharType="separate"/>
      </w:r>
      <w:r>
        <w:t>196</w:t>
      </w:r>
      <w:r>
        <w:fldChar w:fldCharType="end"/>
      </w:r>
    </w:p>
    <w:p>
      <w:pPr>
        <w:pStyle w:val="TOC8"/>
        <w:rPr>
          <w:rFonts w:asciiTheme="minorHAnsi" w:eastAsiaTheme="minorEastAsia" w:hAnsiTheme="minorHAnsi" w:cstheme="minorBidi"/>
          <w:szCs w:val="22"/>
        </w:rPr>
      </w:pPr>
      <w:r>
        <w:t>5.102.</w:t>
      </w:r>
      <w:r>
        <w:tab/>
        <w:t>Expense may be funded before actually incurred</w:t>
      </w:r>
      <w:r>
        <w:tab/>
      </w:r>
      <w:r>
        <w:fldChar w:fldCharType="begin"/>
      </w:r>
      <w:r>
        <w:instrText xml:space="preserve"> PAGEREF _Toc462409495 \h </w:instrText>
      </w:r>
      <w:r>
        <w:fldChar w:fldCharType="separate"/>
      </w:r>
      <w:r>
        <w:t>196</w:t>
      </w:r>
      <w:r>
        <w:fldChar w:fldCharType="end"/>
      </w:r>
    </w:p>
    <w:p>
      <w:pPr>
        <w:pStyle w:val="TOC4"/>
        <w:tabs>
          <w:tab w:val="right" w:leader="dot" w:pos="7077"/>
        </w:tabs>
        <w:rPr>
          <w:rFonts w:asciiTheme="minorHAnsi" w:eastAsiaTheme="minorEastAsia" w:hAnsiTheme="minorHAnsi" w:cstheme="minorBidi"/>
          <w:b w:val="0"/>
          <w:szCs w:val="22"/>
        </w:rPr>
      </w:pPr>
      <w:r>
        <w:t>Division 9 — Conduct of certain officials</w:t>
      </w:r>
    </w:p>
    <w:p>
      <w:pPr>
        <w:pStyle w:val="TOC8"/>
        <w:rPr>
          <w:rFonts w:asciiTheme="minorHAnsi" w:eastAsiaTheme="minorEastAsia" w:hAnsiTheme="minorHAnsi" w:cstheme="minorBidi"/>
          <w:szCs w:val="22"/>
        </w:rPr>
      </w:pPr>
      <w:r>
        <w:t>5.102A.</w:t>
      </w:r>
      <w:r>
        <w:tab/>
        <w:t>Terms used</w:t>
      </w:r>
      <w:r>
        <w:tab/>
      </w:r>
      <w:r>
        <w:fldChar w:fldCharType="begin"/>
      </w:r>
      <w:r>
        <w:instrText xml:space="preserve"> PAGEREF _Toc462409497 \h </w:instrText>
      </w:r>
      <w:r>
        <w:fldChar w:fldCharType="separate"/>
      </w:r>
      <w:r>
        <w:t>196</w:t>
      </w:r>
      <w:r>
        <w:fldChar w:fldCharType="end"/>
      </w:r>
    </w:p>
    <w:p>
      <w:pPr>
        <w:pStyle w:val="TOC8"/>
        <w:rPr>
          <w:rFonts w:asciiTheme="minorHAnsi" w:eastAsiaTheme="minorEastAsia" w:hAnsiTheme="minorHAnsi" w:cstheme="minorBidi"/>
          <w:szCs w:val="22"/>
        </w:rPr>
      </w:pPr>
      <w:r>
        <w:t>5.103.</w:t>
      </w:r>
      <w:r>
        <w:tab/>
        <w:t>Codes of conduct</w:t>
      </w:r>
      <w:r>
        <w:tab/>
      </w:r>
      <w:r>
        <w:fldChar w:fldCharType="begin"/>
      </w:r>
      <w:r>
        <w:instrText xml:space="preserve"> PAGEREF _Toc462409498 \h </w:instrText>
      </w:r>
      <w:r>
        <w:fldChar w:fldCharType="separate"/>
      </w:r>
      <w:r>
        <w:t>197</w:t>
      </w:r>
      <w:r>
        <w:fldChar w:fldCharType="end"/>
      </w:r>
    </w:p>
    <w:p>
      <w:pPr>
        <w:pStyle w:val="TOC8"/>
        <w:rPr>
          <w:rFonts w:asciiTheme="minorHAnsi" w:eastAsiaTheme="minorEastAsia" w:hAnsiTheme="minorHAnsi" w:cstheme="minorBidi"/>
          <w:szCs w:val="22"/>
        </w:rPr>
      </w:pPr>
      <w:r>
        <w:t>5.104.</w:t>
      </w:r>
      <w:r>
        <w:tab/>
        <w:t>Other regulations about conduct of council members</w:t>
      </w:r>
      <w:r>
        <w:tab/>
      </w:r>
      <w:r>
        <w:fldChar w:fldCharType="begin"/>
      </w:r>
      <w:r>
        <w:instrText xml:space="preserve"> PAGEREF _Toc462409499 \h </w:instrText>
      </w:r>
      <w:r>
        <w:fldChar w:fldCharType="separate"/>
      </w:r>
      <w:r>
        <w:t>198</w:t>
      </w:r>
      <w:r>
        <w:fldChar w:fldCharType="end"/>
      </w:r>
    </w:p>
    <w:p>
      <w:pPr>
        <w:pStyle w:val="TOC8"/>
        <w:rPr>
          <w:rFonts w:asciiTheme="minorHAnsi" w:eastAsiaTheme="minorEastAsia" w:hAnsiTheme="minorHAnsi" w:cstheme="minorBidi"/>
          <w:szCs w:val="22"/>
        </w:rPr>
      </w:pPr>
      <w:r>
        <w:t>5.105.</w:t>
      </w:r>
      <w:r>
        <w:tab/>
        <w:t>Breaches by council members</w:t>
      </w:r>
      <w:r>
        <w:tab/>
      </w:r>
      <w:r>
        <w:fldChar w:fldCharType="begin"/>
      </w:r>
      <w:r>
        <w:instrText xml:space="preserve"> PAGEREF _Toc462409500 \h </w:instrText>
      </w:r>
      <w:r>
        <w:fldChar w:fldCharType="separate"/>
      </w:r>
      <w:r>
        <w:t>198</w:t>
      </w:r>
      <w:r>
        <w:fldChar w:fldCharType="end"/>
      </w:r>
    </w:p>
    <w:p>
      <w:pPr>
        <w:pStyle w:val="TOC8"/>
        <w:rPr>
          <w:rFonts w:asciiTheme="minorHAnsi" w:eastAsiaTheme="minorEastAsia" w:hAnsiTheme="minorHAnsi" w:cstheme="minorBidi"/>
          <w:szCs w:val="22"/>
        </w:rPr>
      </w:pPr>
      <w:r>
        <w:t>5.106.</w:t>
      </w:r>
      <w:r>
        <w:tab/>
        <w:t>Deciding whether breach occurred</w:t>
      </w:r>
      <w:r>
        <w:tab/>
      </w:r>
      <w:r>
        <w:fldChar w:fldCharType="begin"/>
      </w:r>
      <w:r>
        <w:instrText xml:space="preserve"> PAGEREF _Toc462409501 \h </w:instrText>
      </w:r>
      <w:r>
        <w:fldChar w:fldCharType="separate"/>
      </w:r>
      <w:r>
        <w:t>199</w:t>
      </w:r>
      <w:r>
        <w:fldChar w:fldCharType="end"/>
      </w:r>
    </w:p>
    <w:p>
      <w:pPr>
        <w:pStyle w:val="TOC8"/>
        <w:rPr>
          <w:rFonts w:asciiTheme="minorHAnsi" w:eastAsiaTheme="minorEastAsia" w:hAnsiTheme="minorHAnsi" w:cstheme="minorBidi"/>
          <w:szCs w:val="22"/>
        </w:rPr>
      </w:pPr>
      <w:r>
        <w:t>5.107.</w:t>
      </w:r>
      <w:r>
        <w:tab/>
        <w:t>Complaining to complaints officer of minor breach</w:t>
      </w:r>
      <w:r>
        <w:tab/>
      </w:r>
      <w:r>
        <w:fldChar w:fldCharType="begin"/>
      </w:r>
      <w:r>
        <w:instrText xml:space="preserve"> PAGEREF _Toc462409502 \h </w:instrText>
      </w:r>
      <w:r>
        <w:fldChar w:fldCharType="separate"/>
      </w:r>
      <w:r>
        <w:t>199</w:t>
      </w:r>
      <w:r>
        <w:fldChar w:fldCharType="end"/>
      </w:r>
    </w:p>
    <w:p>
      <w:pPr>
        <w:pStyle w:val="TOC8"/>
        <w:rPr>
          <w:rFonts w:asciiTheme="minorHAnsi" w:eastAsiaTheme="minorEastAsia" w:hAnsiTheme="minorHAnsi" w:cstheme="minorBidi"/>
          <w:szCs w:val="22"/>
        </w:rPr>
      </w:pPr>
      <w:r>
        <w:t>5.108.</w:t>
      </w:r>
      <w:r>
        <w:tab/>
        <w:t>Departmental CEO may send complaint of minor breach to complaints officer</w:t>
      </w:r>
      <w:r>
        <w:tab/>
      </w:r>
      <w:r>
        <w:fldChar w:fldCharType="begin"/>
      </w:r>
      <w:r>
        <w:instrText xml:space="preserve"> PAGEREF _Toc462409503 \h </w:instrText>
      </w:r>
      <w:r>
        <w:fldChar w:fldCharType="separate"/>
      </w:r>
      <w:r>
        <w:t>200</w:t>
      </w:r>
      <w:r>
        <w:fldChar w:fldCharType="end"/>
      </w:r>
    </w:p>
    <w:p>
      <w:pPr>
        <w:pStyle w:val="TOC8"/>
        <w:rPr>
          <w:rFonts w:asciiTheme="minorHAnsi" w:eastAsiaTheme="minorEastAsia" w:hAnsiTheme="minorHAnsi" w:cstheme="minorBidi"/>
          <w:szCs w:val="22"/>
        </w:rPr>
      </w:pPr>
      <w:r>
        <w:t>5.109.</w:t>
      </w:r>
      <w:r>
        <w:tab/>
        <w:t>Complaint initiated by complaints officer</w:t>
      </w:r>
      <w:r>
        <w:tab/>
      </w:r>
      <w:r>
        <w:fldChar w:fldCharType="begin"/>
      </w:r>
      <w:r>
        <w:instrText xml:space="preserve"> PAGEREF _Toc462409504 \h </w:instrText>
      </w:r>
      <w:r>
        <w:fldChar w:fldCharType="separate"/>
      </w:r>
      <w:r>
        <w:t>201</w:t>
      </w:r>
      <w:r>
        <w:fldChar w:fldCharType="end"/>
      </w:r>
    </w:p>
    <w:p>
      <w:pPr>
        <w:pStyle w:val="TOC8"/>
        <w:rPr>
          <w:rFonts w:asciiTheme="minorHAnsi" w:eastAsiaTheme="minorEastAsia" w:hAnsiTheme="minorHAnsi" w:cstheme="minorBidi"/>
          <w:szCs w:val="22"/>
        </w:rPr>
      </w:pPr>
      <w:r>
        <w:t>5.110.</w:t>
      </w:r>
      <w:r>
        <w:tab/>
        <w:t>Dealing with complaint of minor breach</w:t>
      </w:r>
      <w:r>
        <w:tab/>
      </w:r>
      <w:r>
        <w:fldChar w:fldCharType="begin"/>
      </w:r>
      <w:r>
        <w:instrText xml:space="preserve"> PAGEREF _Toc462409505 \h </w:instrText>
      </w:r>
      <w:r>
        <w:fldChar w:fldCharType="separate"/>
      </w:r>
      <w:r>
        <w:t>202</w:t>
      </w:r>
      <w:r>
        <w:fldChar w:fldCharType="end"/>
      </w:r>
    </w:p>
    <w:p>
      <w:pPr>
        <w:pStyle w:val="TOC8"/>
        <w:rPr>
          <w:rFonts w:asciiTheme="minorHAnsi" w:eastAsiaTheme="minorEastAsia" w:hAnsiTheme="minorHAnsi" w:cstheme="minorBidi"/>
          <w:szCs w:val="22"/>
        </w:rPr>
      </w:pPr>
      <w:r>
        <w:t>5.111.</w:t>
      </w:r>
      <w:r>
        <w:tab/>
        <w:t>Dealing with recurrent breach</w:t>
      </w:r>
      <w:r>
        <w:tab/>
      </w:r>
      <w:r>
        <w:fldChar w:fldCharType="begin"/>
      </w:r>
      <w:r>
        <w:instrText xml:space="preserve"> PAGEREF _Toc462409506 \h </w:instrText>
      </w:r>
      <w:r>
        <w:fldChar w:fldCharType="separate"/>
      </w:r>
      <w:r>
        <w:t>203</w:t>
      </w:r>
      <w:r>
        <w:fldChar w:fldCharType="end"/>
      </w:r>
    </w:p>
    <w:p>
      <w:pPr>
        <w:pStyle w:val="TOC8"/>
        <w:rPr>
          <w:rFonts w:asciiTheme="minorHAnsi" w:eastAsiaTheme="minorEastAsia" w:hAnsiTheme="minorHAnsi" w:cstheme="minorBidi"/>
          <w:szCs w:val="22"/>
        </w:rPr>
      </w:pPr>
      <w:r>
        <w:t>5.112.</w:t>
      </w:r>
      <w:r>
        <w:tab/>
        <w:t>Allegation of recurrent breach</w:t>
      </w:r>
      <w:r>
        <w:tab/>
      </w:r>
      <w:r>
        <w:fldChar w:fldCharType="begin"/>
      </w:r>
      <w:r>
        <w:instrText xml:space="preserve"> PAGEREF _Toc462409507 \h </w:instrText>
      </w:r>
      <w:r>
        <w:fldChar w:fldCharType="separate"/>
      </w:r>
      <w:r>
        <w:t>203</w:t>
      </w:r>
      <w:r>
        <w:fldChar w:fldCharType="end"/>
      </w:r>
    </w:p>
    <w:p>
      <w:pPr>
        <w:pStyle w:val="TOC8"/>
        <w:rPr>
          <w:rFonts w:asciiTheme="minorHAnsi" w:eastAsiaTheme="minorEastAsia" w:hAnsiTheme="minorHAnsi" w:cstheme="minorBidi"/>
          <w:szCs w:val="22"/>
        </w:rPr>
      </w:pPr>
      <w:r>
        <w:t>5.113.</w:t>
      </w:r>
      <w:r>
        <w:tab/>
        <w:t>Punishment for recurrent breach</w:t>
      </w:r>
      <w:r>
        <w:tab/>
      </w:r>
      <w:r>
        <w:fldChar w:fldCharType="begin"/>
      </w:r>
      <w:r>
        <w:instrText xml:space="preserve"> PAGEREF _Toc462409508 \h </w:instrText>
      </w:r>
      <w:r>
        <w:fldChar w:fldCharType="separate"/>
      </w:r>
      <w:r>
        <w:t>204</w:t>
      </w:r>
      <w:r>
        <w:fldChar w:fldCharType="end"/>
      </w:r>
    </w:p>
    <w:p>
      <w:pPr>
        <w:pStyle w:val="TOC8"/>
        <w:rPr>
          <w:rFonts w:asciiTheme="minorHAnsi" w:eastAsiaTheme="minorEastAsia" w:hAnsiTheme="minorHAnsi" w:cstheme="minorBidi"/>
          <w:szCs w:val="22"/>
        </w:rPr>
      </w:pPr>
      <w:r>
        <w:t>5.114.</w:t>
      </w:r>
      <w:r>
        <w:tab/>
        <w:t>Making complaint of serious breach</w:t>
      </w:r>
      <w:r>
        <w:tab/>
      </w:r>
      <w:r>
        <w:fldChar w:fldCharType="begin"/>
      </w:r>
      <w:r>
        <w:instrText xml:space="preserve"> PAGEREF _Toc462409509 \h </w:instrText>
      </w:r>
      <w:r>
        <w:fldChar w:fldCharType="separate"/>
      </w:r>
      <w:r>
        <w:t>205</w:t>
      </w:r>
      <w:r>
        <w:fldChar w:fldCharType="end"/>
      </w:r>
    </w:p>
    <w:p>
      <w:pPr>
        <w:pStyle w:val="TOC8"/>
        <w:rPr>
          <w:rFonts w:asciiTheme="minorHAnsi" w:eastAsiaTheme="minorEastAsia" w:hAnsiTheme="minorHAnsi" w:cstheme="minorBidi"/>
          <w:szCs w:val="22"/>
        </w:rPr>
      </w:pPr>
      <w:r>
        <w:t>5.115.</w:t>
      </w:r>
      <w:r>
        <w:tab/>
        <w:t>Complaints officer to send complaint of serious breach to Departmental CEO</w:t>
      </w:r>
      <w:r>
        <w:tab/>
      </w:r>
      <w:r>
        <w:fldChar w:fldCharType="begin"/>
      </w:r>
      <w:r>
        <w:instrText xml:space="preserve"> PAGEREF _Toc462409510 \h </w:instrText>
      </w:r>
      <w:r>
        <w:fldChar w:fldCharType="separate"/>
      </w:r>
      <w:r>
        <w:t>205</w:t>
      </w:r>
      <w:r>
        <w:fldChar w:fldCharType="end"/>
      </w:r>
    </w:p>
    <w:p>
      <w:pPr>
        <w:pStyle w:val="TOC8"/>
        <w:rPr>
          <w:rFonts w:asciiTheme="minorHAnsi" w:eastAsiaTheme="minorEastAsia" w:hAnsiTheme="minorHAnsi" w:cstheme="minorBidi"/>
          <w:szCs w:val="22"/>
        </w:rPr>
      </w:pPr>
      <w:r>
        <w:t>5.116.</w:t>
      </w:r>
      <w:r>
        <w:tab/>
        <w:t>Allegation by Departmental CEO of serious breach</w:t>
      </w:r>
      <w:r>
        <w:tab/>
      </w:r>
      <w:r>
        <w:fldChar w:fldCharType="begin"/>
      </w:r>
      <w:r>
        <w:instrText xml:space="preserve"> PAGEREF _Toc462409511 \h </w:instrText>
      </w:r>
      <w:r>
        <w:fldChar w:fldCharType="separate"/>
      </w:r>
      <w:r>
        <w:t>206</w:t>
      </w:r>
      <w:r>
        <w:fldChar w:fldCharType="end"/>
      </w:r>
    </w:p>
    <w:p>
      <w:pPr>
        <w:pStyle w:val="TOC8"/>
        <w:rPr>
          <w:rFonts w:asciiTheme="minorHAnsi" w:eastAsiaTheme="minorEastAsia" w:hAnsiTheme="minorHAnsi" w:cstheme="minorBidi"/>
          <w:szCs w:val="22"/>
        </w:rPr>
      </w:pPr>
      <w:r>
        <w:t>5.117.</w:t>
      </w:r>
      <w:r>
        <w:tab/>
        <w:t>Punishment for serious breach</w:t>
      </w:r>
      <w:r>
        <w:tab/>
      </w:r>
      <w:r>
        <w:fldChar w:fldCharType="begin"/>
      </w:r>
      <w:r>
        <w:instrText xml:space="preserve"> PAGEREF _Toc462409512 \h </w:instrText>
      </w:r>
      <w:r>
        <w:fldChar w:fldCharType="separate"/>
      </w:r>
      <w:r>
        <w:t>207</w:t>
      </w:r>
      <w:r>
        <w:fldChar w:fldCharType="end"/>
      </w:r>
    </w:p>
    <w:p>
      <w:pPr>
        <w:pStyle w:val="TOC8"/>
        <w:rPr>
          <w:rFonts w:asciiTheme="minorHAnsi" w:eastAsiaTheme="minorEastAsia" w:hAnsiTheme="minorHAnsi" w:cstheme="minorBidi"/>
          <w:szCs w:val="22"/>
        </w:rPr>
      </w:pPr>
      <w:r>
        <w:t>5.118.</w:t>
      </w:r>
      <w:r>
        <w:tab/>
        <w:t>Carrying out orders</w:t>
      </w:r>
      <w:r>
        <w:tab/>
      </w:r>
      <w:r>
        <w:fldChar w:fldCharType="begin"/>
      </w:r>
      <w:r>
        <w:instrText xml:space="preserve"> PAGEREF _Toc462409513 \h </w:instrText>
      </w:r>
      <w:r>
        <w:fldChar w:fldCharType="separate"/>
      </w:r>
      <w:r>
        <w:t>208</w:t>
      </w:r>
      <w:r>
        <w:fldChar w:fldCharType="end"/>
      </w:r>
    </w:p>
    <w:p>
      <w:pPr>
        <w:pStyle w:val="TOC8"/>
        <w:rPr>
          <w:rFonts w:asciiTheme="minorHAnsi" w:eastAsiaTheme="minorEastAsia" w:hAnsiTheme="minorHAnsi" w:cstheme="minorBidi"/>
          <w:szCs w:val="22"/>
        </w:rPr>
      </w:pPr>
      <w:r>
        <w:t>5.119.</w:t>
      </w:r>
      <w:r>
        <w:tab/>
        <w:t>SAT’s enforcement powers</w:t>
      </w:r>
      <w:r>
        <w:tab/>
      </w:r>
      <w:r>
        <w:fldChar w:fldCharType="begin"/>
      </w:r>
      <w:r>
        <w:instrText xml:space="preserve"> PAGEREF _Toc462409514 \h </w:instrText>
      </w:r>
      <w:r>
        <w:fldChar w:fldCharType="separate"/>
      </w:r>
      <w:r>
        <w:t>209</w:t>
      </w:r>
      <w:r>
        <w:fldChar w:fldCharType="end"/>
      </w:r>
    </w:p>
    <w:p>
      <w:pPr>
        <w:pStyle w:val="TOC8"/>
        <w:rPr>
          <w:rFonts w:asciiTheme="minorHAnsi" w:eastAsiaTheme="minorEastAsia" w:hAnsiTheme="minorHAnsi" w:cstheme="minorBidi"/>
          <w:szCs w:val="22"/>
        </w:rPr>
      </w:pPr>
      <w:r>
        <w:t>5.120.</w:t>
      </w:r>
      <w:r>
        <w:tab/>
        <w:t>Complaints officer</w:t>
      </w:r>
      <w:r>
        <w:tab/>
      </w:r>
      <w:r>
        <w:fldChar w:fldCharType="begin"/>
      </w:r>
      <w:r>
        <w:instrText xml:space="preserve"> PAGEREF _Toc462409515 \h </w:instrText>
      </w:r>
      <w:r>
        <w:fldChar w:fldCharType="separate"/>
      </w:r>
      <w:r>
        <w:t>209</w:t>
      </w:r>
      <w:r>
        <w:fldChar w:fldCharType="end"/>
      </w:r>
    </w:p>
    <w:p>
      <w:pPr>
        <w:pStyle w:val="TOC8"/>
        <w:rPr>
          <w:rFonts w:asciiTheme="minorHAnsi" w:eastAsiaTheme="minorEastAsia" w:hAnsiTheme="minorHAnsi" w:cstheme="minorBidi"/>
          <w:szCs w:val="22"/>
        </w:rPr>
      </w:pPr>
      <w:r>
        <w:t>5.121.</w:t>
      </w:r>
      <w:r>
        <w:tab/>
        <w:t>Register of certain complaints of minor breaches</w:t>
      </w:r>
      <w:r>
        <w:tab/>
      </w:r>
      <w:r>
        <w:fldChar w:fldCharType="begin"/>
      </w:r>
      <w:r>
        <w:instrText xml:space="preserve"> PAGEREF _Toc462409516 \h </w:instrText>
      </w:r>
      <w:r>
        <w:fldChar w:fldCharType="separate"/>
      </w:r>
      <w:r>
        <w:t>209</w:t>
      </w:r>
      <w:r>
        <w:fldChar w:fldCharType="end"/>
      </w:r>
    </w:p>
    <w:p>
      <w:pPr>
        <w:pStyle w:val="TOC8"/>
        <w:rPr>
          <w:rFonts w:asciiTheme="minorHAnsi" w:eastAsiaTheme="minorEastAsia" w:hAnsiTheme="minorHAnsi" w:cstheme="minorBidi"/>
          <w:szCs w:val="22"/>
        </w:rPr>
      </w:pPr>
      <w:r>
        <w:t>5.122.</w:t>
      </w:r>
      <w:r>
        <w:tab/>
        <w:t>Standards panels</w:t>
      </w:r>
      <w:r>
        <w:tab/>
      </w:r>
      <w:r>
        <w:fldChar w:fldCharType="begin"/>
      </w:r>
      <w:r>
        <w:instrText xml:space="preserve"> PAGEREF _Toc462409517 \h </w:instrText>
      </w:r>
      <w:r>
        <w:fldChar w:fldCharType="separate"/>
      </w:r>
      <w:r>
        <w:t>210</w:t>
      </w:r>
      <w:r>
        <w:fldChar w:fldCharType="end"/>
      </w:r>
    </w:p>
    <w:p>
      <w:pPr>
        <w:pStyle w:val="TOC8"/>
        <w:rPr>
          <w:rFonts w:asciiTheme="minorHAnsi" w:eastAsiaTheme="minorEastAsia" w:hAnsiTheme="minorHAnsi" w:cstheme="minorBidi"/>
          <w:szCs w:val="22"/>
        </w:rPr>
      </w:pPr>
      <w:r>
        <w:t>5.123.</w:t>
      </w:r>
      <w:r>
        <w:tab/>
        <w:t>Confidentiality</w:t>
      </w:r>
      <w:r>
        <w:tab/>
      </w:r>
      <w:r>
        <w:fldChar w:fldCharType="begin"/>
      </w:r>
      <w:r>
        <w:instrText xml:space="preserve"> PAGEREF _Toc462409518 \h </w:instrText>
      </w:r>
      <w:r>
        <w:fldChar w:fldCharType="separate"/>
      </w:r>
      <w:r>
        <w:t>210</w:t>
      </w:r>
      <w:r>
        <w:fldChar w:fldCharType="end"/>
      </w:r>
    </w:p>
    <w:p>
      <w:pPr>
        <w:pStyle w:val="TOC8"/>
        <w:rPr>
          <w:rFonts w:asciiTheme="minorHAnsi" w:eastAsiaTheme="minorEastAsia" w:hAnsiTheme="minorHAnsi" w:cstheme="minorBidi"/>
          <w:szCs w:val="22"/>
        </w:rPr>
      </w:pPr>
      <w:r>
        <w:t>5.124.</w:t>
      </w:r>
      <w:r>
        <w:tab/>
        <w:t>Giving false or misleading information</w:t>
      </w:r>
      <w:r>
        <w:tab/>
      </w:r>
      <w:r>
        <w:fldChar w:fldCharType="begin"/>
      </w:r>
      <w:r>
        <w:instrText xml:space="preserve"> PAGEREF _Toc462409519 \h </w:instrText>
      </w:r>
      <w:r>
        <w:fldChar w:fldCharType="separate"/>
      </w:r>
      <w:r>
        <w:t>211</w:t>
      </w:r>
      <w:r>
        <w:fldChar w:fldCharType="end"/>
      </w:r>
    </w:p>
    <w:p>
      <w:pPr>
        <w:pStyle w:val="TOC8"/>
        <w:rPr>
          <w:rFonts w:asciiTheme="minorHAnsi" w:eastAsiaTheme="minorEastAsia" w:hAnsiTheme="minorHAnsi" w:cstheme="minorBidi"/>
          <w:szCs w:val="22"/>
        </w:rPr>
      </w:pPr>
      <w:r>
        <w:t>5.125.</w:t>
      </w:r>
      <w:r>
        <w:tab/>
        <w:t>Review of certain decisions</w:t>
      </w:r>
      <w:r>
        <w:tab/>
      </w:r>
      <w:r>
        <w:fldChar w:fldCharType="begin"/>
      </w:r>
      <w:r>
        <w:instrText xml:space="preserve"> PAGEREF _Toc462409520 \h </w:instrText>
      </w:r>
      <w:r>
        <w:fldChar w:fldCharType="separate"/>
      </w:r>
      <w:r>
        <w:t>212</w:t>
      </w:r>
      <w:r>
        <w:fldChar w:fldCharType="end"/>
      </w:r>
    </w:p>
    <w:p>
      <w:pPr>
        <w:pStyle w:val="TOC2"/>
        <w:tabs>
          <w:tab w:val="right" w:leader="dot" w:pos="7077"/>
        </w:tabs>
        <w:rPr>
          <w:rFonts w:asciiTheme="minorHAnsi" w:eastAsiaTheme="minorEastAsia" w:hAnsiTheme="minorHAnsi" w:cstheme="minorBidi"/>
          <w:b w:val="0"/>
          <w:sz w:val="22"/>
          <w:szCs w:val="22"/>
        </w:rPr>
      </w:pPr>
      <w:r>
        <w:t>Part 6 — Financial management</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6.1.</w:t>
      </w:r>
      <w:r>
        <w:tab/>
        <w:t>Terms used</w:t>
      </w:r>
      <w:r>
        <w:tab/>
      </w:r>
      <w:r>
        <w:fldChar w:fldCharType="begin"/>
      </w:r>
      <w:r>
        <w:instrText xml:space="preserve"> PAGEREF _Toc462409523 \h </w:instrText>
      </w:r>
      <w:r>
        <w:fldChar w:fldCharType="separate"/>
      </w:r>
      <w:r>
        <w:t>213</w:t>
      </w:r>
      <w:r>
        <w:fldChar w:fldCharType="end"/>
      </w:r>
    </w:p>
    <w:p>
      <w:pPr>
        <w:pStyle w:val="TOC4"/>
        <w:tabs>
          <w:tab w:val="right" w:leader="dot" w:pos="7077"/>
        </w:tabs>
        <w:rPr>
          <w:rFonts w:asciiTheme="minorHAnsi" w:eastAsiaTheme="minorEastAsia" w:hAnsiTheme="minorHAnsi" w:cstheme="minorBidi"/>
          <w:b w:val="0"/>
          <w:szCs w:val="22"/>
        </w:rPr>
      </w:pPr>
      <w:r>
        <w:t>Division 2 — Annual budget</w:t>
      </w:r>
    </w:p>
    <w:p>
      <w:pPr>
        <w:pStyle w:val="TOC8"/>
        <w:rPr>
          <w:rFonts w:asciiTheme="minorHAnsi" w:eastAsiaTheme="minorEastAsia" w:hAnsiTheme="minorHAnsi" w:cstheme="minorBidi"/>
          <w:szCs w:val="22"/>
        </w:rPr>
      </w:pPr>
      <w:r>
        <w:t>6.2.</w:t>
      </w:r>
      <w:r>
        <w:tab/>
        <w:t>Local government to prepare annual budget</w:t>
      </w:r>
      <w:r>
        <w:tab/>
      </w:r>
      <w:r>
        <w:fldChar w:fldCharType="begin"/>
      </w:r>
      <w:r>
        <w:instrText xml:space="preserve"> PAGEREF _Toc462409525 \h </w:instrText>
      </w:r>
      <w:r>
        <w:fldChar w:fldCharType="separate"/>
      </w:r>
      <w:r>
        <w:t>214</w:t>
      </w:r>
      <w:r>
        <w:fldChar w:fldCharType="end"/>
      </w:r>
    </w:p>
    <w:p>
      <w:pPr>
        <w:pStyle w:val="TOC8"/>
        <w:rPr>
          <w:rFonts w:asciiTheme="minorHAnsi" w:eastAsiaTheme="minorEastAsia" w:hAnsiTheme="minorHAnsi" w:cstheme="minorBidi"/>
          <w:szCs w:val="22"/>
        </w:rPr>
      </w:pPr>
      <w:r>
        <w:t>6.3.</w:t>
      </w:r>
      <w:r>
        <w:tab/>
        <w:t>Budget for other circumstances</w:t>
      </w:r>
      <w:r>
        <w:tab/>
      </w:r>
      <w:r>
        <w:fldChar w:fldCharType="begin"/>
      </w:r>
      <w:r>
        <w:instrText xml:space="preserve"> PAGEREF _Toc462409526 \h </w:instrText>
      </w:r>
      <w:r>
        <w:fldChar w:fldCharType="separate"/>
      </w:r>
      <w:r>
        <w:t>215</w:t>
      </w:r>
      <w:r>
        <w:fldChar w:fldCharType="end"/>
      </w:r>
    </w:p>
    <w:p>
      <w:pPr>
        <w:pStyle w:val="TOC4"/>
        <w:tabs>
          <w:tab w:val="right" w:leader="dot" w:pos="7077"/>
        </w:tabs>
        <w:rPr>
          <w:rFonts w:asciiTheme="minorHAnsi" w:eastAsiaTheme="minorEastAsia" w:hAnsiTheme="minorHAnsi" w:cstheme="minorBidi"/>
          <w:b w:val="0"/>
          <w:szCs w:val="22"/>
        </w:rPr>
      </w:pPr>
      <w:r>
        <w:t>Division 3 — Reporting on activities and finance</w:t>
      </w:r>
    </w:p>
    <w:p>
      <w:pPr>
        <w:pStyle w:val="TOC8"/>
        <w:rPr>
          <w:rFonts w:asciiTheme="minorHAnsi" w:eastAsiaTheme="minorEastAsia" w:hAnsiTheme="minorHAnsi" w:cstheme="minorBidi"/>
          <w:szCs w:val="22"/>
        </w:rPr>
      </w:pPr>
      <w:r>
        <w:t>6.4.</w:t>
      </w:r>
      <w:r>
        <w:tab/>
        <w:t>Financial report</w:t>
      </w:r>
      <w:r>
        <w:tab/>
      </w:r>
      <w:r>
        <w:fldChar w:fldCharType="begin"/>
      </w:r>
      <w:r>
        <w:instrText xml:space="preserve"> PAGEREF _Toc462409528 \h </w:instrText>
      </w:r>
      <w:r>
        <w:fldChar w:fldCharType="separate"/>
      </w:r>
      <w:r>
        <w:t>216</w:t>
      </w:r>
      <w:r>
        <w:fldChar w:fldCharType="end"/>
      </w:r>
    </w:p>
    <w:p>
      <w:pPr>
        <w:pStyle w:val="TOC4"/>
        <w:tabs>
          <w:tab w:val="right" w:leader="dot" w:pos="7077"/>
        </w:tabs>
        <w:rPr>
          <w:rFonts w:asciiTheme="minorHAnsi" w:eastAsiaTheme="minorEastAsia" w:hAnsiTheme="minorHAnsi" w:cstheme="minorBidi"/>
          <w:b w:val="0"/>
          <w:szCs w:val="22"/>
        </w:rPr>
      </w:pPr>
      <w:r>
        <w:t>Division 4 — General financial provisions</w:t>
      </w:r>
    </w:p>
    <w:p>
      <w:pPr>
        <w:pStyle w:val="TOC8"/>
        <w:rPr>
          <w:rFonts w:asciiTheme="minorHAnsi" w:eastAsiaTheme="minorEastAsia" w:hAnsiTheme="minorHAnsi" w:cstheme="minorBidi"/>
          <w:szCs w:val="22"/>
        </w:rPr>
      </w:pPr>
      <w:r>
        <w:t>6.5.</w:t>
      </w:r>
      <w:r>
        <w:tab/>
        <w:t>Accounts and records</w:t>
      </w:r>
      <w:r>
        <w:tab/>
      </w:r>
      <w:r>
        <w:fldChar w:fldCharType="begin"/>
      </w:r>
      <w:r>
        <w:instrText xml:space="preserve"> PAGEREF _Toc462409530 \h </w:instrText>
      </w:r>
      <w:r>
        <w:fldChar w:fldCharType="separate"/>
      </w:r>
      <w:r>
        <w:t>216</w:t>
      </w:r>
      <w:r>
        <w:fldChar w:fldCharType="end"/>
      </w:r>
    </w:p>
    <w:p>
      <w:pPr>
        <w:pStyle w:val="TOC8"/>
        <w:rPr>
          <w:rFonts w:asciiTheme="minorHAnsi" w:eastAsiaTheme="minorEastAsia" w:hAnsiTheme="minorHAnsi" w:cstheme="minorBidi"/>
          <w:szCs w:val="22"/>
        </w:rPr>
      </w:pPr>
      <w:r>
        <w:t>6.6.</w:t>
      </w:r>
      <w:r>
        <w:tab/>
        <w:t>Funds to be established</w:t>
      </w:r>
      <w:r>
        <w:tab/>
      </w:r>
      <w:r>
        <w:fldChar w:fldCharType="begin"/>
      </w:r>
      <w:r>
        <w:instrText xml:space="preserve"> PAGEREF _Toc462409531 \h </w:instrText>
      </w:r>
      <w:r>
        <w:fldChar w:fldCharType="separate"/>
      </w:r>
      <w:r>
        <w:t>217</w:t>
      </w:r>
      <w:r>
        <w:fldChar w:fldCharType="end"/>
      </w:r>
    </w:p>
    <w:p>
      <w:pPr>
        <w:pStyle w:val="TOC8"/>
        <w:rPr>
          <w:rFonts w:asciiTheme="minorHAnsi" w:eastAsiaTheme="minorEastAsia" w:hAnsiTheme="minorHAnsi" w:cstheme="minorBidi"/>
          <w:szCs w:val="22"/>
        </w:rPr>
      </w:pPr>
      <w:r>
        <w:t>6.7.</w:t>
      </w:r>
      <w:r>
        <w:tab/>
        <w:t>Municipal fund</w:t>
      </w:r>
      <w:r>
        <w:tab/>
      </w:r>
      <w:r>
        <w:fldChar w:fldCharType="begin"/>
      </w:r>
      <w:r>
        <w:instrText xml:space="preserve"> PAGEREF _Toc462409532 \h </w:instrText>
      </w:r>
      <w:r>
        <w:fldChar w:fldCharType="separate"/>
      </w:r>
      <w:r>
        <w:t>217</w:t>
      </w:r>
      <w:r>
        <w:fldChar w:fldCharType="end"/>
      </w:r>
    </w:p>
    <w:p>
      <w:pPr>
        <w:pStyle w:val="TOC8"/>
        <w:rPr>
          <w:rFonts w:asciiTheme="minorHAnsi" w:eastAsiaTheme="minorEastAsia" w:hAnsiTheme="minorHAnsi" w:cstheme="minorBidi"/>
          <w:szCs w:val="22"/>
        </w:rPr>
      </w:pPr>
      <w:r>
        <w:t>6.8.</w:t>
      </w:r>
      <w:r>
        <w:tab/>
        <w:t>Expenditure from municipal fund not included in annual budget</w:t>
      </w:r>
      <w:r>
        <w:tab/>
      </w:r>
      <w:r>
        <w:fldChar w:fldCharType="begin"/>
      </w:r>
      <w:r>
        <w:instrText xml:space="preserve"> PAGEREF _Toc462409533 \h </w:instrText>
      </w:r>
      <w:r>
        <w:fldChar w:fldCharType="separate"/>
      </w:r>
      <w:r>
        <w:t>217</w:t>
      </w:r>
      <w:r>
        <w:fldChar w:fldCharType="end"/>
      </w:r>
    </w:p>
    <w:p>
      <w:pPr>
        <w:pStyle w:val="TOC8"/>
        <w:rPr>
          <w:rFonts w:asciiTheme="minorHAnsi" w:eastAsiaTheme="minorEastAsia" w:hAnsiTheme="minorHAnsi" w:cstheme="minorBidi"/>
          <w:szCs w:val="22"/>
        </w:rPr>
      </w:pPr>
      <w:r>
        <w:t>6.9.</w:t>
      </w:r>
      <w:r>
        <w:tab/>
        <w:t>Trust fund</w:t>
      </w:r>
      <w:r>
        <w:tab/>
      </w:r>
      <w:r>
        <w:fldChar w:fldCharType="begin"/>
      </w:r>
      <w:r>
        <w:instrText xml:space="preserve"> PAGEREF _Toc462409534 \h </w:instrText>
      </w:r>
      <w:r>
        <w:fldChar w:fldCharType="separate"/>
      </w:r>
      <w:r>
        <w:t>218</w:t>
      </w:r>
      <w:r>
        <w:fldChar w:fldCharType="end"/>
      </w:r>
    </w:p>
    <w:p>
      <w:pPr>
        <w:pStyle w:val="TOC8"/>
        <w:rPr>
          <w:rFonts w:asciiTheme="minorHAnsi" w:eastAsiaTheme="minorEastAsia" w:hAnsiTheme="minorHAnsi" w:cstheme="minorBidi"/>
          <w:szCs w:val="22"/>
        </w:rPr>
      </w:pPr>
      <w:r>
        <w:t>6.10.</w:t>
      </w:r>
      <w:r>
        <w:tab/>
        <w:t>Financial management regulations</w:t>
      </w:r>
      <w:r>
        <w:tab/>
      </w:r>
      <w:r>
        <w:fldChar w:fldCharType="begin"/>
      </w:r>
      <w:r>
        <w:instrText xml:space="preserve"> PAGEREF _Toc462409535 \h </w:instrText>
      </w:r>
      <w:r>
        <w:fldChar w:fldCharType="separate"/>
      </w:r>
      <w:r>
        <w:t>219</w:t>
      </w:r>
      <w:r>
        <w:fldChar w:fldCharType="end"/>
      </w:r>
    </w:p>
    <w:p>
      <w:pPr>
        <w:pStyle w:val="TOC8"/>
        <w:rPr>
          <w:rFonts w:asciiTheme="minorHAnsi" w:eastAsiaTheme="minorEastAsia" w:hAnsiTheme="minorHAnsi" w:cstheme="minorBidi"/>
          <w:szCs w:val="22"/>
        </w:rPr>
      </w:pPr>
      <w:r>
        <w:t>6.11.</w:t>
      </w:r>
      <w:r>
        <w:tab/>
        <w:t>Reserve accounts</w:t>
      </w:r>
      <w:r>
        <w:tab/>
      </w:r>
      <w:r>
        <w:fldChar w:fldCharType="begin"/>
      </w:r>
      <w:r>
        <w:instrText xml:space="preserve"> PAGEREF _Toc462409536 \h </w:instrText>
      </w:r>
      <w:r>
        <w:fldChar w:fldCharType="separate"/>
      </w:r>
      <w:r>
        <w:t>219</w:t>
      </w:r>
      <w:r>
        <w:fldChar w:fldCharType="end"/>
      </w:r>
    </w:p>
    <w:p>
      <w:pPr>
        <w:pStyle w:val="TOC8"/>
        <w:rPr>
          <w:rFonts w:asciiTheme="minorHAnsi" w:eastAsiaTheme="minorEastAsia" w:hAnsiTheme="minorHAnsi" w:cstheme="minorBidi"/>
          <w:szCs w:val="22"/>
        </w:rPr>
      </w:pPr>
      <w:r>
        <w:t>6.12.</w:t>
      </w:r>
      <w:r>
        <w:tab/>
        <w:t>Power to defer, grant discounts, waive or write off debts</w:t>
      </w:r>
      <w:r>
        <w:tab/>
      </w:r>
      <w:r>
        <w:fldChar w:fldCharType="begin"/>
      </w:r>
      <w:r>
        <w:instrText xml:space="preserve"> PAGEREF _Toc462409537 \h </w:instrText>
      </w:r>
      <w:r>
        <w:fldChar w:fldCharType="separate"/>
      </w:r>
      <w:r>
        <w:t>220</w:t>
      </w:r>
      <w:r>
        <w:fldChar w:fldCharType="end"/>
      </w:r>
    </w:p>
    <w:p>
      <w:pPr>
        <w:pStyle w:val="TOC8"/>
        <w:rPr>
          <w:rFonts w:asciiTheme="minorHAnsi" w:eastAsiaTheme="minorEastAsia" w:hAnsiTheme="minorHAnsi" w:cstheme="minorBidi"/>
          <w:szCs w:val="22"/>
        </w:rPr>
      </w:pPr>
      <w:r>
        <w:t>6.13.</w:t>
      </w:r>
      <w:r>
        <w:tab/>
        <w:t>Interest on money owing to local governments</w:t>
      </w:r>
      <w:r>
        <w:tab/>
      </w:r>
      <w:r>
        <w:fldChar w:fldCharType="begin"/>
      </w:r>
      <w:r>
        <w:instrText xml:space="preserve"> PAGEREF _Toc462409538 \h </w:instrText>
      </w:r>
      <w:r>
        <w:fldChar w:fldCharType="separate"/>
      </w:r>
      <w:r>
        <w:t>220</w:t>
      </w:r>
      <w:r>
        <w:fldChar w:fldCharType="end"/>
      </w:r>
    </w:p>
    <w:p>
      <w:pPr>
        <w:pStyle w:val="TOC8"/>
        <w:rPr>
          <w:rFonts w:asciiTheme="minorHAnsi" w:eastAsiaTheme="minorEastAsia" w:hAnsiTheme="minorHAnsi" w:cstheme="minorBidi"/>
          <w:szCs w:val="22"/>
        </w:rPr>
      </w:pPr>
      <w:r>
        <w:t>6.14.</w:t>
      </w:r>
      <w:r>
        <w:tab/>
        <w:t>Power to invest</w:t>
      </w:r>
      <w:r>
        <w:tab/>
      </w:r>
      <w:r>
        <w:fldChar w:fldCharType="begin"/>
      </w:r>
      <w:r>
        <w:instrText xml:space="preserve"> PAGEREF _Toc462409539 \h </w:instrText>
      </w:r>
      <w:r>
        <w:fldChar w:fldCharType="separate"/>
      </w:r>
      <w:r>
        <w:t>221</w:t>
      </w:r>
      <w:r>
        <w:fldChar w:fldCharType="end"/>
      </w:r>
    </w:p>
    <w:p>
      <w:pPr>
        <w:pStyle w:val="TOC4"/>
        <w:tabs>
          <w:tab w:val="right" w:leader="dot" w:pos="7077"/>
        </w:tabs>
        <w:rPr>
          <w:rFonts w:asciiTheme="minorHAnsi" w:eastAsiaTheme="minorEastAsia" w:hAnsiTheme="minorHAnsi" w:cstheme="minorBidi"/>
          <w:b w:val="0"/>
          <w:szCs w:val="22"/>
        </w:rPr>
      </w:pPr>
      <w:r>
        <w:t>Division 5 — Financing local government activities</w:t>
      </w:r>
    </w:p>
    <w:p>
      <w:pPr>
        <w:pStyle w:val="TOC6"/>
        <w:tabs>
          <w:tab w:val="right" w:leader="dot" w:pos="7077"/>
        </w:tabs>
        <w:rPr>
          <w:rFonts w:asciiTheme="minorHAnsi" w:eastAsiaTheme="minorEastAsia" w:hAnsiTheme="minorHAnsi" w:cstheme="minorBidi"/>
          <w:b w:val="0"/>
          <w:sz w:val="22"/>
          <w:szCs w:val="22"/>
        </w:rPr>
      </w:pPr>
      <w:r>
        <w:t>Subdivision 1 — Introduction</w:t>
      </w:r>
    </w:p>
    <w:p>
      <w:pPr>
        <w:pStyle w:val="TOC8"/>
        <w:rPr>
          <w:rFonts w:asciiTheme="minorHAnsi" w:eastAsiaTheme="minorEastAsia" w:hAnsiTheme="minorHAnsi" w:cstheme="minorBidi"/>
          <w:szCs w:val="22"/>
        </w:rPr>
      </w:pPr>
      <w:r>
        <w:t>6.15.</w:t>
      </w:r>
      <w:r>
        <w:tab/>
        <w:t>Local government’s ability to receive revenue and income</w:t>
      </w:r>
      <w:r>
        <w:tab/>
      </w:r>
      <w:r>
        <w:fldChar w:fldCharType="begin"/>
      </w:r>
      <w:r>
        <w:instrText xml:space="preserve"> PAGEREF _Toc462409542 \h </w:instrText>
      </w:r>
      <w:r>
        <w:fldChar w:fldCharType="separate"/>
      </w:r>
      <w:r>
        <w:t>222</w:t>
      </w:r>
      <w:r>
        <w:fldChar w:fldCharType="end"/>
      </w:r>
    </w:p>
    <w:p>
      <w:pPr>
        <w:pStyle w:val="TOC6"/>
        <w:tabs>
          <w:tab w:val="right" w:leader="dot" w:pos="7077"/>
        </w:tabs>
        <w:rPr>
          <w:rFonts w:asciiTheme="minorHAnsi" w:eastAsiaTheme="minorEastAsia" w:hAnsiTheme="minorHAnsi" w:cstheme="minorBidi"/>
          <w:b w:val="0"/>
          <w:sz w:val="22"/>
          <w:szCs w:val="22"/>
        </w:rPr>
      </w:pPr>
      <w:r>
        <w:t>Subdivision 2 — Fees and charges</w:t>
      </w:r>
    </w:p>
    <w:p>
      <w:pPr>
        <w:pStyle w:val="TOC8"/>
        <w:rPr>
          <w:rFonts w:asciiTheme="minorHAnsi" w:eastAsiaTheme="minorEastAsia" w:hAnsiTheme="minorHAnsi" w:cstheme="minorBidi"/>
          <w:szCs w:val="22"/>
        </w:rPr>
      </w:pPr>
      <w:r>
        <w:t>6.16.</w:t>
      </w:r>
      <w:r>
        <w:tab/>
        <w:t>Imposition of fees and charges</w:t>
      </w:r>
      <w:r>
        <w:tab/>
      </w:r>
      <w:r>
        <w:fldChar w:fldCharType="begin"/>
      </w:r>
      <w:r>
        <w:instrText xml:space="preserve"> PAGEREF _Toc462409544 \h </w:instrText>
      </w:r>
      <w:r>
        <w:fldChar w:fldCharType="separate"/>
      </w:r>
      <w:r>
        <w:t>223</w:t>
      </w:r>
      <w:r>
        <w:fldChar w:fldCharType="end"/>
      </w:r>
    </w:p>
    <w:p>
      <w:pPr>
        <w:pStyle w:val="TOC8"/>
        <w:rPr>
          <w:rFonts w:asciiTheme="minorHAnsi" w:eastAsiaTheme="minorEastAsia" w:hAnsiTheme="minorHAnsi" w:cstheme="minorBidi"/>
          <w:szCs w:val="22"/>
        </w:rPr>
      </w:pPr>
      <w:r>
        <w:t>6.17.</w:t>
      </w:r>
      <w:r>
        <w:tab/>
        <w:t>Setting level of fees and charges</w:t>
      </w:r>
      <w:r>
        <w:tab/>
      </w:r>
      <w:r>
        <w:fldChar w:fldCharType="begin"/>
      </w:r>
      <w:r>
        <w:instrText xml:space="preserve"> PAGEREF _Toc462409545 \h </w:instrText>
      </w:r>
      <w:r>
        <w:fldChar w:fldCharType="separate"/>
      </w:r>
      <w:r>
        <w:t>224</w:t>
      </w:r>
      <w:r>
        <w:fldChar w:fldCharType="end"/>
      </w:r>
    </w:p>
    <w:p>
      <w:pPr>
        <w:pStyle w:val="TOC8"/>
        <w:rPr>
          <w:rFonts w:asciiTheme="minorHAnsi" w:eastAsiaTheme="minorEastAsia" w:hAnsiTheme="minorHAnsi" w:cstheme="minorBidi"/>
          <w:szCs w:val="22"/>
        </w:rPr>
      </w:pPr>
      <w:r>
        <w:t>6.18.</w:t>
      </w:r>
      <w:r>
        <w:tab/>
        <w:t>Effect of other written laws</w:t>
      </w:r>
      <w:r>
        <w:tab/>
      </w:r>
      <w:r>
        <w:fldChar w:fldCharType="begin"/>
      </w:r>
      <w:r>
        <w:instrText xml:space="preserve"> PAGEREF _Toc462409546 \h </w:instrText>
      </w:r>
      <w:r>
        <w:fldChar w:fldCharType="separate"/>
      </w:r>
      <w:r>
        <w:t>224</w:t>
      </w:r>
      <w:r>
        <w:fldChar w:fldCharType="end"/>
      </w:r>
    </w:p>
    <w:p>
      <w:pPr>
        <w:pStyle w:val="TOC8"/>
        <w:rPr>
          <w:rFonts w:asciiTheme="minorHAnsi" w:eastAsiaTheme="minorEastAsia" w:hAnsiTheme="minorHAnsi" w:cstheme="minorBidi"/>
          <w:szCs w:val="22"/>
        </w:rPr>
      </w:pPr>
      <w:r>
        <w:t>6.19.</w:t>
      </w:r>
      <w:r>
        <w:tab/>
        <w:t>Local government to give notice of fees and charges</w:t>
      </w:r>
      <w:r>
        <w:tab/>
      </w:r>
      <w:r>
        <w:fldChar w:fldCharType="begin"/>
      </w:r>
      <w:r>
        <w:instrText xml:space="preserve"> PAGEREF _Toc462409547 \h </w:instrText>
      </w:r>
      <w:r>
        <w:fldChar w:fldCharType="separate"/>
      </w:r>
      <w:r>
        <w:t>225</w:t>
      </w:r>
      <w:r>
        <w:fldChar w:fldCharType="end"/>
      </w:r>
    </w:p>
    <w:p>
      <w:pPr>
        <w:pStyle w:val="TOC6"/>
        <w:tabs>
          <w:tab w:val="right" w:leader="dot" w:pos="7077"/>
        </w:tabs>
        <w:rPr>
          <w:rFonts w:asciiTheme="minorHAnsi" w:eastAsiaTheme="minorEastAsia" w:hAnsiTheme="minorHAnsi" w:cstheme="minorBidi"/>
          <w:b w:val="0"/>
          <w:sz w:val="22"/>
          <w:szCs w:val="22"/>
        </w:rPr>
      </w:pPr>
      <w:r>
        <w:t>Subdivision 3 — Borrowings</w:t>
      </w:r>
    </w:p>
    <w:p>
      <w:pPr>
        <w:pStyle w:val="TOC8"/>
        <w:rPr>
          <w:rFonts w:asciiTheme="minorHAnsi" w:eastAsiaTheme="minorEastAsia" w:hAnsiTheme="minorHAnsi" w:cstheme="minorBidi"/>
          <w:szCs w:val="22"/>
        </w:rPr>
      </w:pPr>
      <w:r>
        <w:t>6.20.</w:t>
      </w:r>
      <w:r>
        <w:tab/>
        <w:t>Power to borrow</w:t>
      </w:r>
      <w:r>
        <w:tab/>
      </w:r>
      <w:r>
        <w:fldChar w:fldCharType="begin"/>
      </w:r>
      <w:r>
        <w:instrText xml:space="preserve"> PAGEREF _Toc462409549 \h </w:instrText>
      </w:r>
      <w:r>
        <w:fldChar w:fldCharType="separate"/>
      </w:r>
      <w:r>
        <w:t>225</w:t>
      </w:r>
      <w:r>
        <w:fldChar w:fldCharType="end"/>
      </w:r>
    </w:p>
    <w:p>
      <w:pPr>
        <w:pStyle w:val="TOC8"/>
        <w:rPr>
          <w:rFonts w:asciiTheme="minorHAnsi" w:eastAsiaTheme="minorEastAsia" w:hAnsiTheme="minorHAnsi" w:cstheme="minorBidi"/>
          <w:szCs w:val="22"/>
        </w:rPr>
      </w:pPr>
      <w:r>
        <w:t>6.21.</w:t>
      </w:r>
      <w:r>
        <w:tab/>
        <w:t>Restrictions on borrowing</w:t>
      </w:r>
      <w:r>
        <w:tab/>
      </w:r>
      <w:r>
        <w:fldChar w:fldCharType="begin"/>
      </w:r>
      <w:r>
        <w:instrText xml:space="preserve"> PAGEREF _Toc462409550 \h </w:instrText>
      </w:r>
      <w:r>
        <w:fldChar w:fldCharType="separate"/>
      </w:r>
      <w:r>
        <w:t>226</w:t>
      </w:r>
      <w:r>
        <w:fldChar w:fldCharType="end"/>
      </w:r>
    </w:p>
    <w:p>
      <w:pPr>
        <w:pStyle w:val="TOC8"/>
        <w:rPr>
          <w:rFonts w:asciiTheme="minorHAnsi" w:eastAsiaTheme="minorEastAsia" w:hAnsiTheme="minorHAnsi" w:cstheme="minorBidi"/>
          <w:szCs w:val="22"/>
        </w:rPr>
      </w:pPr>
      <w:r>
        <w:t>6.22.</w:t>
      </w:r>
      <w:r>
        <w:tab/>
        <w:t>Appointment of receivers</w:t>
      </w:r>
      <w:r>
        <w:tab/>
      </w:r>
      <w:r>
        <w:fldChar w:fldCharType="begin"/>
      </w:r>
      <w:r>
        <w:instrText xml:space="preserve"> PAGEREF _Toc462409551 \h </w:instrText>
      </w:r>
      <w:r>
        <w:fldChar w:fldCharType="separate"/>
      </w:r>
      <w:r>
        <w:t>228</w:t>
      </w:r>
      <w:r>
        <w:fldChar w:fldCharType="end"/>
      </w:r>
    </w:p>
    <w:p>
      <w:pPr>
        <w:pStyle w:val="TOC8"/>
        <w:rPr>
          <w:rFonts w:asciiTheme="minorHAnsi" w:eastAsiaTheme="minorEastAsia" w:hAnsiTheme="minorHAnsi" w:cstheme="minorBidi"/>
          <w:szCs w:val="22"/>
        </w:rPr>
      </w:pPr>
      <w:r>
        <w:t>6.23.</w:t>
      </w:r>
      <w:r>
        <w:tab/>
        <w:t>Powers of receivers</w:t>
      </w:r>
      <w:r>
        <w:tab/>
      </w:r>
      <w:r>
        <w:fldChar w:fldCharType="begin"/>
      </w:r>
      <w:r>
        <w:instrText xml:space="preserve"> PAGEREF _Toc462409552 \h </w:instrText>
      </w:r>
      <w:r>
        <w:fldChar w:fldCharType="separate"/>
      </w:r>
      <w:r>
        <w:t>228</w:t>
      </w:r>
      <w:r>
        <w:fldChar w:fldCharType="end"/>
      </w:r>
    </w:p>
    <w:p>
      <w:pPr>
        <w:pStyle w:val="TOC8"/>
        <w:rPr>
          <w:rFonts w:asciiTheme="minorHAnsi" w:eastAsiaTheme="minorEastAsia" w:hAnsiTheme="minorHAnsi" w:cstheme="minorBidi"/>
          <w:szCs w:val="22"/>
        </w:rPr>
      </w:pPr>
      <w:r>
        <w:t>6.24.</w:t>
      </w:r>
      <w:r>
        <w:tab/>
        <w:t>Application of money</w:t>
      </w:r>
      <w:r>
        <w:tab/>
      </w:r>
      <w:r>
        <w:fldChar w:fldCharType="begin"/>
      </w:r>
      <w:r>
        <w:instrText xml:space="preserve"> PAGEREF _Toc462409553 \h </w:instrText>
      </w:r>
      <w:r>
        <w:fldChar w:fldCharType="separate"/>
      </w:r>
      <w:r>
        <w:t>229</w:t>
      </w:r>
      <w:r>
        <w:fldChar w:fldCharType="end"/>
      </w:r>
    </w:p>
    <w:p>
      <w:pPr>
        <w:pStyle w:val="TOC4"/>
        <w:tabs>
          <w:tab w:val="right" w:leader="dot" w:pos="7077"/>
        </w:tabs>
        <w:rPr>
          <w:rFonts w:asciiTheme="minorHAnsi" w:eastAsiaTheme="minorEastAsia" w:hAnsiTheme="minorHAnsi" w:cstheme="minorBidi"/>
          <w:b w:val="0"/>
          <w:szCs w:val="22"/>
        </w:rPr>
      </w:pPr>
      <w:r>
        <w:t>Division 6 — Rates and service charges</w:t>
      </w:r>
    </w:p>
    <w:p>
      <w:pPr>
        <w:pStyle w:val="TOC6"/>
        <w:tabs>
          <w:tab w:val="right" w:leader="dot" w:pos="7077"/>
        </w:tabs>
        <w:rPr>
          <w:rFonts w:asciiTheme="minorHAnsi" w:eastAsiaTheme="minorEastAsia" w:hAnsiTheme="minorHAnsi" w:cstheme="minorBidi"/>
          <w:b w:val="0"/>
          <w:sz w:val="22"/>
          <w:szCs w:val="22"/>
        </w:rPr>
      </w:pPr>
      <w:r>
        <w:t>Subdivision 1 — Introduction and basis of rating</w:t>
      </w:r>
    </w:p>
    <w:p>
      <w:pPr>
        <w:pStyle w:val="TOC8"/>
        <w:rPr>
          <w:rFonts w:asciiTheme="minorHAnsi" w:eastAsiaTheme="minorEastAsia" w:hAnsiTheme="minorHAnsi" w:cstheme="minorBidi"/>
          <w:szCs w:val="22"/>
        </w:rPr>
      </w:pPr>
      <w:r>
        <w:t>6.25.</w:t>
      </w:r>
      <w:r>
        <w:tab/>
        <w:t>Terms used</w:t>
      </w:r>
      <w:r>
        <w:tab/>
      </w:r>
      <w:r>
        <w:fldChar w:fldCharType="begin"/>
      </w:r>
      <w:r>
        <w:instrText xml:space="preserve"> PAGEREF _Toc462409556 \h </w:instrText>
      </w:r>
      <w:r>
        <w:fldChar w:fldCharType="separate"/>
      </w:r>
      <w:r>
        <w:t>229</w:t>
      </w:r>
      <w:r>
        <w:fldChar w:fldCharType="end"/>
      </w:r>
    </w:p>
    <w:p>
      <w:pPr>
        <w:pStyle w:val="TOC8"/>
        <w:rPr>
          <w:rFonts w:asciiTheme="minorHAnsi" w:eastAsiaTheme="minorEastAsia" w:hAnsiTheme="minorHAnsi" w:cstheme="minorBidi"/>
          <w:szCs w:val="22"/>
        </w:rPr>
      </w:pPr>
      <w:r>
        <w:t>6.26.</w:t>
      </w:r>
      <w:r>
        <w:tab/>
        <w:t>Rateable land</w:t>
      </w:r>
      <w:r>
        <w:tab/>
      </w:r>
      <w:r>
        <w:fldChar w:fldCharType="begin"/>
      </w:r>
      <w:r>
        <w:instrText xml:space="preserve"> PAGEREF _Toc462409557 \h </w:instrText>
      </w:r>
      <w:r>
        <w:fldChar w:fldCharType="separate"/>
      </w:r>
      <w:r>
        <w:t>230</w:t>
      </w:r>
      <w:r>
        <w:fldChar w:fldCharType="end"/>
      </w:r>
    </w:p>
    <w:p>
      <w:pPr>
        <w:pStyle w:val="TOC8"/>
        <w:rPr>
          <w:rFonts w:asciiTheme="minorHAnsi" w:eastAsiaTheme="minorEastAsia" w:hAnsiTheme="minorHAnsi" w:cstheme="minorBidi"/>
          <w:szCs w:val="22"/>
        </w:rPr>
      </w:pPr>
      <w:r>
        <w:t>6.27.</w:t>
      </w:r>
      <w:r>
        <w:tab/>
        <w:t>Multiple rating</w:t>
      </w:r>
      <w:r>
        <w:tab/>
      </w:r>
      <w:r>
        <w:fldChar w:fldCharType="begin"/>
      </w:r>
      <w:r>
        <w:instrText xml:space="preserve"> PAGEREF _Toc462409558 \h </w:instrText>
      </w:r>
      <w:r>
        <w:fldChar w:fldCharType="separate"/>
      </w:r>
      <w:r>
        <w:t>232</w:t>
      </w:r>
      <w:r>
        <w:fldChar w:fldCharType="end"/>
      </w:r>
    </w:p>
    <w:p>
      <w:pPr>
        <w:pStyle w:val="TOC8"/>
        <w:rPr>
          <w:rFonts w:asciiTheme="minorHAnsi" w:eastAsiaTheme="minorEastAsia" w:hAnsiTheme="minorHAnsi" w:cstheme="minorBidi"/>
          <w:szCs w:val="22"/>
        </w:rPr>
      </w:pPr>
      <w:r>
        <w:t>6.28.</w:t>
      </w:r>
      <w:r>
        <w:tab/>
        <w:t>Basis of rates</w:t>
      </w:r>
      <w:r>
        <w:tab/>
      </w:r>
      <w:r>
        <w:fldChar w:fldCharType="begin"/>
      </w:r>
      <w:r>
        <w:instrText xml:space="preserve"> PAGEREF _Toc462409559 \h </w:instrText>
      </w:r>
      <w:r>
        <w:fldChar w:fldCharType="separate"/>
      </w:r>
      <w:r>
        <w:t>233</w:t>
      </w:r>
      <w:r>
        <w:fldChar w:fldCharType="end"/>
      </w:r>
    </w:p>
    <w:p>
      <w:pPr>
        <w:pStyle w:val="TOC8"/>
        <w:rPr>
          <w:rFonts w:asciiTheme="minorHAnsi" w:eastAsiaTheme="minorEastAsia" w:hAnsiTheme="minorHAnsi" w:cstheme="minorBidi"/>
          <w:szCs w:val="22"/>
        </w:rPr>
      </w:pPr>
      <w:r>
        <w:t>6.29.</w:t>
      </w:r>
      <w:r>
        <w:tab/>
        <w:t>Valuation and rates on mining and petroleum interests</w:t>
      </w:r>
      <w:r>
        <w:tab/>
      </w:r>
      <w:r>
        <w:fldChar w:fldCharType="begin"/>
      </w:r>
      <w:r>
        <w:instrText xml:space="preserve"> PAGEREF _Toc462409560 \h </w:instrText>
      </w:r>
      <w:r>
        <w:fldChar w:fldCharType="separate"/>
      </w:r>
      <w:r>
        <w:t>234</w:t>
      </w:r>
      <w:r>
        <w:fldChar w:fldCharType="end"/>
      </w:r>
    </w:p>
    <w:p>
      <w:pPr>
        <w:pStyle w:val="TOC8"/>
        <w:rPr>
          <w:rFonts w:asciiTheme="minorHAnsi" w:eastAsiaTheme="minorEastAsia" w:hAnsiTheme="minorHAnsi" w:cstheme="minorBidi"/>
          <w:szCs w:val="22"/>
        </w:rPr>
      </w:pPr>
      <w:r>
        <w:t>6.30.</w:t>
      </w:r>
      <w:r>
        <w:tab/>
        <w:t>Valuation of and rates on certain land</w:t>
      </w:r>
      <w:r>
        <w:tab/>
      </w:r>
      <w:r>
        <w:fldChar w:fldCharType="begin"/>
      </w:r>
      <w:r>
        <w:instrText xml:space="preserve"> PAGEREF _Toc462409561 \h </w:instrText>
      </w:r>
      <w:r>
        <w:fldChar w:fldCharType="separate"/>
      </w:r>
      <w:r>
        <w:t>235</w:t>
      </w:r>
      <w:r>
        <w:fldChar w:fldCharType="end"/>
      </w:r>
    </w:p>
    <w:p>
      <w:pPr>
        <w:pStyle w:val="TOC8"/>
        <w:rPr>
          <w:rFonts w:asciiTheme="minorHAnsi" w:eastAsiaTheme="minorEastAsia" w:hAnsiTheme="minorHAnsi" w:cstheme="minorBidi"/>
          <w:szCs w:val="22"/>
        </w:rPr>
      </w:pPr>
      <w:r>
        <w:t>6.31.</w:t>
      </w:r>
      <w:r>
        <w:tab/>
        <w:t>Phasing in of certain valuations</w:t>
      </w:r>
      <w:r>
        <w:tab/>
      </w:r>
      <w:r>
        <w:fldChar w:fldCharType="begin"/>
      </w:r>
      <w:r>
        <w:instrText xml:space="preserve"> PAGEREF _Toc462409562 \h </w:instrText>
      </w:r>
      <w:r>
        <w:fldChar w:fldCharType="separate"/>
      </w:r>
      <w:r>
        <w:t>236</w:t>
      </w:r>
      <w:r>
        <w:fldChar w:fldCharType="end"/>
      </w:r>
    </w:p>
    <w:p>
      <w:pPr>
        <w:pStyle w:val="TOC6"/>
        <w:tabs>
          <w:tab w:val="right" w:leader="dot" w:pos="7077"/>
        </w:tabs>
        <w:rPr>
          <w:rFonts w:asciiTheme="minorHAnsi" w:eastAsiaTheme="minorEastAsia" w:hAnsiTheme="minorHAnsi" w:cstheme="minorBidi"/>
          <w:b w:val="0"/>
          <w:sz w:val="22"/>
          <w:szCs w:val="22"/>
        </w:rPr>
      </w:pPr>
      <w:r>
        <w:t>Subdivision 2 — Categories of rates and service charges</w:t>
      </w:r>
    </w:p>
    <w:p>
      <w:pPr>
        <w:pStyle w:val="TOC8"/>
        <w:rPr>
          <w:rFonts w:asciiTheme="minorHAnsi" w:eastAsiaTheme="minorEastAsia" w:hAnsiTheme="minorHAnsi" w:cstheme="minorBidi"/>
          <w:szCs w:val="22"/>
        </w:rPr>
      </w:pPr>
      <w:r>
        <w:t>6.32.</w:t>
      </w:r>
      <w:r>
        <w:tab/>
        <w:t>Rates and service charges</w:t>
      </w:r>
      <w:r>
        <w:tab/>
      </w:r>
      <w:r>
        <w:fldChar w:fldCharType="begin"/>
      </w:r>
      <w:r>
        <w:instrText xml:space="preserve"> PAGEREF _Toc462409564 \h </w:instrText>
      </w:r>
      <w:r>
        <w:fldChar w:fldCharType="separate"/>
      </w:r>
      <w:r>
        <w:t>236</w:t>
      </w:r>
      <w:r>
        <w:fldChar w:fldCharType="end"/>
      </w:r>
    </w:p>
    <w:p>
      <w:pPr>
        <w:pStyle w:val="TOC8"/>
        <w:rPr>
          <w:rFonts w:asciiTheme="minorHAnsi" w:eastAsiaTheme="minorEastAsia" w:hAnsiTheme="minorHAnsi" w:cstheme="minorBidi"/>
          <w:szCs w:val="22"/>
        </w:rPr>
      </w:pPr>
      <w:r>
        <w:t>6.33.</w:t>
      </w:r>
      <w:r>
        <w:tab/>
        <w:t>Differential general rates</w:t>
      </w:r>
      <w:r>
        <w:tab/>
      </w:r>
      <w:r>
        <w:fldChar w:fldCharType="begin"/>
      </w:r>
      <w:r>
        <w:instrText xml:space="preserve"> PAGEREF _Toc462409565 \h </w:instrText>
      </w:r>
      <w:r>
        <w:fldChar w:fldCharType="separate"/>
      </w:r>
      <w:r>
        <w:t>237</w:t>
      </w:r>
      <w:r>
        <w:fldChar w:fldCharType="end"/>
      </w:r>
    </w:p>
    <w:p>
      <w:pPr>
        <w:pStyle w:val="TOC8"/>
        <w:rPr>
          <w:rFonts w:asciiTheme="minorHAnsi" w:eastAsiaTheme="minorEastAsia" w:hAnsiTheme="minorHAnsi" w:cstheme="minorBidi"/>
          <w:szCs w:val="22"/>
        </w:rPr>
      </w:pPr>
      <w:r>
        <w:t>6.34.</w:t>
      </w:r>
      <w:r>
        <w:tab/>
        <w:t>Limit on revenue or income from general rates</w:t>
      </w:r>
      <w:r>
        <w:tab/>
      </w:r>
      <w:r>
        <w:fldChar w:fldCharType="begin"/>
      </w:r>
      <w:r>
        <w:instrText xml:space="preserve"> PAGEREF _Toc462409566 \h </w:instrText>
      </w:r>
      <w:r>
        <w:fldChar w:fldCharType="separate"/>
      </w:r>
      <w:r>
        <w:t>239</w:t>
      </w:r>
      <w:r>
        <w:fldChar w:fldCharType="end"/>
      </w:r>
    </w:p>
    <w:p>
      <w:pPr>
        <w:pStyle w:val="TOC8"/>
        <w:rPr>
          <w:rFonts w:asciiTheme="minorHAnsi" w:eastAsiaTheme="minorEastAsia" w:hAnsiTheme="minorHAnsi" w:cstheme="minorBidi"/>
          <w:szCs w:val="22"/>
        </w:rPr>
      </w:pPr>
      <w:r>
        <w:t>6.35.</w:t>
      </w:r>
      <w:r>
        <w:tab/>
        <w:t>Minimum payment</w:t>
      </w:r>
      <w:r>
        <w:tab/>
      </w:r>
      <w:r>
        <w:fldChar w:fldCharType="begin"/>
      </w:r>
      <w:r>
        <w:instrText xml:space="preserve"> PAGEREF _Toc462409567 \h </w:instrText>
      </w:r>
      <w:r>
        <w:fldChar w:fldCharType="separate"/>
      </w:r>
      <w:r>
        <w:t>239</w:t>
      </w:r>
      <w:r>
        <w:fldChar w:fldCharType="end"/>
      </w:r>
    </w:p>
    <w:p>
      <w:pPr>
        <w:pStyle w:val="TOC8"/>
        <w:rPr>
          <w:rFonts w:asciiTheme="minorHAnsi" w:eastAsiaTheme="minorEastAsia" w:hAnsiTheme="minorHAnsi" w:cstheme="minorBidi"/>
          <w:szCs w:val="22"/>
        </w:rPr>
      </w:pPr>
      <w:r>
        <w:t>6.36.</w:t>
      </w:r>
      <w:r>
        <w:tab/>
        <w:t>Local government to give notice of certain rates</w:t>
      </w:r>
      <w:r>
        <w:tab/>
      </w:r>
      <w:r>
        <w:fldChar w:fldCharType="begin"/>
      </w:r>
      <w:r>
        <w:instrText xml:space="preserve"> PAGEREF _Toc462409568 \h </w:instrText>
      </w:r>
      <w:r>
        <w:fldChar w:fldCharType="separate"/>
      </w:r>
      <w:r>
        <w:t>240</w:t>
      </w:r>
      <w:r>
        <w:fldChar w:fldCharType="end"/>
      </w:r>
    </w:p>
    <w:p>
      <w:pPr>
        <w:pStyle w:val="TOC8"/>
        <w:rPr>
          <w:rFonts w:asciiTheme="minorHAnsi" w:eastAsiaTheme="minorEastAsia" w:hAnsiTheme="minorHAnsi" w:cstheme="minorBidi"/>
          <w:szCs w:val="22"/>
        </w:rPr>
      </w:pPr>
      <w:r>
        <w:t>6.37.</w:t>
      </w:r>
      <w:r>
        <w:tab/>
        <w:t>Specified area rates</w:t>
      </w:r>
      <w:r>
        <w:tab/>
      </w:r>
      <w:r>
        <w:fldChar w:fldCharType="begin"/>
      </w:r>
      <w:r>
        <w:instrText xml:space="preserve"> PAGEREF _Toc462409569 \h </w:instrText>
      </w:r>
      <w:r>
        <w:fldChar w:fldCharType="separate"/>
      </w:r>
      <w:r>
        <w:t>241</w:t>
      </w:r>
      <w:r>
        <w:fldChar w:fldCharType="end"/>
      </w:r>
    </w:p>
    <w:p>
      <w:pPr>
        <w:pStyle w:val="TOC8"/>
        <w:rPr>
          <w:rFonts w:asciiTheme="minorHAnsi" w:eastAsiaTheme="minorEastAsia" w:hAnsiTheme="minorHAnsi" w:cstheme="minorBidi"/>
          <w:szCs w:val="22"/>
        </w:rPr>
      </w:pPr>
      <w:r>
        <w:t>6.38.</w:t>
      </w:r>
      <w:r>
        <w:tab/>
        <w:t>Service charges</w:t>
      </w:r>
      <w:r>
        <w:tab/>
      </w:r>
      <w:r>
        <w:fldChar w:fldCharType="begin"/>
      </w:r>
      <w:r>
        <w:instrText xml:space="preserve"> PAGEREF _Toc462409570 \h </w:instrText>
      </w:r>
      <w:r>
        <w:fldChar w:fldCharType="separate"/>
      </w:r>
      <w:r>
        <w:t>243</w:t>
      </w:r>
      <w:r>
        <w:fldChar w:fldCharType="end"/>
      </w:r>
    </w:p>
    <w:p>
      <w:pPr>
        <w:pStyle w:val="TOC6"/>
        <w:tabs>
          <w:tab w:val="right" w:leader="dot" w:pos="7077"/>
        </w:tabs>
        <w:rPr>
          <w:rFonts w:asciiTheme="minorHAnsi" w:eastAsiaTheme="minorEastAsia" w:hAnsiTheme="minorHAnsi" w:cstheme="minorBidi"/>
          <w:b w:val="0"/>
          <w:sz w:val="22"/>
          <w:szCs w:val="22"/>
        </w:rPr>
      </w:pPr>
      <w:r>
        <w:t>Subdivision 3 — Imposition of rates and service charges</w:t>
      </w:r>
    </w:p>
    <w:p>
      <w:pPr>
        <w:pStyle w:val="TOC8"/>
        <w:rPr>
          <w:rFonts w:asciiTheme="minorHAnsi" w:eastAsiaTheme="minorEastAsia" w:hAnsiTheme="minorHAnsi" w:cstheme="minorBidi"/>
          <w:szCs w:val="22"/>
        </w:rPr>
      </w:pPr>
      <w:r>
        <w:t>6.39.</w:t>
      </w:r>
      <w:r>
        <w:tab/>
        <w:t>Rate record</w:t>
      </w:r>
      <w:r>
        <w:tab/>
      </w:r>
      <w:r>
        <w:fldChar w:fldCharType="begin"/>
      </w:r>
      <w:r>
        <w:instrText xml:space="preserve"> PAGEREF _Toc462409572 \h </w:instrText>
      </w:r>
      <w:r>
        <w:fldChar w:fldCharType="separate"/>
      </w:r>
      <w:r>
        <w:t>245</w:t>
      </w:r>
      <w:r>
        <w:fldChar w:fldCharType="end"/>
      </w:r>
    </w:p>
    <w:p>
      <w:pPr>
        <w:pStyle w:val="TOC8"/>
        <w:rPr>
          <w:rFonts w:asciiTheme="minorHAnsi" w:eastAsiaTheme="minorEastAsia" w:hAnsiTheme="minorHAnsi" w:cstheme="minorBidi"/>
          <w:szCs w:val="22"/>
        </w:rPr>
      </w:pPr>
      <w:r>
        <w:t>6.40.</w:t>
      </w:r>
      <w:r>
        <w:tab/>
        <w:t>Effect of amendment of rate record</w:t>
      </w:r>
      <w:r>
        <w:tab/>
      </w:r>
      <w:r>
        <w:fldChar w:fldCharType="begin"/>
      </w:r>
      <w:r>
        <w:instrText xml:space="preserve"> PAGEREF _Toc462409573 \h </w:instrText>
      </w:r>
      <w:r>
        <w:fldChar w:fldCharType="separate"/>
      </w:r>
      <w:r>
        <w:t>246</w:t>
      </w:r>
      <w:r>
        <w:fldChar w:fldCharType="end"/>
      </w:r>
    </w:p>
    <w:p>
      <w:pPr>
        <w:pStyle w:val="TOC8"/>
        <w:rPr>
          <w:rFonts w:asciiTheme="minorHAnsi" w:eastAsiaTheme="minorEastAsia" w:hAnsiTheme="minorHAnsi" w:cstheme="minorBidi"/>
          <w:szCs w:val="22"/>
        </w:rPr>
      </w:pPr>
      <w:r>
        <w:t>6.41.</w:t>
      </w:r>
      <w:r>
        <w:tab/>
        <w:t>Service of rate notice</w:t>
      </w:r>
      <w:r>
        <w:tab/>
      </w:r>
      <w:r>
        <w:fldChar w:fldCharType="begin"/>
      </w:r>
      <w:r>
        <w:instrText xml:space="preserve"> PAGEREF _Toc462409574 \h </w:instrText>
      </w:r>
      <w:r>
        <w:fldChar w:fldCharType="separate"/>
      </w:r>
      <w:r>
        <w:t>247</w:t>
      </w:r>
      <w:r>
        <w:fldChar w:fldCharType="end"/>
      </w:r>
    </w:p>
    <w:p>
      <w:pPr>
        <w:pStyle w:val="TOC6"/>
        <w:tabs>
          <w:tab w:val="right" w:leader="dot" w:pos="7077"/>
        </w:tabs>
        <w:rPr>
          <w:rFonts w:asciiTheme="minorHAnsi" w:eastAsiaTheme="minorEastAsia" w:hAnsiTheme="minorHAnsi" w:cstheme="minorBidi"/>
          <w:b w:val="0"/>
          <w:sz w:val="22"/>
          <w:szCs w:val="22"/>
        </w:rPr>
      </w:pPr>
      <w:r>
        <w:t>Subdivision 4 — Payment of rates and service charges</w:t>
      </w:r>
    </w:p>
    <w:p>
      <w:pPr>
        <w:pStyle w:val="TOC8"/>
        <w:rPr>
          <w:rFonts w:asciiTheme="minorHAnsi" w:eastAsiaTheme="minorEastAsia" w:hAnsiTheme="minorHAnsi" w:cstheme="minorBidi"/>
          <w:szCs w:val="22"/>
        </w:rPr>
      </w:pPr>
      <w:r>
        <w:t>6.42.</w:t>
      </w:r>
      <w:r>
        <w:tab/>
        <w:t>Term used: service charge</w:t>
      </w:r>
      <w:r>
        <w:tab/>
      </w:r>
      <w:r>
        <w:fldChar w:fldCharType="begin"/>
      </w:r>
      <w:r>
        <w:instrText xml:space="preserve"> PAGEREF _Toc462409576 \h </w:instrText>
      </w:r>
      <w:r>
        <w:fldChar w:fldCharType="separate"/>
      </w:r>
      <w:r>
        <w:t>248</w:t>
      </w:r>
      <w:r>
        <w:fldChar w:fldCharType="end"/>
      </w:r>
    </w:p>
    <w:p>
      <w:pPr>
        <w:pStyle w:val="TOC8"/>
        <w:rPr>
          <w:rFonts w:asciiTheme="minorHAnsi" w:eastAsiaTheme="minorEastAsia" w:hAnsiTheme="minorHAnsi" w:cstheme="minorBidi"/>
          <w:szCs w:val="22"/>
        </w:rPr>
      </w:pPr>
      <w:r>
        <w:t>6.43.</w:t>
      </w:r>
      <w:r>
        <w:tab/>
        <w:t>Rates and service charges are a charge on land</w:t>
      </w:r>
      <w:r>
        <w:tab/>
      </w:r>
      <w:r>
        <w:fldChar w:fldCharType="begin"/>
      </w:r>
      <w:r>
        <w:instrText xml:space="preserve"> PAGEREF _Toc462409577 \h </w:instrText>
      </w:r>
      <w:r>
        <w:fldChar w:fldCharType="separate"/>
      </w:r>
      <w:r>
        <w:t>248</w:t>
      </w:r>
      <w:r>
        <w:fldChar w:fldCharType="end"/>
      </w:r>
    </w:p>
    <w:p>
      <w:pPr>
        <w:pStyle w:val="TOC8"/>
        <w:rPr>
          <w:rFonts w:asciiTheme="minorHAnsi" w:eastAsiaTheme="minorEastAsia" w:hAnsiTheme="minorHAnsi" w:cstheme="minorBidi"/>
          <w:szCs w:val="22"/>
        </w:rPr>
      </w:pPr>
      <w:r>
        <w:t>6.44.</w:t>
      </w:r>
      <w:r>
        <w:tab/>
        <w:t>Liability for rates or service charges</w:t>
      </w:r>
      <w:r>
        <w:tab/>
      </w:r>
      <w:r>
        <w:fldChar w:fldCharType="begin"/>
      </w:r>
      <w:r>
        <w:instrText xml:space="preserve"> PAGEREF _Toc462409578 \h </w:instrText>
      </w:r>
      <w:r>
        <w:fldChar w:fldCharType="separate"/>
      </w:r>
      <w:r>
        <w:t>249</w:t>
      </w:r>
      <w:r>
        <w:fldChar w:fldCharType="end"/>
      </w:r>
    </w:p>
    <w:p>
      <w:pPr>
        <w:pStyle w:val="TOC8"/>
        <w:rPr>
          <w:rFonts w:asciiTheme="minorHAnsi" w:eastAsiaTheme="minorEastAsia" w:hAnsiTheme="minorHAnsi" w:cstheme="minorBidi"/>
          <w:szCs w:val="22"/>
        </w:rPr>
      </w:pPr>
      <w:r>
        <w:t>6.45.</w:t>
      </w:r>
      <w:r>
        <w:tab/>
        <w:t>Options for payment of rates or service charges</w:t>
      </w:r>
      <w:r>
        <w:tab/>
      </w:r>
      <w:r>
        <w:fldChar w:fldCharType="begin"/>
      </w:r>
      <w:r>
        <w:instrText xml:space="preserve"> PAGEREF _Toc462409579 \h </w:instrText>
      </w:r>
      <w:r>
        <w:fldChar w:fldCharType="separate"/>
      </w:r>
      <w:r>
        <w:t>249</w:t>
      </w:r>
      <w:r>
        <w:fldChar w:fldCharType="end"/>
      </w:r>
    </w:p>
    <w:p>
      <w:pPr>
        <w:pStyle w:val="TOC8"/>
        <w:rPr>
          <w:rFonts w:asciiTheme="minorHAnsi" w:eastAsiaTheme="minorEastAsia" w:hAnsiTheme="minorHAnsi" w:cstheme="minorBidi"/>
          <w:szCs w:val="22"/>
        </w:rPr>
      </w:pPr>
      <w:r>
        <w:t>6.46.</w:t>
      </w:r>
      <w:r>
        <w:tab/>
        <w:t>Discounts</w:t>
      </w:r>
      <w:r>
        <w:tab/>
      </w:r>
      <w:r>
        <w:fldChar w:fldCharType="begin"/>
      </w:r>
      <w:r>
        <w:instrText xml:space="preserve"> PAGEREF _Toc462409580 \h </w:instrText>
      </w:r>
      <w:r>
        <w:fldChar w:fldCharType="separate"/>
      </w:r>
      <w:r>
        <w:t>250</w:t>
      </w:r>
      <w:r>
        <w:fldChar w:fldCharType="end"/>
      </w:r>
    </w:p>
    <w:p>
      <w:pPr>
        <w:pStyle w:val="TOC8"/>
        <w:rPr>
          <w:rFonts w:asciiTheme="minorHAnsi" w:eastAsiaTheme="minorEastAsia" w:hAnsiTheme="minorHAnsi" w:cstheme="minorBidi"/>
          <w:szCs w:val="22"/>
        </w:rPr>
      </w:pPr>
      <w:r>
        <w:t>6.47.</w:t>
      </w:r>
      <w:r>
        <w:tab/>
        <w:t>Concessions</w:t>
      </w:r>
      <w:r>
        <w:tab/>
      </w:r>
      <w:r>
        <w:fldChar w:fldCharType="begin"/>
      </w:r>
      <w:r>
        <w:instrText xml:space="preserve"> PAGEREF _Toc462409581 \h </w:instrText>
      </w:r>
      <w:r>
        <w:fldChar w:fldCharType="separate"/>
      </w:r>
      <w:r>
        <w:t>250</w:t>
      </w:r>
      <w:r>
        <w:fldChar w:fldCharType="end"/>
      </w:r>
    </w:p>
    <w:p>
      <w:pPr>
        <w:pStyle w:val="TOC8"/>
        <w:rPr>
          <w:rFonts w:asciiTheme="minorHAnsi" w:eastAsiaTheme="minorEastAsia" w:hAnsiTheme="minorHAnsi" w:cstheme="minorBidi"/>
          <w:szCs w:val="22"/>
        </w:rPr>
      </w:pPr>
      <w:r>
        <w:t>6.48.</w:t>
      </w:r>
      <w:r>
        <w:tab/>
        <w:t>Regulation of grant of discounts and concessions</w:t>
      </w:r>
      <w:r>
        <w:tab/>
      </w:r>
      <w:r>
        <w:fldChar w:fldCharType="begin"/>
      </w:r>
      <w:r>
        <w:instrText xml:space="preserve"> PAGEREF _Toc462409582 \h </w:instrText>
      </w:r>
      <w:r>
        <w:fldChar w:fldCharType="separate"/>
      </w:r>
      <w:r>
        <w:t>250</w:t>
      </w:r>
      <w:r>
        <w:fldChar w:fldCharType="end"/>
      </w:r>
    </w:p>
    <w:p>
      <w:pPr>
        <w:pStyle w:val="TOC8"/>
        <w:rPr>
          <w:rFonts w:asciiTheme="minorHAnsi" w:eastAsiaTheme="minorEastAsia" w:hAnsiTheme="minorHAnsi" w:cstheme="minorBidi"/>
          <w:szCs w:val="22"/>
        </w:rPr>
      </w:pPr>
      <w:r>
        <w:t>6.49.</w:t>
      </w:r>
      <w:r>
        <w:tab/>
        <w:t>Agreement as to payment of rates and service charges</w:t>
      </w:r>
      <w:r>
        <w:tab/>
      </w:r>
      <w:r>
        <w:fldChar w:fldCharType="begin"/>
      </w:r>
      <w:r>
        <w:instrText xml:space="preserve"> PAGEREF _Toc462409583 \h </w:instrText>
      </w:r>
      <w:r>
        <w:fldChar w:fldCharType="separate"/>
      </w:r>
      <w:r>
        <w:t>251</w:t>
      </w:r>
      <w:r>
        <w:fldChar w:fldCharType="end"/>
      </w:r>
    </w:p>
    <w:p>
      <w:pPr>
        <w:pStyle w:val="TOC8"/>
        <w:rPr>
          <w:rFonts w:asciiTheme="minorHAnsi" w:eastAsiaTheme="minorEastAsia" w:hAnsiTheme="minorHAnsi" w:cstheme="minorBidi"/>
          <w:szCs w:val="22"/>
        </w:rPr>
      </w:pPr>
      <w:r>
        <w:t>6.50.</w:t>
      </w:r>
      <w:r>
        <w:tab/>
        <w:t>Rates or service charges due and payable</w:t>
      </w:r>
      <w:r>
        <w:tab/>
      </w:r>
      <w:r>
        <w:fldChar w:fldCharType="begin"/>
      </w:r>
      <w:r>
        <w:instrText xml:space="preserve"> PAGEREF _Toc462409584 \h </w:instrText>
      </w:r>
      <w:r>
        <w:fldChar w:fldCharType="separate"/>
      </w:r>
      <w:r>
        <w:t>251</w:t>
      </w:r>
      <w:r>
        <w:fldChar w:fldCharType="end"/>
      </w:r>
    </w:p>
    <w:p>
      <w:pPr>
        <w:pStyle w:val="TOC8"/>
        <w:rPr>
          <w:rFonts w:asciiTheme="minorHAnsi" w:eastAsiaTheme="minorEastAsia" w:hAnsiTheme="minorHAnsi" w:cstheme="minorBidi"/>
          <w:szCs w:val="22"/>
        </w:rPr>
      </w:pPr>
      <w:r>
        <w:t>6.51.</w:t>
      </w:r>
      <w:r>
        <w:tab/>
        <w:t>Accrual of interest on overdue rates or service charges</w:t>
      </w:r>
      <w:r>
        <w:tab/>
      </w:r>
      <w:r>
        <w:fldChar w:fldCharType="begin"/>
      </w:r>
      <w:r>
        <w:instrText xml:space="preserve"> PAGEREF _Toc462409585 \h </w:instrText>
      </w:r>
      <w:r>
        <w:fldChar w:fldCharType="separate"/>
      </w:r>
      <w:r>
        <w:t>251</w:t>
      </w:r>
      <w:r>
        <w:fldChar w:fldCharType="end"/>
      </w:r>
    </w:p>
    <w:p>
      <w:pPr>
        <w:pStyle w:val="TOC8"/>
        <w:rPr>
          <w:rFonts w:asciiTheme="minorHAnsi" w:eastAsiaTheme="minorEastAsia" w:hAnsiTheme="minorHAnsi" w:cstheme="minorBidi"/>
          <w:szCs w:val="22"/>
        </w:rPr>
      </w:pPr>
      <w:r>
        <w:t>6.52.</w:t>
      </w:r>
      <w:r>
        <w:tab/>
        <w:t>Rates and service charges may be apportioned</w:t>
      </w:r>
      <w:r>
        <w:tab/>
      </w:r>
      <w:r>
        <w:fldChar w:fldCharType="begin"/>
      </w:r>
      <w:r>
        <w:instrText xml:space="preserve"> PAGEREF _Toc462409586 \h </w:instrText>
      </w:r>
      <w:r>
        <w:fldChar w:fldCharType="separate"/>
      </w:r>
      <w:r>
        <w:t>252</w:t>
      </w:r>
      <w:r>
        <w:fldChar w:fldCharType="end"/>
      </w:r>
    </w:p>
    <w:p>
      <w:pPr>
        <w:pStyle w:val="TOC8"/>
        <w:rPr>
          <w:rFonts w:asciiTheme="minorHAnsi" w:eastAsiaTheme="minorEastAsia" w:hAnsiTheme="minorHAnsi" w:cstheme="minorBidi"/>
          <w:szCs w:val="22"/>
        </w:rPr>
      </w:pPr>
      <w:r>
        <w:t>6.53.</w:t>
      </w:r>
      <w:r>
        <w:tab/>
        <w:t>Land becoming or ceasing to be rateable land</w:t>
      </w:r>
      <w:r>
        <w:tab/>
      </w:r>
      <w:r>
        <w:fldChar w:fldCharType="begin"/>
      </w:r>
      <w:r>
        <w:instrText xml:space="preserve"> PAGEREF _Toc462409587 \h </w:instrText>
      </w:r>
      <w:r>
        <w:fldChar w:fldCharType="separate"/>
      </w:r>
      <w:r>
        <w:t>253</w:t>
      </w:r>
      <w:r>
        <w:fldChar w:fldCharType="end"/>
      </w:r>
    </w:p>
    <w:p>
      <w:pPr>
        <w:pStyle w:val="TOC6"/>
        <w:tabs>
          <w:tab w:val="right" w:leader="dot" w:pos="7077"/>
        </w:tabs>
        <w:rPr>
          <w:rFonts w:asciiTheme="minorHAnsi" w:eastAsiaTheme="minorEastAsia" w:hAnsiTheme="minorHAnsi" w:cstheme="minorBidi"/>
          <w:b w:val="0"/>
          <w:sz w:val="22"/>
          <w:szCs w:val="22"/>
        </w:rPr>
      </w:pPr>
      <w:r>
        <w:t>Subdivision 5 — Recovery of unpaid rates and service charges</w:t>
      </w:r>
    </w:p>
    <w:p>
      <w:pPr>
        <w:pStyle w:val="TOC8"/>
        <w:rPr>
          <w:rFonts w:asciiTheme="minorHAnsi" w:eastAsiaTheme="minorEastAsia" w:hAnsiTheme="minorHAnsi" w:cstheme="minorBidi"/>
          <w:szCs w:val="22"/>
        </w:rPr>
      </w:pPr>
      <w:r>
        <w:t>6.54.</w:t>
      </w:r>
      <w:r>
        <w:tab/>
        <w:t>Term used: service charge</w:t>
      </w:r>
      <w:r>
        <w:tab/>
      </w:r>
      <w:r>
        <w:fldChar w:fldCharType="begin"/>
      </w:r>
      <w:r>
        <w:instrText xml:space="preserve"> PAGEREF _Toc462409589 \h </w:instrText>
      </w:r>
      <w:r>
        <w:fldChar w:fldCharType="separate"/>
      </w:r>
      <w:r>
        <w:t>253</w:t>
      </w:r>
      <w:r>
        <w:fldChar w:fldCharType="end"/>
      </w:r>
    </w:p>
    <w:p>
      <w:pPr>
        <w:pStyle w:val="TOC8"/>
        <w:rPr>
          <w:rFonts w:asciiTheme="minorHAnsi" w:eastAsiaTheme="minorEastAsia" w:hAnsiTheme="minorHAnsi" w:cstheme="minorBidi"/>
          <w:szCs w:val="22"/>
        </w:rPr>
      </w:pPr>
      <w:r>
        <w:t>6.55.</w:t>
      </w:r>
      <w:r>
        <w:tab/>
        <w:t>Recovery of rates and service charges</w:t>
      </w:r>
      <w:r>
        <w:tab/>
      </w:r>
      <w:r>
        <w:fldChar w:fldCharType="begin"/>
      </w:r>
      <w:r>
        <w:instrText xml:space="preserve"> PAGEREF _Toc462409590 \h </w:instrText>
      </w:r>
      <w:r>
        <w:fldChar w:fldCharType="separate"/>
      </w:r>
      <w:r>
        <w:t>253</w:t>
      </w:r>
      <w:r>
        <w:fldChar w:fldCharType="end"/>
      </w:r>
    </w:p>
    <w:p>
      <w:pPr>
        <w:pStyle w:val="TOC8"/>
        <w:rPr>
          <w:rFonts w:asciiTheme="minorHAnsi" w:eastAsiaTheme="minorEastAsia" w:hAnsiTheme="minorHAnsi" w:cstheme="minorBidi"/>
          <w:szCs w:val="22"/>
        </w:rPr>
      </w:pPr>
      <w:r>
        <w:t>6.56.</w:t>
      </w:r>
      <w:r>
        <w:tab/>
        <w:t>Rates or service charges recoverable in court</w:t>
      </w:r>
      <w:r>
        <w:tab/>
      </w:r>
      <w:r>
        <w:fldChar w:fldCharType="begin"/>
      </w:r>
      <w:r>
        <w:instrText xml:space="preserve"> PAGEREF _Toc462409591 \h </w:instrText>
      </w:r>
      <w:r>
        <w:fldChar w:fldCharType="separate"/>
      </w:r>
      <w:r>
        <w:t>254</w:t>
      </w:r>
      <w:r>
        <w:fldChar w:fldCharType="end"/>
      </w:r>
    </w:p>
    <w:p>
      <w:pPr>
        <w:pStyle w:val="TOC8"/>
        <w:rPr>
          <w:rFonts w:asciiTheme="minorHAnsi" w:eastAsiaTheme="minorEastAsia" w:hAnsiTheme="minorHAnsi" w:cstheme="minorBidi"/>
          <w:szCs w:val="22"/>
        </w:rPr>
      </w:pPr>
      <w:r>
        <w:t>6.57.</w:t>
      </w:r>
      <w:r>
        <w:tab/>
        <w:t>Non</w:t>
      </w:r>
      <w:r>
        <w:noBreakHyphen/>
        <w:t>compliance with procedure in Act not to prevent recovery of rate or service charge</w:t>
      </w:r>
      <w:r>
        <w:tab/>
      </w:r>
      <w:r>
        <w:fldChar w:fldCharType="begin"/>
      </w:r>
      <w:r>
        <w:instrText xml:space="preserve"> PAGEREF _Toc462409592 \h </w:instrText>
      </w:r>
      <w:r>
        <w:fldChar w:fldCharType="separate"/>
      </w:r>
      <w:r>
        <w:t>254</w:t>
      </w:r>
      <w:r>
        <w:fldChar w:fldCharType="end"/>
      </w:r>
    </w:p>
    <w:p>
      <w:pPr>
        <w:pStyle w:val="TOC8"/>
        <w:rPr>
          <w:rFonts w:asciiTheme="minorHAnsi" w:eastAsiaTheme="minorEastAsia" w:hAnsiTheme="minorHAnsi" w:cstheme="minorBidi"/>
          <w:szCs w:val="22"/>
        </w:rPr>
      </w:pPr>
      <w:r>
        <w:t>6.58.</w:t>
      </w:r>
      <w:r>
        <w:tab/>
        <w:t>Defence in special cases</w:t>
      </w:r>
      <w:r>
        <w:tab/>
      </w:r>
      <w:r>
        <w:fldChar w:fldCharType="begin"/>
      </w:r>
      <w:r>
        <w:instrText xml:space="preserve"> PAGEREF _Toc462409593 \h </w:instrText>
      </w:r>
      <w:r>
        <w:fldChar w:fldCharType="separate"/>
      </w:r>
      <w:r>
        <w:t>254</w:t>
      </w:r>
      <w:r>
        <w:fldChar w:fldCharType="end"/>
      </w:r>
    </w:p>
    <w:p>
      <w:pPr>
        <w:pStyle w:val="TOC8"/>
        <w:rPr>
          <w:rFonts w:asciiTheme="minorHAnsi" w:eastAsiaTheme="minorEastAsia" w:hAnsiTheme="minorHAnsi" w:cstheme="minorBidi"/>
          <w:szCs w:val="22"/>
        </w:rPr>
      </w:pPr>
      <w:r>
        <w:t>6.59.</w:t>
      </w:r>
      <w:r>
        <w:tab/>
        <w:t>Question of title to land not to affect jurisdiction</w:t>
      </w:r>
      <w:r>
        <w:tab/>
      </w:r>
      <w:r>
        <w:fldChar w:fldCharType="begin"/>
      </w:r>
      <w:r>
        <w:instrText xml:space="preserve"> PAGEREF _Toc462409594 \h </w:instrText>
      </w:r>
      <w:r>
        <w:fldChar w:fldCharType="separate"/>
      </w:r>
      <w:r>
        <w:t>255</w:t>
      </w:r>
      <w:r>
        <w:fldChar w:fldCharType="end"/>
      </w:r>
    </w:p>
    <w:p>
      <w:pPr>
        <w:pStyle w:val="TOC8"/>
        <w:rPr>
          <w:rFonts w:asciiTheme="minorHAnsi" w:eastAsiaTheme="minorEastAsia" w:hAnsiTheme="minorHAnsi" w:cstheme="minorBidi"/>
          <w:szCs w:val="22"/>
        </w:rPr>
      </w:pPr>
      <w:r>
        <w:t>6.60.</w:t>
      </w:r>
      <w:r>
        <w:tab/>
        <w:t>Local government may require lessee to pay rent</w:t>
      </w:r>
      <w:r>
        <w:tab/>
      </w:r>
      <w:r>
        <w:fldChar w:fldCharType="begin"/>
      </w:r>
      <w:r>
        <w:instrText xml:space="preserve"> PAGEREF _Toc462409595 \h </w:instrText>
      </w:r>
      <w:r>
        <w:fldChar w:fldCharType="separate"/>
      </w:r>
      <w:r>
        <w:t>255</w:t>
      </w:r>
      <w:r>
        <w:fldChar w:fldCharType="end"/>
      </w:r>
    </w:p>
    <w:p>
      <w:pPr>
        <w:pStyle w:val="TOC8"/>
        <w:rPr>
          <w:rFonts w:asciiTheme="minorHAnsi" w:eastAsiaTheme="minorEastAsia" w:hAnsiTheme="minorHAnsi" w:cstheme="minorBidi"/>
          <w:szCs w:val="22"/>
        </w:rPr>
      </w:pPr>
      <w:r>
        <w:t>6.61.</w:t>
      </w:r>
      <w:r>
        <w:tab/>
        <w:t>Requirement to give name of person liable</w:t>
      </w:r>
      <w:r>
        <w:tab/>
      </w:r>
      <w:r>
        <w:fldChar w:fldCharType="begin"/>
      </w:r>
      <w:r>
        <w:instrText xml:space="preserve"> PAGEREF _Toc462409596 \h </w:instrText>
      </w:r>
      <w:r>
        <w:fldChar w:fldCharType="separate"/>
      </w:r>
      <w:r>
        <w:t>256</w:t>
      </w:r>
      <w:r>
        <w:fldChar w:fldCharType="end"/>
      </w:r>
    </w:p>
    <w:p>
      <w:pPr>
        <w:pStyle w:val="TOC8"/>
        <w:rPr>
          <w:rFonts w:asciiTheme="minorHAnsi" w:eastAsiaTheme="minorEastAsia" w:hAnsiTheme="minorHAnsi" w:cstheme="minorBidi"/>
          <w:szCs w:val="22"/>
        </w:rPr>
      </w:pPr>
      <w:r>
        <w:t>6.62.</w:t>
      </w:r>
      <w:r>
        <w:tab/>
        <w:t>Application of money paid for rates and service charges</w:t>
      </w:r>
      <w:r>
        <w:tab/>
      </w:r>
      <w:r>
        <w:fldChar w:fldCharType="begin"/>
      </w:r>
      <w:r>
        <w:instrText xml:space="preserve"> PAGEREF _Toc462409597 \h </w:instrText>
      </w:r>
      <w:r>
        <w:fldChar w:fldCharType="separate"/>
      </w:r>
      <w:r>
        <w:t>257</w:t>
      </w:r>
      <w:r>
        <w:fldChar w:fldCharType="end"/>
      </w:r>
    </w:p>
    <w:p>
      <w:pPr>
        <w:pStyle w:val="TOC6"/>
        <w:tabs>
          <w:tab w:val="right" w:leader="dot" w:pos="7077"/>
        </w:tabs>
        <w:rPr>
          <w:rFonts w:asciiTheme="minorHAnsi" w:eastAsiaTheme="minorEastAsia" w:hAnsiTheme="minorHAnsi" w:cstheme="minorBidi"/>
          <w:b w:val="0"/>
          <w:sz w:val="22"/>
          <w:szCs w:val="22"/>
        </w:rPr>
      </w:pPr>
      <w:r>
        <w:t>Subdivision 6 — Actions against land where rates or service charges unpaid</w:t>
      </w:r>
    </w:p>
    <w:p>
      <w:pPr>
        <w:pStyle w:val="TOC8"/>
        <w:rPr>
          <w:rFonts w:asciiTheme="minorHAnsi" w:eastAsiaTheme="minorEastAsia" w:hAnsiTheme="minorHAnsi" w:cstheme="minorBidi"/>
          <w:szCs w:val="22"/>
        </w:rPr>
      </w:pPr>
      <w:r>
        <w:t>6.63.</w:t>
      </w:r>
      <w:r>
        <w:tab/>
        <w:t>Term used: service charge</w:t>
      </w:r>
      <w:r>
        <w:tab/>
      </w:r>
      <w:r>
        <w:fldChar w:fldCharType="begin"/>
      </w:r>
      <w:r>
        <w:instrText xml:space="preserve"> PAGEREF _Toc462409599 \h </w:instrText>
      </w:r>
      <w:r>
        <w:fldChar w:fldCharType="separate"/>
      </w:r>
      <w:r>
        <w:t>257</w:t>
      </w:r>
      <w:r>
        <w:fldChar w:fldCharType="end"/>
      </w:r>
    </w:p>
    <w:p>
      <w:pPr>
        <w:pStyle w:val="TOC8"/>
        <w:rPr>
          <w:rFonts w:asciiTheme="minorHAnsi" w:eastAsiaTheme="minorEastAsia" w:hAnsiTheme="minorHAnsi" w:cstheme="minorBidi"/>
          <w:szCs w:val="22"/>
        </w:rPr>
      </w:pPr>
      <w:r>
        <w:t>6.64.</w:t>
      </w:r>
      <w:r>
        <w:tab/>
        <w:t>Actions to be taken</w:t>
      </w:r>
      <w:r>
        <w:tab/>
      </w:r>
      <w:r>
        <w:fldChar w:fldCharType="begin"/>
      </w:r>
      <w:r>
        <w:instrText xml:space="preserve"> PAGEREF _Toc462409600 \h </w:instrText>
      </w:r>
      <w:r>
        <w:fldChar w:fldCharType="separate"/>
      </w:r>
      <w:r>
        <w:t>257</w:t>
      </w:r>
      <w:r>
        <w:fldChar w:fldCharType="end"/>
      </w:r>
    </w:p>
    <w:p>
      <w:pPr>
        <w:pStyle w:val="TOC8"/>
        <w:rPr>
          <w:rFonts w:asciiTheme="minorHAnsi" w:eastAsiaTheme="minorEastAsia" w:hAnsiTheme="minorHAnsi" w:cstheme="minorBidi"/>
          <w:szCs w:val="22"/>
        </w:rPr>
      </w:pPr>
      <w:r>
        <w:t>6.65.</w:t>
      </w:r>
      <w:r>
        <w:tab/>
        <w:t>Power to lease: procedure</w:t>
      </w:r>
      <w:r>
        <w:tab/>
      </w:r>
      <w:r>
        <w:fldChar w:fldCharType="begin"/>
      </w:r>
      <w:r>
        <w:instrText xml:space="preserve"> PAGEREF _Toc462409601 \h </w:instrText>
      </w:r>
      <w:r>
        <w:fldChar w:fldCharType="separate"/>
      </w:r>
      <w:r>
        <w:t>258</w:t>
      </w:r>
      <w:r>
        <w:fldChar w:fldCharType="end"/>
      </w:r>
    </w:p>
    <w:p>
      <w:pPr>
        <w:pStyle w:val="TOC8"/>
        <w:rPr>
          <w:rFonts w:asciiTheme="minorHAnsi" w:eastAsiaTheme="minorEastAsia" w:hAnsiTheme="minorHAnsi" w:cstheme="minorBidi"/>
          <w:szCs w:val="22"/>
        </w:rPr>
      </w:pPr>
      <w:r>
        <w:t>6.66.</w:t>
      </w:r>
      <w:r>
        <w:tab/>
        <w:t>Effect of lease</w:t>
      </w:r>
      <w:r>
        <w:tab/>
      </w:r>
      <w:r>
        <w:fldChar w:fldCharType="begin"/>
      </w:r>
      <w:r>
        <w:instrText xml:space="preserve"> PAGEREF _Toc462409602 \h </w:instrText>
      </w:r>
      <w:r>
        <w:fldChar w:fldCharType="separate"/>
      </w:r>
      <w:r>
        <w:t>258</w:t>
      </w:r>
      <w:r>
        <w:fldChar w:fldCharType="end"/>
      </w:r>
    </w:p>
    <w:p>
      <w:pPr>
        <w:pStyle w:val="TOC8"/>
        <w:rPr>
          <w:rFonts w:asciiTheme="minorHAnsi" w:eastAsiaTheme="minorEastAsia" w:hAnsiTheme="minorHAnsi" w:cstheme="minorBidi"/>
          <w:szCs w:val="22"/>
        </w:rPr>
      </w:pPr>
      <w:r>
        <w:t>6.67.</w:t>
      </w:r>
      <w:r>
        <w:tab/>
        <w:t>Release of property after payment of arrears</w:t>
      </w:r>
      <w:r>
        <w:tab/>
      </w:r>
      <w:r>
        <w:fldChar w:fldCharType="begin"/>
      </w:r>
      <w:r>
        <w:instrText xml:space="preserve"> PAGEREF _Toc462409603 \h </w:instrText>
      </w:r>
      <w:r>
        <w:fldChar w:fldCharType="separate"/>
      </w:r>
      <w:r>
        <w:t>259</w:t>
      </w:r>
      <w:r>
        <w:fldChar w:fldCharType="end"/>
      </w:r>
    </w:p>
    <w:p>
      <w:pPr>
        <w:pStyle w:val="TOC8"/>
        <w:rPr>
          <w:rFonts w:asciiTheme="minorHAnsi" w:eastAsiaTheme="minorEastAsia" w:hAnsiTheme="minorHAnsi" w:cstheme="minorBidi"/>
          <w:szCs w:val="22"/>
        </w:rPr>
      </w:pPr>
      <w:r>
        <w:t>6.68.</w:t>
      </w:r>
      <w:r>
        <w:tab/>
        <w:t>Exercise of power to sell land</w:t>
      </w:r>
      <w:r>
        <w:tab/>
      </w:r>
      <w:r>
        <w:fldChar w:fldCharType="begin"/>
      </w:r>
      <w:r>
        <w:instrText xml:space="preserve"> PAGEREF _Toc462409604 \h </w:instrText>
      </w:r>
      <w:r>
        <w:fldChar w:fldCharType="separate"/>
      </w:r>
      <w:r>
        <w:t>259</w:t>
      </w:r>
      <w:r>
        <w:fldChar w:fldCharType="end"/>
      </w:r>
    </w:p>
    <w:p>
      <w:pPr>
        <w:pStyle w:val="TOC8"/>
        <w:rPr>
          <w:rFonts w:asciiTheme="minorHAnsi" w:eastAsiaTheme="minorEastAsia" w:hAnsiTheme="minorHAnsi" w:cstheme="minorBidi"/>
          <w:szCs w:val="22"/>
        </w:rPr>
      </w:pPr>
      <w:r>
        <w:t>6.69.</w:t>
      </w:r>
      <w:r>
        <w:tab/>
        <w:t>Right to pay rates, service charges and costs, and stay proceedings</w:t>
      </w:r>
      <w:r>
        <w:tab/>
      </w:r>
      <w:r>
        <w:fldChar w:fldCharType="begin"/>
      </w:r>
      <w:r>
        <w:instrText xml:space="preserve"> PAGEREF _Toc462409605 \h </w:instrText>
      </w:r>
      <w:r>
        <w:fldChar w:fldCharType="separate"/>
      </w:r>
      <w:r>
        <w:t>260</w:t>
      </w:r>
      <w:r>
        <w:fldChar w:fldCharType="end"/>
      </w:r>
    </w:p>
    <w:p>
      <w:pPr>
        <w:pStyle w:val="TOC8"/>
        <w:rPr>
          <w:rFonts w:asciiTheme="minorHAnsi" w:eastAsiaTheme="minorEastAsia" w:hAnsiTheme="minorHAnsi" w:cstheme="minorBidi"/>
          <w:szCs w:val="22"/>
        </w:rPr>
      </w:pPr>
      <w:r>
        <w:t>6.70.</w:t>
      </w:r>
      <w:r>
        <w:tab/>
        <w:t>Effect of changes in boundaries of local government area</w:t>
      </w:r>
      <w:r>
        <w:tab/>
      </w:r>
      <w:r>
        <w:fldChar w:fldCharType="begin"/>
      </w:r>
      <w:r>
        <w:instrText xml:space="preserve"> PAGEREF _Toc462409606 \h </w:instrText>
      </w:r>
      <w:r>
        <w:fldChar w:fldCharType="separate"/>
      </w:r>
      <w:r>
        <w:t>260</w:t>
      </w:r>
      <w:r>
        <w:fldChar w:fldCharType="end"/>
      </w:r>
    </w:p>
    <w:p>
      <w:pPr>
        <w:pStyle w:val="TOC8"/>
        <w:rPr>
          <w:rFonts w:asciiTheme="minorHAnsi" w:eastAsiaTheme="minorEastAsia" w:hAnsiTheme="minorHAnsi" w:cstheme="minorBidi"/>
          <w:szCs w:val="22"/>
        </w:rPr>
      </w:pPr>
      <w:r>
        <w:t>6.71.</w:t>
      </w:r>
      <w:r>
        <w:tab/>
        <w:t>Power to transfer land to Crown or to local government</w:t>
      </w:r>
      <w:r>
        <w:tab/>
      </w:r>
      <w:r>
        <w:fldChar w:fldCharType="begin"/>
      </w:r>
      <w:r>
        <w:instrText xml:space="preserve"> PAGEREF _Toc462409607 \h </w:instrText>
      </w:r>
      <w:r>
        <w:fldChar w:fldCharType="separate"/>
      </w:r>
      <w:r>
        <w:t>261</w:t>
      </w:r>
      <w:r>
        <w:fldChar w:fldCharType="end"/>
      </w:r>
    </w:p>
    <w:p>
      <w:pPr>
        <w:pStyle w:val="TOC8"/>
        <w:rPr>
          <w:rFonts w:asciiTheme="minorHAnsi" w:eastAsiaTheme="minorEastAsia" w:hAnsiTheme="minorHAnsi" w:cstheme="minorBidi"/>
          <w:szCs w:val="22"/>
        </w:rPr>
      </w:pPr>
      <w:r>
        <w:t>6.72.</w:t>
      </w:r>
      <w:r>
        <w:tab/>
        <w:t>Title to land sold or transferred</w:t>
      </w:r>
      <w:r>
        <w:tab/>
      </w:r>
      <w:r>
        <w:fldChar w:fldCharType="begin"/>
      </w:r>
      <w:r>
        <w:instrText xml:space="preserve"> PAGEREF _Toc462409608 \h </w:instrText>
      </w:r>
      <w:r>
        <w:fldChar w:fldCharType="separate"/>
      </w:r>
      <w:r>
        <w:t>262</w:t>
      </w:r>
      <w:r>
        <w:fldChar w:fldCharType="end"/>
      </w:r>
    </w:p>
    <w:p>
      <w:pPr>
        <w:pStyle w:val="TOC8"/>
        <w:rPr>
          <w:rFonts w:asciiTheme="minorHAnsi" w:eastAsiaTheme="minorEastAsia" w:hAnsiTheme="minorHAnsi" w:cstheme="minorBidi"/>
          <w:szCs w:val="22"/>
        </w:rPr>
      </w:pPr>
      <w:r>
        <w:t>6.73.</w:t>
      </w:r>
      <w:r>
        <w:tab/>
        <w:t>Discharge of liability on sale of land</w:t>
      </w:r>
      <w:r>
        <w:tab/>
      </w:r>
      <w:r>
        <w:fldChar w:fldCharType="begin"/>
      </w:r>
      <w:r>
        <w:instrText xml:space="preserve"> PAGEREF _Toc462409609 \h </w:instrText>
      </w:r>
      <w:r>
        <w:fldChar w:fldCharType="separate"/>
      </w:r>
      <w:r>
        <w:t>262</w:t>
      </w:r>
      <w:r>
        <w:fldChar w:fldCharType="end"/>
      </w:r>
    </w:p>
    <w:p>
      <w:pPr>
        <w:pStyle w:val="TOC8"/>
        <w:rPr>
          <w:rFonts w:asciiTheme="minorHAnsi" w:eastAsiaTheme="minorEastAsia" w:hAnsiTheme="minorHAnsi" w:cstheme="minorBidi"/>
          <w:szCs w:val="22"/>
        </w:rPr>
      </w:pPr>
      <w:r>
        <w:t>6.74.</w:t>
      </w:r>
      <w:r>
        <w:tab/>
        <w:t>Power to have land revested in Crown if rates in arrears 3 years</w:t>
      </w:r>
      <w:r>
        <w:tab/>
      </w:r>
      <w:r>
        <w:fldChar w:fldCharType="begin"/>
      </w:r>
      <w:r>
        <w:instrText xml:space="preserve"> PAGEREF _Toc462409610 \h </w:instrText>
      </w:r>
      <w:r>
        <w:fldChar w:fldCharType="separate"/>
      </w:r>
      <w:r>
        <w:t>263</w:t>
      </w:r>
      <w:r>
        <w:fldChar w:fldCharType="end"/>
      </w:r>
    </w:p>
    <w:p>
      <w:pPr>
        <w:pStyle w:val="TOC8"/>
        <w:rPr>
          <w:rFonts w:asciiTheme="minorHAnsi" w:eastAsiaTheme="minorEastAsia" w:hAnsiTheme="minorHAnsi" w:cstheme="minorBidi"/>
          <w:szCs w:val="22"/>
        </w:rPr>
      </w:pPr>
      <w:r>
        <w:t>6.75.</w:t>
      </w:r>
      <w:r>
        <w:tab/>
        <w:t>Land to be vested in local government</w:t>
      </w:r>
      <w:r>
        <w:tab/>
      </w:r>
      <w:r>
        <w:fldChar w:fldCharType="begin"/>
      </w:r>
      <w:r>
        <w:instrText xml:space="preserve"> PAGEREF _Toc462409611 \h </w:instrText>
      </w:r>
      <w:r>
        <w:fldChar w:fldCharType="separate"/>
      </w:r>
      <w:r>
        <w:t>263</w:t>
      </w:r>
      <w:r>
        <w:fldChar w:fldCharType="end"/>
      </w:r>
    </w:p>
    <w:p>
      <w:pPr>
        <w:pStyle w:val="TOC6"/>
        <w:tabs>
          <w:tab w:val="right" w:leader="dot" w:pos="7077"/>
        </w:tabs>
        <w:rPr>
          <w:rFonts w:asciiTheme="minorHAnsi" w:eastAsiaTheme="minorEastAsia" w:hAnsiTheme="minorHAnsi" w:cstheme="minorBidi"/>
          <w:b w:val="0"/>
          <w:sz w:val="22"/>
          <w:szCs w:val="22"/>
        </w:rPr>
      </w:pPr>
      <w:r>
        <w:t>Subdivision 7 — Objections and review</w:t>
      </w:r>
    </w:p>
    <w:p>
      <w:pPr>
        <w:pStyle w:val="TOC8"/>
        <w:rPr>
          <w:rFonts w:asciiTheme="minorHAnsi" w:eastAsiaTheme="minorEastAsia" w:hAnsiTheme="minorHAnsi" w:cstheme="minorBidi"/>
          <w:szCs w:val="22"/>
        </w:rPr>
      </w:pPr>
      <w:r>
        <w:t>6.76.</w:t>
      </w:r>
      <w:r>
        <w:tab/>
        <w:t>Grounds of objection</w:t>
      </w:r>
      <w:r>
        <w:tab/>
      </w:r>
      <w:r>
        <w:fldChar w:fldCharType="begin"/>
      </w:r>
      <w:r>
        <w:instrText xml:space="preserve"> PAGEREF _Toc462409613 \h </w:instrText>
      </w:r>
      <w:r>
        <w:fldChar w:fldCharType="separate"/>
      </w:r>
      <w:r>
        <w:t>264</w:t>
      </w:r>
      <w:r>
        <w:fldChar w:fldCharType="end"/>
      </w:r>
    </w:p>
    <w:p>
      <w:pPr>
        <w:pStyle w:val="TOC8"/>
        <w:rPr>
          <w:rFonts w:asciiTheme="minorHAnsi" w:eastAsiaTheme="minorEastAsia" w:hAnsiTheme="minorHAnsi" w:cstheme="minorBidi"/>
          <w:szCs w:val="22"/>
        </w:rPr>
      </w:pPr>
      <w:r>
        <w:t>6.77.</w:t>
      </w:r>
      <w:r>
        <w:tab/>
        <w:t>Review of decision of local government on objection</w:t>
      </w:r>
      <w:r>
        <w:tab/>
      </w:r>
      <w:r>
        <w:fldChar w:fldCharType="begin"/>
      </w:r>
      <w:r>
        <w:instrText xml:space="preserve"> PAGEREF _Toc462409614 \h </w:instrText>
      </w:r>
      <w:r>
        <w:fldChar w:fldCharType="separate"/>
      </w:r>
      <w:r>
        <w:t>265</w:t>
      </w:r>
      <w:r>
        <w:fldChar w:fldCharType="end"/>
      </w:r>
    </w:p>
    <w:p>
      <w:pPr>
        <w:pStyle w:val="TOC8"/>
        <w:rPr>
          <w:rFonts w:asciiTheme="minorHAnsi" w:eastAsiaTheme="minorEastAsia" w:hAnsiTheme="minorHAnsi" w:cstheme="minorBidi"/>
          <w:szCs w:val="22"/>
        </w:rPr>
      </w:pPr>
      <w:r>
        <w:t>6.78.</w:t>
      </w:r>
      <w:r>
        <w:tab/>
        <w:t>Review of decision to refuse to extend time for objection</w:t>
      </w:r>
      <w:r>
        <w:tab/>
      </w:r>
      <w:r>
        <w:fldChar w:fldCharType="begin"/>
      </w:r>
      <w:r>
        <w:instrText xml:space="preserve"> PAGEREF _Toc462409615 \h </w:instrText>
      </w:r>
      <w:r>
        <w:fldChar w:fldCharType="separate"/>
      </w:r>
      <w:r>
        <w:t>265</w:t>
      </w:r>
      <w:r>
        <w:fldChar w:fldCharType="end"/>
      </w:r>
    </w:p>
    <w:p>
      <w:pPr>
        <w:pStyle w:val="TOC8"/>
        <w:rPr>
          <w:rFonts w:asciiTheme="minorHAnsi" w:eastAsiaTheme="minorEastAsia" w:hAnsiTheme="minorHAnsi" w:cstheme="minorBidi"/>
          <w:szCs w:val="22"/>
        </w:rPr>
      </w:pPr>
      <w:r>
        <w:t>6.79.</w:t>
      </w:r>
      <w:r>
        <w:tab/>
        <w:t>New matters raised on review</w:t>
      </w:r>
      <w:r>
        <w:tab/>
      </w:r>
      <w:r>
        <w:fldChar w:fldCharType="begin"/>
      </w:r>
      <w:r>
        <w:instrText xml:space="preserve"> PAGEREF _Toc462409616 \h </w:instrText>
      </w:r>
      <w:r>
        <w:fldChar w:fldCharType="separate"/>
      </w:r>
      <w:r>
        <w:t>266</w:t>
      </w:r>
      <w:r>
        <w:fldChar w:fldCharType="end"/>
      </w:r>
    </w:p>
    <w:p>
      <w:pPr>
        <w:pStyle w:val="TOC8"/>
        <w:rPr>
          <w:rFonts w:asciiTheme="minorHAnsi" w:eastAsiaTheme="minorEastAsia" w:hAnsiTheme="minorHAnsi" w:cstheme="minorBidi"/>
          <w:szCs w:val="22"/>
        </w:rPr>
      </w:pPr>
      <w:r>
        <w:t>6.79B.</w:t>
      </w:r>
      <w:r>
        <w:tab/>
      </w:r>
      <w:r>
        <w:rPr>
          <w:snapToGrid w:val="0"/>
        </w:rPr>
        <w:t>Written reasons for certain determinations to be given and published</w:t>
      </w:r>
      <w:r>
        <w:tab/>
      </w:r>
      <w:r>
        <w:fldChar w:fldCharType="begin"/>
      </w:r>
      <w:r>
        <w:instrText xml:space="preserve"> PAGEREF _Toc462409617 \h </w:instrText>
      </w:r>
      <w:r>
        <w:fldChar w:fldCharType="separate"/>
      </w:r>
      <w:r>
        <w:t>266</w:t>
      </w:r>
      <w:r>
        <w:fldChar w:fldCharType="end"/>
      </w:r>
    </w:p>
    <w:p>
      <w:pPr>
        <w:pStyle w:val="TOC8"/>
        <w:rPr>
          <w:rFonts w:asciiTheme="minorHAnsi" w:eastAsiaTheme="minorEastAsia" w:hAnsiTheme="minorHAnsi" w:cstheme="minorBidi"/>
          <w:szCs w:val="22"/>
        </w:rPr>
      </w:pPr>
      <w:r>
        <w:t>6.80.</w:t>
      </w:r>
      <w:r>
        <w:tab/>
        <w:t>Objections and reviews against valuations</w:t>
      </w:r>
      <w:r>
        <w:tab/>
      </w:r>
      <w:r>
        <w:fldChar w:fldCharType="begin"/>
      </w:r>
      <w:r>
        <w:instrText xml:space="preserve"> PAGEREF _Toc462409618 \h </w:instrText>
      </w:r>
      <w:r>
        <w:fldChar w:fldCharType="separate"/>
      </w:r>
      <w:r>
        <w:t>266</w:t>
      </w:r>
      <w:r>
        <w:fldChar w:fldCharType="end"/>
      </w:r>
    </w:p>
    <w:p>
      <w:pPr>
        <w:pStyle w:val="TOC8"/>
        <w:rPr>
          <w:rFonts w:asciiTheme="minorHAnsi" w:eastAsiaTheme="minorEastAsia" w:hAnsiTheme="minorHAnsi" w:cstheme="minorBidi"/>
          <w:szCs w:val="22"/>
        </w:rPr>
      </w:pPr>
      <w:r>
        <w:t>6.81.</w:t>
      </w:r>
      <w:r>
        <w:tab/>
        <w:t>Objection not to affect liability to pay rates or service charges</w:t>
      </w:r>
      <w:r>
        <w:tab/>
      </w:r>
      <w:r>
        <w:fldChar w:fldCharType="begin"/>
      </w:r>
      <w:r>
        <w:instrText xml:space="preserve"> PAGEREF _Toc462409619 \h </w:instrText>
      </w:r>
      <w:r>
        <w:fldChar w:fldCharType="separate"/>
      </w:r>
      <w:r>
        <w:t>267</w:t>
      </w:r>
      <w:r>
        <w:fldChar w:fldCharType="end"/>
      </w:r>
    </w:p>
    <w:p>
      <w:pPr>
        <w:pStyle w:val="TOC8"/>
        <w:rPr>
          <w:rFonts w:asciiTheme="minorHAnsi" w:eastAsiaTheme="minorEastAsia" w:hAnsiTheme="minorHAnsi" w:cstheme="minorBidi"/>
          <w:szCs w:val="22"/>
        </w:rPr>
      </w:pPr>
      <w:r>
        <w:t>6.82.</w:t>
      </w:r>
      <w:r>
        <w:tab/>
        <w:t>General review of imposition of rate or service charge</w:t>
      </w:r>
      <w:r>
        <w:tab/>
      </w:r>
      <w:r>
        <w:fldChar w:fldCharType="begin"/>
      </w:r>
      <w:r>
        <w:instrText xml:space="preserve"> PAGEREF _Toc462409620 \h </w:instrText>
      </w:r>
      <w:r>
        <w:fldChar w:fldCharType="separate"/>
      </w:r>
      <w:r>
        <w:t>267</w:t>
      </w:r>
      <w:r>
        <w:fldChar w:fldCharType="end"/>
      </w:r>
    </w:p>
    <w:p>
      <w:pPr>
        <w:pStyle w:val="TOC2"/>
        <w:tabs>
          <w:tab w:val="right" w:leader="dot" w:pos="7077"/>
        </w:tabs>
        <w:rPr>
          <w:rFonts w:asciiTheme="minorHAnsi" w:eastAsiaTheme="minorEastAsia" w:hAnsiTheme="minorHAnsi" w:cstheme="minorBidi"/>
          <w:b w:val="0"/>
          <w:sz w:val="22"/>
          <w:szCs w:val="22"/>
        </w:rPr>
      </w:pPr>
      <w:r>
        <w:t>Part 7 — Audit</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7.1.</w:t>
      </w:r>
      <w:r>
        <w:tab/>
        <w:t>Terms used</w:t>
      </w:r>
      <w:r>
        <w:tab/>
      </w:r>
      <w:r>
        <w:fldChar w:fldCharType="begin"/>
      </w:r>
      <w:r>
        <w:instrText xml:space="preserve"> PAGEREF _Toc462409623 \h </w:instrText>
      </w:r>
      <w:r>
        <w:fldChar w:fldCharType="separate"/>
      </w:r>
      <w:r>
        <w:t>268</w:t>
      </w:r>
      <w:r>
        <w:fldChar w:fldCharType="end"/>
      </w:r>
    </w:p>
    <w:p>
      <w:pPr>
        <w:pStyle w:val="TOC4"/>
        <w:tabs>
          <w:tab w:val="right" w:leader="dot" w:pos="7077"/>
        </w:tabs>
        <w:rPr>
          <w:rFonts w:asciiTheme="minorHAnsi" w:eastAsiaTheme="minorEastAsia" w:hAnsiTheme="minorHAnsi" w:cstheme="minorBidi"/>
          <w:b w:val="0"/>
          <w:szCs w:val="22"/>
        </w:rPr>
      </w:pPr>
      <w:r>
        <w:t>Division 1A — Audit committee</w:t>
      </w:r>
    </w:p>
    <w:p>
      <w:pPr>
        <w:pStyle w:val="TOC8"/>
        <w:rPr>
          <w:rFonts w:asciiTheme="minorHAnsi" w:eastAsiaTheme="minorEastAsia" w:hAnsiTheme="minorHAnsi" w:cstheme="minorBidi"/>
          <w:szCs w:val="22"/>
        </w:rPr>
      </w:pPr>
      <w:r>
        <w:t>7.1A.</w:t>
      </w:r>
      <w:r>
        <w:tab/>
        <w:t>Audit committee</w:t>
      </w:r>
      <w:r>
        <w:tab/>
      </w:r>
      <w:r>
        <w:fldChar w:fldCharType="begin"/>
      </w:r>
      <w:r>
        <w:instrText xml:space="preserve"> PAGEREF _Toc462409625 \h </w:instrText>
      </w:r>
      <w:r>
        <w:fldChar w:fldCharType="separate"/>
      </w:r>
      <w:r>
        <w:t>269</w:t>
      </w:r>
      <w:r>
        <w:fldChar w:fldCharType="end"/>
      </w:r>
    </w:p>
    <w:p>
      <w:pPr>
        <w:pStyle w:val="TOC8"/>
        <w:rPr>
          <w:rFonts w:asciiTheme="minorHAnsi" w:eastAsiaTheme="minorEastAsia" w:hAnsiTheme="minorHAnsi" w:cstheme="minorBidi"/>
          <w:szCs w:val="22"/>
        </w:rPr>
      </w:pPr>
      <w:r>
        <w:t>7.1B.</w:t>
      </w:r>
      <w:r>
        <w:tab/>
        <w:t>Delegation of some powers and duties to audit committees</w:t>
      </w:r>
      <w:r>
        <w:tab/>
      </w:r>
      <w:r>
        <w:fldChar w:fldCharType="begin"/>
      </w:r>
      <w:r>
        <w:instrText xml:space="preserve"> PAGEREF _Toc462409626 \h </w:instrText>
      </w:r>
      <w:r>
        <w:fldChar w:fldCharType="separate"/>
      </w:r>
      <w:r>
        <w:t>269</w:t>
      </w:r>
      <w:r>
        <w:fldChar w:fldCharType="end"/>
      </w:r>
    </w:p>
    <w:p>
      <w:pPr>
        <w:pStyle w:val="TOC8"/>
        <w:rPr>
          <w:rFonts w:asciiTheme="minorHAnsi" w:eastAsiaTheme="minorEastAsia" w:hAnsiTheme="minorHAnsi" w:cstheme="minorBidi"/>
          <w:szCs w:val="22"/>
        </w:rPr>
      </w:pPr>
      <w:r>
        <w:t>7.1C.</w:t>
      </w:r>
      <w:r>
        <w:tab/>
        <w:t>Decisions of audit committees</w:t>
      </w:r>
      <w:r>
        <w:tab/>
      </w:r>
      <w:r>
        <w:fldChar w:fldCharType="begin"/>
      </w:r>
      <w:r>
        <w:instrText xml:space="preserve"> PAGEREF _Toc462409627 \h </w:instrText>
      </w:r>
      <w:r>
        <w:fldChar w:fldCharType="separate"/>
      </w:r>
      <w:r>
        <w:t>270</w:t>
      </w:r>
      <w:r>
        <w:fldChar w:fldCharType="end"/>
      </w:r>
    </w:p>
    <w:p>
      <w:pPr>
        <w:pStyle w:val="TOC4"/>
        <w:tabs>
          <w:tab w:val="right" w:leader="dot" w:pos="7077"/>
        </w:tabs>
        <w:rPr>
          <w:rFonts w:asciiTheme="minorHAnsi" w:eastAsiaTheme="minorEastAsia" w:hAnsiTheme="minorHAnsi" w:cstheme="minorBidi"/>
          <w:b w:val="0"/>
          <w:szCs w:val="22"/>
        </w:rPr>
      </w:pPr>
      <w:r>
        <w:t>Division 2 — Appointment of auditors</w:t>
      </w:r>
    </w:p>
    <w:p>
      <w:pPr>
        <w:pStyle w:val="TOC8"/>
        <w:rPr>
          <w:rFonts w:asciiTheme="minorHAnsi" w:eastAsiaTheme="minorEastAsia" w:hAnsiTheme="minorHAnsi" w:cstheme="minorBidi"/>
          <w:szCs w:val="22"/>
        </w:rPr>
      </w:pPr>
      <w:r>
        <w:t>7.2.</w:t>
      </w:r>
      <w:r>
        <w:tab/>
        <w:t>Audit</w:t>
      </w:r>
      <w:r>
        <w:tab/>
      </w:r>
      <w:r>
        <w:fldChar w:fldCharType="begin"/>
      </w:r>
      <w:r>
        <w:instrText xml:space="preserve"> PAGEREF _Toc462409629 \h </w:instrText>
      </w:r>
      <w:r>
        <w:fldChar w:fldCharType="separate"/>
      </w:r>
      <w:r>
        <w:t>270</w:t>
      </w:r>
      <w:r>
        <w:fldChar w:fldCharType="end"/>
      </w:r>
    </w:p>
    <w:p>
      <w:pPr>
        <w:pStyle w:val="TOC8"/>
        <w:rPr>
          <w:rFonts w:asciiTheme="minorHAnsi" w:eastAsiaTheme="minorEastAsia" w:hAnsiTheme="minorHAnsi" w:cstheme="minorBidi"/>
          <w:szCs w:val="22"/>
        </w:rPr>
      </w:pPr>
      <w:r>
        <w:t>7.3.</w:t>
      </w:r>
      <w:r>
        <w:tab/>
        <w:t>Appointment of auditors</w:t>
      </w:r>
      <w:r>
        <w:tab/>
      </w:r>
      <w:r>
        <w:fldChar w:fldCharType="begin"/>
      </w:r>
      <w:r>
        <w:instrText xml:space="preserve"> PAGEREF _Toc462409630 \h </w:instrText>
      </w:r>
      <w:r>
        <w:fldChar w:fldCharType="separate"/>
      </w:r>
      <w:r>
        <w:t>270</w:t>
      </w:r>
      <w:r>
        <w:fldChar w:fldCharType="end"/>
      </w:r>
    </w:p>
    <w:p>
      <w:pPr>
        <w:pStyle w:val="TOC8"/>
        <w:rPr>
          <w:rFonts w:asciiTheme="minorHAnsi" w:eastAsiaTheme="minorEastAsia" w:hAnsiTheme="minorHAnsi" w:cstheme="minorBidi"/>
          <w:szCs w:val="22"/>
        </w:rPr>
      </w:pPr>
      <w:r>
        <w:t>7.4.</w:t>
      </w:r>
      <w:r>
        <w:tab/>
        <w:t>Disqualified person not to be auditor</w:t>
      </w:r>
      <w:r>
        <w:tab/>
      </w:r>
      <w:r>
        <w:fldChar w:fldCharType="begin"/>
      </w:r>
      <w:r>
        <w:instrText xml:space="preserve"> PAGEREF _Toc462409631 \h </w:instrText>
      </w:r>
      <w:r>
        <w:fldChar w:fldCharType="separate"/>
      </w:r>
      <w:r>
        <w:t>270</w:t>
      </w:r>
      <w:r>
        <w:fldChar w:fldCharType="end"/>
      </w:r>
    </w:p>
    <w:p>
      <w:pPr>
        <w:pStyle w:val="TOC8"/>
        <w:rPr>
          <w:rFonts w:asciiTheme="minorHAnsi" w:eastAsiaTheme="minorEastAsia" w:hAnsiTheme="minorHAnsi" w:cstheme="minorBidi"/>
          <w:szCs w:val="22"/>
        </w:rPr>
      </w:pPr>
      <w:r>
        <w:t>7.5.</w:t>
      </w:r>
      <w:r>
        <w:tab/>
        <w:t>Approval of auditors</w:t>
      </w:r>
      <w:r>
        <w:tab/>
      </w:r>
      <w:r>
        <w:fldChar w:fldCharType="begin"/>
      </w:r>
      <w:r>
        <w:instrText xml:space="preserve"> PAGEREF _Toc462409632 \h </w:instrText>
      </w:r>
      <w:r>
        <w:fldChar w:fldCharType="separate"/>
      </w:r>
      <w:r>
        <w:t>271</w:t>
      </w:r>
      <w:r>
        <w:fldChar w:fldCharType="end"/>
      </w:r>
    </w:p>
    <w:p>
      <w:pPr>
        <w:pStyle w:val="TOC8"/>
        <w:rPr>
          <w:rFonts w:asciiTheme="minorHAnsi" w:eastAsiaTheme="minorEastAsia" w:hAnsiTheme="minorHAnsi" w:cstheme="minorBidi"/>
          <w:szCs w:val="22"/>
        </w:rPr>
      </w:pPr>
      <w:r>
        <w:t>7.6.</w:t>
      </w:r>
      <w:r>
        <w:tab/>
        <w:t>Term of office of auditor</w:t>
      </w:r>
      <w:r>
        <w:tab/>
      </w:r>
      <w:r>
        <w:fldChar w:fldCharType="begin"/>
      </w:r>
      <w:r>
        <w:instrText xml:space="preserve"> PAGEREF _Toc462409633 \h </w:instrText>
      </w:r>
      <w:r>
        <w:fldChar w:fldCharType="separate"/>
      </w:r>
      <w:r>
        <w:t>271</w:t>
      </w:r>
      <w:r>
        <w:fldChar w:fldCharType="end"/>
      </w:r>
    </w:p>
    <w:p>
      <w:pPr>
        <w:pStyle w:val="TOC8"/>
        <w:rPr>
          <w:rFonts w:asciiTheme="minorHAnsi" w:eastAsiaTheme="minorEastAsia" w:hAnsiTheme="minorHAnsi" w:cstheme="minorBidi"/>
          <w:szCs w:val="22"/>
        </w:rPr>
      </w:pPr>
      <w:r>
        <w:t>7.7.</w:t>
      </w:r>
      <w:r>
        <w:tab/>
        <w:t>Departmental CEO may appoint auditor</w:t>
      </w:r>
      <w:r>
        <w:tab/>
      </w:r>
      <w:r>
        <w:fldChar w:fldCharType="begin"/>
      </w:r>
      <w:r>
        <w:instrText xml:space="preserve"> PAGEREF _Toc462409634 \h </w:instrText>
      </w:r>
      <w:r>
        <w:fldChar w:fldCharType="separate"/>
      </w:r>
      <w:r>
        <w:t>272</w:t>
      </w:r>
      <w:r>
        <w:fldChar w:fldCharType="end"/>
      </w:r>
    </w:p>
    <w:p>
      <w:pPr>
        <w:pStyle w:val="TOC8"/>
        <w:rPr>
          <w:rFonts w:asciiTheme="minorHAnsi" w:eastAsiaTheme="minorEastAsia" w:hAnsiTheme="minorHAnsi" w:cstheme="minorBidi"/>
          <w:szCs w:val="22"/>
        </w:rPr>
      </w:pPr>
      <w:r>
        <w:t>7.8.</w:t>
      </w:r>
      <w:r>
        <w:tab/>
        <w:t>Terms of appointment of auditors</w:t>
      </w:r>
      <w:r>
        <w:tab/>
      </w:r>
      <w:r>
        <w:fldChar w:fldCharType="begin"/>
      </w:r>
      <w:r>
        <w:instrText xml:space="preserve"> PAGEREF _Toc462409635 \h </w:instrText>
      </w:r>
      <w:r>
        <w:fldChar w:fldCharType="separate"/>
      </w:r>
      <w:r>
        <w:t>273</w:t>
      </w:r>
      <w:r>
        <w:fldChar w:fldCharType="end"/>
      </w:r>
    </w:p>
    <w:p>
      <w:pPr>
        <w:pStyle w:val="TOC4"/>
        <w:tabs>
          <w:tab w:val="right" w:leader="dot" w:pos="7077"/>
        </w:tabs>
        <w:rPr>
          <w:rFonts w:asciiTheme="minorHAnsi" w:eastAsiaTheme="minorEastAsia" w:hAnsiTheme="minorHAnsi" w:cstheme="minorBidi"/>
          <w:b w:val="0"/>
          <w:szCs w:val="22"/>
        </w:rPr>
      </w:pPr>
      <w:r>
        <w:t>Division 3 — Conduct of audit</w:t>
      </w:r>
    </w:p>
    <w:p>
      <w:pPr>
        <w:pStyle w:val="TOC8"/>
        <w:rPr>
          <w:rFonts w:asciiTheme="minorHAnsi" w:eastAsiaTheme="minorEastAsia" w:hAnsiTheme="minorHAnsi" w:cstheme="minorBidi"/>
          <w:szCs w:val="22"/>
        </w:rPr>
      </w:pPr>
      <w:r>
        <w:t>7.9.</w:t>
      </w:r>
      <w:r>
        <w:tab/>
        <w:t>Audit to be conducted</w:t>
      </w:r>
      <w:r>
        <w:tab/>
      </w:r>
      <w:r>
        <w:fldChar w:fldCharType="begin"/>
      </w:r>
      <w:r>
        <w:instrText xml:space="preserve"> PAGEREF _Toc462409637 \h </w:instrText>
      </w:r>
      <w:r>
        <w:fldChar w:fldCharType="separate"/>
      </w:r>
      <w:r>
        <w:t>273</w:t>
      </w:r>
      <w:r>
        <w:fldChar w:fldCharType="end"/>
      </w:r>
    </w:p>
    <w:p>
      <w:pPr>
        <w:pStyle w:val="TOC8"/>
        <w:rPr>
          <w:rFonts w:asciiTheme="minorHAnsi" w:eastAsiaTheme="minorEastAsia" w:hAnsiTheme="minorHAnsi" w:cstheme="minorBidi"/>
          <w:szCs w:val="22"/>
        </w:rPr>
      </w:pPr>
      <w:r>
        <w:t>7.10.</w:t>
      </w:r>
      <w:r>
        <w:tab/>
        <w:t>Powers of auditor</w:t>
      </w:r>
      <w:r>
        <w:tab/>
      </w:r>
      <w:r>
        <w:fldChar w:fldCharType="begin"/>
      </w:r>
      <w:r>
        <w:instrText xml:space="preserve"> PAGEREF _Toc462409638 \h </w:instrText>
      </w:r>
      <w:r>
        <w:fldChar w:fldCharType="separate"/>
      </w:r>
      <w:r>
        <w:t>274</w:t>
      </w:r>
      <w:r>
        <w:fldChar w:fldCharType="end"/>
      </w:r>
    </w:p>
    <w:p>
      <w:pPr>
        <w:pStyle w:val="TOC8"/>
        <w:rPr>
          <w:rFonts w:asciiTheme="minorHAnsi" w:eastAsiaTheme="minorEastAsia" w:hAnsiTheme="minorHAnsi" w:cstheme="minorBidi"/>
          <w:szCs w:val="22"/>
        </w:rPr>
      </w:pPr>
      <w:r>
        <w:t>7.11.</w:t>
      </w:r>
      <w:r>
        <w:tab/>
        <w:t>Power to demand production of books etc.</w:t>
      </w:r>
      <w:r>
        <w:tab/>
      </w:r>
      <w:r>
        <w:fldChar w:fldCharType="begin"/>
      </w:r>
      <w:r>
        <w:instrText xml:space="preserve"> PAGEREF _Toc462409639 \h </w:instrText>
      </w:r>
      <w:r>
        <w:fldChar w:fldCharType="separate"/>
      </w:r>
      <w:r>
        <w:t>275</w:t>
      </w:r>
      <w:r>
        <w:fldChar w:fldCharType="end"/>
      </w:r>
    </w:p>
    <w:p>
      <w:pPr>
        <w:pStyle w:val="TOC8"/>
        <w:rPr>
          <w:rFonts w:asciiTheme="minorHAnsi" w:eastAsiaTheme="minorEastAsia" w:hAnsiTheme="minorHAnsi" w:cstheme="minorBidi"/>
          <w:szCs w:val="22"/>
        </w:rPr>
      </w:pPr>
      <w:r>
        <w:t>7.12.</w:t>
      </w:r>
      <w:r>
        <w:tab/>
        <w:t>Employees and financial institutions to furnish particulars of money received</w:t>
      </w:r>
      <w:r>
        <w:tab/>
      </w:r>
      <w:r>
        <w:fldChar w:fldCharType="begin"/>
      </w:r>
      <w:r>
        <w:instrText xml:space="preserve"> PAGEREF _Toc462409640 \h </w:instrText>
      </w:r>
      <w:r>
        <w:fldChar w:fldCharType="separate"/>
      </w:r>
      <w:r>
        <w:t>275</w:t>
      </w:r>
      <w:r>
        <w:fldChar w:fldCharType="end"/>
      </w:r>
    </w:p>
    <w:p>
      <w:pPr>
        <w:pStyle w:val="TOC4"/>
        <w:tabs>
          <w:tab w:val="right" w:leader="dot" w:pos="7077"/>
        </w:tabs>
        <w:rPr>
          <w:rFonts w:asciiTheme="minorHAnsi" w:eastAsiaTheme="minorEastAsia" w:hAnsiTheme="minorHAnsi" w:cstheme="minorBidi"/>
          <w:b w:val="0"/>
          <w:szCs w:val="22"/>
        </w:rPr>
      </w:pPr>
      <w:r>
        <w:t>Division 4 — General</w:t>
      </w:r>
    </w:p>
    <w:p>
      <w:pPr>
        <w:pStyle w:val="TOC8"/>
        <w:rPr>
          <w:rFonts w:asciiTheme="minorHAnsi" w:eastAsiaTheme="minorEastAsia" w:hAnsiTheme="minorHAnsi" w:cstheme="minorBidi"/>
          <w:szCs w:val="22"/>
        </w:rPr>
      </w:pPr>
      <w:r>
        <w:t>7.12A.</w:t>
      </w:r>
      <w:r>
        <w:tab/>
        <w:t>Duties of local government with respect to audits</w:t>
      </w:r>
      <w:r>
        <w:tab/>
      </w:r>
      <w:r>
        <w:fldChar w:fldCharType="begin"/>
      </w:r>
      <w:r>
        <w:instrText xml:space="preserve"> PAGEREF _Toc462409642 \h </w:instrText>
      </w:r>
      <w:r>
        <w:fldChar w:fldCharType="separate"/>
      </w:r>
      <w:r>
        <w:t>275</w:t>
      </w:r>
      <w:r>
        <w:fldChar w:fldCharType="end"/>
      </w:r>
    </w:p>
    <w:p>
      <w:pPr>
        <w:pStyle w:val="TOC8"/>
        <w:rPr>
          <w:rFonts w:asciiTheme="minorHAnsi" w:eastAsiaTheme="minorEastAsia" w:hAnsiTheme="minorHAnsi" w:cstheme="minorBidi"/>
          <w:szCs w:val="22"/>
        </w:rPr>
      </w:pPr>
      <w:r>
        <w:t>7.13.</w:t>
      </w:r>
      <w:r>
        <w:tab/>
        <w:t>Regulations as to audits</w:t>
      </w:r>
      <w:r>
        <w:tab/>
      </w:r>
      <w:r>
        <w:fldChar w:fldCharType="begin"/>
      </w:r>
      <w:r>
        <w:instrText xml:space="preserve"> PAGEREF _Toc462409643 \h </w:instrText>
      </w:r>
      <w:r>
        <w:fldChar w:fldCharType="separate"/>
      </w:r>
      <w:r>
        <w:t>276</w:t>
      </w:r>
      <w:r>
        <w:fldChar w:fldCharType="end"/>
      </w:r>
    </w:p>
    <w:p>
      <w:pPr>
        <w:pStyle w:val="TOC2"/>
        <w:tabs>
          <w:tab w:val="right" w:leader="dot" w:pos="7077"/>
        </w:tabs>
        <w:rPr>
          <w:rFonts w:asciiTheme="minorHAnsi" w:eastAsiaTheme="minorEastAsia" w:hAnsiTheme="minorHAnsi" w:cstheme="minorBidi"/>
          <w:b w:val="0"/>
          <w:sz w:val="22"/>
          <w:szCs w:val="22"/>
        </w:rPr>
      </w:pPr>
      <w:r>
        <w:t>Part 8 — Scrutiny of the affairs of local governments</w:t>
      </w:r>
    </w:p>
    <w:p>
      <w:pPr>
        <w:pStyle w:val="TOC4"/>
        <w:tabs>
          <w:tab w:val="right" w:leader="dot" w:pos="7077"/>
        </w:tabs>
        <w:rPr>
          <w:rFonts w:asciiTheme="minorHAnsi" w:eastAsiaTheme="minorEastAsia" w:hAnsiTheme="minorHAnsi" w:cstheme="minorBidi"/>
          <w:b w:val="0"/>
          <w:szCs w:val="22"/>
        </w:rPr>
      </w:pPr>
      <w:r>
        <w:t>Division 1 — Inquiries by the Minister or an authorised person</w:t>
      </w:r>
    </w:p>
    <w:p>
      <w:pPr>
        <w:pStyle w:val="TOC8"/>
        <w:rPr>
          <w:rFonts w:asciiTheme="minorHAnsi" w:eastAsiaTheme="minorEastAsia" w:hAnsiTheme="minorHAnsi" w:cstheme="minorBidi"/>
          <w:szCs w:val="22"/>
        </w:rPr>
      </w:pPr>
      <w:r>
        <w:t>8.1.</w:t>
      </w:r>
      <w:r>
        <w:tab/>
        <w:t>Terms used</w:t>
      </w:r>
      <w:r>
        <w:tab/>
      </w:r>
      <w:r>
        <w:fldChar w:fldCharType="begin"/>
      </w:r>
      <w:r>
        <w:instrText xml:space="preserve"> PAGEREF _Toc462409646 \h </w:instrText>
      </w:r>
      <w:r>
        <w:fldChar w:fldCharType="separate"/>
      </w:r>
      <w:r>
        <w:t>279</w:t>
      </w:r>
      <w:r>
        <w:fldChar w:fldCharType="end"/>
      </w:r>
    </w:p>
    <w:p>
      <w:pPr>
        <w:pStyle w:val="TOC8"/>
        <w:rPr>
          <w:rFonts w:asciiTheme="minorHAnsi" w:eastAsiaTheme="minorEastAsia" w:hAnsiTheme="minorHAnsi" w:cstheme="minorBidi"/>
          <w:szCs w:val="22"/>
        </w:rPr>
      </w:pPr>
      <w:r>
        <w:t>8.2.</w:t>
      </w:r>
      <w:r>
        <w:tab/>
        <w:t>Minister or Departmental CEO may require information</w:t>
      </w:r>
      <w:r>
        <w:tab/>
      </w:r>
      <w:r>
        <w:fldChar w:fldCharType="begin"/>
      </w:r>
      <w:r>
        <w:instrText xml:space="preserve"> PAGEREF _Toc462409647 \h </w:instrText>
      </w:r>
      <w:r>
        <w:fldChar w:fldCharType="separate"/>
      </w:r>
      <w:r>
        <w:t>279</w:t>
      </w:r>
      <w:r>
        <w:fldChar w:fldCharType="end"/>
      </w:r>
    </w:p>
    <w:p>
      <w:pPr>
        <w:pStyle w:val="TOC8"/>
        <w:rPr>
          <w:rFonts w:asciiTheme="minorHAnsi" w:eastAsiaTheme="minorEastAsia" w:hAnsiTheme="minorHAnsi" w:cstheme="minorBidi"/>
          <w:szCs w:val="22"/>
        </w:rPr>
      </w:pPr>
      <w:r>
        <w:t>8.3.</w:t>
      </w:r>
      <w:r>
        <w:tab/>
        <w:t>Inquiries by, or authorised by, Departmental CEO</w:t>
      </w:r>
      <w:r>
        <w:tab/>
      </w:r>
      <w:r>
        <w:fldChar w:fldCharType="begin"/>
      </w:r>
      <w:r>
        <w:instrText xml:space="preserve"> PAGEREF _Toc462409648 \h </w:instrText>
      </w:r>
      <w:r>
        <w:fldChar w:fldCharType="separate"/>
      </w:r>
      <w:r>
        <w:t>279</w:t>
      </w:r>
      <w:r>
        <w:fldChar w:fldCharType="end"/>
      </w:r>
    </w:p>
    <w:p>
      <w:pPr>
        <w:pStyle w:val="TOC8"/>
        <w:rPr>
          <w:rFonts w:asciiTheme="minorHAnsi" w:eastAsiaTheme="minorEastAsia" w:hAnsiTheme="minorHAnsi" w:cstheme="minorBidi"/>
          <w:szCs w:val="22"/>
        </w:rPr>
      </w:pPr>
      <w:r>
        <w:t>8.4.</w:t>
      </w:r>
      <w:r>
        <w:tab/>
        <w:t>Scope and duration of authorisation</w:t>
      </w:r>
      <w:r>
        <w:tab/>
      </w:r>
      <w:r>
        <w:fldChar w:fldCharType="begin"/>
      </w:r>
      <w:r>
        <w:instrText xml:space="preserve"> PAGEREF _Toc462409649 \h </w:instrText>
      </w:r>
      <w:r>
        <w:fldChar w:fldCharType="separate"/>
      </w:r>
      <w:r>
        <w:t>280</w:t>
      </w:r>
      <w:r>
        <w:fldChar w:fldCharType="end"/>
      </w:r>
    </w:p>
    <w:p>
      <w:pPr>
        <w:pStyle w:val="TOC8"/>
        <w:rPr>
          <w:rFonts w:asciiTheme="minorHAnsi" w:eastAsiaTheme="minorEastAsia" w:hAnsiTheme="minorHAnsi" w:cstheme="minorBidi"/>
          <w:szCs w:val="22"/>
        </w:rPr>
      </w:pPr>
      <w:r>
        <w:t>8.5.</w:t>
      </w:r>
      <w:r>
        <w:tab/>
        <w:t>Powers of authorised person</w:t>
      </w:r>
      <w:r>
        <w:tab/>
      </w:r>
      <w:r>
        <w:fldChar w:fldCharType="begin"/>
      </w:r>
      <w:r>
        <w:instrText xml:space="preserve"> PAGEREF _Toc462409650 \h </w:instrText>
      </w:r>
      <w:r>
        <w:fldChar w:fldCharType="separate"/>
      </w:r>
      <w:r>
        <w:t>281</w:t>
      </w:r>
      <w:r>
        <w:fldChar w:fldCharType="end"/>
      </w:r>
    </w:p>
    <w:p>
      <w:pPr>
        <w:pStyle w:val="TOC8"/>
        <w:rPr>
          <w:rFonts w:asciiTheme="minorHAnsi" w:eastAsiaTheme="minorEastAsia" w:hAnsiTheme="minorHAnsi" w:cstheme="minorBidi"/>
          <w:szCs w:val="22"/>
        </w:rPr>
      </w:pPr>
      <w:r>
        <w:t>8.6.</w:t>
      </w:r>
      <w:r>
        <w:tab/>
        <w:t>Power to enter property</w:t>
      </w:r>
      <w:r>
        <w:tab/>
      </w:r>
      <w:r>
        <w:fldChar w:fldCharType="begin"/>
      </w:r>
      <w:r>
        <w:instrText xml:space="preserve"> PAGEREF _Toc462409651 \h </w:instrText>
      </w:r>
      <w:r>
        <w:fldChar w:fldCharType="separate"/>
      </w:r>
      <w:r>
        <w:t>282</w:t>
      </w:r>
      <w:r>
        <w:fldChar w:fldCharType="end"/>
      </w:r>
    </w:p>
    <w:p>
      <w:pPr>
        <w:pStyle w:val="TOC8"/>
        <w:rPr>
          <w:rFonts w:asciiTheme="minorHAnsi" w:eastAsiaTheme="minorEastAsia" w:hAnsiTheme="minorHAnsi" w:cstheme="minorBidi"/>
          <w:szCs w:val="22"/>
        </w:rPr>
      </w:pPr>
      <w:r>
        <w:t>8.7.</w:t>
      </w:r>
      <w:r>
        <w:tab/>
        <w:t>Notice of entry</w:t>
      </w:r>
      <w:r>
        <w:tab/>
      </w:r>
      <w:r>
        <w:fldChar w:fldCharType="begin"/>
      </w:r>
      <w:r>
        <w:instrText xml:space="preserve"> PAGEREF _Toc462409652 \h </w:instrText>
      </w:r>
      <w:r>
        <w:fldChar w:fldCharType="separate"/>
      </w:r>
      <w:r>
        <w:t>282</w:t>
      </w:r>
      <w:r>
        <w:fldChar w:fldCharType="end"/>
      </w:r>
    </w:p>
    <w:p>
      <w:pPr>
        <w:pStyle w:val="TOC8"/>
        <w:rPr>
          <w:rFonts w:asciiTheme="minorHAnsi" w:eastAsiaTheme="minorEastAsia" w:hAnsiTheme="minorHAnsi" w:cstheme="minorBidi"/>
          <w:szCs w:val="22"/>
        </w:rPr>
      </w:pPr>
      <w:r>
        <w:t>8.8.</w:t>
      </w:r>
      <w:r>
        <w:tab/>
        <w:t>Entry under warrant</w:t>
      </w:r>
      <w:r>
        <w:tab/>
      </w:r>
      <w:r>
        <w:fldChar w:fldCharType="begin"/>
      </w:r>
      <w:r>
        <w:instrText xml:space="preserve"> PAGEREF _Toc462409653 \h </w:instrText>
      </w:r>
      <w:r>
        <w:fldChar w:fldCharType="separate"/>
      </w:r>
      <w:r>
        <w:t>282</w:t>
      </w:r>
      <w:r>
        <w:fldChar w:fldCharType="end"/>
      </w:r>
    </w:p>
    <w:p>
      <w:pPr>
        <w:pStyle w:val="TOC8"/>
        <w:rPr>
          <w:rFonts w:asciiTheme="minorHAnsi" w:eastAsiaTheme="minorEastAsia" w:hAnsiTheme="minorHAnsi" w:cstheme="minorBidi"/>
          <w:szCs w:val="22"/>
        </w:rPr>
      </w:pPr>
      <w:r>
        <w:t>8.9.</w:t>
      </w:r>
      <w:r>
        <w:tab/>
        <w:t>Exercise of powers</w:t>
      </w:r>
      <w:r>
        <w:tab/>
      </w:r>
      <w:r>
        <w:fldChar w:fldCharType="begin"/>
      </w:r>
      <w:r>
        <w:instrText xml:space="preserve"> PAGEREF _Toc462409654 \h </w:instrText>
      </w:r>
      <w:r>
        <w:fldChar w:fldCharType="separate"/>
      </w:r>
      <w:r>
        <w:t>283</w:t>
      </w:r>
      <w:r>
        <w:fldChar w:fldCharType="end"/>
      </w:r>
    </w:p>
    <w:p>
      <w:pPr>
        <w:pStyle w:val="TOC8"/>
        <w:rPr>
          <w:rFonts w:asciiTheme="minorHAnsi" w:eastAsiaTheme="minorEastAsia" w:hAnsiTheme="minorHAnsi" w:cstheme="minorBidi"/>
          <w:szCs w:val="22"/>
        </w:rPr>
      </w:pPr>
      <w:r>
        <w:t>8.10.</w:t>
      </w:r>
      <w:r>
        <w:tab/>
        <w:t>Protection from liability</w:t>
      </w:r>
      <w:r>
        <w:tab/>
      </w:r>
      <w:r>
        <w:fldChar w:fldCharType="begin"/>
      </w:r>
      <w:r>
        <w:instrText xml:space="preserve"> PAGEREF _Toc462409655 \h </w:instrText>
      </w:r>
      <w:r>
        <w:fldChar w:fldCharType="separate"/>
      </w:r>
      <w:r>
        <w:t>283</w:t>
      </w:r>
      <w:r>
        <w:fldChar w:fldCharType="end"/>
      </w:r>
    </w:p>
    <w:p>
      <w:pPr>
        <w:pStyle w:val="TOC8"/>
        <w:rPr>
          <w:rFonts w:asciiTheme="minorHAnsi" w:eastAsiaTheme="minorEastAsia" w:hAnsiTheme="minorHAnsi" w:cstheme="minorBidi"/>
          <w:szCs w:val="22"/>
        </w:rPr>
      </w:pPr>
      <w:r>
        <w:t>8.11.</w:t>
      </w:r>
      <w:r>
        <w:tab/>
        <w:t>Failure to comply with directions</w:t>
      </w:r>
      <w:r>
        <w:tab/>
      </w:r>
      <w:r>
        <w:fldChar w:fldCharType="begin"/>
      </w:r>
      <w:r>
        <w:instrText xml:space="preserve"> PAGEREF _Toc462409656 \h </w:instrText>
      </w:r>
      <w:r>
        <w:fldChar w:fldCharType="separate"/>
      </w:r>
      <w:r>
        <w:t>284</w:t>
      </w:r>
      <w:r>
        <w:fldChar w:fldCharType="end"/>
      </w:r>
    </w:p>
    <w:p>
      <w:pPr>
        <w:pStyle w:val="TOC8"/>
        <w:rPr>
          <w:rFonts w:asciiTheme="minorHAnsi" w:eastAsiaTheme="minorEastAsia" w:hAnsiTheme="minorHAnsi" w:cstheme="minorBidi"/>
          <w:szCs w:val="22"/>
        </w:rPr>
      </w:pPr>
      <w:r>
        <w:t>8.12.</w:t>
      </w:r>
      <w:r>
        <w:tab/>
        <w:t>Referral to other authorities</w:t>
      </w:r>
      <w:r>
        <w:tab/>
      </w:r>
      <w:r>
        <w:fldChar w:fldCharType="begin"/>
      </w:r>
      <w:r>
        <w:instrText xml:space="preserve"> PAGEREF _Toc462409657 \h </w:instrText>
      </w:r>
      <w:r>
        <w:fldChar w:fldCharType="separate"/>
      </w:r>
      <w:r>
        <w:t>284</w:t>
      </w:r>
      <w:r>
        <w:fldChar w:fldCharType="end"/>
      </w:r>
    </w:p>
    <w:p>
      <w:pPr>
        <w:pStyle w:val="TOC8"/>
        <w:rPr>
          <w:rFonts w:asciiTheme="minorHAnsi" w:eastAsiaTheme="minorEastAsia" w:hAnsiTheme="minorHAnsi" w:cstheme="minorBidi"/>
          <w:szCs w:val="22"/>
        </w:rPr>
      </w:pPr>
      <w:r>
        <w:t>8.13.</w:t>
      </w:r>
      <w:r>
        <w:tab/>
        <w:t>Authorised person’s report</w:t>
      </w:r>
      <w:r>
        <w:tab/>
      </w:r>
      <w:r>
        <w:fldChar w:fldCharType="begin"/>
      </w:r>
      <w:r>
        <w:instrText xml:space="preserve"> PAGEREF _Toc462409658 \h </w:instrText>
      </w:r>
      <w:r>
        <w:fldChar w:fldCharType="separate"/>
      </w:r>
      <w:r>
        <w:t>284</w:t>
      </w:r>
      <w:r>
        <w:fldChar w:fldCharType="end"/>
      </w:r>
    </w:p>
    <w:p>
      <w:pPr>
        <w:pStyle w:val="TOC8"/>
        <w:rPr>
          <w:rFonts w:asciiTheme="minorHAnsi" w:eastAsiaTheme="minorEastAsia" w:hAnsiTheme="minorHAnsi" w:cstheme="minorBidi"/>
          <w:szCs w:val="22"/>
        </w:rPr>
      </w:pPr>
      <w:r>
        <w:t>8.14.</w:t>
      </w:r>
      <w:r>
        <w:tab/>
        <w:t>Copy to be given to local government concerned</w:t>
      </w:r>
      <w:r>
        <w:tab/>
      </w:r>
      <w:r>
        <w:fldChar w:fldCharType="begin"/>
      </w:r>
      <w:r>
        <w:instrText xml:space="preserve"> PAGEREF _Toc462409659 \h </w:instrText>
      </w:r>
      <w:r>
        <w:fldChar w:fldCharType="separate"/>
      </w:r>
      <w:r>
        <w:t>284</w:t>
      </w:r>
      <w:r>
        <w:fldChar w:fldCharType="end"/>
      </w:r>
    </w:p>
    <w:p>
      <w:pPr>
        <w:pStyle w:val="TOC8"/>
        <w:rPr>
          <w:rFonts w:asciiTheme="minorHAnsi" w:eastAsiaTheme="minorEastAsia" w:hAnsiTheme="minorHAnsi" w:cstheme="minorBidi"/>
          <w:szCs w:val="22"/>
        </w:rPr>
      </w:pPr>
      <w:r>
        <w:t>8.15.</w:t>
      </w:r>
      <w:r>
        <w:tab/>
        <w:t>Minister can take action to ensure that recommendations are put into effect</w:t>
      </w:r>
      <w:r>
        <w:tab/>
      </w:r>
      <w:r>
        <w:fldChar w:fldCharType="begin"/>
      </w:r>
      <w:r>
        <w:instrText xml:space="preserve"> PAGEREF _Toc462409660 \h </w:instrText>
      </w:r>
      <w:r>
        <w:fldChar w:fldCharType="separate"/>
      </w:r>
      <w:r>
        <w:t>285</w:t>
      </w:r>
      <w:r>
        <w:fldChar w:fldCharType="end"/>
      </w:r>
    </w:p>
    <w:p>
      <w:pPr>
        <w:pStyle w:val="TOC8"/>
        <w:rPr>
          <w:rFonts w:asciiTheme="minorHAnsi" w:eastAsiaTheme="minorEastAsia" w:hAnsiTheme="minorHAnsi" w:cstheme="minorBidi"/>
          <w:szCs w:val="22"/>
        </w:rPr>
      </w:pPr>
      <w:r>
        <w:t>8.15A.</w:t>
      </w:r>
      <w:r>
        <w:tab/>
        <w:t>Local government may have to meet inquiry costs</w:t>
      </w:r>
      <w:r>
        <w:tab/>
      </w:r>
      <w:r>
        <w:fldChar w:fldCharType="begin"/>
      </w:r>
      <w:r>
        <w:instrText xml:space="preserve"> PAGEREF _Toc462409661 \h </w:instrText>
      </w:r>
      <w:r>
        <w:fldChar w:fldCharType="separate"/>
      </w:r>
      <w:r>
        <w:t>286</w:t>
      </w:r>
      <w:r>
        <w:fldChar w:fldCharType="end"/>
      </w:r>
    </w:p>
    <w:p>
      <w:pPr>
        <w:pStyle w:val="TOC4"/>
        <w:tabs>
          <w:tab w:val="right" w:leader="dot" w:pos="7077"/>
        </w:tabs>
        <w:rPr>
          <w:rFonts w:asciiTheme="minorHAnsi" w:eastAsiaTheme="minorEastAsia" w:hAnsiTheme="minorHAnsi" w:cstheme="minorBidi"/>
          <w:b w:val="0"/>
          <w:szCs w:val="22"/>
        </w:rPr>
      </w:pPr>
      <w:r>
        <w:t>Division 2A — Council may be peremptorily suspended or required to undertake remedial action</w:t>
      </w:r>
    </w:p>
    <w:p>
      <w:pPr>
        <w:pStyle w:val="TOC8"/>
        <w:rPr>
          <w:rFonts w:asciiTheme="minorHAnsi" w:eastAsiaTheme="minorEastAsia" w:hAnsiTheme="minorHAnsi" w:cstheme="minorBidi"/>
          <w:szCs w:val="22"/>
        </w:rPr>
      </w:pPr>
      <w:r>
        <w:t>8.15B.</w:t>
      </w:r>
      <w:r>
        <w:tab/>
        <w:t>Notice that council may be peremptorily suspended or required to undertake remedial action</w:t>
      </w:r>
      <w:r>
        <w:tab/>
      </w:r>
      <w:r>
        <w:fldChar w:fldCharType="begin"/>
      </w:r>
      <w:r>
        <w:instrText xml:space="preserve"> PAGEREF _Toc462409663 \h </w:instrText>
      </w:r>
      <w:r>
        <w:fldChar w:fldCharType="separate"/>
      </w:r>
      <w:r>
        <w:t>286</w:t>
      </w:r>
      <w:r>
        <w:fldChar w:fldCharType="end"/>
      </w:r>
    </w:p>
    <w:p>
      <w:pPr>
        <w:pStyle w:val="TOC8"/>
        <w:rPr>
          <w:rFonts w:asciiTheme="minorHAnsi" w:eastAsiaTheme="minorEastAsia" w:hAnsiTheme="minorHAnsi" w:cstheme="minorBidi"/>
          <w:szCs w:val="22"/>
        </w:rPr>
      </w:pPr>
      <w:r>
        <w:t>8.15C.</w:t>
      </w:r>
      <w:r>
        <w:tab/>
        <w:t>Minister may order that council be peremptorily suspended or required to undertake remedial action</w:t>
      </w:r>
      <w:r>
        <w:tab/>
      </w:r>
      <w:r>
        <w:fldChar w:fldCharType="begin"/>
      </w:r>
      <w:r>
        <w:instrText xml:space="preserve"> PAGEREF _Toc462409664 \h </w:instrText>
      </w:r>
      <w:r>
        <w:fldChar w:fldCharType="separate"/>
      </w:r>
      <w:r>
        <w:t>287</w:t>
      </w:r>
      <w:r>
        <w:fldChar w:fldCharType="end"/>
      </w:r>
    </w:p>
    <w:p>
      <w:pPr>
        <w:pStyle w:val="TOC4"/>
        <w:tabs>
          <w:tab w:val="right" w:leader="dot" w:pos="7077"/>
        </w:tabs>
        <w:rPr>
          <w:rFonts w:asciiTheme="minorHAnsi" w:eastAsiaTheme="minorEastAsia" w:hAnsiTheme="minorHAnsi" w:cstheme="minorBidi"/>
          <w:b w:val="0"/>
          <w:szCs w:val="22"/>
        </w:rPr>
      </w:pPr>
      <w:r>
        <w:t>Division 2 — Inquiries by Inquiry Panels</w:t>
      </w:r>
    </w:p>
    <w:p>
      <w:pPr>
        <w:pStyle w:val="TOC8"/>
        <w:rPr>
          <w:rFonts w:asciiTheme="minorHAnsi" w:eastAsiaTheme="minorEastAsia" w:hAnsiTheme="minorHAnsi" w:cstheme="minorBidi"/>
          <w:szCs w:val="22"/>
        </w:rPr>
      </w:pPr>
      <w:r>
        <w:t>8.16.</w:t>
      </w:r>
      <w:r>
        <w:tab/>
        <w:t>Minister may institute inquiry</w:t>
      </w:r>
      <w:r>
        <w:tab/>
      </w:r>
      <w:r>
        <w:fldChar w:fldCharType="begin"/>
      </w:r>
      <w:r>
        <w:instrText xml:space="preserve"> PAGEREF _Toc462409666 \h </w:instrText>
      </w:r>
      <w:r>
        <w:fldChar w:fldCharType="separate"/>
      </w:r>
      <w:r>
        <w:t>288</w:t>
      </w:r>
      <w:r>
        <w:fldChar w:fldCharType="end"/>
      </w:r>
    </w:p>
    <w:p>
      <w:pPr>
        <w:pStyle w:val="TOC8"/>
        <w:rPr>
          <w:rFonts w:asciiTheme="minorHAnsi" w:eastAsiaTheme="minorEastAsia" w:hAnsiTheme="minorHAnsi" w:cstheme="minorBidi"/>
          <w:szCs w:val="22"/>
        </w:rPr>
      </w:pPr>
      <w:r>
        <w:t>8.17.</w:t>
      </w:r>
      <w:r>
        <w:tab/>
        <w:t>Scope and duration of inquiry</w:t>
      </w:r>
      <w:r>
        <w:tab/>
      </w:r>
      <w:r>
        <w:fldChar w:fldCharType="begin"/>
      </w:r>
      <w:r>
        <w:instrText xml:space="preserve"> PAGEREF _Toc462409667 \h </w:instrText>
      </w:r>
      <w:r>
        <w:fldChar w:fldCharType="separate"/>
      </w:r>
      <w:r>
        <w:t>288</w:t>
      </w:r>
      <w:r>
        <w:fldChar w:fldCharType="end"/>
      </w:r>
    </w:p>
    <w:p>
      <w:pPr>
        <w:pStyle w:val="TOC8"/>
        <w:rPr>
          <w:rFonts w:asciiTheme="minorHAnsi" w:eastAsiaTheme="minorEastAsia" w:hAnsiTheme="minorHAnsi" w:cstheme="minorBidi"/>
          <w:szCs w:val="22"/>
        </w:rPr>
      </w:pPr>
      <w:r>
        <w:t>8.18.</w:t>
      </w:r>
      <w:r>
        <w:tab/>
        <w:t>Local government to be informed</w:t>
      </w:r>
      <w:r>
        <w:tab/>
      </w:r>
      <w:r>
        <w:fldChar w:fldCharType="begin"/>
      </w:r>
      <w:r>
        <w:instrText xml:space="preserve"> PAGEREF _Toc462409668 \h </w:instrText>
      </w:r>
      <w:r>
        <w:fldChar w:fldCharType="separate"/>
      </w:r>
      <w:r>
        <w:t>288</w:t>
      </w:r>
      <w:r>
        <w:fldChar w:fldCharType="end"/>
      </w:r>
    </w:p>
    <w:p>
      <w:pPr>
        <w:pStyle w:val="TOC8"/>
        <w:rPr>
          <w:rFonts w:asciiTheme="minorHAnsi" w:eastAsiaTheme="minorEastAsia" w:hAnsiTheme="minorHAnsi" w:cstheme="minorBidi"/>
          <w:szCs w:val="22"/>
        </w:rPr>
      </w:pPr>
      <w:r>
        <w:t>8.19.</w:t>
      </w:r>
      <w:r>
        <w:tab/>
        <w:t>Suspension of council while inquiry is held</w:t>
      </w:r>
      <w:r>
        <w:tab/>
      </w:r>
      <w:r>
        <w:fldChar w:fldCharType="begin"/>
      </w:r>
      <w:r>
        <w:instrText xml:space="preserve"> PAGEREF _Toc462409669 \h </w:instrText>
      </w:r>
      <w:r>
        <w:fldChar w:fldCharType="separate"/>
      </w:r>
      <w:r>
        <w:t>288</w:t>
      </w:r>
      <w:r>
        <w:fldChar w:fldCharType="end"/>
      </w:r>
    </w:p>
    <w:p>
      <w:pPr>
        <w:pStyle w:val="TOC8"/>
        <w:rPr>
          <w:rFonts w:asciiTheme="minorHAnsi" w:eastAsiaTheme="minorEastAsia" w:hAnsiTheme="minorHAnsi" w:cstheme="minorBidi"/>
          <w:szCs w:val="22"/>
        </w:rPr>
      </w:pPr>
      <w:r>
        <w:t>8.20.</w:t>
      </w:r>
      <w:r>
        <w:tab/>
        <w:t>Powers of Inquiry Panel</w:t>
      </w:r>
      <w:r>
        <w:tab/>
      </w:r>
      <w:r>
        <w:fldChar w:fldCharType="begin"/>
      </w:r>
      <w:r>
        <w:instrText xml:space="preserve"> PAGEREF _Toc462409670 \h </w:instrText>
      </w:r>
      <w:r>
        <w:fldChar w:fldCharType="separate"/>
      </w:r>
      <w:r>
        <w:t>289</w:t>
      </w:r>
      <w:r>
        <w:fldChar w:fldCharType="end"/>
      </w:r>
    </w:p>
    <w:p>
      <w:pPr>
        <w:pStyle w:val="TOC8"/>
        <w:rPr>
          <w:rFonts w:asciiTheme="minorHAnsi" w:eastAsiaTheme="minorEastAsia" w:hAnsiTheme="minorHAnsi" w:cstheme="minorBidi"/>
          <w:szCs w:val="22"/>
        </w:rPr>
      </w:pPr>
      <w:r>
        <w:t>8.21.</w:t>
      </w:r>
      <w:r>
        <w:tab/>
        <w:t>Referral to other authorities</w:t>
      </w:r>
      <w:r>
        <w:tab/>
      </w:r>
      <w:r>
        <w:fldChar w:fldCharType="begin"/>
      </w:r>
      <w:r>
        <w:instrText xml:space="preserve"> PAGEREF _Toc462409671 \h </w:instrText>
      </w:r>
      <w:r>
        <w:fldChar w:fldCharType="separate"/>
      </w:r>
      <w:r>
        <w:t>290</w:t>
      </w:r>
      <w:r>
        <w:fldChar w:fldCharType="end"/>
      </w:r>
    </w:p>
    <w:p>
      <w:pPr>
        <w:pStyle w:val="TOC8"/>
        <w:rPr>
          <w:rFonts w:asciiTheme="minorHAnsi" w:eastAsiaTheme="minorEastAsia" w:hAnsiTheme="minorHAnsi" w:cstheme="minorBidi"/>
          <w:szCs w:val="22"/>
        </w:rPr>
      </w:pPr>
      <w:r>
        <w:t>8.22.</w:t>
      </w:r>
      <w:r>
        <w:tab/>
        <w:t>Report of Inquiry Panel</w:t>
      </w:r>
      <w:r>
        <w:tab/>
      </w:r>
      <w:r>
        <w:fldChar w:fldCharType="begin"/>
      </w:r>
      <w:r>
        <w:instrText xml:space="preserve"> PAGEREF _Toc462409672 \h </w:instrText>
      </w:r>
      <w:r>
        <w:fldChar w:fldCharType="separate"/>
      </w:r>
      <w:r>
        <w:t>290</w:t>
      </w:r>
      <w:r>
        <w:fldChar w:fldCharType="end"/>
      </w:r>
    </w:p>
    <w:p>
      <w:pPr>
        <w:pStyle w:val="TOC8"/>
        <w:rPr>
          <w:rFonts w:asciiTheme="minorHAnsi" w:eastAsiaTheme="minorEastAsia" w:hAnsiTheme="minorHAnsi" w:cstheme="minorBidi"/>
          <w:szCs w:val="22"/>
        </w:rPr>
      </w:pPr>
      <w:r>
        <w:t>8.23.</w:t>
      </w:r>
      <w:r>
        <w:tab/>
        <w:t>Copies to be given to local government concerned and made available to public</w:t>
      </w:r>
      <w:r>
        <w:tab/>
      </w:r>
      <w:r>
        <w:fldChar w:fldCharType="begin"/>
      </w:r>
      <w:r>
        <w:instrText xml:space="preserve"> PAGEREF _Toc462409673 \h </w:instrText>
      </w:r>
      <w:r>
        <w:fldChar w:fldCharType="separate"/>
      </w:r>
      <w:r>
        <w:t>290</w:t>
      </w:r>
      <w:r>
        <w:fldChar w:fldCharType="end"/>
      </w:r>
    </w:p>
    <w:p>
      <w:pPr>
        <w:pStyle w:val="TOC8"/>
        <w:rPr>
          <w:rFonts w:asciiTheme="minorHAnsi" w:eastAsiaTheme="minorEastAsia" w:hAnsiTheme="minorHAnsi" w:cstheme="minorBidi"/>
          <w:szCs w:val="22"/>
        </w:rPr>
      </w:pPr>
      <w:r>
        <w:t>8.24.</w:t>
      </w:r>
      <w:r>
        <w:tab/>
        <w:t>Minister to decide what action to take on Inquiry Panel’s report</w:t>
      </w:r>
      <w:r>
        <w:tab/>
      </w:r>
      <w:r>
        <w:fldChar w:fldCharType="begin"/>
      </w:r>
      <w:r>
        <w:instrText xml:space="preserve"> PAGEREF _Toc462409674 \h </w:instrText>
      </w:r>
      <w:r>
        <w:fldChar w:fldCharType="separate"/>
      </w:r>
      <w:r>
        <w:t>291</w:t>
      </w:r>
      <w:r>
        <w:fldChar w:fldCharType="end"/>
      </w:r>
    </w:p>
    <w:p>
      <w:pPr>
        <w:pStyle w:val="TOC8"/>
        <w:rPr>
          <w:rFonts w:asciiTheme="minorHAnsi" w:eastAsiaTheme="minorEastAsia" w:hAnsiTheme="minorHAnsi" w:cstheme="minorBidi"/>
          <w:szCs w:val="22"/>
        </w:rPr>
      </w:pPr>
      <w:r>
        <w:t>8.25.</w:t>
      </w:r>
      <w:r>
        <w:tab/>
        <w:t>Dismissal of council by Governor</w:t>
      </w:r>
      <w:r>
        <w:tab/>
      </w:r>
      <w:r>
        <w:fldChar w:fldCharType="begin"/>
      </w:r>
      <w:r>
        <w:instrText xml:space="preserve"> PAGEREF _Toc462409675 \h </w:instrText>
      </w:r>
      <w:r>
        <w:fldChar w:fldCharType="separate"/>
      </w:r>
      <w:r>
        <w:t>292</w:t>
      </w:r>
      <w:r>
        <w:fldChar w:fldCharType="end"/>
      </w:r>
    </w:p>
    <w:p>
      <w:pPr>
        <w:pStyle w:val="TOC8"/>
        <w:rPr>
          <w:rFonts w:asciiTheme="minorHAnsi" w:eastAsiaTheme="minorEastAsia" w:hAnsiTheme="minorHAnsi" w:cstheme="minorBidi"/>
          <w:szCs w:val="22"/>
        </w:rPr>
      </w:pPr>
      <w:r>
        <w:t>8.26.</w:t>
      </w:r>
      <w:r>
        <w:tab/>
        <w:t>Suspension of council if Minister’s order not complied with</w:t>
      </w:r>
      <w:r>
        <w:tab/>
      </w:r>
      <w:r>
        <w:fldChar w:fldCharType="begin"/>
      </w:r>
      <w:r>
        <w:instrText xml:space="preserve"> PAGEREF _Toc462409676 \h </w:instrText>
      </w:r>
      <w:r>
        <w:fldChar w:fldCharType="separate"/>
      </w:r>
      <w:r>
        <w:t>292</w:t>
      </w:r>
      <w:r>
        <w:fldChar w:fldCharType="end"/>
      </w:r>
    </w:p>
    <w:p>
      <w:pPr>
        <w:pStyle w:val="TOC8"/>
        <w:rPr>
          <w:rFonts w:asciiTheme="minorHAnsi" w:eastAsiaTheme="minorEastAsia" w:hAnsiTheme="minorHAnsi" w:cstheme="minorBidi"/>
          <w:szCs w:val="22"/>
        </w:rPr>
      </w:pPr>
      <w:r>
        <w:t>8.27.</w:t>
      </w:r>
      <w:r>
        <w:tab/>
        <w:t>Local government may have to meet inquiry costs</w:t>
      </w:r>
      <w:r>
        <w:tab/>
      </w:r>
      <w:r>
        <w:fldChar w:fldCharType="begin"/>
      </w:r>
      <w:r>
        <w:instrText xml:space="preserve"> PAGEREF _Toc462409677 \h </w:instrText>
      </w:r>
      <w:r>
        <w:fldChar w:fldCharType="separate"/>
      </w:r>
      <w:r>
        <w:t>292</w:t>
      </w:r>
      <w:r>
        <w:fldChar w:fldCharType="end"/>
      </w:r>
    </w:p>
    <w:p>
      <w:pPr>
        <w:pStyle w:val="TOC4"/>
        <w:tabs>
          <w:tab w:val="right" w:leader="dot" w:pos="7077"/>
        </w:tabs>
        <w:rPr>
          <w:rFonts w:asciiTheme="minorHAnsi" w:eastAsiaTheme="minorEastAsia" w:hAnsiTheme="minorHAnsi" w:cstheme="minorBidi"/>
          <w:b w:val="0"/>
          <w:szCs w:val="22"/>
        </w:rPr>
      </w:pPr>
      <w:r>
        <w:t>Division 3 — General provisions about suspension and dismissal of councils</w:t>
      </w:r>
    </w:p>
    <w:p>
      <w:pPr>
        <w:pStyle w:val="TOC8"/>
        <w:rPr>
          <w:rFonts w:asciiTheme="minorHAnsi" w:eastAsiaTheme="minorEastAsia" w:hAnsiTheme="minorHAnsi" w:cstheme="minorBidi"/>
          <w:szCs w:val="22"/>
        </w:rPr>
      </w:pPr>
      <w:r>
        <w:t>8.28.</w:t>
      </w:r>
      <w:r>
        <w:tab/>
        <w:t>Period of suspension: reinstatement of council</w:t>
      </w:r>
      <w:r>
        <w:tab/>
      </w:r>
      <w:r>
        <w:fldChar w:fldCharType="begin"/>
      </w:r>
      <w:r>
        <w:instrText xml:space="preserve"> PAGEREF _Toc462409679 \h </w:instrText>
      </w:r>
      <w:r>
        <w:fldChar w:fldCharType="separate"/>
      </w:r>
      <w:r>
        <w:t>292</w:t>
      </w:r>
      <w:r>
        <w:fldChar w:fldCharType="end"/>
      </w:r>
    </w:p>
    <w:p>
      <w:pPr>
        <w:pStyle w:val="TOC8"/>
        <w:rPr>
          <w:rFonts w:asciiTheme="minorHAnsi" w:eastAsiaTheme="minorEastAsia" w:hAnsiTheme="minorHAnsi" w:cstheme="minorBidi"/>
          <w:szCs w:val="22"/>
        </w:rPr>
      </w:pPr>
      <w:r>
        <w:t>8.29.</w:t>
      </w:r>
      <w:r>
        <w:tab/>
        <w:t>Effect of suspension of council</w:t>
      </w:r>
      <w:r>
        <w:tab/>
      </w:r>
      <w:r>
        <w:fldChar w:fldCharType="begin"/>
      </w:r>
      <w:r>
        <w:instrText xml:space="preserve"> PAGEREF _Toc462409680 \h </w:instrText>
      </w:r>
      <w:r>
        <w:fldChar w:fldCharType="separate"/>
      </w:r>
      <w:r>
        <w:t>293</w:t>
      </w:r>
      <w:r>
        <w:fldChar w:fldCharType="end"/>
      </w:r>
    </w:p>
    <w:p>
      <w:pPr>
        <w:pStyle w:val="TOC8"/>
        <w:rPr>
          <w:rFonts w:asciiTheme="minorHAnsi" w:eastAsiaTheme="minorEastAsia" w:hAnsiTheme="minorHAnsi" w:cstheme="minorBidi"/>
          <w:szCs w:val="22"/>
        </w:rPr>
      </w:pPr>
      <w:r>
        <w:t>8.30.</w:t>
      </w:r>
      <w:r>
        <w:tab/>
        <w:t>Appointment of commissioner while council is suspended</w:t>
      </w:r>
      <w:r>
        <w:tab/>
      </w:r>
      <w:r>
        <w:fldChar w:fldCharType="begin"/>
      </w:r>
      <w:r>
        <w:instrText xml:space="preserve"> PAGEREF _Toc462409681 \h </w:instrText>
      </w:r>
      <w:r>
        <w:fldChar w:fldCharType="separate"/>
      </w:r>
      <w:r>
        <w:t>293</w:t>
      </w:r>
      <w:r>
        <w:fldChar w:fldCharType="end"/>
      </w:r>
    </w:p>
    <w:p>
      <w:pPr>
        <w:pStyle w:val="TOC8"/>
        <w:rPr>
          <w:rFonts w:asciiTheme="minorHAnsi" w:eastAsiaTheme="minorEastAsia" w:hAnsiTheme="minorHAnsi" w:cstheme="minorBidi"/>
          <w:szCs w:val="22"/>
        </w:rPr>
      </w:pPr>
      <w:r>
        <w:t>8.31.</w:t>
      </w:r>
      <w:r>
        <w:tab/>
        <w:t>No dismissal of council except on Inquiry Panel’s recommendation</w:t>
      </w:r>
      <w:r>
        <w:tab/>
      </w:r>
      <w:r>
        <w:fldChar w:fldCharType="begin"/>
      </w:r>
      <w:r>
        <w:instrText xml:space="preserve"> PAGEREF _Toc462409682 \h </w:instrText>
      </w:r>
      <w:r>
        <w:fldChar w:fldCharType="separate"/>
      </w:r>
      <w:r>
        <w:t>294</w:t>
      </w:r>
      <w:r>
        <w:fldChar w:fldCharType="end"/>
      </w:r>
    </w:p>
    <w:p>
      <w:pPr>
        <w:pStyle w:val="TOC8"/>
        <w:rPr>
          <w:rFonts w:asciiTheme="minorHAnsi" w:eastAsiaTheme="minorEastAsia" w:hAnsiTheme="minorHAnsi" w:cstheme="minorBidi"/>
          <w:szCs w:val="22"/>
        </w:rPr>
      </w:pPr>
      <w:r>
        <w:t>8.32.</w:t>
      </w:r>
      <w:r>
        <w:tab/>
        <w:t>When dismissal of council takes effect</w:t>
      </w:r>
      <w:r>
        <w:tab/>
      </w:r>
      <w:r>
        <w:fldChar w:fldCharType="begin"/>
      </w:r>
      <w:r>
        <w:instrText xml:space="preserve"> PAGEREF _Toc462409683 \h </w:instrText>
      </w:r>
      <w:r>
        <w:fldChar w:fldCharType="separate"/>
      </w:r>
      <w:r>
        <w:t>294</w:t>
      </w:r>
      <w:r>
        <w:fldChar w:fldCharType="end"/>
      </w:r>
    </w:p>
    <w:p>
      <w:pPr>
        <w:pStyle w:val="TOC8"/>
        <w:rPr>
          <w:rFonts w:asciiTheme="minorHAnsi" w:eastAsiaTheme="minorEastAsia" w:hAnsiTheme="minorHAnsi" w:cstheme="minorBidi"/>
          <w:szCs w:val="22"/>
        </w:rPr>
      </w:pPr>
      <w:r>
        <w:t>8.33.</w:t>
      </w:r>
      <w:r>
        <w:tab/>
        <w:t>Appointment of commissioner on dismissal of council</w:t>
      </w:r>
      <w:r>
        <w:tab/>
      </w:r>
      <w:r>
        <w:fldChar w:fldCharType="begin"/>
      </w:r>
      <w:r>
        <w:instrText xml:space="preserve"> PAGEREF _Toc462409684 \h </w:instrText>
      </w:r>
      <w:r>
        <w:fldChar w:fldCharType="separate"/>
      </w:r>
      <w:r>
        <w:t>294</w:t>
      </w:r>
      <w:r>
        <w:fldChar w:fldCharType="end"/>
      </w:r>
    </w:p>
    <w:p>
      <w:pPr>
        <w:pStyle w:val="TOC8"/>
        <w:rPr>
          <w:rFonts w:asciiTheme="minorHAnsi" w:eastAsiaTheme="minorEastAsia" w:hAnsiTheme="minorHAnsi" w:cstheme="minorBidi"/>
          <w:szCs w:val="22"/>
        </w:rPr>
      </w:pPr>
      <w:r>
        <w:t>8.34.</w:t>
      </w:r>
      <w:r>
        <w:tab/>
        <w:t>Elections following dismissal of council</w:t>
      </w:r>
      <w:r>
        <w:tab/>
      </w:r>
      <w:r>
        <w:fldChar w:fldCharType="begin"/>
      </w:r>
      <w:r>
        <w:instrText xml:space="preserve"> PAGEREF _Toc462409685 \h </w:instrText>
      </w:r>
      <w:r>
        <w:fldChar w:fldCharType="separate"/>
      </w:r>
      <w:r>
        <w:t>294</w:t>
      </w:r>
      <w:r>
        <w:fldChar w:fldCharType="end"/>
      </w:r>
    </w:p>
    <w:p>
      <w:pPr>
        <w:pStyle w:val="TOC4"/>
        <w:tabs>
          <w:tab w:val="right" w:leader="dot" w:pos="7077"/>
        </w:tabs>
        <w:rPr>
          <w:rFonts w:asciiTheme="minorHAnsi" w:eastAsiaTheme="minorEastAsia" w:hAnsiTheme="minorHAnsi" w:cstheme="minorBidi"/>
          <w:b w:val="0"/>
          <w:szCs w:val="22"/>
        </w:rPr>
      </w:pPr>
      <w:r>
        <w:t>Division 4 — Misapplication of funds and property</w:t>
      </w:r>
    </w:p>
    <w:p>
      <w:pPr>
        <w:pStyle w:val="TOC8"/>
        <w:rPr>
          <w:rFonts w:asciiTheme="minorHAnsi" w:eastAsiaTheme="minorEastAsia" w:hAnsiTheme="minorHAnsi" w:cstheme="minorBidi"/>
          <w:szCs w:val="22"/>
        </w:rPr>
      </w:pPr>
      <w:r>
        <w:t>8.35.</w:t>
      </w:r>
      <w:r>
        <w:tab/>
        <w:t>Interpretation</w:t>
      </w:r>
      <w:r>
        <w:tab/>
      </w:r>
      <w:r>
        <w:fldChar w:fldCharType="begin"/>
      </w:r>
      <w:r>
        <w:instrText xml:space="preserve"> PAGEREF _Toc462409687 \h </w:instrText>
      </w:r>
      <w:r>
        <w:fldChar w:fldCharType="separate"/>
      </w:r>
      <w:r>
        <w:t>294</w:t>
      </w:r>
      <w:r>
        <w:fldChar w:fldCharType="end"/>
      </w:r>
    </w:p>
    <w:p>
      <w:pPr>
        <w:pStyle w:val="TOC8"/>
        <w:rPr>
          <w:rFonts w:asciiTheme="minorHAnsi" w:eastAsiaTheme="minorEastAsia" w:hAnsiTheme="minorHAnsi" w:cstheme="minorBidi"/>
          <w:szCs w:val="22"/>
        </w:rPr>
      </w:pPr>
      <w:r>
        <w:t>8.36.</w:t>
      </w:r>
      <w:r>
        <w:tab/>
        <w:t>Authorisation</w:t>
      </w:r>
      <w:r>
        <w:tab/>
      </w:r>
      <w:r>
        <w:fldChar w:fldCharType="begin"/>
      </w:r>
      <w:r>
        <w:instrText xml:space="preserve"> PAGEREF _Toc462409688 \h </w:instrText>
      </w:r>
      <w:r>
        <w:fldChar w:fldCharType="separate"/>
      </w:r>
      <w:r>
        <w:t>295</w:t>
      </w:r>
      <w:r>
        <w:fldChar w:fldCharType="end"/>
      </w:r>
    </w:p>
    <w:p>
      <w:pPr>
        <w:pStyle w:val="TOC8"/>
        <w:rPr>
          <w:rFonts w:asciiTheme="minorHAnsi" w:eastAsiaTheme="minorEastAsia" w:hAnsiTheme="minorHAnsi" w:cstheme="minorBidi"/>
          <w:szCs w:val="22"/>
        </w:rPr>
      </w:pPr>
      <w:r>
        <w:t>8.37.</w:t>
      </w:r>
      <w:r>
        <w:tab/>
        <w:t>Powers related to inquiries</w:t>
      </w:r>
      <w:r>
        <w:tab/>
      </w:r>
      <w:r>
        <w:fldChar w:fldCharType="begin"/>
      </w:r>
      <w:r>
        <w:instrText xml:space="preserve"> PAGEREF _Toc462409689 \h </w:instrText>
      </w:r>
      <w:r>
        <w:fldChar w:fldCharType="separate"/>
      </w:r>
      <w:r>
        <w:t>295</w:t>
      </w:r>
      <w:r>
        <w:fldChar w:fldCharType="end"/>
      </w:r>
    </w:p>
    <w:p>
      <w:pPr>
        <w:pStyle w:val="TOC8"/>
        <w:rPr>
          <w:rFonts w:asciiTheme="minorHAnsi" w:eastAsiaTheme="minorEastAsia" w:hAnsiTheme="minorHAnsi" w:cstheme="minorBidi"/>
          <w:szCs w:val="22"/>
        </w:rPr>
      </w:pPr>
      <w:r>
        <w:t>8.38.</w:t>
      </w:r>
      <w:r>
        <w:tab/>
        <w:t>Liability for misapplication of funds or property</w:t>
      </w:r>
      <w:r>
        <w:tab/>
      </w:r>
      <w:r>
        <w:fldChar w:fldCharType="begin"/>
      </w:r>
      <w:r>
        <w:instrText xml:space="preserve"> PAGEREF _Toc462409690 \h </w:instrText>
      </w:r>
      <w:r>
        <w:fldChar w:fldCharType="separate"/>
      </w:r>
      <w:r>
        <w:t>296</w:t>
      </w:r>
      <w:r>
        <w:fldChar w:fldCharType="end"/>
      </w:r>
    </w:p>
    <w:p>
      <w:pPr>
        <w:pStyle w:val="TOC8"/>
        <w:rPr>
          <w:rFonts w:asciiTheme="minorHAnsi" w:eastAsiaTheme="minorEastAsia" w:hAnsiTheme="minorHAnsi" w:cstheme="minorBidi"/>
          <w:szCs w:val="22"/>
        </w:rPr>
      </w:pPr>
      <w:r>
        <w:t>8.39.</w:t>
      </w:r>
      <w:r>
        <w:tab/>
        <w:t>Action to recover amounts misapplied</w:t>
      </w:r>
      <w:r>
        <w:tab/>
      </w:r>
      <w:r>
        <w:fldChar w:fldCharType="begin"/>
      </w:r>
      <w:r>
        <w:instrText xml:space="preserve"> PAGEREF _Toc462409691 \h </w:instrText>
      </w:r>
      <w:r>
        <w:fldChar w:fldCharType="separate"/>
      </w:r>
      <w:r>
        <w:t>296</w:t>
      </w:r>
      <w:r>
        <w:fldChar w:fldCharType="end"/>
      </w:r>
    </w:p>
    <w:p>
      <w:pPr>
        <w:pStyle w:val="TOC8"/>
        <w:rPr>
          <w:rFonts w:asciiTheme="minorHAnsi" w:eastAsiaTheme="minorEastAsia" w:hAnsiTheme="minorHAnsi" w:cstheme="minorBidi"/>
          <w:szCs w:val="22"/>
        </w:rPr>
      </w:pPr>
      <w:r>
        <w:t>8.40.</w:t>
      </w:r>
      <w:r>
        <w:tab/>
        <w:t>Notice to be given before action is taken</w:t>
      </w:r>
      <w:r>
        <w:tab/>
      </w:r>
      <w:r>
        <w:fldChar w:fldCharType="begin"/>
      </w:r>
      <w:r>
        <w:instrText xml:space="preserve"> PAGEREF _Toc462409692 \h </w:instrText>
      </w:r>
      <w:r>
        <w:fldChar w:fldCharType="separate"/>
      </w:r>
      <w:r>
        <w:t>296</w:t>
      </w:r>
      <w:r>
        <w:fldChar w:fldCharType="end"/>
      </w:r>
    </w:p>
    <w:p>
      <w:pPr>
        <w:pStyle w:val="TOC8"/>
        <w:rPr>
          <w:rFonts w:asciiTheme="minorHAnsi" w:eastAsiaTheme="minorEastAsia" w:hAnsiTheme="minorHAnsi" w:cstheme="minorBidi"/>
          <w:szCs w:val="22"/>
        </w:rPr>
      </w:pPr>
      <w:r>
        <w:t>8.41.</w:t>
      </w:r>
      <w:r>
        <w:tab/>
        <w:t>Decision whether or not to proceed with action</w:t>
      </w:r>
      <w:r>
        <w:tab/>
      </w:r>
      <w:r>
        <w:fldChar w:fldCharType="begin"/>
      </w:r>
      <w:r>
        <w:instrText xml:space="preserve"> PAGEREF _Toc462409693 \h </w:instrText>
      </w:r>
      <w:r>
        <w:fldChar w:fldCharType="separate"/>
      </w:r>
      <w:r>
        <w:t>297</w:t>
      </w:r>
      <w:r>
        <w:fldChar w:fldCharType="end"/>
      </w:r>
    </w:p>
    <w:p>
      <w:pPr>
        <w:pStyle w:val="TOC8"/>
        <w:rPr>
          <w:rFonts w:asciiTheme="minorHAnsi" w:eastAsiaTheme="minorEastAsia" w:hAnsiTheme="minorHAnsi" w:cstheme="minorBidi"/>
          <w:szCs w:val="22"/>
        </w:rPr>
      </w:pPr>
      <w:r>
        <w:t>8.42.</w:t>
      </w:r>
      <w:r>
        <w:tab/>
        <w:t>Power of court to order payment</w:t>
      </w:r>
      <w:r>
        <w:tab/>
      </w:r>
      <w:r>
        <w:fldChar w:fldCharType="begin"/>
      </w:r>
      <w:r>
        <w:instrText xml:space="preserve"> PAGEREF _Toc462409694 \h </w:instrText>
      </w:r>
      <w:r>
        <w:fldChar w:fldCharType="separate"/>
      </w:r>
      <w:r>
        <w:t>297</w:t>
      </w:r>
      <w:r>
        <w:fldChar w:fldCharType="end"/>
      </w:r>
    </w:p>
    <w:p>
      <w:pPr>
        <w:pStyle w:val="TOC8"/>
        <w:rPr>
          <w:rFonts w:asciiTheme="minorHAnsi" w:eastAsiaTheme="minorEastAsia" w:hAnsiTheme="minorHAnsi" w:cstheme="minorBidi"/>
          <w:szCs w:val="22"/>
        </w:rPr>
      </w:pPr>
      <w:r>
        <w:t>8.43.</w:t>
      </w:r>
      <w:r>
        <w:tab/>
        <w:t>Disqualification of person who has misapplied funds or property</w:t>
      </w:r>
      <w:r>
        <w:tab/>
      </w:r>
      <w:r>
        <w:fldChar w:fldCharType="begin"/>
      </w:r>
      <w:r>
        <w:instrText xml:space="preserve"> PAGEREF _Toc462409695 \h </w:instrText>
      </w:r>
      <w:r>
        <w:fldChar w:fldCharType="separate"/>
      </w:r>
      <w:r>
        <w:t>298</w:t>
      </w:r>
      <w:r>
        <w:fldChar w:fldCharType="end"/>
      </w:r>
    </w:p>
    <w:p>
      <w:pPr>
        <w:pStyle w:val="TOC8"/>
        <w:rPr>
          <w:rFonts w:asciiTheme="minorHAnsi" w:eastAsiaTheme="minorEastAsia" w:hAnsiTheme="minorHAnsi" w:cstheme="minorBidi"/>
          <w:szCs w:val="22"/>
        </w:rPr>
      </w:pPr>
      <w:r>
        <w:t>8.44.</w:t>
      </w:r>
      <w:r>
        <w:tab/>
        <w:t>Evidence of authorisation</w:t>
      </w:r>
      <w:r>
        <w:tab/>
      </w:r>
      <w:r>
        <w:fldChar w:fldCharType="begin"/>
      </w:r>
      <w:r>
        <w:instrText xml:space="preserve"> PAGEREF _Toc462409696 \h </w:instrText>
      </w:r>
      <w:r>
        <w:fldChar w:fldCharType="separate"/>
      </w:r>
      <w:r>
        <w:t>298</w:t>
      </w:r>
      <w:r>
        <w:fldChar w:fldCharType="end"/>
      </w:r>
    </w:p>
    <w:p>
      <w:pPr>
        <w:pStyle w:val="TOC2"/>
        <w:tabs>
          <w:tab w:val="right" w:leader="dot" w:pos="7077"/>
        </w:tabs>
        <w:rPr>
          <w:rFonts w:asciiTheme="minorHAnsi" w:eastAsiaTheme="minorEastAsia" w:hAnsiTheme="minorHAnsi" w:cstheme="minorBidi"/>
          <w:b w:val="0"/>
          <w:sz w:val="22"/>
          <w:szCs w:val="22"/>
        </w:rPr>
      </w:pPr>
      <w:r>
        <w:t>Part 9 — Miscellaneous provisions</w:t>
      </w:r>
    </w:p>
    <w:p>
      <w:pPr>
        <w:pStyle w:val="TOC4"/>
        <w:tabs>
          <w:tab w:val="right" w:leader="dot" w:pos="7077"/>
        </w:tabs>
        <w:rPr>
          <w:rFonts w:asciiTheme="minorHAnsi" w:eastAsiaTheme="minorEastAsia" w:hAnsiTheme="minorHAnsi" w:cstheme="minorBidi"/>
          <w:b w:val="0"/>
          <w:szCs w:val="22"/>
        </w:rPr>
      </w:pPr>
      <w:r>
        <w:t>Division 1 — Objections and review</w:t>
      </w:r>
    </w:p>
    <w:p>
      <w:pPr>
        <w:pStyle w:val="TOC8"/>
        <w:rPr>
          <w:rFonts w:asciiTheme="minorHAnsi" w:eastAsiaTheme="minorEastAsia" w:hAnsiTheme="minorHAnsi" w:cstheme="minorBidi"/>
          <w:szCs w:val="22"/>
        </w:rPr>
      </w:pPr>
      <w:r>
        <w:t>9.1.</w:t>
      </w:r>
      <w:r>
        <w:tab/>
        <w:t>When this Division applies</w:t>
      </w:r>
      <w:r>
        <w:tab/>
      </w:r>
      <w:r>
        <w:fldChar w:fldCharType="begin"/>
      </w:r>
      <w:r>
        <w:instrText xml:space="preserve"> PAGEREF _Toc462409699 \h </w:instrText>
      </w:r>
      <w:r>
        <w:fldChar w:fldCharType="separate"/>
      </w:r>
      <w:r>
        <w:t>299</w:t>
      </w:r>
      <w:r>
        <w:fldChar w:fldCharType="end"/>
      </w:r>
    </w:p>
    <w:p>
      <w:pPr>
        <w:pStyle w:val="TOC8"/>
        <w:rPr>
          <w:rFonts w:asciiTheme="minorHAnsi" w:eastAsiaTheme="minorEastAsia" w:hAnsiTheme="minorHAnsi" w:cstheme="minorBidi"/>
          <w:szCs w:val="22"/>
        </w:rPr>
      </w:pPr>
      <w:r>
        <w:t>9.2.</w:t>
      </w:r>
      <w:r>
        <w:tab/>
        <w:t>Terms used</w:t>
      </w:r>
      <w:r>
        <w:tab/>
      </w:r>
      <w:r>
        <w:fldChar w:fldCharType="begin"/>
      </w:r>
      <w:r>
        <w:instrText xml:space="preserve"> PAGEREF _Toc462409700 \h </w:instrText>
      </w:r>
      <w:r>
        <w:fldChar w:fldCharType="separate"/>
      </w:r>
      <w:r>
        <w:t>300</w:t>
      </w:r>
      <w:r>
        <w:fldChar w:fldCharType="end"/>
      </w:r>
    </w:p>
    <w:p>
      <w:pPr>
        <w:pStyle w:val="TOC8"/>
        <w:rPr>
          <w:rFonts w:asciiTheme="minorHAnsi" w:eastAsiaTheme="minorEastAsia" w:hAnsiTheme="minorHAnsi" w:cstheme="minorBidi"/>
          <w:szCs w:val="22"/>
        </w:rPr>
      </w:pPr>
      <w:r>
        <w:t>9.3.</w:t>
      </w:r>
      <w:r>
        <w:tab/>
        <w:t>Rights of affected person extended to certain owners</w:t>
      </w:r>
      <w:r>
        <w:tab/>
      </w:r>
      <w:r>
        <w:fldChar w:fldCharType="begin"/>
      </w:r>
      <w:r>
        <w:instrText xml:space="preserve"> PAGEREF _Toc462409701 \h </w:instrText>
      </w:r>
      <w:r>
        <w:fldChar w:fldCharType="separate"/>
      </w:r>
      <w:r>
        <w:t>300</w:t>
      </w:r>
      <w:r>
        <w:fldChar w:fldCharType="end"/>
      </w:r>
    </w:p>
    <w:p>
      <w:pPr>
        <w:pStyle w:val="TOC8"/>
        <w:rPr>
          <w:rFonts w:asciiTheme="minorHAnsi" w:eastAsiaTheme="minorEastAsia" w:hAnsiTheme="minorHAnsi" w:cstheme="minorBidi"/>
          <w:szCs w:val="22"/>
        </w:rPr>
      </w:pPr>
      <w:r>
        <w:t>9.4.</w:t>
      </w:r>
      <w:r>
        <w:tab/>
        <w:t>Advice of objection and review rights</w:t>
      </w:r>
      <w:r>
        <w:tab/>
      </w:r>
      <w:r>
        <w:fldChar w:fldCharType="begin"/>
      </w:r>
      <w:r>
        <w:instrText xml:space="preserve"> PAGEREF _Toc462409702 \h </w:instrText>
      </w:r>
      <w:r>
        <w:fldChar w:fldCharType="separate"/>
      </w:r>
      <w:r>
        <w:t>300</w:t>
      </w:r>
      <w:r>
        <w:fldChar w:fldCharType="end"/>
      </w:r>
    </w:p>
    <w:p>
      <w:pPr>
        <w:pStyle w:val="TOC8"/>
        <w:rPr>
          <w:rFonts w:asciiTheme="minorHAnsi" w:eastAsiaTheme="minorEastAsia" w:hAnsiTheme="minorHAnsi" w:cstheme="minorBidi"/>
          <w:szCs w:val="22"/>
        </w:rPr>
      </w:pPr>
      <w:r>
        <w:t>9.5.</w:t>
      </w:r>
      <w:r>
        <w:tab/>
        <w:t>Objection may be lodged</w:t>
      </w:r>
      <w:r>
        <w:tab/>
      </w:r>
      <w:r>
        <w:fldChar w:fldCharType="begin"/>
      </w:r>
      <w:r>
        <w:instrText xml:space="preserve"> PAGEREF _Toc462409703 \h </w:instrText>
      </w:r>
      <w:r>
        <w:fldChar w:fldCharType="separate"/>
      </w:r>
      <w:r>
        <w:t>301</w:t>
      </w:r>
      <w:r>
        <w:fldChar w:fldCharType="end"/>
      </w:r>
    </w:p>
    <w:p>
      <w:pPr>
        <w:pStyle w:val="TOC8"/>
        <w:rPr>
          <w:rFonts w:asciiTheme="minorHAnsi" w:eastAsiaTheme="minorEastAsia" w:hAnsiTheme="minorHAnsi" w:cstheme="minorBidi"/>
          <w:szCs w:val="22"/>
        </w:rPr>
      </w:pPr>
      <w:r>
        <w:t>9.6.</w:t>
      </w:r>
      <w:r>
        <w:tab/>
        <w:t>Dealing with objection</w:t>
      </w:r>
      <w:r>
        <w:tab/>
      </w:r>
      <w:r>
        <w:fldChar w:fldCharType="begin"/>
      </w:r>
      <w:r>
        <w:instrText xml:space="preserve"> PAGEREF _Toc462409704 \h </w:instrText>
      </w:r>
      <w:r>
        <w:fldChar w:fldCharType="separate"/>
      </w:r>
      <w:r>
        <w:t>301</w:t>
      </w:r>
      <w:r>
        <w:fldChar w:fldCharType="end"/>
      </w:r>
    </w:p>
    <w:p>
      <w:pPr>
        <w:pStyle w:val="TOC8"/>
        <w:rPr>
          <w:rFonts w:asciiTheme="minorHAnsi" w:eastAsiaTheme="minorEastAsia" w:hAnsiTheme="minorHAnsi" w:cstheme="minorBidi"/>
          <w:szCs w:val="22"/>
        </w:rPr>
      </w:pPr>
      <w:r>
        <w:t>9.7.</w:t>
      </w:r>
      <w:r>
        <w:tab/>
        <w:t>Review</w:t>
      </w:r>
      <w:r>
        <w:tab/>
      </w:r>
      <w:r>
        <w:fldChar w:fldCharType="begin"/>
      </w:r>
      <w:r>
        <w:instrText xml:space="preserve"> PAGEREF _Toc462409705 \h </w:instrText>
      </w:r>
      <w:r>
        <w:fldChar w:fldCharType="separate"/>
      </w:r>
      <w:r>
        <w:t>302</w:t>
      </w:r>
      <w:r>
        <w:fldChar w:fldCharType="end"/>
      </w:r>
    </w:p>
    <w:p>
      <w:pPr>
        <w:pStyle w:val="TOC8"/>
        <w:rPr>
          <w:rFonts w:asciiTheme="minorHAnsi" w:eastAsiaTheme="minorEastAsia" w:hAnsiTheme="minorHAnsi" w:cstheme="minorBidi"/>
          <w:szCs w:val="22"/>
        </w:rPr>
      </w:pPr>
      <w:r>
        <w:t>9.9.</w:t>
      </w:r>
      <w:r>
        <w:tab/>
        <w:t>Suspension of effect of decision</w:t>
      </w:r>
      <w:r>
        <w:tab/>
      </w:r>
      <w:r>
        <w:fldChar w:fldCharType="begin"/>
      </w:r>
      <w:r>
        <w:instrText xml:space="preserve"> PAGEREF _Toc462409706 \h </w:instrText>
      </w:r>
      <w:r>
        <w:fldChar w:fldCharType="separate"/>
      </w:r>
      <w:r>
        <w:t>302</w:t>
      </w:r>
      <w:r>
        <w:fldChar w:fldCharType="end"/>
      </w:r>
    </w:p>
    <w:p>
      <w:pPr>
        <w:pStyle w:val="TOC4"/>
        <w:tabs>
          <w:tab w:val="right" w:leader="dot" w:pos="7077"/>
        </w:tabs>
        <w:rPr>
          <w:rFonts w:asciiTheme="minorHAnsi" w:eastAsiaTheme="minorEastAsia" w:hAnsiTheme="minorHAnsi" w:cstheme="minorBidi"/>
          <w:b w:val="0"/>
          <w:szCs w:val="22"/>
        </w:rPr>
      </w:pPr>
      <w:r>
        <w:t>Division 2 — Enforcement and legal proceedings</w:t>
      </w:r>
    </w:p>
    <w:p>
      <w:pPr>
        <w:pStyle w:val="TOC6"/>
        <w:tabs>
          <w:tab w:val="right" w:leader="dot" w:pos="7077"/>
        </w:tabs>
        <w:rPr>
          <w:rFonts w:asciiTheme="minorHAnsi" w:eastAsiaTheme="minorEastAsia" w:hAnsiTheme="minorHAnsi" w:cstheme="minorBidi"/>
          <w:b w:val="0"/>
          <w:sz w:val="22"/>
          <w:szCs w:val="22"/>
        </w:rPr>
      </w:pPr>
      <w:r>
        <w:t>Subdivision 1 — Miscellaneous provisions about enforcement</w:t>
      </w:r>
    </w:p>
    <w:p>
      <w:pPr>
        <w:pStyle w:val="TOC8"/>
        <w:rPr>
          <w:rFonts w:asciiTheme="minorHAnsi" w:eastAsiaTheme="minorEastAsia" w:hAnsiTheme="minorHAnsi" w:cstheme="minorBidi"/>
          <w:szCs w:val="22"/>
        </w:rPr>
      </w:pPr>
      <w:r>
        <w:t>9.10.</w:t>
      </w:r>
      <w:r>
        <w:tab/>
        <w:t>Appointment of authorised persons</w:t>
      </w:r>
      <w:r>
        <w:tab/>
      </w:r>
      <w:r>
        <w:fldChar w:fldCharType="begin"/>
      </w:r>
      <w:r>
        <w:instrText xml:space="preserve"> PAGEREF _Toc462409709 \h </w:instrText>
      </w:r>
      <w:r>
        <w:fldChar w:fldCharType="separate"/>
      </w:r>
      <w:r>
        <w:t>303</w:t>
      </w:r>
      <w:r>
        <w:fldChar w:fldCharType="end"/>
      </w:r>
    </w:p>
    <w:p>
      <w:pPr>
        <w:pStyle w:val="TOC8"/>
        <w:rPr>
          <w:rFonts w:asciiTheme="minorHAnsi" w:eastAsiaTheme="minorEastAsia" w:hAnsiTheme="minorHAnsi" w:cstheme="minorBidi"/>
          <w:szCs w:val="22"/>
        </w:rPr>
      </w:pPr>
      <w:r>
        <w:t>9.11.</w:t>
      </w:r>
      <w:r>
        <w:tab/>
        <w:t>Persons found committing breach of Act to give name on demand</w:t>
      </w:r>
      <w:r>
        <w:tab/>
      </w:r>
      <w:r>
        <w:fldChar w:fldCharType="begin"/>
      </w:r>
      <w:r>
        <w:instrText xml:space="preserve"> PAGEREF _Toc462409710 \h </w:instrText>
      </w:r>
      <w:r>
        <w:fldChar w:fldCharType="separate"/>
      </w:r>
      <w:r>
        <w:t>304</w:t>
      </w:r>
      <w:r>
        <w:fldChar w:fldCharType="end"/>
      </w:r>
    </w:p>
    <w:p>
      <w:pPr>
        <w:pStyle w:val="TOC8"/>
        <w:rPr>
          <w:rFonts w:asciiTheme="minorHAnsi" w:eastAsiaTheme="minorEastAsia" w:hAnsiTheme="minorHAnsi" w:cstheme="minorBidi"/>
          <w:szCs w:val="22"/>
        </w:rPr>
      </w:pPr>
      <w:r>
        <w:t>9.12.</w:t>
      </w:r>
      <w:r>
        <w:tab/>
        <w:t>Obstructing person acting under written law, offence</w:t>
      </w:r>
      <w:r>
        <w:tab/>
      </w:r>
      <w:r>
        <w:fldChar w:fldCharType="begin"/>
      </w:r>
      <w:r>
        <w:instrText xml:space="preserve"> PAGEREF _Toc462409711 \h </w:instrText>
      </w:r>
      <w:r>
        <w:fldChar w:fldCharType="separate"/>
      </w:r>
      <w:r>
        <w:t>305</w:t>
      </w:r>
      <w:r>
        <w:fldChar w:fldCharType="end"/>
      </w:r>
    </w:p>
    <w:p>
      <w:pPr>
        <w:pStyle w:val="TOC8"/>
        <w:rPr>
          <w:rFonts w:asciiTheme="minorHAnsi" w:eastAsiaTheme="minorEastAsia" w:hAnsiTheme="minorHAnsi" w:cstheme="minorBidi"/>
          <w:szCs w:val="22"/>
        </w:rPr>
      </w:pPr>
      <w:r>
        <w:t>9.13.</w:t>
      </w:r>
      <w:r>
        <w:tab/>
        <w:t>Onus of proof in vehicle offences may be shifted</w:t>
      </w:r>
      <w:r>
        <w:tab/>
      </w:r>
      <w:r>
        <w:fldChar w:fldCharType="begin"/>
      </w:r>
      <w:r>
        <w:instrText xml:space="preserve"> PAGEREF _Toc462409712 \h </w:instrText>
      </w:r>
      <w:r>
        <w:fldChar w:fldCharType="separate"/>
      </w:r>
      <w:r>
        <w:t>305</w:t>
      </w:r>
      <w:r>
        <w:fldChar w:fldCharType="end"/>
      </w:r>
    </w:p>
    <w:p>
      <w:pPr>
        <w:pStyle w:val="TOC8"/>
        <w:rPr>
          <w:rFonts w:asciiTheme="minorHAnsi" w:eastAsiaTheme="minorEastAsia" w:hAnsiTheme="minorHAnsi" w:cstheme="minorBidi"/>
          <w:szCs w:val="22"/>
        </w:rPr>
      </w:pPr>
      <w:r>
        <w:t>9.13A.</w:t>
      </w:r>
      <w:r>
        <w:tab/>
        <w:t>Notice to prevent continuing contravention</w:t>
      </w:r>
      <w:r>
        <w:tab/>
      </w:r>
      <w:r>
        <w:fldChar w:fldCharType="begin"/>
      </w:r>
      <w:r>
        <w:instrText xml:space="preserve"> PAGEREF _Toc462409713 \h </w:instrText>
      </w:r>
      <w:r>
        <w:fldChar w:fldCharType="separate"/>
      </w:r>
      <w:r>
        <w:t>306</w:t>
      </w:r>
      <w:r>
        <w:fldChar w:fldCharType="end"/>
      </w:r>
    </w:p>
    <w:p>
      <w:pPr>
        <w:pStyle w:val="TOC8"/>
        <w:rPr>
          <w:rFonts w:asciiTheme="minorHAnsi" w:eastAsiaTheme="minorEastAsia" w:hAnsiTheme="minorHAnsi" w:cstheme="minorBidi"/>
          <w:szCs w:val="22"/>
        </w:rPr>
      </w:pPr>
      <w:r>
        <w:t>9.14.</w:t>
      </w:r>
      <w:r>
        <w:tab/>
        <w:t>Penalty for offence when not otherwise specified</w:t>
      </w:r>
      <w:r>
        <w:tab/>
      </w:r>
      <w:r>
        <w:fldChar w:fldCharType="begin"/>
      </w:r>
      <w:r>
        <w:instrText xml:space="preserve"> PAGEREF _Toc462409714 \h </w:instrText>
      </w:r>
      <w:r>
        <w:fldChar w:fldCharType="separate"/>
      </w:r>
      <w:r>
        <w:t>307</w:t>
      </w:r>
      <w:r>
        <w:fldChar w:fldCharType="end"/>
      </w:r>
    </w:p>
    <w:p>
      <w:pPr>
        <w:pStyle w:val="TOC6"/>
        <w:tabs>
          <w:tab w:val="right" w:leader="dot" w:pos="7077"/>
        </w:tabs>
        <w:rPr>
          <w:rFonts w:asciiTheme="minorHAnsi" w:eastAsiaTheme="minorEastAsia" w:hAnsiTheme="minorHAnsi" w:cstheme="minorBidi"/>
          <w:b w:val="0"/>
          <w:sz w:val="22"/>
          <w:szCs w:val="22"/>
        </w:rPr>
      </w:pPr>
      <w:r>
        <w:t>Subdivision 2 — Infringement notices</w:t>
      </w:r>
    </w:p>
    <w:p>
      <w:pPr>
        <w:pStyle w:val="TOC8"/>
        <w:rPr>
          <w:rFonts w:asciiTheme="minorHAnsi" w:eastAsiaTheme="minorEastAsia" w:hAnsiTheme="minorHAnsi" w:cstheme="minorBidi"/>
          <w:szCs w:val="22"/>
        </w:rPr>
      </w:pPr>
      <w:r>
        <w:t>9.15.</w:t>
      </w:r>
      <w:r>
        <w:tab/>
        <w:t>Terms used</w:t>
      </w:r>
      <w:r>
        <w:tab/>
      </w:r>
      <w:r>
        <w:fldChar w:fldCharType="begin"/>
      </w:r>
      <w:r>
        <w:instrText xml:space="preserve"> PAGEREF _Toc462409716 \h </w:instrText>
      </w:r>
      <w:r>
        <w:fldChar w:fldCharType="separate"/>
      </w:r>
      <w:r>
        <w:t>307</w:t>
      </w:r>
      <w:r>
        <w:fldChar w:fldCharType="end"/>
      </w:r>
    </w:p>
    <w:p>
      <w:pPr>
        <w:pStyle w:val="TOC8"/>
        <w:rPr>
          <w:rFonts w:asciiTheme="minorHAnsi" w:eastAsiaTheme="minorEastAsia" w:hAnsiTheme="minorHAnsi" w:cstheme="minorBidi"/>
          <w:szCs w:val="22"/>
        </w:rPr>
      </w:pPr>
      <w:r>
        <w:t>9.16.</w:t>
      </w:r>
      <w:r>
        <w:tab/>
        <w:t>Notice, giving of to alleged offender</w:t>
      </w:r>
      <w:r>
        <w:tab/>
      </w:r>
      <w:r>
        <w:fldChar w:fldCharType="begin"/>
      </w:r>
      <w:r>
        <w:instrText xml:space="preserve"> PAGEREF _Toc462409717 \h </w:instrText>
      </w:r>
      <w:r>
        <w:fldChar w:fldCharType="separate"/>
      </w:r>
      <w:r>
        <w:t>307</w:t>
      </w:r>
      <w:r>
        <w:fldChar w:fldCharType="end"/>
      </w:r>
    </w:p>
    <w:p>
      <w:pPr>
        <w:pStyle w:val="TOC8"/>
        <w:rPr>
          <w:rFonts w:asciiTheme="minorHAnsi" w:eastAsiaTheme="minorEastAsia" w:hAnsiTheme="minorHAnsi" w:cstheme="minorBidi"/>
          <w:szCs w:val="22"/>
        </w:rPr>
      </w:pPr>
      <w:r>
        <w:t>9.17.</w:t>
      </w:r>
      <w:r>
        <w:tab/>
        <w:t>Notice, content of</w:t>
      </w:r>
      <w:r>
        <w:tab/>
      </w:r>
      <w:r>
        <w:fldChar w:fldCharType="begin"/>
      </w:r>
      <w:r>
        <w:instrText xml:space="preserve"> PAGEREF _Toc462409718 \h </w:instrText>
      </w:r>
      <w:r>
        <w:fldChar w:fldCharType="separate"/>
      </w:r>
      <w:r>
        <w:t>308</w:t>
      </w:r>
      <w:r>
        <w:fldChar w:fldCharType="end"/>
      </w:r>
    </w:p>
    <w:p>
      <w:pPr>
        <w:pStyle w:val="TOC8"/>
        <w:rPr>
          <w:rFonts w:asciiTheme="minorHAnsi" w:eastAsiaTheme="minorEastAsia" w:hAnsiTheme="minorHAnsi" w:cstheme="minorBidi"/>
          <w:szCs w:val="22"/>
        </w:rPr>
      </w:pPr>
      <w:r>
        <w:t>9.18.</w:t>
      </w:r>
      <w:r>
        <w:tab/>
        <w:t>Notice placing onus on vehicle owner</w:t>
      </w:r>
      <w:r>
        <w:tab/>
      </w:r>
      <w:r>
        <w:fldChar w:fldCharType="begin"/>
      </w:r>
      <w:r>
        <w:instrText xml:space="preserve"> PAGEREF _Toc462409719 \h </w:instrText>
      </w:r>
      <w:r>
        <w:fldChar w:fldCharType="separate"/>
      </w:r>
      <w:r>
        <w:t>309</w:t>
      </w:r>
      <w:r>
        <w:fldChar w:fldCharType="end"/>
      </w:r>
    </w:p>
    <w:p>
      <w:pPr>
        <w:pStyle w:val="TOC8"/>
        <w:rPr>
          <w:rFonts w:asciiTheme="minorHAnsi" w:eastAsiaTheme="minorEastAsia" w:hAnsiTheme="minorHAnsi" w:cstheme="minorBidi"/>
          <w:szCs w:val="22"/>
        </w:rPr>
      </w:pPr>
      <w:r>
        <w:t>9.19.</w:t>
      </w:r>
      <w:r>
        <w:tab/>
        <w:t>Extension of time</w:t>
      </w:r>
      <w:r>
        <w:tab/>
      </w:r>
      <w:r>
        <w:fldChar w:fldCharType="begin"/>
      </w:r>
      <w:r>
        <w:instrText xml:space="preserve"> PAGEREF _Toc462409720 \h </w:instrText>
      </w:r>
      <w:r>
        <w:fldChar w:fldCharType="separate"/>
      </w:r>
      <w:r>
        <w:t>310</w:t>
      </w:r>
      <w:r>
        <w:fldChar w:fldCharType="end"/>
      </w:r>
    </w:p>
    <w:p>
      <w:pPr>
        <w:pStyle w:val="TOC8"/>
        <w:rPr>
          <w:rFonts w:asciiTheme="minorHAnsi" w:eastAsiaTheme="minorEastAsia" w:hAnsiTheme="minorHAnsi" w:cstheme="minorBidi"/>
          <w:szCs w:val="22"/>
        </w:rPr>
      </w:pPr>
      <w:r>
        <w:t>9.20.</w:t>
      </w:r>
      <w:r>
        <w:tab/>
        <w:t>Withdrawal of notice</w:t>
      </w:r>
      <w:r>
        <w:tab/>
      </w:r>
      <w:r>
        <w:fldChar w:fldCharType="begin"/>
      </w:r>
      <w:r>
        <w:instrText xml:space="preserve"> PAGEREF _Toc462409721 \h </w:instrText>
      </w:r>
      <w:r>
        <w:fldChar w:fldCharType="separate"/>
      </w:r>
      <w:r>
        <w:t>310</w:t>
      </w:r>
      <w:r>
        <w:fldChar w:fldCharType="end"/>
      </w:r>
    </w:p>
    <w:p>
      <w:pPr>
        <w:pStyle w:val="TOC8"/>
        <w:rPr>
          <w:rFonts w:asciiTheme="minorHAnsi" w:eastAsiaTheme="minorEastAsia" w:hAnsiTheme="minorHAnsi" w:cstheme="minorBidi"/>
          <w:szCs w:val="22"/>
        </w:rPr>
      </w:pPr>
      <w:r>
        <w:t>9.21.</w:t>
      </w:r>
      <w:r>
        <w:tab/>
        <w:t>Benefit of paying modified penalty</w:t>
      </w:r>
      <w:r>
        <w:tab/>
      </w:r>
      <w:r>
        <w:fldChar w:fldCharType="begin"/>
      </w:r>
      <w:r>
        <w:instrText xml:space="preserve"> PAGEREF _Toc462409722 \h </w:instrText>
      </w:r>
      <w:r>
        <w:fldChar w:fldCharType="separate"/>
      </w:r>
      <w:r>
        <w:t>310</w:t>
      </w:r>
      <w:r>
        <w:fldChar w:fldCharType="end"/>
      </w:r>
    </w:p>
    <w:p>
      <w:pPr>
        <w:pStyle w:val="TOC8"/>
        <w:rPr>
          <w:rFonts w:asciiTheme="minorHAnsi" w:eastAsiaTheme="minorEastAsia" w:hAnsiTheme="minorHAnsi" w:cstheme="minorBidi"/>
          <w:szCs w:val="22"/>
        </w:rPr>
      </w:pPr>
      <w:r>
        <w:t>9.22.</w:t>
      </w:r>
      <w:r>
        <w:tab/>
        <w:t>Application of penalties collected</w:t>
      </w:r>
      <w:r>
        <w:tab/>
      </w:r>
      <w:r>
        <w:fldChar w:fldCharType="begin"/>
      </w:r>
      <w:r>
        <w:instrText xml:space="preserve"> PAGEREF _Toc462409723 \h </w:instrText>
      </w:r>
      <w:r>
        <w:fldChar w:fldCharType="separate"/>
      </w:r>
      <w:r>
        <w:t>310</w:t>
      </w:r>
      <w:r>
        <w:fldChar w:fldCharType="end"/>
      </w:r>
    </w:p>
    <w:p>
      <w:pPr>
        <w:pStyle w:val="TOC8"/>
        <w:rPr>
          <w:rFonts w:asciiTheme="minorHAnsi" w:eastAsiaTheme="minorEastAsia" w:hAnsiTheme="minorHAnsi" w:cstheme="minorBidi"/>
          <w:szCs w:val="22"/>
        </w:rPr>
      </w:pPr>
      <w:r>
        <w:t>9.23.</w:t>
      </w:r>
      <w:r>
        <w:tab/>
        <w:t>Restriction on appointment of authorised persons</w:t>
      </w:r>
      <w:r>
        <w:tab/>
      </w:r>
      <w:r>
        <w:fldChar w:fldCharType="begin"/>
      </w:r>
      <w:r>
        <w:instrText xml:space="preserve"> PAGEREF _Toc462409724 \h </w:instrText>
      </w:r>
      <w:r>
        <w:fldChar w:fldCharType="separate"/>
      </w:r>
      <w:r>
        <w:t>311</w:t>
      </w:r>
      <w:r>
        <w:fldChar w:fldCharType="end"/>
      </w:r>
    </w:p>
    <w:p>
      <w:pPr>
        <w:pStyle w:val="TOC6"/>
        <w:tabs>
          <w:tab w:val="right" w:leader="dot" w:pos="7077"/>
        </w:tabs>
        <w:rPr>
          <w:rFonts w:asciiTheme="minorHAnsi" w:eastAsiaTheme="minorEastAsia" w:hAnsiTheme="minorHAnsi" w:cstheme="minorBidi"/>
          <w:b w:val="0"/>
          <w:sz w:val="22"/>
          <w:szCs w:val="22"/>
        </w:rPr>
      </w:pPr>
      <w:r>
        <w:t>Subdivision 3 — General provisions about legal proceedings</w:t>
      </w:r>
    </w:p>
    <w:p>
      <w:pPr>
        <w:pStyle w:val="TOC8"/>
        <w:rPr>
          <w:rFonts w:asciiTheme="minorHAnsi" w:eastAsiaTheme="minorEastAsia" w:hAnsiTheme="minorHAnsi" w:cstheme="minorBidi"/>
          <w:szCs w:val="22"/>
        </w:rPr>
      </w:pPr>
      <w:r>
        <w:t>9.24.</w:t>
      </w:r>
      <w:r>
        <w:tab/>
        <w:t>Prosecutions, commencing</w:t>
      </w:r>
      <w:r>
        <w:tab/>
      </w:r>
      <w:r>
        <w:fldChar w:fldCharType="begin"/>
      </w:r>
      <w:r>
        <w:instrText xml:space="preserve"> PAGEREF _Toc462409726 \h </w:instrText>
      </w:r>
      <w:r>
        <w:fldChar w:fldCharType="separate"/>
      </w:r>
      <w:r>
        <w:t>311</w:t>
      </w:r>
      <w:r>
        <w:fldChar w:fldCharType="end"/>
      </w:r>
    </w:p>
    <w:p>
      <w:pPr>
        <w:pStyle w:val="TOC8"/>
        <w:rPr>
          <w:rFonts w:asciiTheme="minorHAnsi" w:eastAsiaTheme="minorEastAsia" w:hAnsiTheme="minorHAnsi" w:cstheme="minorBidi"/>
          <w:szCs w:val="22"/>
        </w:rPr>
      </w:pPr>
      <w:r>
        <w:t>9.25.</w:t>
      </w:r>
      <w:r>
        <w:tab/>
        <w:t>Prosecutions, time limit for</w:t>
      </w:r>
      <w:r>
        <w:tab/>
      </w:r>
      <w:r>
        <w:fldChar w:fldCharType="begin"/>
      </w:r>
      <w:r>
        <w:instrText xml:space="preserve"> PAGEREF _Toc462409727 \h </w:instrText>
      </w:r>
      <w:r>
        <w:fldChar w:fldCharType="separate"/>
      </w:r>
      <w:r>
        <w:t>311</w:t>
      </w:r>
      <w:r>
        <w:fldChar w:fldCharType="end"/>
      </w:r>
    </w:p>
    <w:p>
      <w:pPr>
        <w:pStyle w:val="TOC8"/>
        <w:rPr>
          <w:rFonts w:asciiTheme="minorHAnsi" w:eastAsiaTheme="minorEastAsia" w:hAnsiTheme="minorHAnsi" w:cstheme="minorBidi"/>
          <w:szCs w:val="22"/>
        </w:rPr>
      </w:pPr>
      <w:r>
        <w:t>9.26.</w:t>
      </w:r>
      <w:r>
        <w:tab/>
        <w:t>Prosecuting accused whose name unknown</w:t>
      </w:r>
      <w:r>
        <w:tab/>
      </w:r>
      <w:r>
        <w:fldChar w:fldCharType="begin"/>
      </w:r>
      <w:r>
        <w:instrText xml:space="preserve"> PAGEREF _Toc462409728 \h </w:instrText>
      </w:r>
      <w:r>
        <w:fldChar w:fldCharType="separate"/>
      </w:r>
      <w:r>
        <w:t>312</w:t>
      </w:r>
      <w:r>
        <w:fldChar w:fldCharType="end"/>
      </w:r>
    </w:p>
    <w:p>
      <w:pPr>
        <w:pStyle w:val="TOC8"/>
        <w:rPr>
          <w:rFonts w:asciiTheme="minorHAnsi" w:eastAsiaTheme="minorEastAsia" w:hAnsiTheme="minorHAnsi" w:cstheme="minorBidi"/>
          <w:szCs w:val="22"/>
        </w:rPr>
      </w:pPr>
      <w:r>
        <w:t>9.27.</w:t>
      </w:r>
      <w:r>
        <w:tab/>
        <w:t>Civil remedy not affected by proceedings for offence</w:t>
      </w:r>
      <w:r>
        <w:tab/>
      </w:r>
      <w:r>
        <w:fldChar w:fldCharType="begin"/>
      </w:r>
      <w:r>
        <w:instrText xml:space="preserve"> PAGEREF _Toc462409729 \h </w:instrText>
      </w:r>
      <w:r>
        <w:fldChar w:fldCharType="separate"/>
      </w:r>
      <w:r>
        <w:t>312</w:t>
      </w:r>
      <w:r>
        <w:fldChar w:fldCharType="end"/>
      </w:r>
    </w:p>
    <w:p>
      <w:pPr>
        <w:pStyle w:val="TOC8"/>
        <w:rPr>
          <w:rFonts w:asciiTheme="minorHAnsi" w:eastAsiaTheme="minorEastAsia" w:hAnsiTheme="minorHAnsi" w:cstheme="minorBidi"/>
          <w:szCs w:val="22"/>
        </w:rPr>
      </w:pPr>
      <w:r>
        <w:t>9.28.</w:t>
      </w:r>
      <w:r>
        <w:tab/>
        <w:t>Interests of public</w:t>
      </w:r>
      <w:r>
        <w:tab/>
      </w:r>
      <w:r>
        <w:fldChar w:fldCharType="begin"/>
      </w:r>
      <w:r>
        <w:instrText xml:space="preserve"> PAGEREF _Toc462409730 \h </w:instrText>
      </w:r>
      <w:r>
        <w:fldChar w:fldCharType="separate"/>
      </w:r>
      <w:r>
        <w:t>312</w:t>
      </w:r>
      <w:r>
        <w:fldChar w:fldCharType="end"/>
      </w:r>
    </w:p>
    <w:p>
      <w:pPr>
        <w:pStyle w:val="TOC8"/>
        <w:rPr>
          <w:rFonts w:asciiTheme="minorHAnsi" w:eastAsiaTheme="minorEastAsia" w:hAnsiTheme="minorHAnsi" w:cstheme="minorBidi"/>
          <w:szCs w:val="22"/>
        </w:rPr>
      </w:pPr>
      <w:r>
        <w:t>9.29.</w:t>
      </w:r>
      <w:r>
        <w:tab/>
        <w:t>Representing local government in court</w:t>
      </w:r>
      <w:r>
        <w:tab/>
      </w:r>
      <w:r>
        <w:fldChar w:fldCharType="begin"/>
      </w:r>
      <w:r>
        <w:instrText xml:space="preserve"> PAGEREF _Toc462409731 \h </w:instrText>
      </w:r>
      <w:r>
        <w:fldChar w:fldCharType="separate"/>
      </w:r>
      <w:r>
        <w:t>313</w:t>
      </w:r>
      <w:r>
        <w:fldChar w:fldCharType="end"/>
      </w:r>
    </w:p>
    <w:p>
      <w:pPr>
        <w:pStyle w:val="TOC6"/>
        <w:tabs>
          <w:tab w:val="right" w:leader="dot" w:pos="7077"/>
        </w:tabs>
        <w:rPr>
          <w:rFonts w:asciiTheme="minorHAnsi" w:eastAsiaTheme="minorEastAsia" w:hAnsiTheme="minorHAnsi" w:cstheme="minorBidi"/>
          <w:b w:val="0"/>
          <w:sz w:val="22"/>
          <w:szCs w:val="22"/>
        </w:rPr>
      </w:pPr>
      <w:r>
        <w:t>Subdivision 4 — Evidence in legal proceedings</w:t>
      </w:r>
    </w:p>
    <w:p>
      <w:pPr>
        <w:pStyle w:val="TOC8"/>
        <w:rPr>
          <w:rFonts w:asciiTheme="minorHAnsi" w:eastAsiaTheme="minorEastAsia" w:hAnsiTheme="minorHAnsi" w:cstheme="minorBidi"/>
          <w:szCs w:val="22"/>
        </w:rPr>
      </w:pPr>
      <w:r>
        <w:t>9.30.</w:t>
      </w:r>
      <w:r>
        <w:tab/>
        <w:t>When this Subdivision applies</w:t>
      </w:r>
      <w:r>
        <w:tab/>
      </w:r>
      <w:r>
        <w:fldChar w:fldCharType="begin"/>
      </w:r>
      <w:r>
        <w:instrText xml:space="preserve"> PAGEREF _Toc462409733 \h </w:instrText>
      </w:r>
      <w:r>
        <w:fldChar w:fldCharType="separate"/>
      </w:r>
      <w:r>
        <w:t>313</w:t>
      </w:r>
      <w:r>
        <w:fldChar w:fldCharType="end"/>
      </w:r>
    </w:p>
    <w:p>
      <w:pPr>
        <w:pStyle w:val="TOC8"/>
        <w:rPr>
          <w:rFonts w:asciiTheme="minorHAnsi" w:eastAsiaTheme="minorEastAsia" w:hAnsiTheme="minorHAnsi" w:cstheme="minorBidi"/>
          <w:szCs w:val="22"/>
        </w:rPr>
      </w:pPr>
      <w:r>
        <w:t>9.31.</w:t>
      </w:r>
      <w:r>
        <w:tab/>
        <w:t>Terms used</w:t>
      </w:r>
      <w:r>
        <w:tab/>
      </w:r>
      <w:r>
        <w:fldChar w:fldCharType="begin"/>
      </w:r>
      <w:r>
        <w:instrText xml:space="preserve"> PAGEREF _Toc462409734 \h </w:instrText>
      </w:r>
      <w:r>
        <w:fldChar w:fldCharType="separate"/>
      </w:r>
      <w:r>
        <w:t>314</w:t>
      </w:r>
      <w:r>
        <w:fldChar w:fldCharType="end"/>
      </w:r>
    </w:p>
    <w:p>
      <w:pPr>
        <w:pStyle w:val="TOC8"/>
        <w:rPr>
          <w:rFonts w:asciiTheme="minorHAnsi" w:eastAsiaTheme="minorEastAsia" w:hAnsiTheme="minorHAnsi" w:cstheme="minorBidi"/>
          <w:szCs w:val="22"/>
        </w:rPr>
      </w:pPr>
      <w:r>
        <w:t>9.32.</w:t>
      </w:r>
      <w:r>
        <w:tab/>
      </w:r>
      <w:r>
        <w:rPr>
          <w:i/>
        </w:rPr>
        <w:t>Evidence Act 1906</w:t>
      </w:r>
      <w:r>
        <w:t xml:space="preserve"> not excluded</w:t>
      </w:r>
      <w:r>
        <w:tab/>
      </w:r>
      <w:r>
        <w:fldChar w:fldCharType="begin"/>
      </w:r>
      <w:r>
        <w:instrText xml:space="preserve"> PAGEREF _Toc462409735 \h </w:instrText>
      </w:r>
      <w:r>
        <w:fldChar w:fldCharType="separate"/>
      </w:r>
      <w:r>
        <w:t>314</w:t>
      </w:r>
      <w:r>
        <w:fldChar w:fldCharType="end"/>
      </w:r>
    </w:p>
    <w:p>
      <w:pPr>
        <w:pStyle w:val="TOC8"/>
        <w:rPr>
          <w:rFonts w:asciiTheme="minorHAnsi" w:eastAsiaTheme="minorEastAsia" w:hAnsiTheme="minorHAnsi" w:cstheme="minorBidi"/>
          <w:szCs w:val="22"/>
        </w:rPr>
      </w:pPr>
      <w:r>
        <w:t>9.33.</w:t>
      </w:r>
      <w:r>
        <w:tab/>
        <w:t>Presumptions about certificates</w:t>
      </w:r>
      <w:r>
        <w:tab/>
      </w:r>
      <w:r>
        <w:fldChar w:fldCharType="begin"/>
      </w:r>
      <w:r>
        <w:instrText xml:space="preserve"> PAGEREF _Toc462409736 \h </w:instrText>
      </w:r>
      <w:r>
        <w:fldChar w:fldCharType="separate"/>
      </w:r>
      <w:r>
        <w:t>314</w:t>
      </w:r>
      <w:r>
        <w:fldChar w:fldCharType="end"/>
      </w:r>
    </w:p>
    <w:p>
      <w:pPr>
        <w:pStyle w:val="TOC8"/>
        <w:rPr>
          <w:rFonts w:asciiTheme="minorHAnsi" w:eastAsiaTheme="minorEastAsia" w:hAnsiTheme="minorHAnsi" w:cstheme="minorBidi"/>
          <w:szCs w:val="22"/>
        </w:rPr>
      </w:pPr>
      <w:r>
        <w:t>9.34.</w:t>
      </w:r>
      <w:r>
        <w:tab/>
        <w:t>Evidence of local laws</w:t>
      </w:r>
      <w:r>
        <w:tab/>
      </w:r>
      <w:r>
        <w:fldChar w:fldCharType="begin"/>
      </w:r>
      <w:r>
        <w:instrText xml:space="preserve"> PAGEREF _Toc462409737 \h </w:instrText>
      </w:r>
      <w:r>
        <w:fldChar w:fldCharType="separate"/>
      </w:r>
      <w:r>
        <w:t>314</w:t>
      </w:r>
      <w:r>
        <w:fldChar w:fldCharType="end"/>
      </w:r>
    </w:p>
    <w:p>
      <w:pPr>
        <w:pStyle w:val="TOC8"/>
        <w:rPr>
          <w:rFonts w:asciiTheme="minorHAnsi" w:eastAsiaTheme="minorEastAsia" w:hAnsiTheme="minorHAnsi" w:cstheme="minorBidi"/>
          <w:szCs w:val="22"/>
        </w:rPr>
      </w:pPr>
      <w:r>
        <w:t>9.35.</w:t>
      </w:r>
      <w:r>
        <w:tab/>
        <w:t>Evidence of text adopted by local laws</w:t>
      </w:r>
      <w:r>
        <w:tab/>
      </w:r>
      <w:r>
        <w:fldChar w:fldCharType="begin"/>
      </w:r>
      <w:r>
        <w:instrText xml:space="preserve"> PAGEREF _Toc462409738 \h </w:instrText>
      </w:r>
      <w:r>
        <w:fldChar w:fldCharType="separate"/>
      </w:r>
      <w:r>
        <w:t>315</w:t>
      </w:r>
      <w:r>
        <w:fldChar w:fldCharType="end"/>
      </w:r>
    </w:p>
    <w:p>
      <w:pPr>
        <w:pStyle w:val="TOC8"/>
        <w:rPr>
          <w:rFonts w:asciiTheme="minorHAnsi" w:eastAsiaTheme="minorEastAsia" w:hAnsiTheme="minorHAnsi" w:cstheme="minorBidi"/>
          <w:szCs w:val="22"/>
        </w:rPr>
      </w:pPr>
      <w:r>
        <w:t>9.36.</w:t>
      </w:r>
      <w:r>
        <w:tab/>
        <w:t xml:space="preserve">Using </w:t>
      </w:r>
      <w:r>
        <w:rPr>
          <w:i/>
        </w:rPr>
        <w:t xml:space="preserve">Gazette </w:t>
      </w:r>
      <w:r>
        <w:t>notice as evidence</w:t>
      </w:r>
      <w:r>
        <w:tab/>
      </w:r>
      <w:r>
        <w:fldChar w:fldCharType="begin"/>
      </w:r>
      <w:r>
        <w:instrText xml:space="preserve"> PAGEREF _Toc462409739 \h </w:instrText>
      </w:r>
      <w:r>
        <w:fldChar w:fldCharType="separate"/>
      </w:r>
      <w:r>
        <w:t>315</w:t>
      </w:r>
      <w:r>
        <w:fldChar w:fldCharType="end"/>
      </w:r>
    </w:p>
    <w:p>
      <w:pPr>
        <w:pStyle w:val="TOC8"/>
        <w:rPr>
          <w:rFonts w:asciiTheme="minorHAnsi" w:eastAsiaTheme="minorEastAsia" w:hAnsiTheme="minorHAnsi" w:cstheme="minorBidi"/>
          <w:szCs w:val="22"/>
        </w:rPr>
      </w:pPr>
      <w:r>
        <w:t>9.37.</w:t>
      </w:r>
      <w:r>
        <w:tab/>
        <w:t>Using meeting minutes as evidence</w:t>
      </w:r>
      <w:r>
        <w:tab/>
      </w:r>
      <w:r>
        <w:fldChar w:fldCharType="begin"/>
      </w:r>
      <w:r>
        <w:instrText xml:space="preserve"> PAGEREF _Toc462409740 \h </w:instrText>
      </w:r>
      <w:r>
        <w:fldChar w:fldCharType="separate"/>
      </w:r>
      <w:r>
        <w:t>315</w:t>
      </w:r>
      <w:r>
        <w:fldChar w:fldCharType="end"/>
      </w:r>
    </w:p>
    <w:p>
      <w:pPr>
        <w:pStyle w:val="TOC8"/>
        <w:rPr>
          <w:rFonts w:asciiTheme="minorHAnsi" w:eastAsiaTheme="minorEastAsia" w:hAnsiTheme="minorHAnsi" w:cstheme="minorBidi"/>
          <w:szCs w:val="22"/>
        </w:rPr>
      </w:pPr>
      <w:r>
        <w:t>9.38.</w:t>
      </w:r>
      <w:r>
        <w:tab/>
        <w:t>Evidence of documents coming from local government</w:t>
      </w:r>
      <w:r>
        <w:tab/>
      </w:r>
      <w:r>
        <w:fldChar w:fldCharType="begin"/>
      </w:r>
      <w:r>
        <w:instrText xml:space="preserve"> PAGEREF _Toc462409741 \h </w:instrText>
      </w:r>
      <w:r>
        <w:fldChar w:fldCharType="separate"/>
      </w:r>
      <w:r>
        <w:t>315</w:t>
      </w:r>
      <w:r>
        <w:fldChar w:fldCharType="end"/>
      </w:r>
    </w:p>
    <w:p>
      <w:pPr>
        <w:pStyle w:val="TOC8"/>
        <w:rPr>
          <w:rFonts w:asciiTheme="minorHAnsi" w:eastAsiaTheme="minorEastAsia" w:hAnsiTheme="minorHAnsi" w:cstheme="minorBidi"/>
          <w:szCs w:val="22"/>
        </w:rPr>
      </w:pPr>
      <w:r>
        <w:t>9.39.</w:t>
      </w:r>
      <w:r>
        <w:tab/>
        <w:t>Proving document given to another party</w:t>
      </w:r>
      <w:r>
        <w:tab/>
      </w:r>
      <w:r>
        <w:fldChar w:fldCharType="begin"/>
      </w:r>
      <w:r>
        <w:instrText xml:space="preserve"> PAGEREF _Toc462409742 \h </w:instrText>
      </w:r>
      <w:r>
        <w:fldChar w:fldCharType="separate"/>
      </w:r>
      <w:r>
        <w:t>316</w:t>
      </w:r>
      <w:r>
        <w:fldChar w:fldCharType="end"/>
      </w:r>
    </w:p>
    <w:p>
      <w:pPr>
        <w:pStyle w:val="TOC8"/>
        <w:rPr>
          <w:rFonts w:asciiTheme="minorHAnsi" w:eastAsiaTheme="minorEastAsia" w:hAnsiTheme="minorHAnsi" w:cstheme="minorBidi"/>
          <w:szCs w:val="22"/>
        </w:rPr>
      </w:pPr>
      <w:r>
        <w:t>9.40.</w:t>
      </w:r>
      <w:r>
        <w:tab/>
        <w:t>Using copy of rate record as evidence</w:t>
      </w:r>
      <w:r>
        <w:tab/>
      </w:r>
      <w:r>
        <w:fldChar w:fldCharType="begin"/>
      </w:r>
      <w:r>
        <w:instrText xml:space="preserve"> PAGEREF _Toc462409743 \h </w:instrText>
      </w:r>
      <w:r>
        <w:fldChar w:fldCharType="separate"/>
      </w:r>
      <w:r>
        <w:t>316</w:t>
      </w:r>
      <w:r>
        <w:fldChar w:fldCharType="end"/>
      </w:r>
    </w:p>
    <w:p>
      <w:pPr>
        <w:pStyle w:val="TOC8"/>
        <w:rPr>
          <w:rFonts w:asciiTheme="minorHAnsi" w:eastAsiaTheme="minorEastAsia" w:hAnsiTheme="minorHAnsi" w:cstheme="minorBidi"/>
          <w:szCs w:val="22"/>
        </w:rPr>
      </w:pPr>
      <w:r>
        <w:t>9.41.</w:t>
      </w:r>
      <w:r>
        <w:tab/>
        <w:t>Proving ownership, occupancy, and other things by certificate</w:t>
      </w:r>
      <w:r>
        <w:tab/>
      </w:r>
      <w:r>
        <w:fldChar w:fldCharType="begin"/>
      </w:r>
      <w:r>
        <w:instrText xml:space="preserve"> PAGEREF _Toc462409744 \h </w:instrText>
      </w:r>
      <w:r>
        <w:fldChar w:fldCharType="separate"/>
      </w:r>
      <w:r>
        <w:t>317</w:t>
      </w:r>
      <w:r>
        <w:fldChar w:fldCharType="end"/>
      </w:r>
    </w:p>
    <w:p>
      <w:pPr>
        <w:pStyle w:val="TOC8"/>
        <w:rPr>
          <w:rFonts w:asciiTheme="minorHAnsi" w:eastAsiaTheme="minorEastAsia" w:hAnsiTheme="minorHAnsi" w:cstheme="minorBidi"/>
          <w:szCs w:val="22"/>
        </w:rPr>
      </w:pPr>
      <w:r>
        <w:t>9.42.</w:t>
      </w:r>
      <w:r>
        <w:tab/>
        <w:t>Person may be alleged to be owner or occupier of land</w:t>
      </w:r>
      <w:r>
        <w:tab/>
      </w:r>
      <w:r>
        <w:fldChar w:fldCharType="begin"/>
      </w:r>
      <w:r>
        <w:instrText xml:space="preserve"> PAGEREF _Toc462409745 \h </w:instrText>
      </w:r>
      <w:r>
        <w:fldChar w:fldCharType="separate"/>
      </w:r>
      <w:r>
        <w:t>318</w:t>
      </w:r>
      <w:r>
        <w:fldChar w:fldCharType="end"/>
      </w:r>
    </w:p>
    <w:p>
      <w:pPr>
        <w:pStyle w:val="TOC8"/>
        <w:rPr>
          <w:rFonts w:asciiTheme="minorHAnsi" w:eastAsiaTheme="minorEastAsia" w:hAnsiTheme="minorHAnsi" w:cstheme="minorBidi"/>
          <w:szCs w:val="22"/>
        </w:rPr>
      </w:pPr>
      <w:r>
        <w:t>9.43.</w:t>
      </w:r>
      <w:r>
        <w:tab/>
        <w:t>Certificate of returning officer about election</w:t>
      </w:r>
      <w:r>
        <w:tab/>
      </w:r>
      <w:r>
        <w:fldChar w:fldCharType="begin"/>
      </w:r>
      <w:r>
        <w:instrText xml:space="preserve"> PAGEREF _Toc462409746 \h </w:instrText>
      </w:r>
      <w:r>
        <w:fldChar w:fldCharType="separate"/>
      </w:r>
      <w:r>
        <w:t>318</w:t>
      </w:r>
      <w:r>
        <w:fldChar w:fldCharType="end"/>
      </w:r>
    </w:p>
    <w:p>
      <w:pPr>
        <w:pStyle w:val="TOC8"/>
        <w:rPr>
          <w:rFonts w:asciiTheme="minorHAnsi" w:eastAsiaTheme="minorEastAsia" w:hAnsiTheme="minorHAnsi" w:cstheme="minorBidi"/>
          <w:szCs w:val="22"/>
        </w:rPr>
      </w:pPr>
      <w:r>
        <w:t>9.44.</w:t>
      </w:r>
      <w:r>
        <w:tab/>
        <w:t>Spouses and de facto</w:t>
      </w:r>
      <w:r>
        <w:rPr>
          <w:i/>
        </w:rPr>
        <w:t xml:space="preserve"> </w:t>
      </w:r>
      <w:r>
        <w:t>partners presumed to be living with one another</w:t>
      </w:r>
      <w:r>
        <w:tab/>
      </w:r>
      <w:r>
        <w:fldChar w:fldCharType="begin"/>
      </w:r>
      <w:r>
        <w:instrText xml:space="preserve"> PAGEREF _Toc462409747 \h </w:instrText>
      </w:r>
      <w:r>
        <w:fldChar w:fldCharType="separate"/>
      </w:r>
      <w:r>
        <w:t>318</w:t>
      </w:r>
      <w:r>
        <w:fldChar w:fldCharType="end"/>
      </w:r>
    </w:p>
    <w:p>
      <w:pPr>
        <w:pStyle w:val="TOC8"/>
        <w:rPr>
          <w:rFonts w:asciiTheme="minorHAnsi" w:eastAsiaTheme="minorEastAsia" w:hAnsiTheme="minorHAnsi" w:cstheme="minorBidi"/>
          <w:szCs w:val="22"/>
        </w:rPr>
      </w:pPr>
      <w:r>
        <w:t>9.45.</w:t>
      </w:r>
      <w:r>
        <w:tab/>
        <w:t>Evidence of authorisation or approval</w:t>
      </w:r>
      <w:r>
        <w:tab/>
      </w:r>
      <w:r>
        <w:fldChar w:fldCharType="begin"/>
      </w:r>
      <w:r>
        <w:instrText xml:space="preserve"> PAGEREF _Toc462409748 \h </w:instrText>
      </w:r>
      <w:r>
        <w:fldChar w:fldCharType="separate"/>
      </w:r>
      <w:r>
        <w:t>318</w:t>
      </w:r>
      <w:r>
        <w:fldChar w:fldCharType="end"/>
      </w:r>
    </w:p>
    <w:p>
      <w:pPr>
        <w:pStyle w:val="TOC8"/>
        <w:rPr>
          <w:rFonts w:asciiTheme="minorHAnsi" w:eastAsiaTheme="minorEastAsia" w:hAnsiTheme="minorHAnsi" w:cstheme="minorBidi"/>
          <w:szCs w:val="22"/>
        </w:rPr>
      </w:pPr>
      <w:r>
        <w:t>9.46.</w:t>
      </w:r>
      <w:r>
        <w:tab/>
        <w:t>Things may be alleged to be property of local government</w:t>
      </w:r>
      <w:r>
        <w:tab/>
      </w:r>
      <w:r>
        <w:fldChar w:fldCharType="begin"/>
      </w:r>
      <w:r>
        <w:instrText xml:space="preserve"> PAGEREF _Toc462409749 \h </w:instrText>
      </w:r>
      <w:r>
        <w:fldChar w:fldCharType="separate"/>
      </w:r>
      <w:r>
        <w:t>319</w:t>
      </w:r>
      <w:r>
        <w:fldChar w:fldCharType="end"/>
      </w:r>
    </w:p>
    <w:p>
      <w:pPr>
        <w:pStyle w:val="TOC8"/>
        <w:rPr>
          <w:rFonts w:asciiTheme="minorHAnsi" w:eastAsiaTheme="minorEastAsia" w:hAnsiTheme="minorHAnsi" w:cstheme="minorBidi"/>
          <w:szCs w:val="22"/>
        </w:rPr>
      </w:pPr>
      <w:r>
        <w:t>9.47.</w:t>
      </w:r>
      <w:r>
        <w:tab/>
        <w:t>Proof of certain matters not required</w:t>
      </w:r>
      <w:r>
        <w:tab/>
      </w:r>
      <w:r>
        <w:fldChar w:fldCharType="begin"/>
      </w:r>
      <w:r>
        <w:instrText xml:space="preserve"> PAGEREF _Toc462409750 \h </w:instrText>
      </w:r>
      <w:r>
        <w:fldChar w:fldCharType="separate"/>
      </w:r>
      <w:r>
        <w:t>319</w:t>
      </w:r>
      <w:r>
        <w:fldChar w:fldCharType="end"/>
      </w:r>
    </w:p>
    <w:p>
      <w:pPr>
        <w:pStyle w:val="TOC8"/>
        <w:rPr>
          <w:rFonts w:asciiTheme="minorHAnsi" w:eastAsiaTheme="minorEastAsia" w:hAnsiTheme="minorHAnsi" w:cstheme="minorBidi"/>
          <w:szCs w:val="22"/>
        </w:rPr>
      </w:pPr>
      <w:r>
        <w:t>9.48.</w:t>
      </w:r>
      <w:r>
        <w:tab/>
        <w:t>Evidence of thoroughfare</w:t>
      </w:r>
      <w:r>
        <w:tab/>
      </w:r>
      <w:r>
        <w:fldChar w:fldCharType="begin"/>
      </w:r>
      <w:r>
        <w:instrText xml:space="preserve"> PAGEREF _Toc462409751 \h </w:instrText>
      </w:r>
      <w:r>
        <w:fldChar w:fldCharType="separate"/>
      </w:r>
      <w:r>
        <w:t>320</w:t>
      </w:r>
      <w:r>
        <w:fldChar w:fldCharType="end"/>
      </w:r>
    </w:p>
    <w:p>
      <w:pPr>
        <w:pStyle w:val="TOC4"/>
        <w:tabs>
          <w:tab w:val="right" w:leader="dot" w:pos="7077"/>
        </w:tabs>
        <w:rPr>
          <w:rFonts w:asciiTheme="minorHAnsi" w:eastAsiaTheme="minorEastAsia" w:hAnsiTheme="minorHAnsi" w:cstheme="minorBidi"/>
          <w:b w:val="0"/>
          <w:szCs w:val="22"/>
        </w:rPr>
      </w:pPr>
      <w:r>
        <w:t>Division 3 — Documents</w:t>
      </w:r>
    </w:p>
    <w:p>
      <w:pPr>
        <w:pStyle w:val="TOC8"/>
        <w:rPr>
          <w:rFonts w:asciiTheme="minorHAnsi" w:eastAsiaTheme="minorEastAsia" w:hAnsiTheme="minorHAnsi" w:cstheme="minorBidi"/>
          <w:szCs w:val="22"/>
        </w:rPr>
      </w:pPr>
      <w:r>
        <w:t>9.49A.</w:t>
      </w:r>
      <w:r>
        <w:tab/>
      </w:r>
      <w:r>
        <w:rPr>
          <w:snapToGrid w:val="0"/>
        </w:rPr>
        <w:t>Execution of documents</w:t>
      </w:r>
      <w:r>
        <w:tab/>
      </w:r>
      <w:r>
        <w:fldChar w:fldCharType="begin"/>
      </w:r>
      <w:r>
        <w:instrText xml:space="preserve"> PAGEREF _Toc462409753 \h </w:instrText>
      </w:r>
      <w:r>
        <w:fldChar w:fldCharType="separate"/>
      </w:r>
      <w:r>
        <w:t>321</w:t>
      </w:r>
      <w:r>
        <w:fldChar w:fldCharType="end"/>
      </w:r>
    </w:p>
    <w:p>
      <w:pPr>
        <w:pStyle w:val="TOC8"/>
        <w:rPr>
          <w:rFonts w:asciiTheme="minorHAnsi" w:eastAsiaTheme="minorEastAsia" w:hAnsiTheme="minorHAnsi" w:cstheme="minorBidi"/>
          <w:szCs w:val="22"/>
        </w:rPr>
      </w:pPr>
      <w:r>
        <w:t>9.49B.</w:t>
      </w:r>
      <w:r>
        <w:tab/>
      </w:r>
      <w:r>
        <w:rPr>
          <w:snapToGrid w:val="0"/>
        </w:rPr>
        <w:t>Contract formalities</w:t>
      </w:r>
      <w:r>
        <w:tab/>
      </w:r>
      <w:r>
        <w:fldChar w:fldCharType="begin"/>
      </w:r>
      <w:r>
        <w:instrText xml:space="preserve"> PAGEREF _Toc462409754 \h </w:instrText>
      </w:r>
      <w:r>
        <w:fldChar w:fldCharType="separate"/>
      </w:r>
      <w:r>
        <w:t>322</w:t>
      </w:r>
      <w:r>
        <w:fldChar w:fldCharType="end"/>
      </w:r>
    </w:p>
    <w:p>
      <w:pPr>
        <w:pStyle w:val="TOC8"/>
        <w:rPr>
          <w:rFonts w:asciiTheme="minorHAnsi" w:eastAsiaTheme="minorEastAsia" w:hAnsiTheme="minorHAnsi" w:cstheme="minorBidi"/>
          <w:szCs w:val="22"/>
        </w:rPr>
      </w:pPr>
      <w:r>
        <w:t>9.49.</w:t>
      </w:r>
      <w:r>
        <w:tab/>
        <w:t>Documents, how authenticated</w:t>
      </w:r>
      <w:r>
        <w:tab/>
      </w:r>
      <w:r>
        <w:fldChar w:fldCharType="begin"/>
      </w:r>
      <w:r>
        <w:instrText xml:space="preserve"> PAGEREF _Toc462409755 \h </w:instrText>
      </w:r>
      <w:r>
        <w:fldChar w:fldCharType="separate"/>
      </w:r>
      <w:r>
        <w:t>322</w:t>
      </w:r>
      <w:r>
        <w:fldChar w:fldCharType="end"/>
      </w:r>
    </w:p>
    <w:p>
      <w:pPr>
        <w:pStyle w:val="TOC8"/>
        <w:rPr>
          <w:rFonts w:asciiTheme="minorHAnsi" w:eastAsiaTheme="minorEastAsia" w:hAnsiTheme="minorHAnsi" w:cstheme="minorBidi"/>
          <w:szCs w:val="22"/>
        </w:rPr>
      </w:pPr>
      <w:r>
        <w:t>9.50.</w:t>
      </w:r>
      <w:r>
        <w:tab/>
        <w:t>Giving documents to persons, generally</w:t>
      </w:r>
      <w:r>
        <w:tab/>
      </w:r>
      <w:r>
        <w:fldChar w:fldCharType="begin"/>
      </w:r>
      <w:r>
        <w:instrText xml:space="preserve"> PAGEREF _Toc462409756 \h </w:instrText>
      </w:r>
      <w:r>
        <w:fldChar w:fldCharType="separate"/>
      </w:r>
      <w:r>
        <w:t>322</w:t>
      </w:r>
      <w:r>
        <w:fldChar w:fldCharType="end"/>
      </w:r>
    </w:p>
    <w:p>
      <w:pPr>
        <w:pStyle w:val="TOC8"/>
        <w:rPr>
          <w:rFonts w:asciiTheme="minorHAnsi" w:eastAsiaTheme="minorEastAsia" w:hAnsiTheme="minorHAnsi" w:cstheme="minorBidi"/>
          <w:szCs w:val="22"/>
        </w:rPr>
      </w:pPr>
      <w:r>
        <w:t>9.51.</w:t>
      </w:r>
      <w:r>
        <w:tab/>
        <w:t>Giving documents to local government</w:t>
      </w:r>
      <w:r>
        <w:tab/>
      </w:r>
      <w:r>
        <w:fldChar w:fldCharType="begin"/>
      </w:r>
      <w:r>
        <w:instrText xml:space="preserve"> PAGEREF _Toc462409757 \h </w:instrText>
      </w:r>
      <w:r>
        <w:fldChar w:fldCharType="separate"/>
      </w:r>
      <w:r>
        <w:t>322</w:t>
      </w:r>
      <w:r>
        <w:fldChar w:fldCharType="end"/>
      </w:r>
    </w:p>
    <w:p>
      <w:pPr>
        <w:pStyle w:val="TOC8"/>
        <w:rPr>
          <w:rFonts w:asciiTheme="minorHAnsi" w:eastAsiaTheme="minorEastAsia" w:hAnsiTheme="minorHAnsi" w:cstheme="minorBidi"/>
          <w:szCs w:val="22"/>
        </w:rPr>
      </w:pPr>
      <w:r>
        <w:t>9.52.</w:t>
      </w:r>
      <w:r>
        <w:tab/>
        <w:t>Giving documents in difficult cases</w:t>
      </w:r>
      <w:r>
        <w:tab/>
      </w:r>
      <w:r>
        <w:fldChar w:fldCharType="begin"/>
      </w:r>
      <w:r>
        <w:instrText xml:space="preserve"> PAGEREF _Toc462409758 \h </w:instrText>
      </w:r>
      <w:r>
        <w:fldChar w:fldCharType="separate"/>
      </w:r>
      <w:r>
        <w:t>323</w:t>
      </w:r>
      <w:r>
        <w:fldChar w:fldCharType="end"/>
      </w:r>
    </w:p>
    <w:p>
      <w:pPr>
        <w:pStyle w:val="TOC8"/>
        <w:rPr>
          <w:rFonts w:asciiTheme="minorHAnsi" w:eastAsiaTheme="minorEastAsia" w:hAnsiTheme="minorHAnsi" w:cstheme="minorBidi"/>
          <w:szCs w:val="22"/>
        </w:rPr>
      </w:pPr>
      <w:r>
        <w:t>9.53.</w:t>
      </w:r>
      <w:r>
        <w:tab/>
        <w:t>Other provisions about giving documents</w:t>
      </w:r>
      <w:r>
        <w:tab/>
      </w:r>
      <w:r>
        <w:fldChar w:fldCharType="begin"/>
      </w:r>
      <w:r>
        <w:instrText xml:space="preserve"> PAGEREF _Toc462409759 \h </w:instrText>
      </w:r>
      <w:r>
        <w:fldChar w:fldCharType="separate"/>
      </w:r>
      <w:r>
        <w:t>323</w:t>
      </w:r>
      <w:r>
        <w:fldChar w:fldCharType="end"/>
      </w:r>
    </w:p>
    <w:p>
      <w:pPr>
        <w:pStyle w:val="TOC8"/>
        <w:rPr>
          <w:rFonts w:asciiTheme="minorHAnsi" w:eastAsiaTheme="minorEastAsia" w:hAnsiTheme="minorHAnsi" w:cstheme="minorBidi"/>
          <w:szCs w:val="22"/>
        </w:rPr>
      </w:pPr>
      <w:r>
        <w:t>9.54.</w:t>
      </w:r>
      <w:r>
        <w:tab/>
        <w:t>Defects in documents</w:t>
      </w:r>
      <w:r>
        <w:tab/>
      </w:r>
      <w:r>
        <w:fldChar w:fldCharType="begin"/>
      </w:r>
      <w:r>
        <w:instrText xml:space="preserve"> PAGEREF _Toc462409760 \h </w:instrText>
      </w:r>
      <w:r>
        <w:fldChar w:fldCharType="separate"/>
      </w:r>
      <w:r>
        <w:t>324</w:t>
      </w:r>
      <w:r>
        <w:fldChar w:fldCharType="end"/>
      </w:r>
    </w:p>
    <w:p>
      <w:pPr>
        <w:pStyle w:val="TOC8"/>
        <w:rPr>
          <w:rFonts w:asciiTheme="minorHAnsi" w:eastAsiaTheme="minorEastAsia" w:hAnsiTheme="minorHAnsi" w:cstheme="minorBidi"/>
          <w:szCs w:val="22"/>
        </w:rPr>
      </w:pPr>
      <w:r>
        <w:t>9.55.</w:t>
      </w:r>
      <w:r>
        <w:tab/>
        <w:t>Effect of document on persons deriving title</w:t>
      </w:r>
      <w:r>
        <w:tab/>
      </w:r>
      <w:r>
        <w:fldChar w:fldCharType="begin"/>
      </w:r>
      <w:r>
        <w:instrText xml:space="preserve"> PAGEREF _Toc462409761 \h </w:instrText>
      </w:r>
      <w:r>
        <w:fldChar w:fldCharType="separate"/>
      </w:r>
      <w:r>
        <w:t>324</w:t>
      </w:r>
      <w:r>
        <w:fldChar w:fldCharType="end"/>
      </w:r>
    </w:p>
    <w:p>
      <w:pPr>
        <w:pStyle w:val="TOC4"/>
        <w:tabs>
          <w:tab w:val="right" w:leader="dot" w:pos="7077"/>
        </w:tabs>
        <w:rPr>
          <w:rFonts w:asciiTheme="minorHAnsi" w:eastAsiaTheme="minorEastAsia" w:hAnsiTheme="minorHAnsi" w:cstheme="minorBidi"/>
          <w:b w:val="0"/>
          <w:szCs w:val="22"/>
        </w:rPr>
      </w:pPr>
      <w:r>
        <w:t>Division 4 — Protection from liability</w:t>
      </w:r>
    </w:p>
    <w:p>
      <w:pPr>
        <w:pStyle w:val="TOC8"/>
        <w:rPr>
          <w:rFonts w:asciiTheme="minorHAnsi" w:eastAsiaTheme="minorEastAsia" w:hAnsiTheme="minorHAnsi" w:cstheme="minorBidi"/>
          <w:szCs w:val="22"/>
        </w:rPr>
      </w:pPr>
      <w:r>
        <w:t>9.56.</w:t>
      </w:r>
      <w:r>
        <w:tab/>
        <w:t>Certain persons protected from liability for wrongdoing</w:t>
      </w:r>
      <w:r>
        <w:tab/>
      </w:r>
      <w:r>
        <w:fldChar w:fldCharType="begin"/>
      </w:r>
      <w:r>
        <w:instrText xml:space="preserve"> PAGEREF _Toc462409763 \h </w:instrText>
      </w:r>
      <w:r>
        <w:fldChar w:fldCharType="separate"/>
      </w:r>
      <w:r>
        <w:t>324</w:t>
      </w:r>
      <w:r>
        <w:fldChar w:fldCharType="end"/>
      </w:r>
    </w:p>
    <w:p>
      <w:pPr>
        <w:pStyle w:val="TOC8"/>
        <w:rPr>
          <w:rFonts w:asciiTheme="minorHAnsi" w:eastAsiaTheme="minorEastAsia" w:hAnsiTheme="minorHAnsi" w:cstheme="minorBidi"/>
          <w:szCs w:val="22"/>
        </w:rPr>
      </w:pPr>
      <w:r>
        <w:t>9.57.</w:t>
      </w:r>
      <w:r>
        <w:tab/>
        <w:t>Local government protected from certain liability</w:t>
      </w:r>
      <w:r>
        <w:tab/>
      </w:r>
      <w:r>
        <w:fldChar w:fldCharType="begin"/>
      </w:r>
      <w:r>
        <w:instrText xml:space="preserve"> PAGEREF _Toc462409764 \h </w:instrText>
      </w:r>
      <w:r>
        <w:fldChar w:fldCharType="separate"/>
      </w:r>
      <w:r>
        <w:t>325</w:t>
      </w:r>
      <w:r>
        <w:fldChar w:fldCharType="end"/>
      </w:r>
    </w:p>
    <w:p>
      <w:pPr>
        <w:pStyle w:val="TOC4"/>
        <w:tabs>
          <w:tab w:val="right" w:leader="dot" w:pos="7077"/>
        </w:tabs>
        <w:rPr>
          <w:rFonts w:asciiTheme="minorHAnsi" w:eastAsiaTheme="minorEastAsia" w:hAnsiTheme="minorHAnsi" w:cstheme="minorBidi"/>
          <w:b w:val="0"/>
          <w:szCs w:val="22"/>
        </w:rPr>
      </w:pPr>
      <w:r>
        <w:t>Division 5 — Associations of local government</w:t>
      </w:r>
    </w:p>
    <w:p>
      <w:pPr>
        <w:pStyle w:val="TOC8"/>
        <w:rPr>
          <w:rFonts w:asciiTheme="minorHAnsi" w:eastAsiaTheme="minorEastAsia" w:hAnsiTheme="minorHAnsi" w:cstheme="minorBidi"/>
          <w:szCs w:val="22"/>
        </w:rPr>
      </w:pPr>
      <w:r>
        <w:t>9.58.</w:t>
      </w:r>
      <w:r>
        <w:tab/>
        <w:t>Constitution of associations of local government</w:t>
      </w:r>
      <w:r>
        <w:tab/>
      </w:r>
      <w:r>
        <w:fldChar w:fldCharType="begin"/>
      </w:r>
      <w:r>
        <w:instrText xml:space="preserve"> PAGEREF _Toc462409766 \h </w:instrText>
      </w:r>
      <w:r>
        <w:fldChar w:fldCharType="separate"/>
      </w:r>
      <w:r>
        <w:t>326</w:t>
      </w:r>
      <w:r>
        <w:fldChar w:fldCharType="end"/>
      </w:r>
    </w:p>
    <w:p>
      <w:pPr>
        <w:pStyle w:val="TOC4"/>
        <w:tabs>
          <w:tab w:val="right" w:leader="dot" w:pos="7077"/>
        </w:tabs>
        <w:rPr>
          <w:rFonts w:asciiTheme="minorHAnsi" w:eastAsiaTheme="minorEastAsia" w:hAnsiTheme="minorHAnsi" w:cstheme="minorBidi"/>
          <w:b w:val="0"/>
          <w:szCs w:val="22"/>
        </w:rPr>
      </w:pPr>
      <w:r>
        <w:t>Division 6 — Regulations, directions and orders</w:t>
      </w:r>
    </w:p>
    <w:p>
      <w:pPr>
        <w:pStyle w:val="TOC8"/>
        <w:rPr>
          <w:rFonts w:asciiTheme="minorHAnsi" w:eastAsiaTheme="minorEastAsia" w:hAnsiTheme="minorHAnsi" w:cstheme="minorBidi"/>
          <w:szCs w:val="22"/>
        </w:rPr>
      </w:pPr>
      <w:r>
        <w:t>9.59.</w:t>
      </w:r>
      <w:r>
        <w:tab/>
        <w:t>General regulations</w:t>
      </w:r>
      <w:r>
        <w:tab/>
      </w:r>
      <w:r>
        <w:fldChar w:fldCharType="begin"/>
      </w:r>
      <w:r>
        <w:instrText xml:space="preserve"> PAGEREF _Toc462409768 \h </w:instrText>
      </w:r>
      <w:r>
        <w:fldChar w:fldCharType="separate"/>
      </w:r>
      <w:r>
        <w:t>327</w:t>
      </w:r>
      <w:r>
        <w:fldChar w:fldCharType="end"/>
      </w:r>
    </w:p>
    <w:p>
      <w:pPr>
        <w:pStyle w:val="TOC8"/>
        <w:rPr>
          <w:rFonts w:asciiTheme="minorHAnsi" w:eastAsiaTheme="minorEastAsia" w:hAnsiTheme="minorHAnsi" w:cstheme="minorBidi"/>
          <w:szCs w:val="22"/>
        </w:rPr>
      </w:pPr>
      <w:r>
        <w:t>9.60.</w:t>
      </w:r>
      <w:r>
        <w:tab/>
        <w:t>Regulations that operate as local laws</w:t>
      </w:r>
      <w:r>
        <w:tab/>
      </w:r>
      <w:r>
        <w:fldChar w:fldCharType="begin"/>
      </w:r>
      <w:r>
        <w:instrText xml:space="preserve"> PAGEREF _Toc462409769 \h </w:instrText>
      </w:r>
      <w:r>
        <w:fldChar w:fldCharType="separate"/>
      </w:r>
      <w:r>
        <w:t>327</w:t>
      </w:r>
      <w:r>
        <w:fldChar w:fldCharType="end"/>
      </w:r>
    </w:p>
    <w:p>
      <w:pPr>
        <w:pStyle w:val="TOC8"/>
        <w:rPr>
          <w:rFonts w:asciiTheme="minorHAnsi" w:eastAsiaTheme="minorEastAsia" w:hAnsiTheme="minorHAnsi" w:cstheme="minorBidi"/>
          <w:szCs w:val="22"/>
        </w:rPr>
      </w:pPr>
      <w:r>
        <w:t>9.61.</w:t>
      </w:r>
      <w:r>
        <w:tab/>
        <w:t>Provisions about regulations</w:t>
      </w:r>
      <w:r>
        <w:tab/>
      </w:r>
      <w:r>
        <w:fldChar w:fldCharType="begin"/>
      </w:r>
      <w:r>
        <w:instrText xml:space="preserve"> PAGEREF _Toc462409770 \h </w:instrText>
      </w:r>
      <w:r>
        <w:fldChar w:fldCharType="separate"/>
      </w:r>
      <w:r>
        <w:t>328</w:t>
      </w:r>
      <w:r>
        <w:fldChar w:fldCharType="end"/>
      </w:r>
    </w:p>
    <w:p>
      <w:pPr>
        <w:pStyle w:val="TOC8"/>
        <w:rPr>
          <w:rFonts w:asciiTheme="minorHAnsi" w:eastAsiaTheme="minorEastAsia" w:hAnsiTheme="minorHAnsi" w:cstheme="minorBidi"/>
          <w:szCs w:val="22"/>
        </w:rPr>
      </w:pPr>
      <w:r>
        <w:t>9.62.</w:t>
      </w:r>
      <w:r>
        <w:tab/>
        <w:t>Governor may give directions as consequence of making order</w:t>
      </w:r>
      <w:r>
        <w:tab/>
      </w:r>
      <w:r>
        <w:fldChar w:fldCharType="begin"/>
      </w:r>
      <w:r>
        <w:instrText xml:space="preserve"> PAGEREF _Toc462409771 \h </w:instrText>
      </w:r>
      <w:r>
        <w:fldChar w:fldCharType="separate"/>
      </w:r>
      <w:r>
        <w:t>329</w:t>
      </w:r>
      <w:r>
        <w:fldChar w:fldCharType="end"/>
      </w:r>
    </w:p>
    <w:p>
      <w:pPr>
        <w:pStyle w:val="TOC8"/>
        <w:rPr>
          <w:rFonts w:asciiTheme="minorHAnsi" w:eastAsiaTheme="minorEastAsia" w:hAnsiTheme="minorHAnsi" w:cstheme="minorBidi"/>
          <w:szCs w:val="22"/>
        </w:rPr>
      </w:pPr>
      <w:r>
        <w:t>9.63.</w:t>
      </w:r>
      <w:r>
        <w:tab/>
        <w:t>Minister may give directions to resolve disputes between local governments</w:t>
      </w:r>
      <w:r>
        <w:tab/>
      </w:r>
      <w:r>
        <w:fldChar w:fldCharType="begin"/>
      </w:r>
      <w:r>
        <w:instrText xml:space="preserve"> PAGEREF _Toc462409772 \h </w:instrText>
      </w:r>
      <w:r>
        <w:fldChar w:fldCharType="separate"/>
      </w:r>
      <w:r>
        <w:t>329</w:t>
      </w:r>
      <w:r>
        <w:fldChar w:fldCharType="end"/>
      </w:r>
    </w:p>
    <w:p>
      <w:pPr>
        <w:pStyle w:val="TOC8"/>
        <w:rPr>
          <w:rFonts w:asciiTheme="minorHAnsi" w:eastAsiaTheme="minorEastAsia" w:hAnsiTheme="minorHAnsi" w:cstheme="minorBidi"/>
          <w:szCs w:val="22"/>
        </w:rPr>
      </w:pPr>
      <w:r>
        <w:t>9.64.</w:t>
      </w:r>
      <w:r>
        <w:tab/>
        <w:t>Governor may rectify omissions and irregularities</w:t>
      </w:r>
      <w:r>
        <w:tab/>
      </w:r>
      <w:r>
        <w:fldChar w:fldCharType="begin"/>
      </w:r>
      <w:r>
        <w:instrText xml:space="preserve"> PAGEREF _Toc462409773 \h </w:instrText>
      </w:r>
      <w:r>
        <w:fldChar w:fldCharType="separate"/>
      </w:r>
      <w:r>
        <w:t>330</w:t>
      </w:r>
      <w:r>
        <w:fldChar w:fldCharType="end"/>
      </w:r>
    </w:p>
    <w:p>
      <w:pPr>
        <w:pStyle w:val="TOC8"/>
        <w:rPr>
          <w:rFonts w:asciiTheme="minorHAnsi" w:eastAsiaTheme="minorEastAsia" w:hAnsiTheme="minorHAnsi" w:cstheme="minorBidi"/>
          <w:szCs w:val="22"/>
        </w:rPr>
      </w:pPr>
      <w:r>
        <w:t>9.65.</w:t>
      </w:r>
      <w:r>
        <w:tab/>
        <w:t>Orders made by Governor or Minister</w:t>
      </w:r>
      <w:r>
        <w:tab/>
      </w:r>
      <w:r>
        <w:fldChar w:fldCharType="begin"/>
      </w:r>
      <w:r>
        <w:instrText xml:space="preserve"> PAGEREF _Toc462409774 \h </w:instrText>
      </w:r>
      <w:r>
        <w:fldChar w:fldCharType="separate"/>
      </w:r>
      <w:r>
        <w:t>330</w:t>
      </w:r>
      <w:r>
        <w:fldChar w:fldCharType="end"/>
      </w:r>
    </w:p>
    <w:p>
      <w:pPr>
        <w:pStyle w:val="TOC4"/>
        <w:tabs>
          <w:tab w:val="right" w:leader="dot" w:pos="7077"/>
        </w:tabs>
        <w:rPr>
          <w:rFonts w:asciiTheme="minorHAnsi" w:eastAsiaTheme="minorEastAsia" w:hAnsiTheme="minorHAnsi" w:cstheme="minorBidi"/>
          <w:b w:val="0"/>
          <w:szCs w:val="22"/>
        </w:rPr>
      </w:pPr>
      <w:r>
        <w:t>Division 7 — Other miscellaneous provisions</w:t>
      </w:r>
    </w:p>
    <w:p>
      <w:pPr>
        <w:pStyle w:val="TOC8"/>
        <w:rPr>
          <w:rFonts w:asciiTheme="minorHAnsi" w:eastAsiaTheme="minorEastAsia" w:hAnsiTheme="minorHAnsi" w:cstheme="minorBidi"/>
          <w:szCs w:val="22"/>
        </w:rPr>
      </w:pPr>
      <w:r>
        <w:t>9.66.</w:t>
      </w:r>
      <w:r>
        <w:tab/>
        <w:t>Delegation by Minister</w:t>
      </w:r>
      <w:r>
        <w:tab/>
      </w:r>
      <w:r>
        <w:fldChar w:fldCharType="begin"/>
      </w:r>
      <w:r>
        <w:instrText xml:space="preserve"> PAGEREF _Toc462409776 \h </w:instrText>
      </w:r>
      <w:r>
        <w:fldChar w:fldCharType="separate"/>
      </w:r>
      <w:r>
        <w:t>331</w:t>
      </w:r>
      <w:r>
        <w:fldChar w:fldCharType="end"/>
      </w:r>
    </w:p>
    <w:p>
      <w:pPr>
        <w:pStyle w:val="TOC8"/>
        <w:rPr>
          <w:rFonts w:asciiTheme="minorHAnsi" w:eastAsiaTheme="minorEastAsia" w:hAnsiTheme="minorHAnsi" w:cstheme="minorBidi"/>
          <w:szCs w:val="22"/>
        </w:rPr>
      </w:pPr>
      <w:r>
        <w:t>9.67.</w:t>
      </w:r>
      <w:r>
        <w:tab/>
        <w:t>Delegation by Departmental CEO</w:t>
      </w:r>
      <w:r>
        <w:tab/>
      </w:r>
      <w:r>
        <w:fldChar w:fldCharType="begin"/>
      </w:r>
      <w:r>
        <w:instrText xml:space="preserve"> PAGEREF _Toc462409777 \h </w:instrText>
      </w:r>
      <w:r>
        <w:fldChar w:fldCharType="separate"/>
      </w:r>
      <w:r>
        <w:t>331</w:t>
      </w:r>
      <w:r>
        <w:fldChar w:fldCharType="end"/>
      </w:r>
    </w:p>
    <w:p>
      <w:pPr>
        <w:pStyle w:val="TOC8"/>
        <w:rPr>
          <w:rFonts w:asciiTheme="minorHAnsi" w:eastAsiaTheme="minorEastAsia" w:hAnsiTheme="minorHAnsi" w:cstheme="minorBidi"/>
          <w:szCs w:val="22"/>
        </w:rPr>
      </w:pPr>
      <w:r>
        <w:t>9.68.</w:t>
      </w:r>
      <w:r>
        <w:tab/>
        <w:t>Local government to be notified of disposal of land</w:t>
      </w:r>
      <w:r>
        <w:tab/>
      </w:r>
      <w:r>
        <w:fldChar w:fldCharType="begin"/>
      </w:r>
      <w:r>
        <w:instrText xml:space="preserve"> PAGEREF _Toc462409778 \h </w:instrText>
      </w:r>
      <w:r>
        <w:fldChar w:fldCharType="separate"/>
      </w:r>
      <w:r>
        <w:t>331</w:t>
      </w:r>
      <w:r>
        <w:fldChar w:fldCharType="end"/>
      </w:r>
    </w:p>
    <w:p>
      <w:pPr>
        <w:pStyle w:val="TOC8"/>
        <w:rPr>
          <w:rFonts w:asciiTheme="minorHAnsi" w:eastAsiaTheme="minorEastAsia" w:hAnsiTheme="minorHAnsi" w:cstheme="minorBidi"/>
          <w:szCs w:val="22"/>
        </w:rPr>
      </w:pPr>
      <w:r>
        <w:t>9.69.</w:t>
      </w:r>
      <w:r>
        <w:tab/>
        <w:t>Land descriptions</w:t>
      </w:r>
      <w:r>
        <w:tab/>
      </w:r>
      <w:r>
        <w:fldChar w:fldCharType="begin"/>
      </w:r>
      <w:r>
        <w:instrText xml:space="preserve"> PAGEREF _Toc462409779 \h </w:instrText>
      </w:r>
      <w:r>
        <w:fldChar w:fldCharType="separate"/>
      </w:r>
      <w:r>
        <w:t>332</w:t>
      </w:r>
      <w:r>
        <w:fldChar w:fldCharType="end"/>
      </w:r>
    </w:p>
    <w:p>
      <w:pPr>
        <w:pStyle w:val="TOC8"/>
        <w:rPr>
          <w:rFonts w:asciiTheme="minorHAnsi" w:eastAsiaTheme="minorEastAsia" w:hAnsiTheme="minorHAnsi" w:cstheme="minorBidi"/>
          <w:szCs w:val="22"/>
        </w:rPr>
      </w:pPr>
      <w:r>
        <w:t>9.69A.</w:t>
      </w:r>
      <w:r>
        <w:tab/>
        <w:t xml:space="preserve">Notification under </w:t>
      </w:r>
      <w:r>
        <w:rPr>
          <w:i/>
        </w:rPr>
        <w:t>Corruption, Crime and Misconduct Act 2003</w:t>
      </w:r>
      <w:r>
        <w:tab/>
      </w:r>
      <w:r>
        <w:fldChar w:fldCharType="begin"/>
      </w:r>
      <w:r>
        <w:instrText xml:space="preserve"> PAGEREF _Toc462409780 \h </w:instrText>
      </w:r>
      <w:r>
        <w:fldChar w:fldCharType="separate"/>
      </w:r>
      <w:r>
        <w:t>333</w:t>
      </w:r>
      <w:r>
        <w:fldChar w:fldCharType="end"/>
      </w:r>
    </w:p>
    <w:p>
      <w:pPr>
        <w:pStyle w:val="TOC4"/>
        <w:tabs>
          <w:tab w:val="right" w:leader="dot" w:pos="7077"/>
        </w:tabs>
        <w:rPr>
          <w:rFonts w:asciiTheme="minorHAnsi" w:eastAsiaTheme="minorEastAsia" w:hAnsiTheme="minorHAnsi" w:cstheme="minorBidi"/>
          <w:b w:val="0"/>
          <w:szCs w:val="22"/>
        </w:rPr>
      </w:pPr>
      <w:r>
        <w:t>Division 8 — Amendments to 1960 Act and transitional provisions</w:t>
      </w:r>
    </w:p>
    <w:p>
      <w:pPr>
        <w:pStyle w:val="TOC8"/>
        <w:rPr>
          <w:rFonts w:asciiTheme="minorHAnsi" w:eastAsiaTheme="minorEastAsia" w:hAnsiTheme="minorHAnsi" w:cstheme="minorBidi"/>
          <w:szCs w:val="22"/>
        </w:rPr>
      </w:pPr>
      <w:r>
        <w:t>9.71.</w:t>
      </w:r>
      <w:r>
        <w:tab/>
        <w:t>Transitional provisions</w:t>
      </w:r>
      <w:r>
        <w:tab/>
      </w:r>
      <w:r>
        <w:fldChar w:fldCharType="begin"/>
      </w:r>
      <w:r>
        <w:instrText xml:space="preserve"> PAGEREF _Toc462409782 \h </w:instrText>
      </w:r>
      <w:r>
        <w:fldChar w:fldCharType="separate"/>
      </w:r>
      <w:r>
        <w:t>333</w:t>
      </w:r>
      <w:r>
        <w:fldChar w:fldCharType="end"/>
      </w:r>
    </w:p>
    <w:p>
      <w:pPr>
        <w:pStyle w:val="TOC2"/>
        <w:tabs>
          <w:tab w:val="right" w:leader="dot" w:pos="7077"/>
        </w:tabs>
        <w:rPr>
          <w:rFonts w:asciiTheme="minorHAnsi" w:eastAsiaTheme="minorEastAsia" w:hAnsiTheme="minorHAnsi" w:cstheme="minorBidi"/>
          <w:b w:val="0"/>
          <w:sz w:val="22"/>
          <w:szCs w:val="22"/>
        </w:rPr>
      </w:pPr>
      <w:r>
        <w:t>Schedule 2.1 — Provisions about creating, changing the boundaries of, and abolishing districts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_Toc462409784 \h </w:instrText>
      </w:r>
      <w:r>
        <w:fldChar w:fldCharType="separate"/>
      </w:r>
      <w:r>
        <w:t>335</w:t>
      </w:r>
      <w:r>
        <w:fldChar w:fldCharType="end"/>
      </w:r>
    </w:p>
    <w:p>
      <w:pPr>
        <w:pStyle w:val="TOC8"/>
        <w:rPr>
          <w:rFonts w:asciiTheme="minorHAnsi" w:eastAsiaTheme="minorEastAsia" w:hAnsiTheme="minorHAnsi" w:cstheme="minorBidi"/>
          <w:szCs w:val="22"/>
        </w:rPr>
      </w:pPr>
      <w:r>
        <w:t>2.</w:t>
      </w:r>
      <w:r>
        <w:tab/>
        <w:t>Making a proposal</w:t>
      </w:r>
      <w:r>
        <w:tab/>
      </w:r>
      <w:r>
        <w:fldChar w:fldCharType="begin"/>
      </w:r>
      <w:r>
        <w:instrText xml:space="preserve"> PAGEREF _Toc462409785 \h </w:instrText>
      </w:r>
      <w:r>
        <w:fldChar w:fldCharType="separate"/>
      </w:r>
      <w:r>
        <w:t>335</w:t>
      </w:r>
      <w:r>
        <w:fldChar w:fldCharType="end"/>
      </w:r>
    </w:p>
    <w:p>
      <w:pPr>
        <w:pStyle w:val="TOC8"/>
        <w:rPr>
          <w:rFonts w:asciiTheme="minorHAnsi" w:eastAsiaTheme="minorEastAsia" w:hAnsiTheme="minorHAnsi" w:cstheme="minorBidi"/>
          <w:szCs w:val="22"/>
        </w:rPr>
      </w:pPr>
      <w:r>
        <w:t>3.</w:t>
      </w:r>
      <w:r>
        <w:tab/>
        <w:t>Dealing with proposals</w:t>
      </w:r>
      <w:r>
        <w:tab/>
      </w:r>
      <w:r>
        <w:fldChar w:fldCharType="begin"/>
      </w:r>
      <w:r>
        <w:instrText xml:space="preserve"> PAGEREF _Toc462409786 \h </w:instrText>
      </w:r>
      <w:r>
        <w:fldChar w:fldCharType="separate"/>
      </w:r>
      <w:r>
        <w:t>336</w:t>
      </w:r>
      <w:r>
        <w:fldChar w:fldCharType="end"/>
      </w:r>
    </w:p>
    <w:p>
      <w:pPr>
        <w:pStyle w:val="TOC8"/>
        <w:rPr>
          <w:rFonts w:asciiTheme="minorHAnsi" w:eastAsiaTheme="minorEastAsia" w:hAnsiTheme="minorHAnsi" w:cstheme="minorBidi"/>
          <w:szCs w:val="22"/>
        </w:rPr>
      </w:pPr>
      <w:r>
        <w:t>4.</w:t>
      </w:r>
      <w:r>
        <w:tab/>
        <w:t>Notice of inquiry</w:t>
      </w:r>
      <w:r>
        <w:tab/>
      </w:r>
      <w:r>
        <w:fldChar w:fldCharType="begin"/>
      </w:r>
      <w:r>
        <w:instrText xml:space="preserve"> PAGEREF _Toc462409787 \h </w:instrText>
      </w:r>
      <w:r>
        <w:fldChar w:fldCharType="separate"/>
      </w:r>
      <w:r>
        <w:t>337</w:t>
      </w:r>
      <w:r>
        <w:fldChar w:fldCharType="end"/>
      </w:r>
    </w:p>
    <w:p>
      <w:pPr>
        <w:pStyle w:val="TOC8"/>
        <w:rPr>
          <w:rFonts w:asciiTheme="minorHAnsi" w:eastAsiaTheme="minorEastAsia" w:hAnsiTheme="minorHAnsi" w:cstheme="minorBidi"/>
          <w:szCs w:val="22"/>
        </w:rPr>
      </w:pPr>
      <w:r>
        <w:t>5.</w:t>
      </w:r>
      <w:r>
        <w:tab/>
        <w:t>Conduct of inquiry</w:t>
      </w:r>
      <w:r>
        <w:tab/>
      </w:r>
      <w:r>
        <w:fldChar w:fldCharType="begin"/>
      </w:r>
      <w:r>
        <w:instrText xml:space="preserve"> PAGEREF _Toc462409788 \h </w:instrText>
      </w:r>
      <w:r>
        <w:fldChar w:fldCharType="separate"/>
      </w:r>
      <w:r>
        <w:t>338</w:t>
      </w:r>
      <w:r>
        <w:fldChar w:fldCharType="end"/>
      </w:r>
    </w:p>
    <w:p>
      <w:pPr>
        <w:pStyle w:val="TOC8"/>
        <w:rPr>
          <w:rFonts w:asciiTheme="minorHAnsi" w:eastAsiaTheme="minorEastAsia" w:hAnsiTheme="minorHAnsi" w:cstheme="minorBidi"/>
          <w:szCs w:val="22"/>
        </w:rPr>
      </w:pPr>
      <w:r>
        <w:t>6.</w:t>
      </w:r>
      <w:r>
        <w:tab/>
        <w:t>Recommendation by Advisory Board</w:t>
      </w:r>
      <w:r>
        <w:tab/>
      </w:r>
      <w:r>
        <w:fldChar w:fldCharType="begin"/>
      </w:r>
      <w:r>
        <w:instrText xml:space="preserve"> PAGEREF _Toc462409789 \h </w:instrText>
      </w:r>
      <w:r>
        <w:fldChar w:fldCharType="separate"/>
      </w:r>
      <w:r>
        <w:t>338</w:t>
      </w:r>
      <w:r>
        <w:fldChar w:fldCharType="end"/>
      </w:r>
    </w:p>
    <w:p>
      <w:pPr>
        <w:pStyle w:val="TOC8"/>
        <w:rPr>
          <w:rFonts w:asciiTheme="minorHAnsi" w:eastAsiaTheme="minorEastAsia" w:hAnsiTheme="minorHAnsi" w:cstheme="minorBidi"/>
          <w:szCs w:val="22"/>
        </w:rPr>
      </w:pPr>
      <w:r>
        <w:t>7.</w:t>
      </w:r>
      <w:r>
        <w:tab/>
        <w:t>Minister may require poll of electors</w:t>
      </w:r>
      <w:r>
        <w:tab/>
      </w:r>
      <w:r>
        <w:fldChar w:fldCharType="begin"/>
      </w:r>
      <w:r>
        <w:instrText xml:space="preserve"> PAGEREF _Toc462409790 \h </w:instrText>
      </w:r>
      <w:r>
        <w:fldChar w:fldCharType="separate"/>
      </w:r>
      <w:r>
        <w:t>339</w:t>
      </w:r>
      <w:r>
        <w:fldChar w:fldCharType="end"/>
      </w:r>
    </w:p>
    <w:p>
      <w:pPr>
        <w:pStyle w:val="TOC8"/>
        <w:rPr>
          <w:rFonts w:asciiTheme="minorHAnsi" w:eastAsiaTheme="minorEastAsia" w:hAnsiTheme="minorHAnsi" w:cstheme="minorBidi"/>
          <w:szCs w:val="22"/>
        </w:rPr>
      </w:pPr>
      <w:r>
        <w:t>8.</w:t>
      </w:r>
      <w:r>
        <w:tab/>
        <w:t>Electors may demand poll on recommended amalgamation</w:t>
      </w:r>
      <w:r>
        <w:tab/>
      </w:r>
      <w:r>
        <w:fldChar w:fldCharType="begin"/>
      </w:r>
      <w:r>
        <w:instrText xml:space="preserve"> PAGEREF _Toc462409791 \h </w:instrText>
      </w:r>
      <w:r>
        <w:fldChar w:fldCharType="separate"/>
      </w:r>
      <w:r>
        <w:t>339</w:t>
      </w:r>
      <w:r>
        <w:fldChar w:fldCharType="end"/>
      </w:r>
    </w:p>
    <w:p>
      <w:pPr>
        <w:pStyle w:val="TOC8"/>
        <w:rPr>
          <w:rFonts w:asciiTheme="minorHAnsi" w:eastAsiaTheme="minorEastAsia" w:hAnsiTheme="minorHAnsi" w:cstheme="minorBidi"/>
          <w:szCs w:val="22"/>
        </w:rPr>
      </w:pPr>
      <w:r>
        <w:t>9.</w:t>
      </w:r>
      <w:r>
        <w:tab/>
        <w:t>Procedure for holding poll</w:t>
      </w:r>
      <w:r>
        <w:tab/>
      </w:r>
      <w:r>
        <w:fldChar w:fldCharType="begin"/>
      </w:r>
      <w:r>
        <w:instrText xml:space="preserve"> PAGEREF _Toc462409792 \h </w:instrText>
      </w:r>
      <w:r>
        <w:fldChar w:fldCharType="separate"/>
      </w:r>
      <w:r>
        <w:t>339</w:t>
      </w:r>
      <w:r>
        <w:fldChar w:fldCharType="end"/>
      </w:r>
    </w:p>
    <w:p>
      <w:pPr>
        <w:pStyle w:val="TOC8"/>
        <w:rPr>
          <w:rFonts w:asciiTheme="minorHAnsi" w:eastAsiaTheme="minorEastAsia" w:hAnsiTheme="minorHAnsi" w:cstheme="minorBidi"/>
          <w:szCs w:val="22"/>
        </w:rPr>
      </w:pPr>
      <w:r>
        <w:t>10.</w:t>
      </w:r>
      <w:r>
        <w:tab/>
        <w:t>Minister may accept or reject recommendation</w:t>
      </w:r>
      <w:r>
        <w:tab/>
      </w:r>
      <w:r>
        <w:fldChar w:fldCharType="begin"/>
      </w:r>
      <w:r>
        <w:instrText xml:space="preserve"> PAGEREF _Toc462409793 \h </w:instrText>
      </w:r>
      <w:r>
        <w:fldChar w:fldCharType="separate"/>
      </w:r>
      <w:r>
        <w:t>340</w:t>
      </w:r>
      <w:r>
        <w:fldChar w:fldCharType="end"/>
      </w:r>
    </w:p>
    <w:p>
      <w:pPr>
        <w:pStyle w:val="TOC8"/>
        <w:rPr>
          <w:rFonts w:asciiTheme="minorHAnsi" w:eastAsiaTheme="minorEastAsia" w:hAnsiTheme="minorHAnsi" w:cstheme="minorBidi"/>
          <w:szCs w:val="22"/>
        </w:rPr>
      </w:pPr>
      <w:r>
        <w:t>10A.</w:t>
      </w:r>
      <w:r>
        <w:tab/>
        <w:t>Recommendations regarding names, wards and representation</w:t>
      </w:r>
      <w:r>
        <w:tab/>
      </w:r>
      <w:r>
        <w:fldChar w:fldCharType="begin"/>
      </w:r>
      <w:r>
        <w:instrText xml:space="preserve"> PAGEREF _Toc462409794 \h </w:instrText>
      </w:r>
      <w:r>
        <w:fldChar w:fldCharType="separate"/>
      </w:r>
      <w:r>
        <w:t>340</w:t>
      </w:r>
      <w:r>
        <w:fldChar w:fldCharType="end"/>
      </w:r>
    </w:p>
    <w:p>
      <w:pPr>
        <w:pStyle w:val="TOC8"/>
        <w:rPr>
          <w:rFonts w:asciiTheme="minorHAnsi" w:eastAsiaTheme="minorEastAsia" w:hAnsiTheme="minorHAnsi" w:cstheme="minorBidi"/>
          <w:szCs w:val="22"/>
        </w:rPr>
      </w:pPr>
      <w:r>
        <w:t>11.</w:t>
      </w:r>
      <w:r>
        <w:tab/>
        <w:t>Transitional arrangements for orders about districts</w:t>
      </w:r>
      <w:r>
        <w:tab/>
      </w:r>
      <w:r>
        <w:fldChar w:fldCharType="begin"/>
      </w:r>
      <w:r>
        <w:instrText xml:space="preserve"> PAGEREF _Toc462409795 \h </w:instrText>
      </w:r>
      <w:r>
        <w:fldChar w:fldCharType="separate"/>
      </w:r>
      <w:r>
        <w:t>341</w:t>
      </w:r>
      <w:r>
        <w:fldChar w:fldCharType="end"/>
      </w:r>
    </w:p>
    <w:p>
      <w:pPr>
        <w:pStyle w:val="TOC2"/>
        <w:tabs>
          <w:tab w:val="right" w:leader="dot" w:pos="7077"/>
        </w:tabs>
        <w:rPr>
          <w:rFonts w:asciiTheme="minorHAnsi" w:eastAsiaTheme="minorEastAsia" w:hAnsiTheme="minorHAnsi" w:cstheme="minorBidi"/>
          <w:b w:val="0"/>
          <w:sz w:val="22"/>
          <w:szCs w:val="22"/>
        </w:rPr>
      </w:pPr>
      <w:r>
        <w:t>Schedule 2.2 — Provisions about names, wards and representation</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_Toc462409797 \h </w:instrText>
      </w:r>
      <w:r>
        <w:fldChar w:fldCharType="separate"/>
      </w:r>
      <w:r>
        <w:t>343</w:t>
      </w:r>
      <w:r>
        <w:fldChar w:fldCharType="end"/>
      </w:r>
    </w:p>
    <w:p>
      <w:pPr>
        <w:pStyle w:val="TOC8"/>
        <w:rPr>
          <w:rFonts w:asciiTheme="minorHAnsi" w:eastAsiaTheme="minorEastAsia" w:hAnsiTheme="minorHAnsi" w:cstheme="minorBidi"/>
          <w:szCs w:val="22"/>
        </w:rPr>
      </w:pPr>
      <w:r>
        <w:t>2.</w:t>
      </w:r>
      <w:r>
        <w:tab/>
        <w:t>Advisory Board to make recommendations relating to new district</w:t>
      </w:r>
      <w:r>
        <w:tab/>
      </w:r>
      <w:r>
        <w:fldChar w:fldCharType="begin"/>
      </w:r>
      <w:r>
        <w:instrText xml:space="preserve"> PAGEREF _Toc462409798 \h </w:instrText>
      </w:r>
      <w:r>
        <w:fldChar w:fldCharType="separate"/>
      </w:r>
      <w:r>
        <w:t>343</w:t>
      </w:r>
      <w:r>
        <w:fldChar w:fldCharType="end"/>
      </w:r>
    </w:p>
    <w:p>
      <w:pPr>
        <w:pStyle w:val="TOC8"/>
        <w:rPr>
          <w:rFonts w:asciiTheme="minorHAnsi" w:eastAsiaTheme="minorEastAsia" w:hAnsiTheme="minorHAnsi" w:cstheme="minorBidi"/>
          <w:szCs w:val="22"/>
        </w:rPr>
      </w:pPr>
      <w:r>
        <w:t>3.</w:t>
      </w:r>
      <w:r>
        <w:tab/>
        <w:t>Who may make submissions about ward changes etc.</w:t>
      </w:r>
      <w:r>
        <w:tab/>
      </w:r>
      <w:r>
        <w:fldChar w:fldCharType="begin"/>
      </w:r>
      <w:r>
        <w:instrText xml:space="preserve"> PAGEREF _Toc462409799 \h </w:instrText>
      </w:r>
      <w:r>
        <w:fldChar w:fldCharType="separate"/>
      </w:r>
      <w:r>
        <w:t>343</w:t>
      </w:r>
      <w:r>
        <w:fldChar w:fldCharType="end"/>
      </w:r>
    </w:p>
    <w:p>
      <w:pPr>
        <w:pStyle w:val="TOC8"/>
        <w:rPr>
          <w:rFonts w:asciiTheme="minorHAnsi" w:eastAsiaTheme="minorEastAsia" w:hAnsiTheme="minorHAnsi" w:cstheme="minorBidi"/>
          <w:szCs w:val="22"/>
        </w:rPr>
      </w:pPr>
      <w:r>
        <w:t>4.</w:t>
      </w:r>
      <w:r>
        <w:tab/>
        <w:t>Dealing with submissions</w:t>
      </w:r>
      <w:r>
        <w:tab/>
      </w:r>
      <w:r>
        <w:fldChar w:fldCharType="begin"/>
      </w:r>
      <w:r>
        <w:instrText xml:space="preserve"> PAGEREF _Toc462409800 \h </w:instrText>
      </w:r>
      <w:r>
        <w:fldChar w:fldCharType="separate"/>
      </w:r>
      <w:r>
        <w:t>344</w:t>
      </w:r>
      <w:r>
        <w:fldChar w:fldCharType="end"/>
      </w:r>
    </w:p>
    <w:p>
      <w:pPr>
        <w:pStyle w:val="TOC8"/>
        <w:rPr>
          <w:rFonts w:asciiTheme="minorHAnsi" w:eastAsiaTheme="minorEastAsia" w:hAnsiTheme="minorHAnsi" w:cstheme="minorBidi"/>
          <w:szCs w:val="22"/>
        </w:rPr>
      </w:pPr>
      <w:r>
        <w:t>5.</w:t>
      </w:r>
      <w:r>
        <w:tab/>
        <w:t>Local government may propose ward changes or make minor proposals</w:t>
      </w:r>
      <w:r>
        <w:tab/>
      </w:r>
      <w:r>
        <w:fldChar w:fldCharType="begin"/>
      </w:r>
      <w:r>
        <w:instrText xml:space="preserve"> PAGEREF _Toc462409801 \h </w:instrText>
      </w:r>
      <w:r>
        <w:fldChar w:fldCharType="separate"/>
      </w:r>
      <w:r>
        <w:t>344</w:t>
      </w:r>
      <w:r>
        <w:fldChar w:fldCharType="end"/>
      </w:r>
    </w:p>
    <w:p>
      <w:pPr>
        <w:pStyle w:val="TOC8"/>
        <w:rPr>
          <w:rFonts w:asciiTheme="minorHAnsi" w:eastAsiaTheme="minorEastAsia" w:hAnsiTheme="minorHAnsi" w:cstheme="minorBidi"/>
          <w:szCs w:val="22"/>
        </w:rPr>
      </w:pPr>
      <w:r>
        <w:t>6.</w:t>
      </w:r>
      <w:r>
        <w:tab/>
        <w:t>Local government with wards to review periodically</w:t>
      </w:r>
      <w:r>
        <w:tab/>
      </w:r>
      <w:r>
        <w:fldChar w:fldCharType="begin"/>
      </w:r>
      <w:r>
        <w:instrText xml:space="preserve"> PAGEREF _Toc462409802 \h </w:instrText>
      </w:r>
      <w:r>
        <w:fldChar w:fldCharType="separate"/>
      </w:r>
      <w:r>
        <w:t>345</w:t>
      </w:r>
      <w:r>
        <w:fldChar w:fldCharType="end"/>
      </w:r>
    </w:p>
    <w:p>
      <w:pPr>
        <w:pStyle w:val="TOC8"/>
        <w:rPr>
          <w:rFonts w:asciiTheme="minorHAnsi" w:eastAsiaTheme="minorEastAsia" w:hAnsiTheme="minorHAnsi" w:cstheme="minorBidi"/>
          <w:szCs w:val="22"/>
        </w:rPr>
      </w:pPr>
      <w:r>
        <w:t>7.</w:t>
      </w:r>
      <w:r>
        <w:tab/>
        <w:t>Reviews</w:t>
      </w:r>
      <w:r>
        <w:tab/>
      </w:r>
      <w:r>
        <w:fldChar w:fldCharType="begin"/>
      </w:r>
      <w:r>
        <w:instrText xml:space="preserve"> PAGEREF _Toc462409803 \h </w:instrText>
      </w:r>
      <w:r>
        <w:fldChar w:fldCharType="separate"/>
      </w:r>
      <w:r>
        <w:t>346</w:t>
      </w:r>
      <w:r>
        <w:fldChar w:fldCharType="end"/>
      </w:r>
    </w:p>
    <w:p>
      <w:pPr>
        <w:pStyle w:val="TOC8"/>
        <w:rPr>
          <w:rFonts w:asciiTheme="minorHAnsi" w:eastAsiaTheme="minorEastAsia" w:hAnsiTheme="minorHAnsi" w:cstheme="minorBidi"/>
          <w:szCs w:val="22"/>
        </w:rPr>
      </w:pPr>
      <w:r>
        <w:t>8.</w:t>
      </w:r>
      <w:r>
        <w:tab/>
        <w:t>Matters to be considered in respect of wards</w:t>
      </w:r>
      <w:r>
        <w:tab/>
      </w:r>
      <w:r>
        <w:fldChar w:fldCharType="begin"/>
      </w:r>
      <w:r>
        <w:instrText xml:space="preserve"> PAGEREF _Toc462409804 \h </w:instrText>
      </w:r>
      <w:r>
        <w:fldChar w:fldCharType="separate"/>
      </w:r>
      <w:r>
        <w:t>346</w:t>
      </w:r>
      <w:r>
        <w:fldChar w:fldCharType="end"/>
      </w:r>
    </w:p>
    <w:p>
      <w:pPr>
        <w:pStyle w:val="TOC8"/>
        <w:rPr>
          <w:rFonts w:asciiTheme="minorHAnsi" w:eastAsiaTheme="minorEastAsia" w:hAnsiTheme="minorHAnsi" w:cstheme="minorBidi"/>
          <w:szCs w:val="22"/>
        </w:rPr>
      </w:pPr>
      <w:r>
        <w:t>9.</w:t>
      </w:r>
      <w:r>
        <w:tab/>
        <w:t>Proposal by local government</w:t>
      </w:r>
      <w:r>
        <w:tab/>
      </w:r>
      <w:r>
        <w:fldChar w:fldCharType="begin"/>
      </w:r>
      <w:r>
        <w:instrText xml:space="preserve"> PAGEREF _Toc462409805 \h </w:instrText>
      </w:r>
      <w:r>
        <w:fldChar w:fldCharType="separate"/>
      </w:r>
      <w:r>
        <w:t>346</w:t>
      </w:r>
      <w:r>
        <w:fldChar w:fldCharType="end"/>
      </w:r>
    </w:p>
    <w:p>
      <w:pPr>
        <w:pStyle w:val="TOC8"/>
        <w:rPr>
          <w:rFonts w:asciiTheme="minorHAnsi" w:eastAsiaTheme="minorEastAsia" w:hAnsiTheme="minorHAnsi" w:cstheme="minorBidi"/>
          <w:szCs w:val="22"/>
        </w:rPr>
      </w:pPr>
      <w:r>
        <w:t>10.</w:t>
      </w:r>
      <w:r>
        <w:tab/>
        <w:t>Recommendation by Advisory Board</w:t>
      </w:r>
      <w:r>
        <w:tab/>
      </w:r>
      <w:r>
        <w:fldChar w:fldCharType="begin"/>
      </w:r>
      <w:r>
        <w:instrText xml:space="preserve"> PAGEREF _Toc462409806 \h </w:instrText>
      </w:r>
      <w:r>
        <w:fldChar w:fldCharType="separate"/>
      </w:r>
      <w:r>
        <w:t>347</w:t>
      </w:r>
      <w:r>
        <w:fldChar w:fldCharType="end"/>
      </w:r>
    </w:p>
    <w:p>
      <w:pPr>
        <w:pStyle w:val="TOC8"/>
        <w:rPr>
          <w:rFonts w:asciiTheme="minorHAnsi" w:eastAsiaTheme="minorEastAsia" w:hAnsiTheme="minorHAnsi" w:cstheme="minorBidi"/>
          <w:szCs w:val="22"/>
        </w:rPr>
      </w:pPr>
      <w:r>
        <w:t>11.</w:t>
      </w:r>
      <w:r>
        <w:tab/>
        <w:t>Inquiry by Advisory Board</w:t>
      </w:r>
      <w:r>
        <w:tab/>
      </w:r>
      <w:r>
        <w:fldChar w:fldCharType="begin"/>
      </w:r>
      <w:r>
        <w:instrText xml:space="preserve"> PAGEREF _Toc462409807 \h </w:instrText>
      </w:r>
      <w:r>
        <w:fldChar w:fldCharType="separate"/>
      </w:r>
      <w:r>
        <w:t>348</w:t>
      </w:r>
      <w:r>
        <w:fldChar w:fldCharType="end"/>
      </w:r>
    </w:p>
    <w:p>
      <w:pPr>
        <w:pStyle w:val="TOC8"/>
        <w:rPr>
          <w:rFonts w:asciiTheme="minorHAnsi" w:eastAsiaTheme="minorEastAsia" w:hAnsiTheme="minorHAnsi" w:cstheme="minorBidi"/>
          <w:szCs w:val="22"/>
        </w:rPr>
      </w:pPr>
      <w:r>
        <w:t>12.</w:t>
      </w:r>
      <w:r>
        <w:tab/>
        <w:t>Minister may accept or reject recommendation</w:t>
      </w:r>
      <w:r>
        <w:tab/>
      </w:r>
      <w:r>
        <w:fldChar w:fldCharType="begin"/>
      </w:r>
      <w:r>
        <w:instrText xml:space="preserve"> PAGEREF _Toc462409808 \h </w:instrText>
      </w:r>
      <w:r>
        <w:fldChar w:fldCharType="separate"/>
      </w:r>
      <w:r>
        <w:t>348</w:t>
      </w:r>
      <w:r>
        <w:fldChar w:fldCharType="end"/>
      </w:r>
    </w:p>
    <w:p>
      <w:pPr>
        <w:pStyle w:val="TOC2"/>
        <w:tabs>
          <w:tab w:val="right" w:leader="dot" w:pos="7077"/>
        </w:tabs>
        <w:rPr>
          <w:rFonts w:asciiTheme="minorHAnsi" w:eastAsiaTheme="minorEastAsia" w:hAnsiTheme="minorHAnsi" w:cstheme="minorBidi"/>
          <w:b w:val="0"/>
          <w:sz w:val="22"/>
          <w:szCs w:val="22"/>
        </w:rPr>
      </w:pPr>
      <w:r>
        <w:t>Schedule 2.3 — When and how mayors, presidents, deputy mayors and deputy presidents are elected by the council</w:t>
      </w:r>
    </w:p>
    <w:p>
      <w:pPr>
        <w:pStyle w:val="TOC4"/>
        <w:tabs>
          <w:tab w:val="right" w:leader="dot" w:pos="7077"/>
        </w:tabs>
        <w:rPr>
          <w:rFonts w:asciiTheme="minorHAnsi" w:eastAsiaTheme="minorEastAsia" w:hAnsiTheme="minorHAnsi" w:cstheme="minorBidi"/>
          <w:b w:val="0"/>
          <w:szCs w:val="22"/>
        </w:rPr>
      </w:pPr>
      <w:r>
        <w:t>Division 1 — Mayors and presidents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_Toc462409811 \h </w:instrText>
      </w:r>
      <w:r>
        <w:fldChar w:fldCharType="separate"/>
      </w:r>
      <w:r>
        <w:t>349</w:t>
      </w:r>
      <w:r>
        <w:fldChar w:fldCharType="end"/>
      </w:r>
    </w:p>
    <w:p>
      <w:pPr>
        <w:pStyle w:val="TOC8"/>
        <w:rPr>
          <w:rFonts w:asciiTheme="minorHAnsi" w:eastAsiaTheme="minorEastAsia" w:hAnsiTheme="minorHAnsi" w:cstheme="minorBidi"/>
          <w:szCs w:val="22"/>
        </w:rPr>
      </w:pPr>
      <w:r>
        <w:t>2.</w:t>
      </w:r>
      <w:r>
        <w:tab/>
        <w:t>When council elects mayor or president</w:t>
      </w:r>
      <w:r>
        <w:tab/>
      </w:r>
      <w:r>
        <w:fldChar w:fldCharType="begin"/>
      </w:r>
      <w:r>
        <w:instrText xml:space="preserve"> PAGEREF _Toc462409812 \h </w:instrText>
      </w:r>
      <w:r>
        <w:fldChar w:fldCharType="separate"/>
      </w:r>
      <w:r>
        <w:t>349</w:t>
      </w:r>
      <w:r>
        <w:fldChar w:fldCharType="end"/>
      </w:r>
    </w:p>
    <w:p>
      <w:pPr>
        <w:pStyle w:val="TOC8"/>
        <w:rPr>
          <w:rFonts w:asciiTheme="minorHAnsi" w:eastAsiaTheme="minorEastAsia" w:hAnsiTheme="minorHAnsi" w:cstheme="minorBidi"/>
          <w:szCs w:val="22"/>
        </w:rPr>
      </w:pPr>
      <w:r>
        <w:t>3.</w:t>
      </w:r>
      <w:r>
        <w:tab/>
        <w:t>CEO to preside</w:t>
      </w:r>
      <w:r>
        <w:tab/>
      </w:r>
      <w:r>
        <w:fldChar w:fldCharType="begin"/>
      </w:r>
      <w:r>
        <w:instrText xml:space="preserve"> PAGEREF _Toc462409813 \h </w:instrText>
      </w:r>
      <w:r>
        <w:fldChar w:fldCharType="separate"/>
      </w:r>
      <w:r>
        <w:t>349</w:t>
      </w:r>
      <w:r>
        <w:fldChar w:fldCharType="end"/>
      </w:r>
    </w:p>
    <w:p>
      <w:pPr>
        <w:pStyle w:val="TOC8"/>
        <w:rPr>
          <w:rFonts w:asciiTheme="minorHAnsi" w:eastAsiaTheme="minorEastAsia" w:hAnsiTheme="minorHAnsi" w:cstheme="minorBidi"/>
          <w:szCs w:val="22"/>
        </w:rPr>
      </w:pPr>
      <w:r>
        <w:t>4.</w:t>
      </w:r>
      <w:r>
        <w:tab/>
        <w:t>How mayor or president is elected</w:t>
      </w:r>
      <w:r>
        <w:tab/>
      </w:r>
      <w:r>
        <w:fldChar w:fldCharType="begin"/>
      </w:r>
      <w:r>
        <w:instrText xml:space="preserve"> PAGEREF _Toc462409814 \h </w:instrText>
      </w:r>
      <w:r>
        <w:fldChar w:fldCharType="separate"/>
      </w:r>
      <w:r>
        <w:t>349</w:t>
      </w:r>
      <w:r>
        <w:fldChar w:fldCharType="end"/>
      </w:r>
    </w:p>
    <w:p>
      <w:pPr>
        <w:pStyle w:val="TOC8"/>
        <w:rPr>
          <w:rFonts w:asciiTheme="minorHAnsi" w:eastAsiaTheme="minorEastAsia" w:hAnsiTheme="minorHAnsi" w:cstheme="minorBidi"/>
          <w:szCs w:val="22"/>
        </w:rPr>
      </w:pPr>
      <w:r>
        <w:t>5.</w:t>
      </w:r>
      <w:r>
        <w:tab/>
        <w:t>Votes may be cast a second time</w:t>
      </w:r>
      <w:r>
        <w:tab/>
      </w:r>
      <w:r>
        <w:fldChar w:fldCharType="begin"/>
      </w:r>
      <w:r>
        <w:instrText xml:space="preserve"> PAGEREF _Toc462409815 \h </w:instrText>
      </w:r>
      <w:r>
        <w:fldChar w:fldCharType="separate"/>
      </w:r>
      <w:r>
        <w:t>350</w:t>
      </w:r>
      <w:r>
        <w:fldChar w:fldCharType="end"/>
      </w:r>
    </w:p>
    <w:p>
      <w:pPr>
        <w:pStyle w:val="TOC4"/>
        <w:tabs>
          <w:tab w:val="right" w:leader="dot" w:pos="7077"/>
        </w:tabs>
        <w:rPr>
          <w:rFonts w:asciiTheme="minorHAnsi" w:eastAsiaTheme="minorEastAsia" w:hAnsiTheme="minorHAnsi" w:cstheme="minorBidi"/>
          <w:b w:val="0"/>
          <w:szCs w:val="22"/>
        </w:rPr>
      </w:pPr>
      <w:r>
        <w:t>Division 2 — Deputy mayors and deputy presidents</w:t>
      </w:r>
    </w:p>
    <w:p>
      <w:pPr>
        <w:pStyle w:val="TOC8"/>
        <w:rPr>
          <w:rFonts w:asciiTheme="minorHAnsi" w:eastAsiaTheme="minorEastAsia" w:hAnsiTheme="minorHAnsi" w:cstheme="minorBidi"/>
          <w:szCs w:val="22"/>
        </w:rPr>
      </w:pPr>
      <w:r>
        <w:t>6.</w:t>
      </w:r>
      <w:r>
        <w:tab/>
        <w:t>Terms used</w:t>
      </w:r>
      <w:r>
        <w:tab/>
      </w:r>
      <w:r>
        <w:fldChar w:fldCharType="begin"/>
      </w:r>
      <w:r>
        <w:instrText xml:space="preserve"> PAGEREF _Toc462409817 \h </w:instrText>
      </w:r>
      <w:r>
        <w:fldChar w:fldCharType="separate"/>
      </w:r>
      <w:r>
        <w:t>351</w:t>
      </w:r>
      <w:r>
        <w:fldChar w:fldCharType="end"/>
      </w:r>
    </w:p>
    <w:p>
      <w:pPr>
        <w:pStyle w:val="TOC8"/>
        <w:rPr>
          <w:rFonts w:asciiTheme="minorHAnsi" w:eastAsiaTheme="minorEastAsia" w:hAnsiTheme="minorHAnsi" w:cstheme="minorBidi"/>
          <w:szCs w:val="22"/>
        </w:rPr>
      </w:pPr>
      <w:r>
        <w:t>7.</w:t>
      </w:r>
      <w:r>
        <w:tab/>
        <w:t>When council elects deputy mayor or deputy president</w:t>
      </w:r>
      <w:r>
        <w:tab/>
      </w:r>
      <w:r>
        <w:fldChar w:fldCharType="begin"/>
      </w:r>
      <w:r>
        <w:instrText xml:space="preserve"> PAGEREF _Toc462409818 \h </w:instrText>
      </w:r>
      <w:r>
        <w:fldChar w:fldCharType="separate"/>
      </w:r>
      <w:r>
        <w:t>351</w:t>
      </w:r>
      <w:r>
        <w:fldChar w:fldCharType="end"/>
      </w:r>
    </w:p>
    <w:p>
      <w:pPr>
        <w:pStyle w:val="TOC8"/>
        <w:rPr>
          <w:rFonts w:asciiTheme="minorHAnsi" w:eastAsiaTheme="minorEastAsia" w:hAnsiTheme="minorHAnsi" w:cstheme="minorBidi"/>
          <w:szCs w:val="22"/>
        </w:rPr>
      </w:pPr>
      <w:r>
        <w:t>8.</w:t>
      </w:r>
      <w:r>
        <w:tab/>
        <w:t>How deputy mayor or deputy president is elected</w:t>
      </w:r>
      <w:r>
        <w:tab/>
      </w:r>
      <w:r>
        <w:fldChar w:fldCharType="begin"/>
      </w:r>
      <w:r>
        <w:instrText xml:space="preserve"> PAGEREF _Toc462409819 \h </w:instrText>
      </w:r>
      <w:r>
        <w:fldChar w:fldCharType="separate"/>
      </w:r>
      <w:r>
        <w:t>351</w:t>
      </w:r>
      <w:r>
        <w:fldChar w:fldCharType="end"/>
      </w:r>
    </w:p>
    <w:p>
      <w:pPr>
        <w:pStyle w:val="TOC8"/>
        <w:rPr>
          <w:rFonts w:asciiTheme="minorHAnsi" w:eastAsiaTheme="minorEastAsia" w:hAnsiTheme="minorHAnsi" w:cstheme="minorBidi"/>
          <w:szCs w:val="22"/>
        </w:rPr>
      </w:pPr>
      <w:r>
        <w:t>9.</w:t>
      </w:r>
      <w:r>
        <w:tab/>
        <w:t>Votes may be cast a second time</w:t>
      </w:r>
      <w:r>
        <w:tab/>
      </w:r>
      <w:r>
        <w:fldChar w:fldCharType="begin"/>
      </w:r>
      <w:r>
        <w:instrText xml:space="preserve"> PAGEREF _Toc462409820 \h </w:instrText>
      </w:r>
      <w:r>
        <w:fldChar w:fldCharType="separate"/>
      </w:r>
      <w:r>
        <w:t>352</w:t>
      </w:r>
      <w:r>
        <w:fldChar w:fldCharType="end"/>
      </w:r>
    </w:p>
    <w:p>
      <w:pPr>
        <w:pStyle w:val="TOC4"/>
        <w:tabs>
          <w:tab w:val="right" w:leader="dot" w:pos="7077"/>
        </w:tabs>
        <w:rPr>
          <w:rFonts w:asciiTheme="minorHAnsi" w:eastAsiaTheme="minorEastAsia" w:hAnsiTheme="minorHAnsi" w:cstheme="minorBidi"/>
          <w:b w:val="0"/>
          <w:szCs w:val="22"/>
        </w:rPr>
      </w:pPr>
      <w:r>
        <w:t>Division 3 — Validity of elections</w:t>
      </w:r>
    </w:p>
    <w:p>
      <w:pPr>
        <w:pStyle w:val="TOC8"/>
        <w:rPr>
          <w:rFonts w:asciiTheme="minorHAnsi" w:eastAsiaTheme="minorEastAsia" w:hAnsiTheme="minorHAnsi" w:cstheme="minorBidi"/>
          <w:szCs w:val="22"/>
        </w:rPr>
      </w:pPr>
      <w:r>
        <w:t>10.</w:t>
      </w:r>
      <w:r>
        <w:tab/>
        <w:t>Term used: election</w:t>
      </w:r>
      <w:r>
        <w:tab/>
      </w:r>
      <w:r>
        <w:fldChar w:fldCharType="begin"/>
      </w:r>
      <w:r>
        <w:instrText xml:space="preserve"> PAGEREF _Toc462409822 \h </w:instrText>
      </w:r>
      <w:r>
        <w:fldChar w:fldCharType="separate"/>
      </w:r>
      <w:r>
        <w:t>353</w:t>
      </w:r>
      <w:r>
        <w:fldChar w:fldCharType="end"/>
      </w:r>
    </w:p>
    <w:p>
      <w:pPr>
        <w:pStyle w:val="TOC8"/>
        <w:rPr>
          <w:rFonts w:asciiTheme="minorHAnsi" w:eastAsiaTheme="minorEastAsia" w:hAnsiTheme="minorHAnsi" w:cstheme="minorBidi"/>
          <w:szCs w:val="22"/>
        </w:rPr>
      </w:pPr>
      <w:r>
        <w:t>11.</w:t>
      </w:r>
      <w:r>
        <w:tab/>
        <w:t>Complaints about validity of election</w:t>
      </w:r>
      <w:r>
        <w:tab/>
      </w:r>
      <w:r>
        <w:fldChar w:fldCharType="begin"/>
      </w:r>
      <w:r>
        <w:instrText xml:space="preserve"> PAGEREF _Toc462409823 \h </w:instrText>
      </w:r>
      <w:r>
        <w:fldChar w:fldCharType="separate"/>
      </w:r>
      <w:r>
        <w:t>353</w:t>
      </w:r>
      <w:r>
        <w:fldChar w:fldCharType="end"/>
      </w:r>
    </w:p>
    <w:p>
      <w:pPr>
        <w:pStyle w:val="TOC8"/>
        <w:rPr>
          <w:rFonts w:asciiTheme="minorHAnsi" w:eastAsiaTheme="minorEastAsia" w:hAnsiTheme="minorHAnsi" w:cstheme="minorBidi"/>
          <w:szCs w:val="22"/>
        </w:rPr>
      </w:pPr>
      <w:r>
        <w:t>12.</w:t>
      </w:r>
      <w:r>
        <w:tab/>
        <w:t>Complaints to go to Court of Disputed Returns</w:t>
      </w:r>
      <w:r>
        <w:tab/>
      </w:r>
      <w:r>
        <w:fldChar w:fldCharType="begin"/>
      </w:r>
      <w:r>
        <w:instrText xml:space="preserve"> PAGEREF _Toc462409824 \h </w:instrText>
      </w:r>
      <w:r>
        <w:fldChar w:fldCharType="separate"/>
      </w:r>
      <w:r>
        <w:t>353</w:t>
      </w:r>
      <w:r>
        <w:fldChar w:fldCharType="end"/>
      </w:r>
    </w:p>
    <w:p>
      <w:pPr>
        <w:pStyle w:val="TOC8"/>
        <w:rPr>
          <w:rFonts w:asciiTheme="minorHAnsi" w:eastAsiaTheme="minorEastAsia" w:hAnsiTheme="minorHAnsi" w:cstheme="minorBidi"/>
          <w:szCs w:val="22"/>
        </w:rPr>
      </w:pPr>
      <w:r>
        <w:t>13.</w:t>
      </w:r>
      <w:r>
        <w:tab/>
        <w:t>No appeal</w:t>
      </w:r>
      <w:r>
        <w:tab/>
      </w:r>
      <w:r>
        <w:fldChar w:fldCharType="begin"/>
      </w:r>
      <w:r>
        <w:instrText xml:space="preserve"> PAGEREF _Toc462409825 \h </w:instrText>
      </w:r>
      <w:r>
        <w:fldChar w:fldCharType="separate"/>
      </w:r>
      <w:r>
        <w:t>354</w:t>
      </w:r>
      <w:r>
        <w:fldChar w:fldCharType="end"/>
      </w:r>
    </w:p>
    <w:p>
      <w:pPr>
        <w:pStyle w:val="TOC8"/>
        <w:rPr>
          <w:rFonts w:asciiTheme="minorHAnsi" w:eastAsiaTheme="minorEastAsia" w:hAnsiTheme="minorHAnsi" w:cstheme="minorBidi"/>
          <w:szCs w:val="22"/>
        </w:rPr>
      </w:pPr>
      <w:r>
        <w:t>14.</w:t>
      </w:r>
      <w:r>
        <w:tab/>
        <w:t>Certain defects do not affect election</w:t>
      </w:r>
      <w:r>
        <w:tab/>
      </w:r>
      <w:r>
        <w:fldChar w:fldCharType="begin"/>
      </w:r>
      <w:r>
        <w:instrText xml:space="preserve"> PAGEREF _Toc462409826 \h </w:instrText>
      </w:r>
      <w:r>
        <w:fldChar w:fldCharType="separate"/>
      </w:r>
      <w:r>
        <w:t>354</w:t>
      </w:r>
      <w:r>
        <w:fldChar w:fldCharType="end"/>
      </w:r>
    </w:p>
    <w:p>
      <w:pPr>
        <w:pStyle w:val="TOC8"/>
        <w:rPr>
          <w:rFonts w:asciiTheme="minorHAnsi" w:eastAsiaTheme="minorEastAsia" w:hAnsiTheme="minorHAnsi" w:cstheme="minorBidi"/>
          <w:szCs w:val="22"/>
        </w:rPr>
      </w:pPr>
      <w:r>
        <w:t>15.</w:t>
      </w:r>
      <w:r>
        <w:tab/>
        <w:t>Regulations about retention and availability of electoral papers</w:t>
      </w:r>
      <w:r>
        <w:tab/>
      </w:r>
      <w:r>
        <w:fldChar w:fldCharType="begin"/>
      </w:r>
      <w:r>
        <w:instrText xml:space="preserve"> PAGEREF _Toc462409827 \h </w:instrText>
      </w:r>
      <w:r>
        <w:fldChar w:fldCharType="separate"/>
      </w:r>
      <w:r>
        <w:t>354</w:t>
      </w:r>
      <w:r>
        <w:fldChar w:fldCharType="end"/>
      </w:r>
    </w:p>
    <w:p>
      <w:pPr>
        <w:pStyle w:val="TOC2"/>
        <w:tabs>
          <w:tab w:val="right" w:leader="dot" w:pos="7077"/>
        </w:tabs>
        <w:rPr>
          <w:rFonts w:asciiTheme="minorHAnsi" w:eastAsiaTheme="minorEastAsia" w:hAnsiTheme="minorHAnsi" w:cstheme="minorBidi"/>
          <w:b w:val="0"/>
          <w:sz w:val="22"/>
          <w:szCs w:val="22"/>
        </w:rPr>
      </w:pPr>
      <w:r>
        <w:t>Schedule 2.4 — Provisions about commissioners</w:t>
      </w:r>
    </w:p>
    <w:p>
      <w:pPr>
        <w:pStyle w:val="TOC8"/>
        <w:rPr>
          <w:rFonts w:asciiTheme="minorHAnsi" w:eastAsiaTheme="minorEastAsia" w:hAnsiTheme="minorHAnsi" w:cstheme="minorBidi"/>
          <w:szCs w:val="22"/>
        </w:rPr>
      </w:pPr>
      <w:r>
        <w:t>1.</w:t>
      </w:r>
      <w:r>
        <w:tab/>
        <w:t>Eligibility for appointment</w:t>
      </w:r>
      <w:r>
        <w:tab/>
      </w:r>
      <w:r>
        <w:fldChar w:fldCharType="begin"/>
      </w:r>
      <w:r>
        <w:instrText xml:space="preserve"> PAGEREF _Toc462409829 \h </w:instrText>
      </w:r>
      <w:r>
        <w:fldChar w:fldCharType="separate"/>
      </w:r>
      <w:r>
        <w:t>355</w:t>
      </w:r>
      <w:r>
        <w:fldChar w:fldCharType="end"/>
      </w:r>
    </w:p>
    <w:p>
      <w:pPr>
        <w:pStyle w:val="TOC8"/>
        <w:rPr>
          <w:rFonts w:asciiTheme="minorHAnsi" w:eastAsiaTheme="minorEastAsia" w:hAnsiTheme="minorHAnsi" w:cstheme="minorBidi"/>
          <w:szCs w:val="22"/>
        </w:rPr>
      </w:pPr>
      <w:r>
        <w:t>2.</w:t>
      </w:r>
      <w:r>
        <w:tab/>
        <w:t>Tenure</w:t>
      </w:r>
      <w:r>
        <w:tab/>
      </w:r>
      <w:r>
        <w:fldChar w:fldCharType="begin"/>
      </w:r>
      <w:r>
        <w:instrText xml:space="preserve"> PAGEREF _Toc462409830 \h </w:instrText>
      </w:r>
      <w:r>
        <w:fldChar w:fldCharType="separate"/>
      </w:r>
      <w:r>
        <w:t>355</w:t>
      </w:r>
      <w:r>
        <w:fldChar w:fldCharType="end"/>
      </w:r>
    </w:p>
    <w:p>
      <w:pPr>
        <w:pStyle w:val="TOC8"/>
        <w:rPr>
          <w:rFonts w:asciiTheme="minorHAnsi" w:eastAsiaTheme="minorEastAsia" w:hAnsiTheme="minorHAnsi" w:cstheme="minorBidi"/>
          <w:szCs w:val="22"/>
        </w:rPr>
      </w:pPr>
      <w:r>
        <w:t>3.</w:t>
      </w:r>
      <w:r>
        <w:tab/>
        <w:t>Vacancies</w:t>
      </w:r>
      <w:r>
        <w:tab/>
      </w:r>
      <w:r>
        <w:fldChar w:fldCharType="begin"/>
      </w:r>
      <w:r>
        <w:instrText xml:space="preserve"> PAGEREF _Toc462409831 \h </w:instrText>
      </w:r>
      <w:r>
        <w:fldChar w:fldCharType="separate"/>
      </w:r>
      <w:r>
        <w:t>355</w:t>
      </w:r>
      <w:r>
        <w:fldChar w:fldCharType="end"/>
      </w:r>
    </w:p>
    <w:p>
      <w:pPr>
        <w:pStyle w:val="TOC8"/>
        <w:rPr>
          <w:rFonts w:asciiTheme="minorHAnsi" w:eastAsiaTheme="minorEastAsia" w:hAnsiTheme="minorHAnsi" w:cstheme="minorBidi"/>
          <w:szCs w:val="22"/>
        </w:rPr>
      </w:pPr>
      <w:r>
        <w:t>4.</w:t>
      </w:r>
      <w:r>
        <w:tab/>
        <w:t>Vacancies may be filled</w:t>
      </w:r>
      <w:r>
        <w:tab/>
      </w:r>
      <w:r>
        <w:fldChar w:fldCharType="begin"/>
      </w:r>
      <w:r>
        <w:instrText xml:space="preserve"> PAGEREF _Toc462409832 \h </w:instrText>
      </w:r>
      <w:r>
        <w:fldChar w:fldCharType="separate"/>
      </w:r>
      <w:r>
        <w:t>355</w:t>
      </w:r>
      <w:r>
        <w:fldChar w:fldCharType="end"/>
      </w:r>
    </w:p>
    <w:p>
      <w:pPr>
        <w:pStyle w:val="TOC8"/>
        <w:rPr>
          <w:rFonts w:asciiTheme="minorHAnsi" w:eastAsiaTheme="minorEastAsia" w:hAnsiTheme="minorHAnsi" w:cstheme="minorBidi"/>
          <w:szCs w:val="22"/>
        </w:rPr>
      </w:pPr>
      <w:r>
        <w:t>5.</w:t>
      </w:r>
      <w:r>
        <w:tab/>
        <w:t>Payment of commissioners</w:t>
      </w:r>
      <w:r>
        <w:tab/>
      </w:r>
      <w:r>
        <w:fldChar w:fldCharType="begin"/>
      </w:r>
      <w:r>
        <w:instrText xml:space="preserve"> PAGEREF _Toc462409833 \h </w:instrText>
      </w:r>
      <w:r>
        <w:fldChar w:fldCharType="separate"/>
      </w:r>
      <w:r>
        <w:t>356</w:t>
      </w:r>
      <w:r>
        <w:fldChar w:fldCharType="end"/>
      </w:r>
    </w:p>
    <w:p>
      <w:pPr>
        <w:pStyle w:val="TOC8"/>
        <w:rPr>
          <w:rFonts w:asciiTheme="minorHAnsi" w:eastAsiaTheme="minorEastAsia" w:hAnsiTheme="minorHAnsi" w:cstheme="minorBidi"/>
          <w:szCs w:val="22"/>
        </w:rPr>
      </w:pPr>
      <w:r>
        <w:t>6.</w:t>
      </w:r>
      <w:r>
        <w:tab/>
        <w:t>Procedure at meetings of joint commissioners</w:t>
      </w:r>
      <w:r>
        <w:tab/>
      </w:r>
      <w:r>
        <w:fldChar w:fldCharType="begin"/>
      </w:r>
      <w:r>
        <w:instrText xml:space="preserve"> PAGEREF _Toc462409834 \h </w:instrText>
      </w:r>
      <w:r>
        <w:fldChar w:fldCharType="separate"/>
      </w:r>
      <w:r>
        <w:t>356</w:t>
      </w:r>
      <w:r>
        <w:fldChar w:fldCharType="end"/>
      </w:r>
    </w:p>
    <w:p>
      <w:pPr>
        <w:pStyle w:val="TOC2"/>
        <w:tabs>
          <w:tab w:val="right" w:leader="dot" w:pos="7077"/>
        </w:tabs>
        <w:rPr>
          <w:rFonts w:asciiTheme="minorHAnsi" w:eastAsiaTheme="minorEastAsia" w:hAnsiTheme="minorHAnsi" w:cstheme="minorBidi"/>
          <w:b w:val="0"/>
          <w:sz w:val="22"/>
          <w:szCs w:val="22"/>
        </w:rPr>
      </w:pPr>
      <w:r>
        <w:t>Schedule 2.5 — Provisions about the Local Government Advisory Board</w:t>
      </w:r>
    </w:p>
    <w:p>
      <w:pPr>
        <w:pStyle w:val="TOC8"/>
        <w:rPr>
          <w:rFonts w:asciiTheme="minorHAnsi" w:eastAsiaTheme="minorEastAsia" w:hAnsiTheme="minorHAnsi" w:cstheme="minorBidi"/>
          <w:szCs w:val="22"/>
        </w:rPr>
      </w:pPr>
      <w:r>
        <w:t>1.</w:t>
      </w:r>
      <w:r>
        <w:tab/>
        <w:t>Term used: member</w:t>
      </w:r>
      <w:r>
        <w:tab/>
      </w:r>
      <w:r>
        <w:fldChar w:fldCharType="begin"/>
      </w:r>
      <w:r>
        <w:instrText xml:space="preserve"> PAGEREF _Toc462409836 \h </w:instrText>
      </w:r>
      <w:r>
        <w:fldChar w:fldCharType="separate"/>
      </w:r>
      <w:r>
        <w:t>357</w:t>
      </w:r>
      <w:r>
        <w:fldChar w:fldCharType="end"/>
      </w:r>
    </w:p>
    <w:p>
      <w:pPr>
        <w:pStyle w:val="TOC8"/>
        <w:rPr>
          <w:rFonts w:asciiTheme="minorHAnsi" w:eastAsiaTheme="minorEastAsia" w:hAnsiTheme="minorHAnsi" w:cstheme="minorBidi"/>
          <w:szCs w:val="22"/>
        </w:rPr>
      </w:pPr>
      <w:r>
        <w:t>2.</w:t>
      </w:r>
      <w:r>
        <w:tab/>
        <w:t>Membership of Advisory Board</w:t>
      </w:r>
      <w:r>
        <w:tab/>
      </w:r>
      <w:r>
        <w:fldChar w:fldCharType="begin"/>
      </w:r>
      <w:r>
        <w:instrText xml:space="preserve"> PAGEREF _Toc462409837 \h </w:instrText>
      </w:r>
      <w:r>
        <w:fldChar w:fldCharType="separate"/>
      </w:r>
      <w:r>
        <w:t>357</w:t>
      </w:r>
      <w:r>
        <w:fldChar w:fldCharType="end"/>
      </w:r>
    </w:p>
    <w:p>
      <w:pPr>
        <w:pStyle w:val="TOC8"/>
        <w:rPr>
          <w:rFonts w:asciiTheme="minorHAnsi" w:eastAsiaTheme="minorEastAsia" w:hAnsiTheme="minorHAnsi" w:cstheme="minorBidi"/>
          <w:szCs w:val="22"/>
        </w:rPr>
      </w:pPr>
      <w:r>
        <w:t>3.</w:t>
      </w:r>
      <w:r>
        <w:tab/>
        <w:t>Deputies</w:t>
      </w:r>
      <w:r>
        <w:tab/>
      </w:r>
      <w:r>
        <w:fldChar w:fldCharType="begin"/>
      </w:r>
      <w:r>
        <w:instrText xml:space="preserve"> PAGEREF _Toc462409838 \h </w:instrText>
      </w:r>
      <w:r>
        <w:fldChar w:fldCharType="separate"/>
      </w:r>
      <w:r>
        <w:t>357</w:t>
      </w:r>
      <w:r>
        <w:fldChar w:fldCharType="end"/>
      </w:r>
    </w:p>
    <w:p>
      <w:pPr>
        <w:pStyle w:val="TOC8"/>
        <w:rPr>
          <w:rFonts w:asciiTheme="minorHAnsi" w:eastAsiaTheme="minorEastAsia" w:hAnsiTheme="minorHAnsi" w:cstheme="minorBidi"/>
          <w:szCs w:val="22"/>
        </w:rPr>
      </w:pPr>
      <w:r>
        <w:t>4.</w:t>
      </w:r>
      <w:r>
        <w:tab/>
        <w:t>Submission of lists</w:t>
      </w:r>
      <w:r>
        <w:tab/>
      </w:r>
      <w:r>
        <w:fldChar w:fldCharType="begin"/>
      </w:r>
      <w:r>
        <w:instrText xml:space="preserve"> PAGEREF _Toc462409839 \h </w:instrText>
      </w:r>
      <w:r>
        <w:fldChar w:fldCharType="separate"/>
      </w:r>
      <w:r>
        <w:t>358</w:t>
      </w:r>
      <w:r>
        <w:fldChar w:fldCharType="end"/>
      </w:r>
    </w:p>
    <w:p>
      <w:pPr>
        <w:pStyle w:val="TOC8"/>
        <w:rPr>
          <w:rFonts w:asciiTheme="minorHAnsi" w:eastAsiaTheme="minorEastAsia" w:hAnsiTheme="minorHAnsi" w:cstheme="minorBidi"/>
          <w:szCs w:val="22"/>
        </w:rPr>
      </w:pPr>
      <w:r>
        <w:t>5.</w:t>
      </w:r>
      <w:r>
        <w:tab/>
        <w:t>Term of office</w:t>
      </w:r>
      <w:r>
        <w:tab/>
      </w:r>
      <w:r>
        <w:fldChar w:fldCharType="begin"/>
      </w:r>
      <w:r>
        <w:instrText xml:space="preserve"> PAGEREF _Toc462409840 \h </w:instrText>
      </w:r>
      <w:r>
        <w:fldChar w:fldCharType="separate"/>
      </w:r>
      <w:r>
        <w:t>358</w:t>
      </w:r>
      <w:r>
        <w:fldChar w:fldCharType="end"/>
      </w:r>
    </w:p>
    <w:p>
      <w:pPr>
        <w:pStyle w:val="TOC8"/>
        <w:rPr>
          <w:rFonts w:asciiTheme="minorHAnsi" w:eastAsiaTheme="minorEastAsia" w:hAnsiTheme="minorHAnsi" w:cstheme="minorBidi"/>
          <w:szCs w:val="22"/>
        </w:rPr>
      </w:pPr>
      <w:r>
        <w:t>6.</w:t>
      </w:r>
      <w:r>
        <w:tab/>
        <w:t>Vacation of office</w:t>
      </w:r>
      <w:r>
        <w:tab/>
      </w:r>
      <w:r>
        <w:fldChar w:fldCharType="begin"/>
      </w:r>
      <w:r>
        <w:instrText xml:space="preserve"> PAGEREF _Toc462409841 \h </w:instrText>
      </w:r>
      <w:r>
        <w:fldChar w:fldCharType="separate"/>
      </w:r>
      <w:r>
        <w:t>359</w:t>
      </w:r>
      <w:r>
        <w:fldChar w:fldCharType="end"/>
      </w:r>
    </w:p>
    <w:p>
      <w:pPr>
        <w:pStyle w:val="TOC8"/>
        <w:rPr>
          <w:rFonts w:asciiTheme="minorHAnsi" w:eastAsiaTheme="minorEastAsia" w:hAnsiTheme="minorHAnsi" w:cstheme="minorBidi"/>
          <w:szCs w:val="22"/>
        </w:rPr>
      </w:pPr>
      <w:r>
        <w:t>7.</w:t>
      </w:r>
      <w:r>
        <w:tab/>
        <w:t>Meetings</w:t>
      </w:r>
      <w:r>
        <w:tab/>
      </w:r>
      <w:r>
        <w:fldChar w:fldCharType="begin"/>
      </w:r>
      <w:r>
        <w:instrText xml:space="preserve"> PAGEREF _Toc462409842 \h </w:instrText>
      </w:r>
      <w:r>
        <w:fldChar w:fldCharType="separate"/>
      </w:r>
      <w:r>
        <w:t>359</w:t>
      </w:r>
      <w:r>
        <w:fldChar w:fldCharType="end"/>
      </w:r>
    </w:p>
    <w:p>
      <w:pPr>
        <w:pStyle w:val="TOC8"/>
        <w:rPr>
          <w:rFonts w:asciiTheme="minorHAnsi" w:eastAsiaTheme="minorEastAsia" w:hAnsiTheme="minorHAnsi" w:cstheme="minorBidi"/>
          <w:szCs w:val="22"/>
        </w:rPr>
      </w:pPr>
      <w:r>
        <w:t>8.</w:t>
      </w:r>
      <w:r>
        <w:tab/>
        <w:t>Remuneration and allowances</w:t>
      </w:r>
      <w:r>
        <w:tab/>
      </w:r>
      <w:r>
        <w:fldChar w:fldCharType="begin"/>
      </w:r>
      <w:r>
        <w:instrText xml:space="preserve"> PAGEREF _Toc462409843 \h </w:instrText>
      </w:r>
      <w:r>
        <w:fldChar w:fldCharType="separate"/>
      </w:r>
      <w:r>
        <w:t>360</w:t>
      </w:r>
      <w:r>
        <w:fldChar w:fldCharType="end"/>
      </w:r>
    </w:p>
    <w:p>
      <w:pPr>
        <w:pStyle w:val="TOC8"/>
        <w:rPr>
          <w:rFonts w:asciiTheme="minorHAnsi" w:eastAsiaTheme="minorEastAsia" w:hAnsiTheme="minorHAnsi" w:cstheme="minorBidi"/>
          <w:szCs w:val="22"/>
        </w:rPr>
      </w:pPr>
      <w:r>
        <w:t>9.</w:t>
      </w:r>
      <w:r>
        <w:tab/>
        <w:t>Protection</w:t>
      </w:r>
      <w:r>
        <w:tab/>
      </w:r>
      <w:r>
        <w:fldChar w:fldCharType="begin"/>
      </w:r>
      <w:r>
        <w:instrText xml:space="preserve"> PAGEREF _Toc462409844 \h </w:instrText>
      </w:r>
      <w:r>
        <w:fldChar w:fldCharType="separate"/>
      </w:r>
      <w:r>
        <w:t>360</w:t>
      </w:r>
      <w:r>
        <w:fldChar w:fldCharType="end"/>
      </w:r>
    </w:p>
    <w:p>
      <w:pPr>
        <w:pStyle w:val="TOC8"/>
        <w:rPr>
          <w:rFonts w:asciiTheme="minorHAnsi" w:eastAsiaTheme="minorEastAsia" w:hAnsiTheme="minorHAnsi" w:cstheme="minorBidi"/>
          <w:szCs w:val="22"/>
        </w:rPr>
      </w:pPr>
      <w:r>
        <w:t>10.</w:t>
      </w:r>
      <w:r>
        <w:tab/>
        <w:t>Staff</w:t>
      </w:r>
      <w:r>
        <w:tab/>
      </w:r>
      <w:r>
        <w:fldChar w:fldCharType="begin"/>
      </w:r>
      <w:r>
        <w:instrText xml:space="preserve"> PAGEREF _Toc462409845 \h </w:instrText>
      </w:r>
      <w:r>
        <w:fldChar w:fldCharType="separate"/>
      </w:r>
      <w:r>
        <w:t>360</w:t>
      </w:r>
      <w:r>
        <w:fldChar w:fldCharType="end"/>
      </w:r>
    </w:p>
    <w:p>
      <w:pPr>
        <w:pStyle w:val="TOC8"/>
        <w:rPr>
          <w:rFonts w:asciiTheme="minorHAnsi" w:eastAsiaTheme="minorEastAsia" w:hAnsiTheme="minorHAnsi" w:cstheme="minorBidi"/>
          <w:szCs w:val="22"/>
        </w:rPr>
      </w:pPr>
      <w:r>
        <w:t>11.</w:t>
      </w:r>
      <w:r>
        <w:tab/>
        <w:t>Delegation</w:t>
      </w:r>
      <w:r>
        <w:tab/>
      </w:r>
      <w:r>
        <w:fldChar w:fldCharType="begin"/>
      </w:r>
      <w:r>
        <w:instrText xml:space="preserve"> PAGEREF _Toc462409846 \h </w:instrText>
      </w:r>
      <w:r>
        <w:fldChar w:fldCharType="separate"/>
      </w:r>
      <w:r>
        <w:t>361</w:t>
      </w:r>
      <w:r>
        <w:fldChar w:fldCharType="end"/>
      </w:r>
    </w:p>
    <w:p>
      <w:pPr>
        <w:pStyle w:val="TOC8"/>
        <w:rPr>
          <w:rFonts w:asciiTheme="minorHAnsi" w:eastAsiaTheme="minorEastAsia" w:hAnsiTheme="minorHAnsi" w:cstheme="minorBidi"/>
          <w:szCs w:val="22"/>
        </w:rPr>
      </w:pPr>
      <w:r>
        <w:t>12.</w:t>
      </w:r>
      <w:r>
        <w:tab/>
        <w:t>Powers of inquiry</w:t>
      </w:r>
      <w:r>
        <w:tab/>
      </w:r>
      <w:r>
        <w:fldChar w:fldCharType="begin"/>
      </w:r>
      <w:r>
        <w:instrText xml:space="preserve"> PAGEREF _Toc462409847 \h </w:instrText>
      </w:r>
      <w:r>
        <w:fldChar w:fldCharType="separate"/>
      </w:r>
      <w:r>
        <w:t>362</w:t>
      </w:r>
      <w:r>
        <w:fldChar w:fldCharType="end"/>
      </w:r>
    </w:p>
    <w:p>
      <w:pPr>
        <w:pStyle w:val="TOC8"/>
        <w:rPr>
          <w:rFonts w:asciiTheme="minorHAnsi" w:eastAsiaTheme="minorEastAsia" w:hAnsiTheme="minorHAnsi" w:cstheme="minorBidi"/>
          <w:szCs w:val="22"/>
        </w:rPr>
      </w:pPr>
      <w:r>
        <w:t>13.</w:t>
      </w:r>
      <w:r>
        <w:tab/>
        <w:t>Investigations</w:t>
      </w:r>
      <w:r>
        <w:tab/>
      </w:r>
      <w:r>
        <w:fldChar w:fldCharType="begin"/>
      </w:r>
      <w:r>
        <w:instrText xml:space="preserve"> PAGEREF _Toc462409848 \h </w:instrText>
      </w:r>
      <w:r>
        <w:fldChar w:fldCharType="separate"/>
      </w:r>
      <w:r>
        <w:t>362</w:t>
      </w:r>
      <w:r>
        <w:fldChar w:fldCharType="end"/>
      </w:r>
    </w:p>
    <w:p>
      <w:pPr>
        <w:pStyle w:val="TOC8"/>
        <w:rPr>
          <w:rFonts w:asciiTheme="minorHAnsi" w:eastAsiaTheme="minorEastAsia" w:hAnsiTheme="minorHAnsi" w:cstheme="minorBidi"/>
          <w:szCs w:val="22"/>
        </w:rPr>
      </w:pPr>
      <w:r>
        <w:t>14.</w:t>
      </w:r>
      <w:r>
        <w:tab/>
        <w:t>Annual report</w:t>
      </w:r>
      <w:r>
        <w:tab/>
      </w:r>
      <w:r>
        <w:fldChar w:fldCharType="begin"/>
      </w:r>
      <w:r>
        <w:instrText xml:space="preserve"> PAGEREF _Toc462409849 \h </w:instrText>
      </w:r>
      <w:r>
        <w:fldChar w:fldCharType="separate"/>
      </w:r>
      <w:r>
        <w:t>363</w:t>
      </w:r>
      <w:r>
        <w:fldChar w:fldCharType="end"/>
      </w:r>
    </w:p>
    <w:p>
      <w:pPr>
        <w:pStyle w:val="TOC8"/>
        <w:rPr>
          <w:rFonts w:asciiTheme="minorHAnsi" w:eastAsiaTheme="minorEastAsia" w:hAnsiTheme="minorHAnsi" w:cstheme="minorBidi"/>
          <w:szCs w:val="22"/>
        </w:rPr>
      </w:pPr>
      <w:r>
        <w:t>15.</w:t>
      </w:r>
      <w:r>
        <w:tab/>
        <w:t>Offences</w:t>
      </w:r>
      <w:r>
        <w:tab/>
      </w:r>
      <w:r>
        <w:fldChar w:fldCharType="begin"/>
      </w:r>
      <w:r>
        <w:instrText xml:space="preserve"> PAGEREF _Toc462409850 \h </w:instrText>
      </w:r>
      <w:r>
        <w:fldChar w:fldCharType="separate"/>
      </w:r>
      <w:r>
        <w:t>363</w:t>
      </w:r>
      <w:r>
        <w:fldChar w:fldCharType="end"/>
      </w:r>
    </w:p>
    <w:p>
      <w:pPr>
        <w:pStyle w:val="TOC2"/>
        <w:tabs>
          <w:tab w:val="right" w:leader="dot" w:pos="7077"/>
        </w:tabs>
        <w:rPr>
          <w:rFonts w:asciiTheme="minorHAnsi" w:eastAsiaTheme="minorEastAsia" w:hAnsiTheme="minorHAnsi" w:cstheme="minorBidi"/>
          <w:b w:val="0"/>
          <w:sz w:val="22"/>
          <w:szCs w:val="22"/>
        </w:rPr>
      </w:pPr>
      <w:r>
        <w:t>Schedule 3.1 — Powers under notices to owners or occupiers of land</w:t>
      </w:r>
    </w:p>
    <w:p>
      <w:pPr>
        <w:pStyle w:val="TOC4"/>
        <w:tabs>
          <w:tab w:val="right" w:leader="dot" w:pos="7077"/>
        </w:tabs>
        <w:rPr>
          <w:rFonts w:asciiTheme="minorHAnsi" w:eastAsiaTheme="minorEastAsia" w:hAnsiTheme="minorHAnsi" w:cstheme="minorBidi"/>
          <w:b w:val="0"/>
          <w:szCs w:val="22"/>
        </w:rPr>
      </w:pPr>
      <w:r>
        <w:t>Division 1 — Things a notice may require to be done</w:t>
      </w:r>
    </w:p>
    <w:p>
      <w:pPr>
        <w:pStyle w:val="TOC4"/>
        <w:tabs>
          <w:tab w:val="right" w:leader="dot" w:pos="7077"/>
        </w:tabs>
        <w:rPr>
          <w:rFonts w:asciiTheme="minorHAnsi" w:eastAsiaTheme="minorEastAsia" w:hAnsiTheme="minorHAnsi" w:cstheme="minorBidi"/>
          <w:b w:val="0"/>
          <w:szCs w:val="22"/>
        </w:rPr>
      </w:pPr>
      <w:r>
        <w:t>Division 2 — Provisions contraventions of which may lead to a notice requiring things to be done</w:t>
      </w:r>
    </w:p>
    <w:p>
      <w:pPr>
        <w:pStyle w:val="TOC2"/>
        <w:tabs>
          <w:tab w:val="right" w:leader="dot" w:pos="7077"/>
        </w:tabs>
        <w:rPr>
          <w:rFonts w:asciiTheme="minorHAnsi" w:eastAsiaTheme="minorEastAsia" w:hAnsiTheme="minorHAnsi" w:cstheme="minorBidi"/>
          <w:b w:val="0"/>
          <w:sz w:val="22"/>
          <w:szCs w:val="22"/>
        </w:rPr>
      </w:pPr>
      <w:r>
        <w:t>Schedule 3.2 — Particular things local governments can do on land even though it is not local government property</w:t>
      </w:r>
    </w:p>
    <w:p>
      <w:pPr>
        <w:pStyle w:val="TOC2"/>
        <w:tabs>
          <w:tab w:val="right" w:leader="dot" w:pos="7077"/>
        </w:tabs>
        <w:rPr>
          <w:rFonts w:asciiTheme="minorHAnsi" w:eastAsiaTheme="minorEastAsia" w:hAnsiTheme="minorHAnsi" w:cstheme="minorBidi"/>
          <w:b w:val="0"/>
          <w:sz w:val="22"/>
          <w:szCs w:val="22"/>
        </w:rPr>
      </w:pPr>
      <w:r>
        <w:t>Schedule 4.1 — How to count votes and ascertain the result of an election</w:t>
      </w:r>
    </w:p>
    <w:p>
      <w:pPr>
        <w:pStyle w:val="TOC2"/>
        <w:tabs>
          <w:tab w:val="right" w:leader="dot" w:pos="7077"/>
        </w:tabs>
        <w:rPr>
          <w:rFonts w:asciiTheme="minorHAnsi" w:eastAsiaTheme="minorEastAsia" w:hAnsiTheme="minorHAnsi" w:cstheme="minorBidi"/>
          <w:b w:val="0"/>
          <w:sz w:val="22"/>
          <w:szCs w:val="22"/>
        </w:rPr>
      </w:pPr>
      <w:r>
        <w:t>Schedule 4.2 — Order of retirement from office of councillors</w:t>
      </w:r>
    </w:p>
    <w:p>
      <w:pPr>
        <w:pStyle w:val="TOC2"/>
        <w:tabs>
          <w:tab w:val="right" w:leader="dot" w:pos="7077"/>
        </w:tabs>
        <w:rPr>
          <w:rFonts w:asciiTheme="minorHAnsi" w:eastAsiaTheme="minorEastAsia" w:hAnsiTheme="minorHAnsi" w:cstheme="minorBidi"/>
          <w:b w:val="0"/>
          <w:sz w:val="22"/>
          <w:szCs w:val="22"/>
        </w:rPr>
      </w:pPr>
      <w:r>
        <w:t>Schedule 5.1 — Provisions about standards panels</w:t>
      </w:r>
    </w:p>
    <w:p>
      <w:pPr>
        <w:pStyle w:val="TOC8"/>
        <w:rPr>
          <w:rFonts w:asciiTheme="minorHAnsi" w:eastAsiaTheme="minorEastAsia" w:hAnsiTheme="minorHAnsi" w:cstheme="minorBidi"/>
          <w:szCs w:val="22"/>
        </w:rPr>
      </w:pPr>
      <w:r>
        <w:t>1.</w:t>
      </w:r>
      <w:r>
        <w:tab/>
        <w:t>Term used: member</w:t>
      </w:r>
      <w:r>
        <w:tab/>
      </w:r>
      <w:r>
        <w:fldChar w:fldCharType="begin"/>
      </w:r>
      <w:r>
        <w:instrText xml:space="preserve"> PAGEREF _Toc462409858 \h </w:instrText>
      </w:r>
      <w:r>
        <w:fldChar w:fldCharType="separate"/>
      </w:r>
      <w:r>
        <w:t>371</w:t>
      </w:r>
      <w:r>
        <w:fldChar w:fldCharType="end"/>
      </w:r>
    </w:p>
    <w:p>
      <w:pPr>
        <w:pStyle w:val="TOC8"/>
        <w:rPr>
          <w:rFonts w:asciiTheme="minorHAnsi" w:eastAsiaTheme="minorEastAsia" w:hAnsiTheme="minorHAnsi" w:cstheme="minorBidi"/>
          <w:szCs w:val="22"/>
        </w:rPr>
      </w:pPr>
      <w:r>
        <w:t>2.</w:t>
      </w:r>
      <w:r>
        <w:tab/>
        <w:t>Membership of standards panel</w:t>
      </w:r>
      <w:r>
        <w:tab/>
      </w:r>
      <w:r>
        <w:fldChar w:fldCharType="begin"/>
      </w:r>
      <w:r>
        <w:instrText xml:space="preserve"> PAGEREF _Toc462409859 \h </w:instrText>
      </w:r>
      <w:r>
        <w:fldChar w:fldCharType="separate"/>
      </w:r>
      <w:r>
        <w:t>371</w:t>
      </w:r>
      <w:r>
        <w:fldChar w:fldCharType="end"/>
      </w:r>
    </w:p>
    <w:p>
      <w:pPr>
        <w:pStyle w:val="TOC8"/>
        <w:rPr>
          <w:rFonts w:asciiTheme="minorHAnsi" w:eastAsiaTheme="minorEastAsia" w:hAnsiTheme="minorHAnsi" w:cstheme="minorBidi"/>
          <w:szCs w:val="22"/>
        </w:rPr>
      </w:pPr>
      <w:r>
        <w:t>3.</w:t>
      </w:r>
      <w:r>
        <w:tab/>
        <w:t>Deputies</w:t>
      </w:r>
      <w:r>
        <w:tab/>
      </w:r>
      <w:r>
        <w:fldChar w:fldCharType="begin"/>
      </w:r>
      <w:r>
        <w:instrText xml:space="preserve"> PAGEREF _Toc462409860 \h </w:instrText>
      </w:r>
      <w:r>
        <w:fldChar w:fldCharType="separate"/>
      </w:r>
      <w:r>
        <w:t>371</w:t>
      </w:r>
      <w:r>
        <w:fldChar w:fldCharType="end"/>
      </w:r>
    </w:p>
    <w:p>
      <w:pPr>
        <w:pStyle w:val="TOC8"/>
        <w:rPr>
          <w:rFonts w:asciiTheme="minorHAnsi" w:eastAsiaTheme="minorEastAsia" w:hAnsiTheme="minorHAnsi" w:cstheme="minorBidi"/>
          <w:szCs w:val="22"/>
        </w:rPr>
      </w:pPr>
      <w:r>
        <w:t>4.</w:t>
      </w:r>
      <w:r>
        <w:tab/>
        <w:t>Submission of lists</w:t>
      </w:r>
      <w:r>
        <w:tab/>
      </w:r>
      <w:r>
        <w:fldChar w:fldCharType="begin"/>
      </w:r>
      <w:r>
        <w:instrText xml:space="preserve"> PAGEREF _Toc462409861 \h </w:instrText>
      </w:r>
      <w:r>
        <w:fldChar w:fldCharType="separate"/>
      </w:r>
      <w:r>
        <w:t>372</w:t>
      </w:r>
      <w:r>
        <w:fldChar w:fldCharType="end"/>
      </w:r>
    </w:p>
    <w:p>
      <w:pPr>
        <w:pStyle w:val="TOC8"/>
        <w:rPr>
          <w:rFonts w:asciiTheme="minorHAnsi" w:eastAsiaTheme="minorEastAsia" w:hAnsiTheme="minorHAnsi" w:cstheme="minorBidi"/>
          <w:szCs w:val="22"/>
        </w:rPr>
      </w:pPr>
      <w:r>
        <w:t>5.</w:t>
      </w:r>
      <w:r>
        <w:tab/>
        <w:t>Term of office</w:t>
      </w:r>
      <w:r>
        <w:tab/>
      </w:r>
      <w:r>
        <w:fldChar w:fldCharType="begin"/>
      </w:r>
      <w:r>
        <w:instrText xml:space="preserve"> PAGEREF _Toc462409862 \h </w:instrText>
      </w:r>
      <w:r>
        <w:fldChar w:fldCharType="separate"/>
      </w:r>
      <w:r>
        <w:t>372</w:t>
      </w:r>
      <w:r>
        <w:fldChar w:fldCharType="end"/>
      </w:r>
    </w:p>
    <w:p>
      <w:pPr>
        <w:pStyle w:val="TOC8"/>
        <w:rPr>
          <w:rFonts w:asciiTheme="minorHAnsi" w:eastAsiaTheme="minorEastAsia" w:hAnsiTheme="minorHAnsi" w:cstheme="minorBidi"/>
          <w:szCs w:val="22"/>
        </w:rPr>
      </w:pPr>
      <w:r>
        <w:t>6.</w:t>
      </w:r>
      <w:r>
        <w:tab/>
        <w:t>Vacation of office</w:t>
      </w:r>
      <w:r>
        <w:tab/>
      </w:r>
      <w:r>
        <w:fldChar w:fldCharType="begin"/>
      </w:r>
      <w:r>
        <w:instrText xml:space="preserve"> PAGEREF _Toc462409863 \h </w:instrText>
      </w:r>
      <w:r>
        <w:fldChar w:fldCharType="separate"/>
      </w:r>
      <w:r>
        <w:t>372</w:t>
      </w:r>
      <w:r>
        <w:fldChar w:fldCharType="end"/>
      </w:r>
    </w:p>
    <w:p>
      <w:pPr>
        <w:pStyle w:val="TOC8"/>
        <w:rPr>
          <w:rFonts w:asciiTheme="minorHAnsi" w:eastAsiaTheme="minorEastAsia" w:hAnsiTheme="minorHAnsi" w:cstheme="minorBidi"/>
          <w:szCs w:val="22"/>
        </w:rPr>
      </w:pPr>
      <w:r>
        <w:t>7.</w:t>
      </w:r>
      <w:r>
        <w:tab/>
        <w:t>Dissolution of standards panel</w:t>
      </w:r>
      <w:r>
        <w:tab/>
      </w:r>
      <w:r>
        <w:fldChar w:fldCharType="begin"/>
      </w:r>
      <w:r>
        <w:instrText xml:space="preserve"> PAGEREF _Toc462409864 \h </w:instrText>
      </w:r>
      <w:r>
        <w:fldChar w:fldCharType="separate"/>
      </w:r>
      <w:r>
        <w:t>373</w:t>
      </w:r>
      <w:r>
        <w:fldChar w:fldCharType="end"/>
      </w:r>
    </w:p>
    <w:p>
      <w:pPr>
        <w:pStyle w:val="TOC8"/>
        <w:rPr>
          <w:rFonts w:asciiTheme="minorHAnsi" w:eastAsiaTheme="minorEastAsia" w:hAnsiTheme="minorHAnsi" w:cstheme="minorBidi"/>
          <w:szCs w:val="22"/>
        </w:rPr>
      </w:pPr>
      <w:r>
        <w:t>8.</w:t>
      </w:r>
      <w:r>
        <w:tab/>
        <w:t>Meetings</w:t>
      </w:r>
      <w:r>
        <w:tab/>
      </w:r>
      <w:r>
        <w:fldChar w:fldCharType="begin"/>
      </w:r>
      <w:r>
        <w:instrText xml:space="preserve"> PAGEREF _Toc462409865 \h </w:instrText>
      </w:r>
      <w:r>
        <w:fldChar w:fldCharType="separate"/>
      </w:r>
      <w:r>
        <w:t>373</w:t>
      </w:r>
      <w:r>
        <w:fldChar w:fldCharType="end"/>
      </w:r>
    </w:p>
    <w:p>
      <w:pPr>
        <w:pStyle w:val="TOC8"/>
        <w:rPr>
          <w:rFonts w:asciiTheme="minorHAnsi" w:eastAsiaTheme="minorEastAsia" w:hAnsiTheme="minorHAnsi" w:cstheme="minorBidi"/>
          <w:szCs w:val="22"/>
        </w:rPr>
      </w:pPr>
      <w:r>
        <w:t>9.</w:t>
      </w:r>
      <w:r>
        <w:tab/>
        <w:t>Remuneration and allowances</w:t>
      </w:r>
      <w:r>
        <w:tab/>
      </w:r>
      <w:r>
        <w:fldChar w:fldCharType="begin"/>
      </w:r>
      <w:r>
        <w:instrText xml:space="preserve"> PAGEREF _Toc462409866 \h </w:instrText>
      </w:r>
      <w:r>
        <w:fldChar w:fldCharType="separate"/>
      </w:r>
      <w:r>
        <w:t>374</w:t>
      </w:r>
      <w:r>
        <w:fldChar w:fldCharType="end"/>
      </w:r>
    </w:p>
    <w:p>
      <w:pPr>
        <w:pStyle w:val="TOC8"/>
        <w:rPr>
          <w:rFonts w:asciiTheme="minorHAnsi" w:eastAsiaTheme="minorEastAsia" w:hAnsiTheme="minorHAnsi" w:cstheme="minorBidi"/>
          <w:szCs w:val="22"/>
        </w:rPr>
      </w:pPr>
      <w:r>
        <w:t>10.</w:t>
      </w:r>
      <w:r>
        <w:tab/>
        <w:t>Protection</w:t>
      </w:r>
      <w:r>
        <w:tab/>
      </w:r>
      <w:r>
        <w:fldChar w:fldCharType="begin"/>
      </w:r>
      <w:r>
        <w:instrText xml:space="preserve"> PAGEREF _Toc462409867 \h </w:instrText>
      </w:r>
      <w:r>
        <w:fldChar w:fldCharType="separate"/>
      </w:r>
      <w:r>
        <w:t>374</w:t>
      </w:r>
      <w:r>
        <w:fldChar w:fldCharType="end"/>
      </w:r>
    </w:p>
    <w:p>
      <w:pPr>
        <w:pStyle w:val="TOC8"/>
        <w:rPr>
          <w:rFonts w:asciiTheme="minorHAnsi" w:eastAsiaTheme="minorEastAsia" w:hAnsiTheme="minorHAnsi" w:cstheme="minorBidi"/>
          <w:szCs w:val="22"/>
        </w:rPr>
      </w:pPr>
      <w:r>
        <w:t>11.</w:t>
      </w:r>
      <w:r>
        <w:tab/>
        <w:t>Annual report</w:t>
      </w:r>
      <w:r>
        <w:tab/>
      </w:r>
      <w:r>
        <w:fldChar w:fldCharType="begin"/>
      </w:r>
      <w:r>
        <w:instrText xml:space="preserve"> PAGEREF _Toc462409868 \h </w:instrText>
      </w:r>
      <w:r>
        <w:fldChar w:fldCharType="separate"/>
      </w:r>
      <w:r>
        <w:t>375</w:t>
      </w:r>
      <w:r>
        <w:fldChar w:fldCharType="end"/>
      </w:r>
    </w:p>
    <w:p>
      <w:pPr>
        <w:pStyle w:val="TOC2"/>
        <w:tabs>
          <w:tab w:val="right" w:leader="dot" w:pos="7077"/>
        </w:tabs>
        <w:rPr>
          <w:rFonts w:asciiTheme="minorHAnsi" w:eastAsiaTheme="minorEastAsia" w:hAnsiTheme="minorHAnsi" w:cstheme="minorBidi"/>
          <w:b w:val="0"/>
          <w:sz w:val="22"/>
          <w:szCs w:val="22"/>
        </w:rPr>
      </w:pPr>
      <w:r>
        <w:t>Schedule 6.1 — Provisions relating to the phasing in of valuations</w:t>
      </w:r>
    </w:p>
    <w:p>
      <w:pPr>
        <w:pStyle w:val="TOC8"/>
        <w:rPr>
          <w:rFonts w:asciiTheme="minorHAnsi" w:eastAsiaTheme="minorEastAsia" w:hAnsiTheme="minorHAnsi" w:cstheme="minorBidi"/>
          <w:szCs w:val="22"/>
        </w:rPr>
      </w:pPr>
      <w:r>
        <w:t>1.</w:t>
      </w:r>
      <w:r>
        <w:tab/>
        <w:t>Phasing in of certain valuations</w:t>
      </w:r>
      <w:r>
        <w:tab/>
      </w:r>
      <w:r>
        <w:fldChar w:fldCharType="begin"/>
      </w:r>
      <w:r>
        <w:instrText xml:space="preserve"> PAGEREF _Toc462409870 \h </w:instrText>
      </w:r>
      <w:r>
        <w:fldChar w:fldCharType="separate"/>
      </w:r>
      <w:r>
        <w:t>376</w:t>
      </w:r>
      <w:r>
        <w:fldChar w:fldCharType="end"/>
      </w:r>
    </w:p>
    <w:p>
      <w:pPr>
        <w:pStyle w:val="TOC8"/>
        <w:rPr>
          <w:rFonts w:asciiTheme="minorHAnsi" w:eastAsiaTheme="minorEastAsia" w:hAnsiTheme="minorHAnsi" w:cstheme="minorBidi"/>
          <w:szCs w:val="22"/>
        </w:rPr>
      </w:pPr>
      <w:r>
        <w:t>2.</w:t>
      </w:r>
      <w:r>
        <w:tab/>
        <w:t>Phasing in of rating based on gross rental values</w:t>
      </w:r>
      <w:r>
        <w:tab/>
      </w:r>
      <w:r>
        <w:fldChar w:fldCharType="begin"/>
      </w:r>
      <w:r>
        <w:instrText xml:space="preserve"> PAGEREF _Toc462409871 \h </w:instrText>
      </w:r>
      <w:r>
        <w:fldChar w:fldCharType="separate"/>
      </w:r>
      <w:r>
        <w:t>377</w:t>
      </w:r>
      <w:r>
        <w:fldChar w:fldCharType="end"/>
      </w:r>
    </w:p>
    <w:p>
      <w:pPr>
        <w:pStyle w:val="TOC2"/>
        <w:tabs>
          <w:tab w:val="right" w:leader="dot" w:pos="7077"/>
        </w:tabs>
        <w:rPr>
          <w:rFonts w:asciiTheme="minorHAnsi" w:eastAsiaTheme="minorEastAsia" w:hAnsiTheme="minorHAnsi" w:cstheme="minorBidi"/>
          <w:b w:val="0"/>
          <w:sz w:val="22"/>
          <w:szCs w:val="22"/>
        </w:rPr>
      </w:pPr>
      <w:r>
        <w:t>Schedule 6.2 — Provisions relating to lease of land where rates or service charges unpaid</w:t>
      </w:r>
    </w:p>
    <w:p>
      <w:pPr>
        <w:pStyle w:val="TOC8"/>
        <w:rPr>
          <w:rFonts w:asciiTheme="minorHAnsi" w:eastAsiaTheme="minorEastAsia" w:hAnsiTheme="minorHAnsi" w:cstheme="minorBidi"/>
          <w:szCs w:val="22"/>
        </w:rPr>
      </w:pPr>
      <w:r>
        <w:t>1.</w:t>
      </w:r>
      <w:r>
        <w:tab/>
        <w:t>Form of lease</w:t>
      </w:r>
      <w:r>
        <w:tab/>
      </w:r>
      <w:r>
        <w:fldChar w:fldCharType="begin"/>
      </w:r>
      <w:r>
        <w:instrText xml:space="preserve"> PAGEREF _Toc462409873 \h </w:instrText>
      </w:r>
      <w:r>
        <w:fldChar w:fldCharType="separate"/>
      </w:r>
      <w:r>
        <w:t>380</w:t>
      </w:r>
      <w:r>
        <w:fldChar w:fldCharType="end"/>
      </w:r>
    </w:p>
    <w:p>
      <w:pPr>
        <w:pStyle w:val="TOC8"/>
        <w:rPr>
          <w:rFonts w:asciiTheme="minorHAnsi" w:eastAsiaTheme="minorEastAsia" w:hAnsiTheme="minorHAnsi" w:cstheme="minorBidi"/>
          <w:szCs w:val="22"/>
        </w:rPr>
      </w:pPr>
      <w:r>
        <w:t>2.</w:t>
      </w:r>
      <w:r>
        <w:tab/>
        <w:t>Application of rent received</w:t>
      </w:r>
      <w:r>
        <w:tab/>
      </w:r>
      <w:r>
        <w:fldChar w:fldCharType="begin"/>
      </w:r>
      <w:r>
        <w:instrText xml:space="preserve"> PAGEREF _Toc462409874 \h </w:instrText>
      </w:r>
      <w:r>
        <w:fldChar w:fldCharType="separate"/>
      </w:r>
      <w:r>
        <w:t>380</w:t>
      </w:r>
      <w:r>
        <w:fldChar w:fldCharType="end"/>
      </w:r>
    </w:p>
    <w:p>
      <w:pPr>
        <w:pStyle w:val="TOC2"/>
        <w:tabs>
          <w:tab w:val="right" w:leader="dot" w:pos="7077"/>
        </w:tabs>
        <w:rPr>
          <w:rFonts w:asciiTheme="minorHAnsi" w:eastAsiaTheme="minorEastAsia" w:hAnsiTheme="minorHAnsi" w:cstheme="minorBidi"/>
          <w:b w:val="0"/>
          <w:sz w:val="22"/>
          <w:szCs w:val="22"/>
        </w:rPr>
      </w:pPr>
      <w:r>
        <w:t>Schedule 6.3 — Provisions relating to sale or transfer of land where rates or service charges unpaid</w:t>
      </w:r>
    </w:p>
    <w:p>
      <w:pPr>
        <w:pStyle w:val="TOC8"/>
        <w:rPr>
          <w:rFonts w:asciiTheme="minorHAnsi" w:eastAsiaTheme="minorEastAsia" w:hAnsiTheme="minorHAnsi" w:cstheme="minorBidi"/>
          <w:szCs w:val="22"/>
        </w:rPr>
      </w:pPr>
      <w:r>
        <w:t>1.</w:t>
      </w:r>
      <w:r>
        <w:tab/>
        <w:t>Conditions for exercise of power of sale of land</w:t>
      </w:r>
      <w:r>
        <w:tab/>
      </w:r>
      <w:r>
        <w:fldChar w:fldCharType="begin"/>
      </w:r>
      <w:r>
        <w:instrText xml:space="preserve"> PAGEREF _Toc462409876 \h </w:instrText>
      </w:r>
      <w:r>
        <w:fldChar w:fldCharType="separate"/>
      </w:r>
      <w:r>
        <w:t>382</w:t>
      </w:r>
      <w:r>
        <w:fldChar w:fldCharType="end"/>
      </w:r>
    </w:p>
    <w:p>
      <w:pPr>
        <w:pStyle w:val="TOC8"/>
        <w:rPr>
          <w:rFonts w:asciiTheme="minorHAnsi" w:eastAsiaTheme="minorEastAsia" w:hAnsiTheme="minorHAnsi" w:cstheme="minorBidi"/>
          <w:szCs w:val="22"/>
        </w:rPr>
      </w:pPr>
      <w:r>
        <w:t>2.</w:t>
      </w:r>
      <w:r>
        <w:tab/>
        <w:t>Advertisement for sale</w:t>
      </w:r>
      <w:r>
        <w:tab/>
      </w:r>
      <w:r>
        <w:fldChar w:fldCharType="begin"/>
      </w:r>
      <w:r>
        <w:instrText xml:space="preserve"> PAGEREF _Toc462409877 \h </w:instrText>
      </w:r>
      <w:r>
        <w:fldChar w:fldCharType="separate"/>
      </w:r>
      <w:r>
        <w:t>383</w:t>
      </w:r>
      <w:r>
        <w:fldChar w:fldCharType="end"/>
      </w:r>
    </w:p>
    <w:p>
      <w:pPr>
        <w:pStyle w:val="TOC8"/>
        <w:rPr>
          <w:rFonts w:asciiTheme="minorHAnsi" w:eastAsiaTheme="minorEastAsia" w:hAnsiTheme="minorHAnsi" w:cstheme="minorBidi"/>
          <w:szCs w:val="22"/>
        </w:rPr>
      </w:pPr>
      <w:r>
        <w:t>3.</w:t>
      </w:r>
      <w:r>
        <w:tab/>
        <w:t>Power of sale</w:t>
      </w:r>
      <w:r>
        <w:tab/>
      </w:r>
      <w:r>
        <w:fldChar w:fldCharType="begin"/>
      </w:r>
      <w:r>
        <w:instrText xml:space="preserve"> PAGEREF _Toc462409878 \h </w:instrText>
      </w:r>
      <w:r>
        <w:fldChar w:fldCharType="separate"/>
      </w:r>
      <w:r>
        <w:t>384</w:t>
      </w:r>
      <w:r>
        <w:fldChar w:fldCharType="end"/>
      </w:r>
    </w:p>
    <w:p>
      <w:pPr>
        <w:pStyle w:val="TOC8"/>
        <w:rPr>
          <w:rFonts w:asciiTheme="minorHAnsi" w:eastAsiaTheme="minorEastAsia" w:hAnsiTheme="minorHAnsi" w:cstheme="minorBidi"/>
          <w:szCs w:val="22"/>
        </w:rPr>
      </w:pPr>
      <w:r>
        <w:t>4.</w:t>
      </w:r>
      <w:r>
        <w:tab/>
        <w:t>Power of local government to transfer or convey land</w:t>
      </w:r>
      <w:r>
        <w:tab/>
      </w:r>
      <w:r>
        <w:fldChar w:fldCharType="begin"/>
      </w:r>
      <w:r>
        <w:instrText xml:space="preserve"> PAGEREF _Toc462409879 \h </w:instrText>
      </w:r>
      <w:r>
        <w:fldChar w:fldCharType="separate"/>
      </w:r>
      <w:r>
        <w:t>384</w:t>
      </w:r>
      <w:r>
        <w:fldChar w:fldCharType="end"/>
      </w:r>
    </w:p>
    <w:p>
      <w:pPr>
        <w:pStyle w:val="TOC8"/>
        <w:rPr>
          <w:rFonts w:asciiTheme="minorHAnsi" w:eastAsiaTheme="minorEastAsia" w:hAnsiTheme="minorHAnsi" w:cstheme="minorBidi"/>
          <w:szCs w:val="22"/>
        </w:rPr>
      </w:pPr>
      <w:r>
        <w:t>5.</w:t>
      </w:r>
      <w:r>
        <w:tab/>
        <w:t>Application of purchase money</w:t>
      </w:r>
      <w:r>
        <w:tab/>
      </w:r>
      <w:r>
        <w:fldChar w:fldCharType="begin"/>
      </w:r>
      <w:r>
        <w:instrText xml:space="preserve"> PAGEREF _Toc462409880 \h </w:instrText>
      </w:r>
      <w:r>
        <w:fldChar w:fldCharType="separate"/>
      </w:r>
      <w:r>
        <w:t>385</w:t>
      </w:r>
      <w:r>
        <w:fldChar w:fldCharType="end"/>
      </w:r>
    </w:p>
    <w:p>
      <w:pPr>
        <w:pStyle w:val="TOC8"/>
        <w:rPr>
          <w:rFonts w:asciiTheme="minorHAnsi" w:eastAsiaTheme="minorEastAsia" w:hAnsiTheme="minorHAnsi" w:cstheme="minorBidi"/>
          <w:szCs w:val="22"/>
        </w:rPr>
      </w:pPr>
      <w:r>
        <w:t>6.</w:t>
      </w:r>
      <w:r>
        <w:tab/>
        <w:t>Receipt by local government sufficient discharge</w:t>
      </w:r>
      <w:r>
        <w:tab/>
      </w:r>
      <w:r>
        <w:fldChar w:fldCharType="begin"/>
      </w:r>
      <w:r>
        <w:instrText xml:space="preserve"> PAGEREF _Toc462409881 \h </w:instrText>
      </w:r>
      <w:r>
        <w:fldChar w:fldCharType="separate"/>
      </w:r>
      <w:r>
        <w:t>386</w:t>
      </w:r>
      <w:r>
        <w:fldChar w:fldCharType="end"/>
      </w:r>
    </w:p>
    <w:p>
      <w:pPr>
        <w:pStyle w:val="TOC8"/>
        <w:rPr>
          <w:rFonts w:asciiTheme="minorHAnsi" w:eastAsiaTheme="minorEastAsia" w:hAnsiTheme="minorHAnsi" w:cstheme="minorBidi"/>
          <w:szCs w:val="22"/>
        </w:rPr>
      </w:pPr>
      <w:r>
        <w:t>7.</w:t>
      </w:r>
      <w:r>
        <w:tab/>
        <w:t>If sale not completed within 12 months after commencement, proceedings lapse</w:t>
      </w:r>
      <w:r>
        <w:tab/>
      </w:r>
      <w:r>
        <w:fldChar w:fldCharType="begin"/>
      </w:r>
      <w:r>
        <w:instrText xml:space="preserve"> PAGEREF _Toc462409882 \h </w:instrText>
      </w:r>
      <w:r>
        <w:fldChar w:fldCharType="separate"/>
      </w:r>
      <w:r>
        <w:t>387</w:t>
      </w:r>
      <w:r>
        <w:fldChar w:fldCharType="end"/>
      </w:r>
    </w:p>
    <w:p>
      <w:pPr>
        <w:pStyle w:val="TOC8"/>
        <w:rPr>
          <w:rFonts w:asciiTheme="minorHAnsi" w:eastAsiaTheme="minorEastAsia" w:hAnsiTheme="minorHAnsi" w:cstheme="minorBidi"/>
          <w:szCs w:val="22"/>
        </w:rPr>
      </w:pPr>
      <w:r>
        <w:t>8.</w:t>
      </w:r>
      <w:r>
        <w:tab/>
        <w:t>Transfer of land to Crown or local government under s. 6.71</w:t>
      </w:r>
      <w:r>
        <w:tab/>
      </w:r>
      <w:r>
        <w:fldChar w:fldCharType="begin"/>
      </w:r>
      <w:r>
        <w:instrText xml:space="preserve"> PAGEREF _Toc462409883 \h </w:instrText>
      </w:r>
      <w:r>
        <w:fldChar w:fldCharType="separate"/>
      </w:r>
      <w:r>
        <w:t>387</w:t>
      </w:r>
      <w:r>
        <w:fldChar w:fldCharType="end"/>
      </w:r>
    </w:p>
    <w:p>
      <w:pPr>
        <w:pStyle w:val="TOC2"/>
        <w:tabs>
          <w:tab w:val="right" w:leader="dot" w:pos="7077"/>
        </w:tabs>
        <w:rPr>
          <w:rFonts w:asciiTheme="minorHAnsi" w:eastAsiaTheme="minorEastAsia" w:hAnsiTheme="minorHAnsi" w:cstheme="minorBidi"/>
          <w:b w:val="0"/>
          <w:sz w:val="22"/>
          <w:szCs w:val="22"/>
        </w:rPr>
      </w:pPr>
      <w:r>
        <w:t>Schedule 8.1 — Provisions about Inquiry Panels</w:t>
      </w:r>
    </w:p>
    <w:p>
      <w:pPr>
        <w:pStyle w:val="TOC8"/>
        <w:rPr>
          <w:rFonts w:asciiTheme="minorHAnsi" w:eastAsiaTheme="minorEastAsia" w:hAnsiTheme="minorHAnsi" w:cstheme="minorBidi"/>
          <w:szCs w:val="22"/>
        </w:rPr>
      </w:pPr>
      <w:r>
        <w:t>1.</w:t>
      </w:r>
      <w:r>
        <w:tab/>
        <w:t>Constitution of Inquiry Panel</w:t>
      </w:r>
      <w:r>
        <w:tab/>
      </w:r>
      <w:r>
        <w:fldChar w:fldCharType="begin"/>
      </w:r>
      <w:r>
        <w:instrText xml:space="preserve"> PAGEREF _Toc462409885 \h </w:instrText>
      </w:r>
      <w:r>
        <w:fldChar w:fldCharType="separate"/>
      </w:r>
      <w:r>
        <w:t>389</w:t>
      </w:r>
      <w:r>
        <w:fldChar w:fldCharType="end"/>
      </w:r>
    </w:p>
    <w:p>
      <w:pPr>
        <w:pStyle w:val="TOC8"/>
        <w:rPr>
          <w:rFonts w:asciiTheme="minorHAnsi" w:eastAsiaTheme="minorEastAsia" w:hAnsiTheme="minorHAnsi" w:cstheme="minorBidi"/>
          <w:szCs w:val="22"/>
        </w:rPr>
      </w:pPr>
      <w:r>
        <w:t>2.</w:t>
      </w:r>
      <w:r>
        <w:tab/>
        <w:t>Term of appointment</w:t>
      </w:r>
      <w:r>
        <w:tab/>
      </w:r>
      <w:r>
        <w:fldChar w:fldCharType="begin"/>
      </w:r>
      <w:r>
        <w:instrText xml:space="preserve"> PAGEREF _Toc462409886 \h </w:instrText>
      </w:r>
      <w:r>
        <w:fldChar w:fldCharType="separate"/>
      </w:r>
      <w:r>
        <w:t>390</w:t>
      </w:r>
      <w:r>
        <w:fldChar w:fldCharType="end"/>
      </w:r>
    </w:p>
    <w:p>
      <w:pPr>
        <w:pStyle w:val="TOC8"/>
        <w:rPr>
          <w:rFonts w:asciiTheme="minorHAnsi" w:eastAsiaTheme="minorEastAsia" w:hAnsiTheme="minorHAnsi" w:cstheme="minorBidi"/>
          <w:szCs w:val="22"/>
        </w:rPr>
      </w:pPr>
      <w:r>
        <w:t>3.</w:t>
      </w:r>
      <w:r>
        <w:tab/>
        <w:t>Procedures and remuneration</w:t>
      </w:r>
      <w:r>
        <w:tab/>
      </w:r>
      <w:r>
        <w:fldChar w:fldCharType="begin"/>
      </w:r>
      <w:r>
        <w:instrText xml:space="preserve"> PAGEREF _Toc462409887 \h </w:instrText>
      </w:r>
      <w:r>
        <w:fldChar w:fldCharType="separate"/>
      </w:r>
      <w:r>
        <w:t>390</w:t>
      </w:r>
      <w:r>
        <w:fldChar w:fldCharType="end"/>
      </w:r>
    </w:p>
    <w:p>
      <w:pPr>
        <w:pStyle w:val="TOC2"/>
        <w:tabs>
          <w:tab w:val="right" w:leader="dot" w:pos="7077"/>
        </w:tabs>
        <w:rPr>
          <w:rFonts w:asciiTheme="minorHAnsi" w:eastAsiaTheme="minorEastAsia" w:hAnsiTheme="minorHAnsi" w:cstheme="minorBidi"/>
          <w:b w:val="0"/>
          <w:sz w:val="22"/>
          <w:szCs w:val="22"/>
        </w:rPr>
      </w:pPr>
      <w:r>
        <w:t>Schedule 9.1 — Certain matters for which Governor may make regulations</w:t>
      </w:r>
    </w:p>
    <w:p>
      <w:pPr>
        <w:pStyle w:val="TOC8"/>
        <w:rPr>
          <w:rFonts w:asciiTheme="minorHAnsi" w:eastAsiaTheme="minorEastAsia" w:hAnsiTheme="minorHAnsi" w:cstheme="minorBidi"/>
          <w:szCs w:val="22"/>
        </w:rPr>
      </w:pPr>
      <w:r>
        <w:t>1.</w:t>
      </w:r>
      <w:r>
        <w:tab/>
        <w:t>Parking for disabled</w:t>
      </w:r>
      <w:r>
        <w:tab/>
      </w:r>
      <w:r>
        <w:fldChar w:fldCharType="begin"/>
      </w:r>
      <w:r>
        <w:instrText xml:space="preserve"> PAGEREF _Toc462409889 \h </w:instrText>
      </w:r>
      <w:r>
        <w:fldChar w:fldCharType="separate"/>
      </w:r>
      <w:r>
        <w:t>391</w:t>
      </w:r>
      <w:r>
        <w:fldChar w:fldCharType="end"/>
      </w:r>
    </w:p>
    <w:p>
      <w:pPr>
        <w:pStyle w:val="TOC8"/>
        <w:rPr>
          <w:rFonts w:asciiTheme="minorHAnsi" w:eastAsiaTheme="minorEastAsia" w:hAnsiTheme="minorHAnsi" w:cstheme="minorBidi"/>
          <w:szCs w:val="22"/>
        </w:rPr>
      </w:pPr>
      <w:r>
        <w:t>2.</w:t>
      </w:r>
      <w:r>
        <w:tab/>
        <w:t>Disturbing local government land or anything on it</w:t>
      </w:r>
      <w:r>
        <w:tab/>
      </w:r>
      <w:r>
        <w:fldChar w:fldCharType="begin"/>
      </w:r>
      <w:r>
        <w:instrText xml:space="preserve"> PAGEREF _Toc462409890 \h </w:instrText>
      </w:r>
      <w:r>
        <w:fldChar w:fldCharType="separate"/>
      </w:r>
      <w:r>
        <w:t>392</w:t>
      </w:r>
      <w:r>
        <w:fldChar w:fldCharType="end"/>
      </w:r>
    </w:p>
    <w:p>
      <w:pPr>
        <w:pStyle w:val="TOC8"/>
        <w:rPr>
          <w:rFonts w:asciiTheme="minorHAnsi" w:eastAsiaTheme="minorEastAsia" w:hAnsiTheme="minorHAnsi" w:cstheme="minorBidi"/>
          <w:szCs w:val="22"/>
        </w:rPr>
      </w:pPr>
      <w:r>
        <w:t>3.</w:t>
      </w:r>
      <w:r>
        <w:tab/>
        <w:t>Obstructing or encroaching on public thoroughfare</w:t>
      </w:r>
      <w:r>
        <w:tab/>
      </w:r>
      <w:r>
        <w:fldChar w:fldCharType="begin"/>
      </w:r>
      <w:r>
        <w:instrText xml:space="preserve"> PAGEREF _Toc462409891 \h </w:instrText>
      </w:r>
      <w:r>
        <w:fldChar w:fldCharType="separate"/>
      </w:r>
      <w:r>
        <w:t>392</w:t>
      </w:r>
      <w:r>
        <w:fldChar w:fldCharType="end"/>
      </w:r>
    </w:p>
    <w:p>
      <w:pPr>
        <w:pStyle w:val="TOC8"/>
        <w:rPr>
          <w:rFonts w:asciiTheme="minorHAnsi" w:eastAsiaTheme="minorEastAsia" w:hAnsiTheme="minorHAnsi" w:cstheme="minorBidi"/>
          <w:szCs w:val="22"/>
        </w:rPr>
      </w:pPr>
      <w:r>
        <w:t>4.</w:t>
      </w:r>
      <w:r>
        <w:tab/>
        <w:t>Separating land from public thoroughfare</w:t>
      </w:r>
      <w:r>
        <w:tab/>
      </w:r>
      <w:r>
        <w:fldChar w:fldCharType="begin"/>
      </w:r>
      <w:r>
        <w:instrText xml:space="preserve"> PAGEREF _Toc462409892 \h </w:instrText>
      </w:r>
      <w:r>
        <w:fldChar w:fldCharType="separate"/>
      </w:r>
      <w:r>
        <w:t>392</w:t>
      </w:r>
      <w:r>
        <w:fldChar w:fldCharType="end"/>
      </w:r>
    </w:p>
    <w:p>
      <w:pPr>
        <w:pStyle w:val="TOC8"/>
        <w:rPr>
          <w:rFonts w:asciiTheme="minorHAnsi" w:eastAsiaTheme="minorEastAsia" w:hAnsiTheme="minorHAnsi" w:cstheme="minorBidi"/>
          <w:szCs w:val="22"/>
        </w:rPr>
      </w:pPr>
      <w:r>
        <w:t>5.</w:t>
      </w:r>
      <w:r>
        <w:tab/>
        <w:t>Gates across public thoroughfares</w:t>
      </w:r>
      <w:r>
        <w:tab/>
      </w:r>
      <w:r>
        <w:fldChar w:fldCharType="begin"/>
      </w:r>
      <w:r>
        <w:instrText xml:space="preserve"> PAGEREF _Toc462409893 \h </w:instrText>
      </w:r>
      <w:r>
        <w:fldChar w:fldCharType="separate"/>
      </w:r>
      <w:r>
        <w:t>392</w:t>
      </w:r>
      <w:r>
        <w:fldChar w:fldCharType="end"/>
      </w:r>
    </w:p>
    <w:p>
      <w:pPr>
        <w:pStyle w:val="TOC8"/>
        <w:rPr>
          <w:rFonts w:asciiTheme="minorHAnsi" w:eastAsiaTheme="minorEastAsia" w:hAnsiTheme="minorHAnsi" w:cstheme="minorBidi"/>
          <w:szCs w:val="22"/>
        </w:rPr>
      </w:pPr>
      <w:r>
        <w:t>6.</w:t>
      </w:r>
      <w:r>
        <w:tab/>
        <w:t>Dangerous excavation in or near public thoroughfare</w:t>
      </w:r>
      <w:r>
        <w:tab/>
      </w:r>
      <w:r>
        <w:fldChar w:fldCharType="begin"/>
      </w:r>
      <w:r>
        <w:instrText xml:space="preserve"> PAGEREF _Toc462409894 \h </w:instrText>
      </w:r>
      <w:r>
        <w:fldChar w:fldCharType="separate"/>
      </w:r>
      <w:r>
        <w:t>392</w:t>
      </w:r>
      <w:r>
        <w:fldChar w:fldCharType="end"/>
      </w:r>
    </w:p>
    <w:p>
      <w:pPr>
        <w:pStyle w:val="TOC8"/>
        <w:rPr>
          <w:rFonts w:asciiTheme="minorHAnsi" w:eastAsiaTheme="minorEastAsia" w:hAnsiTheme="minorHAnsi" w:cstheme="minorBidi"/>
          <w:szCs w:val="22"/>
        </w:rPr>
      </w:pPr>
      <w:r>
        <w:t>7.</w:t>
      </w:r>
      <w:r>
        <w:tab/>
        <w:t>Crossing from public thoroughfare to private land or private thoroughfare</w:t>
      </w:r>
      <w:r>
        <w:tab/>
      </w:r>
      <w:r>
        <w:fldChar w:fldCharType="begin"/>
      </w:r>
      <w:r>
        <w:instrText xml:space="preserve"> PAGEREF _Toc462409895 \h </w:instrText>
      </w:r>
      <w:r>
        <w:fldChar w:fldCharType="separate"/>
      </w:r>
      <w:r>
        <w:t>393</w:t>
      </w:r>
      <w:r>
        <w:fldChar w:fldCharType="end"/>
      </w:r>
    </w:p>
    <w:p>
      <w:pPr>
        <w:pStyle w:val="TOC8"/>
        <w:rPr>
          <w:rFonts w:asciiTheme="minorHAnsi" w:eastAsiaTheme="minorEastAsia" w:hAnsiTheme="minorHAnsi" w:cstheme="minorBidi"/>
          <w:szCs w:val="22"/>
        </w:rPr>
      </w:pPr>
      <w:r>
        <w:t>8.</w:t>
      </w:r>
      <w:r>
        <w:tab/>
        <w:t>Private works on, over, or under public places</w:t>
      </w:r>
      <w:r>
        <w:tab/>
      </w:r>
      <w:r>
        <w:fldChar w:fldCharType="begin"/>
      </w:r>
      <w:r>
        <w:instrText xml:space="preserve"> PAGEREF _Toc462409896 \h </w:instrText>
      </w:r>
      <w:r>
        <w:fldChar w:fldCharType="separate"/>
      </w:r>
      <w:r>
        <w:t>393</w:t>
      </w:r>
      <w:r>
        <w:fldChar w:fldCharType="end"/>
      </w:r>
    </w:p>
    <w:p>
      <w:pPr>
        <w:pStyle w:val="TOC8"/>
        <w:rPr>
          <w:rFonts w:asciiTheme="minorHAnsi" w:eastAsiaTheme="minorEastAsia" w:hAnsiTheme="minorHAnsi" w:cstheme="minorBidi"/>
          <w:szCs w:val="22"/>
        </w:rPr>
      </w:pPr>
      <w:r>
        <w:t>9.</w:t>
      </w:r>
      <w:r>
        <w:tab/>
        <w:t>Protection of watercourses, drains, tunnels and bridges</w:t>
      </w:r>
      <w:r>
        <w:tab/>
      </w:r>
      <w:r>
        <w:fldChar w:fldCharType="begin"/>
      </w:r>
      <w:r>
        <w:instrText xml:space="preserve"> PAGEREF _Toc462409897 \h </w:instrText>
      </w:r>
      <w:r>
        <w:fldChar w:fldCharType="separate"/>
      </w:r>
      <w:r>
        <w:t>394</w:t>
      </w:r>
      <w:r>
        <w:fldChar w:fldCharType="end"/>
      </w:r>
    </w:p>
    <w:p>
      <w:pPr>
        <w:pStyle w:val="TOC8"/>
        <w:rPr>
          <w:rFonts w:asciiTheme="minorHAnsi" w:eastAsiaTheme="minorEastAsia" w:hAnsiTheme="minorHAnsi" w:cstheme="minorBidi"/>
          <w:szCs w:val="22"/>
        </w:rPr>
      </w:pPr>
      <w:r>
        <w:t>10.</w:t>
      </w:r>
      <w:r>
        <w:tab/>
        <w:t>Protection of thoroughfares from water damage</w:t>
      </w:r>
      <w:r>
        <w:tab/>
      </w:r>
      <w:r>
        <w:fldChar w:fldCharType="begin"/>
      </w:r>
      <w:r>
        <w:instrText xml:space="preserve"> PAGEREF _Toc462409898 \h </w:instrText>
      </w:r>
      <w:r>
        <w:fldChar w:fldCharType="separate"/>
      </w:r>
      <w:r>
        <w:t>394</w:t>
      </w:r>
      <w:r>
        <w:fldChar w:fldCharType="end"/>
      </w:r>
    </w:p>
    <w:p>
      <w:pPr>
        <w:pStyle w:val="TOC8"/>
        <w:rPr>
          <w:rFonts w:asciiTheme="minorHAnsi" w:eastAsiaTheme="minorEastAsia" w:hAnsiTheme="minorHAnsi" w:cstheme="minorBidi"/>
          <w:szCs w:val="22"/>
        </w:rPr>
      </w:pPr>
      <w:r>
        <w:t>11.</w:t>
      </w:r>
      <w:r>
        <w:tab/>
        <w:t>Works required for supply of gas or water</w:t>
      </w:r>
      <w:r>
        <w:tab/>
      </w:r>
      <w:r>
        <w:fldChar w:fldCharType="begin"/>
      </w:r>
      <w:r>
        <w:instrText xml:space="preserve"> PAGEREF _Toc462409899 \h </w:instrText>
      </w:r>
      <w:r>
        <w:fldChar w:fldCharType="separate"/>
      </w:r>
      <w:r>
        <w:t>394</w:t>
      </w:r>
      <w:r>
        <w:fldChar w:fldCharType="end"/>
      </w:r>
    </w:p>
    <w:p>
      <w:pPr>
        <w:pStyle w:val="TOC8"/>
        <w:rPr>
          <w:rFonts w:asciiTheme="minorHAnsi" w:eastAsiaTheme="minorEastAsia" w:hAnsiTheme="minorHAnsi" w:cstheme="minorBidi"/>
          <w:szCs w:val="22"/>
        </w:rPr>
      </w:pPr>
      <w:r>
        <w:t>12.</w:t>
      </w:r>
      <w:r>
        <w:tab/>
        <w:t>Wind erosion and sand drifts</w:t>
      </w:r>
      <w:r>
        <w:tab/>
      </w:r>
      <w:r>
        <w:fldChar w:fldCharType="begin"/>
      </w:r>
      <w:r>
        <w:instrText xml:space="preserve"> PAGEREF _Toc462409900 \h </w:instrText>
      </w:r>
      <w:r>
        <w:fldChar w:fldCharType="separate"/>
      </w:r>
      <w:r>
        <w:t>395</w:t>
      </w:r>
      <w:r>
        <w:fldChar w:fldCharType="end"/>
      </w:r>
    </w:p>
    <w:p>
      <w:pPr>
        <w:pStyle w:val="TOC2"/>
        <w:tabs>
          <w:tab w:val="right" w:leader="dot" w:pos="7077"/>
        </w:tabs>
        <w:rPr>
          <w:rFonts w:asciiTheme="minorHAnsi" w:eastAsiaTheme="minorEastAsia" w:hAnsiTheme="minorHAnsi" w:cstheme="minorBidi"/>
          <w:b w:val="0"/>
          <w:sz w:val="22"/>
          <w:szCs w:val="22"/>
        </w:rPr>
      </w:pPr>
      <w:r>
        <w:t>Schedule 9.3 — Transitional provisions</w:t>
      </w:r>
    </w:p>
    <w:p>
      <w:pPr>
        <w:pStyle w:val="TOC4"/>
        <w:tabs>
          <w:tab w:val="right" w:leader="dot" w:pos="7077"/>
        </w:tabs>
        <w:rPr>
          <w:rFonts w:asciiTheme="minorHAnsi" w:eastAsiaTheme="minorEastAsia" w:hAnsiTheme="minorHAnsi" w:cstheme="minorBidi"/>
          <w:b w:val="0"/>
          <w:szCs w:val="22"/>
        </w:rPr>
      </w:pPr>
      <w:r>
        <w:t>Division 1 — Provisions for</w:t>
      </w:r>
      <w:r>
        <w:rPr>
          <w:i/>
        </w:rPr>
        <w:t xml:space="preserve"> Local Government Act 1995</w:t>
      </w:r>
    </w:p>
    <w:p>
      <w:pPr>
        <w:pStyle w:val="TOC6"/>
        <w:tabs>
          <w:tab w:val="right" w:leader="dot" w:pos="7077"/>
        </w:tabs>
        <w:rPr>
          <w:rFonts w:asciiTheme="minorHAnsi" w:eastAsiaTheme="minorEastAsia" w:hAnsiTheme="minorHAnsi" w:cstheme="minorBidi"/>
          <w:b w:val="0"/>
          <w:sz w:val="22"/>
          <w:szCs w:val="22"/>
        </w:rPr>
      </w:pPr>
      <w:r>
        <w:t>Subdivision 1</w:t>
      </w:r>
      <w:r>
        <w:rPr>
          <w:b w:val="0"/>
        </w:rPr>
        <w:t> </w:t>
      </w:r>
      <w:r>
        <w:t>—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_Toc462409904 \h </w:instrText>
      </w:r>
      <w:r>
        <w:fldChar w:fldCharType="separate"/>
      </w:r>
      <w:r>
        <w:t>396</w:t>
      </w:r>
      <w:r>
        <w:fldChar w:fldCharType="end"/>
      </w:r>
    </w:p>
    <w:p>
      <w:pPr>
        <w:pStyle w:val="TOC8"/>
        <w:rPr>
          <w:rFonts w:asciiTheme="minorHAnsi" w:eastAsiaTheme="minorEastAsia" w:hAnsiTheme="minorHAnsi" w:cstheme="minorBidi"/>
          <w:szCs w:val="22"/>
        </w:rPr>
      </w:pPr>
      <w:r>
        <w:t>2.</w:t>
      </w:r>
      <w:r>
        <w:tab/>
      </w:r>
      <w:r>
        <w:rPr>
          <w:i/>
          <w:iCs/>
        </w:rPr>
        <w:t>Interpretation Act 1984</w:t>
      </w:r>
      <w:r>
        <w:t xml:space="preserve"> applies</w:t>
      </w:r>
      <w:r>
        <w:tab/>
      </w:r>
      <w:r>
        <w:fldChar w:fldCharType="begin"/>
      </w:r>
      <w:r>
        <w:instrText xml:space="preserve"> PAGEREF _Toc462409905 \h </w:instrText>
      </w:r>
      <w:r>
        <w:fldChar w:fldCharType="separate"/>
      </w:r>
      <w:r>
        <w:t>396</w:t>
      </w:r>
      <w:r>
        <w:fldChar w:fldCharType="end"/>
      </w:r>
    </w:p>
    <w:p>
      <w:pPr>
        <w:pStyle w:val="TOC8"/>
        <w:rPr>
          <w:rFonts w:asciiTheme="minorHAnsi" w:eastAsiaTheme="minorEastAsia" w:hAnsiTheme="minorHAnsi" w:cstheme="minorBidi"/>
          <w:szCs w:val="22"/>
        </w:rPr>
      </w:pPr>
      <w:r>
        <w:t>3.</w:t>
      </w:r>
      <w:r>
        <w:tab/>
        <w:t>Construction of references in written laws</w:t>
      </w:r>
      <w:r>
        <w:tab/>
      </w:r>
      <w:r>
        <w:fldChar w:fldCharType="begin"/>
      </w:r>
      <w:r>
        <w:instrText xml:space="preserve"> PAGEREF _Toc462409906 \h </w:instrText>
      </w:r>
      <w:r>
        <w:fldChar w:fldCharType="separate"/>
      </w:r>
      <w:r>
        <w:t>396</w:t>
      </w:r>
      <w:r>
        <w:fldChar w:fldCharType="end"/>
      </w:r>
    </w:p>
    <w:p>
      <w:pPr>
        <w:pStyle w:val="TOC6"/>
        <w:tabs>
          <w:tab w:val="right" w:leader="dot" w:pos="7077"/>
        </w:tabs>
        <w:rPr>
          <w:rFonts w:asciiTheme="minorHAnsi" w:eastAsiaTheme="minorEastAsia" w:hAnsiTheme="minorHAnsi" w:cstheme="minorBidi"/>
          <w:b w:val="0"/>
          <w:sz w:val="22"/>
          <w:szCs w:val="22"/>
        </w:rPr>
      </w:pPr>
      <w:r>
        <w:t>Subdivision 2</w:t>
      </w:r>
      <w:r>
        <w:rPr>
          <w:b w:val="0"/>
        </w:rPr>
        <w:t> </w:t>
      </w:r>
      <w:r>
        <w:t>— Continuation of constitutional arrangements, membership and appointments</w:t>
      </w:r>
    </w:p>
    <w:p>
      <w:pPr>
        <w:pStyle w:val="TOC8"/>
        <w:rPr>
          <w:rFonts w:asciiTheme="minorHAnsi" w:eastAsiaTheme="minorEastAsia" w:hAnsiTheme="minorHAnsi" w:cstheme="minorBidi"/>
          <w:szCs w:val="22"/>
        </w:rPr>
      </w:pPr>
      <w:r>
        <w:t>4.</w:t>
      </w:r>
      <w:r>
        <w:tab/>
        <w:t>Former districts continue as districts</w:t>
      </w:r>
      <w:r>
        <w:tab/>
      </w:r>
      <w:r>
        <w:fldChar w:fldCharType="begin"/>
      </w:r>
      <w:r>
        <w:instrText xml:space="preserve"> PAGEREF _Toc462409908 \h </w:instrText>
      </w:r>
      <w:r>
        <w:fldChar w:fldCharType="separate"/>
      </w:r>
      <w:r>
        <w:t>397</w:t>
      </w:r>
      <w:r>
        <w:fldChar w:fldCharType="end"/>
      </w:r>
    </w:p>
    <w:p>
      <w:pPr>
        <w:pStyle w:val="TOC8"/>
        <w:rPr>
          <w:rFonts w:asciiTheme="minorHAnsi" w:eastAsiaTheme="minorEastAsia" w:hAnsiTheme="minorHAnsi" w:cstheme="minorBidi"/>
          <w:szCs w:val="22"/>
        </w:rPr>
      </w:pPr>
      <w:r>
        <w:t>5.</w:t>
      </w:r>
      <w:r>
        <w:tab/>
        <w:t>Former municipalities continue as local governments</w:t>
      </w:r>
      <w:r>
        <w:tab/>
      </w:r>
      <w:r>
        <w:fldChar w:fldCharType="begin"/>
      </w:r>
      <w:r>
        <w:instrText xml:space="preserve"> PAGEREF _Toc462409909 \h </w:instrText>
      </w:r>
      <w:r>
        <w:fldChar w:fldCharType="separate"/>
      </w:r>
      <w:r>
        <w:t>398</w:t>
      </w:r>
      <w:r>
        <w:fldChar w:fldCharType="end"/>
      </w:r>
    </w:p>
    <w:p>
      <w:pPr>
        <w:pStyle w:val="TOC8"/>
        <w:rPr>
          <w:rFonts w:asciiTheme="minorHAnsi" w:eastAsiaTheme="minorEastAsia" w:hAnsiTheme="minorHAnsi" w:cstheme="minorBidi"/>
          <w:szCs w:val="22"/>
        </w:rPr>
      </w:pPr>
      <w:r>
        <w:t>6.</w:t>
      </w:r>
      <w:r>
        <w:tab/>
        <w:t>Former councils continue as previously constituted</w:t>
      </w:r>
      <w:r>
        <w:tab/>
      </w:r>
      <w:r>
        <w:fldChar w:fldCharType="begin"/>
      </w:r>
      <w:r>
        <w:instrText xml:space="preserve"> PAGEREF _Toc462409910 \h </w:instrText>
      </w:r>
      <w:r>
        <w:fldChar w:fldCharType="separate"/>
      </w:r>
      <w:r>
        <w:t>398</w:t>
      </w:r>
      <w:r>
        <w:fldChar w:fldCharType="end"/>
      </w:r>
    </w:p>
    <w:p>
      <w:pPr>
        <w:pStyle w:val="TOC8"/>
        <w:rPr>
          <w:rFonts w:asciiTheme="minorHAnsi" w:eastAsiaTheme="minorEastAsia" w:hAnsiTheme="minorHAnsi" w:cstheme="minorBidi"/>
          <w:szCs w:val="22"/>
        </w:rPr>
      </w:pPr>
      <w:r>
        <w:t>7.</w:t>
      </w:r>
      <w:r>
        <w:tab/>
        <w:t>Wards and representation</w:t>
      </w:r>
      <w:r>
        <w:tab/>
      </w:r>
      <w:r>
        <w:fldChar w:fldCharType="begin"/>
      </w:r>
      <w:r>
        <w:instrText xml:space="preserve"> PAGEREF _Toc462409911 \h </w:instrText>
      </w:r>
      <w:r>
        <w:fldChar w:fldCharType="separate"/>
      </w:r>
      <w:r>
        <w:t>398</w:t>
      </w:r>
      <w:r>
        <w:fldChar w:fldCharType="end"/>
      </w:r>
    </w:p>
    <w:p>
      <w:pPr>
        <w:pStyle w:val="TOC8"/>
        <w:rPr>
          <w:rFonts w:asciiTheme="minorHAnsi" w:eastAsiaTheme="minorEastAsia" w:hAnsiTheme="minorHAnsi" w:cstheme="minorBidi"/>
          <w:szCs w:val="22"/>
        </w:rPr>
      </w:pPr>
      <w:r>
        <w:t>8.</w:t>
      </w:r>
      <w:r>
        <w:tab/>
        <w:t>Former method of electing mayor or president continued</w:t>
      </w:r>
      <w:r>
        <w:tab/>
      </w:r>
      <w:r>
        <w:fldChar w:fldCharType="begin"/>
      </w:r>
      <w:r>
        <w:instrText xml:space="preserve"> PAGEREF _Toc462409912 \h </w:instrText>
      </w:r>
      <w:r>
        <w:fldChar w:fldCharType="separate"/>
      </w:r>
      <w:r>
        <w:t>399</w:t>
      </w:r>
      <w:r>
        <w:fldChar w:fldCharType="end"/>
      </w:r>
    </w:p>
    <w:p>
      <w:pPr>
        <w:pStyle w:val="TOC8"/>
        <w:rPr>
          <w:rFonts w:asciiTheme="minorHAnsi" w:eastAsiaTheme="minorEastAsia" w:hAnsiTheme="minorHAnsi" w:cstheme="minorBidi"/>
          <w:szCs w:val="22"/>
        </w:rPr>
      </w:pPr>
      <w:r>
        <w:t>9.</w:t>
      </w:r>
      <w:r>
        <w:tab/>
        <w:t>Commissioners continued</w:t>
      </w:r>
      <w:r>
        <w:tab/>
      </w:r>
      <w:r>
        <w:fldChar w:fldCharType="begin"/>
      </w:r>
      <w:r>
        <w:instrText xml:space="preserve"> PAGEREF _Toc462409913 \h </w:instrText>
      </w:r>
      <w:r>
        <w:fldChar w:fldCharType="separate"/>
      </w:r>
      <w:r>
        <w:t>399</w:t>
      </w:r>
      <w:r>
        <w:fldChar w:fldCharType="end"/>
      </w:r>
    </w:p>
    <w:p>
      <w:pPr>
        <w:pStyle w:val="TOC8"/>
        <w:rPr>
          <w:rFonts w:asciiTheme="minorHAnsi" w:eastAsiaTheme="minorEastAsia" w:hAnsiTheme="minorHAnsi" w:cstheme="minorBidi"/>
          <w:szCs w:val="22"/>
        </w:rPr>
      </w:pPr>
      <w:r>
        <w:t>10.</w:t>
      </w:r>
      <w:r>
        <w:tab/>
        <w:t>Regional councils continued</w:t>
      </w:r>
      <w:r>
        <w:tab/>
      </w:r>
      <w:r>
        <w:fldChar w:fldCharType="begin"/>
      </w:r>
      <w:r>
        <w:instrText xml:space="preserve"> PAGEREF _Toc462409914 \h </w:instrText>
      </w:r>
      <w:r>
        <w:fldChar w:fldCharType="separate"/>
      </w:r>
      <w:r>
        <w:t>399</w:t>
      </w:r>
      <w:r>
        <w:fldChar w:fldCharType="end"/>
      </w:r>
    </w:p>
    <w:p>
      <w:pPr>
        <w:pStyle w:val="TOC8"/>
        <w:rPr>
          <w:rFonts w:asciiTheme="minorHAnsi" w:eastAsiaTheme="minorEastAsia" w:hAnsiTheme="minorHAnsi" w:cstheme="minorBidi"/>
          <w:szCs w:val="22"/>
        </w:rPr>
      </w:pPr>
      <w:r>
        <w:t>11.</w:t>
      </w:r>
      <w:r>
        <w:tab/>
        <w:t>Local Government Associations continued</w:t>
      </w:r>
      <w:r>
        <w:tab/>
      </w:r>
      <w:r>
        <w:fldChar w:fldCharType="begin"/>
      </w:r>
      <w:r>
        <w:instrText xml:space="preserve"> PAGEREF _Toc462409915 \h </w:instrText>
      </w:r>
      <w:r>
        <w:fldChar w:fldCharType="separate"/>
      </w:r>
      <w:r>
        <w:t>399</w:t>
      </w:r>
      <w:r>
        <w:fldChar w:fldCharType="end"/>
      </w:r>
    </w:p>
    <w:p>
      <w:pPr>
        <w:pStyle w:val="TOC6"/>
        <w:tabs>
          <w:tab w:val="right" w:leader="dot" w:pos="7077"/>
        </w:tabs>
        <w:rPr>
          <w:rFonts w:asciiTheme="minorHAnsi" w:eastAsiaTheme="minorEastAsia" w:hAnsiTheme="minorHAnsi" w:cstheme="minorBidi"/>
          <w:b w:val="0"/>
          <w:sz w:val="22"/>
          <w:szCs w:val="22"/>
        </w:rPr>
      </w:pPr>
      <w:r>
        <w:t>Subdivision 3</w:t>
      </w:r>
      <w:r>
        <w:rPr>
          <w:b w:val="0"/>
        </w:rPr>
        <w:t> </w:t>
      </w:r>
      <w:r>
        <w:t>— Electoral matters</w:t>
      </w:r>
    </w:p>
    <w:p>
      <w:pPr>
        <w:pStyle w:val="TOC8"/>
        <w:rPr>
          <w:rFonts w:asciiTheme="minorHAnsi" w:eastAsiaTheme="minorEastAsia" w:hAnsiTheme="minorHAnsi" w:cstheme="minorBidi"/>
          <w:szCs w:val="22"/>
        </w:rPr>
      </w:pPr>
      <w:r>
        <w:t>12.</w:t>
      </w:r>
      <w:r>
        <w:tab/>
        <w:t>Enrolment of certain electors may continue</w:t>
      </w:r>
      <w:r>
        <w:tab/>
      </w:r>
      <w:r>
        <w:fldChar w:fldCharType="begin"/>
      </w:r>
      <w:r>
        <w:instrText xml:space="preserve"> PAGEREF _Toc462409917 \h </w:instrText>
      </w:r>
      <w:r>
        <w:fldChar w:fldCharType="separate"/>
      </w:r>
      <w:r>
        <w:t>400</w:t>
      </w:r>
      <w:r>
        <w:fldChar w:fldCharType="end"/>
      </w:r>
    </w:p>
    <w:p>
      <w:pPr>
        <w:pStyle w:val="TOC8"/>
        <w:rPr>
          <w:rFonts w:asciiTheme="minorHAnsi" w:eastAsiaTheme="minorEastAsia" w:hAnsiTheme="minorHAnsi" w:cstheme="minorBidi"/>
          <w:szCs w:val="22"/>
        </w:rPr>
      </w:pPr>
      <w:r>
        <w:t>13.</w:t>
      </w:r>
      <w:r>
        <w:tab/>
        <w:t>Existing provisions continue for elections before 1997 ordinary elections</w:t>
      </w:r>
      <w:r>
        <w:tab/>
      </w:r>
      <w:r>
        <w:fldChar w:fldCharType="begin"/>
      </w:r>
      <w:r>
        <w:instrText xml:space="preserve"> PAGEREF _Toc462409918 \h </w:instrText>
      </w:r>
      <w:r>
        <w:fldChar w:fldCharType="separate"/>
      </w:r>
      <w:r>
        <w:t>400</w:t>
      </w:r>
      <w:r>
        <w:fldChar w:fldCharType="end"/>
      </w:r>
    </w:p>
    <w:p>
      <w:pPr>
        <w:pStyle w:val="TOC8"/>
        <w:rPr>
          <w:rFonts w:asciiTheme="minorHAnsi" w:eastAsiaTheme="minorEastAsia" w:hAnsiTheme="minorHAnsi" w:cstheme="minorBidi"/>
          <w:szCs w:val="22"/>
        </w:rPr>
      </w:pPr>
      <w:r>
        <w:t>14.</w:t>
      </w:r>
      <w:r>
        <w:tab/>
        <w:t>Transition from annual to biennial election system</w:t>
      </w:r>
      <w:r>
        <w:tab/>
      </w:r>
      <w:r>
        <w:fldChar w:fldCharType="begin"/>
      </w:r>
      <w:r>
        <w:instrText xml:space="preserve"> PAGEREF _Toc462409919 \h </w:instrText>
      </w:r>
      <w:r>
        <w:fldChar w:fldCharType="separate"/>
      </w:r>
      <w:r>
        <w:t>401</w:t>
      </w:r>
      <w:r>
        <w:fldChar w:fldCharType="end"/>
      </w:r>
    </w:p>
    <w:p>
      <w:pPr>
        <w:pStyle w:val="TOC8"/>
        <w:rPr>
          <w:rFonts w:asciiTheme="minorHAnsi" w:eastAsiaTheme="minorEastAsia" w:hAnsiTheme="minorHAnsi" w:cstheme="minorBidi"/>
          <w:szCs w:val="22"/>
        </w:rPr>
      </w:pPr>
      <w:r>
        <w:t>14A.</w:t>
      </w:r>
      <w:r>
        <w:tab/>
        <w:t>Transition to October elections</w:t>
      </w:r>
      <w:r>
        <w:tab/>
      </w:r>
      <w:r>
        <w:fldChar w:fldCharType="begin"/>
      </w:r>
      <w:r>
        <w:instrText xml:space="preserve"> PAGEREF _Toc462409920 \h </w:instrText>
      </w:r>
      <w:r>
        <w:fldChar w:fldCharType="separate"/>
      </w:r>
      <w:r>
        <w:t>402</w:t>
      </w:r>
      <w:r>
        <w:fldChar w:fldCharType="end"/>
      </w:r>
    </w:p>
    <w:p>
      <w:pPr>
        <w:pStyle w:val="TOC6"/>
        <w:tabs>
          <w:tab w:val="right" w:leader="dot" w:pos="7077"/>
        </w:tabs>
        <w:rPr>
          <w:rFonts w:asciiTheme="minorHAnsi" w:eastAsiaTheme="minorEastAsia" w:hAnsiTheme="minorHAnsi" w:cstheme="minorBidi"/>
          <w:b w:val="0"/>
          <w:sz w:val="22"/>
          <w:szCs w:val="22"/>
        </w:rPr>
      </w:pPr>
      <w:r>
        <w:t>Subdivision 4</w:t>
      </w:r>
      <w:r>
        <w:rPr>
          <w:b w:val="0"/>
        </w:rPr>
        <w:t> </w:t>
      </w:r>
      <w:r>
        <w:t>— Administration</w:t>
      </w:r>
    </w:p>
    <w:p>
      <w:pPr>
        <w:pStyle w:val="TOC8"/>
        <w:rPr>
          <w:rFonts w:asciiTheme="minorHAnsi" w:eastAsiaTheme="minorEastAsia" w:hAnsiTheme="minorHAnsi" w:cstheme="minorBidi"/>
          <w:szCs w:val="22"/>
        </w:rPr>
      </w:pPr>
      <w:r>
        <w:t>15.</w:t>
      </w:r>
      <w:r>
        <w:tab/>
        <w:t>Employees</w:t>
      </w:r>
      <w:r>
        <w:tab/>
      </w:r>
      <w:r>
        <w:fldChar w:fldCharType="begin"/>
      </w:r>
      <w:r>
        <w:instrText xml:space="preserve"> PAGEREF _Toc462409922 \h </w:instrText>
      </w:r>
      <w:r>
        <w:fldChar w:fldCharType="separate"/>
      </w:r>
      <w:r>
        <w:t>403</w:t>
      </w:r>
      <w:r>
        <w:fldChar w:fldCharType="end"/>
      </w:r>
    </w:p>
    <w:p>
      <w:pPr>
        <w:pStyle w:val="TOC8"/>
        <w:rPr>
          <w:rFonts w:asciiTheme="minorHAnsi" w:eastAsiaTheme="minorEastAsia" w:hAnsiTheme="minorHAnsi" w:cstheme="minorBidi"/>
          <w:szCs w:val="22"/>
        </w:rPr>
      </w:pPr>
      <w:r>
        <w:t>16.</w:t>
      </w:r>
      <w:r>
        <w:tab/>
        <w:t>Superannuation schemes: transitional and savings</w:t>
      </w:r>
      <w:r>
        <w:tab/>
      </w:r>
      <w:r>
        <w:fldChar w:fldCharType="begin"/>
      </w:r>
      <w:r>
        <w:instrText xml:space="preserve"> PAGEREF _Toc462409923 \h </w:instrText>
      </w:r>
      <w:r>
        <w:fldChar w:fldCharType="separate"/>
      </w:r>
      <w:r>
        <w:t>403</w:t>
      </w:r>
      <w:r>
        <w:fldChar w:fldCharType="end"/>
      </w:r>
    </w:p>
    <w:p>
      <w:pPr>
        <w:pStyle w:val="TOC8"/>
        <w:rPr>
          <w:rFonts w:asciiTheme="minorHAnsi" w:eastAsiaTheme="minorEastAsia" w:hAnsiTheme="minorHAnsi" w:cstheme="minorBidi"/>
          <w:szCs w:val="22"/>
        </w:rPr>
      </w:pPr>
      <w:r>
        <w:t>17.</w:t>
      </w:r>
      <w:r>
        <w:tab/>
        <w:t>Long service benefits:  transitional and savings</w:t>
      </w:r>
      <w:r>
        <w:tab/>
      </w:r>
      <w:r>
        <w:fldChar w:fldCharType="begin"/>
      </w:r>
      <w:r>
        <w:instrText xml:space="preserve"> PAGEREF _Toc462409924 \h </w:instrText>
      </w:r>
      <w:r>
        <w:fldChar w:fldCharType="separate"/>
      </w:r>
      <w:r>
        <w:t>403</w:t>
      </w:r>
      <w:r>
        <w:fldChar w:fldCharType="end"/>
      </w:r>
    </w:p>
    <w:p>
      <w:pPr>
        <w:pStyle w:val="TOC8"/>
        <w:rPr>
          <w:rFonts w:asciiTheme="minorHAnsi" w:eastAsiaTheme="minorEastAsia" w:hAnsiTheme="minorHAnsi" w:cstheme="minorBidi"/>
          <w:szCs w:val="22"/>
        </w:rPr>
      </w:pPr>
      <w:r>
        <w:t>18.</w:t>
      </w:r>
      <w:r>
        <w:tab/>
        <w:t>Committees continue until first ordinary elections</w:t>
      </w:r>
      <w:r>
        <w:tab/>
      </w:r>
      <w:r>
        <w:fldChar w:fldCharType="begin"/>
      </w:r>
      <w:r>
        <w:instrText xml:space="preserve"> PAGEREF _Toc462409925 \h </w:instrText>
      </w:r>
      <w:r>
        <w:fldChar w:fldCharType="separate"/>
      </w:r>
      <w:r>
        <w:t>404</w:t>
      </w:r>
      <w:r>
        <w:fldChar w:fldCharType="end"/>
      </w:r>
    </w:p>
    <w:p>
      <w:pPr>
        <w:pStyle w:val="TOC8"/>
        <w:rPr>
          <w:rFonts w:asciiTheme="minorHAnsi" w:eastAsiaTheme="minorEastAsia" w:hAnsiTheme="minorHAnsi" w:cstheme="minorBidi"/>
          <w:szCs w:val="22"/>
        </w:rPr>
      </w:pPr>
      <w:r>
        <w:t>19.</w:t>
      </w:r>
      <w:r>
        <w:tab/>
        <w:t>Delegations continue for up to a year</w:t>
      </w:r>
      <w:r>
        <w:tab/>
      </w:r>
      <w:r>
        <w:fldChar w:fldCharType="begin"/>
      </w:r>
      <w:r>
        <w:instrText xml:space="preserve"> PAGEREF _Toc462409926 \h </w:instrText>
      </w:r>
      <w:r>
        <w:fldChar w:fldCharType="separate"/>
      </w:r>
      <w:r>
        <w:t>404</w:t>
      </w:r>
      <w:r>
        <w:fldChar w:fldCharType="end"/>
      </w:r>
    </w:p>
    <w:p>
      <w:pPr>
        <w:pStyle w:val="TOC8"/>
        <w:rPr>
          <w:rFonts w:asciiTheme="minorHAnsi" w:eastAsiaTheme="minorEastAsia" w:hAnsiTheme="minorHAnsi" w:cstheme="minorBidi"/>
          <w:szCs w:val="22"/>
        </w:rPr>
      </w:pPr>
      <w:r>
        <w:t>20.</w:t>
      </w:r>
      <w:r>
        <w:tab/>
        <w:t>First annual report</w:t>
      </w:r>
      <w:r>
        <w:tab/>
      </w:r>
      <w:r>
        <w:fldChar w:fldCharType="begin"/>
      </w:r>
      <w:r>
        <w:instrText xml:space="preserve"> PAGEREF _Toc462409927 \h </w:instrText>
      </w:r>
      <w:r>
        <w:fldChar w:fldCharType="separate"/>
      </w:r>
      <w:r>
        <w:t>404</w:t>
      </w:r>
      <w:r>
        <w:fldChar w:fldCharType="end"/>
      </w:r>
    </w:p>
    <w:p>
      <w:pPr>
        <w:pStyle w:val="TOC8"/>
        <w:rPr>
          <w:rFonts w:asciiTheme="minorHAnsi" w:eastAsiaTheme="minorEastAsia" w:hAnsiTheme="minorHAnsi" w:cstheme="minorBidi"/>
          <w:szCs w:val="22"/>
        </w:rPr>
      </w:pPr>
      <w:r>
        <w:t>21.</w:t>
      </w:r>
      <w:r>
        <w:tab/>
        <w:t>First plan for principal activities</w:t>
      </w:r>
      <w:r>
        <w:tab/>
      </w:r>
      <w:r>
        <w:fldChar w:fldCharType="begin"/>
      </w:r>
      <w:r>
        <w:instrText xml:space="preserve"> PAGEREF _Toc462409928 \h </w:instrText>
      </w:r>
      <w:r>
        <w:fldChar w:fldCharType="separate"/>
      </w:r>
      <w:r>
        <w:t>404</w:t>
      </w:r>
      <w:r>
        <w:fldChar w:fldCharType="end"/>
      </w:r>
    </w:p>
    <w:p>
      <w:pPr>
        <w:pStyle w:val="TOC8"/>
        <w:rPr>
          <w:rFonts w:asciiTheme="minorHAnsi" w:eastAsiaTheme="minorEastAsia" w:hAnsiTheme="minorHAnsi" w:cstheme="minorBidi"/>
          <w:szCs w:val="22"/>
        </w:rPr>
      </w:pPr>
      <w:r>
        <w:t>22.</w:t>
      </w:r>
      <w:r>
        <w:tab/>
        <w:t>First code of conduct</w:t>
      </w:r>
      <w:r>
        <w:tab/>
      </w:r>
      <w:r>
        <w:fldChar w:fldCharType="begin"/>
      </w:r>
      <w:r>
        <w:instrText xml:space="preserve"> PAGEREF _Toc462409929 \h </w:instrText>
      </w:r>
      <w:r>
        <w:fldChar w:fldCharType="separate"/>
      </w:r>
      <w:r>
        <w:t>405</w:t>
      </w:r>
      <w:r>
        <w:fldChar w:fldCharType="end"/>
      </w:r>
    </w:p>
    <w:p>
      <w:pPr>
        <w:pStyle w:val="TOC8"/>
        <w:rPr>
          <w:rFonts w:asciiTheme="minorHAnsi" w:eastAsiaTheme="minorEastAsia" w:hAnsiTheme="minorHAnsi" w:cstheme="minorBidi"/>
          <w:szCs w:val="22"/>
        </w:rPr>
      </w:pPr>
      <w:r>
        <w:t>23.</w:t>
      </w:r>
      <w:r>
        <w:tab/>
        <w:t>First declaration by certain designated employees</w:t>
      </w:r>
      <w:r>
        <w:tab/>
      </w:r>
      <w:r>
        <w:fldChar w:fldCharType="begin"/>
      </w:r>
      <w:r>
        <w:instrText xml:space="preserve"> PAGEREF _Toc462409930 \h </w:instrText>
      </w:r>
      <w:r>
        <w:fldChar w:fldCharType="separate"/>
      </w:r>
      <w:r>
        <w:t>405</w:t>
      </w:r>
      <w:r>
        <w:fldChar w:fldCharType="end"/>
      </w:r>
    </w:p>
    <w:p>
      <w:pPr>
        <w:pStyle w:val="TOC8"/>
        <w:rPr>
          <w:rFonts w:asciiTheme="minorHAnsi" w:eastAsiaTheme="minorEastAsia" w:hAnsiTheme="minorHAnsi" w:cstheme="minorBidi"/>
          <w:szCs w:val="22"/>
        </w:rPr>
      </w:pPr>
      <w:r>
        <w:t>24.</w:t>
      </w:r>
      <w:r>
        <w:tab/>
        <w:t>Previous records to be kept by continuing authorities</w:t>
      </w:r>
      <w:r>
        <w:tab/>
      </w:r>
      <w:r>
        <w:fldChar w:fldCharType="begin"/>
      </w:r>
      <w:r>
        <w:instrText xml:space="preserve"> PAGEREF _Toc462409931 \h </w:instrText>
      </w:r>
      <w:r>
        <w:fldChar w:fldCharType="separate"/>
      </w:r>
      <w:r>
        <w:t>405</w:t>
      </w:r>
      <w:r>
        <w:fldChar w:fldCharType="end"/>
      </w:r>
    </w:p>
    <w:p>
      <w:pPr>
        <w:pStyle w:val="TOC6"/>
        <w:tabs>
          <w:tab w:val="right" w:leader="dot" w:pos="7077"/>
        </w:tabs>
        <w:rPr>
          <w:rFonts w:asciiTheme="minorHAnsi" w:eastAsiaTheme="minorEastAsia" w:hAnsiTheme="minorHAnsi" w:cstheme="minorBidi"/>
          <w:b w:val="0"/>
          <w:sz w:val="22"/>
          <w:szCs w:val="22"/>
        </w:rPr>
      </w:pPr>
      <w:r>
        <w:t>Subdivision 5</w:t>
      </w:r>
      <w:r>
        <w:rPr>
          <w:b w:val="0"/>
        </w:rPr>
        <w:t> </w:t>
      </w:r>
      <w:r>
        <w:t>— Financial management and audit</w:t>
      </w:r>
    </w:p>
    <w:p>
      <w:pPr>
        <w:pStyle w:val="TOC8"/>
        <w:rPr>
          <w:rFonts w:asciiTheme="minorHAnsi" w:eastAsiaTheme="minorEastAsia" w:hAnsiTheme="minorHAnsi" w:cstheme="minorBidi"/>
          <w:szCs w:val="22"/>
        </w:rPr>
      </w:pPr>
      <w:r>
        <w:t>25.</w:t>
      </w:r>
      <w:r>
        <w:tab/>
        <w:t>Rateable land exemptions</w:t>
      </w:r>
      <w:r>
        <w:tab/>
      </w:r>
      <w:r>
        <w:fldChar w:fldCharType="begin"/>
      </w:r>
      <w:r>
        <w:instrText xml:space="preserve"> PAGEREF _Toc462409933 \h </w:instrText>
      </w:r>
      <w:r>
        <w:fldChar w:fldCharType="separate"/>
      </w:r>
      <w:r>
        <w:t>405</w:t>
      </w:r>
      <w:r>
        <w:fldChar w:fldCharType="end"/>
      </w:r>
    </w:p>
    <w:p>
      <w:pPr>
        <w:pStyle w:val="TOC8"/>
        <w:rPr>
          <w:rFonts w:asciiTheme="minorHAnsi" w:eastAsiaTheme="minorEastAsia" w:hAnsiTheme="minorHAnsi" w:cstheme="minorBidi"/>
          <w:szCs w:val="22"/>
        </w:rPr>
      </w:pPr>
      <w:r>
        <w:t>26.</w:t>
      </w:r>
      <w:r>
        <w:tab/>
        <w:t>Land declared to be exempt from payment of rates</w:t>
      </w:r>
      <w:r>
        <w:tab/>
      </w:r>
      <w:r>
        <w:fldChar w:fldCharType="begin"/>
      </w:r>
      <w:r>
        <w:instrText xml:space="preserve"> PAGEREF _Toc462409934 \h </w:instrText>
      </w:r>
      <w:r>
        <w:fldChar w:fldCharType="separate"/>
      </w:r>
      <w:r>
        <w:t>405</w:t>
      </w:r>
      <w:r>
        <w:fldChar w:fldCharType="end"/>
      </w:r>
    </w:p>
    <w:p>
      <w:pPr>
        <w:pStyle w:val="TOC8"/>
        <w:rPr>
          <w:rFonts w:asciiTheme="minorHAnsi" w:eastAsiaTheme="minorEastAsia" w:hAnsiTheme="minorHAnsi" w:cstheme="minorBidi"/>
          <w:szCs w:val="22"/>
        </w:rPr>
      </w:pPr>
      <w:r>
        <w:t>27.</w:t>
      </w:r>
      <w:r>
        <w:tab/>
        <w:t>Basis of rates</w:t>
      </w:r>
      <w:r>
        <w:tab/>
      </w:r>
      <w:r>
        <w:fldChar w:fldCharType="begin"/>
      </w:r>
      <w:r>
        <w:instrText xml:space="preserve"> PAGEREF _Toc462409935 \h </w:instrText>
      </w:r>
      <w:r>
        <w:fldChar w:fldCharType="separate"/>
      </w:r>
      <w:r>
        <w:t>406</w:t>
      </w:r>
      <w:r>
        <w:fldChar w:fldCharType="end"/>
      </w:r>
    </w:p>
    <w:p>
      <w:pPr>
        <w:pStyle w:val="TOC8"/>
        <w:rPr>
          <w:rFonts w:asciiTheme="minorHAnsi" w:eastAsiaTheme="minorEastAsia" w:hAnsiTheme="minorHAnsi" w:cstheme="minorBidi"/>
          <w:szCs w:val="22"/>
        </w:rPr>
      </w:pPr>
      <w:r>
        <w:t>28.</w:t>
      </w:r>
      <w:r>
        <w:tab/>
        <w:t>Recovery of rates</w:t>
      </w:r>
      <w:r>
        <w:tab/>
      </w:r>
      <w:r>
        <w:fldChar w:fldCharType="begin"/>
      </w:r>
      <w:r>
        <w:instrText xml:space="preserve"> PAGEREF _Toc462409936 \h </w:instrText>
      </w:r>
      <w:r>
        <w:fldChar w:fldCharType="separate"/>
      </w:r>
      <w:r>
        <w:t>406</w:t>
      </w:r>
      <w:r>
        <w:fldChar w:fldCharType="end"/>
      </w:r>
    </w:p>
    <w:p>
      <w:pPr>
        <w:pStyle w:val="TOC8"/>
        <w:rPr>
          <w:rFonts w:asciiTheme="minorHAnsi" w:eastAsiaTheme="minorEastAsia" w:hAnsiTheme="minorHAnsi" w:cstheme="minorBidi"/>
          <w:szCs w:val="22"/>
        </w:rPr>
      </w:pPr>
      <w:r>
        <w:t>29.</w:t>
      </w:r>
      <w:r>
        <w:tab/>
        <w:t>Continuation of debentures issued</w:t>
      </w:r>
      <w:r>
        <w:tab/>
      </w:r>
      <w:r>
        <w:fldChar w:fldCharType="begin"/>
      </w:r>
      <w:r>
        <w:instrText xml:space="preserve"> PAGEREF _Toc462409937 \h </w:instrText>
      </w:r>
      <w:r>
        <w:fldChar w:fldCharType="separate"/>
      </w:r>
      <w:r>
        <w:t>406</w:t>
      </w:r>
      <w:r>
        <w:fldChar w:fldCharType="end"/>
      </w:r>
    </w:p>
    <w:p>
      <w:pPr>
        <w:pStyle w:val="TOC8"/>
        <w:rPr>
          <w:rFonts w:asciiTheme="minorHAnsi" w:eastAsiaTheme="minorEastAsia" w:hAnsiTheme="minorHAnsi" w:cstheme="minorBidi"/>
          <w:szCs w:val="22"/>
        </w:rPr>
      </w:pPr>
      <w:r>
        <w:t>30.</w:t>
      </w:r>
      <w:r>
        <w:tab/>
        <w:t>Reserve accounts</w:t>
      </w:r>
      <w:r>
        <w:tab/>
      </w:r>
      <w:r>
        <w:fldChar w:fldCharType="begin"/>
      </w:r>
      <w:r>
        <w:instrText xml:space="preserve"> PAGEREF _Toc462409938 \h </w:instrText>
      </w:r>
      <w:r>
        <w:fldChar w:fldCharType="separate"/>
      </w:r>
      <w:r>
        <w:t>407</w:t>
      </w:r>
      <w:r>
        <w:fldChar w:fldCharType="end"/>
      </w:r>
    </w:p>
    <w:p>
      <w:pPr>
        <w:pStyle w:val="TOC8"/>
        <w:rPr>
          <w:rFonts w:asciiTheme="minorHAnsi" w:eastAsiaTheme="minorEastAsia" w:hAnsiTheme="minorHAnsi" w:cstheme="minorBidi"/>
          <w:szCs w:val="22"/>
        </w:rPr>
      </w:pPr>
      <w:r>
        <w:t>31.</w:t>
      </w:r>
      <w:r>
        <w:tab/>
        <w:t>Borrowing: loan polls</w:t>
      </w:r>
      <w:r>
        <w:tab/>
      </w:r>
      <w:r>
        <w:fldChar w:fldCharType="begin"/>
      </w:r>
      <w:r>
        <w:instrText xml:space="preserve"> PAGEREF _Toc462409939 \h </w:instrText>
      </w:r>
      <w:r>
        <w:fldChar w:fldCharType="separate"/>
      </w:r>
      <w:r>
        <w:t>407</w:t>
      </w:r>
      <w:r>
        <w:fldChar w:fldCharType="end"/>
      </w:r>
    </w:p>
    <w:p>
      <w:pPr>
        <w:pStyle w:val="TOC8"/>
        <w:rPr>
          <w:rFonts w:asciiTheme="minorHAnsi" w:eastAsiaTheme="minorEastAsia" w:hAnsiTheme="minorHAnsi" w:cstheme="minorBidi"/>
          <w:szCs w:val="22"/>
        </w:rPr>
      </w:pPr>
      <w:r>
        <w:t>32.</w:t>
      </w:r>
      <w:r>
        <w:tab/>
        <w:t>Auditors’ appointments</w:t>
      </w:r>
      <w:r>
        <w:tab/>
      </w:r>
      <w:r>
        <w:fldChar w:fldCharType="begin"/>
      </w:r>
      <w:r>
        <w:instrText xml:space="preserve"> PAGEREF _Toc462409940 \h </w:instrText>
      </w:r>
      <w:r>
        <w:fldChar w:fldCharType="separate"/>
      </w:r>
      <w:r>
        <w:t>407</w:t>
      </w:r>
      <w:r>
        <w:fldChar w:fldCharType="end"/>
      </w:r>
    </w:p>
    <w:p>
      <w:pPr>
        <w:pStyle w:val="TOC6"/>
        <w:tabs>
          <w:tab w:val="right" w:leader="dot" w:pos="7077"/>
        </w:tabs>
        <w:rPr>
          <w:rFonts w:asciiTheme="minorHAnsi" w:eastAsiaTheme="minorEastAsia" w:hAnsiTheme="minorHAnsi" w:cstheme="minorBidi"/>
          <w:b w:val="0"/>
          <w:sz w:val="22"/>
          <w:szCs w:val="22"/>
        </w:rPr>
      </w:pPr>
      <w:r>
        <w:t>Subdivision 6</w:t>
      </w:r>
      <w:r>
        <w:rPr>
          <w:b w:val="0"/>
        </w:rPr>
        <w:t> </w:t>
      </w:r>
      <w:r>
        <w:t>— Former by-laws, uniform general by-laws and regulations</w:t>
      </w:r>
    </w:p>
    <w:p>
      <w:pPr>
        <w:pStyle w:val="TOC8"/>
        <w:rPr>
          <w:rFonts w:asciiTheme="minorHAnsi" w:eastAsiaTheme="minorEastAsia" w:hAnsiTheme="minorHAnsi" w:cstheme="minorBidi"/>
          <w:szCs w:val="22"/>
        </w:rPr>
      </w:pPr>
      <w:r>
        <w:t>33.</w:t>
      </w:r>
      <w:r>
        <w:tab/>
        <w:t>Former by</w:t>
      </w:r>
      <w:r>
        <w:noBreakHyphen/>
        <w:t>laws continued</w:t>
      </w:r>
      <w:r>
        <w:tab/>
      </w:r>
      <w:r>
        <w:fldChar w:fldCharType="begin"/>
      </w:r>
      <w:r>
        <w:instrText xml:space="preserve"> PAGEREF _Toc462409942 \h </w:instrText>
      </w:r>
      <w:r>
        <w:fldChar w:fldCharType="separate"/>
      </w:r>
      <w:r>
        <w:t>408</w:t>
      </w:r>
      <w:r>
        <w:fldChar w:fldCharType="end"/>
      </w:r>
    </w:p>
    <w:p>
      <w:pPr>
        <w:pStyle w:val="TOC8"/>
        <w:rPr>
          <w:rFonts w:asciiTheme="minorHAnsi" w:eastAsiaTheme="minorEastAsia" w:hAnsiTheme="minorHAnsi" w:cstheme="minorBidi"/>
          <w:szCs w:val="22"/>
        </w:rPr>
      </w:pPr>
      <w:r>
        <w:t>34.</w:t>
      </w:r>
      <w:r>
        <w:tab/>
        <w:t>First periodic review as a local law</w:t>
      </w:r>
      <w:r>
        <w:tab/>
      </w:r>
      <w:r>
        <w:fldChar w:fldCharType="begin"/>
      </w:r>
      <w:r>
        <w:instrText xml:space="preserve"> PAGEREF _Toc462409943 \h </w:instrText>
      </w:r>
      <w:r>
        <w:fldChar w:fldCharType="separate"/>
      </w:r>
      <w:r>
        <w:t>409</w:t>
      </w:r>
      <w:r>
        <w:fldChar w:fldCharType="end"/>
      </w:r>
    </w:p>
    <w:p>
      <w:pPr>
        <w:pStyle w:val="TOC8"/>
        <w:rPr>
          <w:rFonts w:asciiTheme="minorHAnsi" w:eastAsiaTheme="minorEastAsia" w:hAnsiTheme="minorHAnsi" w:cstheme="minorBidi"/>
          <w:szCs w:val="22"/>
        </w:rPr>
      </w:pPr>
      <w:r>
        <w:t>35.</w:t>
      </w:r>
      <w:r>
        <w:tab/>
        <w:t>Former uniform general by</w:t>
      </w:r>
      <w:r>
        <w:noBreakHyphen/>
        <w:t>laws continued</w:t>
      </w:r>
      <w:r>
        <w:tab/>
      </w:r>
      <w:r>
        <w:fldChar w:fldCharType="begin"/>
      </w:r>
      <w:r>
        <w:instrText xml:space="preserve"> PAGEREF _Toc462409944 \h </w:instrText>
      </w:r>
      <w:r>
        <w:fldChar w:fldCharType="separate"/>
      </w:r>
      <w:r>
        <w:t>409</w:t>
      </w:r>
      <w:r>
        <w:fldChar w:fldCharType="end"/>
      </w:r>
    </w:p>
    <w:p>
      <w:pPr>
        <w:pStyle w:val="TOC8"/>
        <w:rPr>
          <w:rFonts w:asciiTheme="minorHAnsi" w:eastAsiaTheme="minorEastAsia" w:hAnsiTheme="minorHAnsi" w:cstheme="minorBidi"/>
          <w:szCs w:val="22"/>
        </w:rPr>
      </w:pPr>
      <w:r>
        <w:t>36.</w:t>
      </w:r>
      <w:r>
        <w:tab/>
        <w:t>Former regulations continued</w:t>
      </w:r>
      <w:r>
        <w:tab/>
      </w:r>
      <w:r>
        <w:fldChar w:fldCharType="begin"/>
      </w:r>
      <w:r>
        <w:instrText xml:space="preserve"> PAGEREF _Toc462409945 \h </w:instrText>
      </w:r>
      <w:r>
        <w:fldChar w:fldCharType="separate"/>
      </w:r>
      <w:r>
        <w:t>410</w:t>
      </w:r>
      <w:r>
        <w:fldChar w:fldCharType="end"/>
      </w:r>
    </w:p>
    <w:p>
      <w:pPr>
        <w:pStyle w:val="TOC6"/>
        <w:tabs>
          <w:tab w:val="right" w:leader="dot" w:pos="7077"/>
        </w:tabs>
        <w:rPr>
          <w:rFonts w:asciiTheme="minorHAnsi" w:eastAsiaTheme="minorEastAsia" w:hAnsiTheme="minorHAnsi" w:cstheme="minorBidi"/>
          <w:b w:val="0"/>
          <w:sz w:val="22"/>
          <w:szCs w:val="22"/>
        </w:rPr>
      </w:pPr>
      <w:r>
        <w:t>Subdivision 7</w:t>
      </w:r>
      <w:r>
        <w:rPr>
          <w:b w:val="0"/>
        </w:rPr>
        <w:t> </w:t>
      </w:r>
      <w:r>
        <w:t>— Miscellaneous</w:t>
      </w:r>
    </w:p>
    <w:p>
      <w:pPr>
        <w:pStyle w:val="TOC8"/>
        <w:rPr>
          <w:rFonts w:asciiTheme="minorHAnsi" w:eastAsiaTheme="minorEastAsia" w:hAnsiTheme="minorHAnsi" w:cstheme="minorBidi"/>
          <w:szCs w:val="22"/>
        </w:rPr>
      </w:pPr>
      <w:r>
        <w:t>37.</w:t>
      </w:r>
      <w:r>
        <w:tab/>
        <w:t>Townsites</w:t>
      </w:r>
      <w:r>
        <w:tab/>
      </w:r>
      <w:r>
        <w:fldChar w:fldCharType="begin"/>
      </w:r>
      <w:r>
        <w:instrText xml:space="preserve"> PAGEREF _Toc462409947 \h </w:instrText>
      </w:r>
      <w:r>
        <w:fldChar w:fldCharType="separate"/>
      </w:r>
      <w:r>
        <w:t>410</w:t>
      </w:r>
      <w:r>
        <w:fldChar w:fldCharType="end"/>
      </w:r>
    </w:p>
    <w:p>
      <w:pPr>
        <w:pStyle w:val="TOC8"/>
        <w:rPr>
          <w:rFonts w:asciiTheme="minorHAnsi" w:eastAsiaTheme="minorEastAsia" w:hAnsiTheme="minorHAnsi" w:cstheme="minorBidi"/>
          <w:szCs w:val="22"/>
        </w:rPr>
      </w:pPr>
      <w:r>
        <w:t>38.</w:t>
      </w:r>
      <w:r>
        <w:tab/>
        <w:t>Gates across thoroughfares in cities or towns</w:t>
      </w:r>
      <w:r>
        <w:tab/>
      </w:r>
      <w:r>
        <w:fldChar w:fldCharType="begin"/>
      </w:r>
      <w:r>
        <w:instrText xml:space="preserve"> PAGEREF _Toc462409948 \h </w:instrText>
      </w:r>
      <w:r>
        <w:fldChar w:fldCharType="separate"/>
      </w:r>
      <w:r>
        <w:t>410</w:t>
      </w:r>
      <w:r>
        <w:fldChar w:fldCharType="end"/>
      </w:r>
    </w:p>
    <w:p>
      <w:pPr>
        <w:pStyle w:val="TOC8"/>
        <w:rPr>
          <w:rFonts w:asciiTheme="minorHAnsi" w:eastAsiaTheme="minorEastAsia" w:hAnsiTheme="minorHAnsi" w:cstheme="minorBidi"/>
          <w:szCs w:val="22"/>
        </w:rPr>
      </w:pPr>
      <w:r>
        <w:t>39.</w:t>
      </w:r>
      <w:r>
        <w:tab/>
        <w:t xml:space="preserve">Deferments under </w:t>
      </w:r>
      <w:r>
        <w:rPr>
          <w:i/>
          <w:iCs/>
        </w:rPr>
        <w:t>Rates and Charges (Rebates and Deferments) Act 1992</w:t>
      </w:r>
      <w:r>
        <w:tab/>
      </w:r>
      <w:r>
        <w:fldChar w:fldCharType="begin"/>
      </w:r>
      <w:r>
        <w:instrText xml:space="preserve"> PAGEREF _Toc462409949 \h </w:instrText>
      </w:r>
      <w:r>
        <w:fldChar w:fldCharType="separate"/>
      </w:r>
      <w:r>
        <w:t>410</w:t>
      </w:r>
      <w:r>
        <w:fldChar w:fldCharType="end"/>
      </w:r>
    </w:p>
    <w:p>
      <w:pPr>
        <w:pStyle w:val="TOC8"/>
        <w:rPr>
          <w:rFonts w:asciiTheme="minorHAnsi" w:eastAsiaTheme="minorEastAsia" w:hAnsiTheme="minorHAnsi" w:cstheme="minorBidi"/>
          <w:szCs w:val="22"/>
        </w:rPr>
      </w:pPr>
      <w:r>
        <w:t>40.</w:t>
      </w:r>
      <w:r>
        <w:tab/>
        <w:t>Commercial enterprises</w:t>
      </w:r>
      <w:r>
        <w:tab/>
      </w:r>
      <w:r>
        <w:fldChar w:fldCharType="begin"/>
      </w:r>
      <w:r>
        <w:instrText xml:space="preserve"> PAGEREF _Toc462409950 \h </w:instrText>
      </w:r>
      <w:r>
        <w:fldChar w:fldCharType="separate"/>
      </w:r>
      <w:r>
        <w:t>410</w:t>
      </w:r>
      <w:r>
        <w:fldChar w:fldCharType="end"/>
      </w:r>
    </w:p>
    <w:p>
      <w:pPr>
        <w:pStyle w:val="TOC8"/>
        <w:rPr>
          <w:rFonts w:asciiTheme="minorHAnsi" w:eastAsiaTheme="minorEastAsia" w:hAnsiTheme="minorHAnsi" w:cstheme="minorBidi"/>
          <w:szCs w:val="22"/>
        </w:rPr>
      </w:pPr>
      <w:r>
        <w:t>41.</w:t>
      </w:r>
      <w:r>
        <w:tab/>
        <w:t>Evidence in proceedings under former provisions</w:t>
      </w:r>
      <w:r>
        <w:tab/>
      </w:r>
      <w:r>
        <w:fldChar w:fldCharType="begin"/>
      </w:r>
      <w:r>
        <w:instrText xml:space="preserve"> PAGEREF _Toc462409951 \h </w:instrText>
      </w:r>
      <w:r>
        <w:fldChar w:fldCharType="separate"/>
      </w:r>
      <w:r>
        <w:t>411</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 xml:space="preserve">Provisions for the </w:t>
      </w:r>
      <w:r>
        <w:rPr>
          <w:i/>
        </w:rPr>
        <w:t>Local Government Amendment Act 2012</w:t>
      </w:r>
    </w:p>
    <w:p>
      <w:pPr>
        <w:pStyle w:val="TOC8"/>
        <w:rPr>
          <w:rFonts w:asciiTheme="minorHAnsi" w:eastAsiaTheme="minorEastAsia" w:hAnsiTheme="minorHAnsi" w:cstheme="minorBidi"/>
          <w:szCs w:val="22"/>
        </w:rPr>
      </w:pPr>
      <w:r>
        <w:t>42.</w:t>
      </w:r>
      <w:r>
        <w:tab/>
        <w:t>Term used: amending Act</w:t>
      </w:r>
      <w:r>
        <w:tab/>
      </w:r>
      <w:r>
        <w:fldChar w:fldCharType="begin"/>
      </w:r>
      <w:r>
        <w:instrText xml:space="preserve"> PAGEREF _Toc462409953 \h </w:instrText>
      </w:r>
      <w:r>
        <w:fldChar w:fldCharType="separate"/>
      </w:r>
      <w:r>
        <w:t>411</w:t>
      </w:r>
      <w:r>
        <w:fldChar w:fldCharType="end"/>
      </w:r>
    </w:p>
    <w:p>
      <w:pPr>
        <w:pStyle w:val="TOC8"/>
        <w:rPr>
          <w:rFonts w:asciiTheme="minorHAnsi" w:eastAsiaTheme="minorEastAsia" w:hAnsiTheme="minorHAnsi" w:cstheme="minorBidi"/>
          <w:szCs w:val="22"/>
        </w:rPr>
      </w:pPr>
      <w:r>
        <w:t>43.</w:t>
      </w:r>
      <w:r>
        <w:tab/>
        <w:t>Saving provisions for CEOs</w:t>
      </w:r>
      <w:r>
        <w:tab/>
      </w:r>
      <w:r>
        <w:fldChar w:fldCharType="begin"/>
      </w:r>
      <w:r>
        <w:instrText xml:space="preserve"> PAGEREF _Toc462409954 \h </w:instrText>
      </w:r>
      <w:r>
        <w:fldChar w:fldCharType="separate"/>
      </w:r>
      <w:r>
        <w:t>412</w:t>
      </w:r>
      <w:r>
        <w:fldChar w:fldCharType="end"/>
      </w:r>
    </w:p>
    <w:p>
      <w:pPr>
        <w:pStyle w:val="TOC8"/>
        <w:rPr>
          <w:rFonts w:asciiTheme="minorHAnsi" w:eastAsiaTheme="minorEastAsia" w:hAnsiTheme="minorHAnsi" w:cstheme="minorBidi"/>
          <w:szCs w:val="22"/>
        </w:rPr>
      </w:pPr>
      <w:r>
        <w:t>44.</w:t>
      </w:r>
      <w:r>
        <w:tab/>
        <w:t>Section 6.14(1) does not apply to existing investments</w:t>
      </w:r>
      <w:r>
        <w:tab/>
      </w:r>
      <w:r>
        <w:fldChar w:fldCharType="begin"/>
      </w:r>
      <w:r>
        <w:instrText xml:space="preserve"> PAGEREF _Toc462409955 \h </w:instrText>
      </w:r>
      <w:r>
        <w:fldChar w:fldCharType="separate"/>
      </w:r>
      <w:r>
        <w:t>413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_Toc462409957 \h </w:instrText>
      </w:r>
      <w:r>
        <w:fldChar w:fldCharType="separate"/>
      </w:r>
      <w:r>
        <w:t>414</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_Toc462409958 \h </w:instrText>
      </w:r>
      <w:r>
        <w:fldChar w:fldCharType="separate"/>
      </w:r>
      <w:r>
        <w:t>419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pacing w:before="720" w:after="1440"/>
      </w:pPr>
      <w:r>
        <w:t>Local Government Act 1995</w:t>
      </w:r>
    </w:p>
    <w:p>
      <w:pPr>
        <w:pStyle w:val="LongTitle"/>
        <w:spacing w:after="840"/>
        <w:rPr>
          <w:snapToGrid w:val="0"/>
        </w:rPr>
      </w:pPr>
      <w:r>
        <w:rPr>
          <w:snapToGrid w:val="0"/>
        </w:rPr>
        <w:t xml:space="preserve">An Act to provide for a system of local government in </w:t>
      </w:r>
      <w:smartTag w:uri="urn:schemas-microsoft-com:office:smarttags" w:element="place">
        <w:smartTag w:uri="urn:schemas-microsoft-com:office:smarttags" w:element="State">
          <w:r>
            <w:rPr>
              <w:snapToGrid w:val="0"/>
            </w:rPr>
            <w:t>Western Australia</w:t>
          </w:r>
        </w:smartTag>
      </w:smartTag>
      <w:r>
        <w:rPr>
          <w:snapToGrid w:val="0"/>
        </w:rPr>
        <w:t xml:space="preserve">,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3" w:name="_Toc448218814"/>
      <w:bookmarkStart w:id="4" w:name="_Toc448224036"/>
      <w:bookmarkStart w:id="5" w:name="_Toc451179273"/>
      <w:bookmarkStart w:id="6" w:name="_Toc451430193"/>
      <w:bookmarkStart w:id="7" w:name="_Toc455396143"/>
      <w:bookmarkStart w:id="8" w:name="_Toc455397003"/>
      <w:bookmarkStart w:id="9" w:name="_Toc456086086"/>
      <w:bookmarkStart w:id="10" w:name="_Toc462409099"/>
      <w:r>
        <w:rPr>
          <w:rStyle w:val="CharPartNo"/>
        </w:rPr>
        <w:t>Part 1</w:t>
      </w:r>
      <w:r>
        <w:rPr>
          <w:rStyle w:val="CharDivNo"/>
        </w:rPr>
        <w:t> </w:t>
      </w:r>
      <w:r>
        <w:t>—</w:t>
      </w:r>
      <w:r>
        <w:rPr>
          <w:rStyle w:val="CharDivText"/>
        </w:rPr>
        <w:t> </w:t>
      </w:r>
      <w:r>
        <w:rPr>
          <w:rStyle w:val="CharPartText"/>
        </w:rPr>
        <w:t>Introductory matters</w:t>
      </w:r>
      <w:bookmarkEnd w:id="3"/>
      <w:bookmarkEnd w:id="4"/>
      <w:bookmarkEnd w:id="5"/>
      <w:bookmarkEnd w:id="6"/>
      <w:bookmarkEnd w:id="7"/>
      <w:bookmarkEnd w:id="8"/>
      <w:bookmarkEnd w:id="9"/>
      <w:bookmarkEnd w:id="10"/>
      <w:r>
        <w:rPr>
          <w:rStyle w:val="CharPartText"/>
        </w:rPr>
        <w:t xml:space="preserve"> </w:t>
      </w:r>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snapToGrid w:val="0"/>
          <w:sz w:val="22"/>
          <w:szCs w:val="22"/>
        </w:rPr>
      </w:pPr>
      <w:r>
        <w:rPr>
          <w:rFonts w:ascii="Arial" w:hAnsi="Arial" w:cs="Arial"/>
          <w:i/>
          <w:snapToGrid w:val="0"/>
          <w:sz w:val="22"/>
        </w:rPr>
        <w:t>This Part deals with some matters that are relevant to the Act generally.</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section 1.2 provides for the commencement of the Act;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section 1.3 summarizes the main content of the Act and what it intends to achieve;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section 1.5 explains the legal status of italicized notes such as this;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section 1.6 states the position of the Crown;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other provisions define some terms and concepts used in the Act. </w:t>
      </w:r>
    </w:p>
    <w:p>
      <w:pPr>
        <w:pStyle w:val="Heading5"/>
        <w:rPr>
          <w:snapToGrid w:val="0"/>
        </w:rPr>
      </w:pPr>
      <w:bookmarkStart w:id="11" w:name="_Toc462409100"/>
      <w:r>
        <w:rPr>
          <w:rStyle w:val="CharSectno"/>
        </w:rPr>
        <w:t>1.1</w:t>
      </w:r>
      <w:r>
        <w:rPr>
          <w:snapToGrid w:val="0"/>
        </w:rPr>
        <w:t>.</w:t>
      </w:r>
      <w:r>
        <w:rPr>
          <w:snapToGrid w:val="0"/>
        </w:rPr>
        <w:tab/>
        <w:t>Short title</w:t>
      </w:r>
      <w:bookmarkEnd w:id="1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Local Government Act 1995 </w:t>
      </w:r>
      <w:r>
        <w:rPr>
          <w:snapToGrid w:val="0"/>
          <w:vertAlign w:val="superscript"/>
        </w:rPr>
        <w:t>1</w:t>
      </w:r>
      <w:r>
        <w:rPr>
          <w:snapToGrid w:val="0"/>
        </w:rPr>
        <w:t>.</w:t>
      </w:r>
    </w:p>
    <w:p>
      <w:pPr>
        <w:pStyle w:val="Heading5"/>
        <w:rPr>
          <w:snapToGrid w:val="0"/>
        </w:rPr>
      </w:pPr>
      <w:bookmarkStart w:id="12" w:name="_Toc462409101"/>
      <w:r>
        <w:rPr>
          <w:rStyle w:val="CharSectno"/>
        </w:rPr>
        <w:t>1.2</w:t>
      </w:r>
      <w:r>
        <w:rPr>
          <w:snapToGrid w:val="0"/>
        </w:rPr>
        <w:t>.</w:t>
      </w:r>
      <w:r>
        <w:rPr>
          <w:snapToGrid w:val="0"/>
        </w:rPr>
        <w:tab/>
        <w:t>Commencement</w:t>
      </w:r>
      <w:bookmarkEnd w:id="12"/>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13" w:name="_Toc462409102"/>
      <w:r>
        <w:rPr>
          <w:rStyle w:val="CharSectno"/>
        </w:rPr>
        <w:t>1.3</w:t>
      </w:r>
      <w:r>
        <w:rPr>
          <w:snapToGrid w:val="0"/>
        </w:rPr>
        <w:t>.</w:t>
      </w:r>
      <w:r>
        <w:rPr>
          <w:snapToGrid w:val="0"/>
        </w:rPr>
        <w:tab/>
        <w:t>Content and intent</w:t>
      </w:r>
      <w:bookmarkEnd w:id="13"/>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 and</w:t>
      </w:r>
    </w:p>
    <w:p>
      <w:pPr>
        <w:pStyle w:val="Indenta"/>
        <w:rPr>
          <w:snapToGrid w:val="0"/>
        </w:rPr>
      </w:pPr>
      <w:r>
        <w:rPr>
          <w:snapToGrid w:val="0"/>
        </w:rPr>
        <w:tab/>
        <w:t>(b)</w:t>
      </w:r>
      <w:r>
        <w:rPr>
          <w:snapToGrid w:val="0"/>
        </w:rPr>
        <w:tab/>
        <w:t>describing the functions of local governments; and</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keepNext/>
        <w:keepLines/>
        <w:rPr>
          <w:snapToGrid w:val="0"/>
        </w:rPr>
      </w:pPr>
      <w:r>
        <w:rPr>
          <w:snapToGrid w:val="0"/>
        </w:rPr>
        <w:tab/>
        <w:t>(2)</w:t>
      </w:r>
      <w:r>
        <w:rPr>
          <w:snapToGrid w:val="0"/>
        </w:rPr>
        <w:tab/>
        <w:t>This Act is intended to result in — </w:t>
      </w:r>
    </w:p>
    <w:p>
      <w:pPr>
        <w:pStyle w:val="Indenta"/>
        <w:rPr>
          <w:snapToGrid w:val="0"/>
        </w:rPr>
      </w:pPr>
      <w:r>
        <w:rPr>
          <w:snapToGrid w:val="0"/>
        </w:rPr>
        <w:tab/>
        <w:t>(a)</w:t>
      </w:r>
      <w:r>
        <w:rPr>
          <w:snapToGrid w:val="0"/>
        </w:rPr>
        <w:tab/>
        <w:t>better decision</w:t>
      </w:r>
      <w:r>
        <w:rPr>
          <w:snapToGrid w:val="0"/>
        </w:rPr>
        <w:noBreakHyphen/>
        <w:t>making by local governments; and</w:t>
      </w:r>
    </w:p>
    <w:p>
      <w:pPr>
        <w:pStyle w:val="Indenta"/>
        <w:rPr>
          <w:snapToGrid w:val="0"/>
        </w:rPr>
      </w:pPr>
      <w:r>
        <w:rPr>
          <w:snapToGrid w:val="0"/>
        </w:rPr>
        <w:tab/>
        <w:t>(b)</w:t>
      </w:r>
      <w:r>
        <w:rPr>
          <w:snapToGrid w:val="0"/>
        </w:rPr>
        <w:tab/>
        <w:t>greater community participation in the decisions and affairs of local governments; and</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Subsection"/>
      </w:pPr>
      <w:r>
        <w:tab/>
        <w:t>(3)</w:t>
      </w:r>
      <w:r>
        <w:tab/>
        <w:t>In carrying out its functions a local government is to use its best endeavours to meet the needs of current and future generations through an integration of environmental protection, social advancement and economic prosperity.</w:t>
      </w:r>
    </w:p>
    <w:p>
      <w:pPr>
        <w:pStyle w:val="Footnotesection"/>
      </w:pPr>
      <w:r>
        <w:tab/>
        <w:t>[Section 1.3 amended by No. 49 of 2004 s. 15.]</w:t>
      </w:r>
    </w:p>
    <w:p>
      <w:pPr>
        <w:pStyle w:val="Heading5"/>
        <w:rPr>
          <w:snapToGrid w:val="0"/>
        </w:rPr>
      </w:pPr>
      <w:bookmarkStart w:id="14" w:name="_Toc462409103"/>
      <w:r>
        <w:rPr>
          <w:rStyle w:val="CharSectno"/>
        </w:rPr>
        <w:t>1.4</w:t>
      </w:r>
      <w:r>
        <w:rPr>
          <w:snapToGrid w:val="0"/>
        </w:rPr>
        <w:t>.</w:t>
      </w:r>
      <w:r>
        <w:rPr>
          <w:snapToGrid w:val="0"/>
        </w:rPr>
        <w:tab/>
        <w:t>Terms used</w:t>
      </w:r>
      <w:bookmarkEnd w:id="14"/>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r>
      <w:r>
        <w:rPr>
          <w:rStyle w:val="CharDefText"/>
        </w:rPr>
        <w:t>75% majority</w:t>
      </w:r>
      <w:r>
        <w:t>, in relation to a council, means a majority comprising enough of the members for the time being of the council for their number to be at least 75% of the number of offices (whether vacant or not) of member of the council;</w:t>
      </w:r>
    </w:p>
    <w:p>
      <w:pPr>
        <w:pStyle w:val="Defstart"/>
        <w:spacing w:before="120"/>
      </w:pPr>
      <w:r>
        <w:rPr>
          <w:b/>
        </w:rPr>
        <w:tab/>
      </w:r>
      <w:r>
        <w:rPr>
          <w:rStyle w:val="CharDefText"/>
        </w:rPr>
        <w:t>absolute majority</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r>
      <w:r>
        <w:rPr>
          <w:rStyle w:val="CharDefText"/>
        </w:rPr>
        <w:t>Advisory Board</w:t>
      </w:r>
      <w:r>
        <w:t xml:space="preserve"> means the Local Government Advisory Board established by section 2.44;</w:t>
      </w:r>
    </w:p>
    <w:p>
      <w:pPr>
        <w:pStyle w:val="Defstart"/>
      </w:pPr>
      <w:r>
        <w:rPr>
          <w:b/>
        </w:rPr>
        <w:tab/>
      </w:r>
      <w:r>
        <w:rPr>
          <w:rStyle w:val="CharDefText"/>
        </w:rPr>
        <w:t>auditor</w:t>
      </w:r>
      <w:r>
        <w:t>, in relation to a local government means a person for the time being appointed under Part 7 to be the auditor of the local government;</w:t>
      </w:r>
    </w:p>
    <w:p>
      <w:pPr>
        <w:pStyle w:val="Defstart"/>
      </w:pPr>
      <w:r>
        <w:rPr>
          <w:b/>
        </w:rPr>
        <w:tab/>
      </w:r>
      <w:r>
        <w:rPr>
          <w:rStyle w:val="CharDefText"/>
        </w:rPr>
        <w:t>CEO</w:t>
      </w:r>
      <w:r>
        <w:t xml:space="preserve"> means the chief executive officer of a local government;</w:t>
      </w:r>
    </w:p>
    <w:p>
      <w:pPr>
        <w:pStyle w:val="Defstart"/>
      </w:pPr>
      <w:r>
        <w:rPr>
          <w:b/>
        </w:rPr>
        <w:tab/>
      </w:r>
      <w:r>
        <w:rPr>
          <w:rStyle w:val="CharDefText"/>
        </w:rPr>
        <w:t>commissioner</w:t>
      </w:r>
      <w:r>
        <w:t xml:space="preserve"> means a commissioner appointed to a local government under sections 2.6(4), 2.36A(3), 2.37(4), 2.37A(1), 8.30 or 8.33;</w:t>
      </w:r>
    </w:p>
    <w:p>
      <w:pPr>
        <w:pStyle w:val="Defstart"/>
      </w:pPr>
      <w:r>
        <w:rPr>
          <w:b/>
        </w:rPr>
        <w:tab/>
      </w:r>
      <w:r>
        <w:rPr>
          <w:rStyle w:val="CharDefText"/>
        </w:rPr>
        <w:t>council</w:t>
      </w:r>
      <w:r>
        <w:t xml:space="preserve"> means the council of a local government;</w:t>
      </w:r>
    </w:p>
    <w:p>
      <w:pPr>
        <w:pStyle w:val="Defstart"/>
      </w:pPr>
      <w:r>
        <w:rPr>
          <w:b/>
        </w:rPr>
        <w:tab/>
      </w:r>
      <w:r>
        <w:rPr>
          <w:rStyle w:val="CharDefText"/>
        </w:rPr>
        <w:t>councillor</w:t>
      </w:r>
      <w:r>
        <w:t xml:space="preserve"> means a person who holds the office of councillor on a council (including a person who holds another office under section 2.17(2)(a) or (b) as well as the office of councillor);</w:t>
      </w:r>
    </w:p>
    <w:p>
      <w:pPr>
        <w:pStyle w:val="Defstart"/>
      </w:pPr>
      <w:r>
        <w:rPr>
          <w:b/>
        </w:rPr>
        <w:tab/>
      </w:r>
      <w:r>
        <w:rPr>
          <w:rStyle w:val="CharDefText"/>
        </w:rPr>
        <w:t>councillor mayor or president</w:t>
      </w:r>
      <w:r>
        <w:t xml:space="preserve"> means a mayor or president elected by the council from amongst the councillors;</w:t>
      </w:r>
    </w:p>
    <w:p>
      <w:pPr>
        <w:pStyle w:val="Defstart"/>
      </w:pPr>
      <w:r>
        <w:rPr>
          <w:b/>
        </w:rPr>
        <w:tab/>
      </w:r>
      <w:r>
        <w:rPr>
          <w:rStyle w:val="CharDefText"/>
        </w:rPr>
        <w:t>Crown lands</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pPr>
      <w:r>
        <w:tab/>
        <w:t>(i)</w:t>
      </w:r>
      <w:r>
        <w:tab/>
        <w:t>under conditional terms of purchase; or</w:t>
      </w:r>
    </w:p>
    <w:p>
      <w:pPr>
        <w:pStyle w:val="Defsubpara"/>
      </w:pPr>
      <w:r>
        <w:tab/>
        <w:t>(ii)</w:t>
      </w:r>
      <w:r>
        <w:tab/>
        <w:t>with a right to acquire the fee simple;</w:t>
      </w:r>
    </w:p>
    <w:p>
      <w:pPr>
        <w:pStyle w:val="Defstart"/>
      </w:pPr>
      <w:r>
        <w:rPr>
          <w:b/>
        </w:rPr>
        <w:tab/>
      </w:r>
      <w:r>
        <w:rPr>
          <w:rStyle w:val="CharDefText"/>
        </w:rPr>
        <w:t>Crown lease</w:t>
      </w:r>
      <w:r>
        <w:t xml:space="preserve"> means a lease from the Crown of Crown lands, or a licence or concession from the Crown for taking a profit of Crown lands, but does not include — </w:t>
      </w:r>
    </w:p>
    <w:p>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 and</w:t>
      </w:r>
    </w:p>
    <w:p>
      <w:pPr>
        <w:pStyle w:val="Defpara"/>
      </w:pPr>
      <w:r>
        <w:tab/>
        <w:t>(b)</w:t>
      </w:r>
      <w:r>
        <w:tab/>
        <w:t xml:space="preserve">a lease under the </w:t>
      </w:r>
      <w:r>
        <w:rPr>
          <w:i/>
        </w:rPr>
        <w:t>Housing Act 1980</w:t>
      </w:r>
      <w:r>
        <w:t>; and</w:t>
      </w:r>
    </w:p>
    <w:p>
      <w:pPr>
        <w:pStyle w:val="Defpara"/>
      </w:pPr>
      <w:r>
        <w:tab/>
        <w:t>(c)</w:t>
      </w:r>
      <w:r>
        <w:tab/>
        <w:t>an instrument by virtue of which lands are held or occupied subject to the payment of a peppercorn or nominal rental;</w:t>
      </w:r>
    </w:p>
    <w:p>
      <w:pPr>
        <w:pStyle w:val="Defstart"/>
      </w:pPr>
      <w:r>
        <w:rPr>
          <w:b/>
        </w:rPr>
        <w:tab/>
      </w:r>
      <w:r>
        <w:rPr>
          <w:rStyle w:val="CharDefText"/>
        </w:rPr>
        <w:t>Crown lessee</w:t>
      </w:r>
      <w:r>
        <w:t xml:space="preserve"> means a person entitled under a Crown lease to an interest or a right in or over Crown lands;</w:t>
      </w:r>
    </w:p>
    <w:p>
      <w:pPr>
        <w:pStyle w:val="Defstart"/>
      </w:pPr>
      <w:r>
        <w:rPr>
          <w:b/>
        </w:rPr>
        <w:tab/>
      </w:r>
      <w:r>
        <w:rPr>
          <w:rStyle w:val="CharDefText"/>
        </w:rPr>
        <w:t>Department</w:t>
      </w:r>
      <w:r>
        <w:t xml:space="preserve"> means the department of the Public Service assisting the Minister to administer this Act;</w:t>
      </w:r>
    </w:p>
    <w:p>
      <w:pPr>
        <w:pStyle w:val="Defstart"/>
      </w:pPr>
      <w:r>
        <w:tab/>
      </w:r>
      <w:r>
        <w:rPr>
          <w:rStyle w:val="CharDefText"/>
        </w:rPr>
        <w:t>Departmental CEO</w:t>
      </w:r>
      <w:r>
        <w:t xml:space="preserve"> means the chief executive officer of the Department;</w:t>
      </w:r>
    </w:p>
    <w:p>
      <w:pPr>
        <w:pStyle w:val="Defstart"/>
      </w:pPr>
      <w:r>
        <w:rPr>
          <w:b/>
        </w:rPr>
        <w:tab/>
      </w:r>
      <w:r>
        <w:rPr>
          <w:rStyle w:val="CharDefText"/>
        </w:rPr>
        <w:t>district</w:t>
      </w:r>
      <w:r>
        <w:t xml:space="preserve"> means an area of the State that is declared to be a district under section 2.1;</w:t>
      </w:r>
    </w:p>
    <w:p>
      <w:pPr>
        <w:pStyle w:val="Defstart"/>
      </w:pPr>
      <w:r>
        <w:rPr>
          <w:b/>
        </w:rPr>
        <w:tab/>
      </w:r>
      <w:r>
        <w:rPr>
          <w:rStyle w:val="CharDefText"/>
        </w:rPr>
        <w:t>election year</w:t>
      </w:r>
      <w:r>
        <w:t xml:space="preserve"> means a year in which ordinary elections for local governments are required to be held;</w:t>
      </w:r>
    </w:p>
    <w:p>
      <w:pPr>
        <w:pStyle w:val="Defstart"/>
      </w:pPr>
      <w:r>
        <w:rPr>
          <w:b/>
        </w:rPr>
        <w:tab/>
      </w:r>
      <w:r>
        <w:rPr>
          <w:rStyle w:val="CharDefText"/>
        </w:rPr>
        <w:t>elector</w:t>
      </w:r>
      <w:r>
        <w:t>, in relation to a district or ward, means a person who is eligible to be enrolled to vote at elections for the district or ward;</w:t>
      </w:r>
    </w:p>
    <w:p>
      <w:pPr>
        <w:pStyle w:val="Defstart"/>
      </w:pPr>
      <w:r>
        <w:rPr>
          <w:b/>
        </w:rPr>
        <w:tab/>
      </w:r>
      <w:r>
        <w:rPr>
          <w:rStyle w:val="CharDefText"/>
        </w:rPr>
        <w:t>elector mayor or president</w:t>
      </w:r>
      <w:r>
        <w:t xml:space="preserve"> means a mayor or president elected by electors of a district;</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electoral requirements</w:t>
      </w:r>
      <w:r>
        <w:t xml:space="preserve"> has the meaning given by section 4.1;</w:t>
      </w:r>
    </w:p>
    <w:p>
      <w:pPr>
        <w:pStyle w:val="Defstart"/>
      </w:pPr>
      <w:r>
        <w:rPr>
          <w:b/>
        </w:rPr>
        <w:tab/>
      </w:r>
      <w:r>
        <w:rPr>
          <w:rStyle w:val="CharDefText"/>
        </w:rPr>
        <w:t>employee</w:t>
      </w:r>
      <w:r>
        <w:t xml:space="preserve"> means a person employed by a local government under section 5.36;</w:t>
      </w:r>
    </w:p>
    <w:p>
      <w:pPr>
        <w:pStyle w:val="Defstart"/>
      </w:pPr>
      <w:r>
        <w:rPr>
          <w:b/>
        </w:rPr>
        <w:tab/>
      </w:r>
      <w:r>
        <w:rPr>
          <w:rStyle w:val="CharDefText"/>
        </w:rPr>
        <w:t>extraordinary election</w:t>
      </w:r>
      <w:r>
        <w:t xml:space="preserve"> has the meaning given by section 4.8;</w:t>
      </w:r>
    </w:p>
    <w:p>
      <w:pPr>
        <w:pStyle w:val="Defstart"/>
      </w:pPr>
      <w:r>
        <w:rPr>
          <w:b/>
        </w:rPr>
        <w:tab/>
      </w:r>
      <w:r>
        <w:rPr>
          <w:rStyle w:val="CharDefText"/>
        </w:rPr>
        <w:t>financial year</w:t>
      </w:r>
      <w:r>
        <w:t xml:space="preserve"> means the period commencing on 1 July and ending on the next following 30 June;</w:t>
      </w:r>
    </w:p>
    <w:p>
      <w:pPr>
        <w:pStyle w:val="Defstart"/>
      </w:pPr>
      <w:r>
        <w:rPr>
          <w:b/>
        </w:rPr>
        <w:tab/>
      </w:r>
      <w:r>
        <w:rPr>
          <w:rStyle w:val="CharDefText"/>
        </w:rPr>
        <w:t>inaugural election</w:t>
      </w:r>
      <w:r>
        <w:t xml:space="preserve"> has the meaning given by section 4.2;</w:t>
      </w:r>
    </w:p>
    <w:p>
      <w:pPr>
        <w:pStyle w:val="Defstart"/>
      </w:pPr>
      <w:r>
        <w:rPr>
          <w:b/>
        </w:rPr>
        <w:tab/>
      </w:r>
      <w:r>
        <w:rPr>
          <w:rStyle w:val="CharDefText"/>
        </w:rPr>
        <w:t>Inquiry Panel</w:t>
      </w:r>
      <w:r>
        <w:t xml:space="preserve"> means an Inquiry Panel constituted under section 8.16;</w:t>
      </w:r>
    </w:p>
    <w:p>
      <w:pPr>
        <w:pStyle w:val="Defstart"/>
      </w:pPr>
      <w:r>
        <w:rPr>
          <w:b/>
        </w:rPr>
        <w:tab/>
      </w:r>
      <w:r>
        <w:rPr>
          <w:rStyle w:val="CharDefText"/>
        </w:rPr>
        <w:t>local government</w:t>
      </w:r>
      <w:r>
        <w:t xml:space="preserve"> means a local government established under this Act;</w:t>
      </w:r>
    </w:p>
    <w:p>
      <w:pPr>
        <w:pStyle w:val="Defstart"/>
      </w:pPr>
      <w:r>
        <w:rPr>
          <w:b/>
        </w:rPr>
        <w:tab/>
      </w:r>
      <w:r>
        <w:rPr>
          <w:rStyle w:val="CharDefText"/>
        </w:rPr>
        <w:t>local government property</w:t>
      </w:r>
      <w:r>
        <w:t xml:space="preserve"> means anything, whether land or not, that belongs to, or is vested in, or under the care, control or management of, the local government;</w:t>
      </w:r>
    </w:p>
    <w:p>
      <w:pPr>
        <w:pStyle w:val="Defstart"/>
      </w:pPr>
      <w:r>
        <w:rPr>
          <w:b/>
        </w:rPr>
        <w:tab/>
      </w:r>
      <w:r>
        <w:rPr>
          <w:rStyle w:val="CharDefText"/>
        </w:rPr>
        <w:t>local public notice</w:t>
      </w:r>
      <w:r>
        <w:t xml:space="preserve"> has the meaning given by section 1.7;</w:t>
      </w:r>
    </w:p>
    <w:p>
      <w:pPr>
        <w:pStyle w:val="Defstart"/>
        <w:keepNext/>
        <w:keepLines/>
      </w:pPr>
      <w:r>
        <w:rPr>
          <w:b/>
        </w:rPr>
        <w:tab/>
      </w:r>
      <w:r>
        <w:rPr>
          <w:rStyle w:val="CharDefText"/>
        </w:rPr>
        <w:t>member</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2.17(2)(a) or (b) as well as the office of councillor);</w:t>
      </w:r>
    </w:p>
    <w:p>
      <w:pPr>
        <w:pStyle w:val="Defstart"/>
      </w:pPr>
      <w:r>
        <w:rPr>
          <w:b/>
        </w:rPr>
        <w:tab/>
      </w:r>
      <w:r>
        <w:rPr>
          <w:rStyle w:val="CharDefText"/>
        </w:rPr>
        <w:t>metropolitan area</w:t>
      </w:r>
      <w:r>
        <w:t xml:space="preserve"> has the same definition as </w:t>
      </w:r>
      <w:r>
        <w:rPr>
          <w:b/>
          <w:bCs/>
          <w:i/>
          <w:iCs/>
        </w:rPr>
        <w:t>metropolitan region</w:t>
      </w:r>
      <w:r>
        <w:t xml:space="preserve"> in the </w:t>
      </w:r>
      <w:r>
        <w:rPr>
          <w:i/>
        </w:rPr>
        <w:t>Planning and Development Act 2005</w:t>
      </w:r>
      <w:r>
        <w:t>;</w:t>
      </w:r>
    </w:p>
    <w:p>
      <w:pPr>
        <w:pStyle w:val="Defstart"/>
      </w:pPr>
      <w:r>
        <w:rPr>
          <w:b/>
        </w:rPr>
        <w:tab/>
      </w:r>
      <w:r>
        <w:rPr>
          <w:rStyle w:val="CharDefText"/>
        </w:rPr>
        <w:t>municipal fund</w:t>
      </w:r>
      <w:r>
        <w:t xml:space="preserve"> means the municipal fund established under section 6.6; </w:t>
      </w:r>
    </w:p>
    <w:p>
      <w:pPr>
        <w:pStyle w:val="Defstart"/>
      </w:pPr>
      <w:r>
        <w:rPr>
          <w:b/>
        </w:rPr>
        <w:tab/>
      </w:r>
      <w:r>
        <w:rPr>
          <w:rStyle w:val="CharDefText"/>
        </w:rPr>
        <w:t>occupier</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r>
      <w:r>
        <w:rPr>
          <w:rStyle w:val="CharDefText"/>
        </w:rPr>
        <w:t>ordinary election</w:t>
      </w:r>
      <w:r>
        <w:t xml:space="preserve"> has the meaning given by section 4.4;</w:t>
      </w:r>
    </w:p>
    <w:p>
      <w:pPr>
        <w:pStyle w:val="Defstart"/>
      </w:pPr>
      <w:r>
        <w:rPr>
          <w:b/>
        </w:rPr>
        <w:tab/>
      </w:r>
      <w:r>
        <w:rPr>
          <w:rStyle w:val="CharDefText"/>
        </w:rPr>
        <w:t>ordinary elections day</w:t>
      </w:r>
      <w:r>
        <w:t xml:space="preserve"> in relation to a local government, means a day fixed by section 4.6 or under section 4.7(2) for holding the polls for ordinary elections for that local government (whether or not any polls are actually held);</w:t>
      </w:r>
    </w:p>
    <w:p>
      <w:pPr>
        <w:pStyle w:val="Defstart"/>
      </w:pPr>
      <w:r>
        <w:rPr>
          <w:b/>
        </w:rPr>
        <w:tab/>
      </w:r>
      <w:r>
        <w:rPr>
          <w:rStyle w:val="CharDefText"/>
        </w:rPr>
        <w:t>owner</w:t>
      </w:r>
      <w:r>
        <w:t>, where used in relation to land — </w:t>
      </w:r>
    </w:p>
    <w:p>
      <w:pPr>
        <w:pStyle w:val="Defpara"/>
      </w:pPr>
      <w:r>
        <w:tab/>
        <w:t>(a)</w:t>
      </w:r>
      <w:r>
        <w:tab/>
        <w:t>means a person who is in possession as — </w:t>
      </w:r>
    </w:p>
    <w:p>
      <w:pPr>
        <w:pStyle w:val="Defsubpara"/>
        <w:keepLines w:val="0"/>
      </w:pPr>
      <w:r>
        <w:tab/>
        <w:t>(i)</w:t>
      </w:r>
      <w:r>
        <w:tab/>
        <w:t>the holder of an estate of freehold in possession in the land, including an estate or interest under a contract or an arrangement with the Crown or a person, by virtue of which contract or arrangement the land is held or occupied with a right to acquire by purchase or otherwise the fee simple; or</w:t>
      </w:r>
    </w:p>
    <w:p>
      <w:pPr>
        <w:pStyle w:val="Defsubpara"/>
      </w:pPr>
      <w:r>
        <w:tab/>
        <w:t>(ii)</w:t>
      </w:r>
      <w: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 or</w:t>
      </w:r>
    </w:p>
    <w:p>
      <w:pPr>
        <w:pStyle w:val="Defsubpara"/>
      </w:pPr>
      <w:r>
        <w:tab/>
        <w:t>(iii)</w:t>
      </w:r>
      <w:r>
        <w:tab/>
        <w:t>a mortgagee of the land; or</w:t>
      </w:r>
    </w:p>
    <w:p>
      <w:pPr>
        <w:pStyle w:val="Defsubpara"/>
      </w:pPr>
      <w:r>
        <w:tab/>
        <w:t>(iv)</w:t>
      </w:r>
      <w:r>
        <w:tab/>
        <w:t>a trustee, executor, administrator, attorney, or agent of a holder, lessee, tenant, or mortgagee, mentioned in this paragraph;</w:t>
      </w:r>
    </w:p>
    <w:p>
      <w:pPr>
        <w:pStyle w:val="Defpara"/>
      </w:pPr>
      <w:r>
        <w:tab/>
      </w:r>
      <w:r>
        <w:tab/>
        <w:t>or</w:t>
      </w:r>
    </w:p>
    <w:p>
      <w:pPr>
        <w:pStyle w:val="Defpara"/>
      </w:pPr>
      <w:r>
        <w:tab/>
        <w:t>(b)</w:t>
      </w:r>
      <w:r>
        <w:tab/>
        <w:t>where there is not a person in possession, means the person who is entitled to possession of the land in any of the capacities mentioned in paragraph (a), except that of mortgagee; or</w:t>
      </w:r>
    </w:p>
    <w:p>
      <w:pPr>
        <w:pStyle w:val="Defpara"/>
      </w:pPr>
      <w:r>
        <w:tab/>
        <w:t>(c)</w:t>
      </w:r>
      <w:r>
        <w:tab/>
        <w:t>where, under a licence or concession there is a right to take profit of Crown land specified in the licence or concession, means the person having that right; or</w:t>
      </w:r>
    </w:p>
    <w:p>
      <w:pPr>
        <w:pStyle w:val="Defpara"/>
      </w:pPr>
      <w:r>
        <w:tab/>
        <w:t>(d)</w:t>
      </w:r>
      <w:r>
        <w:tab/>
        <w:t>where a person is lawfully entitled to occupy land which is vested in the Crown, and which has no other owner according to paragraph (a), (b), or (c), means the person so entitled; or</w:t>
      </w:r>
    </w:p>
    <w:p>
      <w:pPr>
        <w:pStyle w:val="Defpara"/>
      </w:pPr>
      <w:r>
        <w:tab/>
        <w:t>(e)</w:t>
      </w:r>
      <w:r>
        <w:tab/>
        <w:t>means a person who — </w:t>
      </w:r>
    </w:p>
    <w:p>
      <w:pPr>
        <w:pStyle w:val="Defsubpara"/>
      </w:pPr>
      <w:r>
        <w:tab/>
        <w:t>(i)</w:t>
      </w:r>
      <w:r>
        <w:tab/>
        <w:t xml:space="preserve">under the </w:t>
      </w:r>
      <w:r>
        <w:rPr>
          <w:i/>
        </w:rPr>
        <w:t>Mining Act 1978</w:t>
      </w:r>
      <w:r>
        <w:t>, holds in respect of the land a mining tenement within the meaning given to that expression by that Act; or</w:t>
      </w:r>
    </w:p>
    <w:p>
      <w:pPr>
        <w:pStyle w:val="Defsubpara"/>
      </w:pPr>
      <w:r>
        <w:tab/>
        <w:t>(ii)</w:t>
      </w:r>
      <w:r>
        <w:tab/>
        <w:t xml:space="preserve">in accordance with the </w:t>
      </w:r>
      <w:r>
        <w:rPr>
          <w:i/>
        </w:rPr>
        <w:t>Mining Act 1978</w:t>
      </w:r>
      <w:r>
        <w:t xml:space="preserve"> holds, occupies, uses, or enjoys in respect of the land a mining tenement within the meaning given to that expression by the </w:t>
      </w:r>
      <w:r>
        <w:rPr>
          <w:i/>
        </w:rPr>
        <w:t>Mining Act 1904</w:t>
      </w:r>
      <w:r>
        <w:t xml:space="preserve"> </w:t>
      </w:r>
      <w:r>
        <w:rPr>
          <w:vertAlign w:val="superscript"/>
        </w:rPr>
        <w:t>3</w:t>
      </w:r>
      <w:r>
        <w:t>; or</w:t>
      </w:r>
    </w:p>
    <w:p>
      <w:pPr>
        <w:pStyle w:val="Defsubpara"/>
        <w:keepLines w:val="0"/>
      </w:pPr>
      <w:r>
        <w:tab/>
        <w:t>(iii)</w:t>
      </w:r>
      <w:r>
        <w:tab/>
        <w:t xml:space="preserve">under the </w:t>
      </w:r>
      <w:r>
        <w:rPr>
          <w:i/>
          <w:iCs/>
        </w:rPr>
        <w:t xml:space="preserve">Petroleum and Geothermal Energy Resources Act 1967 </w:t>
      </w:r>
      <w:r>
        <w:t xml:space="preserve">holds in respect of the land a permit, drilling reservation, lease or licence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r>
      <w:r>
        <w:rPr>
          <w:rStyle w:val="CharDefText"/>
        </w:rPr>
        <w:t>prescribed</w:t>
      </w:r>
      <w:r>
        <w:t xml:space="preserve"> means prescribed by regulations;</w:t>
      </w:r>
    </w:p>
    <w:p>
      <w:pPr>
        <w:pStyle w:val="Defstart"/>
        <w:spacing w:before="120"/>
      </w:pPr>
      <w:r>
        <w:rPr>
          <w:b/>
        </w:rPr>
        <w:tab/>
      </w:r>
      <w:r>
        <w:rPr>
          <w:rStyle w:val="CharDefText"/>
        </w:rPr>
        <w:t>Statewide public notice</w:t>
      </w:r>
      <w:r>
        <w:t xml:space="preserve"> has the meaning given by section 1.8;</w:t>
      </w:r>
    </w:p>
    <w:p>
      <w:pPr>
        <w:pStyle w:val="Defstart"/>
        <w:spacing w:before="120"/>
      </w:pPr>
      <w:r>
        <w:rPr>
          <w:b/>
        </w:rPr>
        <w:tab/>
      </w:r>
      <w:r>
        <w:rPr>
          <w:rStyle w:val="CharDefText"/>
        </w:rPr>
        <w:t>thoroughfare</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r>
      <w:r>
        <w:rPr>
          <w:rStyle w:val="CharDefText"/>
        </w:rPr>
        <w:t>WALGA</w:t>
      </w:r>
      <w:r>
        <w:t xml:space="preserve"> means the Western Australian Local Government Association constituted under section 9.58;</w:t>
      </w:r>
    </w:p>
    <w:p>
      <w:pPr>
        <w:pStyle w:val="Defstart"/>
        <w:spacing w:before="120"/>
      </w:pPr>
      <w:r>
        <w:rPr>
          <w:b/>
        </w:rPr>
        <w:tab/>
      </w:r>
      <w:r>
        <w:rPr>
          <w:rStyle w:val="CharDefText"/>
        </w:rPr>
        <w:t>ward</w:t>
      </w:r>
      <w:r>
        <w:t xml:space="preserve"> means one of the wards into which a district is divided under section 2.2.</w:t>
      </w:r>
    </w:p>
    <w:p>
      <w:pPr>
        <w:pStyle w:val="Footnotesection"/>
      </w:pPr>
      <w:r>
        <w:tab/>
        <w:t>[Section 1.4 amended by No. 1 of 1998 s. 4 and 6(2); No. 64 of 1998 s. 4(2); No. 49 of 2004 s. 11 and 16(1); No. 38 of 2005 s. 15; No. 28 of 2006 s. 361; No. 35 of 2007 s. 99(2).]</w:t>
      </w:r>
    </w:p>
    <w:p>
      <w:pPr>
        <w:pStyle w:val="Heading5"/>
        <w:rPr>
          <w:snapToGrid w:val="0"/>
        </w:rPr>
      </w:pPr>
      <w:bookmarkStart w:id="15" w:name="_Toc462409104"/>
      <w:r>
        <w:rPr>
          <w:rStyle w:val="CharSectno"/>
        </w:rPr>
        <w:t>1.5</w:t>
      </w:r>
      <w:r>
        <w:rPr>
          <w:snapToGrid w:val="0"/>
        </w:rPr>
        <w:t>.</w:t>
      </w:r>
      <w:r>
        <w:rPr>
          <w:snapToGrid w:val="0"/>
        </w:rPr>
        <w:tab/>
        <w:t>Descriptions in italics not part of the law</w:t>
      </w:r>
      <w:bookmarkEnd w:id="15"/>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16" w:name="_Toc462409105"/>
      <w:r>
        <w:rPr>
          <w:rStyle w:val="CharSectno"/>
        </w:rPr>
        <w:t>1.6</w:t>
      </w:r>
      <w:r>
        <w:rPr>
          <w:snapToGrid w:val="0"/>
        </w:rPr>
        <w:t>.</w:t>
      </w:r>
      <w:r>
        <w:rPr>
          <w:snapToGrid w:val="0"/>
        </w:rPr>
        <w:tab/>
        <w:t>Crown not generally bound</w:t>
      </w:r>
      <w:bookmarkEnd w:id="16"/>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rPr>
          <w:snapToGrid w:val="0"/>
        </w:rPr>
      </w:pPr>
      <w:bookmarkStart w:id="17" w:name="_Toc462409106"/>
      <w:r>
        <w:rPr>
          <w:rStyle w:val="CharSectno"/>
        </w:rPr>
        <w:t>1.7</w:t>
      </w:r>
      <w:r>
        <w:rPr>
          <w:snapToGrid w:val="0"/>
        </w:rPr>
        <w:t>.</w:t>
      </w:r>
      <w:r>
        <w:rPr>
          <w:snapToGrid w:val="0"/>
        </w:rPr>
        <w:tab/>
        <w:t>Local public notice</w:t>
      </w:r>
      <w:bookmarkEnd w:id="17"/>
      <w:r>
        <w:rPr>
          <w:snapToGrid w:val="0"/>
        </w:rPr>
        <w:t xml:space="preserve"> </w:t>
      </w:r>
    </w:p>
    <w:p>
      <w:pPr>
        <w:pStyle w:val="Subsection"/>
        <w:rPr>
          <w:snapToGrid w:val="0"/>
        </w:rPr>
      </w:pPr>
      <w:r>
        <w:rPr>
          <w:snapToGrid w:val="0"/>
        </w:rPr>
        <w:tab/>
        <w:t>(1)</w:t>
      </w:r>
      <w:r>
        <w:rPr>
          <w:snapToGrid w:val="0"/>
        </w:rPr>
        <w:tab/>
        <w:t>Where under this Act local public notice of a matter is required to be given, a notice of the matter is to be — </w:t>
      </w:r>
    </w:p>
    <w:p>
      <w:pPr>
        <w:pStyle w:val="Indenta"/>
        <w:rPr>
          <w:snapToGrid w:val="0"/>
        </w:rPr>
      </w:pPr>
      <w:r>
        <w:rPr>
          <w:snapToGrid w:val="0"/>
        </w:rPr>
        <w:tab/>
        <w:t>(a)</w:t>
      </w:r>
      <w:r>
        <w:rPr>
          <w:snapToGrid w:val="0"/>
        </w:rPr>
        <w:tab/>
        <w:t>published in a newspaper circulating generally throughout the district; and</w:t>
      </w:r>
    </w:p>
    <w:p>
      <w:pPr>
        <w:pStyle w:val="Indenta"/>
        <w:rPr>
          <w:snapToGrid w:val="0"/>
        </w:rPr>
      </w:pPr>
      <w:r>
        <w:rPr>
          <w:snapToGrid w:val="0"/>
        </w:rPr>
        <w:tab/>
        <w:t>(b)</w:t>
      </w:r>
      <w:r>
        <w:rPr>
          <w:snapToGrid w:val="0"/>
        </w:rPr>
        <w:tab/>
        <w:t>exhibited to the public on a notice board at the local government’s offices; and</w:t>
      </w:r>
    </w:p>
    <w:p>
      <w:pPr>
        <w:pStyle w:val="Indenta"/>
        <w:rPr>
          <w:snapToGrid w:val="0"/>
        </w:rPr>
      </w:pPr>
      <w:r>
        <w:rPr>
          <w:snapToGrid w:val="0"/>
        </w:rPr>
        <w:tab/>
        <w:t>(c)</w:t>
      </w:r>
      <w:r>
        <w:rPr>
          <w:snapToGrid w:val="0"/>
        </w:rPr>
        <w:tab/>
        <w:t>exhibited to the public on a notice board at every local government library in the district.</w:t>
      </w:r>
    </w:p>
    <w:p>
      <w:pPr>
        <w:pStyle w:val="Subsection"/>
        <w:rPr>
          <w:snapToGrid w:val="0"/>
        </w:rPr>
      </w:pPr>
      <w:r>
        <w:rPr>
          <w:snapToGrid w:val="0"/>
        </w:rPr>
        <w:tab/>
        <w:t>(2)</w:t>
      </w:r>
      <w:r>
        <w:rPr>
          <w:snapToGrid w:val="0"/>
        </w:rPr>
        <w:tab/>
        <w:t>Unless expressly stated otherwise it is sufficient if the notice is — </w:t>
      </w:r>
    </w:p>
    <w:p>
      <w:pPr>
        <w:pStyle w:val="Indenta"/>
        <w:rPr>
          <w:snapToGrid w:val="0"/>
        </w:rPr>
      </w:pPr>
      <w:r>
        <w:rPr>
          <w:snapToGrid w:val="0"/>
        </w:rPr>
        <w:tab/>
        <w:t>(a)</w:t>
      </w:r>
      <w:r>
        <w:rPr>
          <w:snapToGrid w:val="0"/>
        </w:rPr>
        <w:tab/>
        <w:t>published under subsection (1)(a) on at least one occasion; and</w:t>
      </w:r>
    </w:p>
    <w:p>
      <w:pPr>
        <w:pStyle w:val="Indenta"/>
        <w:rPr>
          <w:snapToGrid w:val="0"/>
        </w:rPr>
      </w:pPr>
      <w:r>
        <w:rPr>
          <w:snapToGrid w:val="0"/>
        </w:rPr>
        <w:tab/>
        <w:t>(b)</w:t>
      </w:r>
      <w:r>
        <w:rPr>
          <w:snapToGrid w:val="0"/>
        </w:rPr>
        <w:tab/>
        <w:t>exhibited under subsection (1)(b) and (c) for a reasonable time, being not less than — </w:t>
      </w:r>
    </w:p>
    <w:p>
      <w:pPr>
        <w:pStyle w:val="Indenti"/>
        <w:rPr>
          <w:snapToGrid w:val="0"/>
        </w:rPr>
      </w:pPr>
      <w:r>
        <w:rPr>
          <w:snapToGrid w:val="0"/>
        </w:rPr>
        <w:tab/>
        <w:t>(i)</w:t>
      </w:r>
      <w:r>
        <w:rPr>
          <w:snapToGrid w:val="0"/>
        </w:rPr>
        <w:tab/>
        <w:t>the time prescribed for the purposes of this paragraph; or</w:t>
      </w:r>
    </w:p>
    <w:p>
      <w:pPr>
        <w:pStyle w:val="Indenti"/>
        <w:rPr>
          <w:snapToGrid w:val="0"/>
        </w:rPr>
      </w:pPr>
      <w:r>
        <w:rPr>
          <w:snapToGrid w:val="0"/>
        </w:rPr>
        <w:tab/>
        <w:t>(ii)</w:t>
      </w:r>
      <w:r>
        <w:rPr>
          <w:snapToGrid w:val="0"/>
        </w:rPr>
        <w:tab/>
        <w:t>if no time is prescribed, 7 days.</w:t>
      </w:r>
    </w:p>
    <w:p>
      <w:pPr>
        <w:pStyle w:val="Footnotesection"/>
      </w:pPr>
      <w:r>
        <w:tab/>
        <w:t>[Section 1.7 amended by No. 64 of 1998 s. 18(3).]</w:t>
      </w:r>
    </w:p>
    <w:p>
      <w:pPr>
        <w:pStyle w:val="Heading5"/>
        <w:rPr>
          <w:snapToGrid w:val="0"/>
        </w:rPr>
      </w:pPr>
      <w:bookmarkStart w:id="18" w:name="_Toc462409107"/>
      <w:r>
        <w:rPr>
          <w:rStyle w:val="CharSectno"/>
        </w:rPr>
        <w:t>1.8</w:t>
      </w:r>
      <w:r>
        <w:rPr>
          <w:snapToGrid w:val="0"/>
        </w:rPr>
        <w:t>.</w:t>
      </w:r>
      <w:r>
        <w:rPr>
          <w:snapToGrid w:val="0"/>
        </w:rPr>
        <w:tab/>
        <w:t>Statewide public notice</w:t>
      </w:r>
      <w:bookmarkEnd w:id="18"/>
      <w:r>
        <w:rPr>
          <w:snapToGrid w:val="0"/>
        </w:rPr>
        <w:t xml:space="preserve"> </w:t>
      </w:r>
    </w:p>
    <w:p>
      <w:pPr>
        <w:pStyle w:val="Subsection"/>
        <w:rPr>
          <w:snapToGrid w:val="0"/>
        </w:rPr>
      </w:pPr>
      <w:r>
        <w:rPr>
          <w:snapToGrid w:val="0"/>
        </w:rPr>
        <w:tab/>
      </w:r>
      <w:r>
        <w:rPr>
          <w:snapToGrid w:val="0"/>
        </w:rPr>
        <w:tab/>
        <w:t>Where under this Act Statewide public notice of a matter is required to be given, section 1.7 applies except that the newspaper referred to in section 1.7(1)(a) is required to circulate generally throughout the State.</w:t>
      </w:r>
    </w:p>
    <w:p>
      <w:pPr>
        <w:pStyle w:val="Heading5"/>
        <w:rPr>
          <w:snapToGrid w:val="0"/>
        </w:rPr>
      </w:pPr>
      <w:bookmarkStart w:id="19" w:name="_Toc462409108"/>
      <w:r>
        <w:rPr>
          <w:rStyle w:val="CharSectno"/>
        </w:rPr>
        <w:t>1.9</w:t>
      </w:r>
      <w:r>
        <w:rPr>
          <w:snapToGrid w:val="0"/>
        </w:rPr>
        <w:t>.</w:t>
      </w:r>
      <w:r>
        <w:rPr>
          <w:snapToGrid w:val="0"/>
        </w:rPr>
        <w:tab/>
        <w:t>Decisions by absolute majority</w:t>
      </w:r>
      <w:bookmarkEnd w:id="19"/>
      <w:r>
        <w:rPr>
          <w:snapToGrid w:val="0"/>
        </w:rPr>
        <w:t xml:space="preserve"> </w:t>
      </w:r>
    </w:p>
    <w:p>
      <w:pPr>
        <w:pStyle w:val="Subsection"/>
        <w:rPr>
          <w:snapToGrid w:val="0"/>
        </w:rPr>
      </w:pPr>
      <w:r>
        <w:rPr>
          <w:snapToGrid w:val="0"/>
        </w:rPr>
        <w:tab/>
      </w:r>
      <w:r>
        <w:rPr>
          <w:snapToGrid w:val="0"/>
        </w:rPr>
        <w:tab/>
        <w:t xml:space="preserve">The footnote </w:t>
      </w:r>
      <w:r>
        <w:rPr>
          <w:rStyle w:val="CharDefText"/>
        </w:rPr>
        <w:t>Absolute majority required</w:t>
      </w:r>
      <w:r>
        <w:t>,</w:t>
      </w:r>
      <w:r>
        <w:rPr>
          <w:snapToGrid w:val="0"/>
        </w:rPr>
        <w:t xml:space="preserve">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Heading5"/>
        <w:rPr>
          <w:snapToGrid w:val="0"/>
        </w:rPr>
      </w:pPr>
      <w:bookmarkStart w:id="20" w:name="_Toc462409109"/>
      <w:r>
        <w:rPr>
          <w:rStyle w:val="CharSectno"/>
        </w:rPr>
        <w:t>1.10</w:t>
      </w:r>
      <w:r>
        <w:rPr>
          <w:snapToGrid w:val="0"/>
        </w:rPr>
        <w:t>.</w:t>
      </w:r>
      <w:r>
        <w:rPr>
          <w:snapToGrid w:val="0"/>
        </w:rPr>
        <w:tab/>
        <w:t>Decisions by special majority</w:t>
      </w:r>
      <w:bookmarkEnd w:id="20"/>
      <w:r>
        <w:rPr>
          <w:snapToGrid w:val="0"/>
        </w:rPr>
        <w:t xml:space="preserve"> </w:t>
      </w:r>
    </w:p>
    <w:p>
      <w:pPr>
        <w:pStyle w:val="Subsection"/>
        <w:keepNext/>
        <w:rPr>
          <w:snapToGrid w:val="0"/>
        </w:rPr>
      </w:pPr>
      <w:r>
        <w:rPr>
          <w:snapToGrid w:val="0"/>
        </w:rPr>
        <w:tab/>
      </w:r>
      <w:r>
        <w:rPr>
          <w:snapToGrid w:val="0"/>
        </w:rPr>
        <w:tab/>
        <w:t xml:space="preserve">The footnote </w:t>
      </w:r>
      <w:r>
        <w:rPr>
          <w:rStyle w:val="CharDefText"/>
        </w:rPr>
        <w:t>Special majority required</w:t>
      </w:r>
      <w:r>
        <w:rPr>
          <w:snapToGrid w:val="0"/>
        </w:rPr>
        <w:t xml:space="preserve"> applying to a power conferred in this Act on a local government, means that — </w:t>
      </w:r>
    </w:p>
    <w:p>
      <w:pPr>
        <w:pStyle w:val="Indenta"/>
        <w:rPr>
          <w:snapToGrid w:val="0"/>
        </w:rPr>
      </w:pPr>
      <w:r>
        <w:rPr>
          <w:snapToGrid w:val="0"/>
        </w:rPr>
        <w:tab/>
        <w:t>(a)</w:t>
      </w:r>
      <w:r>
        <w:rPr>
          <w:snapToGrid w:val="0"/>
        </w:rPr>
        <w:tab/>
        <w:t>if there are more than 11 offices of member of the council, the power can only be exercised by, or in accordance with, a decision of a 75% majority of the council; or</w:t>
      </w:r>
    </w:p>
    <w:p>
      <w:pPr>
        <w:pStyle w:val="Indenta"/>
        <w:rPr>
          <w:snapToGrid w:val="0"/>
        </w:rPr>
      </w:pPr>
      <w:r>
        <w:rPr>
          <w:snapToGrid w:val="0"/>
        </w:rPr>
        <w:tab/>
        <w:t>(b)</w:t>
      </w:r>
      <w:r>
        <w:rPr>
          <w:snapToGrid w:val="0"/>
        </w:rPr>
        <w:tab/>
        <w:t>if there are not more than 11 offices of member of the council, the power can only be exercised by, or in accordance with, a decision of an absolute majority of the council.</w:t>
      </w:r>
    </w:p>
    <w:p>
      <w:pPr>
        <w:pStyle w:val="Heading2"/>
      </w:pPr>
      <w:bookmarkStart w:id="21" w:name="_Toc448218825"/>
      <w:bookmarkStart w:id="22" w:name="_Toc448224047"/>
      <w:bookmarkStart w:id="23" w:name="_Toc451179284"/>
      <w:bookmarkStart w:id="24" w:name="_Toc451430204"/>
      <w:bookmarkStart w:id="25" w:name="_Toc455396154"/>
      <w:bookmarkStart w:id="26" w:name="_Toc455397014"/>
      <w:bookmarkStart w:id="27" w:name="_Toc456086097"/>
      <w:bookmarkStart w:id="28" w:name="_Toc462409110"/>
      <w:r>
        <w:rPr>
          <w:rStyle w:val="CharPartNo"/>
        </w:rPr>
        <w:t>Part 2</w:t>
      </w:r>
      <w:r>
        <w:t> — </w:t>
      </w:r>
      <w:r>
        <w:rPr>
          <w:rStyle w:val="CharPartText"/>
        </w:rPr>
        <w:t>Constitution of local government</w:t>
      </w:r>
      <w:bookmarkEnd w:id="21"/>
      <w:bookmarkEnd w:id="22"/>
      <w:bookmarkEnd w:id="23"/>
      <w:bookmarkEnd w:id="24"/>
      <w:bookmarkEnd w:id="25"/>
      <w:bookmarkEnd w:id="26"/>
      <w:bookmarkEnd w:id="27"/>
      <w:bookmarkEnd w:id="28"/>
      <w:r>
        <w:rPr>
          <w:rStyle w:val="CharPartText"/>
        </w:rPr>
        <w:t xml:space="preserve"> </w:t>
      </w:r>
    </w:p>
    <w:p>
      <w:pPr>
        <w:pStyle w:val="MiscellaneousHeading"/>
        <w:rPr>
          <w:rFonts w:ascii="Arial" w:hAnsi="Arial" w:cs="Arial"/>
          <w:b/>
          <w:i/>
          <w:snapToGrid w:val="0"/>
          <w:sz w:val="22"/>
          <w:szCs w:val="22"/>
        </w:rPr>
      </w:pPr>
      <w:r>
        <w:rPr>
          <w:rFonts w:ascii="Arial" w:hAnsi="Arial" w:cs="Arial"/>
          <w:b/>
          <w:i/>
          <w:snapToGrid w:val="0"/>
          <w:sz w:val="22"/>
          <w:szCs w:val="22"/>
        </w:rPr>
        <w:t xml:space="preserve">What this Part is about </w:t>
      </w:r>
    </w:p>
    <w:p>
      <w:pPr>
        <w:pStyle w:val="MiscellaneousBody"/>
        <w:rPr>
          <w:rFonts w:ascii="Arial" w:hAnsi="Arial" w:cs="Arial"/>
          <w:i/>
          <w:snapToGrid w:val="0"/>
          <w:sz w:val="22"/>
        </w:rPr>
      </w:pPr>
      <w:r>
        <w:rPr>
          <w:rFonts w:ascii="Arial" w:hAnsi="Arial" w:cs="Arial"/>
          <w:i/>
          <w:snapToGrid w:val="0"/>
          <w:sz w:val="22"/>
        </w:rPr>
        <w:t>This Part deals with the constitutional framework of the system of elected local government in this State maintained as required by Part IIIB of the Constitution Act 1889.</w:t>
      </w:r>
    </w:p>
    <w:p>
      <w:pPr>
        <w:pStyle w:val="MiscellaneousBody"/>
        <w:rPr>
          <w:rFonts w:ascii="Arial" w:hAnsi="Arial" w:cs="Arial"/>
          <w:i/>
          <w:snapToGrid w:val="0"/>
          <w:sz w:val="22"/>
        </w:rPr>
      </w:pPr>
      <w:r>
        <w:rPr>
          <w:rFonts w:ascii="Arial" w:hAnsi="Arial" w:cs="Arial"/>
          <w:i/>
          <w:snapToGrid w:val="0"/>
          <w:sz w:val="22"/>
        </w:rPr>
        <w:t>In particular it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division of the State into districts and wards for local government purposes;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creation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creation and membership of elected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qualifications of members of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the terms of office of members of councils and how their offices may become vacant;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commissioners of local governments. </w:t>
      </w:r>
    </w:p>
    <w:p>
      <w:pPr>
        <w:pStyle w:val="Heading3"/>
        <w:rPr>
          <w:snapToGrid w:val="0"/>
        </w:rPr>
      </w:pPr>
      <w:bookmarkStart w:id="29" w:name="_Toc448218826"/>
      <w:bookmarkStart w:id="30" w:name="_Toc448224048"/>
      <w:bookmarkStart w:id="31" w:name="_Toc451179285"/>
      <w:bookmarkStart w:id="32" w:name="_Toc451430205"/>
      <w:bookmarkStart w:id="33" w:name="_Toc455396155"/>
      <w:bookmarkStart w:id="34" w:name="_Toc455397015"/>
      <w:bookmarkStart w:id="35" w:name="_Toc456086098"/>
      <w:bookmarkStart w:id="36" w:name="_Toc462409111"/>
      <w:r>
        <w:rPr>
          <w:rStyle w:val="CharDivNo"/>
        </w:rPr>
        <w:t>Division 1</w:t>
      </w:r>
      <w:r>
        <w:rPr>
          <w:snapToGrid w:val="0"/>
        </w:rPr>
        <w:t> — </w:t>
      </w:r>
      <w:r>
        <w:rPr>
          <w:rStyle w:val="CharDivText"/>
        </w:rPr>
        <w:t>Districts and wards</w:t>
      </w:r>
      <w:bookmarkEnd w:id="29"/>
      <w:bookmarkEnd w:id="30"/>
      <w:bookmarkEnd w:id="31"/>
      <w:bookmarkEnd w:id="32"/>
      <w:bookmarkEnd w:id="33"/>
      <w:bookmarkEnd w:id="34"/>
      <w:bookmarkEnd w:id="35"/>
      <w:bookmarkEnd w:id="36"/>
      <w:r>
        <w:rPr>
          <w:rStyle w:val="CharDivText"/>
        </w:rPr>
        <w:t xml:space="preserve"> </w:t>
      </w:r>
    </w:p>
    <w:p>
      <w:pPr>
        <w:pStyle w:val="Heading5"/>
        <w:rPr>
          <w:snapToGrid w:val="0"/>
        </w:rPr>
      </w:pPr>
      <w:bookmarkStart w:id="37" w:name="_Toc462409112"/>
      <w:r>
        <w:rPr>
          <w:rStyle w:val="CharSectno"/>
        </w:rPr>
        <w:t>2.1</w:t>
      </w:r>
      <w:r>
        <w:rPr>
          <w:snapToGrid w:val="0"/>
        </w:rPr>
        <w:t>.</w:t>
      </w:r>
      <w:r>
        <w:rPr>
          <w:snapToGrid w:val="0"/>
        </w:rPr>
        <w:tab/>
        <w:t>State divided into districts</w:t>
      </w:r>
      <w:bookmarkEnd w:id="37"/>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 or</w:t>
      </w:r>
    </w:p>
    <w:p>
      <w:pPr>
        <w:pStyle w:val="Indenta"/>
        <w:rPr>
          <w:snapToGrid w:val="0"/>
        </w:rPr>
      </w:pPr>
      <w:r>
        <w:rPr>
          <w:snapToGrid w:val="0"/>
        </w:rPr>
        <w:tab/>
        <w:t>(b)</w:t>
      </w:r>
      <w:r>
        <w:rPr>
          <w:snapToGrid w:val="0"/>
        </w:rPr>
        <w:tab/>
        <w:t>changing the boundaries of a district; or</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38" w:name="_Toc462409113"/>
      <w:r>
        <w:rPr>
          <w:rStyle w:val="CharSectno"/>
        </w:rPr>
        <w:t>2.2</w:t>
      </w:r>
      <w:r>
        <w:rPr>
          <w:snapToGrid w:val="0"/>
        </w:rPr>
        <w:t>.</w:t>
      </w:r>
      <w:r>
        <w:rPr>
          <w:snapToGrid w:val="0"/>
        </w:rPr>
        <w:tab/>
        <w:t>Districts may be divided into wards</w:t>
      </w:r>
      <w:bookmarkEnd w:id="38"/>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 or</w:t>
      </w:r>
    </w:p>
    <w:p>
      <w:pPr>
        <w:pStyle w:val="Indenta"/>
        <w:rPr>
          <w:snapToGrid w:val="0"/>
        </w:rPr>
      </w:pPr>
      <w:r>
        <w:rPr>
          <w:snapToGrid w:val="0"/>
        </w:rPr>
        <w:tab/>
        <w:t>(b)</w:t>
      </w:r>
      <w:r>
        <w:rPr>
          <w:snapToGrid w:val="0"/>
        </w:rPr>
        <w:tab/>
        <w:t>creating new wards in a district that is already divided into wards; or</w:t>
      </w:r>
    </w:p>
    <w:p>
      <w:pPr>
        <w:pStyle w:val="Indenta"/>
        <w:rPr>
          <w:snapToGrid w:val="0"/>
        </w:rPr>
      </w:pPr>
      <w:r>
        <w:rPr>
          <w:snapToGrid w:val="0"/>
        </w:rPr>
        <w:tab/>
        <w:t>(c)</w:t>
      </w:r>
      <w:r>
        <w:rPr>
          <w:snapToGrid w:val="0"/>
        </w:rPr>
        <w:tab/>
        <w:t>changing the boundaries of a ward; or</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Heading5"/>
        <w:rPr>
          <w:snapToGrid w:val="0"/>
        </w:rPr>
      </w:pPr>
      <w:bookmarkStart w:id="39" w:name="_Toc462409114"/>
      <w:r>
        <w:rPr>
          <w:rStyle w:val="CharSectno"/>
        </w:rPr>
        <w:t>2.3</w:t>
      </w:r>
      <w:r>
        <w:rPr>
          <w:snapToGrid w:val="0"/>
        </w:rPr>
        <w:t>.</w:t>
      </w:r>
      <w:r>
        <w:rPr>
          <w:snapToGrid w:val="0"/>
        </w:rPr>
        <w:tab/>
        <w:t>Names of districts and wards</w:t>
      </w:r>
      <w:bookmarkEnd w:id="39"/>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pPr>
        <w:pStyle w:val="Subsection"/>
        <w:rPr>
          <w:snapToGrid w:val="0"/>
        </w:rPr>
      </w:pPr>
      <w:r>
        <w:rPr>
          <w:snapToGrid w:val="0"/>
        </w:rPr>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40" w:name="_Toc462409115"/>
      <w:r>
        <w:rPr>
          <w:rStyle w:val="CharSectno"/>
        </w:rPr>
        <w:t>2.4</w:t>
      </w:r>
      <w:r>
        <w:rPr>
          <w:snapToGrid w:val="0"/>
        </w:rPr>
        <w:t>.</w:t>
      </w:r>
      <w:r>
        <w:rPr>
          <w:snapToGrid w:val="0"/>
        </w:rPr>
        <w:tab/>
        <w:t>District to be designated city, town or shire</w:t>
      </w:r>
      <w:bookmarkEnd w:id="40"/>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ageBreakBefore/>
        <w:spacing w:before="0"/>
      </w:pPr>
      <w:bookmarkStart w:id="41" w:name="_Toc448218831"/>
      <w:bookmarkStart w:id="42" w:name="_Toc448224053"/>
      <w:bookmarkStart w:id="43" w:name="_Toc451179290"/>
      <w:bookmarkStart w:id="44" w:name="_Toc451430210"/>
      <w:bookmarkStart w:id="45" w:name="_Toc455396160"/>
      <w:bookmarkStart w:id="46" w:name="_Toc455397020"/>
      <w:bookmarkStart w:id="47" w:name="_Toc456086103"/>
      <w:bookmarkStart w:id="48" w:name="_Toc462409116"/>
      <w:r>
        <w:rPr>
          <w:rStyle w:val="CharDivNo"/>
        </w:rPr>
        <w:t>Division 2</w:t>
      </w:r>
      <w:r>
        <w:t> — </w:t>
      </w:r>
      <w:r>
        <w:rPr>
          <w:rStyle w:val="CharDivText"/>
        </w:rPr>
        <w:t>Local governments and councils of local governments</w:t>
      </w:r>
      <w:bookmarkEnd w:id="41"/>
      <w:bookmarkEnd w:id="42"/>
      <w:bookmarkEnd w:id="43"/>
      <w:bookmarkEnd w:id="44"/>
      <w:bookmarkEnd w:id="45"/>
      <w:bookmarkEnd w:id="46"/>
      <w:bookmarkEnd w:id="47"/>
      <w:bookmarkEnd w:id="48"/>
      <w:r>
        <w:rPr>
          <w:rStyle w:val="CharDivText"/>
        </w:rPr>
        <w:t xml:space="preserve"> </w:t>
      </w:r>
    </w:p>
    <w:p>
      <w:pPr>
        <w:pStyle w:val="Heading5"/>
        <w:spacing w:before="180"/>
        <w:rPr>
          <w:snapToGrid w:val="0"/>
        </w:rPr>
      </w:pPr>
      <w:bookmarkStart w:id="49" w:name="_Toc462409117"/>
      <w:r>
        <w:rPr>
          <w:rStyle w:val="CharSectno"/>
        </w:rPr>
        <w:t>2.5</w:t>
      </w:r>
      <w:r>
        <w:rPr>
          <w:snapToGrid w:val="0"/>
        </w:rPr>
        <w:t>.</w:t>
      </w:r>
      <w:r>
        <w:rPr>
          <w:snapToGrid w:val="0"/>
        </w:rPr>
        <w:tab/>
        <w:t>Local governments created as bodies corporate</w:t>
      </w:r>
      <w:bookmarkEnd w:id="49"/>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PermNoteHeading"/>
      </w:pPr>
      <w:r>
        <w:tab/>
        <w:t>Example:</w:t>
      </w:r>
    </w:p>
    <w:p>
      <w:pPr>
        <w:pStyle w:val="PermNoteText"/>
      </w:pPr>
      <w:r>
        <w:tab/>
      </w:r>
      <w:r>
        <w:tab/>
      </w:r>
      <w:r>
        <w:rPr>
          <w:rFonts w:cs="Arial"/>
          <w:snapToGrid w:val="0"/>
          <w:szCs w:val="18"/>
        </w:rPr>
        <w:t xml:space="preserve">City of </w:t>
      </w:r>
      <w:r>
        <w:rPr>
          <w:rFonts w:cs="Arial"/>
          <w:i/>
          <w:snapToGrid w:val="0"/>
          <w:szCs w:val="18"/>
        </w:rPr>
        <w:t>(name of district)</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PermNoteHeading"/>
      </w:pPr>
      <w:r>
        <w:tab/>
        <w:t>Example:</w:t>
      </w:r>
    </w:p>
    <w:p>
      <w:pPr>
        <w:pStyle w:val="PermNoteText"/>
      </w:pPr>
      <w:r>
        <w:tab/>
      </w:r>
      <w:r>
        <w:tab/>
        <w:t xml:space="preserve">district’s name : </w:t>
      </w:r>
      <w:smartTag w:uri="urn:schemas-microsoft-com:office:smarttags" w:element="place">
        <w:smartTag w:uri="urn:schemas-microsoft-com:office:smarttags" w:element="City">
          <w:r>
            <w:t>Albany</w:t>
          </w:r>
        </w:smartTag>
      </w:smartTag>
      <w:r>
        <w:t xml:space="preserve"> (Town)</w:t>
      </w:r>
    </w:p>
    <w:p>
      <w:pPr>
        <w:pStyle w:val="PermNoteText"/>
      </w:pPr>
      <w:r>
        <w:tab/>
      </w:r>
      <w:r>
        <w:tab/>
        <w:t xml:space="preserve">corporate name : Town of </w:t>
      </w:r>
      <w:smartTag w:uri="urn:schemas-microsoft-com:office:smarttags" w:element="place">
        <w:smartTag w:uri="urn:schemas-microsoft-com:office:smarttags" w:element="City">
          <w:r>
            <w:t>Albany</w:t>
          </w:r>
        </w:smartTag>
      </w:smartTag>
    </w:p>
    <w:p>
      <w:pPr>
        <w:pStyle w:val="Subsection"/>
        <w:rPr>
          <w:snapToGrid w:val="0"/>
        </w:rPr>
      </w:pPr>
      <w:r>
        <w:rPr>
          <w:snapToGrid w:val="0"/>
        </w:rPr>
        <w:tab/>
        <w:t>(6)</w:t>
      </w:r>
      <w:r>
        <w:rPr>
          <w:snapToGrid w:val="0"/>
        </w:rPr>
        <w:tab/>
        <w:t>Proceedings may be taken by or against the local government in its corporate name.</w:t>
      </w:r>
    </w:p>
    <w:p>
      <w:pPr>
        <w:pStyle w:val="Heading5"/>
        <w:spacing w:before="180"/>
        <w:rPr>
          <w:snapToGrid w:val="0"/>
        </w:rPr>
      </w:pPr>
      <w:bookmarkStart w:id="50" w:name="_Toc462409118"/>
      <w:r>
        <w:rPr>
          <w:rStyle w:val="CharSectno"/>
        </w:rPr>
        <w:t>2.6</w:t>
      </w:r>
      <w:r>
        <w:rPr>
          <w:snapToGrid w:val="0"/>
        </w:rPr>
        <w:t>.</w:t>
      </w:r>
      <w:r>
        <w:rPr>
          <w:snapToGrid w:val="0"/>
        </w:rPr>
        <w:tab/>
        <w:t>Local governments to be run by elected councils</w:t>
      </w:r>
      <w:bookmarkEnd w:id="50"/>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rPr>
          <w:snapToGrid w:val="0"/>
        </w:rPr>
      </w:pPr>
      <w:bookmarkStart w:id="51" w:name="_Toc462409119"/>
      <w:r>
        <w:rPr>
          <w:rStyle w:val="CharSectno"/>
        </w:rPr>
        <w:t>2.7</w:t>
      </w:r>
      <w:r>
        <w:rPr>
          <w:snapToGrid w:val="0"/>
        </w:rPr>
        <w:t>.</w:t>
      </w:r>
      <w:r>
        <w:rPr>
          <w:snapToGrid w:val="0"/>
        </w:rPr>
        <w:tab/>
        <w:t>Role of council</w:t>
      </w:r>
      <w:bookmarkEnd w:id="51"/>
      <w:r>
        <w:rPr>
          <w:snapToGrid w:val="0"/>
        </w:rPr>
        <w:t xml:space="preserve"> </w:t>
      </w:r>
    </w:p>
    <w:p>
      <w:pPr>
        <w:pStyle w:val="Subsection"/>
        <w:rPr>
          <w:snapToGrid w:val="0"/>
        </w:rPr>
      </w:pPr>
      <w:r>
        <w:rPr>
          <w:snapToGrid w:val="0"/>
        </w:rPr>
        <w:tab/>
        <w:t>(1)</w:t>
      </w:r>
      <w:r>
        <w:rPr>
          <w:snapToGrid w:val="0"/>
        </w:rPr>
        <w:tab/>
        <w:t>The council — </w:t>
      </w:r>
    </w:p>
    <w:p>
      <w:pPr>
        <w:pStyle w:val="Indenta"/>
        <w:rPr>
          <w:snapToGrid w:val="0"/>
        </w:rPr>
      </w:pPr>
      <w:r>
        <w:rPr>
          <w:snapToGrid w:val="0"/>
        </w:rPr>
        <w:tab/>
        <w:t>(a)</w:t>
      </w:r>
      <w:r>
        <w:rPr>
          <w:snapToGrid w:val="0"/>
        </w:rPr>
        <w:tab/>
        <w:t>governs the local government’s affairs; and</w:t>
      </w:r>
    </w:p>
    <w:p>
      <w:pPr>
        <w:pStyle w:val="Indenta"/>
        <w:rPr>
          <w:snapToGrid w:val="0"/>
        </w:rPr>
      </w:pPr>
      <w:r>
        <w:rPr>
          <w:snapToGrid w:val="0"/>
        </w:rPr>
        <w:tab/>
        <w:t>(b)</w:t>
      </w:r>
      <w:r>
        <w:rPr>
          <w:snapToGrid w:val="0"/>
        </w:rPr>
        <w:tab/>
        <w:t>is responsible for the performance of the local government’s functions.</w:t>
      </w:r>
    </w:p>
    <w:p>
      <w:pPr>
        <w:pStyle w:val="Subsection"/>
        <w:rPr>
          <w:snapToGrid w:val="0"/>
        </w:rPr>
      </w:pPr>
      <w:r>
        <w:rPr>
          <w:snapToGrid w:val="0"/>
        </w:rPr>
        <w:tab/>
        <w:t>(2)</w:t>
      </w:r>
      <w:r>
        <w:rPr>
          <w:snapToGrid w:val="0"/>
        </w:rPr>
        <w:tab/>
        <w:t>Without limiting subsection (1), the council is to — </w:t>
      </w:r>
    </w:p>
    <w:p>
      <w:pPr>
        <w:pStyle w:val="Indenta"/>
        <w:rPr>
          <w:snapToGrid w:val="0"/>
        </w:rPr>
      </w:pPr>
      <w:r>
        <w:rPr>
          <w:snapToGrid w:val="0"/>
        </w:rPr>
        <w:tab/>
        <w:t>(a)</w:t>
      </w:r>
      <w:r>
        <w:rPr>
          <w:snapToGrid w:val="0"/>
        </w:rPr>
        <w:tab/>
        <w:t>oversee the allocation of the local government’s finances and resources; and</w:t>
      </w:r>
    </w:p>
    <w:p>
      <w:pPr>
        <w:pStyle w:val="Indenta"/>
        <w:rPr>
          <w:snapToGrid w:val="0"/>
        </w:rPr>
      </w:pPr>
      <w:r>
        <w:rPr>
          <w:snapToGrid w:val="0"/>
        </w:rPr>
        <w:tab/>
        <w:t>(b)</w:t>
      </w:r>
      <w:r>
        <w:rPr>
          <w:snapToGrid w:val="0"/>
        </w:rPr>
        <w:tab/>
        <w:t>determine the local government’s policies.</w:t>
      </w:r>
    </w:p>
    <w:p>
      <w:pPr>
        <w:pStyle w:val="Footnotesection"/>
      </w:pPr>
      <w:r>
        <w:tab/>
        <w:t>[Section 2.7 amended by No. 17 of 2009 s. 4.]</w:t>
      </w:r>
    </w:p>
    <w:p>
      <w:pPr>
        <w:pStyle w:val="Heading5"/>
        <w:rPr>
          <w:snapToGrid w:val="0"/>
        </w:rPr>
      </w:pPr>
      <w:bookmarkStart w:id="52" w:name="_Toc462409120"/>
      <w:r>
        <w:rPr>
          <w:rStyle w:val="CharSectno"/>
        </w:rPr>
        <w:t>2.8</w:t>
      </w:r>
      <w:r>
        <w:rPr>
          <w:snapToGrid w:val="0"/>
        </w:rPr>
        <w:t>.</w:t>
      </w:r>
      <w:r>
        <w:rPr>
          <w:snapToGrid w:val="0"/>
        </w:rPr>
        <w:tab/>
        <w:t>Role of mayor or president</w:t>
      </w:r>
      <w:bookmarkEnd w:id="52"/>
      <w:r>
        <w:rPr>
          <w:snapToGrid w:val="0"/>
        </w:rPr>
        <w:t xml:space="preserve"> </w:t>
      </w:r>
    </w:p>
    <w:p>
      <w:pPr>
        <w:pStyle w:val="Subsection"/>
        <w:rPr>
          <w:snapToGrid w:val="0"/>
        </w:rPr>
      </w:pPr>
      <w:r>
        <w:rPr>
          <w:snapToGrid w:val="0"/>
        </w:rPr>
        <w:tab/>
        <w:t>(1)</w:t>
      </w:r>
      <w:r>
        <w:rPr>
          <w:snapToGrid w:val="0"/>
        </w:rPr>
        <w:tab/>
        <w:t>The mayor or president — </w:t>
      </w:r>
    </w:p>
    <w:p>
      <w:pPr>
        <w:pStyle w:val="Indenta"/>
        <w:rPr>
          <w:snapToGrid w:val="0"/>
        </w:rPr>
      </w:pPr>
      <w:r>
        <w:rPr>
          <w:snapToGrid w:val="0"/>
        </w:rPr>
        <w:tab/>
        <w:t>(a)</w:t>
      </w:r>
      <w:r>
        <w:rPr>
          <w:snapToGrid w:val="0"/>
        </w:rPr>
        <w:tab/>
        <w:t>presides at meetings in accordance with this Act; and</w:t>
      </w:r>
    </w:p>
    <w:p>
      <w:pPr>
        <w:pStyle w:val="Indenta"/>
        <w:rPr>
          <w:snapToGrid w:val="0"/>
        </w:rPr>
      </w:pPr>
      <w:r>
        <w:rPr>
          <w:snapToGrid w:val="0"/>
        </w:rPr>
        <w:tab/>
        <w:t>(b)</w:t>
      </w:r>
      <w:r>
        <w:rPr>
          <w:snapToGrid w:val="0"/>
        </w:rPr>
        <w:tab/>
        <w:t>provides leadership and guidance to the community in the district; and</w:t>
      </w:r>
    </w:p>
    <w:p>
      <w:pPr>
        <w:pStyle w:val="Indenta"/>
        <w:rPr>
          <w:snapToGrid w:val="0"/>
        </w:rPr>
      </w:pPr>
      <w:r>
        <w:rPr>
          <w:snapToGrid w:val="0"/>
        </w:rPr>
        <w:tab/>
        <w:t>(c)</w:t>
      </w:r>
      <w:r>
        <w:rPr>
          <w:snapToGrid w:val="0"/>
        </w:rPr>
        <w:tab/>
        <w:t>carries out civic and ceremonial duties on behalf of the local government; and</w:t>
      </w:r>
    </w:p>
    <w:p>
      <w:pPr>
        <w:pStyle w:val="Indenta"/>
        <w:rPr>
          <w:snapToGrid w:val="0"/>
        </w:rPr>
      </w:pPr>
      <w:r>
        <w:rPr>
          <w:snapToGrid w:val="0"/>
        </w:rPr>
        <w:tab/>
        <w:t>(d)</w:t>
      </w:r>
      <w:r>
        <w:rPr>
          <w:snapToGrid w:val="0"/>
        </w:rPr>
        <w:tab/>
        <w:t>speaks on behalf of the local government; and</w:t>
      </w:r>
    </w:p>
    <w:p>
      <w:pPr>
        <w:pStyle w:val="Indenta"/>
        <w:rPr>
          <w:snapToGrid w:val="0"/>
        </w:rPr>
      </w:pPr>
      <w:r>
        <w:rPr>
          <w:snapToGrid w:val="0"/>
        </w:rPr>
        <w:tab/>
        <w:t>(e)</w:t>
      </w:r>
      <w:r>
        <w:rPr>
          <w:snapToGrid w:val="0"/>
        </w:rPr>
        <w:tab/>
        <w:t>performs such other functions as are given to the mayor or president by this Act or any other written law; and</w:t>
      </w:r>
    </w:p>
    <w:p>
      <w:pPr>
        <w:pStyle w:val="Indenta"/>
        <w:rPr>
          <w:snapToGrid w:val="0"/>
        </w:rPr>
      </w:pPr>
      <w:r>
        <w:rPr>
          <w:snapToGrid w:val="0"/>
        </w:rPr>
        <w:tab/>
        <w:t>(f)</w:t>
      </w:r>
      <w:r>
        <w:rPr>
          <w:snapToGrid w:val="0"/>
        </w:rPr>
        <w:tab/>
        <w:t>liaises with the CEO on the local government’s affairs and the performance of its functions.</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Heading5"/>
        <w:rPr>
          <w:snapToGrid w:val="0"/>
        </w:rPr>
      </w:pPr>
      <w:bookmarkStart w:id="53" w:name="_Toc462409121"/>
      <w:r>
        <w:rPr>
          <w:rStyle w:val="CharSectno"/>
        </w:rPr>
        <w:t>2.9</w:t>
      </w:r>
      <w:r>
        <w:rPr>
          <w:snapToGrid w:val="0"/>
        </w:rPr>
        <w:t>.</w:t>
      </w:r>
      <w:r>
        <w:rPr>
          <w:snapToGrid w:val="0"/>
        </w:rPr>
        <w:tab/>
        <w:t>Role of deputy mayor or deputy president</w:t>
      </w:r>
      <w:bookmarkEnd w:id="53"/>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spacing w:before="240"/>
        <w:rPr>
          <w:snapToGrid w:val="0"/>
        </w:rPr>
      </w:pPr>
      <w:bookmarkStart w:id="54" w:name="_Toc462409122"/>
      <w:r>
        <w:rPr>
          <w:rStyle w:val="CharSectno"/>
        </w:rPr>
        <w:t>2.10</w:t>
      </w:r>
      <w:r>
        <w:rPr>
          <w:snapToGrid w:val="0"/>
        </w:rPr>
        <w:t>.</w:t>
      </w:r>
      <w:r>
        <w:rPr>
          <w:snapToGrid w:val="0"/>
        </w:rPr>
        <w:tab/>
        <w:t>Role of councillors</w:t>
      </w:r>
      <w:bookmarkEnd w:id="54"/>
      <w:r>
        <w:rPr>
          <w:snapToGrid w:val="0"/>
        </w:rPr>
        <w:t xml:space="preserve"> </w:t>
      </w:r>
    </w:p>
    <w:p>
      <w:pPr>
        <w:pStyle w:val="Subsection"/>
        <w:rPr>
          <w:snapToGrid w:val="0"/>
        </w:rPr>
      </w:pPr>
      <w:r>
        <w:rPr>
          <w:snapToGrid w:val="0"/>
        </w:rPr>
        <w:tab/>
      </w:r>
      <w:r>
        <w:rPr>
          <w:snapToGrid w:val="0"/>
        </w:rPr>
        <w:tab/>
        <w:t>A councillor — </w:t>
      </w:r>
    </w:p>
    <w:p>
      <w:pPr>
        <w:pStyle w:val="Indenta"/>
        <w:rPr>
          <w:snapToGrid w:val="0"/>
        </w:rPr>
      </w:pPr>
      <w:r>
        <w:rPr>
          <w:snapToGrid w:val="0"/>
        </w:rPr>
        <w:tab/>
        <w:t>(a)</w:t>
      </w:r>
      <w:r>
        <w:rPr>
          <w:snapToGrid w:val="0"/>
        </w:rPr>
        <w:tab/>
        <w:t>represents the interests of electors, ratepayers and residents of the district; and</w:t>
      </w:r>
    </w:p>
    <w:p>
      <w:pPr>
        <w:pStyle w:val="Indenta"/>
        <w:rPr>
          <w:snapToGrid w:val="0"/>
        </w:rPr>
      </w:pPr>
      <w:r>
        <w:rPr>
          <w:snapToGrid w:val="0"/>
        </w:rPr>
        <w:tab/>
        <w:t>(b)</w:t>
      </w:r>
      <w:r>
        <w:rPr>
          <w:snapToGrid w:val="0"/>
        </w:rPr>
        <w:tab/>
        <w:t>provides leadership and guidance to the community in the district; and</w:t>
      </w:r>
    </w:p>
    <w:p>
      <w:pPr>
        <w:pStyle w:val="Indenta"/>
        <w:rPr>
          <w:snapToGrid w:val="0"/>
        </w:rPr>
      </w:pPr>
      <w:r>
        <w:rPr>
          <w:snapToGrid w:val="0"/>
        </w:rPr>
        <w:tab/>
        <w:t>(c)</w:t>
      </w:r>
      <w:r>
        <w:rPr>
          <w:snapToGrid w:val="0"/>
        </w:rPr>
        <w:tab/>
        <w:t>facilitates communication between the community and the council; and</w:t>
      </w:r>
    </w:p>
    <w:p>
      <w:pPr>
        <w:pStyle w:val="Indenta"/>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pPr>
        <w:pStyle w:val="Indenta"/>
        <w:rPr>
          <w:snapToGrid w:val="0"/>
        </w:rPr>
      </w:pPr>
      <w:r>
        <w:rPr>
          <w:snapToGrid w:val="0"/>
        </w:rPr>
        <w:tab/>
        <w:t>(e)</w:t>
      </w:r>
      <w:r>
        <w:rPr>
          <w:snapToGrid w:val="0"/>
        </w:rPr>
        <w:tab/>
        <w:t>performs such other functions as are given to a councillor by this Act or any other written law.</w:t>
      </w:r>
    </w:p>
    <w:p>
      <w:pPr>
        <w:pStyle w:val="Heading3"/>
        <w:spacing w:before="180"/>
        <w:rPr>
          <w:snapToGrid w:val="0"/>
        </w:rPr>
      </w:pPr>
      <w:bookmarkStart w:id="55" w:name="_Toc448218838"/>
      <w:bookmarkStart w:id="56" w:name="_Toc448224060"/>
      <w:bookmarkStart w:id="57" w:name="_Toc451179297"/>
      <w:bookmarkStart w:id="58" w:name="_Toc451430217"/>
      <w:bookmarkStart w:id="59" w:name="_Toc455396167"/>
      <w:bookmarkStart w:id="60" w:name="_Toc455397027"/>
      <w:bookmarkStart w:id="61" w:name="_Toc456086110"/>
      <w:bookmarkStart w:id="62" w:name="_Toc462409123"/>
      <w:r>
        <w:rPr>
          <w:rStyle w:val="CharDivNo"/>
        </w:rPr>
        <w:t>Division 3</w:t>
      </w:r>
      <w:r>
        <w:rPr>
          <w:snapToGrid w:val="0"/>
        </w:rPr>
        <w:t> — </w:t>
      </w:r>
      <w:r>
        <w:rPr>
          <w:rStyle w:val="CharDivText"/>
        </w:rPr>
        <w:t>How offices on the council are filled</w:t>
      </w:r>
      <w:bookmarkEnd w:id="55"/>
      <w:bookmarkEnd w:id="56"/>
      <w:bookmarkEnd w:id="57"/>
      <w:bookmarkEnd w:id="58"/>
      <w:bookmarkEnd w:id="59"/>
      <w:bookmarkEnd w:id="60"/>
      <w:bookmarkEnd w:id="61"/>
      <w:bookmarkEnd w:id="62"/>
      <w:r>
        <w:rPr>
          <w:rStyle w:val="CharDivText"/>
        </w:rPr>
        <w:t xml:space="preserve"> </w:t>
      </w:r>
    </w:p>
    <w:p>
      <w:pPr>
        <w:pStyle w:val="Heading5"/>
        <w:spacing w:before="180"/>
        <w:rPr>
          <w:snapToGrid w:val="0"/>
        </w:rPr>
      </w:pPr>
      <w:bookmarkStart w:id="63" w:name="_Toc462409124"/>
      <w:r>
        <w:rPr>
          <w:rStyle w:val="CharSectno"/>
        </w:rPr>
        <w:t>2.11</w:t>
      </w:r>
      <w:r>
        <w:rPr>
          <w:snapToGrid w:val="0"/>
        </w:rPr>
        <w:t>.</w:t>
      </w:r>
      <w:r>
        <w:rPr>
          <w:snapToGrid w:val="0"/>
        </w:rPr>
        <w:tab/>
        <w:t>Alternative methods of filling office of mayor or president</w:t>
      </w:r>
      <w:bookmarkEnd w:id="63"/>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pPr>
        <w:pStyle w:val="MiscellaneousBody"/>
        <w:rPr>
          <w:rFonts w:ascii="Arial" w:hAnsi="Arial" w:cs="Arial"/>
          <w:i/>
          <w:snapToGrid w:val="0"/>
          <w:sz w:val="18"/>
          <w:szCs w:val="18"/>
        </w:rPr>
      </w:pPr>
      <w:r>
        <w:rPr>
          <w:rFonts w:ascii="Arial" w:hAnsi="Arial" w:cs="Arial"/>
          <w:i/>
          <w:snapToGrid w:val="0"/>
          <w:sz w:val="18"/>
          <w:szCs w:val="18"/>
        </w:rPr>
        <w:tab/>
        <w:t xml:space="preserve">* Special 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spacing w:before="120"/>
      </w:pPr>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Footnotesection"/>
      </w:pPr>
      <w:r>
        <w:tab/>
        <w:t>[Section 2.11 amended by No. 49 of 2004 s. 17(1) and (2).]</w:t>
      </w:r>
    </w:p>
    <w:p>
      <w:pPr>
        <w:pStyle w:val="Heading5"/>
        <w:spacing w:before="180"/>
        <w:rPr>
          <w:snapToGrid w:val="0"/>
        </w:rPr>
      </w:pPr>
      <w:bookmarkStart w:id="64" w:name="_Toc462409125"/>
      <w:r>
        <w:rPr>
          <w:rStyle w:val="CharSectno"/>
        </w:rPr>
        <w:t>2.12</w:t>
      </w:r>
      <w:r>
        <w:rPr>
          <w:snapToGrid w:val="0"/>
        </w:rPr>
        <w:t>.</w:t>
      </w:r>
      <w:r>
        <w:rPr>
          <w:snapToGrid w:val="0"/>
        </w:rPr>
        <w:tab/>
        <w:t>Electors may propose change of method</w:t>
      </w:r>
      <w:bookmarkEnd w:id="64"/>
      <w:r>
        <w:rPr>
          <w:snapToGrid w:val="0"/>
        </w:rPr>
        <w:t xml:space="preserve"> </w:t>
      </w:r>
    </w:p>
    <w:p>
      <w:pPr>
        <w:pStyle w:val="Subsection"/>
        <w:spacing w:before="120"/>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spacing w:before="120"/>
        <w:rPr>
          <w:snapToGrid w:val="0"/>
        </w:rPr>
      </w:pPr>
      <w:r>
        <w:rPr>
          <w:snapToGrid w:val="0"/>
        </w:rPr>
        <w:tab/>
        <w:t>(2)</w:t>
      </w:r>
      <w:r>
        <w:rPr>
          <w:snapToGrid w:val="0"/>
        </w:rPr>
        <w:tab/>
        <w:t>The proposal is to comply with any regulations about such proposals.</w:t>
      </w:r>
    </w:p>
    <w:p>
      <w:pPr>
        <w:pStyle w:val="Subsection"/>
        <w:spacing w:before="120"/>
      </w:pPr>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pPr>
        <w:pStyle w:val="Footnotesection"/>
        <w:ind w:left="890" w:hanging="890"/>
      </w:pPr>
      <w:r>
        <w:tab/>
        <w:t>[Section 2.12 amended by No. 49 of 2004 s. 17(3).]</w:t>
      </w:r>
    </w:p>
    <w:p>
      <w:pPr>
        <w:pStyle w:val="Heading5"/>
        <w:keepNext w:val="0"/>
        <w:keepLines w:val="0"/>
        <w:spacing w:before="180"/>
      </w:pPr>
      <w:bookmarkStart w:id="65" w:name="_Toc462409126"/>
      <w:r>
        <w:rPr>
          <w:rStyle w:val="CharSectno"/>
        </w:rPr>
        <w:t>2.12A</w:t>
      </w:r>
      <w:r>
        <w:t>.</w:t>
      </w:r>
      <w:r>
        <w:tab/>
        <w:t>Procedure to change method to election by council</w:t>
      </w:r>
      <w:bookmarkEnd w:id="65"/>
    </w:p>
    <w:p>
      <w:pPr>
        <w:pStyle w:val="Subsection"/>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r>
      <w:r>
        <w:tab/>
        <w:t>and</w:t>
      </w:r>
    </w:p>
    <w:p>
      <w:pPr>
        <w:pStyle w:val="Indenta"/>
      </w:pPr>
      <w:r>
        <w:tab/>
        <w:t>(b)</w:t>
      </w:r>
      <w:r>
        <w:tab/>
        <w:t xml:space="preserve">the Electoral Commissioner is to — </w:t>
      </w:r>
    </w:p>
    <w:p>
      <w:pPr>
        <w:pStyle w:val="Indenti"/>
      </w:pPr>
      <w:r>
        <w:tab/>
        <w:t>(i)</w:t>
      </w:r>
      <w:r>
        <w:tab/>
        <w:t>make the summary available to the electors before the poll is conducted; and</w:t>
      </w:r>
    </w:p>
    <w:p>
      <w:pPr>
        <w:pStyle w:val="Indenti"/>
      </w:pPr>
      <w:r>
        <w:tab/>
        <w:t>(ii)</w:t>
      </w:r>
      <w:r>
        <w:tab/>
        <w:t>be responsible for the conduct of the poll; and</w:t>
      </w:r>
    </w:p>
    <w:p>
      <w:pPr>
        <w:pStyle w:val="Indenti"/>
      </w:pPr>
      <w:r>
        <w:tab/>
        <w:t>(iii)</w:t>
      </w:r>
      <w:r>
        <w:tab/>
        <w:t>appoint a person to be the returning officer of the local government for the poll;</w:t>
      </w:r>
    </w:p>
    <w:p>
      <w:pPr>
        <w:pStyle w:val="Indenta"/>
      </w:pPr>
      <w:r>
        <w:tab/>
      </w:r>
      <w:r>
        <w:tab/>
        <w:t>and</w:t>
      </w:r>
    </w:p>
    <w:p>
      <w:pPr>
        <w:pStyle w:val="Indenta"/>
      </w:pPr>
      <w:r>
        <w:tab/>
        <w:t>(c)</w:t>
      </w:r>
      <w:r>
        <w:tab/>
        <w:t>the local government is to meet the expenses of the Electoral Commissioner in connection with the poll to the extent required by regulations.</w:t>
      </w:r>
    </w:p>
    <w:p>
      <w:pPr>
        <w:pStyle w:val="Subsection"/>
      </w:pPr>
      <w:r>
        <w:tab/>
        <w:t>(3)</w:t>
      </w:r>
      <w:r>
        <w:tab/>
        <w:t>The returning officer is to conduct the poll for and under the direction of the Electoral Commissioner.</w:t>
      </w:r>
    </w:p>
    <w:p>
      <w:pPr>
        <w:pStyle w:val="Subsection"/>
      </w:pPr>
      <w:r>
        <w:tab/>
        <w:t>(4)</w:t>
      </w:r>
      <w:r>
        <w:tab/>
        <w:t>As soon as is practicable after the result of the poll is known the returning officer is to declare and give notice of the result in accordance with regulations.</w:t>
      </w:r>
    </w:p>
    <w:p>
      <w:pPr>
        <w:pStyle w:val="Subsection"/>
      </w:pPr>
      <w:r>
        <w:tab/>
        <w:t>(5)</w:t>
      </w:r>
      <w:r>
        <w:tab/>
        <w:t>A poll referred to in this section is not to be held more than once in every 4 years in a district, even if a proposal has been made by the electors under section 2.12.</w:t>
      </w:r>
    </w:p>
    <w:p>
      <w:pPr>
        <w:pStyle w:val="Footnotesection"/>
        <w:ind w:left="890" w:hanging="890"/>
      </w:pPr>
      <w:r>
        <w:tab/>
        <w:t>[Section 2.12A inserted by No. 49 of 2004 s. 17(4).]</w:t>
      </w:r>
    </w:p>
    <w:p>
      <w:pPr>
        <w:pStyle w:val="Heading5"/>
        <w:rPr>
          <w:snapToGrid w:val="0"/>
        </w:rPr>
      </w:pPr>
      <w:bookmarkStart w:id="66" w:name="_Toc462409127"/>
      <w:r>
        <w:rPr>
          <w:rStyle w:val="CharSectno"/>
        </w:rPr>
        <w:t>2.13</w:t>
      </w:r>
      <w:r>
        <w:rPr>
          <w:snapToGrid w:val="0"/>
        </w:rPr>
        <w:t>.</w:t>
      </w:r>
      <w:r>
        <w:rPr>
          <w:snapToGrid w:val="0"/>
        </w:rPr>
        <w:tab/>
        <w:t>When new method takes effect</w:t>
      </w:r>
      <w:bookmarkEnd w:id="66"/>
      <w:r>
        <w:rPr>
          <w:snapToGrid w:val="0"/>
        </w:rPr>
        <w:t xml:space="preserve"> </w:t>
      </w:r>
    </w:p>
    <w:p>
      <w:pPr>
        <w:pStyle w:val="Subsection"/>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w:t>
      </w:r>
      <w:r>
        <w:rPr>
          <w:vertAlign w:val="superscript"/>
        </w:rPr>
        <w:t>th</w:t>
      </w:r>
      <w:r>
        <w:rPr>
          <w:snapToGrid w:val="0"/>
        </w:rPr>
        <w:t xml:space="preserve"> day before, and ending on, the ordinary election day in the year in which the term of office of the incumbent mayor or president ends.</w:t>
      </w:r>
    </w:p>
    <w:p>
      <w:pPr>
        <w:pStyle w:val="Footnotesection"/>
        <w:keepLines w:val="0"/>
        <w:ind w:left="890" w:hanging="890"/>
      </w:pPr>
      <w:r>
        <w:tab/>
        <w:t>[Section 2.13 amended by No. 64 of 1998 s. 19(2); No. 49 of 2004 s. 17(5)</w:t>
      </w:r>
      <w:r>
        <w:noBreakHyphen/>
        <w:t>(7).]</w:t>
      </w:r>
    </w:p>
    <w:p>
      <w:pPr>
        <w:pStyle w:val="Heading5"/>
        <w:rPr>
          <w:snapToGrid w:val="0"/>
        </w:rPr>
      </w:pPr>
      <w:bookmarkStart w:id="67" w:name="_Toc462409128"/>
      <w:r>
        <w:rPr>
          <w:rStyle w:val="CharSectno"/>
        </w:rPr>
        <w:t>2.14</w:t>
      </w:r>
      <w:r>
        <w:rPr>
          <w:snapToGrid w:val="0"/>
        </w:rPr>
        <w:t>.</w:t>
      </w:r>
      <w:r>
        <w:rPr>
          <w:snapToGrid w:val="0"/>
        </w:rPr>
        <w:tab/>
        <w:t>Extension of term in certain cases</w:t>
      </w:r>
      <w:bookmarkEnd w:id="67"/>
      <w:r>
        <w:rPr>
          <w:snapToGrid w:val="0"/>
        </w:rPr>
        <w:t xml:space="preserve"> </w:t>
      </w:r>
    </w:p>
    <w:p>
      <w:pPr>
        <w:pStyle w:val="Subsection"/>
        <w:rPr>
          <w:snapToGrid w:val="0"/>
        </w:rPr>
      </w:pPr>
      <w:r>
        <w:rPr>
          <w:snapToGrid w:val="0"/>
        </w:rPr>
        <w:tab/>
      </w:r>
      <w:r>
        <w:rPr>
          <w:snapToGrid w:val="0"/>
        </w:rPr>
        <w:tab/>
        <w:t>If the method of filling the office of mayor or president of a local government is changed from election by electors to election by the council then, despite the Table to section 2.28, a mayor or president elected by the electors may continue to hold that office after the end of his or her term until a mayor or president is elected by the council.</w:t>
      </w:r>
    </w:p>
    <w:p>
      <w:pPr>
        <w:pStyle w:val="Heading5"/>
        <w:rPr>
          <w:snapToGrid w:val="0"/>
        </w:rPr>
      </w:pPr>
      <w:bookmarkStart w:id="68" w:name="_Toc462409129"/>
      <w:r>
        <w:rPr>
          <w:rStyle w:val="CharSectno"/>
        </w:rPr>
        <w:t>2.15</w:t>
      </w:r>
      <w:r>
        <w:rPr>
          <w:snapToGrid w:val="0"/>
        </w:rPr>
        <w:t>.</w:t>
      </w:r>
      <w:r>
        <w:rPr>
          <w:snapToGrid w:val="0"/>
        </w:rPr>
        <w:tab/>
        <w:t>Filling office of deputy mayor or deputy president</w:t>
      </w:r>
      <w:bookmarkEnd w:id="68"/>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by No. 49 of 2004 s. 18.]</w:t>
      </w:r>
    </w:p>
    <w:p>
      <w:pPr>
        <w:pStyle w:val="Heading5"/>
        <w:rPr>
          <w:snapToGrid w:val="0"/>
        </w:rPr>
      </w:pPr>
      <w:bookmarkStart w:id="69" w:name="_Toc462409130"/>
      <w:r>
        <w:rPr>
          <w:rStyle w:val="CharSectno"/>
        </w:rPr>
        <w:t>2.16</w:t>
      </w:r>
      <w:r>
        <w:rPr>
          <w:snapToGrid w:val="0"/>
        </w:rPr>
        <w:t>.</w:t>
      </w:r>
      <w:r>
        <w:rPr>
          <w:snapToGrid w:val="0"/>
        </w:rPr>
        <w:tab/>
        <w:t>Filling offices of councillors</w:t>
      </w:r>
      <w:bookmarkEnd w:id="69"/>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70" w:name="_Toc448218846"/>
      <w:bookmarkStart w:id="71" w:name="_Toc448224068"/>
      <w:bookmarkStart w:id="72" w:name="_Toc451179305"/>
      <w:bookmarkStart w:id="73" w:name="_Toc451430225"/>
      <w:bookmarkStart w:id="74" w:name="_Toc455396175"/>
      <w:bookmarkStart w:id="75" w:name="_Toc455397035"/>
      <w:bookmarkStart w:id="76" w:name="_Toc456086118"/>
      <w:bookmarkStart w:id="77" w:name="_Toc462409131"/>
      <w:r>
        <w:rPr>
          <w:rStyle w:val="CharDivNo"/>
        </w:rPr>
        <w:t>Division 4</w:t>
      </w:r>
      <w:r>
        <w:rPr>
          <w:snapToGrid w:val="0"/>
        </w:rPr>
        <w:t> — </w:t>
      </w:r>
      <w:r>
        <w:rPr>
          <w:rStyle w:val="CharDivText"/>
        </w:rPr>
        <w:t>Membership and size of the council</w:t>
      </w:r>
      <w:bookmarkEnd w:id="70"/>
      <w:bookmarkEnd w:id="71"/>
      <w:bookmarkEnd w:id="72"/>
      <w:bookmarkEnd w:id="73"/>
      <w:bookmarkEnd w:id="74"/>
      <w:bookmarkEnd w:id="75"/>
      <w:bookmarkEnd w:id="76"/>
      <w:bookmarkEnd w:id="77"/>
      <w:r>
        <w:rPr>
          <w:rStyle w:val="CharDivText"/>
        </w:rPr>
        <w:t xml:space="preserve"> </w:t>
      </w:r>
    </w:p>
    <w:p>
      <w:pPr>
        <w:pStyle w:val="Heading5"/>
        <w:rPr>
          <w:snapToGrid w:val="0"/>
        </w:rPr>
      </w:pPr>
      <w:bookmarkStart w:id="78" w:name="_Toc462409132"/>
      <w:r>
        <w:rPr>
          <w:rStyle w:val="CharSectno"/>
        </w:rPr>
        <w:t>2.17</w:t>
      </w:r>
      <w:r>
        <w:rPr>
          <w:snapToGrid w:val="0"/>
        </w:rPr>
        <w:t>.</w:t>
      </w:r>
      <w:r>
        <w:rPr>
          <w:snapToGrid w:val="0"/>
        </w:rPr>
        <w:tab/>
        <w:t>Members of council</w:t>
      </w:r>
      <w:bookmarkEnd w:id="78"/>
      <w:r>
        <w:rPr>
          <w:snapToGrid w:val="0"/>
        </w:rPr>
        <w:t xml:space="preserve"> </w:t>
      </w:r>
    </w:p>
    <w:p>
      <w:pPr>
        <w:pStyle w:val="Subsection"/>
        <w:spacing w:before="100"/>
        <w:rPr>
          <w:snapToGrid w:val="0"/>
        </w:rPr>
      </w:pPr>
      <w:r>
        <w:rPr>
          <w:snapToGrid w:val="0"/>
        </w:rPr>
        <w:tab/>
        <w:t>(1)</w:t>
      </w:r>
      <w:r>
        <w:rPr>
          <w:snapToGrid w:val="0"/>
        </w:rPr>
        <w:tab/>
        <w:t>If the method of filling the office of mayor or president is election by electors, the council is to consist of — </w:t>
      </w:r>
    </w:p>
    <w:p>
      <w:pPr>
        <w:pStyle w:val="Indenta"/>
        <w:rPr>
          <w:snapToGrid w:val="0"/>
        </w:rPr>
      </w:pPr>
      <w:r>
        <w:rPr>
          <w:snapToGrid w:val="0"/>
        </w:rPr>
        <w:tab/>
        <w:t>(a)</w:t>
      </w:r>
      <w:r>
        <w:rPr>
          <w:snapToGrid w:val="0"/>
        </w:rPr>
        <w:tab/>
        <w:t>the mayor or president; and</w:t>
      </w:r>
    </w:p>
    <w:p>
      <w:pPr>
        <w:pStyle w:val="Indenta"/>
        <w:rPr>
          <w:snapToGrid w:val="0"/>
        </w:rPr>
      </w:pPr>
      <w:r>
        <w:rPr>
          <w:snapToGrid w:val="0"/>
        </w:rPr>
        <w:tab/>
        <w:t>(b)</w:t>
      </w:r>
      <w:r>
        <w:rPr>
          <w:snapToGrid w:val="0"/>
        </w:rPr>
        <w:tab/>
        <w:t>not less than 5 nor more than 14 councillors one of whom is to hold the office of deputy mayor or deputy president in conjunction with his or her office as a councillor.</w:t>
      </w:r>
    </w:p>
    <w:p>
      <w:pPr>
        <w:pStyle w:val="Subsection"/>
        <w:spacing w:before="100"/>
        <w:rPr>
          <w:snapToGrid w:val="0"/>
        </w:rPr>
      </w:pPr>
      <w:r>
        <w:rPr>
          <w:snapToGrid w:val="0"/>
        </w:rPr>
        <w:tab/>
        <w:t>(2)</w:t>
      </w:r>
      <w:r>
        <w:rPr>
          <w:snapToGrid w:val="0"/>
        </w:rPr>
        <w:tab/>
        <w:t xml:space="preserve">If the </w:t>
      </w:r>
      <w:r>
        <w:t>method</w:t>
      </w:r>
      <w:r>
        <w:rPr>
          <w:snapToGrid w:val="0"/>
        </w:rPr>
        <w:t xml:space="preserve"> of filling the office of mayor or president is election by the council, the council is to consist of not less than 6 nor more than 15 councillors of whom — </w:t>
      </w:r>
    </w:p>
    <w:p>
      <w:pPr>
        <w:pStyle w:val="Indenta"/>
        <w:rPr>
          <w:snapToGrid w:val="0"/>
        </w:rPr>
      </w:pPr>
      <w:r>
        <w:rPr>
          <w:snapToGrid w:val="0"/>
        </w:rPr>
        <w:tab/>
        <w:t>(a)</w:t>
      </w:r>
      <w:r>
        <w:rPr>
          <w:snapToGrid w:val="0"/>
        </w:rPr>
        <w:tab/>
        <w:t>one is to hold the office of mayor or president as well as the office of councillor; and</w:t>
      </w:r>
    </w:p>
    <w:p>
      <w:pPr>
        <w:pStyle w:val="Indenta"/>
        <w:rPr>
          <w:snapToGrid w:val="0"/>
        </w:rPr>
      </w:pPr>
      <w:r>
        <w:rPr>
          <w:snapToGrid w:val="0"/>
        </w:rPr>
        <w:tab/>
        <w:t>(b)</w:t>
      </w:r>
      <w:r>
        <w:rPr>
          <w:snapToGrid w:val="0"/>
        </w:rPr>
        <w:tab/>
        <w:t>another is to hold the office of deputy mayor or deputy president as well as the office of councillor.</w:t>
      </w:r>
    </w:p>
    <w:p>
      <w:pPr>
        <w:pStyle w:val="Subsection"/>
        <w:rPr>
          <w:snapToGrid w:val="0"/>
        </w:rPr>
      </w:pPr>
      <w:r>
        <w:rPr>
          <w:snapToGrid w:val="0"/>
        </w:rPr>
        <w:tab/>
        <w:t>(3)</w:t>
      </w:r>
      <w:r>
        <w:rPr>
          <w:snapToGrid w:val="0"/>
        </w:rPr>
        <w:tab/>
        <w:t>If the council has 15 councillors and a decision is made under section 2.11(2) to change the method of filling the office of mayor or president to election by electors, the council may, despite subsection (1)(b), continue to have 15 councillors after the decision has effect.</w:t>
      </w:r>
    </w:p>
    <w:p>
      <w:pPr>
        <w:pStyle w:val="Heading5"/>
        <w:rPr>
          <w:snapToGrid w:val="0"/>
        </w:rPr>
      </w:pPr>
      <w:bookmarkStart w:id="79" w:name="_Toc462409133"/>
      <w:r>
        <w:rPr>
          <w:rStyle w:val="CharSectno"/>
        </w:rPr>
        <w:t>2.18</w:t>
      </w:r>
      <w:r>
        <w:rPr>
          <w:snapToGrid w:val="0"/>
        </w:rPr>
        <w:t>.</w:t>
      </w:r>
      <w:r>
        <w:rPr>
          <w:snapToGrid w:val="0"/>
        </w:rPr>
        <w:tab/>
        <w:t>Fixing and changing number of councillors</w:t>
      </w:r>
      <w:bookmarkEnd w:id="79"/>
      <w:r>
        <w:rPr>
          <w:snapToGrid w:val="0"/>
        </w:rPr>
        <w:t xml:space="preserve"> </w:t>
      </w:r>
    </w:p>
    <w:p>
      <w:pPr>
        <w:pStyle w:val="Subsection"/>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 or</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pPr>
        <w:pStyle w:val="Heading3"/>
        <w:keepNext w:val="0"/>
        <w:pageBreakBefore/>
        <w:spacing w:before="0"/>
        <w:rPr>
          <w:snapToGrid w:val="0"/>
        </w:rPr>
      </w:pPr>
      <w:bookmarkStart w:id="80" w:name="_Toc448218849"/>
      <w:bookmarkStart w:id="81" w:name="_Toc448224071"/>
      <w:bookmarkStart w:id="82" w:name="_Toc451179308"/>
      <w:bookmarkStart w:id="83" w:name="_Toc451430228"/>
      <w:bookmarkStart w:id="84" w:name="_Toc455396178"/>
      <w:bookmarkStart w:id="85" w:name="_Toc455397038"/>
      <w:bookmarkStart w:id="86" w:name="_Toc456086121"/>
      <w:bookmarkStart w:id="87" w:name="_Toc462409134"/>
      <w:r>
        <w:rPr>
          <w:rStyle w:val="CharDivNo"/>
        </w:rPr>
        <w:t>Division 5</w:t>
      </w:r>
      <w:r>
        <w:rPr>
          <w:snapToGrid w:val="0"/>
        </w:rPr>
        <w:t> — </w:t>
      </w:r>
      <w:r>
        <w:rPr>
          <w:rStyle w:val="CharDivText"/>
        </w:rPr>
        <w:t>Qualifications for holding office on the council</w:t>
      </w:r>
      <w:bookmarkEnd w:id="80"/>
      <w:bookmarkEnd w:id="81"/>
      <w:bookmarkEnd w:id="82"/>
      <w:bookmarkEnd w:id="83"/>
      <w:bookmarkEnd w:id="84"/>
      <w:bookmarkEnd w:id="85"/>
      <w:bookmarkEnd w:id="86"/>
      <w:bookmarkEnd w:id="87"/>
      <w:r>
        <w:rPr>
          <w:rStyle w:val="CharDivText"/>
        </w:rPr>
        <w:t xml:space="preserve"> </w:t>
      </w:r>
    </w:p>
    <w:p>
      <w:pPr>
        <w:pStyle w:val="Heading5"/>
        <w:spacing w:before="240"/>
        <w:rPr>
          <w:snapToGrid w:val="0"/>
        </w:rPr>
      </w:pPr>
      <w:bookmarkStart w:id="88" w:name="_Toc462409135"/>
      <w:r>
        <w:rPr>
          <w:rStyle w:val="CharSectno"/>
        </w:rPr>
        <w:t>2.19</w:t>
      </w:r>
      <w:r>
        <w:rPr>
          <w:snapToGrid w:val="0"/>
        </w:rPr>
        <w:t>.</w:t>
      </w:r>
      <w:r>
        <w:rPr>
          <w:snapToGrid w:val="0"/>
        </w:rPr>
        <w:tab/>
        <w:t>Qualifications for election to council</w:t>
      </w:r>
      <w:bookmarkEnd w:id="88"/>
      <w:r>
        <w:rPr>
          <w:snapToGrid w:val="0"/>
        </w:rPr>
        <w:t xml:space="preserve"> </w:t>
      </w:r>
    </w:p>
    <w:p>
      <w:pPr>
        <w:pStyle w:val="Subsection"/>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 and</w:t>
      </w:r>
    </w:p>
    <w:p>
      <w:pPr>
        <w:pStyle w:val="Indenta"/>
        <w:rPr>
          <w:snapToGrid w:val="0"/>
        </w:rPr>
      </w:pPr>
      <w:r>
        <w:rPr>
          <w:snapToGrid w:val="0"/>
        </w:rPr>
        <w:tab/>
        <w:t>(b)</w:t>
      </w:r>
      <w:r>
        <w:rPr>
          <w:snapToGrid w:val="0"/>
        </w:rPr>
        <w:tab/>
        <w:t>is an elector of the district; and</w:t>
      </w:r>
    </w:p>
    <w:p>
      <w:pPr>
        <w:pStyle w:val="Ednotepara"/>
        <w:rPr>
          <w:snapToGrid w:val="0"/>
        </w:rPr>
      </w:pPr>
      <w:r>
        <w:rPr>
          <w:snapToGrid w:val="0"/>
        </w:rPr>
        <w:tab/>
        <w:t>[(c)</w:t>
      </w:r>
      <w:r>
        <w:rPr>
          <w:snapToGrid w:val="0"/>
        </w:rPr>
        <w:tab/>
        <w:t>deleted]</w:t>
      </w:r>
    </w:p>
    <w:p>
      <w:pPr>
        <w:pStyle w:val="Indenta"/>
      </w:pPr>
      <w:r>
        <w:rPr>
          <w:snapToGrid w:val="0"/>
        </w:rPr>
        <w:tab/>
        <w:t>(d)</w:t>
      </w:r>
      <w:r>
        <w:rPr>
          <w:snapToGrid w:val="0"/>
        </w:rPr>
        <w:tab/>
        <w:t>is not disqualified for membership of the council under section </w:t>
      </w:r>
      <w:r>
        <w:t xml:space="preserve">2.20, </w:t>
      </w:r>
      <w:r>
        <w:rPr>
          <w:snapToGrid w:val="0"/>
        </w:rPr>
        <w:t>2.21, 2.22, 2.23 or 2.24</w:t>
      </w:r>
      <w:r>
        <w:t>; and</w:t>
      </w:r>
    </w:p>
    <w:p>
      <w:pPr>
        <w:pStyle w:val="Indenta"/>
        <w:rPr>
          <w:snapToGrid w:val="0"/>
        </w:rPr>
      </w:pPr>
      <w:r>
        <w:tab/>
        <w:t>(e)</w:t>
      </w:r>
      <w:r>
        <w:tab/>
        <w:t>is not disqualified by an order under section 5.113, 5.117 or 5.119 from holding office as a member of a council.</w:t>
      </w:r>
    </w:p>
    <w:p>
      <w:pPr>
        <w:pStyle w:val="Subsection"/>
        <w:rPr>
          <w:snapToGrid w:val="0"/>
        </w:rPr>
      </w:pPr>
      <w:r>
        <w:rPr>
          <w:snapToGrid w:val="0"/>
        </w:rPr>
        <w:tab/>
        <w:t>(2)</w:t>
      </w:r>
      <w:r>
        <w:rPr>
          <w:snapToGrid w:val="0"/>
        </w:rPr>
        <w:tab/>
        <w:t xml:space="preserve">A person is not qualified under subsection (1)(b) if he or she is only eligible for enrolment under section 4.30(1)(a) and (b) — </w:t>
      </w:r>
    </w:p>
    <w:p>
      <w:pPr>
        <w:pStyle w:val="Indenta"/>
        <w:rPr>
          <w:snapToGrid w:val="0"/>
        </w:rPr>
      </w:pPr>
      <w:r>
        <w:rPr>
          <w:snapToGrid w:val="0"/>
        </w:rPr>
        <w:tab/>
        <w:t>(a)</w:t>
      </w:r>
      <w:r>
        <w:rPr>
          <w:snapToGrid w:val="0"/>
        </w:rPr>
        <w:tab/>
        <w:t>as the nominee of a body corporate under section 4.31; or</w:t>
      </w:r>
    </w:p>
    <w:p>
      <w:pPr>
        <w:pStyle w:val="Indenta"/>
        <w:rPr>
          <w:snapToGrid w:val="0"/>
        </w:rPr>
      </w:pPr>
      <w:r>
        <w:rPr>
          <w:snapToGrid w:val="0"/>
        </w:rPr>
        <w:tab/>
        <w:t>(b)</w:t>
      </w:r>
      <w:r>
        <w:rPr>
          <w:snapToGrid w:val="0"/>
        </w:rPr>
        <w:tab/>
        <w:t>because of Schedule 9.3, clause 12(2).</w:t>
      </w:r>
    </w:p>
    <w:p>
      <w:pPr>
        <w:pStyle w:val="Subsection"/>
        <w:rPr>
          <w:snapToGrid w:val="0"/>
        </w:rPr>
      </w:pPr>
      <w:r>
        <w:rPr>
          <w:snapToGrid w:val="0"/>
        </w:rPr>
        <w:tab/>
        <w:t>(3)</w:t>
      </w:r>
      <w:r>
        <w:rPr>
          <w:snapToGrid w:val="0"/>
        </w:rPr>
        <w:tab/>
        <w:t>A person who is qualified under subsection (1) can be elected as a councillor for a ward whether or not he or she is an elector of that ward.</w:t>
      </w:r>
    </w:p>
    <w:p>
      <w:pPr>
        <w:pStyle w:val="Footnotesection"/>
        <w:ind w:left="890" w:hanging="890"/>
      </w:pPr>
      <w:r>
        <w:tab/>
        <w:t>[Section 2.19 amended by No. 1 of 1998 s. 5(1); No. 1 of 2007 s. 4; No. 2 of 2012 s. 4.]</w:t>
      </w:r>
    </w:p>
    <w:p>
      <w:pPr>
        <w:pStyle w:val="Heading5"/>
        <w:spacing w:before="240"/>
        <w:rPr>
          <w:snapToGrid w:val="0"/>
        </w:rPr>
      </w:pPr>
      <w:bookmarkStart w:id="89" w:name="_Toc462409136"/>
      <w:r>
        <w:rPr>
          <w:rStyle w:val="CharSectno"/>
        </w:rPr>
        <w:t>2.20</w:t>
      </w:r>
      <w:r>
        <w:rPr>
          <w:snapToGrid w:val="0"/>
        </w:rPr>
        <w:t>.</w:t>
      </w:r>
      <w:r>
        <w:rPr>
          <w:snapToGrid w:val="0"/>
        </w:rPr>
        <w:tab/>
        <w:t>Members of parliament disqualified</w:t>
      </w:r>
      <w:bookmarkEnd w:id="89"/>
    </w:p>
    <w:p>
      <w:pPr>
        <w:pStyle w:val="Subsection"/>
        <w:rPr>
          <w:snapToGrid w:val="0"/>
        </w:rPr>
      </w:pPr>
      <w:r>
        <w:rPr>
          <w:snapToGrid w:val="0"/>
        </w:rPr>
        <w:tab/>
        <w:t>(1)</w:t>
      </w:r>
      <w:r>
        <w:rPr>
          <w:snapToGrid w:val="0"/>
        </w:rPr>
        <w:tab/>
        <w:t xml:space="preserve">A person is disqualified </w:t>
      </w:r>
      <w:r>
        <w:t>for membership</w:t>
      </w:r>
      <w:r>
        <w:rPr>
          <w:snapToGrid w:val="0"/>
        </w:rPr>
        <w:t xml:space="preserve"> of a council if the person is a member of a parliament.</w:t>
      </w:r>
    </w:p>
    <w:p>
      <w:pPr>
        <w:pStyle w:val="Subsection"/>
        <w:keepNext/>
        <w:keepLines/>
        <w:rPr>
          <w:snapToGrid w:val="0"/>
        </w:rPr>
      </w:pPr>
      <w:r>
        <w:rPr>
          <w:snapToGrid w:val="0"/>
        </w:rPr>
        <w:tab/>
        <w:t>(2)</w:t>
      </w:r>
      <w:r>
        <w:rPr>
          <w:snapToGrid w:val="0"/>
        </w:rPr>
        <w:tab/>
        <w:t>In this section — </w:t>
      </w:r>
    </w:p>
    <w:p>
      <w:pPr>
        <w:pStyle w:val="Defstart"/>
        <w:keepNext/>
        <w:keepLines/>
      </w:pPr>
      <w:r>
        <w:rPr>
          <w:b/>
        </w:rPr>
        <w:tab/>
      </w:r>
      <w:r>
        <w:rPr>
          <w:rStyle w:val="CharDefText"/>
        </w:rPr>
        <w:t>member of a parliament</w:t>
      </w:r>
      <w:r>
        <w:t xml:space="preserve"> means — </w:t>
      </w:r>
    </w:p>
    <w:p>
      <w:pPr>
        <w:pStyle w:val="Defpara"/>
        <w:keepNext/>
        <w:keepLines/>
      </w:pPr>
      <w:r>
        <w:tab/>
        <w:t>(a)</w:t>
      </w:r>
      <w:r>
        <w:tab/>
        <w:t>a member of the Legislative Assembly; or</w:t>
      </w:r>
    </w:p>
    <w:p>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 or</w:t>
      </w:r>
    </w:p>
    <w:p>
      <w:pPr>
        <w:pStyle w:val="Defpara"/>
      </w:pPr>
      <w:r>
        <w:tab/>
        <w:t>(c)</w:t>
      </w:r>
      <w:r>
        <w:tab/>
        <w:t>a member of the House of Representatives; or</w:t>
      </w:r>
    </w:p>
    <w:p>
      <w:pPr>
        <w:pStyle w:val="Defpara"/>
      </w:pPr>
      <w:r>
        <w:tab/>
        <w:t>(d)</w:t>
      </w:r>
      <w:r>
        <w:tab/>
        <w:t>a senator, including a person who has been elected as a senator but whose term of service as a senator has not yet begun.</w:t>
      </w:r>
    </w:p>
    <w:p>
      <w:pPr>
        <w:pStyle w:val="Footnotesection"/>
      </w:pPr>
      <w:r>
        <w:tab/>
        <w:t>[Section 2.20 amended by No. 2 of 2012 s. 5.]</w:t>
      </w:r>
    </w:p>
    <w:p>
      <w:pPr>
        <w:pStyle w:val="Heading5"/>
        <w:rPr>
          <w:snapToGrid w:val="0"/>
        </w:rPr>
      </w:pPr>
      <w:bookmarkStart w:id="90" w:name="_Toc462409137"/>
      <w:r>
        <w:rPr>
          <w:rStyle w:val="CharSectno"/>
        </w:rPr>
        <w:t>2.21</w:t>
      </w:r>
      <w:r>
        <w:rPr>
          <w:snapToGrid w:val="0"/>
        </w:rPr>
        <w:t>.</w:t>
      </w:r>
      <w:r>
        <w:rPr>
          <w:snapToGrid w:val="0"/>
        </w:rPr>
        <w:tab/>
        <w:t>Disqualification because of insolvency</w:t>
      </w:r>
      <w:bookmarkEnd w:id="90"/>
      <w:r>
        <w:rPr>
          <w:snapToGrid w:val="0"/>
        </w:rPr>
        <w:t xml:space="preserve"> </w:t>
      </w:r>
    </w:p>
    <w:p>
      <w:pPr>
        <w:pStyle w:val="Subsection"/>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pPr>
        <w:pStyle w:val="Footnotesection"/>
      </w:pPr>
      <w:r>
        <w:tab/>
        <w:t>[Section 2.21 amended by No. 10 of 2001 s. 121.]</w:t>
      </w:r>
    </w:p>
    <w:p>
      <w:pPr>
        <w:pStyle w:val="Heading5"/>
        <w:rPr>
          <w:snapToGrid w:val="0"/>
        </w:rPr>
      </w:pPr>
      <w:bookmarkStart w:id="91" w:name="_Toc462409138"/>
      <w:r>
        <w:rPr>
          <w:rStyle w:val="CharSectno"/>
        </w:rPr>
        <w:t>2.22</w:t>
      </w:r>
      <w:r>
        <w:rPr>
          <w:snapToGrid w:val="0"/>
        </w:rPr>
        <w:t>.</w:t>
      </w:r>
      <w:r>
        <w:rPr>
          <w:snapToGrid w:val="0"/>
        </w:rPr>
        <w:tab/>
        <w:t>Disqualification because of convictions</w:t>
      </w:r>
      <w:bookmarkEnd w:id="91"/>
      <w:r>
        <w:rPr>
          <w:snapToGrid w:val="0"/>
        </w:rPr>
        <w:t xml:space="preserve"> </w:t>
      </w:r>
    </w:p>
    <w:p>
      <w:pPr>
        <w:pStyle w:val="Subsection"/>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 xml:space="preserve">has been convicted in the preceding 5 years of a serious local government </w:t>
      </w:r>
      <w:r>
        <w:t>offence; or</w:t>
      </w:r>
    </w:p>
    <w:p>
      <w:pPr>
        <w:pStyle w:val="Indenta"/>
      </w:pPr>
      <w:r>
        <w:tab/>
        <w:t>(c)</w:t>
      </w:r>
      <w:r>
        <w:tab/>
        <w:t xml:space="preserve">has been convicted on indictment of an offence for which the indictable penalty was or included — </w:t>
      </w:r>
    </w:p>
    <w:p>
      <w:pPr>
        <w:pStyle w:val="Indenti"/>
      </w:pPr>
      <w:r>
        <w:tab/>
        <w:t>(i)</w:t>
      </w:r>
      <w:r>
        <w:tab/>
        <w:t>imprisonment for life; or</w:t>
      </w:r>
    </w:p>
    <w:p>
      <w:pPr>
        <w:pStyle w:val="Indenti"/>
        <w:rPr>
          <w:snapToGrid w:val="0"/>
        </w:rPr>
      </w:pPr>
      <w:r>
        <w:tab/>
        <w:t>(ii)</w:t>
      </w:r>
      <w:r>
        <w:tab/>
        <w:t>imprisonment for more than 5 years.</w:t>
      </w:r>
    </w:p>
    <w:p>
      <w:pPr>
        <w:pStyle w:val="Subsection"/>
        <w:rPr>
          <w:snapToGrid w:val="0"/>
        </w:rPr>
      </w:pPr>
      <w:r>
        <w:rPr>
          <w:snapToGrid w:val="0"/>
        </w:rPr>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rPr>
          <w:snapToGrid w:val="0"/>
        </w:rPr>
      </w:pPr>
      <w:r>
        <w:rPr>
          <w:snapToGrid w:val="0"/>
        </w:rPr>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rPr>
          <w:snapToGrid w:val="0"/>
        </w:rPr>
      </w:pPr>
      <w:r>
        <w:rPr>
          <w:snapToGrid w:val="0"/>
        </w:rPr>
        <w:tab/>
        <w:t>(3)</w:t>
      </w:r>
      <w:r>
        <w:rPr>
          <w:snapToGrid w:val="0"/>
        </w:rPr>
        <w:tab/>
        <w:t>In this section — </w:t>
      </w:r>
    </w:p>
    <w:p>
      <w:pPr>
        <w:pStyle w:val="Defstart"/>
      </w:pPr>
      <w:r>
        <w:rPr>
          <w:b/>
        </w:rPr>
        <w:tab/>
      </w:r>
      <w:r>
        <w:rPr>
          <w:rStyle w:val="CharDefText"/>
        </w:rPr>
        <w:t>former provisions</w:t>
      </w:r>
      <w:r>
        <w:t xml:space="preserve"> means the </w:t>
      </w:r>
      <w:r>
        <w:rPr>
          <w:i/>
        </w:rPr>
        <w:t>Local Government Act 1960</w:t>
      </w:r>
      <w:r>
        <w:t xml:space="preserve"> </w:t>
      </w:r>
      <w:r>
        <w:rPr>
          <w:vertAlign w:val="superscript"/>
        </w:rPr>
        <w:t>4</w:t>
      </w:r>
      <w:r>
        <w:t xml:space="preserve"> as in force before the commencement of this Act;</w:t>
      </w:r>
    </w:p>
    <w:p>
      <w:pPr>
        <w:pStyle w:val="Defstart"/>
      </w:pPr>
      <w:r>
        <w:tab/>
      </w:r>
      <w:r>
        <w:rPr>
          <w:rStyle w:val="CharDefText"/>
        </w:rPr>
        <w:t>indictable penalty</w:t>
      </w:r>
      <w:r>
        <w:t xml:space="preserve"> means the penalty that the relevant law specified for the offence in the event of a person being convicted of the offence on indictment;</w:t>
      </w:r>
    </w:p>
    <w:p>
      <w:pPr>
        <w:pStyle w:val="Defstart"/>
      </w:pPr>
      <w:r>
        <w:tab/>
      </w:r>
      <w:r>
        <w:rPr>
          <w:rStyle w:val="CharDefText"/>
        </w:rPr>
        <w:t>offence</w:t>
      </w:r>
      <w:r>
        <w:t xml:space="preserve"> means an offence against a law of this State, the Commonwealth, another State or a Territory;</w:t>
      </w:r>
    </w:p>
    <w:p>
      <w:pPr>
        <w:pStyle w:val="Defstart"/>
        <w:keepNext/>
      </w:pPr>
      <w:r>
        <w:rPr>
          <w:b/>
        </w:rPr>
        <w:tab/>
      </w:r>
      <w:r>
        <w:rPr>
          <w:rStyle w:val="CharDefText"/>
        </w:rPr>
        <w:t>serious local government offence</w:t>
      </w:r>
      <w:r>
        <w:t xml:space="preserve"> means an offence against this Act or the former provisions for which an offender — </w:t>
      </w:r>
    </w:p>
    <w:p>
      <w:pPr>
        <w:pStyle w:val="Defpara"/>
      </w:pPr>
      <w:r>
        <w:tab/>
        <w:t>(a)</w:t>
      </w:r>
      <w:r>
        <w:tab/>
        <w:t>could be sentenced to imprisonment for a term of, or exceeding the period prescribed for the purposes of this section; or</w:t>
      </w:r>
    </w:p>
    <w:p>
      <w:pPr>
        <w:pStyle w:val="Defpara"/>
      </w:pPr>
      <w:r>
        <w:tab/>
        <w:t>(b)</w:t>
      </w:r>
      <w:r>
        <w:tab/>
        <w:t>could be sentenced to pay a fine of or exceeding the amount prescribed for the purposes of this section.</w:t>
      </w:r>
    </w:p>
    <w:p>
      <w:pPr>
        <w:pStyle w:val="Footnotesection"/>
      </w:pPr>
      <w:r>
        <w:tab/>
        <w:t>[Section 2.22 amended by No. 2 of 2012 s. 12.]</w:t>
      </w:r>
    </w:p>
    <w:p>
      <w:pPr>
        <w:pStyle w:val="Heading5"/>
        <w:rPr>
          <w:snapToGrid w:val="0"/>
        </w:rPr>
      </w:pPr>
      <w:bookmarkStart w:id="92" w:name="_Toc462409139"/>
      <w:r>
        <w:rPr>
          <w:rStyle w:val="CharSectno"/>
        </w:rPr>
        <w:t>2.23</w:t>
      </w:r>
      <w:r>
        <w:rPr>
          <w:snapToGrid w:val="0"/>
        </w:rPr>
        <w:t>.</w:t>
      </w:r>
      <w:r>
        <w:rPr>
          <w:snapToGrid w:val="0"/>
        </w:rPr>
        <w:tab/>
        <w:t>Disqualification because of membership of another council</w:t>
      </w:r>
      <w:bookmarkEnd w:id="92"/>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93" w:name="_Toc462409140"/>
      <w:r>
        <w:rPr>
          <w:rStyle w:val="CharSectno"/>
        </w:rPr>
        <w:t>2.24</w:t>
      </w:r>
      <w:r>
        <w:rPr>
          <w:snapToGrid w:val="0"/>
        </w:rPr>
        <w:t>.</w:t>
      </w:r>
      <w:r>
        <w:rPr>
          <w:snapToGrid w:val="0"/>
        </w:rPr>
        <w:tab/>
        <w:t>Disqualification because of misapplication of funds or property</w:t>
      </w:r>
      <w:bookmarkEnd w:id="93"/>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94" w:name="_Toc462409141"/>
      <w:r>
        <w:rPr>
          <w:rStyle w:val="CharSectno"/>
        </w:rPr>
        <w:t>2.25</w:t>
      </w:r>
      <w:r>
        <w:rPr>
          <w:snapToGrid w:val="0"/>
        </w:rPr>
        <w:t>.</w:t>
      </w:r>
      <w:r>
        <w:rPr>
          <w:snapToGrid w:val="0"/>
        </w:rPr>
        <w:tab/>
        <w:t>Disqualification for failure to attend meetings</w:t>
      </w:r>
      <w:bookmarkEnd w:id="94"/>
      <w:r>
        <w:rPr>
          <w:snapToGrid w:val="0"/>
        </w:rPr>
        <w:t xml:space="preserve"> </w:t>
      </w:r>
    </w:p>
    <w:p>
      <w:pPr>
        <w:pStyle w:val="Subsection"/>
        <w:spacing w:before="180"/>
        <w:rPr>
          <w:snapToGrid w:val="0"/>
        </w:rPr>
      </w:pPr>
      <w:r>
        <w:rPr>
          <w:snapToGrid w:val="0"/>
        </w:rPr>
        <w:tab/>
        <w:t>(1)</w:t>
      </w:r>
      <w:r>
        <w:rPr>
          <w:snapToGrid w:val="0"/>
        </w:rPr>
        <w:tab/>
        <w:t>A council may, by resolution, grant leave of absence, to a member.</w:t>
      </w:r>
    </w:p>
    <w:p>
      <w:pPr>
        <w:pStyle w:val="Subsection"/>
        <w:spacing w:before="180"/>
        <w:rPr>
          <w:snapToGrid w:val="0"/>
        </w:rPr>
      </w:pPr>
      <w:r>
        <w:rPr>
          <w:snapToGrid w:val="0"/>
        </w:rPr>
        <w:tab/>
        <w:t>(2)</w:t>
      </w:r>
      <w:r>
        <w:rPr>
          <w:snapToGrid w:val="0"/>
        </w:rPr>
        <w:tab/>
        <w:t>Leave is not to be granted to a member in respect of more than 6 consecutive ordinary meetings of the council without the approval of the</w:t>
      </w:r>
      <w:r>
        <w:t xml:space="preserve"> Minister, unless all of the meetings are within a period of 3 months.</w:t>
      </w:r>
    </w:p>
    <w:p>
      <w:pPr>
        <w:pStyle w:val="Subsection"/>
        <w:spacing w:before="180"/>
      </w:pPr>
      <w:r>
        <w:tab/>
        <w:t>(3A)</w:t>
      </w:r>
      <w:r>
        <w:tab/>
        <w:t xml:space="preserve">Leave is not to be granted in respect of — </w:t>
      </w:r>
    </w:p>
    <w:p>
      <w:pPr>
        <w:pStyle w:val="Indenta"/>
      </w:pPr>
      <w:r>
        <w:tab/>
        <w:t>(a)</w:t>
      </w:r>
      <w:r>
        <w:tab/>
        <w:t>a meeting that has concluded; or</w:t>
      </w:r>
    </w:p>
    <w:p>
      <w:pPr>
        <w:pStyle w:val="Indenta"/>
      </w:pPr>
      <w:r>
        <w:tab/>
        <w:t>(b)</w:t>
      </w:r>
      <w:r>
        <w:tab/>
        <w:t>the part of a meeting before the granting of leave.</w:t>
      </w:r>
    </w:p>
    <w:p>
      <w:pPr>
        <w:pStyle w:val="Subsection"/>
        <w:spacing w:before="180"/>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spacing w:before="180"/>
        <w:rPr>
          <w:snapToGrid w:val="0"/>
        </w:rPr>
      </w:pPr>
      <w:r>
        <w:rPr>
          <w:snapToGrid w:val="0"/>
        </w:rPr>
        <w:tab/>
        <w:t>(4)</w:t>
      </w:r>
      <w:r>
        <w:rPr>
          <w:snapToGrid w:val="0"/>
        </w:rPr>
        <w:tab/>
        <w:t>A member who is absent, without obtaining leave of the council, throughout 3 consecutive ordinary meetings of the council is disqualified from continuing his or her membership of the</w:t>
      </w:r>
      <w:r>
        <w:t xml:space="preserve"> council, unless all of the meetings are within a 2 month period.</w:t>
      </w:r>
    </w:p>
    <w:p>
      <w:pPr>
        <w:pStyle w:val="Subsection"/>
        <w:spacing w:before="180"/>
      </w:pPr>
      <w:r>
        <w:tab/>
        <w:t>(5A)</w:t>
      </w:r>
      <w:r>
        <w:tab/>
        <w:t>If a council holds 3 or more ordinary meetings within a 2 month period, and a member is absent without leave throughout each of those meetings, the member is disqualified if he or she is absent without leave throughout the ordinary meeting of the council immediately following the end of that period.</w:t>
      </w:r>
    </w:p>
    <w:p>
      <w:pPr>
        <w:pStyle w:val="Subsection"/>
        <w:keepNext/>
        <w:keepLines/>
        <w:spacing w:before="180"/>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rPr>
          <w:snapToGrid w:val="0"/>
        </w:rPr>
      </w:pPr>
      <w:r>
        <w:rPr>
          <w:snapToGrid w:val="0"/>
        </w:rPr>
        <w:tab/>
        <w:t>(b)</w:t>
      </w:r>
      <w:r>
        <w:rPr>
          <w:snapToGrid w:val="0"/>
        </w:rPr>
        <w:tab/>
        <w:t>if the non</w:t>
      </w:r>
      <w:r>
        <w:rPr>
          <w:snapToGrid w:val="0"/>
        </w:rPr>
        <w:noBreakHyphen/>
        <w:t>attendance occurs — </w:t>
      </w:r>
    </w:p>
    <w:p>
      <w:pPr>
        <w:pStyle w:val="Indenti"/>
        <w:rPr>
          <w:snapToGrid w:val="0"/>
        </w:rPr>
      </w:pPr>
      <w:r>
        <w:rPr>
          <w:snapToGrid w:val="0"/>
        </w:rPr>
        <w:tab/>
        <w:t>(i)</w:t>
      </w:r>
      <w:r>
        <w:rPr>
          <w:snapToGrid w:val="0"/>
        </w:rPr>
        <w:tab/>
        <w:t>while the member has ceased to act as a member after written notice has been given to the member under section 2.27(3) and before written notice has been given to the member under section 2.27(5); or</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pPr>
      <w:r>
        <w:tab/>
        <w:t>(iiia)</w:t>
      </w:r>
      <w:r>
        <w:tab/>
        <w:t>while the member is suspended under section 5.117(1)(a)(iv); or</w:t>
      </w:r>
    </w:p>
    <w:p>
      <w:pPr>
        <w:pStyle w:val="Indenti"/>
        <w:rPr>
          <w:snapToGrid w:val="0"/>
        </w:rPr>
      </w:pPr>
      <w:r>
        <w:rPr>
          <w:snapToGrid w:val="0"/>
        </w:rPr>
        <w:tab/>
        <w:t>(iii)</w:t>
      </w:r>
      <w:r>
        <w:rPr>
          <w:snapToGrid w:val="0"/>
        </w:rPr>
        <w:tab/>
        <w:t>while the election of the member is disputed and proceedings relating to the disputed election have been commenced and are pending.</w:t>
      </w:r>
    </w:p>
    <w:p>
      <w:pPr>
        <w:pStyle w:val="Subsection"/>
      </w:pPr>
      <w:r>
        <w:tab/>
        <w:t>(6)</w:t>
      </w:r>
      <w:r>
        <w:tab/>
        <w:t xml:space="preserve">A member who before the commencement of the </w:t>
      </w:r>
      <w:r>
        <w:rPr>
          <w:i/>
          <w:snapToGrid w:val="0"/>
        </w:rPr>
        <w:t>Local Government Amendment Act 2009</w:t>
      </w:r>
      <w:r>
        <w:t xml:space="preserve"> section 5</w:t>
      </w:r>
      <w:r>
        <w:rPr>
          <w:vertAlign w:val="superscript"/>
        </w:rPr>
        <w:t> 1</w:t>
      </w:r>
      <w:r>
        <w:t xml:space="preserve"> was granted leave during an ordinary meeting of the council from which the member was absent is to be taken to have first obtained leave for the remainder of that meeting.</w:t>
      </w:r>
    </w:p>
    <w:p>
      <w:pPr>
        <w:pStyle w:val="Footnotesection"/>
      </w:pPr>
      <w:r>
        <w:tab/>
        <w:t>[Section 2.25 amended by No. 49 of 2004 s. 19(1); No. 17 of 2009 s. 5.]</w:t>
      </w:r>
    </w:p>
    <w:p>
      <w:pPr>
        <w:pStyle w:val="Heading5"/>
        <w:rPr>
          <w:snapToGrid w:val="0"/>
        </w:rPr>
      </w:pPr>
      <w:bookmarkStart w:id="95" w:name="_Toc462409142"/>
      <w:r>
        <w:rPr>
          <w:rStyle w:val="CharSectno"/>
        </w:rPr>
        <w:t>2.26</w:t>
      </w:r>
      <w:r>
        <w:rPr>
          <w:snapToGrid w:val="0"/>
        </w:rPr>
        <w:t>.</w:t>
      </w:r>
      <w:r>
        <w:rPr>
          <w:snapToGrid w:val="0"/>
        </w:rPr>
        <w:tab/>
        <w:t>Election to council terminates employment with local government</w:t>
      </w:r>
      <w:bookmarkEnd w:id="95"/>
      <w:r>
        <w:rPr>
          <w:snapToGrid w:val="0"/>
        </w:rPr>
        <w:t xml:space="preserve"> </w:t>
      </w:r>
    </w:p>
    <w:p>
      <w:pPr>
        <w:pStyle w:val="Subsection"/>
        <w:rPr>
          <w:snapToGrid w:val="0"/>
        </w:rPr>
      </w:pPr>
      <w:r>
        <w:rPr>
          <w:snapToGrid w:val="0"/>
        </w:rPr>
        <w:tab/>
      </w:r>
      <w:r>
        <w:rPr>
          <w:snapToGrid w:val="0"/>
        </w:rPr>
        <w:tab/>
        <w:t>If a person who is employed by a local government is declared to be elected as a member of the local government’s council then, by operation of this section, the person’s employment with the local government ends when the person begins his or her term of office as a member.</w:t>
      </w:r>
    </w:p>
    <w:p>
      <w:pPr>
        <w:pStyle w:val="Heading5"/>
        <w:rPr>
          <w:snapToGrid w:val="0"/>
        </w:rPr>
      </w:pPr>
      <w:bookmarkStart w:id="96" w:name="_Toc462409143"/>
      <w:r>
        <w:rPr>
          <w:rStyle w:val="CharSectno"/>
        </w:rPr>
        <w:t>2.27</w:t>
      </w:r>
      <w:r>
        <w:rPr>
          <w:snapToGrid w:val="0"/>
        </w:rPr>
        <w:t>.</w:t>
      </w:r>
      <w:r>
        <w:rPr>
          <w:snapToGrid w:val="0"/>
        </w:rPr>
        <w:tab/>
        <w:t>Procedure to determine qualification to retain membership of council</w:t>
      </w:r>
      <w:bookmarkEnd w:id="96"/>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disqualified</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2.20, 2.21, 2.22, 2.23 or 2.24; or</w:t>
      </w:r>
    </w:p>
    <w:p>
      <w:pPr>
        <w:pStyle w:val="Defpara"/>
      </w:pPr>
      <w:r>
        <w:tab/>
        <w:t>(c)</w:t>
      </w:r>
      <w:r>
        <w:tab/>
        <w:t>disqualified from continuing his or her membership of the council under section 2.25.</w:t>
      </w:r>
    </w:p>
    <w:p>
      <w:pPr>
        <w:pStyle w:val="Subsection"/>
        <w:rPr>
          <w:snapToGrid w:val="0"/>
        </w:rPr>
      </w:pPr>
      <w:r>
        <w:rPr>
          <w:snapToGrid w:val="0"/>
        </w:rPr>
        <w:tab/>
        <w:t>(2)</w:t>
      </w:r>
      <w:r>
        <w:rPr>
          <w:snapToGrid w:val="0"/>
        </w:rPr>
        <w:tab/>
        <w:t>A member who considers that he or she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keepNext/>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that if the member believes that he or she is not disqualified, he or she may advise the CEO in writing within 14 days from the date of the service of the notice; and</w:t>
      </w:r>
    </w:p>
    <w:p>
      <w:pPr>
        <w:pStyle w:val="Indenta"/>
        <w:rPr>
          <w:snapToGrid w:val="0"/>
        </w:rPr>
      </w:pPr>
      <w:r>
        <w:rPr>
          <w:snapToGrid w:val="0"/>
        </w:rPr>
        <w:tab/>
        <w:t>(b)</w:t>
      </w:r>
      <w:r>
        <w:rPr>
          <w:snapToGrid w:val="0"/>
        </w:rPr>
        <w:tab/>
        <w:t>that if the member accepts that he or she is disqualified in accordance with the terms of the notice, he or she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pPr>
      <w:r>
        <w:tab/>
        <w:t>(b)</w:t>
      </w:r>
      <w:r>
        <w:tab/>
        <w:t>applies to the State Administrative Tribunal asking for a declaration as to whether or not the member is disqualified and gives a copy of the application to the CEO,</w:t>
      </w:r>
    </w:p>
    <w:p>
      <w:pPr>
        <w:pStyle w:val="Subsection"/>
      </w:pPr>
      <w:r>
        <w:tab/>
      </w:r>
      <w:r>
        <w:tab/>
        <w:t>the member is taken to have been disqualified for the reasons indicated in the CEO’s notice.</w:t>
      </w:r>
    </w:p>
    <w:p>
      <w:pPr>
        <w:pStyle w:val="Subsection"/>
      </w:pPr>
      <w:r>
        <w:tab/>
        <w:t>(7A)</w:t>
      </w:r>
      <w:r>
        <w:tab/>
        <w:t>If subsection (6) applies to a member the CEO is to give the member a written notice to that effect.</w:t>
      </w:r>
    </w:p>
    <w:p>
      <w:pPr>
        <w:pStyle w:val="Subsection"/>
        <w:rPr>
          <w:snapToGrid w:val="0"/>
        </w:rPr>
      </w:pPr>
      <w:r>
        <w:rPr>
          <w:snapToGrid w:val="0"/>
        </w:rPr>
        <w:tab/>
        <w:t>(7)</w:t>
      </w:r>
      <w:r>
        <w:rPr>
          <w:snapToGrid w:val="0"/>
        </w:rPr>
        <w:tab/>
      </w:r>
      <w:r>
        <w:t>The CEO or any other person</w:t>
      </w:r>
      <w:r>
        <w:rPr>
          <w:snapToGrid w:val="0"/>
        </w:rPr>
        <w:t xml:space="preserve"> may, at any time, apply to the State Administrative Tribunal for a declaration as to whether or not a member of a council is disqualified.</w:t>
      </w:r>
    </w:p>
    <w:p>
      <w:pPr>
        <w:pStyle w:val="Ednotesubsection"/>
      </w:pPr>
      <w:r>
        <w:tab/>
        <w:t>[(8)</w:t>
      </w:r>
      <w:r>
        <w:tab/>
        <w:t>deleted]</w:t>
      </w:r>
    </w:p>
    <w:p>
      <w:pPr>
        <w:pStyle w:val="Subsection"/>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t>Penalty: $5 000 or imprisonment for one year.</w:t>
      </w:r>
    </w:p>
    <w:p>
      <w:pPr>
        <w:pStyle w:val="Subsection"/>
      </w:pPr>
      <w:r>
        <w:tab/>
        <w:t>(10)</w:t>
      </w:r>
      <w:r>
        <w:tab/>
        <w:t xml:space="preserve">This section as in force immediately before the commencement of the </w:t>
      </w:r>
      <w:r>
        <w:rPr>
          <w:i/>
          <w:snapToGrid w:val="0"/>
        </w:rPr>
        <w:t>Local Government Amendment Act 2009</w:t>
      </w:r>
      <w:r>
        <w:t xml:space="preserve"> section 6</w:t>
      </w:r>
      <w:r>
        <w:rPr>
          <w:vertAlign w:val="superscript"/>
        </w:rPr>
        <w:t> 1</w:t>
      </w:r>
      <w:r>
        <w:t xml:space="preserve"> applies to and in respect of a notice given under section 2.27(3) before that commencement.</w:t>
      </w:r>
    </w:p>
    <w:p>
      <w:pPr>
        <w:pStyle w:val="Footnotesection"/>
      </w:pPr>
      <w:r>
        <w:tab/>
        <w:t>[Section 2.27 amended by No. 55 of 2004 s. 685; No. 17 of 2009 s. 6; No. 2 of 2012 s. 6.]</w:t>
      </w:r>
    </w:p>
    <w:p>
      <w:pPr>
        <w:pStyle w:val="Heading3"/>
        <w:rPr>
          <w:snapToGrid w:val="0"/>
        </w:rPr>
      </w:pPr>
      <w:bookmarkStart w:id="97" w:name="_Toc448218859"/>
      <w:bookmarkStart w:id="98" w:name="_Toc448224081"/>
      <w:bookmarkStart w:id="99" w:name="_Toc451179318"/>
      <w:bookmarkStart w:id="100" w:name="_Toc451430238"/>
      <w:bookmarkStart w:id="101" w:name="_Toc455396188"/>
      <w:bookmarkStart w:id="102" w:name="_Toc455397048"/>
      <w:bookmarkStart w:id="103" w:name="_Toc456086131"/>
      <w:bookmarkStart w:id="104" w:name="_Toc462409144"/>
      <w:r>
        <w:rPr>
          <w:rStyle w:val="CharDivNo"/>
        </w:rPr>
        <w:t>Division 6</w:t>
      </w:r>
      <w:r>
        <w:rPr>
          <w:snapToGrid w:val="0"/>
        </w:rPr>
        <w:t> — </w:t>
      </w:r>
      <w:r>
        <w:rPr>
          <w:rStyle w:val="CharDivText"/>
        </w:rPr>
        <w:t>Terms of office on the council and vacation of office</w:t>
      </w:r>
      <w:bookmarkEnd w:id="97"/>
      <w:bookmarkEnd w:id="98"/>
      <w:bookmarkEnd w:id="99"/>
      <w:bookmarkEnd w:id="100"/>
      <w:bookmarkEnd w:id="101"/>
      <w:bookmarkEnd w:id="102"/>
      <w:bookmarkEnd w:id="103"/>
      <w:bookmarkEnd w:id="104"/>
    </w:p>
    <w:p>
      <w:pPr>
        <w:pStyle w:val="Heading5"/>
        <w:rPr>
          <w:snapToGrid w:val="0"/>
        </w:rPr>
      </w:pPr>
      <w:bookmarkStart w:id="105" w:name="_Toc462409145"/>
      <w:r>
        <w:rPr>
          <w:rStyle w:val="CharSectno"/>
        </w:rPr>
        <w:t>2.28</w:t>
      </w:r>
      <w:r>
        <w:rPr>
          <w:snapToGrid w:val="0"/>
        </w:rPr>
        <w:t>.</w:t>
      </w:r>
      <w:r>
        <w:rPr>
          <w:snapToGrid w:val="0"/>
        </w:rPr>
        <w:tab/>
        <w:t>Days on which terms begin and end</w:t>
      </w:r>
      <w:bookmarkEnd w:id="105"/>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THeadingNAm"/>
        <w:keepNext w:val="0"/>
        <w:rPr>
          <w:snapToGrid w:val="0"/>
        </w:rPr>
      </w:pPr>
      <w:r>
        <w:rPr>
          <w:snapToGrid w:val="0"/>
        </w:rPr>
        <w:t>Table to section 2.28</w:t>
      </w:r>
      <w:r>
        <w:rPr>
          <w:snapToGrid w:val="0"/>
        </w:rPr>
        <w:br/>
        <w:t>Terms of office</w:t>
      </w:r>
    </w:p>
    <w:tbl>
      <w:tblPr>
        <w:tblW w:w="0" w:type="auto"/>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NAm"/>
              <w:spacing w:before="60"/>
              <w:rPr>
                <w:b/>
                <w:bCs/>
                <w:sz w:val="20"/>
              </w:rPr>
            </w:pPr>
            <w:r>
              <w:rPr>
                <w:b/>
                <w:bCs/>
                <w:sz w:val="20"/>
              </w:rPr>
              <w:t>Item</w:t>
            </w:r>
          </w:p>
        </w:tc>
        <w:tc>
          <w:tcPr>
            <w:tcW w:w="1118" w:type="dxa"/>
            <w:tcBorders>
              <w:top w:val="single" w:sz="12" w:space="0" w:color="auto"/>
              <w:bottom w:val="single" w:sz="12" w:space="0" w:color="auto"/>
            </w:tcBorders>
          </w:tcPr>
          <w:p>
            <w:pPr>
              <w:pStyle w:val="TableNAm"/>
              <w:spacing w:before="60"/>
              <w:rPr>
                <w:b/>
                <w:bCs/>
                <w:sz w:val="20"/>
              </w:rPr>
            </w:pPr>
            <w:r>
              <w:rPr>
                <w:b/>
                <w:bCs/>
                <w:sz w:val="20"/>
              </w:rPr>
              <w:t>Kind of office</w:t>
            </w:r>
          </w:p>
        </w:tc>
        <w:tc>
          <w:tcPr>
            <w:tcW w:w="1899" w:type="dxa"/>
            <w:tcBorders>
              <w:top w:val="single" w:sz="12" w:space="0" w:color="auto"/>
              <w:bottom w:val="single" w:sz="12" w:space="0" w:color="auto"/>
            </w:tcBorders>
          </w:tcPr>
          <w:p>
            <w:pPr>
              <w:pStyle w:val="TableNAm"/>
              <w:tabs>
                <w:tab w:val="clear" w:pos="567"/>
                <w:tab w:val="left" w:pos="244"/>
                <w:tab w:val="left" w:pos="604"/>
              </w:tabs>
              <w:spacing w:before="60"/>
              <w:rPr>
                <w:b/>
                <w:bCs/>
                <w:sz w:val="20"/>
              </w:rPr>
            </w:pPr>
            <w:r>
              <w:rPr>
                <w:b/>
                <w:bCs/>
                <w:sz w:val="20"/>
              </w:rPr>
              <w:t>How elected</w:t>
            </w:r>
          </w:p>
        </w:tc>
        <w:tc>
          <w:tcPr>
            <w:tcW w:w="1848" w:type="dxa"/>
            <w:tcBorders>
              <w:top w:val="single" w:sz="12" w:space="0" w:color="auto"/>
              <w:bottom w:val="single" w:sz="12" w:space="0" w:color="auto"/>
            </w:tcBorders>
          </w:tcPr>
          <w:p>
            <w:pPr>
              <w:pStyle w:val="TableNAm"/>
              <w:tabs>
                <w:tab w:val="clear" w:pos="567"/>
                <w:tab w:val="left" w:pos="385"/>
                <w:tab w:val="left" w:pos="625"/>
              </w:tabs>
              <w:spacing w:before="60"/>
              <w:ind w:left="385" w:hanging="360"/>
              <w:rPr>
                <w:b/>
                <w:bCs/>
                <w:sz w:val="20"/>
              </w:rPr>
            </w:pPr>
            <w:r>
              <w:rPr>
                <w:b/>
                <w:bCs/>
                <w:sz w:val="20"/>
              </w:rPr>
              <w:t>Term begins</w:t>
            </w:r>
          </w:p>
        </w:tc>
        <w:tc>
          <w:tcPr>
            <w:tcW w:w="1510" w:type="dxa"/>
            <w:tcBorders>
              <w:top w:val="single" w:sz="12" w:space="0" w:color="auto"/>
              <w:bottom w:val="single" w:sz="12" w:space="0" w:color="auto"/>
            </w:tcBorders>
          </w:tcPr>
          <w:p>
            <w:pPr>
              <w:pStyle w:val="TableNAm"/>
              <w:spacing w:before="60"/>
              <w:rPr>
                <w:b/>
                <w:bCs/>
                <w:sz w:val="20"/>
              </w:rPr>
            </w:pPr>
            <w:r>
              <w:rPr>
                <w:b/>
                <w:bCs/>
                <w:sz w:val="20"/>
              </w:rPr>
              <w:t>Term ends</w:t>
            </w:r>
          </w:p>
        </w:tc>
      </w:tr>
      <w:tr>
        <w:trPr>
          <w:cantSplit/>
        </w:trPr>
        <w:tc>
          <w:tcPr>
            <w:tcW w:w="713" w:type="dxa"/>
            <w:tcBorders>
              <w:top w:val="single" w:sz="12" w:space="0" w:color="auto"/>
              <w:bottom w:val="single" w:sz="4" w:space="0" w:color="auto"/>
            </w:tcBorders>
          </w:tcPr>
          <w:p>
            <w:pPr>
              <w:pStyle w:val="TableNAm"/>
              <w:spacing w:before="60"/>
              <w:rPr>
                <w:sz w:val="20"/>
              </w:rPr>
            </w:pPr>
            <w:r>
              <w:rPr>
                <w:sz w:val="20"/>
              </w:rPr>
              <w:t>1.</w:t>
            </w:r>
          </w:p>
        </w:tc>
        <w:tc>
          <w:tcPr>
            <w:tcW w:w="1118" w:type="dxa"/>
            <w:tcBorders>
              <w:top w:val="single" w:sz="12"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12"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12"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2.</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third year after the year in which the term began (but note sections 2.14 and 2.30)</w:t>
            </w:r>
          </w:p>
        </w:tc>
      </w:tr>
      <w:tr>
        <w:trPr>
          <w:cantSplit/>
        </w:trPr>
        <w:tc>
          <w:tcPr>
            <w:tcW w:w="713" w:type="dxa"/>
            <w:tcBorders>
              <w:top w:val="nil"/>
              <w:bottom w:val="nil"/>
            </w:tcBorders>
          </w:tcPr>
          <w:p>
            <w:pPr>
              <w:pStyle w:val="TableNAm"/>
              <w:spacing w:before="60"/>
              <w:rPr>
                <w:sz w:val="20"/>
              </w:rPr>
            </w:pPr>
            <w:r>
              <w:rPr>
                <w:sz w:val="20"/>
              </w:rPr>
              <w:t>3.</w:t>
            </w:r>
          </w:p>
        </w:tc>
        <w:tc>
          <w:tcPr>
            <w:tcW w:w="1118" w:type="dxa"/>
            <w:tcBorders>
              <w:top w:val="nil"/>
              <w:bottom w:val="nil"/>
            </w:tcBorders>
          </w:tcPr>
          <w:p>
            <w:pPr>
              <w:pStyle w:val="TableNAm"/>
              <w:spacing w:before="60"/>
              <w:rPr>
                <w:sz w:val="20"/>
              </w:rPr>
            </w:pPr>
            <w:r>
              <w:rPr>
                <w:sz w:val="20"/>
              </w:rPr>
              <w:t>Councillor</w:t>
            </w:r>
          </w:p>
        </w:tc>
        <w:tc>
          <w:tcPr>
            <w:tcW w:w="1899" w:type="dxa"/>
            <w:tcBorders>
              <w:top w:val="nil"/>
              <w:bottom w:val="nil"/>
            </w:tcBorders>
          </w:tcPr>
          <w:p>
            <w:pPr>
              <w:pStyle w:val="TableNAm"/>
              <w:tabs>
                <w:tab w:val="clear" w:pos="567"/>
                <w:tab w:val="left" w:pos="244"/>
                <w:tab w:val="left" w:pos="604"/>
              </w:tabs>
              <w:spacing w:before="60"/>
              <w:rPr>
                <w:sz w:val="20"/>
              </w:rPr>
            </w:pPr>
            <w:r>
              <w:rPr>
                <w:sz w:val="20"/>
              </w:rPr>
              <w:t>Elected at an inaugural election or any other election not dealt with in item 4, 5, 6, 8 or 9</w:t>
            </w:r>
          </w:p>
        </w:tc>
        <w:tc>
          <w:tcPr>
            <w:tcW w:w="1848" w:type="dxa"/>
            <w:tcBorders>
              <w:top w:val="nil"/>
              <w:bottom w:val="nil"/>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nil"/>
              <w:bottom w:val="nil"/>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4.</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ordinary election</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after the ordinary elections day</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nil"/>
              <w:bottom w:val="single" w:sz="4" w:space="0" w:color="auto"/>
            </w:tcBorders>
          </w:tcPr>
          <w:p>
            <w:pPr>
              <w:pStyle w:val="TableNAm"/>
              <w:spacing w:before="60"/>
              <w:rPr>
                <w:sz w:val="20"/>
              </w:rPr>
            </w:pPr>
            <w:r>
              <w:rPr>
                <w:sz w:val="20"/>
              </w:rPr>
              <w:t>5.</w:t>
            </w:r>
          </w:p>
        </w:tc>
        <w:tc>
          <w:tcPr>
            <w:tcW w:w="1118" w:type="dxa"/>
            <w:tcBorders>
              <w:top w:val="nil"/>
              <w:bottom w:val="single" w:sz="4" w:space="0" w:color="auto"/>
            </w:tcBorders>
          </w:tcPr>
          <w:p>
            <w:pPr>
              <w:pStyle w:val="TableNAm"/>
              <w:spacing w:before="60"/>
              <w:rPr>
                <w:sz w:val="20"/>
              </w:rPr>
            </w:pPr>
            <w:r>
              <w:rPr>
                <w:sz w:val="20"/>
              </w:rPr>
              <w:t xml:space="preserve">Elector mayor or president </w:t>
            </w:r>
            <w:r>
              <w:rPr>
                <w:sz w:val="20"/>
              </w:rPr>
              <w:br/>
              <w:t>OR</w:t>
            </w:r>
            <w:r>
              <w:rPr>
                <w:sz w:val="20"/>
              </w:rPr>
              <w:br/>
              <w:t>councillor</w:t>
            </w:r>
          </w:p>
        </w:tc>
        <w:tc>
          <w:tcPr>
            <w:tcW w:w="1899" w:type="dxa"/>
            <w:tcBorders>
              <w:top w:val="nil"/>
              <w:bottom w:val="single" w:sz="4" w:space="0" w:color="auto"/>
            </w:tcBorders>
          </w:tcPr>
          <w:p>
            <w:pPr>
              <w:pStyle w:val="TableNAm"/>
              <w:tabs>
                <w:tab w:val="clear" w:pos="567"/>
                <w:tab w:val="left" w:pos="244"/>
                <w:tab w:val="left" w:pos="604"/>
              </w:tabs>
              <w:spacing w:before="60"/>
              <w:rPr>
                <w:sz w:val="20"/>
              </w:rPr>
            </w:pPr>
            <w:r>
              <w:rPr>
                <w:sz w:val="20"/>
              </w:rPr>
              <w:t>Elected at an extraordinary election not dealt with in item 6, 7 or 8</w:t>
            </w:r>
          </w:p>
        </w:tc>
        <w:tc>
          <w:tcPr>
            <w:tcW w:w="1848" w:type="dxa"/>
            <w:tcBorders>
              <w:top w:val="nil"/>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nil"/>
              <w:bottom w:val="single" w:sz="4" w:space="0" w:color="auto"/>
            </w:tcBorders>
          </w:tcPr>
          <w:p>
            <w:pPr>
              <w:pStyle w:val="TableNAm"/>
              <w:spacing w:before="60"/>
              <w:rPr>
                <w:sz w:val="20"/>
              </w:rPr>
            </w:pPr>
            <w:r>
              <w:rPr>
                <w:sz w:val="20"/>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6.</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to fill a vacancy arising by resignation 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nomination day,</w:t>
            </w:r>
          </w:p>
          <w:p>
            <w:pPr>
              <w:pStyle w:val="TableNAm"/>
              <w:tabs>
                <w:tab w:val="clear" w:pos="567"/>
                <w:tab w:val="left" w:pos="244"/>
                <w:tab w:val="left" w:pos="625"/>
              </w:tabs>
              <w:spacing w:before="60"/>
              <w:rPr>
                <w:sz w:val="20"/>
              </w:rPr>
            </w:pPr>
            <w:r>
              <w:rPr>
                <w:sz w:val="20"/>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NAm"/>
              <w:spacing w:before="60"/>
              <w:rPr>
                <w:sz w:val="20"/>
              </w:rPr>
            </w:pPr>
            <w:r>
              <w:rPr>
                <w:sz w:val="20"/>
              </w:rPr>
              <w:t>7.</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c>
          <w:tcPr>
            <w:tcW w:w="713" w:type="dxa"/>
            <w:tcBorders>
              <w:top w:val="single" w:sz="4" w:space="0" w:color="auto"/>
              <w:bottom w:val="single" w:sz="4" w:space="0" w:color="auto"/>
            </w:tcBorders>
          </w:tcPr>
          <w:p>
            <w:pPr>
              <w:pStyle w:val="TableNAm"/>
              <w:spacing w:before="60"/>
              <w:rPr>
                <w:sz w:val="20"/>
              </w:rPr>
            </w:pPr>
            <w:r>
              <w:rPr>
                <w:sz w:val="20"/>
              </w:rPr>
              <w:t>8.</w:t>
            </w:r>
          </w:p>
        </w:tc>
        <w:tc>
          <w:tcPr>
            <w:tcW w:w="1118" w:type="dxa"/>
            <w:tcBorders>
              <w:top w:val="single" w:sz="4" w:space="0" w:color="auto"/>
              <w:bottom w:val="single" w:sz="4" w:space="0" w:color="auto"/>
            </w:tcBorders>
          </w:tcPr>
          <w:p>
            <w:pPr>
              <w:pStyle w:val="TableNAm"/>
              <w:spacing w:before="60"/>
              <w:rPr>
                <w:sz w:val="20"/>
              </w:rPr>
            </w:pPr>
            <w:r>
              <w:rPr>
                <w:sz w:val="20"/>
              </w:rP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9.</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 section 4.15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NAm"/>
              <w:keepNext/>
              <w:spacing w:before="60"/>
              <w:rPr>
                <w:sz w:val="20"/>
              </w:rPr>
            </w:pPr>
            <w:r>
              <w:rPr>
                <w:sz w:val="20"/>
              </w:rPr>
              <w:t>10.</w:t>
            </w:r>
          </w:p>
        </w:tc>
        <w:tc>
          <w:tcPr>
            <w:tcW w:w="1118" w:type="dxa"/>
            <w:tcBorders>
              <w:top w:val="single" w:sz="4" w:space="0" w:color="auto"/>
              <w:bottom w:val="single" w:sz="4" w:space="0" w:color="auto"/>
            </w:tcBorders>
          </w:tcPr>
          <w:p>
            <w:pPr>
              <w:pStyle w:val="TableNAm"/>
              <w:keepNext/>
              <w:spacing w:before="60"/>
              <w:rPr>
                <w:sz w:val="20"/>
              </w:rPr>
            </w:pPr>
            <w:r>
              <w:rPr>
                <w:sz w:val="20"/>
              </w:rPr>
              <w:t>Elector mayor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keepNext/>
              <w:tabs>
                <w:tab w:val="clear" w:pos="567"/>
                <w:tab w:val="left" w:pos="244"/>
                <w:tab w:val="left" w:pos="604"/>
              </w:tabs>
              <w:spacing w:before="60"/>
              <w:rPr>
                <w:sz w:val="20"/>
              </w:rPr>
            </w:pPr>
            <w:r>
              <w:rPr>
                <w:sz w:val="20"/>
              </w:rPr>
              <w:t>Appointed under section 4.57(3)</w:t>
            </w:r>
          </w:p>
        </w:tc>
        <w:tc>
          <w:tcPr>
            <w:tcW w:w="1848" w:type="dxa"/>
            <w:tcBorders>
              <w:top w:val="single" w:sz="4" w:space="0" w:color="auto"/>
              <w:bottom w:val="single" w:sz="4" w:space="0" w:color="auto"/>
            </w:tcBorders>
          </w:tcPr>
          <w:p>
            <w:pPr>
              <w:pStyle w:val="TableNAm"/>
              <w:keepNext/>
              <w:tabs>
                <w:tab w:val="clear" w:pos="567"/>
                <w:tab w:val="left" w:pos="625"/>
              </w:tabs>
              <w:spacing w:before="60"/>
              <w:ind w:left="25"/>
              <w:rPr>
                <w:sz w:val="20"/>
              </w:rPr>
            </w:pPr>
            <w:r>
              <w:rPr>
                <w:sz w:val="20"/>
              </w:rPr>
              <w:t>On the day on which — </w:t>
            </w:r>
          </w:p>
          <w:p>
            <w:pPr>
              <w:pStyle w:val="TableNAm"/>
              <w:keepNext/>
              <w:tabs>
                <w:tab w:val="clear" w:pos="567"/>
                <w:tab w:val="left" w:pos="385"/>
                <w:tab w:val="left" w:pos="625"/>
              </w:tabs>
              <w:spacing w:before="60"/>
              <w:ind w:left="385" w:hanging="360"/>
              <w:rPr>
                <w:sz w:val="20"/>
              </w:rPr>
            </w:pPr>
            <w:r>
              <w:rPr>
                <w:sz w:val="20"/>
              </w:rPr>
              <w:t>(a)</w:t>
            </w:r>
            <w:r>
              <w:rPr>
                <w:sz w:val="20"/>
              </w:rPr>
              <w:tab/>
              <w:t>the person is appointed; or</w:t>
            </w:r>
          </w:p>
          <w:p>
            <w:pPr>
              <w:pStyle w:val="TableNAm"/>
              <w:keepNext/>
              <w:tabs>
                <w:tab w:val="clear" w:pos="567"/>
                <w:tab w:val="left" w:pos="385"/>
                <w:tab w:val="left" w:pos="625"/>
              </w:tabs>
              <w:spacing w:before="60"/>
              <w:ind w:left="385" w:hanging="360"/>
              <w:rPr>
                <w:sz w:val="20"/>
              </w:rPr>
            </w:pPr>
            <w:r>
              <w:rPr>
                <w:sz w:val="20"/>
              </w:rPr>
              <w:t>(b)</w:t>
            </w:r>
            <w:r>
              <w:rPr>
                <w:sz w:val="20"/>
              </w:rPr>
              <w:tab/>
              <w:t xml:space="preserve">the person’s term would have begun if the person had been elected under section 4.57(1), </w:t>
            </w:r>
          </w:p>
          <w:p>
            <w:pPr>
              <w:pStyle w:val="TableNAm"/>
              <w:keepNext/>
              <w:tabs>
                <w:tab w:val="clear" w:pos="567"/>
                <w:tab w:val="left" w:pos="385"/>
                <w:tab w:val="left" w:pos="625"/>
              </w:tabs>
              <w:spacing w:before="60"/>
              <w:ind w:left="385" w:hanging="360"/>
              <w:rPr>
                <w:sz w:val="20"/>
              </w:rPr>
            </w:pPr>
            <w:r>
              <w:rPr>
                <w:sz w:val="20"/>
              </w:rPr>
              <w:t>whichever is later</w:t>
            </w:r>
          </w:p>
        </w:tc>
        <w:tc>
          <w:tcPr>
            <w:tcW w:w="1510" w:type="dxa"/>
            <w:tcBorders>
              <w:top w:val="single" w:sz="4" w:space="0" w:color="auto"/>
              <w:bottom w:val="single" w:sz="4" w:space="0" w:color="auto"/>
            </w:tcBorders>
          </w:tcPr>
          <w:p>
            <w:pPr>
              <w:pStyle w:val="TableNAm"/>
              <w:keepNext/>
              <w:spacing w:before="60"/>
              <w:rPr>
                <w:sz w:val="20"/>
              </w:rPr>
            </w:pPr>
            <w:r>
              <w:rPr>
                <w:sz w:val="20"/>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NAm"/>
              <w:spacing w:before="60"/>
              <w:rPr>
                <w:sz w:val="20"/>
              </w:rPr>
            </w:pPr>
            <w:r>
              <w:rPr>
                <w:sz w:val="20"/>
              </w:rPr>
              <w:t>11.</w:t>
            </w:r>
          </w:p>
        </w:tc>
        <w:tc>
          <w:tcPr>
            <w:tcW w:w="1118" w:type="dxa"/>
            <w:tcBorders>
              <w:top w:val="single" w:sz="4" w:space="0" w:color="auto"/>
              <w:bottom w:val="single" w:sz="4" w:space="0" w:color="auto"/>
            </w:tcBorders>
          </w:tcPr>
          <w:p>
            <w:pPr>
              <w:pStyle w:val="TableNAm"/>
              <w:spacing w:before="60"/>
              <w:rPr>
                <w:sz w:val="20"/>
              </w:rPr>
            </w:pPr>
            <w:r>
              <w:rPr>
                <w:sz w:val="20"/>
              </w:rPr>
              <w:t>Councillor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NAm"/>
              <w:spacing w:before="60"/>
              <w:rPr>
                <w:sz w:val="20"/>
              </w:rPr>
            </w:pPr>
            <w:r>
              <w:rPr>
                <w:sz w:val="20"/>
              </w:rPr>
              <w:t>12.</w:t>
            </w:r>
          </w:p>
        </w:tc>
        <w:tc>
          <w:tcPr>
            <w:tcW w:w="1118" w:type="dxa"/>
            <w:tcBorders>
              <w:top w:val="single" w:sz="4" w:space="0" w:color="auto"/>
              <w:bottom w:val="single" w:sz="4" w:space="0" w:color="auto"/>
            </w:tcBorders>
          </w:tcPr>
          <w:p>
            <w:pPr>
              <w:pStyle w:val="TableNAm"/>
              <w:spacing w:before="60"/>
              <w:rPr>
                <w:sz w:val="20"/>
              </w:rPr>
            </w:pPr>
            <w:r>
              <w:rPr>
                <w:sz w:val="20"/>
              </w:rPr>
              <w:t>Deputy mayor or deputy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At the start of the first meeting of the council after the local government’s next ordinary elections</w:t>
            </w:r>
          </w:p>
        </w:tc>
      </w:tr>
    </w:tbl>
    <w:p>
      <w:pPr>
        <w:pStyle w:val="Footnotesection"/>
      </w:pPr>
      <w:r>
        <w:tab/>
        <w:t>[Section 2.28 amended by No. 66 of 2006 s. 4; No. 2 of 2012 s. 7.]</w:t>
      </w:r>
    </w:p>
    <w:p>
      <w:pPr>
        <w:pStyle w:val="Heading5"/>
      </w:pPr>
      <w:bookmarkStart w:id="106" w:name="_Toc462409146"/>
      <w:r>
        <w:rPr>
          <w:rStyle w:val="CharSectno"/>
        </w:rPr>
        <w:t>2.29</w:t>
      </w:r>
      <w:r>
        <w:rPr>
          <w:snapToGrid w:val="0"/>
        </w:rPr>
        <w:t>.</w:t>
      </w:r>
      <w:r>
        <w:tab/>
        <w:t>Declaration</w:t>
      </w:r>
      <w:bookmarkEnd w:id="106"/>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$5 000 or imprisonment for one year.</w:t>
      </w:r>
    </w:p>
    <w:p>
      <w:pPr>
        <w:pStyle w:val="Footnotesection"/>
      </w:pPr>
      <w:r>
        <w:tab/>
        <w:t>[Section 2.29 amended by No. 24 of 2005 s. 57.]</w:t>
      </w:r>
    </w:p>
    <w:p>
      <w:pPr>
        <w:pStyle w:val="Heading5"/>
      </w:pPr>
      <w:bookmarkStart w:id="107" w:name="_Toc462409147"/>
      <w:r>
        <w:rPr>
          <w:rStyle w:val="CharSectno"/>
        </w:rPr>
        <w:t>2.30</w:t>
      </w:r>
      <w:r>
        <w:rPr>
          <w:snapToGrid w:val="0"/>
        </w:rPr>
        <w:t>.</w:t>
      </w:r>
      <w:r>
        <w:tab/>
        <w:t>Terms extended if ordinary elections delayed</w:t>
      </w:r>
      <w:bookmarkEnd w:id="107"/>
    </w:p>
    <w:p>
      <w:pPr>
        <w:pStyle w:val="Subsection"/>
      </w:pPr>
      <w:r>
        <w:tab/>
      </w:r>
      <w:r>
        <w:tab/>
        <w:t>Where an ordinary election is deferred or adjourned under this Act until after the third Saturday in October in any year, a member of a council whose term of office expires on that day can continue to act in the office until the substituted election day.</w:t>
      </w:r>
    </w:p>
    <w:p>
      <w:pPr>
        <w:pStyle w:val="Footnotesection"/>
      </w:pPr>
      <w:r>
        <w:tab/>
        <w:t>[Section 2.30 amended by No. 66 of 2006 s. 5.]</w:t>
      </w:r>
    </w:p>
    <w:p>
      <w:pPr>
        <w:pStyle w:val="Heading5"/>
      </w:pPr>
      <w:bookmarkStart w:id="108" w:name="_Toc462409148"/>
      <w:r>
        <w:rPr>
          <w:rStyle w:val="CharSectno"/>
        </w:rPr>
        <w:t>2.31</w:t>
      </w:r>
      <w:r>
        <w:rPr>
          <w:snapToGrid w:val="0"/>
        </w:rPr>
        <w:t>.</w:t>
      </w:r>
      <w:r>
        <w:tab/>
        <w:t>Resignation</w:t>
      </w:r>
      <w:bookmarkEnd w:id="108"/>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tab/>
        <w:t>(4)</w:t>
      </w:r>
      <w:r>
        <w:tab/>
        <w:t>The resignation takes effect from the date of delivery of the notice or from a later day specified in the notice.</w:t>
      </w:r>
    </w:p>
    <w:p>
      <w:pPr>
        <w:pStyle w:val="Heading5"/>
      </w:pPr>
      <w:bookmarkStart w:id="109" w:name="_Toc462409149"/>
      <w:r>
        <w:rPr>
          <w:rStyle w:val="CharSectno"/>
        </w:rPr>
        <w:t>2.32</w:t>
      </w:r>
      <w:r>
        <w:rPr>
          <w:snapToGrid w:val="0"/>
        </w:rPr>
        <w:t>.</w:t>
      </w:r>
      <w:r>
        <w:tab/>
        <w:t>How extraordinary vacancies occur in offices elected by electors</w:t>
      </w:r>
      <w:bookmarkEnd w:id="109"/>
    </w:p>
    <w:p>
      <w:pPr>
        <w:pStyle w:val="Subsection"/>
      </w:pPr>
      <w:r>
        <w:tab/>
      </w:r>
      <w:r>
        <w:tab/>
        <w:t>The office of a member of a council as an elector mayor or president or as a councillor becomes vacant if the member — </w:t>
      </w:r>
    </w:p>
    <w:p>
      <w:pPr>
        <w:pStyle w:val="Indenta"/>
      </w:pPr>
      <w:r>
        <w:tab/>
        <w:t>(a)</w:t>
      </w:r>
      <w:r>
        <w:tab/>
        <w:t>dies; or</w:t>
      </w:r>
    </w:p>
    <w:p>
      <w:pPr>
        <w:pStyle w:val="Indenta"/>
      </w:pPr>
      <w:r>
        <w:tab/>
        <w:t>(b)</w:t>
      </w:r>
      <w:r>
        <w:tab/>
        <w:t>resigns from the office; or</w:t>
      </w:r>
    </w:p>
    <w:p>
      <w:pPr>
        <w:pStyle w:val="Indenta"/>
      </w:pPr>
      <w:r>
        <w:tab/>
        <w:t>(c)</w:t>
      </w:r>
      <w:r>
        <w:tab/>
        <w:t>does not make the declaration required by section 2.29(1) within 2 months after being declared elected to the office; or</w:t>
      </w:r>
    </w:p>
    <w:p>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 or</w:t>
      </w:r>
    </w:p>
    <w:p>
      <w:pPr>
        <w:pStyle w:val="Indenta"/>
      </w:pPr>
      <w:r>
        <w:tab/>
        <w:t>(da)</w:t>
      </w:r>
      <w:r>
        <w:tab/>
        <w:t>is disqualified by an order under section 5.113, 5.117 or 5.119 from holding office as a member of a council; or</w:t>
      </w:r>
    </w:p>
    <w:p>
      <w:pPr>
        <w:pStyle w:val="Indenta"/>
      </w:pPr>
      <w:r>
        <w:tab/>
        <w:t>(e)</w:t>
      </w:r>
      <w:r>
        <w:tab/>
        <w:t>becomes the holder of any office or position in the employment of the local government; or</w:t>
      </w:r>
    </w:p>
    <w:p>
      <w:pPr>
        <w:pStyle w:val="Indenta"/>
      </w:pPr>
      <w:r>
        <w:tab/>
        <w:t>(f)</w:t>
      </w:r>
      <w:r>
        <w:tab/>
        <w:t>having been elected to an office of councillor, is elected by the electors to the office of mayor or president of the council.</w:t>
      </w:r>
    </w:p>
    <w:p>
      <w:pPr>
        <w:pStyle w:val="Footnotesection"/>
      </w:pPr>
      <w:r>
        <w:tab/>
        <w:t>[Section 2.32 amended by No. 55 of 2004 s. 686; No. 24 of 2005 s. 58; No. 1 of 2007 s. 5.]</w:t>
      </w:r>
    </w:p>
    <w:p>
      <w:pPr>
        <w:pStyle w:val="Ednotesection"/>
      </w:pPr>
      <w:r>
        <w:t>[</w:t>
      </w:r>
      <w:r>
        <w:rPr>
          <w:b/>
        </w:rPr>
        <w:t>2.33.</w:t>
      </w:r>
      <w:r>
        <w:rPr>
          <w:b/>
        </w:rPr>
        <w:tab/>
      </w:r>
      <w:r>
        <w:t>Deleted by No. 2 of 2012 s. 8.]</w:t>
      </w:r>
    </w:p>
    <w:p>
      <w:pPr>
        <w:pStyle w:val="Heading5"/>
      </w:pPr>
      <w:bookmarkStart w:id="110" w:name="_Toc462409150"/>
      <w:r>
        <w:rPr>
          <w:rStyle w:val="CharSectno"/>
        </w:rPr>
        <w:t>2.34</w:t>
      </w:r>
      <w:r>
        <w:rPr>
          <w:snapToGrid w:val="0"/>
        </w:rPr>
        <w:t>.</w:t>
      </w:r>
      <w:r>
        <w:tab/>
        <w:t>How extraordinary vacancies occur in offices elected by council</w:t>
      </w:r>
      <w:bookmarkEnd w:id="110"/>
    </w:p>
    <w:p>
      <w:pPr>
        <w:pStyle w:val="Subsection"/>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w:t>
      </w:r>
    </w:p>
    <w:p>
      <w:pPr>
        <w:pStyle w:val="Indenta"/>
      </w:pPr>
      <w:r>
        <w:tab/>
        <w:t>(b)</w:t>
      </w:r>
      <w:r>
        <w:tab/>
        <w:t>resigns from the office; or</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pPr>
        <w:pStyle w:val="Footnotesection"/>
      </w:pPr>
      <w:r>
        <w:tab/>
        <w:t>[Section 2.34 amended by No. 2 of 2012 s. 9.]</w:t>
      </w:r>
    </w:p>
    <w:p>
      <w:pPr>
        <w:pStyle w:val="Heading5"/>
      </w:pPr>
      <w:bookmarkStart w:id="111" w:name="_Toc462409151"/>
      <w:r>
        <w:rPr>
          <w:rStyle w:val="CharSectno"/>
        </w:rPr>
        <w:t>2.35</w:t>
      </w:r>
      <w:r>
        <w:rPr>
          <w:snapToGrid w:val="0"/>
        </w:rPr>
        <w:t>.</w:t>
      </w:r>
      <w:r>
        <w:tab/>
        <w:t>Vacancies on restructure of districts, wards or membership</w:t>
      </w:r>
      <w:bookmarkEnd w:id="111"/>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112" w:name="_Toc462409152"/>
      <w:r>
        <w:rPr>
          <w:rStyle w:val="CharSectno"/>
        </w:rPr>
        <w:t>2.36</w:t>
      </w:r>
      <w:r>
        <w:rPr>
          <w:snapToGrid w:val="0"/>
        </w:rPr>
        <w:t>.</w:t>
      </w:r>
      <w:r>
        <w:tab/>
        <w:t>Vacancies on dismissal of council</w:t>
      </w:r>
      <w:bookmarkEnd w:id="112"/>
    </w:p>
    <w:p>
      <w:pPr>
        <w:pStyle w:val="Subsection"/>
      </w:pPr>
      <w:r>
        <w:tab/>
      </w:r>
      <w:r>
        <w:tab/>
        <w:t>If a council is dismissed under section 8.25 the offices of the members become vacant from the time when the order dismissing the council takes effect.</w:t>
      </w:r>
    </w:p>
    <w:p>
      <w:pPr>
        <w:pStyle w:val="Heading5"/>
      </w:pPr>
      <w:bookmarkStart w:id="113" w:name="_Toc462409153"/>
      <w:r>
        <w:rPr>
          <w:rStyle w:val="CharSectno"/>
        </w:rPr>
        <w:t>2.36A</w:t>
      </w:r>
      <w:r>
        <w:rPr>
          <w:snapToGrid w:val="0"/>
        </w:rPr>
        <w:t>.</w:t>
      </w:r>
      <w:r>
        <w:tab/>
        <w:t>Power to declare offices vacant if district to be abolished</w:t>
      </w:r>
      <w:bookmarkEnd w:id="113"/>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by No. 64 of 1998 s. 4(1).]</w:t>
      </w:r>
    </w:p>
    <w:p>
      <w:pPr>
        <w:pStyle w:val="Heading5"/>
        <w:spacing w:before="180"/>
      </w:pPr>
      <w:bookmarkStart w:id="114" w:name="_Toc462409154"/>
      <w:r>
        <w:rPr>
          <w:rStyle w:val="CharSectno"/>
        </w:rPr>
        <w:t>2.37</w:t>
      </w:r>
      <w:r>
        <w:t>.</w:t>
      </w:r>
      <w:r>
        <w:tab/>
        <w:t>Power to declare offices vacant</w:t>
      </w:r>
      <w:bookmarkEnd w:id="114"/>
    </w:p>
    <w:p>
      <w:pPr>
        <w:pStyle w:val="Subsection"/>
        <w:spacing w:before="120"/>
      </w:pPr>
      <w:r>
        <w:tab/>
        <w:t>(1)</w:t>
      </w:r>
      <w:r>
        <w:tab/>
        <w:t>If more than ½ of the offices of members of a council are vacant for any reason, the Governor may, by order, declare all the remaining offices of members to be vacant.</w:t>
      </w:r>
    </w:p>
    <w:p>
      <w:pPr>
        <w:pStyle w:val="Subsection"/>
        <w:spacing w:before="120"/>
      </w:pPr>
      <w:r>
        <w:tab/>
        <w:t>(2)</w:t>
      </w:r>
      <w:r>
        <w:tab/>
        <w:t>If the Minister receives notification under section 5.3(3) about the failure of a council to hold a meeting, the Governor may, by order, declare all the offices of members of the council to be vacant.</w:t>
      </w:r>
    </w:p>
    <w:p>
      <w:pPr>
        <w:pStyle w:val="Subsection"/>
        <w:spacing w:before="120"/>
      </w:pPr>
      <w:r>
        <w:tab/>
        <w:t>(3)</w:t>
      </w:r>
      <w:r>
        <w:tab/>
        <w:t>A declaration under this section takes effect from the time specified in the declaration.</w:t>
      </w:r>
    </w:p>
    <w:p>
      <w:pPr>
        <w:pStyle w:val="Subsection"/>
        <w:spacing w:before="120"/>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120"/>
      </w:pPr>
      <w:r>
        <w:tab/>
        <w:t>(5)</w:t>
      </w:r>
      <w:r>
        <w:tab/>
        <w:t>An order under subsection (4) is to fix a day for any poll needed for the election of members to fill the vacant offices again.</w:t>
      </w:r>
    </w:p>
    <w:p>
      <w:pPr>
        <w:pStyle w:val="Subsection"/>
        <w:spacing w:before="12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by No. 49 of 2004 s. 21.]</w:t>
      </w:r>
    </w:p>
    <w:p>
      <w:pPr>
        <w:pStyle w:val="Heading5"/>
        <w:spacing w:before="180"/>
      </w:pPr>
      <w:bookmarkStart w:id="115" w:name="_Toc462409155"/>
      <w:r>
        <w:rPr>
          <w:rStyle w:val="CharSectno"/>
        </w:rPr>
        <w:t>2.37A</w:t>
      </w:r>
      <w:r>
        <w:t>.</w:t>
      </w:r>
      <w:r>
        <w:tab/>
        <w:t>Vacancies in all offices for any other reason</w:t>
      </w:r>
      <w:bookmarkEnd w:id="115"/>
    </w:p>
    <w:p>
      <w:pPr>
        <w:pStyle w:val="Subsection"/>
        <w:spacing w:before="120"/>
      </w:pPr>
      <w:r>
        <w:tab/>
        <w:t>(1)</w:t>
      </w:r>
      <w:r>
        <w:tab/>
        <w:t>If all the offices of members of a council have become vacant, or are going to become vacant, for any reason other than an order under section 2.36A(1), 2.37(1) or (2) or 8.25, the Governor may, by order, appoint a person to be the commissioner of the local government until the offices of members of the council are filled again and the new council holds its first meeting.</w:t>
      </w:r>
    </w:p>
    <w:p>
      <w:pPr>
        <w:pStyle w:val="Subsection"/>
      </w:pPr>
      <w:r>
        <w:tab/>
        <w:t>(2)</w:t>
      </w:r>
      <w:r>
        <w:tab/>
        <w:t>An order under subsection (1) is to fix a day for any poll needed for the election of members to fill the vacant offices again.</w:t>
      </w:r>
    </w:p>
    <w:p>
      <w:pPr>
        <w:pStyle w:val="Subsection"/>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by No. 1 of 1998 s. 6(1); amended by No. 64 of 1998 s. 4(3); No. 49 of 2004 s. 22.]</w:t>
      </w:r>
    </w:p>
    <w:p>
      <w:pPr>
        <w:pStyle w:val="Heading3"/>
        <w:spacing w:before="280"/>
      </w:pPr>
      <w:bookmarkStart w:id="116" w:name="_Toc448218871"/>
      <w:bookmarkStart w:id="117" w:name="_Toc448224093"/>
      <w:bookmarkStart w:id="118" w:name="_Toc451179330"/>
      <w:bookmarkStart w:id="119" w:name="_Toc451430250"/>
      <w:bookmarkStart w:id="120" w:name="_Toc455396200"/>
      <w:bookmarkStart w:id="121" w:name="_Toc455397060"/>
      <w:bookmarkStart w:id="122" w:name="_Toc456086143"/>
      <w:bookmarkStart w:id="123" w:name="_Toc462409156"/>
      <w:r>
        <w:rPr>
          <w:rStyle w:val="CharDivNo"/>
        </w:rPr>
        <w:t>Division 7</w:t>
      </w:r>
      <w:r>
        <w:t> — </w:t>
      </w:r>
      <w:r>
        <w:rPr>
          <w:rStyle w:val="CharDivText"/>
        </w:rPr>
        <w:t>Commissioners</w:t>
      </w:r>
      <w:bookmarkEnd w:id="116"/>
      <w:bookmarkEnd w:id="117"/>
      <w:bookmarkEnd w:id="118"/>
      <w:bookmarkEnd w:id="119"/>
      <w:bookmarkEnd w:id="120"/>
      <w:bookmarkEnd w:id="121"/>
      <w:bookmarkEnd w:id="122"/>
      <w:bookmarkEnd w:id="123"/>
    </w:p>
    <w:p>
      <w:pPr>
        <w:pStyle w:val="Heading5"/>
      </w:pPr>
      <w:bookmarkStart w:id="124" w:name="_Toc462409157"/>
      <w:r>
        <w:rPr>
          <w:rStyle w:val="CharSectno"/>
        </w:rPr>
        <w:t>2.38</w:t>
      </w:r>
      <w:r>
        <w:t>.</w:t>
      </w:r>
      <w:r>
        <w:tab/>
        <w:t>Function of commissioner</w:t>
      </w:r>
      <w:bookmarkEnd w:id="124"/>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Unless section 2.43 applies, or the contrary intention appears, a reference in this Act or another written law to a local government, a council or a member of a council includes reference to a commissioner.</w:t>
      </w:r>
    </w:p>
    <w:p>
      <w:pPr>
        <w:pStyle w:val="Heading5"/>
      </w:pPr>
      <w:bookmarkStart w:id="125" w:name="_Toc462409158"/>
      <w:r>
        <w:rPr>
          <w:rStyle w:val="CharSectno"/>
        </w:rPr>
        <w:t>2.39</w:t>
      </w:r>
      <w:r>
        <w:t>.</w:t>
      </w:r>
      <w:r>
        <w:tab/>
        <w:t>Appointment of commissioner</w:t>
      </w:r>
      <w:bookmarkEnd w:id="125"/>
    </w:p>
    <w:p>
      <w:pPr>
        <w:pStyle w:val="Subsection"/>
      </w:pPr>
      <w:r>
        <w:tab/>
        <w:t>(1)</w:t>
      </w:r>
      <w:r>
        <w:tab/>
        <w:t>A commissioner of a local government can be appointed by the Governor under the power given by section 2.6(4), 2.36A(3), 2.37(4), 2.37A(1), 8.30 or 8.33 and not otherwise.</w:t>
      </w:r>
    </w:p>
    <w:p>
      <w:pPr>
        <w:pStyle w:val="Subsection"/>
      </w:pPr>
      <w:r>
        <w:tab/>
        <w:t>(2)</w:t>
      </w:r>
      <w:r>
        <w:tab/>
        <w:t>Subsection (1) does not prevent the appointment of a person under Schedule 2.4 clause 4 to fill a vacancy in the office of commissioner.</w:t>
      </w:r>
    </w:p>
    <w:p>
      <w:pPr>
        <w:pStyle w:val="Footnotesection"/>
      </w:pPr>
      <w:r>
        <w:tab/>
        <w:t>[Section 2.39 amended by No. 1 of 1998 s. 6(3); No. 64 of 1998 s. 4(4); No. 17 of 2009 s. 7.]</w:t>
      </w:r>
    </w:p>
    <w:p>
      <w:pPr>
        <w:pStyle w:val="Heading5"/>
      </w:pPr>
      <w:bookmarkStart w:id="126" w:name="_Toc462409159"/>
      <w:r>
        <w:rPr>
          <w:rStyle w:val="CharSectno"/>
        </w:rPr>
        <w:t>2.40</w:t>
      </w:r>
      <w:r>
        <w:t>.</w:t>
      </w:r>
      <w:r>
        <w:tab/>
        <w:t>Joint commissioners</w:t>
      </w:r>
      <w:bookmarkEnd w:id="126"/>
    </w:p>
    <w:p>
      <w:pPr>
        <w:pStyle w:val="Subsection"/>
        <w:spacing w:before="120"/>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spacing w:before="120"/>
      </w:pPr>
      <w:r>
        <w:tab/>
        <w:t>(2)</w:t>
      </w:r>
      <w:r>
        <w:tab/>
        <w:t>If 3 or 5 commissioners are appointed — </w:t>
      </w:r>
    </w:p>
    <w:p>
      <w:pPr>
        <w:pStyle w:val="Indenta"/>
      </w:pPr>
      <w:r>
        <w:tab/>
        <w:t>(a)</w:t>
      </w:r>
      <w:r>
        <w:tab/>
        <w:t>they are to exercise the powers and discharge the duties of the council of the local government jointly; and</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127" w:name="_Toc462409160"/>
      <w:r>
        <w:rPr>
          <w:rStyle w:val="CharSectno"/>
        </w:rPr>
        <w:t>2.41</w:t>
      </w:r>
      <w:r>
        <w:t>.</w:t>
      </w:r>
      <w:r>
        <w:tab/>
        <w:t>Appointment, tenure, meetings etc.</w:t>
      </w:r>
      <w:bookmarkEnd w:id="127"/>
    </w:p>
    <w:p>
      <w:pPr>
        <w:pStyle w:val="Subsection"/>
        <w:spacing w:before="120"/>
      </w:pPr>
      <w:r>
        <w:tab/>
      </w:r>
      <w:r>
        <w:tab/>
        <w:t>Schedule 2.4 (which contains provisions about commissioners) has effect.</w:t>
      </w:r>
    </w:p>
    <w:p>
      <w:pPr>
        <w:pStyle w:val="Heading5"/>
      </w:pPr>
      <w:bookmarkStart w:id="128" w:name="_Toc462409161"/>
      <w:r>
        <w:rPr>
          <w:rStyle w:val="CharSectno"/>
        </w:rPr>
        <w:t>2.42</w:t>
      </w:r>
      <w:r>
        <w:t>.</w:t>
      </w:r>
      <w:r>
        <w:tab/>
        <w:t>Commissioner to make declaration</w:t>
      </w:r>
      <w:bookmarkEnd w:id="128"/>
    </w:p>
    <w:p>
      <w:pPr>
        <w:pStyle w:val="Subsection"/>
        <w:spacing w:before="120"/>
      </w:pPr>
      <w:r>
        <w:tab/>
        <w:t>(1)</w:t>
      </w:r>
      <w:r>
        <w:tab/>
        <w:t>A person cannot act in the office of commissioner until he or she has made a declaration in the prescribed form.</w:t>
      </w:r>
    </w:p>
    <w:p>
      <w:pPr>
        <w:pStyle w:val="Subsection"/>
        <w:spacing w:before="120"/>
      </w:pPr>
      <w:r>
        <w:tab/>
        <w:t>(2)</w:t>
      </w:r>
      <w:r>
        <w:tab/>
        <w:t>A person who acts in an office contrary to this section commits an offence.</w:t>
      </w:r>
    </w:p>
    <w:p>
      <w:pPr>
        <w:pStyle w:val="Penstart"/>
      </w:pPr>
      <w:r>
        <w:tab/>
        <w:t>Penalty: $5 000 or imprisonment for one year.</w:t>
      </w:r>
    </w:p>
    <w:p>
      <w:pPr>
        <w:pStyle w:val="Footnotesection"/>
      </w:pPr>
      <w:r>
        <w:tab/>
        <w:t>[Section 2.42 amended by No. 24 of 2005 s. 59.]</w:t>
      </w:r>
    </w:p>
    <w:p>
      <w:pPr>
        <w:pStyle w:val="Heading5"/>
        <w:spacing w:before="200"/>
      </w:pPr>
      <w:bookmarkStart w:id="129" w:name="_Toc462409162"/>
      <w:r>
        <w:rPr>
          <w:rStyle w:val="CharSectno"/>
        </w:rPr>
        <w:t>2.43</w:t>
      </w:r>
      <w:r>
        <w:t>.</w:t>
      </w:r>
      <w:r>
        <w:tab/>
        <w:t>Applicability of certain provisions of this Act</w:t>
      </w:r>
      <w:bookmarkEnd w:id="129"/>
    </w:p>
    <w:p>
      <w:pPr>
        <w:pStyle w:val="Subsection"/>
        <w:spacing w:before="120"/>
      </w:pPr>
      <w:r>
        <w:tab/>
        <w:t>(1)</w:t>
      </w:r>
      <w:r>
        <w:tab/>
        <w:t>Division 5 does not apply to a commissioner except to the extent required by Schedule 2.4, clauses 1 and 3(c).</w:t>
      </w:r>
    </w:p>
    <w:p>
      <w:pPr>
        <w:pStyle w:val="Subsection"/>
        <w:spacing w:before="120"/>
      </w:pPr>
      <w:r>
        <w:tab/>
        <w:t>(2)</w:t>
      </w:r>
      <w:r>
        <w:tab/>
        <w:t>Division 6 does not apply to a commissioner.</w:t>
      </w:r>
    </w:p>
    <w:p>
      <w:pPr>
        <w:pStyle w:val="Subsection"/>
        <w:spacing w:before="120"/>
      </w:pPr>
      <w:r>
        <w:tab/>
        <w:t>(3)</w:t>
      </w:r>
      <w:r>
        <w:tab/>
        <w:t>Part 5, Division 6 does not apply to an interest that a commissioner has in a question relating to a payment or reimbursement under Schedule 2.4, clause 5.</w:t>
      </w:r>
    </w:p>
    <w:p>
      <w:pPr>
        <w:pStyle w:val="Heading3"/>
        <w:pageBreakBefore/>
        <w:spacing w:before="0"/>
      </w:pPr>
      <w:bookmarkStart w:id="130" w:name="_Toc448218878"/>
      <w:bookmarkStart w:id="131" w:name="_Toc448224100"/>
      <w:bookmarkStart w:id="132" w:name="_Toc451179337"/>
      <w:bookmarkStart w:id="133" w:name="_Toc451430257"/>
      <w:bookmarkStart w:id="134" w:name="_Toc455396207"/>
      <w:bookmarkStart w:id="135" w:name="_Toc455397067"/>
      <w:bookmarkStart w:id="136" w:name="_Toc456086150"/>
      <w:bookmarkStart w:id="137" w:name="_Toc462409163"/>
      <w:r>
        <w:rPr>
          <w:rStyle w:val="CharDivNo"/>
        </w:rPr>
        <w:t>Division 8</w:t>
      </w:r>
      <w:r>
        <w:t> — </w:t>
      </w:r>
      <w:r>
        <w:rPr>
          <w:rStyle w:val="CharDivText"/>
        </w:rPr>
        <w:t>Local Government Advisory Board</w:t>
      </w:r>
      <w:bookmarkEnd w:id="130"/>
      <w:bookmarkEnd w:id="131"/>
      <w:bookmarkEnd w:id="132"/>
      <w:bookmarkEnd w:id="133"/>
      <w:bookmarkEnd w:id="134"/>
      <w:bookmarkEnd w:id="135"/>
      <w:bookmarkEnd w:id="136"/>
      <w:bookmarkEnd w:id="137"/>
    </w:p>
    <w:p>
      <w:pPr>
        <w:pStyle w:val="Heading5"/>
      </w:pPr>
      <w:bookmarkStart w:id="138" w:name="_Toc462409164"/>
      <w:r>
        <w:rPr>
          <w:rStyle w:val="CharSectno"/>
        </w:rPr>
        <w:t>2.44</w:t>
      </w:r>
      <w:r>
        <w:t>.</w:t>
      </w:r>
      <w:r>
        <w:tab/>
        <w:t>Advisory Board, establishment of</w:t>
      </w:r>
      <w:bookmarkEnd w:id="138"/>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pPr>
      <w:bookmarkStart w:id="139" w:name="_Toc462409165"/>
      <w:r>
        <w:rPr>
          <w:rStyle w:val="CharSectno"/>
        </w:rPr>
        <w:t>2.45</w:t>
      </w:r>
      <w:r>
        <w:t>.</w:t>
      </w:r>
      <w:r>
        <w:tab/>
        <w:t>Advisory Board, functions of</w:t>
      </w:r>
      <w:bookmarkEnd w:id="139"/>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 and</w:t>
      </w:r>
    </w:p>
    <w:p>
      <w:pPr>
        <w:pStyle w:val="Indenta"/>
      </w:pPr>
      <w:r>
        <w:tab/>
        <w:t>(b)</w:t>
      </w:r>
      <w:r>
        <w:tab/>
        <w:t>making recommendations to the Minister on those proposals; and</w:t>
      </w:r>
    </w:p>
    <w:p>
      <w:pPr>
        <w:pStyle w:val="Indenta"/>
      </w:pPr>
      <w:r>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keepNext/>
        <w:rPr>
          <w:spacing w:val="-2"/>
        </w:rPr>
      </w:pPr>
      <w:r>
        <w:rPr>
          <w:spacing w:val="-2"/>
        </w:rPr>
        <w:tab/>
        <w:t>(2)</w:t>
      </w:r>
      <w:r>
        <w:rPr>
          <w:spacing w:val="-2"/>
        </w:rPr>
        <w:tab/>
        <w:t>In subsection (1)(d) — </w:t>
      </w:r>
    </w:p>
    <w:p>
      <w:pPr>
        <w:pStyle w:val="Defstart"/>
      </w:pPr>
      <w:r>
        <w:rPr>
          <w:b/>
        </w:rPr>
        <w:tab/>
      </w:r>
      <w:r>
        <w:rPr>
          <w:rStyle w:val="CharDefText"/>
        </w:rPr>
        <w:t>relevant district</w:t>
      </w:r>
      <w:r>
        <w:t xml:space="preserve"> means a district to which the proposed recommendation relates or an adjoining district.</w:t>
      </w:r>
    </w:p>
    <w:p>
      <w:pPr>
        <w:pStyle w:val="Subsection"/>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140" w:name="_Toc448218881"/>
      <w:bookmarkStart w:id="141" w:name="_Toc448224103"/>
      <w:bookmarkStart w:id="142" w:name="_Toc451179340"/>
      <w:bookmarkStart w:id="143" w:name="_Toc451430260"/>
      <w:bookmarkStart w:id="144" w:name="_Toc455396210"/>
      <w:bookmarkStart w:id="145" w:name="_Toc455397070"/>
      <w:bookmarkStart w:id="146" w:name="_Toc456086153"/>
      <w:bookmarkStart w:id="147" w:name="_Toc462409166"/>
      <w:r>
        <w:rPr>
          <w:rStyle w:val="CharPartNo"/>
        </w:rPr>
        <w:t>Part 3</w:t>
      </w:r>
      <w:r>
        <w:t> — </w:t>
      </w:r>
      <w:r>
        <w:rPr>
          <w:rStyle w:val="CharPartText"/>
        </w:rPr>
        <w:t>Functions of local governments</w:t>
      </w:r>
      <w:bookmarkEnd w:id="140"/>
      <w:bookmarkEnd w:id="141"/>
      <w:bookmarkEnd w:id="142"/>
      <w:bookmarkEnd w:id="143"/>
      <w:bookmarkEnd w:id="144"/>
      <w:bookmarkEnd w:id="145"/>
      <w:bookmarkEnd w:id="146"/>
      <w:bookmarkEnd w:id="147"/>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describes the functions of a local government and deals with some important issues that the performance of those functions may involve.</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 1 describes the general function of a local government and contains some other general provisions;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Divisions 2 and 3 deal with legislative and executive functions respectively;</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4 allows functions to be performed by regional local governments.</w:t>
      </w:r>
    </w:p>
    <w:p>
      <w:pPr>
        <w:pStyle w:val="Heading3"/>
      </w:pPr>
      <w:bookmarkStart w:id="148" w:name="_Toc448218882"/>
      <w:bookmarkStart w:id="149" w:name="_Toc448224104"/>
      <w:bookmarkStart w:id="150" w:name="_Toc451179341"/>
      <w:bookmarkStart w:id="151" w:name="_Toc451430261"/>
      <w:bookmarkStart w:id="152" w:name="_Toc455396211"/>
      <w:bookmarkStart w:id="153" w:name="_Toc455397071"/>
      <w:bookmarkStart w:id="154" w:name="_Toc456086154"/>
      <w:bookmarkStart w:id="155" w:name="_Toc462409167"/>
      <w:r>
        <w:rPr>
          <w:rStyle w:val="CharDivNo"/>
        </w:rPr>
        <w:t>Division 1</w:t>
      </w:r>
      <w:r>
        <w:t> — </w:t>
      </w:r>
      <w:r>
        <w:rPr>
          <w:rStyle w:val="CharDivText"/>
        </w:rPr>
        <w:t>General</w:t>
      </w:r>
      <w:bookmarkEnd w:id="148"/>
      <w:bookmarkEnd w:id="149"/>
      <w:bookmarkEnd w:id="150"/>
      <w:bookmarkEnd w:id="151"/>
      <w:bookmarkEnd w:id="152"/>
      <w:bookmarkEnd w:id="153"/>
      <w:bookmarkEnd w:id="154"/>
      <w:bookmarkEnd w:id="155"/>
    </w:p>
    <w:p>
      <w:pPr>
        <w:pStyle w:val="Heading5"/>
      </w:pPr>
      <w:bookmarkStart w:id="156" w:name="_Toc462409168"/>
      <w:r>
        <w:rPr>
          <w:rStyle w:val="CharSectno"/>
        </w:rPr>
        <w:t>3.1</w:t>
      </w:r>
      <w:r>
        <w:t>.</w:t>
      </w:r>
      <w:r>
        <w:tab/>
        <w:t>General function</w:t>
      </w:r>
      <w:bookmarkEnd w:id="156"/>
    </w:p>
    <w:p>
      <w:pPr>
        <w:pStyle w:val="Subsection"/>
      </w:pPr>
      <w:r>
        <w:tab/>
        <w:t>(1)</w:t>
      </w:r>
      <w:r>
        <w:tab/>
        <w:t>The general function of a local government is to provide for the good government of persons in its district.</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Heading5"/>
      </w:pPr>
      <w:bookmarkStart w:id="157" w:name="_Toc462409169"/>
      <w:r>
        <w:rPr>
          <w:rStyle w:val="CharSectno"/>
        </w:rPr>
        <w:t>3.2</w:t>
      </w:r>
      <w:r>
        <w:t>.</w:t>
      </w:r>
      <w:r>
        <w:tab/>
        <w:t>Relationship to State Government</w:t>
      </w:r>
      <w:bookmarkEnd w:id="157"/>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158" w:name="_Toc462409170"/>
      <w:r>
        <w:rPr>
          <w:rStyle w:val="CharSectno"/>
        </w:rPr>
        <w:t>3.3</w:t>
      </w:r>
      <w:r>
        <w:t>.</w:t>
      </w:r>
      <w:r>
        <w:tab/>
        <w:t>Act not to affect Crown’s rights concerning alienated land</w:t>
      </w:r>
      <w:bookmarkEnd w:id="158"/>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159" w:name="_Toc462409171"/>
      <w:r>
        <w:rPr>
          <w:rStyle w:val="CharSectno"/>
        </w:rPr>
        <w:t>3.4</w:t>
      </w:r>
      <w:r>
        <w:t>.</w:t>
      </w:r>
      <w:r>
        <w:tab/>
        <w:t>Functions may be legislative or executive</w:t>
      </w:r>
      <w:bookmarkEnd w:id="159"/>
    </w:p>
    <w:p>
      <w:pPr>
        <w:pStyle w:val="Subsection"/>
      </w:pPr>
      <w:r>
        <w:tab/>
      </w:r>
      <w:r>
        <w:tab/>
        <w:t>The general function of a local government includes legislative and executive functions.</w:t>
      </w:r>
    </w:p>
    <w:p>
      <w:pPr>
        <w:pStyle w:val="Heading3"/>
      </w:pPr>
      <w:bookmarkStart w:id="160" w:name="_Toc448218887"/>
      <w:bookmarkStart w:id="161" w:name="_Toc448224109"/>
      <w:bookmarkStart w:id="162" w:name="_Toc451179346"/>
      <w:bookmarkStart w:id="163" w:name="_Toc451430266"/>
      <w:bookmarkStart w:id="164" w:name="_Toc455396216"/>
      <w:bookmarkStart w:id="165" w:name="_Toc455397076"/>
      <w:bookmarkStart w:id="166" w:name="_Toc456086159"/>
      <w:bookmarkStart w:id="167" w:name="_Toc462409172"/>
      <w:r>
        <w:rPr>
          <w:rStyle w:val="CharDivNo"/>
        </w:rPr>
        <w:t>Division 2</w:t>
      </w:r>
      <w:r>
        <w:t> — </w:t>
      </w:r>
      <w:r>
        <w:rPr>
          <w:rStyle w:val="CharDivText"/>
        </w:rPr>
        <w:t>Legislative functions of local governments</w:t>
      </w:r>
      <w:bookmarkEnd w:id="160"/>
      <w:bookmarkEnd w:id="161"/>
      <w:bookmarkEnd w:id="162"/>
      <w:bookmarkEnd w:id="163"/>
      <w:bookmarkEnd w:id="164"/>
      <w:bookmarkEnd w:id="165"/>
      <w:bookmarkEnd w:id="166"/>
      <w:bookmarkEnd w:id="167"/>
    </w:p>
    <w:p>
      <w:pPr>
        <w:pStyle w:val="Heading4"/>
      </w:pPr>
      <w:bookmarkStart w:id="168" w:name="_Toc448218888"/>
      <w:bookmarkStart w:id="169" w:name="_Toc448224110"/>
      <w:bookmarkStart w:id="170" w:name="_Toc451179347"/>
      <w:bookmarkStart w:id="171" w:name="_Toc451430267"/>
      <w:bookmarkStart w:id="172" w:name="_Toc455396217"/>
      <w:bookmarkStart w:id="173" w:name="_Toc455397077"/>
      <w:bookmarkStart w:id="174" w:name="_Toc456086160"/>
      <w:bookmarkStart w:id="175" w:name="_Toc462409173"/>
      <w:r>
        <w:t>Subdivision 1 — Local laws made under this Act</w:t>
      </w:r>
      <w:bookmarkEnd w:id="168"/>
      <w:bookmarkEnd w:id="169"/>
      <w:bookmarkEnd w:id="170"/>
      <w:bookmarkEnd w:id="171"/>
      <w:bookmarkEnd w:id="172"/>
      <w:bookmarkEnd w:id="173"/>
      <w:bookmarkEnd w:id="174"/>
      <w:bookmarkEnd w:id="175"/>
    </w:p>
    <w:p>
      <w:pPr>
        <w:pStyle w:val="Heading5"/>
      </w:pPr>
      <w:bookmarkStart w:id="176" w:name="_Toc462409174"/>
      <w:r>
        <w:rPr>
          <w:rStyle w:val="CharSectno"/>
        </w:rPr>
        <w:t>3</w:t>
      </w:r>
      <w:r>
        <w:t>.5.</w:t>
      </w:r>
      <w:r>
        <w:tab/>
        <w:t>Legislative power of local governments</w:t>
      </w:r>
      <w:bookmarkEnd w:id="176"/>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(4A)</w:t>
      </w:r>
      <w:r>
        <w:tab/>
        <w:t xml:space="preserve">Nothing in the </w:t>
      </w:r>
      <w:r>
        <w:rPr>
          <w:i/>
          <w:iCs/>
        </w:rPr>
        <w:t>Building Act 2011</w:t>
      </w:r>
      <w:r>
        <w:t xml:space="preserve"> prevents a local government from making local laws under this Act about building work, demolition work, a standard for the construction or demolition of buildings or incidental structures, or the use and maintenance of, and requirements in relation to, existing buildings or incidental structures, as those terms are defined in section 3 of that Act.</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by No. 64 of 1998 s. 5; No. 24 of 2011 s. 166(2).]</w:t>
      </w:r>
    </w:p>
    <w:p>
      <w:pPr>
        <w:pStyle w:val="Heading5"/>
      </w:pPr>
      <w:bookmarkStart w:id="177" w:name="_Toc462409175"/>
      <w:r>
        <w:rPr>
          <w:rStyle w:val="CharSectno"/>
        </w:rPr>
        <w:t>3.6</w:t>
      </w:r>
      <w:r>
        <w:t>.</w:t>
      </w:r>
      <w:r>
        <w:tab/>
        <w:t>Places outside district</w:t>
      </w:r>
      <w:bookmarkEnd w:id="177"/>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178" w:name="_Toc462409176"/>
      <w:r>
        <w:rPr>
          <w:rStyle w:val="CharSectno"/>
        </w:rPr>
        <w:t>3.7</w:t>
      </w:r>
      <w:r>
        <w:t>.</w:t>
      </w:r>
      <w:r>
        <w:tab/>
        <w:t>Inconsistency with written laws</w:t>
      </w:r>
      <w:bookmarkEnd w:id="178"/>
    </w:p>
    <w:p>
      <w:pPr>
        <w:pStyle w:val="Subsection"/>
      </w:pPr>
      <w:r>
        <w:tab/>
      </w:r>
      <w:r>
        <w:tab/>
        <w:t>A local law made under this Act is inoperative to the extent that it is inconsistent with this Act or any other written law.</w:t>
      </w:r>
    </w:p>
    <w:p>
      <w:pPr>
        <w:pStyle w:val="Heading5"/>
      </w:pPr>
      <w:bookmarkStart w:id="179" w:name="_Toc462409177"/>
      <w:r>
        <w:rPr>
          <w:rStyle w:val="CharSectno"/>
        </w:rPr>
        <w:t>3.8</w:t>
      </w:r>
      <w:r>
        <w:t>.</w:t>
      </w:r>
      <w:r>
        <w:tab/>
        <w:t>Local laws may adopt codes etc.</w:t>
      </w:r>
      <w:bookmarkEnd w:id="179"/>
    </w:p>
    <w:p>
      <w:pPr>
        <w:pStyle w:val="Subsection"/>
      </w:pPr>
      <w:r>
        <w:tab/>
        <w:t>(1)</w:t>
      </w:r>
      <w:r>
        <w:tab/>
        <w:t>A local law made under this Act may adopt the text of — </w:t>
      </w:r>
    </w:p>
    <w:p>
      <w:pPr>
        <w:pStyle w:val="Indenta"/>
      </w:pPr>
      <w:r>
        <w:tab/>
        <w:t>(a)</w:t>
      </w:r>
      <w:r>
        <w:tab/>
        <w:t>any model local law, or amendment to it, published under section 3.9; or</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 or</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by No. 74 of 2003 s. 79.]</w:t>
      </w:r>
    </w:p>
    <w:p>
      <w:pPr>
        <w:pStyle w:val="Heading5"/>
      </w:pPr>
      <w:bookmarkStart w:id="180" w:name="_Toc462409178"/>
      <w:r>
        <w:rPr>
          <w:rStyle w:val="CharSectno"/>
        </w:rPr>
        <w:t>3.9</w:t>
      </w:r>
      <w:r>
        <w:t>.</w:t>
      </w:r>
      <w:r>
        <w:tab/>
        <w:t>Model local laws</w:t>
      </w:r>
      <w:bookmarkEnd w:id="180"/>
    </w:p>
    <w:p>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spacing w:before="180"/>
      </w:pPr>
      <w:bookmarkStart w:id="181" w:name="_Toc462409179"/>
      <w:r>
        <w:rPr>
          <w:rStyle w:val="CharSectno"/>
        </w:rPr>
        <w:t>3.10</w:t>
      </w:r>
      <w:r>
        <w:t>.</w:t>
      </w:r>
      <w:r>
        <w:tab/>
        <w:t>Creating offences and prescribing penalties</w:t>
      </w:r>
      <w:bookmarkEnd w:id="181"/>
    </w:p>
    <w:p>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spacing w:before="120"/>
      </w:pPr>
      <w:r>
        <w:tab/>
        <w:t>[(5)</w:t>
      </w:r>
      <w:r>
        <w:tab/>
        <w:t>deleted]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by No. 1 of 1998 s. 7.]</w:t>
      </w:r>
    </w:p>
    <w:p>
      <w:pPr>
        <w:pStyle w:val="Heading4"/>
        <w:keepNext w:val="0"/>
        <w:spacing w:before="180"/>
      </w:pPr>
      <w:bookmarkStart w:id="182" w:name="_Toc448218895"/>
      <w:bookmarkStart w:id="183" w:name="_Toc448224117"/>
      <w:bookmarkStart w:id="184" w:name="_Toc451179354"/>
      <w:bookmarkStart w:id="185" w:name="_Toc451430274"/>
      <w:bookmarkStart w:id="186" w:name="_Toc455396224"/>
      <w:bookmarkStart w:id="187" w:name="_Toc455397084"/>
      <w:bookmarkStart w:id="188" w:name="_Toc456086167"/>
      <w:bookmarkStart w:id="189" w:name="_Toc462409180"/>
      <w:r>
        <w:t>Subdivision 2 — Local laws made under any Act</w:t>
      </w:r>
      <w:bookmarkEnd w:id="182"/>
      <w:bookmarkEnd w:id="183"/>
      <w:bookmarkEnd w:id="184"/>
      <w:bookmarkEnd w:id="185"/>
      <w:bookmarkEnd w:id="186"/>
      <w:bookmarkEnd w:id="187"/>
      <w:bookmarkEnd w:id="188"/>
      <w:bookmarkEnd w:id="189"/>
    </w:p>
    <w:p>
      <w:pPr>
        <w:pStyle w:val="Heading5"/>
        <w:keepNext w:val="0"/>
        <w:keepLines w:val="0"/>
        <w:spacing w:before="180"/>
      </w:pPr>
      <w:bookmarkStart w:id="190" w:name="_Toc462409181"/>
      <w:r>
        <w:rPr>
          <w:rStyle w:val="CharSectno"/>
        </w:rPr>
        <w:t>3.11</w:t>
      </w:r>
      <w:r>
        <w:t>.</w:t>
      </w:r>
      <w:r>
        <w:tab/>
        <w:t>Subdivision applies to local laws made under any Act</w:t>
      </w:r>
      <w:bookmarkEnd w:id="190"/>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191" w:name="_Toc462409182"/>
      <w:r>
        <w:rPr>
          <w:rStyle w:val="CharSectno"/>
        </w:rPr>
        <w:t>3.12</w:t>
      </w:r>
      <w:r>
        <w:t>.</w:t>
      </w:r>
      <w:r>
        <w:tab/>
        <w:t>Procedure for making local laws</w:t>
      </w:r>
      <w:bookmarkEnd w:id="191"/>
    </w:p>
    <w:p>
      <w:pPr>
        <w:pStyle w:val="Subsection"/>
      </w:pPr>
      <w:r>
        <w:tab/>
        <w:t>(1)</w:t>
      </w:r>
      <w:r>
        <w:tab/>
        <w:t>In making a local law a local government is to follow the procedure described in this section, in the sequence in which it is described.</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The local government is to — </w:t>
      </w:r>
    </w:p>
    <w:p>
      <w:pPr>
        <w:pStyle w:val="Indenta"/>
      </w:pPr>
      <w:r>
        <w:tab/>
        <w:t>(a)</w:t>
      </w:r>
      <w:r>
        <w:tab/>
        <w:t>give Statewide public notice stating that — </w:t>
      </w:r>
    </w:p>
    <w:p>
      <w:pPr>
        <w:pStyle w:val="Indenti"/>
      </w:pPr>
      <w:r>
        <w:tab/>
        <w:t>(i)</w:t>
      </w:r>
      <w:r>
        <w:tab/>
        <w:t>the local government proposes to make a local law the purpose and effect of which is summarized in the notice; and</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as soon as the notice is given, give a copy of the proposed local law and a copy of the notice to the Minister and, if another Minister administers the Act under which the local law is proposed to be made, to that other Minister; and</w:t>
      </w:r>
    </w:p>
    <w:p>
      <w:pPr>
        <w:pStyle w:val="Indenta"/>
      </w:pPr>
      <w:r>
        <w:tab/>
        <w:t>(c)</w:t>
      </w:r>
      <w:r>
        <w:tab/>
        <w:t>provide a copy of the proposed local law, in accordance with the notice, to any person requesting it.</w:t>
      </w:r>
    </w:p>
    <w:p>
      <w:pPr>
        <w:pStyle w:val="Subsection"/>
      </w:pPr>
      <w:r>
        <w:tab/>
        <w:t>(3a)</w:t>
      </w:r>
      <w:r>
        <w:tab/>
        <w:t>A notice under subsection (3) is also to be published and exhibited as if it were a local public notice.</w:t>
      </w:r>
    </w:p>
    <w:p>
      <w:pPr>
        <w:pStyle w:val="Subsection"/>
      </w:pPr>
      <w:r>
        <w:tab/>
        <w:t>(4)</w:t>
      </w:r>
      <w:r>
        <w:tab/>
        <w:t>After the last day for submissions, the local government is to consider any submissions made and may make the local law* as proposed or make a local law* that is not significantly different from what was proposed.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pPr>
        <w:pStyle w:val="Subsection"/>
      </w:pPr>
      <w:r>
        <w:tab/>
        <w:t>(6)</w:t>
      </w:r>
      <w:r>
        <w:tab/>
        <w:t xml:space="preserve">After the local law has been published in the </w:t>
      </w:r>
      <w:r>
        <w:rPr>
          <w:i/>
        </w:rPr>
        <w:t>Gazette</w:t>
      </w:r>
      <w:r>
        <w:t xml:space="preserve"> the local government is to give local public notice — </w:t>
      </w:r>
    </w:p>
    <w:p>
      <w:pPr>
        <w:pStyle w:val="Indenta"/>
      </w:pPr>
      <w:r>
        <w:tab/>
        <w:t>(a)</w:t>
      </w:r>
      <w:r>
        <w:tab/>
        <w:t>stating the title of the local law; and</w:t>
      </w:r>
    </w:p>
    <w:p>
      <w:pPr>
        <w:pStyle w:val="Indenta"/>
      </w:pPr>
      <w:r>
        <w:tab/>
        <w:t>(b)</w:t>
      </w:r>
      <w:r>
        <w:tab/>
        <w:t>summarizing the purpose and effect of the local law (specifying the day on which it comes into operation); and</w:t>
      </w:r>
    </w:p>
    <w:p>
      <w:pPr>
        <w:pStyle w:val="Indenta"/>
      </w:pPr>
      <w:r>
        <w:tab/>
        <w:t>(c)</w:t>
      </w:r>
      <w:r>
        <w:tab/>
        <w:t>advising that copies of the local law may be inspected or obtained from the local government’s office.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pPr>
      <w:r>
        <w:tab/>
        <w:t>(8)</w:t>
      </w:r>
      <w:r>
        <w:tab/>
        <w:t xml:space="preserve">In this section — </w:t>
      </w:r>
    </w:p>
    <w:p>
      <w:pPr>
        <w:pStyle w:val="Defstart"/>
      </w:pPr>
      <w:r>
        <w:rPr>
          <w:b/>
        </w:rPr>
        <w:tab/>
      </w:r>
      <w:r>
        <w:rPr>
          <w:rStyle w:val="CharDefText"/>
        </w:rPr>
        <w:t>making</w:t>
      </w:r>
      <w:r>
        <w:t xml:space="preserve"> in relation to a local law, includes making a local law to amend the text of, or repeal, a local law.</w:t>
      </w:r>
    </w:p>
    <w:p>
      <w:pPr>
        <w:pStyle w:val="Footnotesection"/>
      </w:pPr>
      <w:r>
        <w:tab/>
        <w:t>[Section 3.12 amended by No. 1 of 1998 s. 8; No. 64 of 1998 s. 6; No. 49 of 2004 s. 16(4) and 23.]</w:t>
      </w:r>
    </w:p>
    <w:p>
      <w:pPr>
        <w:pStyle w:val="Heading5"/>
      </w:pPr>
      <w:bookmarkStart w:id="192" w:name="_Toc462409183"/>
      <w:r>
        <w:rPr>
          <w:rStyle w:val="CharSectno"/>
        </w:rPr>
        <w:t>3.13</w:t>
      </w:r>
      <w:r>
        <w:t>.</w:t>
      </w:r>
      <w:r>
        <w:tab/>
        <w:t>Procedure where significant change in proposal</w:t>
      </w:r>
      <w:bookmarkEnd w:id="192"/>
    </w:p>
    <w:p>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pPr>
        <w:pStyle w:val="Heading5"/>
      </w:pPr>
      <w:bookmarkStart w:id="193" w:name="_Toc462409184"/>
      <w:r>
        <w:rPr>
          <w:rStyle w:val="CharSectno"/>
        </w:rPr>
        <w:t>3.14</w:t>
      </w:r>
      <w:r>
        <w:t>.</w:t>
      </w:r>
      <w:r>
        <w:tab/>
        <w:t>Commencement of local laws</w:t>
      </w:r>
      <w:bookmarkEnd w:id="193"/>
    </w:p>
    <w:p>
      <w:pPr>
        <w:pStyle w:val="Subsection"/>
      </w:pPr>
      <w:r>
        <w:tab/>
        <w:t>(1)</w:t>
      </w:r>
      <w:r>
        <w:tab/>
        <w:t>Unless it is made under section 3.17, a local law comes into operation on the 14</w:t>
      </w:r>
      <w:r>
        <w:rPr>
          <w:vertAlign w:val="superscript"/>
        </w:rPr>
        <w:t>th</w:t>
      </w:r>
      <w:r>
        <w:t xml:space="preserve">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by No. 1 of 1998 s. 9.]</w:t>
      </w:r>
    </w:p>
    <w:p>
      <w:pPr>
        <w:pStyle w:val="Heading5"/>
        <w:keepLines w:val="0"/>
      </w:pPr>
      <w:bookmarkStart w:id="194" w:name="_Toc462409185"/>
      <w:r>
        <w:rPr>
          <w:rStyle w:val="CharSectno"/>
        </w:rPr>
        <w:t>3.15</w:t>
      </w:r>
      <w:r>
        <w:t>.</w:t>
      </w:r>
      <w:r>
        <w:tab/>
        <w:t>Local laws to be publicised</w:t>
      </w:r>
      <w:bookmarkEnd w:id="194"/>
    </w:p>
    <w:p>
      <w:pPr>
        <w:pStyle w:val="Subsection"/>
      </w:pPr>
      <w:r>
        <w:tab/>
      </w:r>
      <w:r>
        <w:tab/>
        <w:t>A local government is to take reasonable steps to ensure that the inhabitants of the district are informed of the purpose and effect of all of its local laws.</w:t>
      </w:r>
    </w:p>
    <w:p>
      <w:pPr>
        <w:pStyle w:val="Heading5"/>
        <w:spacing w:before="200"/>
      </w:pPr>
      <w:bookmarkStart w:id="195" w:name="_Toc462409186"/>
      <w:r>
        <w:rPr>
          <w:rStyle w:val="CharSectno"/>
        </w:rPr>
        <w:t>3.16</w:t>
      </w:r>
      <w:r>
        <w:t>.</w:t>
      </w:r>
      <w:r>
        <w:tab/>
        <w:t>Periodic review of local laws</w:t>
      </w:r>
      <w:bookmarkEnd w:id="195"/>
    </w:p>
    <w:p>
      <w:pPr>
        <w:pStyle w:val="Subsection"/>
      </w:pPr>
      <w:r>
        <w:tab/>
        <w:t>(1)</w:t>
      </w:r>
      <w:r>
        <w:tab/>
        <w:t>Within a period of 8 years from the day when a local law commenced or a report of a review of the local law was accepted under this section, as the case requires, a local government is to carry out a review of the local law to determine whether or not it considers that it should be repealed or amended.</w:t>
      </w:r>
    </w:p>
    <w:p>
      <w:pPr>
        <w:pStyle w:val="Subsection"/>
      </w:pPr>
      <w:r>
        <w:tab/>
        <w:t>(2)</w:t>
      </w:r>
      <w:r>
        <w:tab/>
        <w:t>The local government is to give Statewide public notice stating that — </w:t>
      </w:r>
    </w:p>
    <w:p>
      <w:pPr>
        <w:pStyle w:val="Indenta"/>
      </w:pPr>
      <w:r>
        <w:tab/>
        <w:t>(a)</w:t>
      </w:r>
      <w:r>
        <w:tab/>
        <w:t>the local government proposes to review the local law; and</w:t>
      </w:r>
    </w:p>
    <w:p>
      <w:pPr>
        <w:pStyle w:val="Indenta"/>
      </w:pPr>
      <w:r>
        <w:tab/>
        <w:t>(b)</w:t>
      </w:r>
      <w:r>
        <w:tab/>
        <w:t>a copy of the local law may be inspected or obtained at any place specified in the notice; and</w:t>
      </w:r>
    </w:p>
    <w:p>
      <w:pPr>
        <w:pStyle w:val="Indenta"/>
      </w:pPr>
      <w:r>
        <w:tab/>
        <w:t>(c)</w:t>
      </w:r>
      <w:r>
        <w:tab/>
        <w:t>submissions about the local law may be made to the local government before a day to be specified in the notice, being a day that is not less than 6 weeks after the notice is given.</w:t>
      </w:r>
    </w:p>
    <w:p>
      <w:pPr>
        <w:pStyle w:val="Subsection"/>
      </w:pPr>
      <w:r>
        <w:tab/>
        <w:t>(2a)</w:t>
      </w:r>
      <w:r>
        <w:tab/>
        <w:t>A notice under subsection (2) is also to be published and exhibited as if it were a local public notice.</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When its council has considered the report, the local government may determine* whether or not it considers that the local law should be repealed or amended.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spacing w:before="80"/>
        <w:ind w:left="890" w:hanging="890"/>
      </w:pPr>
      <w:r>
        <w:tab/>
        <w:t>[Section 3.16 amended by No. 64 of 1998 s. 7; No. 49 of 2004 s. 24.]</w:t>
      </w:r>
    </w:p>
    <w:p>
      <w:pPr>
        <w:pStyle w:val="Heading5"/>
      </w:pPr>
      <w:bookmarkStart w:id="196" w:name="_Toc462409187"/>
      <w:r>
        <w:rPr>
          <w:rStyle w:val="CharSectno"/>
        </w:rPr>
        <w:t>3.17</w:t>
      </w:r>
      <w:r>
        <w:t>.</w:t>
      </w:r>
      <w:r>
        <w:tab/>
        <w:t>Governor may amend or repeal local laws</w:t>
      </w:r>
      <w:bookmarkEnd w:id="196"/>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pPr>
      <w:r>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Heading3"/>
      </w:pPr>
      <w:bookmarkStart w:id="197" w:name="_Toc448218903"/>
      <w:bookmarkStart w:id="198" w:name="_Toc448224125"/>
      <w:bookmarkStart w:id="199" w:name="_Toc451179362"/>
      <w:bookmarkStart w:id="200" w:name="_Toc451430282"/>
      <w:bookmarkStart w:id="201" w:name="_Toc455396232"/>
      <w:bookmarkStart w:id="202" w:name="_Toc455397092"/>
      <w:bookmarkStart w:id="203" w:name="_Toc456086175"/>
      <w:bookmarkStart w:id="204" w:name="_Toc462409188"/>
      <w:r>
        <w:rPr>
          <w:rStyle w:val="CharDivNo"/>
        </w:rPr>
        <w:t>Division 3</w:t>
      </w:r>
      <w:r>
        <w:t> — </w:t>
      </w:r>
      <w:r>
        <w:rPr>
          <w:rStyle w:val="CharDivText"/>
        </w:rPr>
        <w:t>Executive functions of local governments</w:t>
      </w:r>
      <w:bookmarkEnd w:id="197"/>
      <w:bookmarkEnd w:id="198"/>
      <w:bookmarkEnd w:id="199"/>
      <w:bookmarkEnd w:id="200"/>
      <w:bookmarkEnd w:id="201"/>
      <w:bookmarkEnd w:id="202"/>
      <w:bookmarkEnd w:id="203"/>
      <w:bookmarkEnd w:id="204"/>
    </w:p>
    <w:p>
      <w:pPr>
        <w:pStyle w:val="Heading4"/>
      </w:pPr>
      <w:bookmarkStart w:id="205" w:name="_Toc448218904"/>
      <w:bookmarkStart w:id="206" w:name="_Toc448224126"/>
      <w:bookmarkStart w:id="207" w:name="_Toc451179363"/>
      <w:bookmarkStart w:id="208" w:name="_Toc451430283"/>
      <w:bookmarkStart w:id="209" w:name="_Toc455396233"/>
      <w:bookmarkStart w:id="210" w:name="_Toc455397093"/>
      <w:bookmarkStart w:id="211" w:name="_Toc456086176"/>
      <w:bookmarkStart w:id="212" w:name="_Toc462409189"/>
      <w:r>
        <w:t>Subdivision 1 — Performing executive functions</w:t>
      </w:r>
      <w:bookmarkEnd w:id="205"/>
      <w:bookmarkEnd w:id="206"/>
      <w:bookmarkEnd w:id="207"/>
      <w:bookmarkEnd w:id="208"/>
      <w:bookmarkEnd w:id="209"/>
      <w:bookmarkEnd w:id="210"/>
      <w:bookmarkEnd w:id="211"/>
      <w:bookmarkEnd w:id="212"/>
    </w:p>
    <w:p>
      <w:pPr>
        <w:pStyle w:val="Heading5"/>
      </w:pPr>
      <w:bookmarkStart w:id="213" w:name="_Toc462409190"/>
      <w:r>
        <w:rPr>
          <w:rStyle w:val="CharSectno"/>
        </w:rPr>
        <w:t>3.18</w:t>
      </w:r>
      <w:r>
        <w:t>.</w:t>
      </w:r>
      <w:r>
        <w:tab/>
        <w:t>Performing executive functions</w:t>
      </w:r>
      <w:bookmarkEnd w:id="213"/>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 and</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214" w:name="_Toc462409191"/>
      <w:r>
        <w:rPr>
          <w:rStyle w:val="CharSectno"/>
        </w:rPr>
        <w:t>3.19</w:t>
      </w:r>
      <w:r>
        <w:t>.</w:t>
      </w:r>
      <w:r>
        <w:tab/>
        <w:t>Places to be regarded as within district</w:t>
      </w:r>
      <w:bookmarkEnd w:id="214"/>
    </w:p>
    <w:p>
      <w:pPr>
        <w:pStyle w:val="Subsection"/>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215" w:name="_Toc462409192"/>
      <w:r>
        <w:rPr>
          <w:rStyle w:val="CharSectno"/>
        </w:rPr>
        <w:t>3.20</w:t>
      </w:r>
      <w:r>
        <w:t>.</w:t>
      </w:r>
      <w:r>
        <w:tab/>
        <w:t>Performing functions outside district</w:t>
      </w:r>
      <w:bookmarkEnd w:id="215"/>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 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tab/>
        <w:t>(2)</w:t>
      </w:r>
      <w:r>
        <w:tab/>
        <w:t>This section does not apply to anything that a local government does in the district of another local government if it is done on behalf of the local government of that district.</w:t>
      </w:r>
    </w:p>
    <w:p>
      <w:pPr>
        <w:pStyle w:val="Heading5"/>
      </w:pPr>
      <w:bookmarkStart w:id="216" w:name="_Toc462409193"/>
      <w:r>
        <w:rPr>
          <w:rStyle w:val="CharSectno"/>
        </w:rPr>
        <w:t>3.21</w:t>
      </w:r>
      <w:r>
        <w:t>.</w:t>
      </w:r>
      <w:r>
        <w:tab/>
        <w:t>Duties when performing functions</w:t>
      </w:r>
      <w:bookmarkEnd w:id="216"/>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 and</w:t>
      </w:r>
    </w:p>
    <w:p>
      <w:pPr>
        <w:pStyle w:val="Indenti"/>
      </w:pPr>
      <w:r>
        <w:tab/>
        <w:t>(ii)</w:t>
      </w:r>
      <w:r>
        <w:tab/>
        <w:t>as little harm or inconvenience is caused and as little damage is done as is possible; and</w:t>
      </w:r>
    </w:p>
    <w:p>
      <w:pPr>
        <w:pStyle w:val="Indenti"/>
      </w:pPr>
      <w:r>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 and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tab/>
        <w:t>(2)</w:t>
      </w:r>
      <w:r>
        <w:tab/>
        <w:t>Subsection (1)(b) does not apply to any land, premises or thing that is local government property.</w:t>
      </w:r>
    </w:p>
    <w:p>
      <w:pPr>
        <w:pStyle w:val="Heading5"/>
      </w:pPr>
      <w:bookmarkStart w:id="217" w:name="_Toc462409194"/>
      <w:r>
        <w:rPr>
          <w:rStyle w:val="CharSectno"/>
        </w:rPr>
        <w:t>3.22</w:t>
      </w:r>
      <w:r>
        <w:t>.</w:t>
      </w:r>
      <w:r>
        <w:tab/>
        <w:t>Compensation</w:t>
      </w:r>
      <w:bookmarkEnd w:id="217"/>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 or</w:t>
      </w:r>
    </w:p>
    <w:p>
      <w:pPr>
        <w:pStyle w:val="Indenta"/>
      </w:pPr>
      <w:r>
        <w:tab/>
        <w:t>(b)</w:t>
      </w:r>
      <w:r>
        <w:tab/>
        <w:t>closing or restricting the use of a thoroughfare under section 3.50 or a power given by any other written law; or</w:t>
      </w:r>
    </w:p>
    <w:p>
      <w:pPr>
        <w:pStyle w:val="Indenta"/>
      </w:pPr>
      <w:r>
        <w:tab/>
        <w:t>(c)</w:t>
      </w:r>
      <w:r>
        <w:tab/>
        <w:t>performing functions under section 3.51(2)(b); or</w:t>
      </w:r>
    </w:p>
    <w:p>
      <w:pPr>
        <w:pStyle w:val="Indenta"/>
      </w:pPr>
      <w:r>
        <w:tab/>
        <w:t>(d)</w:t>
      </w:r>
      <w:r>
        <w:tab/>
        <w:t>performing any other prescribed function.</w:t>
      </w:r>
    </w:p>
    <w:p>
      <w:pPr>
        <w:pStyle w:val="Subsection"/>
      </w:pPr>
      <w:r>
        <w:tab/>
        <w:t>(6)</w:t>
      </w:r>
      <w:r>
        <w:tab/>
        <w:t>This section does not limit section 9.57.</w:t>
      </w:r>
    </w:p>
    <w:p>
      <w:pPr>
        <w:pStyle w:val="Subsection"/>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by No. 64 of 1998 s. 14(2).]</w:t>
      </w:r>
    </w:p>
    <w:p>
      <w:pPr>
        <w:pStyle w:val="Heading5"/>
        <w:spacing w:before="180"/>
      </w:pPr>
      <w:bookmarkStart w:id="218" w:name="_Toc462409195"/>
      <w:r>
        <w:rPr>
          <w:rStyle w:val="CharSectno"/>
        </w:rPr>
        <w:t>3.23</w:t>
      </w:r>
      <w:r>
        <w:t>.</w:t>
      </w:r>
      <w:r>
        <w:tab/>
        <w:t>Arbitration</w:t>
      </w:r>
      <w:bookmarkEnd w:id="218"/>
    </w:p>
    <w:p>
      <w:pPr>
        <w:pStyle w:val="Subsection"/>
        <w:spacing w:before="120"/>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2012</w:t>
      </w:r>
      <w:r>
        <w:t>; and</w:t>
      </w:r>
    </w:p>
    <w:p>
      <w:pPr>
        <w:pStyle w:val="Indenta"/>
      </w:pPr>
      <w:r>
        <w:tab/>
        <w:t>(b)</w:t>
      </w:r>
      <w:r>
        <w:tab/>
        <w:t xml:space="preserve">the </w:t>
      </w:r>
      <w:r>
        <w:rPr>
          <w:i/>
        </w:rPr>
        <w:t xml:space="preserve">Commercial Arbitration Act 2012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 Act 2012</w:t>
      </w:r>
      <w:r>
        <w:t xml:space="preserve"> that apply if a party defaults in the exercise of a power of appointment.</w:t>
      </w:r>
    </w:p>
    <w:p>
      <w:pPr>
        <w:pStyle w:val="Footnotesection"/>
        <w:spacing w:before="80"/>
        <w:ind w:left="890" w:hanging="890"/>
      </w:pPr>
      <w:r>
        <w:tab/>
        <w:t>[Section 3.23 amended by No. 23 of 2012 s. 45.]</w:t>
      </w:r>
    </w:p>
    <w:p>
      <w:pPr>
        <w:pStyle w:val="Heading4"/>
      </w:pPr>
      <w:bookmarkStart w:id="219" w:name="_Toc448218911"/>
      <w:bookmarkStart w:id="220" w:name="_Toc448224133"/>
      <w:bookmarkStart w:id="221" w:name="_Toc451179370"/>
      <w:bookmarkStart w:id="222" w:name="_Toc451430290"/>
      <w:bookmarkStart w:id="223" w:name="_Toc455396240"/>
      <w:bookmarkStart w:id="224" w:name="_Toc455397100"/>
      <w:bookmarkStart w:id="225" w:name="_Toc456086183"/>
      <w:bookmarkStart w:id="226" w:name="_Toc462409196"/>
      <w:r>
        <w:t>Subdivision 2 — Certain provisions about land</w:t>
      </w:r>
      <w:bookmarkEnd w:id="219"/>
      <w:bookmarkEnd w:id="220"/>
      <w:bookmarkEnd w:id="221"/>
      <w:bookmarkEnd w:id="222"/>
      <w:bookmarkEnd w:id="223"/>
      <w:bookmarkEnd w:id="224"/>
      <w:bookmarkEnd w:id="225"/>
      <w:bookmarkEnd w:id="226"/>
    </w:p>
    <w:p>
      <w:pPr>
        <w:pStyle w:val="Heading5"/>
      </w:pPr>
      <w:bookmarkStart w:id="227" w:name="_Toc462409197"/>
      <w:r>
        <w:rPr>
          <w:rStyle w:val="CharSectno"/>
        </w:rPr>
        <w:t>3.24</w:t>
      </w:r>
      <w:r>
        <w:t>.</w:t>
      </w:r>
      <w:r>
        <w:tab/>
        <w:t>Authorising persons under this Subdivision</w:t>
      </w:r>
      <w:bookmarkEnd w:id="227"/>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228" w:name="_Toc462409198"/>
      <w:r>
        <w:rPr>
          <w:rStyle w:val="CharSectno"/>
        </w:rPr>
        <w:t>3.25</w:t>
      </w:r>
      <w:r>
        <w:t>.</w:t>
      </w:r>
      <w:r>
        <w:tab/>
        <w:t>Notices requiring certain things to be done by owner or occupier of land</w:t>
      </w:r>
      <w:bookmarkEnd w:id="228"/>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Footnotesection"/>
      </w:pPr>
      <w:r>
        <w:tab/>
        <w:t>[Section 3.25 amended by No. 55 of 2004 s. 687.]</w:t>
      </w:r>
    </w:p>
    <w:p>
      <w:pPr>
        <w:pStyle w:val="Heading5"/>
      </w:pPr>
      <w:bookmarkStart w:id="229" w:name="_Toc462409199"/>
      <w:r>
        <w:rPr>
          <w:rStyle w:val="CharSectno"/>
        </w:rPr>
        <w:t>3.26</w:t>
      </w:r>
      <w:r>
        <w:t>.</w:t>
      </w:r>
      <w:r>
        <w:tab/>
        <w:t>Additional powers when notices given</w:t>
      </w:r>
      <w:bookmarkEnd w:id="229"/>
    </w:p>
    <w:p>
      <w:pPr>
        <w:pStyle w:val="Subsection"/>
      </w:pPr>
      <w:r>
        <w:tab/>
        <w:t>(1)</w:t>
      </w:r>
      <w:r>
        <w:tab/>
        <w:t>This section applies when a notice is given under section 3.25(1).</w:t>
      </w:r>
    </w:p>
    <w:p>
      <w:pPr>
        <w:pStyle w:val="Subsection"/>
      </w:pPr>
      <w:r>
        <w:tab/>
        <w:t>(2)</w:t>
      </w:r>
      <w:r>
        <w:tab/>
        <w:t>If the person who is given the notice (</w:t>
      </w:r>
      <w:r>
        <w:rPr>
          <w:rStyle w:val="CharDefText"/>
        </w:rPr>
        <w:t>notice recipient</w:t>
      </w:r>
      <w:r>
        <w:t>) fails to comply with it, the local government may do anything that it considers necessary to achieve, so far as is practicable, the purpose for which the notice was given.</w:t>
      </w:r>
    </w:p>
    <w:p>
      <w:pPr>
        <w:pStyle w:val="Subsection"/>
      </w:pPr>
      <w:r>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pPr>
      <w:r>
        <w:tab/>
        <w:t>(5)</w:t>
      </w:r>
      <w:r>
        <w:tab/>
        <w:t xml:space="preserve">In subsection (4) — </w:t>
      </w:r>
    </w:p>
    <w:p>
      <w:pPr>
        <w:pStyle w:val="Defstart"/>
      </w:pPr>
      <w:r>
        <w:tab/>
      </w:r>
      <w:r>
        <w:rPr>
          <w:rStyle w:val="CharDefText"/>
        </w:rPr>
        <w:t>court</w:t>
      </w:r>
      <w:r>
        <w:t xml:space="preserve"> means a court that would have jurisdiction to hear an action to recover a debt of the amount of the expense, fine or cost sought to be recovered by the notice recipient. </w:t>
      </w:r>
    </w:p>
    <w:p>
      <w:pPr>
        <w:pStyle w:val="Subsection"/>
        <w:keepNext/>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keepNext/>
      </w:pPr>
      <w:r>
        <w:tab/>
        <w:t>(7)</w:t>
      </w:r>
      <w:r>
        <w:tab/>
        <w:t xml:space="preserve">In determining what is fair and reasonable the court is to have regard to — </w:t>
      </w:r>
    </w:p>
    <w:p>
      <w:pPr>
        <w:pStyle w:val="Indenta"/>
      </w:pPr>
      <w:r>
        <w:tab/>
        <w:t>(a)</w:t>
      </w:r>
      <w:r>
        <w:tab/>
        <w:t>the type of land involved; and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by No. 1 of 1998 s. 10.]</w:t>
      </w:r>
    </w:p>
    <w:p>
      <w:pPr>
        <w:pStyle w:val="Heading5"/>
      </w:pPr>
      <w:bookmarkStart w:id="230" w:name="_Toc462409200"/>
      <w:r>
        <w:rPr>
          <w:rStyle w:val="CharSectno"/>
        </w:rPr>
        <w:t>3.27</w:t>
      </w:r>
      <w:r>
        <w:t>.</w:t>
      </w:r>
      <w:r>
        <w:tab/>
        <w:t>Particular things local governments can do on land that is not local government property</w:t>
      </w:r>
      <w:bookmarkEnd w:id="230"/>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(2A)</w:t>
      </w:r>
      <w:r>
        <w:tab/>
        <w:t xml:space="preserve">In subsection (1) land includes Crown land the subject of a pastoral lease within the meaning of the </w:t>
      </w:r>
      <w:r>
        <w:rPr>
          <w:i/>
        </w:rPr>
        <w:t>Land Administration Act 1997</w:t>
      </w:r>
      <w:r>
        <w:t xml:space="preserve"> section 3.</w:t>
      </w:r>
    </w:p>
    <w:p>
      <w:pPr>
        <w:pStyle w:val="Subsection"/>
      </w:pPr>
      <w:r>
        <w:tab/>
        <w:t>(2)</w:t>
      </w:r>
      <w:r>
        <w:tab/>
        <w:t>Schedule 3.2 may be amended by regulations.</w:t>
      </w:r>
    </w:p>
    <w:p>
      <w:pPr>
        <w:pStyle w:val="Subsection"/>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(4A)</w:t>
      </w:r>
      <w:r>
        <w:tab/>
        <w:t>For the purposes of subsection (3), planting pasture on land for grazing does not amount to cultivating the land.</w:t>
      </w:r>
    </w:p>
    <w:p>
      <w:pPr>
        <w:pStyle w:val="Subsection"/>
      </w:pPr>
      <w:r>
        <w:tab/>
        <w:t>(4)</w:t>
      </w:r>
      <w:r>
        <w:tab/>
        <w:t>Nothing in subsection (3) prevents regulations amending Schedule 3.2 from stating that subsection (3) applies, or excluding its application, in relation to a particular matter.</w:t>
      </w:r>
    </w:p>
    <w:p>
      <w:pPr>
        <w:pStyle w:val="Footnotesection"/>
      </w:pPr>
      <w:r>
        <w:tab/>
        <w:t>[Section 3.27 amended by No. 17 of 2009 s. 8]</w:t>
      </w:r>
    </w:p>
    <w:p>
      <w:pPr>
        <w:pStyle w:val="Heading4"/>
      </w:pPr>
      <w:bookmarkStart w:id="231" w:name="_Toc448218916"/>
      <w:bookmarkStart w:id="232" w:name="_Toc448224138"/>
      <w:bookmarkStart w:id="233" w:name="_Toc451179375"/>
      <w:bookmarkStart w:id="234" w:name="_Toc451430295"/>
      <w:bookmarkStart w:id="235" w:name="_Toc455396245"/>
      <w:bookmarkStart w:id="236" w:name="_Toc455397105"/>
      <w:bookmarkStart w:id="237" w:name="_Toc456086188"/>
      <w:bookmarkStart w:id="238" w:name="_Toc462409201"/>
      <w:r>
        <w:t>Subdivision 3 — Powers of entry</w:t>
      </w:r>
      <w:bookmarkEnd w:id="231"/>
      <w:bookmarkEnd w:id="232"/>
      <w:bookmarkEnd w:id="233"/>
      <w:bookmarkEnd w:id="234"/>
      <w:bookmarkEnd w:id="235"/>
      <w:bookmarkEnd w:id="236"/>
      <w:bookmarkEnd w:id="237"/>
      <w:bookmarkEnd w:id="238"/>
    </w:p>
    <w:p>
      <w:pPr>
        <w:pStyle w:val="Heading5"/>
      </w:pPr>
      <w:bookmarkStart w:id="239" w:name="_Toc462409202"/>
      <w:r>
        <w:rPr>
          <w:rStyle w:val="CharSectno"/>
        </w:rPr>
        <w:t>3.28</w:t>
      </w:r>
      <w:r>
        <w:t>.</w:t>
      </w:r>
      <w:r>
        <w:tab/>
        <w:t>When this Subdivision applies</w:t>
      </w:r>
      <w:bookmarkEnd w:id="239"/>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240" w:name="_Toc462409203"/>
      <w:r>
        <w:rPr>
          <w:rStyle w:val="CharSectno"/>
        </w:rPr>
        <w:t>3.29</w:t>
      </w:r>
      <w:r>
        <w:t>.</w:t>
      </w:r>
      <w:r>
        <w:tab/>
        <w:t>Powers of entry are additional</w:t>
      </w:r>
      <w:bookmarkEnd w:id="240"/>
    </w:p>
    <w:p>
      <w:pPr>
        <w:pStyle w:val="Subsection"/>
      </w:pPr>
      <w:r>
        <w:tab/>
      </w:r>
      <w:r>
        <w:tab/>
        <w:t>The powers of entry upon land conferred by this Subdivision are in addition to and not in derogation of any power of entry conferred by any other law.</w:t>
      </w:r>
    </w:p>
    <w:p>
      <w:pPr>
        <w:pStyle w:val="Heading5"/>
      </w:pPr>
      <w:bookmarkStart w:id="241" w:name="_Toc462409204"/>
      <w:r>
        <w:rPr>
          <w:rStyle w:val="CharSectno"/>
        </w:rPr>
        <w:t>3.30</w:t>
      </w:r>
      <w:r>
        <w:t>.</w:t>
      </w:r>
      <w:r>
        <w:tab/>
        <w:t>Assistants and equipment</w:t>
      </w:r>
      <w:bookmarkEnd w:id="241"/>
    </w:p>
    <w:p>
      <w:pPr>
        <w:pStyle w:val="Subsection"/>
      </w:pPr>
      <w:r>
        <w:tab/>
      </w:r>
      <w:r>
        <w:tab/>
        <w:t>Entry under this Subdivision may be made with such assistants and equipment as are considered necessary for the purpose for which entry is required.</w:t>
      </w:r>
    </w:p>
    <w:p>
      <w:pPr>
        <w:pStyle w:val="Heading5"/>
      </w:pPr>
      <w:bookmarkStart w:id="242" w:name="_Toc462409205"/>
      <w:r>
        <w:rPr>
          <w:rStyle w:val="CharSectno"/>
        </w:rPr>
        <w:t>3.31</w:t>
      </w:r>
      <w:r>
        <w:t>.</w:t>
      </w:r>
      <w:r>
        <w:tab/>
        <w:t>General procedure for entering property</w:t>
      </w:r>
      <w:bookmarkEnd w:id="242"/>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spacing w:before="180"/>
      </w:pPr>
      <w:bookmarkStart w:id="243" w:name="_Toc462409206"/>
      <w:r>
        <w:rPr>
          <w:rStyle w:val="CharSectno"/>
        </w:rPr>
        <w:t>3.32</w:t>
      </w:r>
      <w:r>
        <w:t>.</w:t>
      </w:r>
      <w:r>
        <w:tab/>
        <w:t>Notice of entry</w:t>
      </w:r>
      <w:bookmarkEnd w:id="243"/>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keepNext/>
      </w:pPr>
      <w:r>
        <w:tab/>
        <w:t>(4)</w:t>
      </w:r>
      <w:r>
        <w:tab/>
        <w:t>Successive entries for the purpose specified in the notice are to be regarded as entries to which that notice relates.</w:t>
      </w:r>
    </w:p>
    <w:p>
      <w:pPr>
        <w:pStyle w:val="Heading5"/>
        <w:spacing w:before="180"/>
      </w:pPr>
      <w:bookmarkStart w:id="244" w:name="_Toc462409207"/>
      <w:r>
        <w:rPr>
          <w:rStyle w:val="CharSectno"/>
        </w:rPr>
        <w:t>3.33</w:t>
      </w:r>
      <w:r>
        <w:t>.</w:t>
      </w:r>
      <w:r>
        <w:tab/>
        <w:t>Entry under warrant</w:t>
      </w:r>
      <w:bookmarkEnd w:id="244"/>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spacing w:before="120"/>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245" w:name="_Toc462409208"/>
      <w:r>
        <w:rPr>
          <w:rStyle w:val="CharSectno"/>
        </w:rPr>
        <w:t>3.34</w:t>
      </w:r>
      <w:r>
        <w:t>.</w:t>
      </w:r>
      <w:r>
        <w:tab/>
        <w:t>Entry in emergency</w:t>
      </w:r>
      <w:bookmarkEnd w:id="245"/>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 or</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246" w:name="_Toc462409209"/>
      <w:r>
        <w:rPr>
          <w:rStyle w:val="CharSectno"/>
        </w:rPr>
        <w:t>3.35</w:t>
      </w:r>
      <w:r>
        <w:t>.</w:t>
      </w:r>
      <w:r>
        <w:tab/>
        <w:t>Purpose of entry to be given on request</w:t>
      </w:r>
      <w:bookmarkEnd w:id="246"/>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spacing w:before="180"/>
      </w:pPr>
      <w:bookmarkStart w:id="247" w:name="_Toc462409210"/>
      <w:r>
        <w:rPr>
          <w:rStyle w:val="CharSectno"/>
        </w:rPr>
        <w:t>3.36</w:t>
      </w:r>
      <w:r>
        <w:t>.</w:t>
      </w:r>
      <w:r>
        <w:tab/>
        <w:t>Opening fences</w:t>
      </w:r>
      <w:bookmarkEnd w:id="247"/>
    </w:p>
    <w:p>
      <w:pPr>
        <w:pStyle w:val="Subsection"/>
        <w:spacing w:before="120"/>
      </w:pPr>
      <w:r>
        <w:tab/>
        <w:t>(1)</w:t>
      </w:r>
      <w:r>
        <w:tab/>
        <w:t>This section applies only if it is expressly stated in Schedule 3.2.</w:t>
      </w:r>
    </w:p>
    <w:p>
      <w:pPr>
        <w:pStyle w:val="Subsection"/>
        <w:spacing w:before="120"/>
      </w:pPr>
      <w:r>
        <w:tab/>
        <w:t>(2)</w:t>
      </w:r>
      <w:r>
        <w:tab/>
        <w:t>Subsection (1) does not prevent regulations amending Schedule 3.2 from stating that this section applies, or excluding the application of this section, in relation to a particular matter.</w:t>
      </w:r>
    </w:p>
    <w:p>
      <w:pPr>
        <w:pStyle w:val="Subsection"/>
        <w:spacing w:before="120"/>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pPr>
        <w:pStyle w:val="Subsection"/>
        <w:spacing w:before="120"/>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spacing w:before="120"/>
      </w:pPr>
      <w:r>
        <w:tab/>
        <w:t>(5)</w:t>
      </w:r>
      <w:r>
        <w:tab/>
        <w:t>If a gate is provided a person who, without the occupier’s consent, leaves the gate open when it is not in use commits an offence.</w:t>
      </w:r>
    </w:p>
    <w:p>
      <w:pPr>
        <w:pStyle w:val="Subsection"/>
        <w:spacing w:before="120"/>
      </w:pPr>
      <w:r>
        <w:tab/>
        <w:t>(6)</w:t>
      </w:r>
      <w:r>
        <w:tab/>
        <w:t>If a gate is provided, when the local government no longer requires the opening, it is to immediately remove the gate and make good the fence unless the owner agrees to its retention.</w:t>
      </w:r>
    </w:p>
    <w:p>
      <w:pPr>
        <w:pStyle w:val="Subsection"/>
        <w:spacing w:before="120"/>
      </w:pPr>
      <w:r>
        <w:tab/>
        <w:t>(7)</w:t>
      </w:r>
      <w:r>
        <w:tab/>
        <w:t>The owner and occupier may, in a particular case, relieve the local government of any obligation that it has under this section.</w:t>
      </w:r>
    </w:p>
    <w:p>
      <w:pPr>
        <w:pStyle w:val="Heading4"/>
        <w:spacing w:before="180"/>
      </w:pPr>
      <w:bookmarkStart w:id="248" w:name="_Toc448218926"/>
      <w:bookmarkStart w:id="249" w:name="_Toc448224148"/>
      <w:bookmarkStart w:id="250" w:name="_Toc451179385"/>
      <w:bookmarkStart w:id="251" w:name="_Toc451430305"/>
      <w:bookmarkStart w:id="252" w:name="_Toc455396255"/>
      <w:bookmarkStart w:id="253" w:name="_Toc455397115"/>
      <w:bookmarkStart w:id="254" w:name="_Toc456086198"/>
      <w:bookmarkStart w:id="255" w:name="_Toc462409211"/>
      <w:r>
        <w:t xml:space="preserve">Subdivision 4 — Impounding </w:t>
      </w:r>
      <w:r>
        <w:rPr>
          <w:rFonts w:eastAsia="MS Mincho"/>
          <w:bCs/>
        </w:rPr>
        <w:t>abandoned vehicle wrecks and</w:t>
      </w:r>
      <w:r>
        <w:t xml:space="preserve"> goods involved in certain contraventions</w:t>
      </w:r>
      <w:bookmarkEnd w:id="248"/>
      <w:bookmarkEnd w:id="249"/>
      <w:bookmarkEnd w:id="250"/>
      <w:bookmarkEnd w:id="251"/>
      <w:bookmarkEnd w:id="252"/>
      <w:bookmarkEnd w:id="253"/>
      <w:bookmarkEnd w:id="254"/>
      <w:bookmarkEnd w:id="255"/>
    </w:p>
    <w:p>
      <w:pPr>
        <w:pStyle w:val="Footnoteheading"/>
      </w:pPr>
      <w:r>
        <w:tab/>
        <w:t>[Heading amended by No. 8 of 2009 s. 87.]</w:t>
      </w:r>
    </w:p>
    <w:p>
      <w:pPr>
        <w:pStyle w:val="Heading5"/>
        <w:keepNext w:val="0"/>
        <w:keepLines w:val="0"/>
        <w:spacing w:before="180"/>
      </w:pPr>
      <w:bookmarkStart w:id="256" w:name="_Toc462409212"/>
      <w:r>
        <w:rPr>
          <w:rStyle w:val="CharSectno"/>
        </w:rPr>
        <w:t>3.37</w:t>
      </w:r>
      <w:r>
        <w:t>.</w:t>
      </w:r>
      <w:r>
        <w:tab/>
        <w:t>Contraventions that can lead to impounding</w:t>
      </w:r>
      <w:bookmarkEnd w:id="256"/>
    </w:p>
    <w:p>
      <w:pPr>
        <w:pStyle w:val="Subsection"/>
        <w:spacing w:before="120"/>
      </w:pPr>
      <w:r>
        <w:tab/>
        <w:t>(1)</w:t>
      </w:r>
      <w:r>
        <w:tab/>
        <w:t>Regulations may prescribe any contravention of a regulation or local law made under this Act to be a contravention that can lead to impounding.</w:t>
      </w:r>
    </w:p>
    <w:p>
      <w:pPr>
        <w:pStyle w:val="Subsection"/>
        <w:spacing w:before="120"/>
      </w:pPr>
      <w:r>
        <w:tab/>
        <w:t>(2)</w:t>
      </w:r>
      <w:r>
        <w:tab/>
        <w:t>Regulations may exclude the application of particular provisions of this Subdivision.</w:t>
      </w:r>
    </w:p>
    <w:p>
      <w:pPr>
        <w:pStyle w:val="Heading5"/>
      </w:pPr>
      <w:bookmarkStart w:id="257" w:name="_Toc462409213"/>
      <w:r>
        <w:rPr>
          <w:rStyle w:val="CharSectno"/>
        </w:rPr>
        <w:t>3.38</w:t>
      </w:r>
      <w:r>
        <w:t>.</w:t>
      </w:r>
      <w:r>
        <w:tab/>
        <w:t>Terms used</w:t>
      </w:r>
      <w:bookmarkEnd w:id="257"/>
    </w:p>
    <w:p>
      <w:pPr>
        <w:pStyle w:val="Subsection"/>
      </w:pPr>
      <w:r>
        <w:tab/>
      </w:r>
      <w:r>
        <w:tab/>
        <w:t>In this Subdivision — </w:t>
      </w:r>
    </w:p>
    <w:p>
      <w:pPr>
        <w:pStyle w:val="Defstart"/>
      </w:pPr>
      <w:r>
        <w:tab/>
      </w:r>
      <w:r>
        <w:rPr>
          <w:rStyle w:val="CharDefText"/>
        </w:rPr>
        <w:t>alleged offender</w:t>
      </w:r>
      <w:r>
        <w:t xml:space="preserve"> means the person who is alleged to have committed a contravention that can lead to impounding;</w:t>
      </w:r>
    </w:p>
    <w:p>
      <w:pPr>
        <w:pStyle w:val="Defstart"/>
        <w:rPr>
          <w:b/>
        </w:rPr>
      </w:pPr>
      <w:r>
        <w:rPr>
          <w:b/>
        </w:rPr>
        <w:tab/>
      </w:r>
      <w:r>
        <w:rPr>
          <w:rStyle w:val="CharDefText"/>
        </w:rPr>
        <w:t>contravention that can lead to impounding</w:t>
      </w:r>
      <w:r>
        <w:t xml:space="preserve"> means anything prescribed to be a contravention that can lead to impounding;</w:t>
      </w:r>
    </w:p>
    <w:p>
      <w:pPr>
        <w:pStyle w:val="Defstart"/>
        <w:keepNext/>
      </w:pPr>
      <w:r>
        <w:rPr>
          <w:b/>
        </w:rPr>
        <w:tab/>
      </w:r>
      <w:r>
        <w:rPr>
          <w:rStyle w:val="CharDefText"/>
        </w:rPr>
        <w:t>goods</w:t>
      </w:r>
      <w:r>
        <w:t xml:space="preserve"> means any goods involved in a contravention that can lead to impounding, and includes — </w:t>
      </w:r>
    </w:p>
    <w:p>
      <w:pPr>
        <w:pStyle w:val="Defpara"/>
      </w:pPr>
      <w:r>
        <w:tab/>
        <w:t>(a)</w:t>
      </w:r>
      <w:r>
        <w:tab/>
        <w:t>a vehicle; or</w:t>
      </w:r>
    </w:p>
    <w:p>
      <w:pPr>
        <w:pStyle w:val="Defpara"/>
      </w:pPr>
      <w:r>
        <w:tab/>
        <w:t>(ab)</w:t>
      </w:r>
      <w:r>
        <w:tab/>
        <w:t>an animal; or</w:t>
      </w:r>
    </w:p>
    <w:p>
      <w:pPr>
        <w:pStyle w:val="Defpara"/>
      </w:pPr>
      <w:r>
        <w:tab/>
        <w:t>(b)</w:t>
      </w:r>
      <w:r>
        <w:tab/>
        <w:t>a stall or other structure temporarily placed on land,</w:t>
      </w:r>
    </w:p>
    <w:p>
      <w:pPr>
        <w:pStyle w:val="Defstart"/>
        <w:rPr>
          <w:spacing w:val="-2"/>
        </w:rPr>
      </w:pPr>
      <w:r>
        <w:rPr>
          <w:spacing w:val="-2"/>
        </w:rPr>
        <w:tab/>
        <w:t>involved in such a contravention;</w:t>
      </w:r>
    </w:p>
    <w:p>
      <w:pPr>
        <w:pStyle w:val="Defstart"/>
        <w:rPr>
          <w:spacing w:val="-2"/>
        </w:rPr>
      </w:pPr>
      <w:r>
        <w:rPr>
          <w:spacing w:val="-2"/>
        </w:rPr>
        <w:tab/>
      </w:r>
      <w:r>
        <w:rPr>
          <w:rStyle w:val="CharDefText"/>
        </w:rPr>
        <w:t>non</w:t>
      </w:r>
      <w:r>
        <w:rPr>
          <w:rStyle w:val="CharDefText"/>
        </w:rPr>
        <w:noBreakHyphen/>
        <w:t>perishable goods</w:t>
      </w:r>
      <w:r>
        <w:rPr>
          <w:b/>
        </w:rPr>
        <w:t xml:space="preserve"> </w:t>
      </w:r>
      <w:r>
        <w:t>includes animals;</w:t>
      </w:r>
    </w:p>
    <w:p>
      <w:pPr>
        <w:pStyle w:val="Defstart"/>
      </w:pPr>
      <w:r>
        <w:tab/>
      </w:r>
      <w:r>
        <w:rPr>
          <w:rStyle w:val="CharDefText"/>
        </w:rPr>
        <w:t>specified</w:t>
      </w:r>
      <w:r>
        <w:t>, in relation to a notice, means specified in the notice;</w:t>
      </w:r>
    </w:p>
    <w:p>
      <w:pPr>
        <w:pStyle w:val="Defstart"/>
      </w:pPr>
      <w:r>
        <w:tab/>
      </w:r>
      <w:r>
        <w:rPr>
          <w:rStyle w:val="CharDefText"/>
        </w:rPr>
        <w:t>vehicle</w:t>
      </w:r>
      <w:r>
        <w:t xml:space="preserve"> means a vehicle for which a vehicle licence is required under the </w:t>
      </w:r>
      <w:r>
        <w:rPr>
          <w:i/>
          <w:iCs/>
        </w:rPr>
        <w:t xml:space="preserve">Road Traffic (Vehicles) Act 2012 </w:t>
      </w:r>
      <w:r>
        <w:t>if the vehicle is to be used on a road.</w:t>
      </w:r>
    </w:p>
    <w:p>
      <w:pPr>
        <w:pStyle w:val="Footnotesection"/>
      </w:pPr>
      <w:r>
        <w:tab/>
        <w:t>[Section 3.38 amended by No. 64 of 1998 s. 8; No. 28 of 2001 s. 33; No. 8 of 2012 s. 121.]</w:t>
      </w:r>
    </w:p>
    <w:p>
      <w:pPr>
        <w:pStyle w:val="Heading5"/>
      </w:pPr>
      <w:bookmarkStart w:id="258" w:name="_Toc462409214"/>
      <w:r>
        <w:rPr>
          <w:rStyle w:val="CharSectno"/>
        </w:rPr>
        <w:t>3.39</w:t>
      </w:r>
      <w:r>
        <w:t>.</w:t>
      </w:r>
      <w:r>
        <w:tab/>
        <w:t>Power to remove and impound</w:t>
      </w:r>
      <w:bookmarkEnd w:id="258"/>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259" w:name="_Toc462409215"/>
      <w:r>
        <w:rPr>
          <w:rStyle w:val="CharSectno"/>
        </w:rPr>
        <w:t>3.40</w:t>
      </w:r>
      <w:r>
        <w:t>.</w:t>
      </w:r>
      <w:r>
        <w:tab/>
        <w:t>Vehicle may be removed if goods to be impounded are in or on vehicle</w:t>
      </w:r>
      <w:bookmarkEnd w:id="259"/>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pPr>
      <w:r>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iCs/>
        </w:rPr>
        <w:t>Road Traffic (Vehicles) Act 2012</w:t>
      </w:r>
      <w:r>
        <w:t xml:space="preserve"> in respect of the vehicle, advising that the vehicle may be collected from a place specified during such hours as are specified.</w:t>
      </w:r>
    </w:p>
    <w:p>
      <w:pPr>
        <w:pStyle w:val="Footnotesection"/>
      </w:pPr>
      <w:r>
        <w:tab/>
        <w:t>[Section 3.40 amended by No. 8 of 2012 s. 122.]</w:t>
      </w:r>
    </w:p>
    <w:p>
      <w:pPr>
        <w:pStyle w:val="Heading5"/>
        <w:spacing w:before="180"/>
      </w:pPr>
      <w:bookmarkStart w:id="260" w:name="_Toc462409216"/>
      <w:r>
        <w:rPr>
          <w:rStyle w:val="CharSectno"/>
        </w:rPr>
        <w:t>3.40A</w:t>
      </w:r>
      <w:r>
        <w:t>.</w:t>
      </w:r>
      <w:r>
        <w:tab/>
        <w:t>Abandoned vehicle wreck may be taken</w:t>
      </w:r>
      <w:bookmarkEnd w:id="260"/>
    </w:p>
    <w:p>
      <w:pPr>
        <w:pStyle w:val="Subsection"/>
      </w:pPr>
      <w:r>
        <w:tab/>
        <w:t>(1)</w:t>
      </w:r>
      <w:r>
        <w:tab/>
        <w:t>An employee authorised by a local government for the purpose may remove and impound a vehicle that, in the opinion of the local government, is an abandoned vehicle wreck.</w:t>
      </w:r>
    </w:p>
    <w:p>
      <w:pPr>
        <w:pStyle w:val="Subsection"/>
        <w:spacing w:before="120"/>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pPr>
      <w:r>
        <w:tab/>
        <w:t>(3)</w:t>
      </w:r>
      <w:r>
        <w:tab/>
        <w:t>A notice is to include a short statement of the effect of subsection (4)(b) and the effect of the relevant provisions of sections 3.46 and 3.47.</w:t>
      </w:r>
    </w:p>
    <w:p>
      <w:pPr>
        <w:pStyle w:val="Subsection"/>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pPr>
      <w:r>
        <w:tab/>
        <w:t>(5)</w:t>
      </w:r>
      <w:r>
        <w:tab/>
        <w:t xml:space="preserve">In this section — </w:t>
      </w:r>
    </w:p>
    <w:p>
      <w:pPr>
        <w:pStyle w:val="Defstart"/>
      </w:pPr>
      <w:r>
        <w:rPr>
          <w:b/>
        </w:rPr>
        <w:tab/>
      </w:r>
      <w:r>
        <w:rPr>
          <w:rStyle w:val="CharDefText"/>
        </w:rPr>
        <w:t>abandoned vehicle wreck</w:t>
      </w:r>
      <w:r>
        <w:t xml:space="preserve"> means a vehicle — </w:t>
      </w:r>
    </w:p>
    <w:p>
      <w:pPr>
        <w:pStyle w:val="Defpara"/>
      </w:pPr>
      <w:r>
        <w:tab/>
        <w:t>(a)</w:t>
      </w:r>
      <w:r>
        <w:tab/>
        <w:t>that is not operational; and</w:t>
      </w:r>
    </w:p>
    <w:p>
      <w:pPr>
        <w:pStyle w:val="Defpara"/>
      </w:pPr>
      <w:r>
        <w:tab/>
        <w:t>(b)</w:t>
      </w:r>
      <w:r>
        <w:tab/>
        <w:t xml:space="preserve">the owner of which has not been identified by the local government after using all reasonable avenues to do so; and </w:t>
      </w:r>
    </w:p>
    <w:p>
      <w:pPr>
        <w:pStyle w:val="Defpara"/>
      </w:pPr>
      <w:r>
        <w:tab/>
        <w:t>(c)</w:t>
      </w:r>
      <w:r>
        <w:tab/>
        <w:t>that has a value that is less than the prescribed value calculated in the prescribed manner.</w:t>
      </w:r>
    </w:p>
    <w:p>
      <w:pPr>
        <w:pStyle w:val="Footnotesection"/>
      </w:pPr>
      <w:r>
        <w:tab/>
        <w:t>[Section 3.40A inserted by No. 49 of 2004 s. 25(1).]</w:t>
      </w:r>
    </w:p>
    <w:p>
      <w:pPr>
        <w:pStyle w:val="Heading5"/>
        <w:spacing w:before="180"/>
      </w:pPr>
      <w:bookmarkStart w:id="261" w:name="_Toc462409217"/>
      <w:r>
        <w:rPr>
          <w:rStyle w:val="CharSectno"/>
        </w:rPr>
        <w:t>3.41</w:t>
      </w:r>
      <w:r>
        <w:t>.</w:t>
      </w:r>
      <w:r>
        <w:tab/>
        <w:t>Impounded perishable goods, notice to collect</w:t>
      </w:r>
      <w:bookmarkEnd w:id="261"/>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spacing w:before="180"/>
      </w:pPr>
      <w:bookmarkStart w:id="262" w:name="_Toc462409218"/>
      <w:r>
        <w:rPr>
          <w:rStyle w:val="CharSectno"/>
        </w:rPr>
        <w:t>3.42</w:t>
      </w:r>
      <w:r>
        <w:t>.</w:t>
      </w:r>
      <w:r>
        <w:tab/>
        <w:t>Impounded non</w:t>
      </w:r>
      <w:r>
        <w:noBreakHyphen/>
        <w:t>perishable goods</w:t>
      </w:r>
      <w:bookmarkEnd w:id="262"/>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by No. 64 of 1998 s. 9.]</w:t>
      </w:r>
    </w:p>
    <w:p>
      <w:pPr>
        <w:pStyle w:val="Heading5"/>
        <w:spacing w:before="180"/>
      </w:pPr>
      <w:bookmarkStart w:id="263" w:name="_Toc462409219"/>
      <w:r>
        <w:rPr>
          <w:rStyle w:val="CharSectno"/>
        </w:rPr>
        <w:t>3.43</w:t>
      </w:r>
      <w:r>
        <w:t>.</w:t>
      </w:r>
      <w:r>
        <w:tab/>
        <w:t>Impounded non</w:t>
      </w:r>
      <w:r>
        <w:noBreakHyphen/>
        <w:t>perishable goods, court may confiscate</w:t>
      </w:r>
      <w:bookmarkEnd w:id="263"/>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spacing w:before="180"/>
      </w:pPr>
      <w:bookmarkStart w:id="264" w:name="_Toc462409220"/>
      <w:r>
        <w:rPr>
          <w:rStyle w:val="CharSectno"/>
        </w:rPr>
        <w:t>3.44</w:t>
      </w:r>
      <w:r>
        <w:t>.</w:t>
      </w:r>
      <w:r>
        <w:tab/>
        <w:t>Notice to collect goods if not confiscated</w:t>
      </w:r>
      <w:bookmarkEnd w:id="264"/>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265" w:name="_Toc462409221"/>
      <w:r>
        <w:rPr>
          <w:rStyle w:val="CharSectno"/>
        </w:rPr>
        <w:t>3.45</w:t>
      </w:r>
      <w:r>
        <w:t>.</w:t>
      </w:r>
      <w:r>
        <w:tab/>
        <w:t>Notice to include warning</w:t>
      </w:r>
      <w:bookmarkEnd w:id="265"/>
    </w:p>
    <w:p>
      <w:pPr>
        <w:pStyle w:val="Subsection"/>
      </w:pPr>
      <w:r>
        <w:tab/>
      </w:r>
      <w:r>
        <w:tab/>
        <w:t>A notice is to include a short statement of the effect of the relevant provisions of sections 3.46, 3.47 and 3.48.</w:t>
      </w:r>
    </w:p>
    <w:p>
      <w:pPr>
        <w:pStyle w:val="Heading5"/>
      </w:pPr>
      <w:bookmarkStart w:id="266" w:name="_Toc462409222"/>
      <w:r>
        <w:rPr>
          <w:rStyle w:val="CharSectno"/>
        </w:rPr>
        <w:t>3.46</w:t>
      </w:r>
      <w:r>
        <w:t>.</w:t>
      </w:r>
      <w:r>
        <w:tab/>
        <w:t>Goods may be withheld until costs paid</w:t>
      </w:r>
      <w:bookmarkEnd w:id="266"/>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by No. 64 of 1998 s. 10; amended by No. 49 of 2004 s. 25(2) and (3).]</w:t>
      </w:r>
    </w:p>
    <w:p>
      <w:pPr>
        <w:pStyle w:val="Heading5"/>
      </w:pPr>
      <w:bookmarkStart w:id="267" w:name="_Toc462409223"/>
      <w:r>
        <w:rPr>
          <w:rStyle w:val="CharSectno"/>
        </w:rPr>
        <w:t>3.47</w:t>
      </w:r>
      <w:r>
        <w:t>.</w:t>
      </w:r>
      <w:r>
        <w:tab/>
        <w:t>Confiscated or uncollected goods, disposal of</w:t>
      </w:r>
      <w:bookmarkEnd w:id="267"/>
    </w:p>
    <w:p>
      <w:pPr>
        <w:pStyle w:val="Subsection"/>
      </w:pPr>
      <w:r>
        <w:tab/>
        <w:t>(1)</w:t>
      </w:r>
      <w:r>
        <w:tab/>
        <w:t>The local government may sell or otherwise dispose of any goods that have been ordered to be confiscated under section 3.43.</w:t>
      </w:r>
    </w:p>
    <w:p>
      <w:pPr>
        <w:pStyle w:val="Subsection"/>
        <w:keepNext/>
      </w:pPr>
      <w:r>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w:t>
      </w:r>
    </w:p>
    <w:p>
      <w:pPr>
        <w:pStyle w:val="Indenta"/>
      </w:pPr>
      <w:r>
        <w:tab/>
        <w:t>(ca)</w:t>
      </w:r>
      <w:r>
        <w:tab/>
        <w:t>for prescribed non</w:t>
      </w:r>
      <w:r>
        <w:noBreakHyphen/>
        <w:t>perishable goods — one month;</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pPr>
      <w:r>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pPr>
        <w:pStyle w:val="Subsection"/>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by No. 64 of 1998 s. 11; No. 49 of 2004 s. 25(4); No. 17 of 2009 s. 9.]</w:t>
      </w:r>
    </w:p>
    <w:p>
      <w:pPr>
        <w:pStyle w:val="Heading5"/>
        <w:keepLines w:val="0"/>
        <w:spacing w:before="240"/>
      </w:pPr>
      <w:bookmarkStart w:id="268" w:name="_Toc462409224"/>
      <w:r>
        <w:rPr>
          <w:rStyle w:val="CharSectno"/>
        </w:rPr>
        <w:t>3.47A</w:t>
      </w:r>
      <w:r>
        <w:t>.</w:t>
      </w:r>
      <w:r>
        <w:tab/>
        <w:t>Sick or injured animals, disposal of</w:t>
      </w:r>
      <w:bookmarkEnd w:id="268"/>
    </w:p>
    <w:p>
      <w:pPr>
        <w:pStyle w:val="Subsection"/>
        <w:spacing w:before="180"/>
      </w:pPr>
      <w:r>
        <w:tab/>
        <w:t>(1)</w:t>
      </w:r>
      <w:r>
        <w:tab/>
        <w:t>If an impounded animal is ill or injured to such an extent that treating it is not practicable the local government may humanely destroy the animal and dispose of the carcass.</w:t>
      </w:r>
    </w:p>
    <w:p>
      <w:pPr>
        <w:pStyle w:val="Subsection"/>
        <w:spacing w:before="180"/>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keepNext/>
      </w:pPr>
      <w:r>
        <w:tab/>
        <w:t>(3)</w:t>
      </w:r>
      <w:r>
        <w:tab/>
        <w:t>Subsection (2)(b) does not justify the destruction of an animal before it has been impounded for at least 7 days.</w:t>
      </w:r>
    </w:p>
    <w:p>
      <w:pPr>
        <w:pStyle w:val="Footnotesection"/>
      </w:pPr>
      <w:r>
        <w:tab/>
        <w:t>[Section 3.47A inserted by No. 64 of 1998 s. 12.]</w:t>
      </w:r>
    </w:p>
    <w:p>
      <w:pPr>
        <w:pStyle w:val="Heading5"/>
        <w:spacing w:before="180"/>
      </w:pPr>
      <w:bookmarkStart w:id="269" w:name="_Toc462409225"/>
      <w:r>
        <w:rPr>
          <w:rStyle w:val="CharSectno"/>
        </w:rPr>
        <w:t>3.48</w:t>
      </w:r>
      <w:r>
        <w:t>.</w:t>
      </w:r>
      <w:r>
        <w:tab/>
        <w:t>Impounding expenses, recovery of</w:t>
      </w:r>
      <w:bookmarkEnd w:id="269"/>
      <w:r>
        <w:t xml:space="preserve"> </w:t>
      </w:r>
    </w:p>
    <w:p>
      <w:pPr>
        <w:pStyle w:val="Subsection"/>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if the goods are not sold under section 3.47, the expenses incurred by the local government in removing and impounding them and in disposing of them if they are disposed of under section 3.47; and</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spacing w:before="80"/>
        <w:ind w:left="890" w:hanging="890"/>
      </w:pPr>
      <w:r>
        <w:tab/>
        <w:t>[Section 3.48 amended by No. 64 of 1998 s. 13.]</w:t>
      </w:r>
    </w:p>
    <w:p>
      <w:pPr>
        <w:pStyle w:val="Heading4"/>
      </w:pPr>
      <w:bookmarkStart w:id="270" w:name="_Toc448218941"/>
      <w:bookmarkStart w:id="271" w:name="_Toc448224163"/>
      <w:bookmarkStart w:id="272" w:name="_Toc451179400"/>
      <w:bookmarkStart w:id="273" w:name="_Toc451430320"/>
      <w:bookmarkStart w:id="274" w:name="_Toc455396270"/>
      <w:bookmarkStart w:id="275" w:name="_Toc455397130"/>
      <w:bookmarkStart w:id="276" w:name="_Toc456086213"/>
      <w:bookmarkStart w:id="277" w:name="_Toc462409226"/>
      <w:r>
        <w:t>Subdivision 5 — Certain provisions about thoroughfares</w:t>
      </w:r>
      <w:bookmarkEnd w:id="270"/>
      <w:bookmarkEnd w:id="271"/>
      <w:bookmarkEnd w:id="272"/>
      <w:bookmarkEnd w:id="273"/>
      <w:bookmarkEnd w:id="274"/>
      <w:bookmarkEnd w:id="275"/>
      <w:bookmarkEnd w:id="276"/>
      <w:bookmarkEnd w:id="277"/>
    </w:p>
    <w:p>
      <w:pPr>
        <w:pStyle w:val="Ednotesection"/>
      </w:pPr>
      <w:r>
        <w:t>[</w:t>
      </w:r>
      <w:r>
        <w:rPr>
          <w:b/>
        </w:rPr>
        <w:t>3.49.</w:t>
      </w:r>
      <w:r>
        <w:tab/>
        <w:t>Deleted by No. 64 of 1998 s. 14(1).]</w:t>
      </w:r>
    </w:p>
    <w:p>
      <w:pPr>
        <w:pStyle w:val="Heading5"/>
      </w:pPr>
      <w:bookmarkStart w:id="278" w:name="_Toc462409227"/>
      <w:r>
        <w:rPr>
          <w:rStyle w:val="CharSectno"/>
        </w:rPr>
        <w:t>3.50</w:t>
      </w:r>
      <w:r>
        <w:t>.</w:t>
      </w:r>
      <w:r>
        <w:tab/>
        <w:t>Closing certain thoroughfares to vehicles</w:t>
      </w:r>
      <w:bookmarkEnd w:id="278"/>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spacing w:before="120"/>
      </w:pPr>
      <w:r>
        <w:tab/>
        <w:t>[(3)</w:t>
      </w:r>
      <w:r>
        <w:tab/>
        <w:t>deleted]</w:t>
      </w:r>
    </w:p>
    <w:p>
      <w:pPr>
        <w:pStyle w:val="Subsection"/>
      </w:pPr>
      <w:r>
        <w:tab/>
        <w:t>(4)</w:t>
      </w:r>
      <w:r>
        <w:tab/>
        <w:t>Before it makes an order wholly or partially closing a thoroughfare to the passage of vehicles for a period exceeding 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 and</w:t>
      </w:r>
    </w:p>
    <w:p>
      <w:pPr>
        <w:pStyle w:val="Indenta"/>
      </w:pPr>
      <w:r>
        <w:tab/>
        <w:t>(b)</w:t>
      </w:r>
      <w:r>
        <w:tab/>
        <w:t>give written notice to each person who — </w:t>
      </w:r>
    </w:p>
    <w:p>
      <w:pPr>
        <w:pStyle w:val="Indenti"/>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pPr>
      <w:r>
        <w:tab/>
        <w:t>(6)</w:t>
      </w:r>
      <w:r>
        <w:tab/>
        <w:t>An order under this section has effect according to its terms, but may be revoked by the local government, or by the Minister, by order of which local public notice is given.</w:t>
      </w:r>
    </w:p>
    <w:p>
      <w:pPr>
        <w:pStyle w:val="Ednotesubsection"/>
        <w:spacing w:before="120"/>
      </w:pPr>
      <w:r>
        <w:tab/>
        <w:t>[(7)</w:t>
      </w:r>
      <w:r>
        <w:tab/>
        <w:t>deleted]</w:t>
      </w:r>
    </w:p>
    <w:p>
      <w:pPr>
        <w:pStyle w:val="Subsection"/>
      </w:pPr>
      <w:r>
        <w:tab/>
        <w:t>(8)</w:t>
      </w:r>
      <w:r>
        <w:tab/>
        <w:t>If, under subsection (1), a thoroughfare is closed without giving local public notice, the local government is to give local public notice of the closure as soon as practicable after the thoroughfare is closed.</w:t>
      </w:r>
    </w:p>
    <w:p>
      <w:pPr>
        <w:pStyle w:val="Subsection"/>
      </w:pPr>
      <w:r>
        <w:tab/>
        <w:t>(9)</w:t>
      </w:r>
      <w:r>
        <w:tab/>
        <w:t>The requirement in subsection (8) ceases to apply if the thoroughfare is reopened.</w:t>
      </w:r>
    </w:p>
    <w:p>
      <w:pPr>
        <w:pStyle w:val="Footnotesection"/>
      </w:pPr>
      <w:r>
        <w:tab/>
        <w:t>[Section 3.50 amended by No. 1 of 1998 s. 11; No. 64 of 1998 s. 15; No. 49 of 2004 s. 26.]</w:t>
      </w:r>
    </w:p>
    <w:p>
      <w:pPr>
        <w:pStyle w:val="Heading5"/>
        <w:spacing w:before="180"/>
      </w:pPr>
      <w:bookmarkStart w:id="279" w:name="_Toc462409228"/>
      <w:r>
        <w:rPr>
          <w:rStyle w:val="CharSectno"/>
        </w:rPr>
        <w:t>3.50A</w:t>
      </w:r>
      <w:r>
        <w:t>.</w:t>
      </w:r>
      <w:r>
        <w:tab/>
        <w:t>Partial closure of thoroughfare for repairs or maintenance</w:t>
      </w:r>
      <w:bookmarkEnd w:id="279"/>
    </w:p>
    <w:p>
      <w:pPr>
        <w:pStyle w:val="Subsection"/>
        <w:spacing w:before="120"/>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ind w:left="890" w:hanging="890"/>
      </w:pPr>
      <w:r>
        <w:tab/>
        <w:t>[Section 3.50A inserted by No. 64 of 1998 s. 16.]</w:t>
      </w:r>
    </w:p>
    <w:p>
      <w:pPr>
        <w:pStyle w:val="Heading5"/>
        <w:spacing w:before="180"/>
      </w:pPr>
      <w:bookmarkStart w:id="280" w:name="_Toc462409229"/>
      <w:r>
        <w:rPr>
          <w:rStyle w:val="CharSectno"/>
        </w:rPr>
        <w:t>3.51</w:t>
      </w:r>
      <w:r>
        <w:t>.</w:t>
      </w:r>
      <w:r>
        <w:tab/>
        <w:t>Affected owners to be notified of certain proposals</w:t>
      </w:r>
      <w:bookmarkEnd w:id="280"/>
    </w:p>
    <w:p>
      <w:pPr>
        <w:pStyle w:val="Subsection"/>
        <w:spacing w:before="120"/>
      </w:pPr>
      <w:r>
        <w:tab/>
        <w:t>(1)</w:t>
      </w:r>
      <w:r>
        <w:tab/>
        <w:t>In this section — </w:t>
      </w:r>
    </w:p>
    <w:p>
      <w:pPr>
        <w:pStyle w:val="Defstart"/>
      </w:pPr>
      <w:r>
        <w:rPr>
          <w:b/>
        </w:rPr>
        <w:tab/>
      </w:r>
      <w:r>
        <w:rPr>
          <w:rStyle w:val="CharDefText"/>
        </w:rPr>
        <w:t>person having an interest</w:t>
      </w:r>
      <w:r>
        <w:t>, in relation to doing anything, means a person who — </w:t>
      </w:r>
    </w:p>
    <w:p>
      <w:pPr>
        <w:pStyle w:val="Defpara"/>
      </w:pPr>
      <w:r>
        <w:tab/>
        <w:t>(a)</w:t>
      </w:r>
      <w:r>
        <w:tab/>
        <w:t>is the owner of the land in respect of which that thing is done, or any land that is likely to be adversely affected by doing that thing; or</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by No. 64 of 1998 s. 17.]</w:t>
      </w:r>
    </w:p>
    <w:p>
      <w:pPr>
        <w:pStyle w:val="Heading5"/>
        <w:keepLines w:val="0"/>
      </w:pPr>
      <w:bookmarkStart w:id="281" w:name="_Toc462409230"/>
      <w:r>
        <w:rPr>
          <w:rStyle w:val="CharSectno"/>
        </w:rPr>
        <w:t>3.52</w:t>
      </w:r>
      <w:r>
        <w:t>.</w:t>
      </w:r>
      <w:r>
        <w:tab/>
        <w:t>Public access to be maintained and plans kept</w:t>
      </w:r>
      <w:bookmarkEnd w:id="281"/>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ageBreakBefore/>
        <w:spacing w:before="0"/>
      </w:pPr>
      <w:bookmarkStart w:id="282" w:name="_Toc448218946"/>
      <w:bookmarkStart w:id="283" w:name="_Toc448224168"/>
      <w:bookmarkStart w:id="284" w:name="_Toc451179405"/>
      <w:bookmarkStart w:id="285" w:name="_Toc451430325"/>
      <w:bookmarkStart w:id="286" w:name="_Toc455396275"/>
      <w:bookmarkStart w:id="287" w:name="_Toc455397135"/>
      <w:bookmarkStart w:id="288" w:name="_Toc456086218"/>
      <w:bookmarkStart w:id="289" w:name="_Toc462409231"/>
      <w:r>
        <w:t>Subdivision 6 — Various executive functions</w:t>
      </w:r>
      <w:bookmarkEnd w:id="282"/>
      <w:bookmarkEnd w:id="283"/>
      <w:bookmarkEnd w:id="284"/>
      <w:bookmarkEnd w:id="285"/>
      <w:bookmarkEnd w:id="286"/>
      <w:bookmarkEnd w:id="287"/>
      <w:bookmarkEnd w:id="288"/>
      <w:bookmarkEnd w:id="289"/>
    </w:p>
    <w:p>
      <w:pPr>
        <w:pStyle w:val="Heading5"/>
      </w:pPr>
      <w:bookmarkStart w:id="290" w:name="_Toc462409232"/>
      <w:r>
        <w:rPr>
          <w:rStyle w:val="CharSectno"/>
        </w:rPr>
        <w:t>3.53</w:t>
      </w:r>
      <w:r>
        <w:t>.</w:t>
      </w:r>
      <w:r>
        <w:tab/>
        <w:t>Control of certain unvested facilities</w:t>
      </w:r>
      <w:bookmarkEnd w:id="290"/>
    </w:p>
    <w:p>
      <w:pPr>
        <w:pStyle w:val="Subsection"/>
      </w:pPr>
      <w:r>
        <w:tab/>
        <w:t>(1)</w:t>
      </w:r>
      <w:r>
        <w:tab/>
        <w:t>In this section — </w:t>
      </w:r>
    </w:p>
    <w:p>
      <w:pPr>
        <w:pStyle w:val="Defstart"/>
      </w:pPr>
      <w:r>
        <w:rPr>
          <w:b/>
        </w:rPr>
        <w:tab/>
      </w:r>
      <w:r>
        <w:rPr>
          <w:rStyle w:val="CharDefText"/>
        </w:rPr>
        <w:t>former section 300</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r>
      <w:r>
        <w:rPr>
          <w:rStyle w:val="CharDefText"/>
        </w:rPr>
        <w:t>otherwise unvested facility</w:t>
      </w:r>
      <w:r>
        <w:t xml:space="preserve"> means a thoroughfare, bridge, jetty, drain, or watercourse belonging to the Crown, the responsibility 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spacing w:before="180"/>
      </w:pPr>
      <w:bookmarkStart w:id="291" w:name="_Toc462409233"/>
      <w:r>
        <w:rPr>
          <w:rStyle w:val="CharSectno"/>
        </w:rPr>
        <w:t>3.54</w:t>
      </w:r>
      <w:r>
        <w:t>.</w:t>
      </w:r>
      <w:r>
        <w:tab/>
        <w:t>Reserves under control of local government</w:t>
      </w:r>
      <w:bookmarkEnd w:id="291"/>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by No. 49 of 2004 s. 74(4).]</w:t>
      </w:r>
    </w:p>
    <w:p>
      <w:pPr>
        <w:pStyle w:val="Heading5"/>
        <w:spacing w:before="180"/>
        <w:rPr>
          <w:spacing w:val="-2"/>
        </w:rPr>
      </w:pPr>
      <w:bookmarkStart w:id="292" w:name="_Toc462409234"/>
      <w:r>
        <w:rPr>
          <w:rStyle w:val="CharSectno"/>
        </w:rPr>
        <w:t>3.55</w:t>
      </w:r>
      <w:r>
        <w:t>.</w:t>
      </w:r>
      <w:r>
        <w:tab/>
        <w:t>Acquisition</w:t>
      </w:r>
      <w:r>
        <w:rPr>
          <w:spacing w:val="-2"/>
        </w:rPr>
        <w:t xml:space="preserve"> of land</w:t>
      </w:r>
      <w:bookmarkEnd w:id="292"/>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by No. 24 of 2000 s. 22.]</w:t>
      </w:r>
    </w:p>
    <w:p>
      <w:pPr>
        <w:pStyle w:val="Heading5"/>
        <w:spacing w:before="180"/>
      </w:pPr>
      <w:bookmarkStart w:id="293" w:name="_Toc462409235"/>
      <w:r>
        <w:rPr>
          <w:rStyle w:val="CharSectno"/>
        </w:rPr>
        <w:t>3.56</w:t>
      </w:r>
      <w:r>
        <w:t>.</w:t>
      </w:r>
      <w:r>
        <w:tab/>
        <w:t>Tidal waters</w:t>
      </w:r>
      <w:bookmarkEnd w:id="293"/>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294" w:name="_Toc462409236"/>
      <w:r>
        <w:rPr>
          <w:rStyle w:val="CharSectno"/>
        </w:rPr>
        <w:t>3.57</w:t>
      </w:r>
      <w:r>
        <w:t>.</w:t>
      </w:r>
      <w:r>
        <w:tab/>
        <w:t>Tenders for providing goods or services</w:t>
      </w:r>
      <w:bookmarkEnd w:id="294"/>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295" w:name="_Toc462409237"/>
      <w:r>
        <w:rPr>
          <w:rStyle w:val="CharSectno"/>
        </w:rPr>
        <w:t>3.58</w:t>
      </w:r>
      <w:r>
        <w:t>.</w:t>
      </w:r>
      <w:r>
        <w:tab/>
        <w:t>Disposing of property</w:t>
      </w:r>
      <w:bookmarkEnd w:id="295"/>
    </w:p>
    <w:p>
      <w:pPr>
        <w:pStyle w:val="Subsection"/>
      </w:pPr>
      <w:r>
        <w:tab/>
        <w:t>(1)</w:t>
      </w:r>
      <w:r>
        <w:tab/>
        <w:t>In this section — </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property</w:t>
      </w:r>
      <w:r>
        <w:t xml:space="preserve"> includes the whole or any part of the interest of a local government in property, but does not include money.</w:t>
      </w:r>
    </w:p>
    <w:p>
      <w:pPr>
        <w:pStyle w:val="Subsection"/>
        <w:keepNext/>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 and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pPr>
      <w:r>
        <w:tab/>
        <w:t>(4)</w:t>
      </w:r>
      <w:r>
        <w:tab/>
        <w:t>The details of a proposed disposition that are required by subsection (3)(a)(ii) include — </w:t>
      </w:r>
    </w:p>
    <w:p>
      <w:pPr>
        <w:pStyle w:val="Indenta"/>
      </w:pPr>
      <w:r>
        <w:tab/>
        <w:t>(a)</w:t>
      </w:r>
      <w:r>
        <w:tab/>
        <w:t>the names of all other parties concerned; and</w:t>
      </w:r>
    </w:p>
    <w:p>
      <w:pPr>
        <w:pStyle w:val="Indenta"/>
      </w:pPr>
      <w:r>
        <w:tab/>
        <w:t>(b)</w:t>
      </w:r>
      <w:r>
        <w:tab/>
        <w:t>the consideration to be received by the local government for the disposition; and</w:t>
      </w:r>
    </w:p>
    <w:p>
      <w:pPr>
        <w:pStyle w:val="Indenta"/>
      </w:pPr>
      <w:r>
        <w:tab/>
        <w:t>(c)</w:t>
      </w:r>
      <w:r>
        <w:tab/>
        <w:t xml:space="preserve">the market value of the disposition — </w:t>
      </w:r>
    </w:p>
    <w:p>
      <w:pPr>
        <w:pStyle w:val="Indenti"/>
      </w:pPr>
      <w:r>
        <w:tab/>
        <w:t>(i)</w:t>
      </w:r>
      <w:r>
        <w:tab/>
        <w:t>as ascertained by a valuation carried out not more than 6 months before the proposed disposition; or</w:t>
      </w:r>
    </w:p>
    <w:p>
      <w:pPr>
        <w:pStyle w:val="Indenti"/>
      </w:pPr>
      <w:r>
        <w:tab/>
        <w:t>(ii)</w:t>
      </w:r>
      <w:r>
        <w:tab/>
        <w:t>as declared by a resolution of the local government on the basis of a valuation carried out more than 6 months before the proposed disposition that the local government believes to be a true indication of the value at the time of the proposed disposition.</w:t>
      </w:r>
    </w:p>
    <w:p>
      <w:pPr>
        <w:pStyle w:val="Subsection"/>
        <w:keepNext/>
      </w:pPr>
      <w:r>
        <w:tab/>
        <w:t>(5)</w:t>
      </w:r>
      <w:r>
        <w:tab/>
        <w:t>This section does not apply to — </w:t>
      </w:r>
    </w:p>
    <w:p>
      <w:pPr>
        <w:pStyle w:val="Indenta"/>
      </w:pPr>
      <w:r>
        <w:tab/>
        <w:t>(a)</w:t>
      </w:r>
      <w:r>
        <w:tab/>
        <w:t xml:space="preserve">a disposition of an interest in land under the </w:t>
      </w:r>
      <w:r>
        <w:rPr>
          <w:i/>
          <w:iCs/>
        </w:rPr>
        <w:t>Land Administration Act 1997</w:t>
      </w:r>
      <w:r>
        <w:t xml:space="preserve"> section 189 or 190; or</w:t>
      </w:r>
    </w:p>
    <w:p>
      <w:pPr>
        <w:pStyle w:val="Indenta"/>
      </w:pPr>
      <w:r>
        <w:tab/>
        <w:t>(b)</w:t>
      </w:r>
      <w:r>
        <w:tab/>
        <w:t>a disposition of property in the course of carrying on a trading undertaking as defined in section 3.59; or</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by No. 49 of 2004 s. 27; No. 17 of 2009 s. 10.]</w:t>
      </w:r>
    </w:p>
    <w:p>
      <w:pPr>
        <w:pStyle w:val="Heading5"/>
      </w:pPr>
      <w:bookmarkStart w:id="296" w:name="_Toc462409238"/>
      <w:r>
        <w:rPr>
          <w:rStyle w:val="CharSectno"/>
        </w:rPr>
        <w:t>3.59</w:t>
      </w:r>
      <w:r>
        <w:t>.</w:t>
      </w:r>
      <w:r>
        <w:tab/>
        <w:t>Commercial enterprises by local governments</w:t>
      </w:r>
      <w:bookmarkEnd w:id="296"/>
    </w:p>
    <w:p>
      <w:pPr>
        <w:pStyle w:val="Subsection"/>
        <w:keepNext/>
        <w:keepLines/>
      </w:pPr>
      <w:r>
        <w:tab/>
        <w:t>(1)</w:t>
      </w:r>
      <w:r>
        <w:tab/>
        <w:t>In this section — </w:t>
      </w:r>
    </w:p>
    <w:p>
      <w:pPr>
        <w:pStyle w:val="Defstart"/>
      </w:pPr>
      <w:r>
        <w:rPr>
          <w:b/>
        </w:rPr>
        <w:tab/>
      </w:r>
      <w:r>
        <w:rPr>
          <w:rStyle w:val="CharDefText"/>
        </w:rPr>
        <w:t>acquire</w:t>
      </w:r>
      <w:r>
        <w:t xml:space="preserve"> has a meaning that accords with the meaning of </w:t>
      </w:r>
      <w:r>
        <w:rPr>
          <w:b/>
          <w:bCs/>
          <w:i/>
          <w:iCs/>
        </w:rPr>
        <w:t>dispose</w:t>
      </w:r>
      <w:r>
        <w:t>;</w:t>
      </w:r>
    </w:p>
    <w:p>
      <w:pPr>
        <w:pStyle w:val="Defstart"/>
      </w:pPr>
      <w:r>
        <w:rPr>
          <w:b/>
        </w:rPr>
        <w:tab/>
      </w:r>
      <w:r>
        <w:rPr>
          <w:rStyle w:val="CharDefText"/>
        </w:rPr>
        <w:t>dispose</w:t>
      </w:r>
      <w:r>
        <w:t xml:space="preserve"> includes to sell, lease, or otherwise dispose of, whether absolutely or not;</w:t>
      </w:r>
    </w:p>
    <w:p>
      <w:pPr>
        <w:pStyle w:val="Defstart"/>
        <w:keepNext/>
      </w:pPr>
      <w:r>
        <w:rPr>
          <w:b/>
        </w:rPr>
        <w:tab/>
      </w:r>
      <w:r>
        <w:rPr>
          <w:rStyle w:val="CharDefText"/>
        </w:rPr>
        <w:t>land transaction</w:t>
      </w:r>
      <w:r>
        <w:t xml:space="preserve"> means an agreement, or several agreements for a common purpose, under which a local government is to — </w:t>
      </w:r>
    </w:p>
    <w:p>
      <w:pPr>
        <w:pStyle w:val="Defpara"/>
      </w:pPr>
      <w:r>
        <w:tab/>
        <w:t>(a)</w:t>
      </w:r>
      <w:r>
        <w:tab/>
        <w:t>acquire or dispose of an interest in land; or</w:t>
      </w:r>
    </w:p>
    <w:p>
      <w:pPr>
        <w:pStyle w:val="Defpara"/>
      </w:pPr>
      <w:r>
        <w:tab/>
        <w:t>(b)</w:t>
      </w:r>
      <w:r>
        <w:tab/>
        <w:t>develop land;</w:t>
      </w:r>
    </w:p>
    <w:p>
      <w:pPr>
        <w:pStyle w:val="Defstart"/>
      </w:pPr>
      <w:r>
        <w:tab/>
      </w:r>
      <w:r>
        <w:rPr>
          <w:rStyle w:val="CharDefText"/>
        </w:rPr>
        <w:t>major land transaction</w:t>
      </w:r>
      <w:r>
        <w:t xml:space="preserve"> means a land transaction other than an exempt land transaction if the total value of — </w:t>
      </w:r>
    </w:p>
    <w:p>
      <w:pPr>
        <w:pStyle w:val="Defpara"/>
      </w:pPr>
      <w:r>
        <w:tab/>
        <w:t>(a)</w:t>
      </w:r>
      <w:r>
        <w:tab/>
        <w:t>the consideration under the transaction; and</w:t>
      </w:r>
    </w:p>
    <w:p>
      <w:pPr>
        <w:pStyle w:val="Defpara"/>
      </w:pPr>
      <w:r>
        <w:tab/>
        <w:t>(b)</w:t>
      </w:r>
      <w:r>
        <w:tab/>
        <w:t>anything done by the local government for achieving the purpose of the transaction,</w:t>
      </w:r>
    </w:p>
    <w:p>
      <w:pPr>
        <w:pStyle w:val="Defstart"/>
      </w:pPr>
      <w:r>
        <w:tab/>
        <w:t>is more, or is worth more, than the amount prescribed for the purposes of this definition;</w:t>
      </w:r>
    </w:p>
    <w:p>
      <w:pPr>
        <w:pStyle w:val="Defstart"/>
        <w:keepNext/>
        <w:keepLines/>
      </w:pPr>
      <w:r>
        <w:tab/>
      </w:r>
      <w:r>
        <w:rPr>
          <w:rStyle w:val="CharDefText"/>
        </w:rPr>
        <w:t>major trading undertaking</w:t>
      </w:r>
      <w:r>
        <w:t xml:space="preserve"> means a trading undertaking that — </w:t>
      </w:r>
    </w:p>
    <w:p>
      <w:pPr>
        <w:pStyle w:val="Defpara"/>
      </w:pPr>
      <w:r>
        <w:tab/>
        <w:t>(a)</w:t>
      </w:r>
      <w:r>
        <w:tab/>
        <w:t>in the last completed financial year, involved; or</w:t>
      </w:r>
    </w:p>
    <w:p>
      <w:pPr>
        <w:pStyle w:val="Defpara"/>
      </w:pPr>
      <w:r>
        <w:tab/>
        <w:t>(b)</w:t>
      </w:r>
      <w:r>
        <w:tab/>
        <w:t>in the current financial year or the financial year after the current financial year, is likely to involve,</w:t>
      </w:r>
    </w:p>
    <w:p>
      <w:pPr>
        <w:pStyle w:val="Defstart"/>
      </w:pPr>
      <w:r>
        <w:tab/>
        <w:t>expenditure by the local government of more than the amount prescribed for the purposes of this definition, except an exempt trading undertaking;</w:t>
      </w:r>
    </w:p>
    <w:p>
      <w:pPr>
        <w:pStyle w:val="Defstart"/>
      </w:pPr>
      <w:r>
        <w:tab/>
      </w:r>
      <w:r>
        <w:rPr>
          <w:rStyle w:val="CharDefText"/>
        </w:rPr>
        <w:t>trading undertaking</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w:t>
      </w:r>
      <w:r>
        <w:rPr>
          <w:b/>
          <w:bCs/>
          <w:i/>
          <w:iCs/>
        </w:rPr>
        <w:t>land transaction</w:t>
      </w:r>
      <w:r>
        <w:t>.</w:t>
      </w:r>
    </w:p>
    <w:p>
      <w:pPr>
        <w:pStyle w:val="Subsection"/>
      </w:pPr>
      <w:r>
        <w:tab/>
        <w:t>(2)</w:t>
      </w:r>
      <w:r>
        <w:tab/>
        <w:t>Before it — </w:t>
      </w:r>
    </w:p>
    <w:p>
      <w:pPr>
        <w:pStyle w:val="Indenta"/>
      </w:pPr>
      <w:r>
        <w:tab/>
        <w:t>(a)</w:t>
      </w:r>
      <w:r>
        <w:tab/>
        <w:t>commences a major trading undertaking; or</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 and</w:t>
      </w:r>
    </w:p>
    <w:p>
      <w:pPr>
        <w:pStyle w:val="Indenta"/>
      </w:pPr>
      <w:r>
        <w:tab/>
        <w:t>(b)</w:t>
      </w:r>
      <w:r>
        <w:tab/>
        <w:t>its expected effect on other persons providing facilities and services in the district; and</w:t>
      </w:r>
    </w:p>
    <w:p>
      <w:pPr>
        <w:pStyle w:val="Indenta"/>
      </w:pPr>
      <w:r>
        <w:tab/>
        <w:t>(c)</w:t>
      </w:r>
      <w:r>
        <w:tab/>
        <w:t>its expected financial effect on the local government; and</w:t>
      </w:r>
    </w:p>
    <w:p>
      <w:pPr>
        <w:pStyle w:val="Indenta"/>
      </w:pPr>
      <w:r>
        <w:tab/>
        <w:t>(d)</w:t>
      </w:r>
      <w:r>
        <w:tab/>
        <w:t>its expected effect on matters referred to in the local government’s current plan prepared under section 5.56; and</w:t>
      </w:r>
    </w:p>
    <w:p>
      <w:pPr>
        <w:pStyle w:val="Indenta"/>
      </w:pPr>
      <w:r>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keepNext/>
      </w:pPr>
      <w:r>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 and</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w:t>
      </w:r>
    </w:p>
    <w:p>
      <w:pPr>
        <w:pStyle w:val="Subsection"/>
        <w:spacing w:before="120"/>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MiscellaneousBody"/>
        <w:spacing w:before="120"/>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(5a)</w:t>
      </w:r>
      <w:r>
        <w:tab/>
        <w:t>A notice under subsection (4) is also to be published and exhibited as if it were a local public notice.</w:t>
      </w:r>
    </w:p>
    <w:p>
      <w:pPr>
        <w:pStyle w:val="Subsection"/>
        <w:spacing w:before="120"/>
      </w:pPr>
      <w:r>
        <w:tab/>
        <w:t>(6)</w:t>
      </w:r>
      <w:r>
        <w:tab/>
        <w:t>If the local government wishes to commence an undertaking or transaction that is significantly different from what was proposed it can only do so after it has complied with this section in respect of its new proposal.</w:t>
      </w:r>
    </w:p>
    <w:p>
      <w:pPr>
        <w:pStyle w:val="Subsection"/>
        <w:keepLines/>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by No. 1 of 1998 s. 12; No. 64 of 1998 s. 18(1) and (2).]</w:t>
      </w:r>
    </w:p>
    <w:p>
      <w:pPr>
        <w:pStyle w:val="Heading5"/>
        <w:spacing w:before="180"/>
      </w:pPr>
      <w:bookmarkStart w:id="297" w:name="_Toc462409239"/>
      <w:r>
        <w:rPr>
          <w:rStyle w:val="CharSectno"/>
        </w:rPr>
        <w:t>3.60</w:t>
      </w:r>
      <w:r>
        <w:t>.</w:t>
      </w:r>
      <w:r>
        <w:tab/>
        <w:t>No capacity to form or acquire control of body corporate</w:t>
      </w:r>
      <w:bookmarkEnd w:id="297"/>
    </w:p>
    <w:p>
      <w:pPr>
        <w:pStyle w:val="Subsection"/>
      </w:pPr>
      <w:r>
        <w:tab/>
      </w:r>
      <w:r>
        <w:tab/>
        <w:t>A local government cannot form or take part in forming, or acquire an interest giving it the control of, an incorporated company or any other body corporate except a regional local government unless it is permitted to do so by regulations.</w:t>
      </w:r>
    </w:p>
    <w:p>
      <w:pPr>
        <w:pStyle w:val="Heading3"/>
      </w:pPr>
      <w:bookmarkStart w:id="298" w:name="_Toc448218955"/>
      <w:bookmarkStart w:id="299" w:name="_Toc448224177"/>
      <w:bookmarkStart w:id="300" w:name="_Toc451179414"/>
      <w:bookmarkStart w:id="301" w:name="_Toc451430334"/>
      <w:bookmarkStart w:id="302" w:name="_Toc455396284"/>
      <w:bookmarkStart w:id="303" w:name="_Toc455397144"/>
      <w:bookmarkStart w:id="304" w:name="_Toc456086227"/>
      <w:bookmarkStart w:id="305" w:name="_Toc462409240"/>
      <w:r>
        <w:rPr>
          <w:rStyle w:val="CharDivNo"/>
        </w:rPr>
        <w:t>Division 4</w:t>
      </w:r>
      <w:r>
        <w:t> — </w:t>
      </w:r>
      <w:r>
        <w:rPr>
          <w:rStyle w:val="CharDivText"/>
        </w:rPr>
        <w:t>Regional local governments</w:t>
      </w:r>
      <w:bookmarkEnd w:id="298"/>
      <w:bookmarkEnd w:id="299"/>
      <w:bookmarkEnd w:id="300"/>
      <w:bookmarkEnd w:id="301"/>
      <w:bookmarkEnd w:id="302"/>
      <w:bookmarkEnd w:id="303"/>
      <w:bookmarkEnd w:id="304"/>
      <w:bookmarkEnd w:id="305"/>
    </w:p>
    <w:p>
      <w:pPr>
        <w:pStyle w:val="Heading5"/>
      </w:pPr>
      <w:bookmarkStart w:id="306" w:name="_Toc462409241"/>
      <w:r>
        <w:rPr>
          <w:rStyle w:val="CharSectno"/>
        </w:rPr>
        <w:t>3.61</w:t>
      </w:r>
      <w:r>
        <w:t>.</w:t>
      </w:r>
      <w:r>
        <w:tab/>
        <w:t>Establishing regional local government</w:t>
      </w:r>
      <w:bookmarkEnd w:id="306"/>
    </w:p>
    <w:p>
      <w:pPr>
        <w:pStyle w:val="Subsection"/>
      </w:pPr>
      <w:r>
        <w:tab/>
        <w:t>(1)</w:t>
      </w:r>
      <w:r>
        <w:tab/>
        <w:t xml:space="preserve">Two or more local governments (referred to in this Division as the </w:t>
      </w:r>
      <w:r>
        <w:rPr>
          <w:rStyle w:val="CharDefText"/>
        </w:rPr>
        <w:t>participants</w:t>
      </w:r>
      <w:r>
        <w:t>) may, with the Minister’s approval, establish a regional local government to do things, for the participants, for any purpose for which a local government can do things under this Act or any other Act.</w:t>
      </w:r>
    </w:p>
    <w:p>
      <w:pPr>
        <w:pStyle w:val="Subsection"/>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rStyle w:val="CharDefText"/>
        </w:rPr>
        <w:t>establishment agreement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 and</w:t>
      </w:r>
    </w:p>
    <w:p>
      <w:pPr>
        <w:pStyle w:val="Indenta"/>
      </w:pPr>
      <w:r>
        <w:tab/>
        <w:t>(b)</w:t>
      </w:r>
      <w:r>
        <w:tab/>
        <w:t>under the name; and</w:t>
      </w:r>
    </w:p>
    <w:p>
      <w:pPr>
        <w:pStyle w:val="Indenta"/>
        <w:keepNext/>
      </w:pPr>
      <w:r>
        <w:tab/>
        <w:t>(c)</w:t>
      </w:r>
      <w:r>
        <w:tab/>
        <w:t>for the purpose,</w:t>
      </w:r>
    </w:p>
    <w:p>
      <w:pPr>
        <w:pStyle w:val="Subsection"/>
      </w:pPr>
      <w:r>
        <w:tab/>
      </w:r>
      <w:r>
        <w:tab/>
        <w:t>set out in the notice.</w:t>
      </w:r>
    </w:p>
    <w:p>
      <w:pPr>
        <w:pStyle w:val="Heading5"/>
      </w:pPr>
      <w:bookmarkStart w:id="307" w:name="_Toc462409242"/>
      <w:r>
        <w:rPr>
          <w:rStyle w:val="CharSectno"/>
        </w:rPr>
        <w:t>3.62</w:t>
      </w:r>
      <w:r>
        <w:t>.</w:t>
      </w:r>
      <w:r>
        <w:tab/>
        <w:t>Constitution and purpose of regional local government</w:t>
      </w:r>
      <w:bookmarkEnd w:id="307"/>
    </w:p>
    <w:p>
      <w:pPr>
        <w:pStyle w:val="Subsection"/>
      </w:pPr>
      <w:r>
        <w:tab/>
        <w:t>(1)</w:t>
      </w:r>
      <w:r>
        <w:tab/>
        <w:t>A regional local government — </w:t>
      </w:r>
    </w:p>
    <w:p>
      <w:pPr>
        <w:pStyle w:val="Indenta"/>
      </w:pPr>
      <w:r>
        <w:tab/>
        <w:t>(a)</w:t>
      </w:r>
      <w:r>
        <w:tab/>
        <w:t>is a body corporate with perpetual succession and a common seal; and</w:t>
      </w:r>
    </w:p>
    <w:p>
      <w:pPr>
        <w:pStyle w:val="Indenta"/>
      </w:pPr>
      <w:r>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rStyle w:val="CharDefText"/>
        </w:rPr>
        <w:t>regional purpose</w:t>
      </w:r>
      <w:r>
        <w:t>) is as set out in the establishment agreement.</w:t>
      </w:r>
    </w:p>
    <w:p>
      <w:pPr>
        <w:pStyle w:val="Heading5"/>
      </w:pPr>
      <w:bookmarkStart w:id="308" w:name="_Toc462409243"/>
      <w:r>
        <w:rPr>
          <w:rStyle w:val="CharSectno"/>
        </w:rPr>
        <w:t>3.63</w:t>
      </w:r>
      <w:r>
        <w:t>.</w:t>
      </w:r>
      <w:r>
        <w:tab/>
        <w:t>Dissolution or partial dissolution of regional local government</w:t>
      </w:r>
      <w:bookmarkEnd w:id="308"/>
    </w:p>
    <w:p>
      <w:pPr>
        <w:pStyle w:val="Subsection"/>
      </w:pPr>
      <w:r>
        <w:tab/>
        <w:t>(1)</w:t>
      </w:r>
      <w:r>
        <w:tab/>
        <w:t>A regional local government is to be wound up — </w:t>
      </w:r>
    </w:p>
    <w:p>
      <w:pPr>
        <w:pStyle w:val="Indenta"/>
        <w:spacing w:before="60"/>
      </w:pPr>
      <w:r>
        <w:tab/>
        <w:t>(a)</w:t>
      </w:r>
      <w:r>
        <w:tab/>
        <w:t>at the direction of the Minister; or</w:t>
      </w:r>
    </w:p>
    <w:p>
      <w:pPr>
        <w:pStyle w:val="Indenta"/>
        <w:spacing w:before="60"/>
      </w:pPr>
      <w:r>
        <w:tab/>
        <w:t>(b)</w:t>
      </w:r>
      <w:r>
        <w:tab/>
        <w:t>in accordance with the establishment agreement.</w:t>
      </w:r>
    </w:p>
    <w:p>
      <w:pPr>
        <w:pStyle w:val="Subsection"/>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pPr>
      <w:bookmarkStart w:id="309" w:name="_Toc462409244"/>
      <w:r>
        <w:rPr>
          <w:rStyle w:val="CharSectno"/>
        </w:rPr>
        <w:t>3.64</w:t>
      </w:r>
      <w:r>
        <w:t>.</w:t>
      </w:r>
      <w:r>
        <w:tab/>
        <w:t>Establishment agreement, what it must contain</w:t>
      </w:r>
      <w:bookmarkEnd w:id="309"/>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 and</w:t>
      </w:r>
    </w:p>
    <w:p>
      <w:pPr>
        <w:pStyle w:val="Indenta"/>
      </w:pPr>
      <w:r>
        <w:tab/>
        <w:t>(b)</w:t>
      </w:r>
      <w:r>
        <w:tab/>
        <w:t>a description of the region for which the regional local government is established; and</w:t>
      </w:r>
    </w:p>
    <w:p>
      <w:pPr>
        <w:pStyle w:val="Indenta"/>
      </w:pPr>
      <w:r>
        <w:tab/>
        <w:t>(c)</w:t>
      </w:r>
      <w:r>
        <w:tab/>
        <w:t>the number of offices of member on the council of the regional local government and, in respect of each participant, the number of members to be appointed by that participant; and</w:t>
      </w:r>
    </w:p>
    <w:p>
      <w:pPr>
        <w:pStyle w:val="Indenta"/>
      </w:pPr>
      <w:r>
        <w:tab/>
        <w:t>(d)</w:t>
      </w:r>
      <w:r>
        <w:tab/>
        <w:t>the appointment and tenure of members and deputy members of the council of the regional local government; and</w:t>
      </w:r>
    </w:p>
    <w:p>
      <w:pPr>
        <w:pStyle w:val="Indenta"/>
      </w:pPr>
      <w:r>
        <w:tab/>
        <w:t>(e)</w:t>
      </w:r>
      <w:r>
        <w:tab/>
        <w:t xml:space="preserve">the election or appointment of a chairman and deputy chairman of the regional </w:t>
      </w:r>
      <w:r>
        <w:rPr>
          <w:spacing w:val="-2"/>
        </w:rPr>
        <w:t xml:space="preserve">local government from amongst </w:t>
      </w:r>
      <w:r>
        <w:t>members of its council and the term of office of a chairman and deputy chairman, which is not to exceed 2 years; and</w:t>
      </w:r>
    </w:p>
    <w:p>
      <w:pPr>
        <w:pStyle w:val="Indenta"/>
        <w:keepNext/>
      </w:pPr>
      <w:r>
        <w:tab/>
        <w:t>(f)</w:t>
      </w:r>
      <w:r>
        <w:tab/>
        <w:t>the purpose for which the regional local government is established; and</w:t>
      </w:r>
    </w:p>
    <w:p>
      <w:pPr>
        <w:pStyle w:val="Indenta"/>
      </w:pPr>
      <w:r>
        <w:tab/>
        <w:t>(g)</w:t>
      </w:r>
      <w:r>
        <w:tab/>
      </w:r>
      <w:r>
        <w:rPr>
          <w:spacing w:val="-4"/>
        </w:rPr>
        <w:t>a means of determining the financial contributions of the participants to the funds of the regional local government; and</w:t>
      </w:r>
    </w:p>
    <w:p>
      <w:pPr>
        <w:pStyle w:val="Indenta"/>
      </w:pPr>
      <w:r>
        <w:tab/>
        <w:t>(h)</w:t>
      </w:r>
      <w:r>
        <w:tab/>
        <w:t>procedures for the winding up of the regional local government or for the withdrawal of a participant from the regional local government; and</w:t>
      </w:r>
    </w:p>
    <w:p>
      <w:pPr>
        <w:pStyle w:val="Indenta"/>
      </w:pPr>
      <w:r>
        <w:tab/>
        <w:t>(i)</w:t>
      </w:r>
      <w:r>
        <w:tab/>
        <w:t>procedures for the division of assets and liabilities between the participants in the event of the regional local government being wound up or a participant withdrawing from the regional local government; and</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by No. 49 of 2004 s. 28; No. 17 of 2009 s. 11.]</w:t>
      </w:r>
    </w:p>
    <w:p>
      <w:pPr>
        <w:pStyle w:val="Heading5"/>
      </w:pPr>
      <w:bookmarkStart w:id="310" w:name="_Toc462409245"/>
      <w:r>
        <w:rPr>
          <w:rStyle w:val="CharSectno"/>
        </w:rPr>
        <w:t>3.65</w:t>
      </w:r>
      <w:r>
        <w:t>.</w:t>
      </w:r>
      <w:r>
        <w:tab/>
        <w:t>Establishment agreement, amendment of</w:t>
      </w:r>
      <w:bookmarkEnd w:id="310"/>
    </w:p>
    <w:p>
      <w:pPr>
        <w:pStyle w:val="Subsection"/>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pPr>
      <w:r>
        <w:tab/>
        <w:t>(2)</w:t>
      </w:r>
      <w:r>
        <w:tab/>
        <w:t>The establishment agreement can be amended under subsection (1) to include another local government as a further participant if that local government is a party to the amending agreement.</w:t>
      </w:r>
    </w:p>
    <w:p>
      <w:pPr>
        <w:pStyle w:val="Subsection"/>
      </w:pPr>
      <w:r>
        <w:tab/>
        <w:t>(3)</w:t>
      </w:r>
      <w:r>
        <w:tab/>
        <w:t>Section 3.61(2) and (3) apply, with any necessary modifications, to an agreement amending the establishment agreement.</w:t>
      </w:r>
    </w:p>
    <w:p>
      <w:pPr>
        <w:pStyle w:val="Heading5"/>
      </w:pPr>
      <w:bookmarkStart w:id="311" w:name="_Toc462409246"/>
      <w:r>
        <w:rPr>
          <w:rStyle w:val="CharSectno"/>
        </w:rPr>
        <w:t>3.66</w:t>
      </w:r>
      <w:r>
        <w:t>.</w:t>
      </w:r>
      <w:r>
        <w:tab/>
        <w:t>Application of enabling Acts to regional local government</w:t>
      </w:r>
      <w:bookmarkEnd w:id="311"/>
    </w:p>
    <w:p>
      <w:pPr>
        <w:pStyle w:val="Subsection"/>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pPr>
      <w:r>
        <w:tab/>
        <w:t>(2)</w:t>
      </w:r>
      <w:r>
        <w:tab/>
        <w:t>A regional local government can only do things for the regional purpose, and the application of this Act or any other Act under subsection (1) is limited accordingly.</w:t>
      </w:r>
    </w:p>
    <w:p>
      <w:pPr>
        <w:pStyle w:val="Subsection"/>
      </w:pPr>
      <w:r>
        <w:tab/>
        <w:t>(3)</w:t>
      </w:r>
      <w:r>
        <w:tab/>
        <w:t>The following provisions of this Act do not apply in relation to a regional local government — </w:t>
      </w:r>
    </w:p>
    <w:p>
      <w:pPr>
        <w:pStyle w:val="Indenta"/>
      </w:pPr>
      <w:r>
        <w:tab/>
        <w:t>(a)</w:t>
      </w:r>
      <w:r>
        <w:tab/>
        <w:t>Part 2 (other than sections 2.7, 2.26, 2.29 and 2.32(e) and Division 7); and</w:t>
      </w:r>
    </w:p>
    <w:p>
      <w:pPr>
        <w:pStyle w:val="Indenta"/>
      </w:pPr>
      <w:r>
        <w:tab/>
        <w:t>(b)</w:t>
      </w:r>
      <w:r>
        <w:tab/>
        <w:t>Part 4; and</w:t>
      </w:r>
    </w:p>
    <w:p>
      <w:pPr>
        <w:pStyle w:val="Indenta"/>
      </w:pPr>
      <w:r>
        <w:tab/>
        <w:t>(c)</w:t>
      </w:r>
      <w:r>
        <w:tab/>
        <w:t>Part 5, Division 2, Subdivision 4; and</w:t>
      </w:r>
    </w:p>
    <w:p>
      <w:pPr>
        <w:pStyle w:val="Indenta"/>
      </w:pPr>
      <w:r>
        <w:tab/>
        <w:t>(d)</w:t>
      </w:r>
      <w:r>
        <w:tab/>
        <w:t>Part 6, Division 6; and</w:t>
      </w:r>
    </w:p>
    <w:p>
      <w:pPr>
        <w:pStyle w:val="Indenta"/>
      </w:pPr>
      <w:r>
        <w:tab/>
        <w:t>(e)</w:t>
      </w:r>
      <w:r>
        <w:tab/>
        <w:t>any provision prescribed for the purposes of this subsection.</w:t>
      </w:r>
    </w:p>
    <w:p>
      <w:pPr>
        <w:pStyle w:val="Subsection"/>
      </w:pPr>
      <w:r>
        <w:tab/>
        <w:t>(4)</w:t>
      </w:r>
      <w:r>
        <w:tab/>
        <w:t>Part 6, Division 5, Subdivision 3 does not apply in relation to a regional local government unless the establishment agreement provides that it does.</w:t>
      </w:r>
    </w:p>
    <w:p>
      <w:pPr>
        <w:pStyle w:val="Subsection"/>
      </w:pPr>
      <w:r>
        <w:tab/>
        <w:t>(5)</w:t>
      </w:r>
      <w:r>
        <w:tab/>
        <w:t>The provisions that do apply in relation to a regional local government apply to it subject to any prescribed modifications and any other necessary modifications.</w:t>
      </w:r>
    </w:p>
    <w:p>
      <w:pPr>
        <w:pStyle w:val="Footnotesection"/>
        <w:spacing w:before="100"/>
        <w:ind w:left="890" w:hanging="890"/>
      </w:pPr>
      <w:r>
        <w:tab/>
        <w:t>[Section 3.66 amended by No. 49 of 2004 s. 29.]</w:t>
      </w:r>
    </w:p>
    <w:p>
      <w:pPr>
        <w:pStyle w:val="Heading5"/>
      </w:pPr>
      <w:bookmarkStart w:id="312" w:name="_Toc462409247"/>
      <w:r>
        <w:rPr>
          <w:rStyle w:val="CharSectno"/>
        </w:rPr>
        <w:t>3.67</w:t>
      </w:r>
      <w:r>
        <w:t>.</w:t>
      </w:r>
      <w:r>
        <w:tab/>
        <w:t>Inconsistency between regional and other local laws</w:t>
      </w:r>
      <w:bookmarkEnd w:id="312"/>
    </w:p>
    <w:p>
      <w:pPr>
        <w:pStyle w:val="Subsection"/>
      </w:pPr>
      <w:r>
        <w:tab/>
      </w:r>
      <w:r>
        <w:tab/>
        <w:t>To the extent that a local law made by a regional local government is inconsistent with a local law made by a local government, the local law made by the regional local government prevails.</w:t>
      </w:r>
    </w:p>
    <w:p>
      <w:pPr>
        <w:pStyle w:val="Heading5"/>
      </w:pPr>
      <w:bookmarkStart w:id="313" w:name="_Toc462409248"/>
      <w:r>
        <w:rPr>
          <w:rStyle w:val="CharSectno"/>
        </w:rPr>
        <w:t>3.68</w:t>
      </w:r>
      <w:r>
        <w:t>.</w:t>
      </w:r>
      <w:r>
        <w:tab/>
        <w:t>Other arrangements not affected</w:t>
      </w:r>
      <w:bookmarkEnd w:id="313"/>
    </w:p>
    <w:p>
      <w:pPr>
        <w:pStyle w:val="Subsection"/>
      </w:pPr>
      <w:r>
        <w:tab/>
      </w:r>
      <w:r>
        <w:tab/>
        <w:t>Nothing in this Division prevents local governments from making arrangements under which — </w:t>
      </w:r>
    </w:p>
    <w:p>
      <w:pPr>
        <w:pStyle w:val="Indenta"/>
      </w:pPr>
      <w:r>
        <w:tab/>
        <w:t>(a)</w:t>
      </w:r>
      <w:r>
        <w:tab/>
        <w:t>a local government performs a function for another local government; or</w:t>
      </w:r>
    </w:p>
    <w:p>
      <w:pPr>
        <w:pStyle w:val="Indenta"/>
      </w:pPr>
      <w:r>
        <w:tab/>
        <w:t>(b)</w:t>
      </w:r>
      <w:r>
        <w:tab/>
        <w:t>local governments perform a function jointly.</w:t>
      </w:r>
    </w:p>
    <w:p>
      <w:pPr>
        <w:pStyle w:val="Heading2"/>
      </w:pPr>
      <w:bookmarkStart w:id="314" w:name="_Toc448218964"/>
      <w:bookmarkStart w:id="315" w:name="_Toc448224186"/>
      <w:bookmarkStart w:id="316" w:name="_Toc451179423"/>
      <w:bookmarkStart w:id="317" w:name="_Toc451430343"/>
      <w:bookmarkStart w:id="318" w:name="_Toc455396293"/>
      <w:bookmarkStart w:id="319" w:name="_Toc455397153"/>
      <w:bookmarkStart w:id="320" w:name="_Toc456086236"/>
      <w:bookmarkStart w:id="321" w:name="_Toc462409249"/>
      <w:r>
        <w:rPr>
          <w:rStyle w:val="CharPartNo"/>
        </w:rPr>
        <w:t>Part 4</w:t>
      </w:r>
      <w:r>
        <w:t> — </w:t>
      </w:r>
      <w:r>
        <w:rPr>
          <w:rStyle w:val="CharPartText"/>
        </w:rPr>
        <w:t>Elections and other polls</w:t>
      </w:r>
      <w:bookmarkEnd w:id="314"/>
      <w:bookmarkEnd w:id="315"/>
      <w:bookmarkEnd w:id="316"/>
      <w:bookmarkEnd w:id="317"/>
      <w:bookmarkEnd w:id="318"/>
      <w:bookmarkEnd w:id="319"/>
      <w:bookmarkEnd w:id="320"/>
      <w:bookmarkEnd w:id="321"/>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elections of mayors and presidents by electors, elections of councillors, and polls and referendums, and with related matters.</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Divisions 2, 3, 4, 5 and 6 describe the different kinds of elections and direct when those elections are to be held;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 7 is about the officials who conduct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8 sets out the qualifications for enrolment to vote at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Division 9 deals with the process of preparing for and conducting an election;</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Division 10 deals with complaints about the results of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Division 11 sets out a number of offences in relation to elections and provides for investigation and prosecution of offences;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Division 12 deals with polls and referendums.</w:t>
      </w:r>
    </w:p>
    <w:p>
      <w:pPr>
        <w:pStyle w:val="Heading3"/>
      </w:pPr>
      <w:bookmarkStart w:id="322" w:name="_Toc448218965"/>
      <w:bookmarkStart w:id="323" w:name="_Toc448224187"/>
      <w:bookmarkStart w:id="324" w:name="_Toc451179424"/>
      <w:bookmarkStart w:id="325" w:name="_Toc451430344"/>
      <w:bookmarkStart w:id="326" w:name="_Toc455396294"/>
      <w:bookmarkStart w:id="327" w:name="_Toc455397154"/>
      <w:bookmarkStart w:id="328" w:name="_Toc456086237"/>
      <w:bookmarkStart w:id="329" w:name="_Toc462409250"/>
      <w:r>
        <w:rPr>
          <w:rStyle w:val="CharDivNo"/>
        </w:rPr>
        <w:t>Division 1</w:t>
      </w:r>
      <w:r>
        <w:t> — </w:t>
      </w:r>
      <w:r>
        <w:rPr>
          <w:rStyle w:val="CharDivText"/>
        </w:rPr>
        <w:t>Preliminary</w:t>
      </w:r>
      <w:bookmarkEnd w:id="322"/>
      <w:bookmarkEnd w:id="323"/>
      <w:bookmarkEnd w:id="324"/>
      <w:bookmarkEnd w:id="325"/>
      <w:bookmarkEnd w:id="326"/>
      <w:bookmarkEnd w:id="327"/>
      <w:bookmarkEnd w:id="328"/>
      <w:bookmarkEnd w:id="329"/>
    </w:p>
    <w:p>
      <w:pPr>
        <w:pStyle w:val="Heading5"/>
      </w:pPr>
      <w:bookmarkStart w:id="330" w:name="_Toc462409251"/>
      <w:r>
        <w:rPr>
          <w:rStyle w:val="CharSectno"/>
        </w:rPr>
        <w:t>4.1</w:t>
      </w:r>
      <w:r>
        <w:t>.</w:t>
      </w:r>
      <w:r>
        <w:tab/>
        <w:t>Terms used</w:t>
      </w:r>
      <w:bookmarkEnd w:id="330"/>
    </w:p>
    <w:p>
      <w:pPr>
        <w:pStyle w:val="Subsection"/>
      </w:pPr>
      <w:r>
        <w:tab/>
      </w:r>
      <w:r>
        <w:tab/>
        <w:t>In this Part — </w:t>
      </w:r>
    </w:p>
    <w:p>
      <w:pPr>
        <w:pStyle w:val="Defstart"/>
      </w:pPr>
      <w:r>
        <w:tab/>
      </w:r>
      <w:r>
        <w:rPr>
          <w:rStyle w:val="CharDefText"/>
        </w:rPr>
        <w:t>election</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pPr>
      <w:r>
        <w:tab/>
      </w:r>
      <w:r>
        <w:rPr>
          <w:rStyle w:val="CharDefText"/>
        </w:rPr>
        <w:t>election day</w:t>
      </w:r>
      <w:r>
        <w:t xml:space="preserve"> means the day fixed under this Act for the holding of any poll needed for an election;</w:t>
      </w:r>
    </w:p>
    <w:p>
      <w:pPr>
        <w:pStyle w:val="Defstart"/>
      </w:pPr>
      <w:r>
        <w:tab/>
      </w:r>
      <w:r>
        <w:rPr>
          <w:rStyle w:val="CharDefText"/>
        </w:rPr>
        <w:t>election notice</w:t>
      </w:r>
      <w:r>
        <w:t xml:space="preserve"> has the meaning given by section 4.64;</w:t>
      </w:r>
    </w:p>
    <w:p>
      <w:pPr>
        <w:pStyle w:val="Defstart"/>
      </w:pPr>
      <w:r>
        <w:tab/>
      </w:r>
      <w:r>
        <w:rPr>
          <w:rStyle w:val="CharDefText"/>
        </w:rPr>
        <w:t>electoral officer</w:t>
      </w:r>
      <w:r>
        <w:t xml:space="preserve"> means a returning officer or a deputy returning officer or electoral officer appointed by a returning officer;</w:t>
      </w:r>
    </w:p>
    <w:p>
      <w:pPr>
        <w:pStyle w:val="Defstart"/>
      </w:pPr>
      <w:r>
        <w:tab/>
      </w:r>
      <w:r>
        <w:rPr>
          <w:rStyle w:val="CharDefText"/>
        </w:rPr>
        <w:t>electoral requirements</w:t>
      </w:r>
      <w:r>
        <w:t xml:space="preserve"> means the provisions of this Act about the preparation of electoral rolls, nomination of candidates and other preparations for the holding of elections;</w:t>
      </w:r>
    </w:p>
    <w:p>
      <w:pPr>
        <w:pStyle w:val="Defstart"/>
      </w:pPr>
      <w:r>
        <w:tab/>
      </w:r>
      <w:r>
        <w:rPr>
          <w:rStyle w:val="CharDefText"/>
        </w:rPr>
        <w:t>electoral roll</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t>that may form the electoral roll;</w:t>
      </w:r>
    </w:p>
    <w:p>
      <w:pPr>
        <w:pStyle w:val="Defstart"/>
      </w:pPr>
      <w:r>
        <w:tab/>
      </w:r>
      <w:r>
        <w:rPr>
          <w:rStyle w:val="CharDefText"/>
        </w:rPr>
        <w:t>polling place</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rStyle w:val="CharDefText"/>
        </w:rPr>
        <w:t>this Act</w:t>
      </w:r>
      <w:r>
        <w:t xml:space="preserve"> means this Act or the regulations and </w:t>
      </w:r>
      <w:r>
        <w:rPr>
          <w:rStyle w:val="CharDefText"/>
        </w:rPr>
        <w:t>this Part</w:t>
      </w:r>
      <w:r>
        <w:t xml:space="preserve"> means this Part or the regulations made for the purposes of this Part.</w:t>
      </w:r>
    </w:p>
    <w:p>
      <w:pPr>
        <w:pStyle w:val="Heading5"/>
      </w:pPr>
      <w:bookmarkStart w:id="331" w:name="_Toc462409252"/>
      <w:r>
        <w:rPr>
          <w:rStyle w:val="CharSectno"/>
        </w:rPr>
        <w:t>4.1A</w:t>
      </w:r>
      <w:r>
        <w:t>.</w:t>
      </w:r>
      <w:r>
        <w:tab/>
        <w:t>Conflict with Commonwealth or State election or referendum</w:t>
      </w:r>
      <w:bookmarkEnd w:id="331"/>
    </w:p>
    <w:p>
      <w:pPr>
        <w:pStyle w:val="Subsection"/>
      </w:pPr>
      <w:r>
        <w:tab/>
        <w:t>(1)</w:t>
      </w:r>
      <w:r>
        <w:tab/>
        <w:t xml:space="preserve">On a day fixed as polling day for a district or region under the </w:t>
      </w:r>
      <w:r>
        <w:rPr>
          <w:i/>
        </w:rPr>
        <w:t>Electoral Act 1907</w:t>
      </w:r>
      <w:r>
        <w:t>, no election, referendum or other poll is to be held under this Act in, or in any part of, that district or region.</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r>
      <w:r>
        <w:rPr>
          <w:rStyle w:val="CharDefText"/>
        </w:rPr>
        <w:t>Electoral Division</w:t>
      </w:r>
      <w:r>
        <w:t xml:space="preserve"> has the same meaning as it has in the </w:t>
      </w:r>
      <w:r>
        <w:rPr>
          <w:i/>
        </w:rPr>
        <w:t>Commonwealth Electoral Act 1918</w:t>
      </w:r>
      <w:r>
        <w:t>.</w:t>
      </w:r>
    </w:p>
    <w:p>
      <w:pPr>
        <w:pStyle w:val="Footnotesection"/>
      </w:pPr>
      <w:r>
        <w:tab/>
        <w:t>[Section 4.1A inserted by No. 49 of 2004 s. 30(1).]</w:t>
      </w:r>
    </w:p>
    <w:p>
      <w:pPr>
        <w:pStyle w:val="Heading5"/>
      </w:pPr>
      <w:bookmarkStart w:id="332" w:name="_Toc462409253"/>
      <w:r>
        <w:rPr>
          <w:rStyle w:val="CharSectno"/>
        </w:rPr>
        <w:t>4.1B</w:t>
      </w:r>
      <w:r>
        <w:t>.</w:t>
      </w:r>
      <w:r>
        <w:tab/>
        <w:t>Polling day may be changed where conflict with Commonwealth or State election or referendum</w:t>
      </w:r>
      <w:bookmarkEnd w:id="332"/>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by No. 49 of 2004 s. 30(1).]</w:t>
      </w:r>
    </w:p>
    <w:p>
      <w:pPr>
        <w:pStyle w:val="Heading3"/>
      </w:pPr>
      <w:bookmarkStart w:id="333" w:name="_Toc448218969"/>
      <w:bookmarkStart w:id="334" w:name="_Toc448224191"/>
      <w:bookmarkStart w:id="335" w:name="_Toc451179428"/>
      <w:bookmarkStart w:id="336" w:name="_Toc451430348"/>
      <w:bookmarkStart w:id="337" w:name="_Toc455396298"/>
      <w:bookmarkStart w:id="338" w:name="_Toc455397158"/>
      <w:bookmarkStart w:id="339" w:name="_Toc456086241"/>
      <w:bookmarkStart w:id="340" w:name="_Toc462409254"/>
      <w:r>
        <w:rPr>
          <w:rStyle w:val="CharDivNo"/>
        </w:rPr>
        <w:t>Division 2</w:t>
      </w:r>
      <w:r>
        <w:t> — </w:t>
      </w:r>
      <w:r>
        <w:rPr>
          <w:rStyle w:val="CharDivText"/>
        </w:rPr>
        <w:t>Inaugural elections</w:t>
      </w:r>
      <w:bookmarkEnd w:id="333"/>
      <w:bookmarkEnd w:id="334"/>
      <w:bookmarkEnd w:id="335"/>
      <w:bookmarkEnd w:id="336"/>
      <w:bookmarkEnd w:id="337"/>
      <w:bookmarkEnd w:id="338"/>
      <w:bookmarkEnd w:id="339"/>
      <w:bookmarkEnd w:id="340"/>
    </w:p>
    <w:p>
      <w:pPr>
        <w:pStyle w:val="Heading5"/>
      </w:pPr>
      <w:bookmarkStart w:id="341" w:name="_Toc462409255"/>
      <w:r>
        <w:rPr>
          <w:rStyle w:val="CharSectno"/>
        </w:rPr>
        <w:t>4.2</w:t>
      </w:r>
      <w:r>
        <w:t>.</w:t>
      </w:r>
      <w:r>
        <w:tab/>
        <w:t>Inaugural elections</w:t>
      </w:r>
      <w:bookmarkEnd w:id="341"/>
    </w:p>
    <w:p>
      <w:pPr>
        <w:pStyle w:val="Subsection"/>
      </w:pPr>
      <w:r>
        <w:tab/>
        <w:t>(1)</w:t>
      </w:r>
      <w:r>
        <w:tab/>
        <w:t>When a local government is newly established elections are to be held — </w:t>
      </w:r>
    </w:p>
    <w:p>
      <w:pPr>
        <w:pStyle w:val="Indenta"/>
      </w:pPr>
      <w:r>
        <w:tab/>
        <w:t>(a)</w:t>
      </w:r>
      <w:r>
        <w:tab/>
        <w:t>to elect the councillors of the first council; and</w:t>
      </w:r>
    </w:p>
    <w:p>
      <w:pPr>
        <w:pStyle w:val="Indenta"/>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rStyle w:val="CharDefText"/>
        </w:rPr>
        <w:t>inaugural election</w:t>
      </w:r>
      <w:r>
        <w:t>.</w:t>
      </w:r>
    </w:p>
    <w:p>
      <w:pPr>
        <w:pStyle w:val="Heading5"/>
      </w:pPr>
      <w:bookmarkStart w:id="342" w:name="_Toc462409256"/>
      <w:r>
        <w:rPr>
          <w:rStyle w:val="CharSectno"/>
        </w:rPr>
        <w:t>4.3</w:t>
      </w:r>
      <w:r>
        <w:t>.</w:t>
      </w:r>
      <w:r>
        <w:tab/>
        <w:t>Polling day for inaugural election</w:t>
      </w:r>
      <w:bookmarkEnd w:id="342"/>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343" w:name="_Toc448218972"/>
      <w:bookmarkStart w:id="344" w:name="_Toc448224194"/>
      <w:bookmarkStart w:id="345" w:name="_Toc451179431"/>
      <w:bookmarkStart w:id="346" w:name="_Toc451430351"/>
      <w:bookmarkStart w:id="347" w:name="_Toc455396301"/>
      <w:bookmarkStart w:id="348" w:name="_Toc455397161"/>
      <w:bookmarkStart w:id="349" w:name="_Toc456086244"/>
      <w:bookmarkStart w:id="350" w:name="_Toc462409257"/>
      <w:r>
        <w:rPr>
          <w:rStyle w:val="CharDivNo"/>
        </w:rPr>
        <w:t>Division 3</w:t>
      </w:r>
      <w:r>
        <w:t> — </w:t>
      </w:r>
      <w:r>
        <w:rPr>
          <w:rStyle w:val="CharDivText"/>
        </w:rPr>
        <w:t>Ordinary elections</w:t>
      </w:r>
      <w:bookmarkEnd w:id="343"/>
      <w:bookmarkEnd w:id="344"/>
      <w:bookmarkEnd w:id="345"/>
      <w:bookmarkEnd w:id="346"/>
      <w:bookmarkEnd w:id="347"/>
      <w:bookmarkEnd w:id="348"/>
      <w:bookmarkEnd w:id="349"/>
      <w:bookmarkEnd w:id="350"/>
    </w:p>
    <w:p>
      <w:pPr>
        <w:pStyle w:val="Heading5"/>
      </w:pPr>
      <w:bookmarkStart w:id="351" w:name="_Toc462409258"/>
      <w:r>
        <w:rPr>
          <w:rStyle w:val="CharSectno"/>
        </w:rPr>
        <w:t>4.4</w:t>
      </w:r>
      <w:r>
        <w:t>.</w:t>
      </w:r>
      <w:r>
        <w:tab/>
        <w:t>Ordinary elections</w:t>
      </w:r>
      <w:bookmarkEnd w:id="351"/>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t>.</w:t>
      </w:r>
    </w:p>
    <w:p>
      <w:pPr>
        <w:pStyle w:val="Subsection"/>
      </w:pPr>
      <w:r>
        <w:tab/>
        <w:t>(3)</w:t>
      </w:r>
      <w:r>
        <w:tab/>
        <w:t>This section does not apply to the office of mayor or president if, under section 2.11, the next mayor or president is to be elected by the council.</w:t>
      </w:r>
    </w:p>
    <w:p>
      <w:pPr>
        <w:pStyle w:val="Heading5"/>
      </w:pPr>
      <w:bookmarkStart w:id="352" w:name="_Toc462409259"/>
      <w:r>
        <w:rPr>
          <w:rStyle w:val="CharSectno"/>
        </w:rPr>
        <w:t>4.5</w:t>
      </w:r>
      <w:r>
        <w:t>.</w:t>
      </w:r>
      <w:r>
        <w:tab/>
        <w:t>Frequency of ordinary elections</w:t>
      </w:r>
      <w:bookmarkEnd w:id="352"/>
    </w:p>
    <w:p>
      <w:pPr>
        <w:pStyle w:val="Subsection"/>
      </w:pPr>
      <w:r>
        <w:tab/>
      </w:r>
      <w:r>
        <w:tab/>
        <w:t>A local government is to hold ordinary elections every 2 years.</w:t>
      </w:r>
    </w:p>
    <w:p>
      <w:pPr>
        <w:pStyle w:val="Heading5"/>
      </w:pPr>
      <w:bookmarkStart w:id="353" w:name="_Toc462409260"/>
      <w:r>
        <w:rPr>
          <w:rStyle w:val="CharSectno"/>
        </w:rPr>
        <w:t>4.6</w:t>
      </w:r>
      <w:r>
        <w:t>.</w:t>
      </w:r>
      <w:r>
        <w:tab/>
        <w:t>Election day for ordinary elections</w:t>
      </w:r>
      <w:bookmarkEnd w:id="353"/>
    </w:p>
    <w:p>
      <w:pPr>
        <w:pStyle w:val="Subsection"/>
      </w:pPr>
      <w:r>
        <w:tab/>
      </w:r>
      <w:r>
        <w:tab/>
        <w:t>Any poll needed for an ordinary election is to be held on the day on which the previous term of office referred to in section 4.4(1) ends.</w:t>
      </w:r>
    </w:p>
    <w:p>
      <w:pPr>
        <w:pStyle w:val="Heading5"/>
      </w:pPr>
      <w:bookmarkStart w:id="354" w:name="_Toc462409261"/>
      <w:r>
        <w:rPr>
          <w:rStyle w:val="CharSectno"/>
        </w:rPr>
        <w:t>4.7</w:t>
      </w:r>
      <w:r>
        <w:t>.</w:t>
      </w:r>
      <w:r>
        <w:tab/>
        <w:t>Ordinary elections day usually third Saturday in October</w:t>
      </w:r>
      <w:bookmarkEnd w:id="354"/>
    </w:p>
    <w:p>
      <w:pPr>
        <w:pStyle w:val="Subsection"/>
      </w:pPr>
      <w:r>
        <w:tab/>
        <w:t>(1)</w:t>
      </w:r>
      <w:r>
        <w:tab/>
        <w:t>The effect of section 4.6 is that — </w:t>
      </w:r>
    </w:p>
    <w:p>
      <w:pPr>
        <w:pStyle w:val="Indenta"/>
      </w:pPr>
      <w:r>
        <w:tab/>
        <w:t>(a)</w:t>
      </w:r>
      <w:r>
        <w:tab/>
        <w:t>polls for ordinary elections to elect an elector mayor or president will be held on the third Saturday in October every 4 years; and</w:t>
      </w:r>
    </w:p>
    <w:p>
      <w:pPr>
        <w:pStyle w:val="Indenta"/>
      </w:pPr>
      <w:r>
        <w:tab/>
        <w:t>(b)</w:t>
      </w:r>
      <w:r>
        <w:tab/>
        <w:t>polls for ordinary elections to elect councillors will be held on the third Saturday in October every 2 years.</w:t>
      </w:r>
    </w:p>
    <w:p>
      <w:pPr>
        <w:pStyle w:val="Subsection"/>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pPr>
        <w:pStyle w:val="Subsection"/>
      </w:pPr>
      <w:r>
        <w:tab/>
        <w:t>(3)</w:t>
      </w:r>
      <w:r>
        <w:tab/>
        <w:t>The election day can be deferred under subsection (2) — </w:t>
      </w:r>
    </w:p>
    <w:p>
      <w:pPr>
        <w:pStyle w:val="Indenta"/>
      </w:pPr>
      <w:r>
        <w:tab/>
        <w:t>(a)</w:t>
      </w:r>
      <w:r>
        <w:tab/>
        <w:t>for all local governments; or</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spacing w:before="120"/>
      </w:pPr>
      <w:r>
        <w:tab/>
        <w:t>(4)</w:t>
      </w:r>
      <w:r>
        <w:tab/>
        <w:t xml:space="preserve">In the notice under subsection (2), or by a later notice in the </w:t>
      </w:r>
      <w:r>
        <w:rPr>
          <w:i/>
        </w:rPr>
        <w:t>Gazette</w:t>
      </w:r>
      <w:r>
        <w:t>, the Electoral Commissioner may adjust any time, period or date fixed under this Act to take account of the election day being deferred under subsection (2).</w:t>
      </w:r>
    </w:p>
    <w:p>
      <w:pPr>
        <w:pStyle w:val="Footnotesection"/>
      </w:pPr>
      <w:r>
        <w:tab/>
        <w:t>[Section 4.7 amended by No. 66 of 2006 s. 6.]</w:t>
      </w:r>
    </w:p>
    <w:p>
      <w:pPr>
        <w:pStyle w:val="Heading3"/>
        <w:keepNext w:val="0"/>
        <w:spacing w:before="200"/>
      </w:pPr>
      <w:bookmarkStart w:id="355" w:name="_Toc448218977"/>
      <w:bookmarkStart w:id="356" w:name="_Toc448224199"/>
      <w:bookmarkStart w:id="357" w:name="_Toc451179436"/>
      <w:bookmarkStart w:id="358" w:name="_Toc451430356"/>
      <w:bookmarkStart w:id="359" w:name="_Toc455396306"/>
      <w:bookmarkStart w:id="360" w:name="_Toc455397166"/>
      <w:bookmarkStart w:id="361" w:name="_Toc456086249"/>
      <w:bookmarkStart w:id="362" w:name="_Toc462409262"/>
      <w:r>
        <w:rPr>
          <w:rStyle w:val="CharDivNo"/>
        </w:rPr>
        <w:t>Division 4</w:t>
      </w:r>
      <w:r>
        <w:t> — </w:t>
      </w:r>
      <w:r>
        <w:rPr>
          <w:rStyle w:val="CharDivText"/>
        </w:rPr>
        <w:t>Extraordinary elections</w:t>
      </w:r>
      <w:bookmarkEnd w:id="355"/>
      <w:bookmarkEnd w:id="356"/>
      <w:bookmarkEnd w:id="357"/>
      <w:bookmarkEnd w:id="358"/>
      <w:bookmarkEnd w:id="359"/>
      <w:bookmarkEnd w:id="360"/>
      <w:bookmarkEnd w:id="361"/>
      <w:bookmarkEnd w:id="362"/>
    </w:p>
    <w:p>
      <w:pPr>
        <w:pStyle w:val="Heading5"/>
        <w:keepNext w:val="0"/>
        <w:keepLines w:val="0"/>
        <w:spacing w:before="180"/>
      </w:pPr>
      <w:bookmarkStart w:id="363" w:name="_Toc462409263"/>
      <w:r>
        <w:rPr>
          <w:rStyle w:val="CharSectno"/>
        </w:rPr>
        <w:t>4.8</w:t>
      </w:r>
      <w:r>
        <w:t>.</w:t>
      </w:r>
      <w:r>
        <w:tab/>
        <w:t>Extraordinary elections</w:t>
      </w:r>
      <w:bookmarkEnd w:id="363"/>
    </w:p>
    <w:p>
      <w:pPr>
        <w:pStyle w:val="Subsection"/>
        <w:spacing w:before="120"/>
      </w:pPr>
      <w:r>
        <w:tab/>
        <w:t>(1)</w:t>
      </w:r>
      <w:r>
        <w:tab/>
        <w:t>If the office of a councillor or of an elector mayor or president becomes vacant under section 2.32 an election to fill the office is to be held.</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rStyle w:val="CharDefText"/>
        </w:rPr>
        <w:t>extraordinary election</w:t>
      </w:r>
      <w:r>
        <w:t>.</w:t>
      </w:r>
    </w:p>
    <w:p>
      <w:pPr>
        <w:pStyle w:val="Footnotesection"/>
      </w:pPr>
      <w:r>
        <w:tab/>
        <w:t>[Section 4.8 amended by No. 2 of 2012 s. 10.]</w:t>
      </w:r>
    </w:p>
    <w:p>
      <w:pPr>
        <w:pStyle w:val="Heading5"/>
      </w:pPr>
      <w:bookmarkStart w:id="364" w:name="_Toc462409264"/>
      <w:r>
        <w:rPr>
          <w:rStyle w:val="CharSectno"/>
        </w:rPr>
        <w:t>4.9</w:t>
      </w:r>
      <w:r>
        <w:t>.</w:t>
      </w:r>
      <w:r>
        <w:tab/>
        <w:t>Election day for extraordinary election</w:t>
      </w:r>
      <w:bookmarkEnd w:id="364"/>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spacing w:before="180"/>
      </w:pPr>
      <w:bookmarkStart w:id="365" w:name="_Toc462409265"/>
      <w:r>
        <w:rPr>
          <w:rStyle w:val="CharSectno"/>
        </w:rPr>
        <w:t>4.10</w:t>
      </w:r>
      <w:r>
        <w:t>.</w:t>
      </w:r>
      <w:r>
        <w:tab/>
        <w:t>Extraordinary election can be held before resignation has taken effect</w:t>
      </w:r>
      <w:bookmarkEnd w:id="365"/>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366" w:name="_Toc448218981"/>
      <w:bookmarkStart w:id="367" w:name="_Toc448224203"/>
      <w:bookmarkStart w:id="368" w:name="_Toc451179440"/>
      <w:bookmarkStart w:id="369" w:name="_Toc451430360"/>
      <w:bookmarkStart w:id="370" w:name="_Toc455396310"/>
      <w:bookmarkStart w:id="371" w:name="_Toc455397170"/>
      <w:bookmarkStart w:id="372" w:name="_Toc456086253"/>
      <w:bookmarkStart w:id="373" w:name="_Toc462409266"/>
      <w:r>
        <w:rPr>
          <w:rStyle w:val="CharDivNo"/>
        </w:rPr>
        <w:t>Division 5</w:t>
      </w:r>
      <w:r>
        <w:t> — </w:t>
      </w:r>
      <w:r>
        <w:rPr>
          <w:rStyle w:val="CharDivText"/>
        </w:rPr>
        <w:t>Other elections</w:t>
      </w:r>
      <w:bookmarkEnd w:id="366"/>
      <w:bookmarkEnd w:id="367"/>
      <w:bookmarkEnd w:id="368"/>
      <w:bookmarkEnd w:id="369"/>
      <w:bookmarkEnd w:id="370"/>
      <w:bookmarkEnd w:id="371"/>
      <w:bookmarkEnd w:id="372"/>
      <w:bookmarkEnd w:id="373"/>
    </w:p>
    <w:p>
      <w:pPr>
        <w:pStyle w:val="Heading5"/>
      </w:pPr>
      <w:bookmarkStart w:id="374" w:name="_Toc462409267"/>
      <w:r>
        <w:rPr>
          <w:rStyle w:val="CharSectno"/>
        </w:rPr>
        <w:t>4.11</w:t>
      </w:r>
      <w:r>
        <w:t>.</w:t>
      </w:r>
      <w:r>
        <w:tab/>
        <w:t>Elections after restructure of districts, wards or membership</w:t>
      </w:r>
      <w:bookmarkEnd w:id="374"/>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375" w:name="_Toc462409268"/>
      <w:r>
        <w:rPr>
          <w:rStyle w:val="CharSectno"/>
        </w:rPr>
        <w:t>4.12</w:t>
      </w:r>
      <w:r>
        <w:t>.</w:t>
      </w:r>
      <w:r>
        <w:tab/>
        <w:t>Elections after reinstatement of council</w:t>
      </w:r>
      <w:bookmarkEnd w:id="375"/>
    </w:p>
    <w:p>
      <w:pPr>
        <w:pStyle w:val="Subsection"/>
      </w:pPr>
      <w:r>
        <w:tab/>
      </w:r>
      <w:r>
        <w:tab/>
        <w:t>Any poll needed for an election to fill offices of members that are vacant when a suspended council is reinstated is to be held on the day fixed by order under section 8.29(4).</w:t>
      </w:r>
    </w:p>
    <w:p>
      <w:pPr>
        <w:pStyle w:val="Heading5"/>
        <w:spacing w:before="180"/>
      </w:pPr>
      <w:bookmarkStart w:id="376" w:name="_Toc462409269"/>
      <w:r>
        <w:rPr>
          <w:rStyle w:val="CharSectno"/>
        </w:rPr>
        <w:t>4.13</w:t>
      </w:r>
      <w:r>
        <w:t>.</w:t>
      </w:r>
      <w:r>
        <w:tab/>
        <w:t>Elections after all members’ offices become vacant</w:t>
      </w:r>
      <w:bookmarkEnd w:id="376"/>
    </w:p>
    <w:p>
      <w:pPr>
        <w:pStyle w:val="Subsection"/>
      </w:pPr>
      <w:r>
        <w:tab/>
      </w:r>
      <w:r>
        <w:tab/>
        <w:t>Any poll needed for an election to fill the vacant offices after the offices of members have been declared vacant under section 2.37 is to be held on the day fixed by order under section 2.37(5).</w:t>
      </w:r>
    </w:p>
    <w:p>
      <w:pPr>
        <w:pStyle w:val="Heading5"/>
        <w:keepNext w:val="0"/>
        <w:keepLines w:val="0"/>
        <w:spacing w:before="180"/>
      </w:pPr>
      <w:bookmarkStart w:id="377" w:name="_Toc462409270"/>
      <w:r>
        <w:rPr>
          <w:rStyle w:val="CharSectno"/>
        </w:rPr>
        <w:t>4.14</w:t>
      </w:r>
      <w:r>
        <w:t>.</w:t>
      </w:r>
      <w:r>
        <w:tab/>
        <w:t>Elections after council is dismissed</w:t>
      </w:r>
      <w:bookmarkEnd w:id="377"/>
    </w:p>
    <w:p>
      <w:pPr>
        <w:pStyle w:val="Subsection"/>
      </w:pPr>
      <w:r>
        <w:tab/>
      </w:r>
      <w:r>
        <w:tab/>
        <w:t>Any poll needed for an election to elect a new council after a council has been dismissed under section 8.25 is to be held on the day fixed by order under section 8.34(1).</w:t>
      </w:r>
    </w:p>
    <w:p>
      <w:pPr>
        <w:pStyle w:val="Heading5"/>
      </w:pPr>
      <w:bookmarkStart w:id="378" w:name="_Toc462409271"/>
      <w:r>
        <w:rPr>
          <w:rStyle w:val="CharSectno"/>
        </w:rPr>
        <w:t>4.15</w:t>
      </w:r>
      <w:r>
        <w:t>.</w:t>
      </w:r>
      <w:r>
        <w:tab/>
        <w:t>Fresh election after election declared invalid</w:t>
      </w:r>
      <w:bookmarkEnd w:id="378"/>
    </w:p>
    <w:p>
      <w:pPr>
        <w:pStyle w:val="Subsection"/>
      </w:pPr>
      <w:r>
        <w:tab/>
      </w:r>
      <w:r>
        <w:tab/>
        <w:t>Any poll needed for a fresh election after an election is declared invalid is to be held on the day fixed by the Court of Disputed Returns under section 4.81(3).</w:t>
      </w:r>
    </w:p>
    <w:p>
      <w:pPr>
        <w:pStyle w:val="Heading3"/>
      </w:pPr>
      <w:bookmarkStart w:id="379" w:name="_Toc448218987"/>
      <w:bookmarkStart w:id="380" w:name="_Toc448224209"/>
      <w:bookmarkStart w:id="381" w:name="_Toc451179446"/>
      <w:bookmarkStart w:id="382" w:name="_Toc451430366"/>
      <w:bookmarkStart w:id="383" w:name="_Toc455396316"/>
      <w:bookmarkStart w:id="384" w:name="_Toc455397176"/>
      <w:bookmarkStart w:id="385" w:name="_Toc456086259"/>
      <w:bookmarkStart w:id="386" w:name="_Toc462409272"/>
      <w:r>
        <w:rPr>
          <w:rStyle w:val="CharDivNo"/>
        </w:rPr>
        <w:t>Division 6</w:t>
      </w:r>
      <w:r>
        <w:t> — </w:t>
      </w:r>
      <w:r>
        <w:rPr>
          <w:rStyle w:val="CharDivText"/>
        </w:rPr>
        <w:t>Postponement and consolidation of elections</w:t>
      </w:r>
      <w:bookmarkEnd w:id="379"/>
      <w:bookmarkEnd w:id="380"/>
      <w:bookmarkEnd w:id="381"/>
      <w:bookmarkEnd w:id="382"/>
      <w:bookmarkEnd w:id="383"/>
      <w:bookmarkEnd w:id="384"/>
      <w:bookmarkEnd w:id="385"/>
      <w:bookmarkEnd w:id="386"/>
    </w:p>
    <w:p>
      <w:pPr>
        <w:pStyle w:val="Heading5"/>
        <w:spacing w:before="180"/>
      </w:pPr>
      <w:bookmarkStart w:id="387" w:name="_Toc462409273"/>
      <w:r>
        <w:rPr>
          <w:rStyle w:val="CharSectno"/>
        </w:rPr>
        <w:t>4.16</w:t>
      </w:r>
      <w:r>
        <w:t>.</w:t>
      </w:r>
      <w:r>
        <w:tab/>
        <w:t>Postponement of elections to allow consolidation</w:t>
      </w:r>
      <w:bookmarkEnd w:id="387"/>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pPr>
      <w:r>
        <w:tab/>
        <w:t>(3)</w:t>
      </w:r>
      <w:r>
        <w:tab/>
        <w:t>In the case of a member’s office becoming vacant under section 2.32 by resignation, if — </w:t>
      </w:r>
    </w:p>
    <w:p>
      <w:pPr>
        <w:pStyle w:val="Indenta"/>
      </w:pPr>
      <w:r>
        <w:tab/>
        <w:t>(a)</w:t>
      </w:r>
      <w:r>
        <w:tab/>
        <w:t>the resignation takes effect, or is to take effect, on or after the third Saturday in July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spacing w:before="120"/>
      </w:pPr>
      <w:r>
        <w:tab/>
        <w:t>(4)</w:t>
      </w:r>
      <w:r>
        <w:tab/>
        <w:t>If a member’s office becomes vacant under section 2.32 — </w:t>
      </w:r>
    </w:p>
    <w:p>
      <w:pPr>
        <w:pStyle w:val="Indenta"/>
      </w:pPr>
      <w:r>
        <w:tab/>
        <w:t>(a)</w:t>
      </w:r>
      <w:r>
        <w:tab/>
        <w:t>after the third Saturday in January in an election year; but</w:t>
      </w:r>
    </w:p>
    <w:p>
      <w:pPr>
        <w:pStyle w:val="Indenta"/>
        <w:keepNext/>
      </w:pPr>
      <w:r>
        <w:tab/>
        <w:t>(b)</w:t>
      </w:r>
      <w:r>
        <w:tab/>
        <w:t>before the third Saturday in July in that election year,</w:t>
      </w:r>
    </w:p>
    <w:p>
      <w:pPr>
        <w:pStyle w:val="Subsection"/>
        <w:spacing w:before="120"/>
      </w:pPr>
      <w:r>
        <w:tab/>
      </w:r>
      <w:r>
        <w:tab/>
        <w:t>the council may, with the approval of the Electoral Commissioner, fix the ordinary elections day in that election year as the day for holding any poll needed for the extraordinary election to fill that vacancy.</w:t>
      </w:r>
    </w:p>
    <w:p>
      <w:pPr>
        <w:pStyle w:val="Footnotesection"/>
        <w:keepLines w:val="0"/>
        <w:spacing w:before="60"/>
        <w:ind w:left="890" w:hanging="890"/>
      </w:pPr>
      <w:r>
        <w:tab/>
        <w:t>[Section 4.16 amended by No. 66 of 2006 s. 7; No. 2 of 2012 s. 11.]</w:t>
      </w:r>
    </w:p>
    <w:p>
      <w:pPr>
        <w:pStyle w:val="Heading5"/>
      </w:pPr>
      <w:bookmarkStart w:id="388" w:name="_Toc462409274"/>
      <w:r>
        <w:rPr>
          <w:rStyle w:val="CharSectno"/>
        </w:rPr>
        <w:t>4.17</w:t>
      </w:r>
      <w:r>
        <w:t>.</w:t>
      </w:r>
      <w:r>
        <w:tab/>
        <w:t>Cases in which vacant offices can remain unfilled</w:t>
      </w:r>
      <w:bookmarkEnd w:id="388"/>
    </w:p>
    <w:p>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pPr>
      <w:r>
        <w:tab/>
        <w:t>(2)</w:t>
      </w:r>
      <w:r>
        <w:tab/>
        <w:t>If a member’s office becomes vacant under section 2.32 — </w:t>
      </w:r>
    </w:p>
    <w:p>
      <w:pPr>
        <w:pStyle w:val="Indenta"/>
      </w:pPr>
      <w:r>
        <w:tab/>
        <w:t>(a)</w:t>
      </w:r>
      <w:r>
        <w:tab/>
        <w:t>after the third Saturday in January in the election year in which the term of the office would have ended under the Table to section 2.28; but</w:t>
      </w:r>
    </w:p>
    <w:p>
      <w:pPr>
        <w:pStyle w:val="Indenta"/>
      </w:pPr>
      <w:r>
        <w:tab/>
        <w:t>(b)</w:t>
      </w:r>
      <w:r>
        <w:tab/>
        <w:t>before the third Saturday in July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Subsection"/>
      </w:pPr>
      <w:r>
        <w:tab/>
        <w:t>(3)</w:t>
      </w:r>
      <w:r>
        <w:tab/>
        <w:t>If a councillor’s office becomes vacant under section 2.32 and under subsection (4A) this subsection applies, the council may, with the approval of the Electoral Commissioner, allow* the vacancy to remain unfilled and, subject to subsection (4), in that case, the term of the member who held the office is to be regarded in section 4.6 as ending on the day on which it would have ended if the vacancy had not occurred.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(4A)</w:t>
      </w:r>
      <w:r>
        <w:tab/>
        <w:t xml:space="preserve">Subsection (3) applies — </w:t>
      </w:r>
    </w:p>
    <w:p>
      <w:pPr>
        <w:pStyle w:val="Indenta"/>
      </w:pPr>
      <w:r>
        <w:tab/>
        <w:t>(a)</w:t>
      </w:r>
      <w:r>
        <w:tab/>
        <w:t xml:space="preserve">if — </w:t>
      </w:r>
    </w:p>
    <w:p>
      <w:pPr>
        <w:pStyle w:val="Indenti"/>
      </w:pPr>
      <w:r>
        <w:tab/>
        <w:t>(i)</w:t>
      </w:r>
      <w:r>
        <w:tab/>
        <w:t>the office is for a district that has no wards; and</w:t>
      </w:r>
    </w:p>
    <w:p>
      <w:pPr>
        <w:pStyle w:val="Indenti"/>
      </w:pPr>
      <w:r>
        <w:tab/>
        <w:t>(ii)</w:t>
      </w:r>
      <w:r>
        <w:tab/>
        <w:t>at least 80% of the number of offices of member of the council in the district are still filled;</w:t>
      </w:r>
    </w:p>
    <w:p>
      <w:pPr>
        <w:pStyle w:val="Indenta"/>
      </w:pPr>
      <w:r>
        <w:tab/>
      </w:r>
      <w:r>
        <w:tab/>
        <w:t>or</w:t>
      </w:r>
    </w:p>
    <w:p>
      <w:pPr>
        <w:pStyle w:val="Indenta"/>
      </w:pPr>
      <w:r>
        <w:tab/>
        <w:t>(b)</w:t>
      </w:r>
      <w:r>
        <w:tab/>
        <w:t xml:space="preserve">if — </w:t>
      </w:r>
    </w:p>
    <w:p>
      <w:pPr>
        <w:pStyle w:val="Indenti"/>
      </w:pPr>
      <w:r>
        <w:tab/>
        <w:t>(i)</w:t>
      </w:r>
      <w:r>
        <w:tab/>
        <w:t>the office is for a ward for which there are 5 or more offices of councillor; and</w:t>
      </w:r>
    </w:p>
    <w:p>
      <w:pPr>
        <w:pStyle w:val="Indenti"/>
      </w:pPr>
      <w:r>
        <w:tab/>
        <w:t>(ii)</w:t>
      </w:r>
      <w:r>
        <w:tab/>
        <w:t>at least 80% of the number of offices of councillor for the ward are still filled.</w:t>
      </w:r>
    </w:p>
    <w:p>
      <w:pPr>
        <w:pStyle w:val="Subsection"/>
      </w:pPr>
      <w:r>
        <w:tab/>
        <w:t>(4)</w:t>
      </w:r>
      <w:r>
        <w:tab/>
        <w:t>If an ordinary or an extraordinary election is to be held in a district then an election to fill any vacancy in the office of councillor in that district that was allowed to remain unfilled under subsection (3) is to be held on the same election day and Division 9 applies to those elections as if they were one election to fill all the offices of councillor for the district or ward that need to be filled.</w:t>
      </w:r>
    </w:p>
    <w:p>
      <w:pPr>
        <w:pStyle w:val="Footnotesection"/>
      </w:pPr>
      <w:r>
        <w:tab/>
        <w:t>[Section 4.17 amended by No. 49 of 2004 s. 31; No. 66 of 2006 s. 8; No. 17 of 2009 s. 12.]</w:t>
      </w:r>
    </w:p>
    <w:p>
      <w:pPr>
        <w:pStyle w:val="Heading5"/>
      </w:pPr>
      <w:bookmarkStart w:id="389" w:name="_Toc462409275"/>
      <w:r>
        <w:rPr>
          <w:rStyle w:val="CharSectno"/>
        </w:rPr>
        <w:t>4.18</w:t>
      </w:r>
      <w:r>
        <w:t>.</w:t>
      </w:r>
      <w:r>
        <w:tab/>
        <w:t>Certain elections to be held as one</w:t>
      </w:r>
      <w:bookmarkEnd w:id="389"/>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390" w:name="_Toc448218991"/>
      <w:bookmarkStart w:id="391" w:name="_Toc448224213"/>
      <w:bookmarkStart w:id="392" w:name="_Toc451179450"/>
      <w:bookmarkStart w:id="393" w:name="_Toc451430370"/>
      <w:bookmarkStart w:id="394" w:name="_Toc455396320"/>
      <w:bookmarkStart w:id="395" w:name="_Toc455397180"/>
      <w:bookmarkStart w:id="396" w:name="_Toc456086263"/>
      <w:bookmarkStart w:id="397" w:name="_Toc462409276"/>
      <w:r>
        <w:rPr>
          <w:rStyle w:val="CharDivNo"/>
        </w:rPr>
        <w:t>Division 7</w:t>
      </w:r>
      <w:r>
        <w:t> — </w:t>
      </w:r>
      <w:r>
        <w:rPr>
          <w:rStyle w:val="CharDivText"/>
        </w:rPr>
        <w:t>Provisions about electoral officers and the conduct of elections</w:t>
      </w:r>
      <w:bookmarkEnd w:id="390"/>
      <w:bookmarkEnd w:id="391"/>
      <w:bookmarkEnd w:id="392"/>
      <w:bookmarkEnd w:id="393"/>
      <w:bookmarkEnd w:id="394"/>
      <w:bookmarkEnd w:id="395"/>
      <w:bookmarkEnd w:id="396"/>
      <w:bookmarkEnd w:id="397"/>
    </w:p>
    <w:p>
      <w:pPr>
        <w:pStyle w:val="Heading5"/>
      </w:pPr>
      <w:bookmarkStart w:id="398" w:name="_Toc462409277"/>
      <w:r>
        <w:rPr>
          <w:rStyle w:val="CharSectno"/>
        </w:rPr>
        <w:t>4.19</w:t>
      </w:r>
      <w:r>
        <w:t>.</w:t>
      </w:r>
      <w:r>
        <w:tab/>
        <w:t>Returning officer</w:t>
      </w:r>
      <w:bookmarkEnd w:id="398"/>
    </w:p>
    <w:p>
      <w:pPr>
        <w:pStyle w:val="Subsection"/>
      </w:pPr>
      <w:r>
        <w:tab/>
      </w:r>
      <w:r>
        <w:tab/>
        <w:t>The principal electoral office of a local government is that of returning officer.</w:t>
      </w:r>
    </w:p>
    <w:p>
      <w:pPr>
        <w:pStyle w:val="Heading5"/>
      </w:pPr>
      <w:bookmarkStart w:id="399" w:name="_Toc462409278"/>
      <w:r>
        <w:rPr>
          <w:rStyle w:val="CharSectno"/>
        </w:rPr>
        <w:t>4.20</w:t>
      </w:r>
      <w:r>
        <w:t>.</w:t>
      </w:r>
      <w:r>
        <w:tab/>
        <w:t>CEO to be returning officer unless other arrangements made</w:t>
      </w:r>
      <w:bookmarkEnd w:id="399"/>
    </w:p>
    <w:p>
      <w:pPr>
        <w:pStyle w:val="Subsection"/>
        <w:spacing w:before="180"/>
      </w:pPr>
      <w:r>
        <w:tab/>
        <w:t>(1)</w:t>
      </w:r>
      <w:r>
        <w:tab/>
        <w:t>Subject to this section the CEO is the returning officer of a local government for each election.</w:t>
      </w:r>
    </w:p>
    <w:p>
      <w:pPr>
        <w:pStyle w:val="Subsection"/>
        <w:spacing w:before="180"/>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w:t>
      </w:r>
      <w:r>
        <w:rPr>
          <w:vertAlign w:val="superscript"/>
        </w:rPr>
        <w:t>th</w:t>
      </w:r>
      <w:r>
        <w:t xml:space="preserve"> day before an election day.</w:t>
      </w:r>
    </w:p>
    <w:p>
      <w:pPr>
        <w:pStyle w:val="Subsection"/>
        <w:spacing w:before="180"/>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(5)</w:t>
      </w:r>
      <w:r>
        <w:tab/>
        <w:t>A declaration under subsection (4) has no effect if it is made after the 80</w:t>
      </w:r>
      <w:r>
        <w:rPr>
          <w:vertAlign w:val="superscript"/>
        </w:rPr>
        <w:t>th</w:t>
      </w:r>
      <w:r>
        <w:t xml:space="preserve"> day before election day unless a declaration has already been made in respect of an election for the local government and the declaration is in respect of an additional election for the same local government.</w:t>
      </w:r>
    </w:p>
    <w:p>
      <w:pPr>
        <w:pStyle w:val="Subsection"/>
        <w:keepNext/>
        <w:spacing w:before="180"/>
      </w:pPr>
      <w:r>
        <w:tab/>
        <w:t>(6)</w:t>
      </w:r>
      <w:r>
        <w:tab/>
        <w:t>A declaration made under subsection (4) on or before the 80</w:t>
      </w:r>
      <w:r>
        <w:rPr>
          <w:vertAlign w:val="superscript"/>
        </w:rPr>
        <w:t xml:space="preserve">th </w:t>
      </w:r>
      <w:r>
        <w:t>day before election day cannot be rescinded after that 80</w:t>
      </w:r>
      <w:r>
        <w:rPr>
          <w:vertAlign w:val="superscript"/>
        </w:rPr>
        <w:t>th</w:t>
      </w:r>
      <w:r>
        <w:t xml:space="preserve"> day.</w:t>
      </w:r>
    </w:p>
    <w:p>
      <w:pPr>
        <w:pStyle w:val="Footnotesection"/>
      </w:pPr>
      <w:r>
        <w:tab/>
        <w:t>[Section 4.20 amended by No. 64 of 1998 s. 19(1); No. 49 of 2004 s. 16(4) and 32(1)</w:t>
      </w:r>
      <w:r>
        <w:noBreakHyphen/>
        <w:t>(4).]</w:t>
      </w:r>
    </w:p>
    <w:p>
      <w:pPr>
        <w:pStyle w:val="Heading5"/>
      </w:pPr>
      <w:bookmarkStart w:id="400" w:name="_Toc462409279"/>
      <w:r>
        <w:rPr>
          <w:rStyle w:val="CharSectno"/>
        </w:rPr>
        <w:t>4.21</w:t>
      </w:r>
      <w:r>
        <w:t>.</w:t>
      </w:r>
      <w:r>
        <w:tab/>
        <w:t>Deputy returning officers</w:t>
      </w:r>
      <w:bookmarkEnd w:id="400"/>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401" w:name="_Toc462409280"/>
      <w:r>
        <w:rPr>
          <w:rStyle w:val="CharSectno"/>
        </w:rPr>
        <w:t>4.22</w:t>
      </w:r>
      <w:r>
        <w:t>.</w:t>
      </w:r>
      <w:r>
        <w:tab/>
        <w:t>Returning officer to conduct elections</w:t>
      </w:r>
      <w:bookmarkEnd w:id="401"/>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his or her functions a deputy returning officer is to perform the returning officer’s functions.</w:t>
      </w:r>
    </w:p>
    <w:p>
      <w:pPr>
        <w:pStyle w:val="Heading5"/>
      </w:pPr>
      <w:bookmarkStart w:id="402" w:name="_Toc462409281"/>
      <w:r>
        <w:rPr>
          <w:rStyle w:val="CharSectno"/>
        </w:rPr>
        <w:t>4.23</w:t>
      </w:r>
      <w:r>
        <w:t>.</w:t>
      </w:r>
      <w:r>
        <w:tab/>
        <w:t>Returning officer’s functions</w:t>
      </w:r>
      <w:bookmarkEnd w:id="402"/>
    </w:p>
    <w:p>
      <w:pPr>
        <w:pStyle w:val="Subsection"/>
      </w:pPr>
      <w:r>
        <w:tab/>
      </w:r>
      <w:r>
        <w:tab/>
        <w:t>The returning officer’s functions are — </w:t>
      </w:r>
    </w:p>
    <w:p>
      <w:pPr>
        <w:pStyle w:val="Indenta"/>
      </w:pPr>
      <w:r>
        <w:tab/>
        <w:t>(a)</w:t>
      </w:r>
      <w:r>
        <w:tab/>
        <w:t>to appoint places for the casting of votes, places for the delivery of postal votes and places for the counting of votes for elections (within or outside the district); and</w:t>
      </w:r>
    </w:p>
    <w:p>
      <w:pPr>
        <w:pStyle w:val="Indenta"/>
      </w:pPr>
      <w:r>
        <w:tab/>
        <w:t>(b)</w:t>
      </w:r>
      <w:r>
        <w:tab/>
        <w:t>to appoint other electoral officers to assist in the conduct of elections; and</w:t>
      </w:r>
    </w:p>
    <w:p>
      <w:pPr>
        <w:pStyle w:val="Indenta"/>
      </w:pPr>
      <w:r>
        <w:tab/>
        <w:t>(c)</w:t>
      </w:r>
      <w:r>
        <w:tab/>
        <w:t>to ensure that the necessary preparations are made for the conduct of elections; and</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pPr>
      <w:bookmarkStart w:id="403" w:name="_Toc462409282"/>
      <w:r>
        <w:rPr>
          <w:rStyle w:val="CharSectno"/>
        </w:rPr>
        <w:t>4.24</w:t>
      </w:r>
      <w:r>
        <w:t>.</w:t>
      </w:r>
      <w:r>
        <w:tab/>
        <w:t>Electoral Commissioner’s functions</w:t>
      </w:r>
      <w:bookmarkEnd w:id="403"/>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pPr>
      <w:bookmarkStart w:id="404" w:name="_Toc462409283"/>
      <w:r>
        <w:rPr>
          <w:rStyle w:val="CharSectno"/>
        </w:rPr>
        <w:t>4.25</w:t>
      </w:r>
      <w:r>
        <w:t>.</w:t>
      </w:r>
      <w:r>
        <w:tab/>
        <w:t>Access to information</w:t>
      </w:r>
      <w:bookmarkEnd w:id="404"/>
    </w:p>
    <w:p>
      <w:pPr>
        <w:pStyle w:val="Subsection"/>
      </w:pPr>
      <w:r>
        <w:tab/>
      </w:r>
      <w:r>
        <w:tab/>
        <w:t>The Electoral Commissioner and the returning officer are to have access to any relevant information of a local government in order to perform their functions under this Act.</w:t>
      </w:r>
    </w:p>
    <w:p>
      <w:pPr>
        <w:pStyle w:val="Heading5"/>
      </w:pPr>
      <w:bookmarkStart w:id="405" w:name="_Toc462409284"/>
      <w:r>
        <w:rPr>
          <w:rStyle w:val="CharSectno"/>
        </w:rPr>
        <w:t>4.26</w:t>
      </w:r>
      <w:r>
        <w:t>.</w:t>
      </w:r>
      <w:r>
        <w:tab/>
        <w:t>Delegation</w:t>
      </w:r>
      <w:bookmarkEnd w:id="405"/>
    </w:p>
    <w:p>
      <w:pPr>
        <w:pStyle w:val="Subsection"/>
      </w:pPr>
      <w:r>
        <w:tab/>
        <w:t>(1)</w:t>
      </w:r>
      <w:r>
        <w:tab/>
        <w:t>The Electoral Commissioner may delegate any of his or her powers or duties under this Act (except this power of delegation) to another person.</w:t>
      </w:r>
    </w:p>
    <w:p>
      <w:pPr>
        <w:pStyle w:val="Subsection"/>
      </w:pPr>
      <w:r>
        <w:tab/>
        <w:t>(2)</w:t>
      </w:r>
      <w:r>
        <w:tab/>
        <w:t>A returning officer may delegate any of his or her powers or duties under this Act (except this power of delegation) to a deputy returning officer.</w:t>
      </w:r>
    </w:p>
    <w:p>
      <w:pPr>
        <w:pStyle w:val="Subsection"/>
      </w:pPr>
      <w:r>
        <w:tab/>
        <w:t>(3)</w:t>
      </w:r>
      <w:r>
        <w:tab/>
        <w:t>Delegations must be in writing.</w:t>
      </w:r>
    </w:p>
    <w:p>
      <w:pPr>
        <w:pStyle w:val="Heading5"/>
      </w:pPr>
      <w:bookmarkStart w:id="406" w:name="_Toc462409285"/>
      <w:r>
        <w:rPr>
          <w:rStyle w:val="CharSectno"/>
        </w:rPr>
        <w:t>4.27</w:t>
      </w:r>
      <w:r>
        <w:t>.</w:t>
      </w:r>
      <w:r>
        <w:tab/>
        <w:t>Regulations about electoral officers and conduct of elections</w:t>
      </w:r>
      <w:bookmarkEnd w:id="406"/>
    </w:p>
    <w:p>
      <w:pPr>
        <w:pStyle w:val="Subsection"/>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 and</w:t>
      </w:r>
    </w:p>
    <w:p>
      <w:pPr>
        <w:pStyle w:val="Indenta"/>
      </w:pPr>
      <w:r>
        <w:tab/>
        <w:t>(b)</w:t>
      </w:r>
      <w:r>
        <w:tab/>
        <w:t>about the appointment, removal or suspension of electoral officers by returning officers; and</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pPr>
      <w:r>
        <w:tab/>
        <w:t>(2)</w:t>
      </w:r>
      <w:r>
        <w:tab/>
        <w:t>Despite any other written law, the decision of the Electoral Commissioner or a returning officer about the appointment, removal or suspension of an electoral officer is final.</w:t>
      </w:r>
    </w:p>
    <w:p>
      <w:pPr>
        <w:pStyle w:val="Heading5"/>
      </w:pPr>
      <w:bookmarkStart w:id="407" w:name="_Toc462409286"/>
      <w:r>
        <w:rPr>
          <w:rStyle w:val="CharSectno"/>
        </w:rPr>
        <w:t>4.28</w:t>
      </w:r>
      <w:r>
        <w:t>.</w:t>
      </w:r>
      <w:r>
        <w:tab/>
        <w:t>Fees and expenses</w:t>
      </w:r>
      <w:bookmarkEnd w:id="407"/>
    </w:p>
    <w:p>
      <w:pPr>
        <w:pStyle w:val="Subsection"/>
      </w:pPr>
      <w:r>
        <w:tab/>
      </w:r>
      <w:r>
        <w:tab/>
        <w:t>A local government is to — </w:t>
      </w:r>
    </w:p>
    <w:p>
      <w:pPr>
        <w:pStyle w:val="Indenta"/>
      </w:pPr>
      <w:r>
        <w:tab/>
        <w:t>(a)</w:t>
      </w:r>
      <w:r>
        <w:tab/>
        <w:t>pay fees to the electoral officers, in accordance with regulations, for conducting an election; and</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408" w:name="_Toc448219002"/>
      <w:bookmarkStart w:id="409" w:name="_Toc448224224"/>
      <w:bookmarkStart w:id="410" w:name="_Toc451179461"/>
      <w:bookmarkStart w:id="411" w:name="_Toc451430381"/>
      <w:bookmarkStart w:id="412" w:name="_Toc455396331"/>
      <w:bookmarkStart w:id="413" w:name="_Toc455397191"/>
      <w:bookmarkStart w:id="414" w:name="_Toc456086274"/>
      <w:bookmarkStart w:id="415" w:name="_Toc462409287"/>
      <w:r>
        <w:rPr>
          <w:rStyle w:val="CharDivNo"/>
        </w:rPr>
        <w:t>Division 8</w:t>
      </w:r>
      <w:r>
        <w:t> — </w:t>
      </w:r>
      <w:r>
        <w:rPr>
          <w:rStyle w:val="CharDivText"/>
        </w:rPr>
        <w:t>Eligibility for enrolment</w:t>
      </w:r>
      <w:bookmarkEnd w:id="408"/>
      <w:bookmarkEnd w:id="409"/>
      <w:bookmarkEnd w:id="410"/>
      <w:bookmarkEnd w:id="411"/>
      <w:bookmarkEnd w:id="412"/>
      <w:bookmarkEnd w:id="413"/>
      <w:bookmarkEnd w:id="414"/>
      <w:bookmarkEnd w:id="415"/>
    </w:p>
    <w:p>
      <w:pPr>
        <w:pStyle w:val="Heading5"/>
      </w:pPr>
      <w:bookmarkStart w:id="416" w:name="_Toc462409288"/>
      <w:r>
        <w:rPr>
          <w:rStyle w:val="CharSectno"/>
        </w:rPr>
        <w:t>4.29</w:t>
      </w:r>
      <w:r>
        <w:t>.</w:t>
      </w:r>
      <w:r>
        <w:tab/>
        <w:t>Eligibility of residents to be enrolled</w:t>
      </w:r>
      <w:bookmarkEnd w:id="416"/>
    </w:p>
    <w:p>
      <w:pPr>
        <w:pStyle w:val="Subsection"/>
      </w:pPr>
      <w:r>
        <w:tab/>
        <w:t>(1)</w:t>
      </w:r>
      <w:r>
        <w:tab/>
        <w:t xml:space="preserve">A person is eligible to be enrolled to vote at elections for a district or ward (the </w:t>
      </w:r>
      <w:r>
        <w:rPr>
          <w:rStyle w:val="CharDefText"/>
        </w:rPr>
        <w:t>electorate</w:t>
      </w:r>
      <w:r>
        <w:t>) if the person is enrolled as an elector for the Legislative Assembly in respect of a residence in the electorate.</w:t>
      </w:r>
    </w:p>
    <w:p>
      <w:pPr>
        <w:pStyle w:val="Subsection"/>
      </w:pPr>
      <w:r>
        <w:tab/>
        <w:t>(2)</w:t>
      </w:r>
      <w:r>
        <w:tab/>
        <w:t xml:space="preserve">For the purposes of subsection (1) a person is to be regarded as being enrolled as an elector for the Legislative Assembly even if his or her name has been omitted in error from the relevant electoral roll under the </w:t>
      </w:r>
      <w:r>
        <w:rPr>
          <w:i/>
        </w:rPr>
        <w:t>Electoral Act 1907</w:t>
      </w:r>
      <w:r>
        <w:t>.</w:t>
      </w:r>
    </w:p>
    <w:p>
      <w:pPr>
        <w:pStyle w:val="Heading5"/>
      </w:pPr>
      <w:bookmarkStart w:id="417" w:name="_Toc462409289"/>
      <w:r>
        <w:rPr>
          <w:rStyle w:val="CharSectno"/>
        </w:rPr>
        <w:t>4.30</w:t>
      </w:r>
      <w:r>
        <w:t>.</w:t>
      </w:r>
      <w:r>
        <w:tab/>
        <w:t>Eligibility of non</w:t>
      </w:r>
      <w:r>
        <w:noBreakHyphen/>
        <w:t>resident owners and occupiers to be enrolled</w:t>
      </w:r>
      <w:bookmarkEnd w:id="417"/>
    </w:p>
    <w:p>
      <w:pPr>
        <w:pStyle w:val="Subsection"/>
      </w:pPr>
      <w:r>
        <w:tab/>
        <w:t>(1)</w:t>
      </w:r>
      <w:r>
        <w:tab/>
        <w:t xml:space="preserve">A person is eligible to be enrolled to vote at elections for a district or ward (the </w:t>
      </w:r>
      <w:r>
        <w:rPr>
          <w:rStyle w:val="CharDefText"/>
        </w:rPr>
        <w:t>electorate</w:t>
      </w:r>
      <w:r>
        <w:t>) if the person — </w:t>
      </w:r>
    </w:p>
    <w:p>
      <w:pPr>
        <w:pStyle w:val="Indenta"/>
      </w:pPr>
      <w:r>
        <w:tab/>
        <w:t>(a)</w:t>
      </w:r>
      <w:r>
        <w:tab/>
        <w:t>is enrolled as an elector for the Legislative Assembly or the House of Representatives in respect of a residence outside the electorate; and</w:t>
      </w:r>
    </w:p>
    <w:p>
      <w:pPr>
        <w:pStyle w:val="Indenta"/>
      </w:pPr>
      <w:r>
        <w:tab/>
        <w:t>(b)</w:t>
      </w:r>
      <w:r>
        <w:tab/>
        <w:t>owns or occupies rateable property within the electorate; and</w:t>
      </w:r>
    </w:p>
    <w:p>
      <w:pPr>
        <w:pStyle w:val="Indenta"/>
      </w:pPr>
      <w:r>
        <w:tab/>
        <w:t>(c)</w:t>
      </w:r>
      <w:r>
        <w:tab/>
        <w:t>has made a successful eligibility claim that still has effect under section 4.33.</w:t>
      </w:r>
    </w:p>
    <w:p>
      <w:pPr>
        <w:pStyle w:val="Subsection"/>
      </w:pPr>
      <w:r>
        <w:tab/>
        <w:t>(2)</w:t>
      </w:r>
      <w:r>
        <w:tab/>
        <w:t xml:space="preserve">For the purposes of subsection (1)(a) a person is to be regarded as being enrolled as an elector for the Legislative Assembly or the House of Representatives even if his or her name has been omitted in error from an electoral roll under the </w:t>
      </w:r>
      <w:r>
        <w:rPr>
          <w:i/>
        </w:rPr>
        <w:t>Electoral Act 1907</w:t>
      </w:r>
      <w:r>
        <w:t xml:space="preserve"> or the </w:t>
      </w:r>
      <w:r>
        <w:rPr>
          <w:i/>
        </w:rPr>
        <w:t>Commonwealth Electoral Act 1918</w:t>
      </w:r>
      <w:r>
        <w:t>.</w:t>
      </w:r>
    </w:p>
    <w:p>
      <w:pPr>
        <w:pStyle w:val="Subsection"/>
      </w:pPr>
      <w:r>
        <w:tab/>
        <w:t>(3)</w:t>
      </w:r>
      <w:r>
        <w:tab/>
        <w:t>For the purposes of subsection (1)(c) an eligibility claim is successful if it is accepted under section 4.32, whether or not the acceptance is before the close of enrolments, as defined in section 4.39(1).</w:t>
      </w:r>
    </w:p>
    <w:p>
      <w:pPr>
        <w:pStyle w:val="Subsection"/>
      </w:pPr>
      <w:r>
        <w:tab/>
        <w:t>(4)</w:t>
      </w:r>
      <w:r>
        <w:tab/>
        <w:t xml:space="preserve">A person who is eligible under subsection (1) to vote at an election held less than 50 days after the commencement of the </w:t>
      </w:r>
      <w:r>
        <w:rPr>
          <w:i/>
          <w:snapToGrid w:val="0"/>
        </w:rPr>
        <w:t xml:space="preserve">Local Government Amendment Act 2009 </w:t>
      </w:r>
      <w:r>
        <w:t xml:space="preserve">section 13 is eligible to vote at that election. </w:t>
      </w:r>
    </w:p>
    <w:p>
      <w:pPr>
        <w:pStyle w:val="Footnotesection"/>
      </w:pPr>
      <w:r>
        <w:tab/>
        <w:t>[Section 4.30 amended by No. 17 of 2009 s. 13.]</w:t>
      </w:r>
    </w:p>
    <w:p>
      <w:pPr>
        <w:pStyle w:val="Heading5"/>
      </w:pPr>
      <w:bookmarkStart w:id="418" w:name="_Toc462409290"/>
      <w:r>
        <w:rPr>
          <w:rStyle w:val="CharSectno"/>
        </w:rPr>
        <w:t>4.31</w:t>
      </w:r>
      <w:r>
        <w:t>.</w:t>
      </w:r>
      <w:r>
        <w:tab/>
        <w:t>Rateable property: ownership and occupation</w:t>
      </w:r>
      <w:bookmarkEnd w:id="418"/>
    </w:p>
    <w:p>
      <w:pPr>
        <w:pStyle w:val="Subsection"/>
        <w:rPr>
          <w:spacing w:val="-2"/>
        </w:rPr>
      </w:pPr>
      <w:r>
        <w:rPr>
          <w:spacing w:val="-2"/>
        </w:rPr>
        <w:tab/>
        <w:t>(1)</w:t>
      </w:r>
      <w:r>
        <w:rPr>
          <w:spacing w:val="-2"/>
        </w:rPr>
        <w:tab/>
      </w:r>
      <w:r>
        <w:rPr>
          <w:spacing w:val="-4"/>
        </w:rPr>
        <w:t xml:space="preserve">For the purposes of this Division, </w:t>
      </w:r>
      <w:r>
        <w:t xml:space="preserve">subsections (1A) to (1H) </w:t>
      </w:r>
      <w:r>
        <w:rPr>
          <w:spacing w:val="-4"/>
        </w:rPr>
        <w:t>apply in relation to rateable property and its ownership and occupation.</w:t>
      </w:r>
    </w:p>
    <w:p>
      <w:pPr>
        <w:pStyle w:val="Subsection"/>
      </w:pPr>
      <w:r>
        <w:tab/>
        <w:t>(1A)</w:t>
      </w:r>
      <w:r>
        <w:tab/>
        <w:t>Section 4.30 applies even if part of the rateable property is situated in another district.</w:t>
      </w:r>
    </w:p>
    <w:p>
      <w:pPr>
        <w:pStyle w:val="Subsection"/>
      </w:pPr>
      <w:r>
        <w:tab/>
        <w:t>(1B)</w:t>
      </w:r>
      <w:r>
        <w:tab/>
        <w:t>If an enrolment eligibility claim is made in respect of rateable property situated partly in one ward and partly in another ward or wards, it is to be regarded for the purposes of that claim as being in — </w:t>
      </w:r>
    </w:p>
    <w:p>
      <w:pPr>
        <w:pStyle w:val="Indenta"/>
      </w:pPr>
      <w:r>
        <w:tab/>
        <w:t>(a)</w:t>
      </w:r>
      <w:r>
        <w:tab/>
        <w:t>the ward nominated by the owner or occupier making the claim; or</w:t>
      </w:r>
    </w:p>
    <w:p>
      <w:pPr>
        <w:pStyle w:val="Indenta"/>
      </w:pPr>
      <w:r>
        <w:tab/>
        <w:t>(b)</w:t>
      </w:r>
      <w:r>
        <w:tab/>
        <w:t>if no nomination is made, the ward determined by the CEO.</w:t>
      </w:r>
    </w:p>
    <w:p>
      <w:pPr>
        <w:pStyle w:val="Subsection"/>
      </w:pPr>
      <w:r>
        <w:tab/>
        <w:t>(1C)</w:t>
      </w:r>
      <w:r>
        <w:tab/>
        <w:t>A person occupies rateable property if, and only if, the person has a right of continuous occupation under a lease, tenancy agreement or other legal instrument.</w:t>
      </w:r>
    </w:p>
    <w:p>
      <w:pPr>
        <w:pStyle w:val="Subsection"/>
      </w:pPr>
      <w:r>
        <w:tab/>
        <w:t>(1D)</w:t>
      </w:r>
      <w:r>
        <w:tab/>
        <w:t>A reference to the occupation of rateable property includes a reference to the occupation of — </w:t>
      </w:r>
    </w:p>
    <w:p>
      <w:pPr>
        <w:pStyle w:val="Indenta"/>
      </w:pPr>
      <w:r>
        <w:tab/>
        <w:t>(a)</w:t>
      </w:r>
      <w:r>
        <w:tab/>
        <w:t>a separate building or portion of a building on the rateable property; or</w:t>
      </w:r>
    </w:p>
    <w:p>
      <w:pPr>
        <w:pStyle w:val="Indenta"/>
      </w:pPr>
      <w:r>
        <w:tab/>
        <w:t>(b)</w:t>
      </w:r>
      <w:r>
        <w:tab/>
        <w:t>some other separate and distinguishable portion of the rateable property.</w:t>
      </w:r>
    </w:p>
    <w:p>
      <w:pPr>
        <w:pStyle w:val="Subsection"/>
      </w:pPr>
      <w:r>
        <w:tab/>
        <w:t>(1E)</w:t>
      </w:r>
      <w:r>
        <w:tab/>
        <w:t xml:space="preserve">If </w:t>
      </w:r>
      <w:r>
        <w:rPr>
          <w:spacing w:val="-4"/>
        </w:rPr>
        <w:t>more</w:t>
      </w:r>
      <w:r>
        <w:t xml:space="preserve"> than 2 people own rateable property in conjunction with each other, the owners are whichever 2 of those people who, being eligible under section 4.30(1)(a), are nominated as owners by all or a majority of those people.</w:t>
      </w:r>
    </w:p>
    <w:p>
      <w:pPr>
        <w:pStyle w:val="Subsection"/>
      </w:pPr>
      <w:r>
        <w:tab/>
        <w:t>(1F)</w:t>
      </w:r>
      <w:r>
        <w:tab/>
        <w:t>If more than 2 people occupy rateable property in conjunction with each other, the occupiers are whichever 2 of those people who, being eligible under section 4.30(1)(a), are nominated as occupiers by all or a majority of those people.</w:t>
      </w:r>
    </w:p>
    <w:p>
      <w:pPr>
        <w:pStyle w:val="Subsection"/>
      </w:pPr>
      <w:r>
        <w:tab/>
        <w:t>(1G)</w:t>
      </w:r>
      <w:r>
        <w:tab/>
        <w:t>If a body corporate owns or occupies rateable property, the owners or occupiers are 2 people who, being eligible under section 4.30(1)(a), are nominated as owners or occupiers by the body corporate.</w:t>
      </w:r>
    </w:p>
    <w:p>
      <w:pPr>
        <w:pStyle w:val="Subsection"/>
      </w:pPr>
      <w:r>
        <w:tab/>
        <w:t>(1H)</w:t>
      </w:r>
      <w:r>
        <w:tab/>
        <w:t>A nomination under subsection (1E), (1F) or (1G)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subsections (1) to (1H) are made and how long they remain in effect.</w:t>
      </w:r>
    </w:p>
    <w:p>
      <w:pPr>
        <w:pStyle w:val="Footnotesection"/>
      </w:pPr>
      <w:r>
        <w:tab/>
        <w:t>[Section 4.31 amended by No. 19 of 2010 s. 51.]</w:t>
      </w:r>
    </w:p>
    <w:p>
      <w:pPr>
        <w:pStyle w:val="Heading5"/>
      </w:pPr>
      <w:bookmarkStart w:id="419" w:name="_Toc462409291"/>
      <w:r>
        <w:rPr>
          <w:rStyle w:val="CharSectno"/>
        </w:rPr>
        <w:t>4.32</w:t>
      </w:r>
      <w:r>
        <w:t>.</w:t>
      </w:r>
      <w:r>
        <w:tab/>
        <w:t>Eligibility to enrol under s. 4.30, how to claim</w:t>
      </w:r>
      <w:bookmarkEnd w:id="419"/>
    </w:p>
    <w:p>
      <w:pPr>
        <w:pStyle w:val="Subsection"/>
      </w:pPr>
      <w:r>
        <w:tab/>
        <w:t>(1)</w:t>
      </w:r>
      <w:r>
        <w:tab/>
        <w:t>A person who considers that he or she is eligible under section 4.30(1)(a) and (b) may make an enrolment eligibility claim in respect of the district or ward.</w:t>
      </w:r>
    </w:p>
    <w:p>
      <w:pPr>
        <w:pStyle w:val="Subsection"/>
      </w:pPr>
      <w:r>
        <w:tab/>
        <w:t>(2)</w:t>
      </w:r>
      <w:r>
        <w:tab/>
        <w:t>The claim is to be made to the CEO in accordance with regulations.</w:t>
      </w:r>
    </w:p>
    <w:p>
      <w:pPr>
        <w:pStyle w:val="Subsection"/>
      </w:pPr>
      <w:r>
        <w:tab/>
        <w:t>(3)</w:t>
      </w:r>
      <w:r>
        <w:tab/>
        <w:t>A claim for enrolment as an occupier cannot be made or accepted unless, when the claim is made, the claimant has a right of occupation as referred to in section 4.31(1)(c) </w:t>
      </w:r>
      <w:r>
        <w:rPr>
          <w:vertAlign w:val="superscript"/>
        </w:rPr>
        <w:t>6</w:t>
      </w:r>
      <w:r>
        <w:t xml:space="preserve"> for at least the next 3 months and, if so prescribed, is liable to pay rent in respect of that occupation of at least the prescribed amount.</w:t>
      </w:r>
    </w:p>
    <w:p>
      <w:pPr>
        <w:pStyle w:val="Subsection"/>
      </w:pPr>
      <w:r>
        <w:tab/>
        <w:t>(4)</w:t>
      </w:r>
      <w:r>
        <w:tab/>
        <w:t>Except as provided for in subsection (5A), within 14 days after receiving the claim the CEO is to decide whether or not the claimant is eligible under section 4.30(1)(a) and (b) and accept or reject the claim accordingly.</w:t>
      </w:r>
    </w:p>
    <w:p>
      <w:pPr>
        <w:pStyle w:val="Subsection"/>
      </w:pPr>
      <w:r>
        <w:tab/>
        <w:t>(5A)</w:t>
      </w:r>
      <w:r>
        <w:tab/>
        <w:t>If a claim is made before the close of enrolments as defined in section 4.39(1), but less than 14 days before the close of nominations as defined in section 4.49(a), the CEO is to decide whether to accept or reject the claim before the close of nominations.</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by No. 64 of 1998 s. 20; No. 49 of 2004 s. 33; No. 17 of 2009 s. 14.]</w:t>
      </w:r>
    </w:p>
    <w:p>
      <w:pPr>
        <w:pStyle w:val="Heading5"/>
      </w:pPr>
      <w:bookmarkStart w:id="420" w:name="_Toc462409292"/>
      <w:r>
        <w:rPr>
          <w:rStyle w:val="CharSectno"/>
        </w:rPr>
        <w:t>4.33</w:t>
      </w:r>
      <w:r>
        <w:t>.</w:t>
      </w:r>
      <w:r>
        <w:tab/>
        <w:t>Claim of eligibility to enrol under s. 4.30, expiry of</w:t>
      </w:r>
      <w:bookmarkEnd w:id="420"/>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(2A)</w:t>
      </w:r>
      <w:r>
        <w:tab/>
        <w:t>Unless subsection (2B) or (3) applies, if an enrolment eligibility claim made by a person on the basis of occupation of rateable property within the electorate is accepted under section 4.32(4) or (8), the claim expires on the day 6 months after the holding of the second ordinary elections of the local government after the claim is accepted.</w:t>
      </w:r>
    </w:p>
    <w:p>
      <w:pPr>
        <w:pStyle w:val="Subsection"/>
      </w:pPr>
      <w:r>
        <w:tab/>
        <w:t>(2B)</w:t>
      </w:r>
      <w:r>
        <w:tab/>
        <w:t xml:space="preserve">If an enrolment eligibility claim on the basis of occupation of rateable property within the electorate is — </w:t>
      </w:r>
    </w:p>
    <w:p>
      <w:pPr>
        <w:pStyle w:val="Indenta"/>
      </w:pPr>
      <w:r>
        <w:tab/>
        <w:t>(a)</w:t>
      </w:r>
      <w:r>
        <w:tab/>
        <w:t>made within the period of 49 days before the election day for ordinary elections of the local government; and</w:t>
      </w:r>
    </w:p>
    <w:p>
      <w:pPr>
        <w:pStyle w:val="Indenta"/>
        <w:keepNext/>
      </w:pPr>
      <w:r>
        <w:tab/>
        <w:t>(b)</w:t>
      </w:r>
      <w:r>
        <w:tab/>
        <w:t>accepted under section 4.32(4) or (8) before the election day,</w:t>
      </w:r>
    </w:p>
    <w:p>
      <w:pPr>
        <w:pStyle w:val="Subsection"/>
      </w:pPr>
      <w:r>
        <w:tab/>
      </w:r>
      <w:r>
        <w:tab/>
        <w:t>the claim expires on the day 6 months after the holding of the third ordinary elections of the local government after the claim is accepted.</w:t>
      </w:r>
    </w:p>
    <w:p>
      <w:pPr>
        <w:pStyle w:val="Subsection"/>
      </w:pPr>
      <w:r>
        <w:tab/>
        <w:t>(2)</w:t>
      </w:r>
      <w:r>
        <w:tab/>
        <w:t>For the purpose of subsection (2A) or (2B), an election that would have been held on a particular day but for the suspension of the council of the local government is to be regarded as having been held on that day.</w:t>
      </w:r>
    </w:p>
    <w:p>
      <w:pPr>
        <w:pStyle w:val="Subsection"/>
      </w:pPr>
      <w:r>
        <w:tab/>
        <w:t>(3)</w:t>
      </w:r>
      <w:r>
        <w:tab/>
        <w:t>If the day on which an enrolment eligibility claim would expire under subsection (2A) or (2B) is less than 50 days before an election at which the occupier would be eligible to vote, the enrolment eligibility claim does not expire until the day after that election day.</w:t>
      </w:r>
    </w:p>
    <w:p>
      <w:pPr>
        <w:pStyle w:val="Footnotesection"/>
      </w:pPr>
      <w:r>
        <w:tab/>
        <w:t>[Section 4.33 amended by No. 64 of 1998 s. 21; No. 49 of 2004 s. 34; No. 17 of 2009 s. 15.]</w:t>
      </w:r>
    </w:p>
    <w:p>
      <w:pPr>
        <w:pStyle w:val="Heading5"/>
      </w:pPr>
      <w:bookmarkStart w:id="421" w:name="_Toc462409293"/>
      <w:r>
        <w:rPr>
          <w:rStyle w:val="CharSectno"/>
        </w:rPr>
        <w:t>4.34</w:t>
      </w:r>
      <w:r>
        <w:t>.</w:t>
      </w:r>
      <w:r>
        <w:tab/>
        <w:t>Accuracy of enrolment details to be maintained</w:t>
      </w:r>
      <w:bookmarkEnd w:id="421"/>
    </w:p>
    <w:p>
      <w:pPr>
        <w:pStyle w:val="Subsection"/>
      </w:pPr>
      <w:r>
        <w:tab/>
      </w:r>
      <w:r>
        <w:tab/>
        <w:t>The CEO is to ensure that the information about electors that is recorded from enrolment eligibility claims is maintained in an up to date and accurate form.</w:t>
      </w:r>
    </w:p>
    <w:p>
      <w:pPr>
        <w:pStyle w:val="Heading5"/>
        <w:spacing w:before="160"/>
      </w:pPr>
      <w:bookmarkStart w:id="422" w:name="_Toc462409294"/>
      <w:r>
        <w:rPr>
          <w:rStyle w:val="CharSectno"/>
        </w:rPr>
        <w:t>4.35</w:t>
      </w:r>
      <w:r>
        <w:t>.</w:t>
      </w:r>
      <w:r>
        <w:tab/>
        <w:t>Decision that eligibility to enrol under s. 4.30 has ended</w:t>
      </w:r>
      <w:bookmarkEnd w:id="422"/>
    </w:p>
    <w:p>
      <w:pPr>
        <w:pStyle w:val="Subsection"/>
        <w:keepNext/>
        <w:keepLines/>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 or</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pPr>
      <w:r>
        <w:tab/>
        <w:t>(2)</w:t>
      </w:r>
      <w:r>
        <w:tab/>
        <w:t>The CEO is to give written notice to the person before making a decision under subsection (1)(c) and is to allow 28 days for the person to make submissions on the matter.</w:t>
      </w:r>
    </w:p>
    <w:p>
      <w:pPr>
        <w:pStyle w:val="Subsection"/>
      </w:pPr>
      <w:r>
        <w:tab/>
        <w:t>(3)</w:t>
      </w:r>
      <w:r>
        <w:tab/>
        <w:t>If the CEO makes a decision under subsection (1)(c) the CEO is to give written notice of it to the person.</w:t>
      </w:r>
    </w:p>
    <w:p>
      <w:pPr>
        <w:pStyle w:val="Subsection"/>
      </w:pPr>
      <w:r>
        <w:tab/>
        <w:t>(4)</w:t>
      </w:r>
      <w:r>
        <w:tab/>
        <w:t>If dissatisfied with the decision, the person may appeal to the Electoral Commissioner in accordance with regulations and the Electoral Commissioner can confirm or reverse the decision.</w:t>
      </w:r>
    </w:p>
    <w:p>
      <w:pPr>
        <w:pStyle w:val="Subsection"/>
      </w:pPr>
      <w:r>
        <w:tab/>
        <w:t>(5)</w:t>
      </w:r>
      <w:r>
        <w:tab/>
        <w:t>On receipt of advice of the Electoral Commissioner’s decision on an appeal, the CEO is to take any action that is necessary to give effect to that decision.</w:t>
      </w:r>
    </w:p>
    <w:p>
      <w:pPr>
        <w:pStyle w:val="Subsection"/>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pPr>
      <w:r>
        <w:tab/>
        <w:t>(7)</w:t>
      </w:r>
      <w:r>
        <w:tab/>
        <w:t>The CEO is to record any decision under subsection (1) or (6) in the register referred to in section 4.32(6).</w:t>
      </w:r>
    </w:p>
    <w:p>
      <w:pPr>
        <w:pStyle w:val="Footnotesection"/>
        <w:ind w:left="890" w:hanging="890"/>
      </w:pPr>
      <w:r>
        <w:tab/>
        <w:t>[Section 4.35 amended by No. 49 of 2004 s. 35.]</w:t>
      </w:r>
    </w:p>
    <w:p>
      <w:pPr>
        <w:pStyle w:val="Heading3"/>
      </w:pPr>
      <w:bookmarkStart w:id="423" w:name="_Toc448219010"/>
      <w:bookmarkStart w:id="424" w:name="_Toc448224232"/>
      <w:bookmarkStart w:id="425" w:name="_Toc451179469"/>
      <w:bookmarkStart w:id="426" w:name="_Toc451430389"/>
      <w:bookmarkStart w:id="427" w:name="_Toc455396339"/>
      <w:bookmarkStart w:id="428" w:name="_Toc455397199"/>
      <w:bookmarkStart w:id="429" w:name="_Toc456086282"/>
      <w:bookmarkStart w:id="430" w:name="_Toc462409295"/>
      <w:r>
        <w:rPr>
          <w:rStyle w:val="CharDivNo"/>
        </w:rPr>
        <w:t>Division 9</w:t>
      </w:r>
      <w:r>
        <w:t> — </w:t>
      </w:r>
      <w:r>
        <w:rPr>
          <w:rStyle w:val="CharDivText"/>
        </w:rPr>
        <w:t>Electoral process</w:t>
      </w:r>
      <w:bookmarkEnd w:id="423"/>
      <w:bookmarkEnd w:id="424"/>
      <w:bookmarkEnd w:id="425"/>
      <w:bookmarkEnd w:id="426"/>
      <w:bookmarkEnd w:id="427"/>
      <w:bookmarkEnd w:id="428"/>
      <w:bookmarkEnd w:id="429"/>
      <w:bookmarkEnd w:id="430"/>
    </w:p>
    <w:p>
      <w:pPr>
        <w:pStyle w:val="Footnoteheading"/>
      </w:pPr>
      <w:r>
        <w:tab/>
        <w:t>[Heading inserted by No. 19 of 2010 s. 44(2).]</w:t>
      </w:r>
    </w:p>
    <w:p>
      <w:pPr>
        <w:pStyle w:val="Heading4"/>
      </w:pPr>
      <w:bookmarkStart w:id="431" w:name="_Toc448219011"/>
      <w:bookmarkStart w:id="432" w:name="_Toc448224233"/>
      <w:bookmarkStart w:id="433" w:name="_Toc451179470"/>
      <w:bookmarkStart w:id="434" w:name="_Toc451430390"/>
      <w:bookmarkStart w:id="435" w:name="_Toc455396340"/>
      <w:bookmarkStart w:id="436" w:name="_Toc455397200"/>
      <w:bookmarkStart w:id="437" w:name="_Toc456086283"/>
      <w:bookmarkStart w:id="438" w:name="_Toc462409296"/>
      <w:r>
        <w:t>Subdivision 1 — Stages of electoral process</w:t>
      </w:r>
      <w:bookmarkEnd w:id="431"/>
      <w:bookmarkEnd w:id="432"/>
      <w:bookmarkEnd w:id="433"/>
      <w:bookmarkEnd w:id="434"/>
      <w:bookmarkEnd w:id="435"/>
      <w:bookmarkEnd w:id="436"/>
      <w:bookmarkEnd w:id="437"/>
      <w:bookmarkEnd w:id="438"/>
      <w:r>
        <w:t xml:space="preserve"> </w:t>
      </w:r>
    </w:p>
    <w:p>
      <w:pPr>
        <w:pStyle w:val="Footnoteheading"/>
      </w:pPr>
      <w:r>
        <w:tab/>
        <w:t>[Heading inserted by No. 19 of 2010 s. 44(2).]</w:t>
      </w:r>
    </w:p>
    <w:p>
      <w:pPr>
        <w:pStyle w:val="Heading5"/>
      </w:pPr>
      <w:bookmarkStart w:id="439" w:name="_Toc462409297"/>
      <w:r>
        <w:rPr>
          <w:rStyle w:val="CharSectno"/>
        </w:rPr>
        <w:t>4.36</w:t>
      </w:r>
      <w:r>
        <w:t>.</w:t>
      </w:r>
      <w:r>
        <w:tab/>
        <w:t>Application and term used: election</w:t>
      </w:r>
      <w:bookmarkEnd w:id="439"/>
    </w:p>
    <w:p>
      <w:pPr>
        <w:pStyle w:val="Subsection"/>
        <w:spacing w:before="120"/>
      </w:pPr>
      <w:r>
        <w:tab/>
        <w:t>(1)</w:t>
      </w:r>
      <w:r>
        <w:tab/>
        <w:t>This Division applies to the following stages in the preparation for, and conduct of, an election — </w:t>
      </w:r>
    </w:p>
    <w:p>
      <w:pPr>
        <w:pStyle w:val="Indenta"/>
        <w:rPr>
          <w:i/>
        </w:rPr>
      </w:pPr>
      <w:r>
        <w:tab/>
        <w:t>(a)</w:t>
      </w:r>
      <w:r>
        <w:tab/>
      </w:r>
      <w:r>
        <w:rPr>
          <w:i/>
        </w:rPr>
        <w:t>Stage 1 — Preparing the electoral roll;</w:t>
      </w:r>
    </w:p>
    <w:p>
      <w:pPr>
        <w:pStyle w:val="Indenta"/>
        <w:rPr>
          <w:i/>
        </w:rPr>
      </w:pPr>
      <w:r>
        <w:tab/>
        <w:t>(b)</w:t>
      </w:r>
      <w:r>
        <w:tab/>
      </w:r>
      <w:r>
        <w:rPr>
          <w:i/>
        </w:rPr>
        <w:t>Stage 2 — Nomination of candidates;</w:t>
      </w:r>
    </w:p>
    <w:p>
      <w:pPr>
        <w:pStyle w:val="Indenta"/>
        <w:rPr>
          <w:i/>
        </w:rPr>
      </w:pPr>
      <w:r>
        <w:tab/>
        <w:t>(c)</w:t>
      </w:r>
      <w:r>
        <w:tab/>
      </w:r>
      <w:r>
        <w:rPr>
          <w:i/>
        </w:rPr>
        <w:t>Stage 3 — After nominations close;</w:t>
      </w:r>
    </w:p>
    <w:p>
      <w:pPr>
        <w:pStyle w:val="Indenta"/>
        <w:rPr>
          <w:i/>
        </w:rPr>
      </w:pPr>
      <w:r>
        <w:tab/>
        <w:t>(d)</w:t>
      </w:r>
      <w:r>
        <w:tab/>
      </w:r>
      <w:r>
        <w:rPr>
          <w:i/>
        </w:rPr>
        <w:t>Stage 4 — Preparing for voting;</w:t>
      </w:r>
    </w:p>
    <w:p>
      <w:pPr>
        <w:pStyle w:val="Indenta"/>
        <w:rPr>
          <w:i/>
        </w:rPr>
      </w:pPr>
      <w:r>
        <w:tab/>
        <w:t>(e)</w:t>
      </w:r>
      <w:r>
        <w:tab/>
      </w:r>
      <w:r>
        <w:rPr>
          <w:i/>
        </w:rPr>
        <w:t>Stage 5 — Voting;</w:t>
      </w:r>
    </w:p>
    <w:p>
      <w:pPr>
        <w:pStyle w:val="Indenta"/>
        <w:rPr>
          <w:i/>
        </w:rPr>
      </w:pPr>
      <w:r>
        <w:tab/>
        <w:t>(f)</w:t>
      </w:r>
      <w:r>
        <w:tab/>
      </w:r>
      <w:r>
        <w:rPr>
          <w:i/>
        </w:rPr>
        <w:t>Stage 6 — Counting the votes;</w:t>
      </w:r>
    </w:p>
    <w:p>
      <w:pPr>
        <w:pStyle w:val="Indenta"/>
        <w:rPr>
          <w:i/>
        </w:rPr>
      </w:pPr>
      <w:r>
        <w:tab/>
        <w:t>(g)</w:t>
      </w:r>
      <w:r>
        <w:tab/>
      </w:r>
      <w:r>
        <w:rPr>
          <w:i/>
        </w:rPr>
        <w:t>Stage 7 — Declaring the result.</w:t>
      </w:r>
    </w:p>
    <w:p>
      <w:pPr>
        <w:pStyle w:val="Subsection"/>
      </w:pPr>
      <w:r>
        <w:tab/>
        <w:t>(2)</w:t>
      </w:r>
      <w:r>
        <w:tab/>
        <w:t>In this Division the election referred to in subsection (1) is referred to as the</w:t>
      </w:r>
      <w:r>
        <w:rPr>
          <w:rStyle w:val="CharDefText"/>
        </w:rPr>
        <w:t xml:space="preserve"> election</w:t>
      </w:r>
      <w:r>
        <w:t>.</w:t>
      </w:r>
    </w:p>
    <w:p>
      <w:pPr>
        <w:pStyle w:val="Footnotesection"/>
      </w:pPr>
      <w:r>
        <w:tab/>
        <w:t>[Section 4.36 amended by No. 19 of 2010 s. 51.]</w:t>
      </w:r>
    </w:p>
    <w:p>
      <w:pPr>
        <w:pStyle w:val="Heading4"/>
      </w:pPr>
      <w:bookmarkStart w:id="440" w:name="_Toc448219013"/>
      <w:bookmarkStart w:id="441" w:name="_Toc448224235"/>
      <w:bookmarkStart w:id="442" w:name="_Toc451179472"/>
      <w:bookmarkStart w:id="443" w:name="_Toc451430392"/>
      <w:bookmarkStart w:id="444" w:name="_Toc455396342"/>
      <w:bookmarkStart w:id="445" w:name="_Toc455397202"/>
      <w:bookmarkStart w:id="446" w:name="_Toc456086285"/>
      <w:bookmarkStart w:id="447" w:name="_Toc462409298"/>
      <w:r>
        <w:t>Subdivision 2 — Stage 1: Preparing the electoral roll</w:t>
      </w:r>
      <w:bookmarkEnd w:id="440"/>
      <w:bookmarkEnd w:id="441"/>
      <w:bookmarkEnd w:id="442"/>
      <w:bookmarkEnd w:id="443"/>
      <w:bookmarkEnd w:id="444"/>
      <w:bookmarkEnd w:id="445"/>
      <w:bookmarkEnd w:id="446"/>
      <w:bookmarkEnd w:id="447"/>
    </w:p>
    <w:p>
      <w:pPr>
        <w:pStyle w:val="Footnoteheading"/>
      </w:pPr>
      <w:r>
        <w:tab/>
        <w:t>[Heading inserted by No. 19 of 2010 s. 44(2).]</w:t>
      </w:r>
    </w:p>
    <w:p>
      <w:pPr>
        <w:pStyle w:val="Heading5"/>
      </w:pPr>
      <w:bookmarkStart w:id="448" w:name="_Toc462409299"/>
      <w:r>
        <w:rPr>
          <w:rStyle w:val="CharSectno"/>
        </w:rPr>
        <w:t>4.37</w:t>
      </w:r>
      <w:r>
        <w:t>.</w:t>
      </w:r>
      <w:r>
        <w:tab/>
        <w:t>New roll for each election</w:t>
      </w:r>
      <w:bookmarkEnd w:id="448"/>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r>
        <w:tab/>
        <w:t>[Section 4.37 amended by No. 49 of 2004 s. 36.]</w:t>
      </w:r>
    </w:p>
    <w:p>
      <w:pPr>
        <w:pStyle w:val="Heading5"/>
      </w:pPr>
      <w:bookmarkStart w:id="449" w:name="_Toc462409300"/>
      <w:r>
        <w:rPr>
          <w:rStyle w:val="CharSectno"/>
        </w:rPr>
        <w:t>4.38</w:t>
      </w:r>
      <w:r>
        <w:t>.</w:t>
      </w:r>
      <w:r>
        <w:tab/>
        <w:t>What roll consists of</w:t>
      </w:r>
      <w:bookmarkEnd w:id="449"/>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his or her family.</w:t>
      </w:r>
    </w:p>
    <w:p>
      <w:pPr>
        <w:pStyle w:val="Heading5"/>
      </w:pPr>
      <w:bookmarkStart w:id="450" w:name="_Toc462409301"/>
      <w:r>
        <w:rPr>
          <w:rStyle w:val="CharSectno"/>
        </w:rPr>
        <w:t>4.39</w:t>
      </w:r>
      <w:r>
        <w:t>.</w:t>
      </w:r>
      <w:r>
        <w:tab/>
        <w:t>Close of enrolments</w:t>
      </w:r>
      <w:bookmarkEnd w:id="450"/>
    </w:p>
    <w:p>
      <w:pPr>
        <w:pStyle w:val="Subsection"/>
      </w:pPr>
      <w:r>
        <w:tab/>
        <w:t>(1)</w:t>
      </w:r>
      <w:r>
        <w:tab/>
        <w:t>In order to be included on the electoral roll for the election a person must be an elector of the district or ward, as the case requires, as at 5 p.m. on the 50</w:t>
      </w:r>
      <w:r>
        <w:rPr>
          <w:vertAlign w:val="superscript"/>
        </w:rPr>
        <w:t>th</w:t>
      </w:r>
      <w:r>
        <w:t xml:space="preserve"> day before election day (the </w:t>
      </w:r>
      <w:r>
        <w:rPr>
          <w:rStyle w:val="CharDefText"/>
        </w:rPr>
        <w:t>close of enrolments</w:t>
      </w:r>
      <w:r>
        <w:t>).</w:t>
      </w:r>
    </w:p>
    <w:p>
      <w:pPr>
        <w:pStyle w:val="Subsection"/>
      </w:pPr>
      <w:r>
        <w:tab/>
        <w:t>(2)</w:t>
      </w:r>
      <w:r>
        <w:tab/>
        <w:t>On or after the 70</w:t>
      </w:r>
      <w:r>
        <w:rPr>
          <w:vertAlign w:val="superscript"/>
        </w:rPr>
        <w:t xml:space="preserve">th </w:t>
      </w:r>
      <w:r>
        <w:t>day, but not later than on the 56</w:t>
      </w:r>
      <w:r>
        <w:rPr>
          <w:vertAlign w:val="superscript"/>
        </w:rPr>
        <w:t>th</w:t>
      </w:r>
      <w:r>
        <w:t xml:space="preserve"> day, before election day the CEO is to give Statewide public notice of the time and date of the close of enrolments.</w:t>
      </w:r>
    </w:p>
    <w:p>
      <w:pPr>
        <w:pStyle w:val="Subsection"/>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pPr>
      <w:r>
        <w:tab/>
        <w:t>(4)</w:t>
      </w:r>
      <w:r>
        <w:tab/>
        <w:t>If, under section 4.37(3), a previous electoral roll is going to be used for the election, no notice is to be published under subsection (2).</w:t>
      </w:r>
    </w:p>
    <w:p>
      <w:pPr>
        <w:pStyle w:val="Footnotesection"/>
      </w:pPr>
      <w:r>
        <w:tab/>
        <w:t>[Section 4.39 amended by No. 64 of 1998 s. 22.]</w:t>
      </w:r>
    </w:p>
    <w:p>
      <w:pPr>
        <w:pStyle w:val="Heading5"/>
      </w:pPr>
      <w:bookmarkStart w:id="451" w:name="_Toc462409302"/>
      <w:r>
        <w:rPr>
          <w:rStyle w:val="CharSectno"/>
        </w:rPr>
        <w:t>4.40</w:t>
      </w:r>
      <w:r>
        <w:t>.</w:t>
      </w:r>
      <w:r>
        <w:tab/>
        <w:t>Residents roll</w:t>
      </w:r>
      <w:bookmarkEnd w:id="451"/>
    </w:p>
    <w:p>
      <w:pPr>
        <w:pStyle w:val="Subsection"/>
      </w:pPr>
      <w:r>
        <w:tab/>
        <w:t>(1)</w:t>
      </w:r>
      <w:r>
        <w:tab/>
        <w:t>Subject to section 4.37(3), on or before the 56</w:t>
      </w:r>
      <w:r>
        <w:rPr>
          <w:vertAlign w:val="superscript"/>
        </w:rPr>
        <w:t>th</w:t>
      </w:r>
      <w:r>
        <w:t xml:space="preserve"> day before election day, the CEO is to advise the Electoral Commissioner of the need to prepare a residents roll for the election.</w:t>
      </w:r>
    </w:p>
    <w:p>
      <w:pPr>
        <w:pStyle w:val="Subsection"/>
      </w:pPr>
      <w:r>
        <w:tab/>
        <w:t>(2)</w:t>
      </w:r>
      <w:r>
        <w:tab/>
        <w:t>On or before the 36</w:t>
      </w:r>
      <w:r>
        <w:rPr>
          <w:vertAlign w:val="superscript"/>
        </w:rPr>
        <w:t>th</w:t>
      </w:r>
      <w:r>
        <w:t xml:space="preserve"> day before election day, the Electoral Commissioner is to prepare a residents roll for the election and forward a copy of it to the CEO.</w:t>
      </w:r>
    </w:p>
    <w:p>
      <w:pPr>
        <w:pStyle w:val="Subsection"/>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pPr>
        <w:pStyle w:val="Footnotesection"/>
        <w:ind w:left="890" w:hanging="890"/>
      </w:pPr>
      <w:r>
        <w:tab/>
        <w:t>[Section 4.40 amended by No. 66 of 2006 s. 9.]</w:t>
      </w:r>
    </w:p>
    <w:p>
      <w:pPr>
        <w:pStyle w:val="Heading5"/>
      </w:pPr>
      <w:bookmarkStart w:id="452" w:name="_Toc462409303"/>
      <w:r>
        <w:rPr>
          <w:rStyle w:val="CharSectno"/>
        </w:rPr>
        <w:t>4.41</w:t>
      </w:r>
      <w:r>
        <w:t>.</w:t>
      </w:r>
      <w:r>
        <w:tab/>
        <w:t>Owners and occupiers roll</w:t>
      </w:r>
      <w:bookmarkEnd w:id="452"/>
    </w:p>
    <w:p>
      <w:pPr>
        <w:pStyle w:val="Subsection"/>
      </w:pPr>
      <w:r>
        <w:tab/>
        <w:t>(1)</w:t>
      </w:r>
      <w:r>
        <w:tab/>
        <w:t>On or before the 36</w:t>
      </w:r>
      <w:r>
        <w:rPr>
          <w:vertAlign w:val="superscript"/>
        </w:rPr>
        <w:t>th</w:t>
      </w:r>
      <w:r>
        <w:t xml:space="preserve"> day before election day, the CEO is to prepare an owners and occupiers roll for the election.</w:t>
      </w:r>
    </w:p>
    <w:p>
      <w:pPr>
        <w:pStyle w:val="Subsection"/>
      </w:pPr>
      <w:r>
        <w:tab/>
        <w:t>(2)</w:t>
      </w:r>
      <w:r>
        <w:tab/>
        <w:t>The owners and occupiers roll is to include the names of all persons who were electors of the district or ward under section 4.30 at the close of enrolments (other than persons who will be under 18 years of age on election day) and is to be certified to that effect by the CEO.</w:t>
      </w:r>
    </w:p>
    <w:p>
      <w:pPr>
        <w:pStyle w:val="Footnotesection"/>
      </w:pPr>
      <w:r>
        <w:tab/>
        <w:t>[Section 4.41 amended by No. 66 of 2006 s. 10.]</w:t>
      </w:r>
    </w:p>
    <w:p>
      <w:pPr>
        <w:pStyle w:val="Heading5"/>
      </w:pPr>
      <w:bookmarkStart w:id="453" w:name="_Toc462409304"/>
      <w:r>
        <w:rPr>
          <w:rStyle w:val="CharSectno"/>
        </w:rPr>
        <w:t>4.42</w:t>
      </w:r>
      <w:r>
        <w:t>.</w:t>
      </w:r>
      <w:r>
        <w:tab/>
        <w:t>Supply of rolls to returning officer, members and candidates</w:t>
      </w:r>
      <w:bookmarkEnd w:id="453"/>
    </w:p>
    <w:p>
      <w:pPr>
        <w:pStyle w:val="Subsection"/>
      </w:pPr>
      <w:r>
        <w:tab/>
        <w:t>(1)</w:t>
      </w:r>
      <w:r>
        <w:tab/>
        <w:t>The CEO is to ensure that the returning officer has as many copies of the residents and owners and occupiers rolls as he or she may require for the purposes of the election.</w:t>
      </w:r>
    </w:p>
    <w:p>
      <w:pPr>
        <w:pStyle w:val="Subsection"/>
      </w:pPr>
      <w:r>
        <w:tab/>
        <w:t>(2)</w:t>
      </w:r>
      <w:r>
        <w:tab/>
        <w:t>Copies of rolls are to be supplied, free of charge, to members of the council and candidates in accordance with regulations.</w:t>
      </w:r>
    </w:p>
    <w:p>
      <w:pPr>
        <w:pStyle w:val="Heading5"/>
      </w:pPr>
      <w:bookmarkStart w:id="454" w:name="_Toc462409305"/>
      <w:r>
        <w:rPr>
          <w:rStyle w:val="CharSectno"/>
        </w:rPr>
        <w:t>4.43</w:t>
      </w:r>
      <w:r>
        <w:t>.</w:t>
      </w:r>
      <w:r>
        <w:tab/>
        <w:t>Correction of rolls</w:t>
      </w:r>
      <w:bookmarkEnd w:id="454"/>
    </w:p>
    <w:p>
      <w:pPr>
        <w:pStyle w:val="Subsection"/>
      </w:pPr>
      <w:r>
        <w:tab/>
        <w:t>(1)</w:t>
      </w:r>
      <w:r>
        <w:tab/>
        <w:t>On or before the 22</w:t>
      </w:r>
      <w:r>
        <w:rPr>
          <w:vertAlign w:val="superscript"/>
        </w:rPr>
        <w:t>nd</w:t>
      </w:r>
      <w:r>
        <w:t xml:space="preserve"> day before election day the returning officer is to delete from the owners and occupiers roll the name of any person whose name also appears on the residents roll.</w:t>
      </w:r>
    </w:p>
    <w:p>
      <w:pPr>
        <w:pStyle w:val="Subsection"/>
      </w:pPr>
      <w:r>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 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pPr>
      <w:r>
        <w:tab/>
        <w:t>(3a)</w:t>
      </w:r>
      <w:r>
        <w:tab/>
        <w:t>If the returning officer is not the CEO, the returning officer may direct the CEO to make the alterations to the rolls described in subsections (1) and (3) and the CEO is to comply with that direction.</w:t>
      </w:r>
    </w:p>
    <w:p>
      <w:pPr>
        <w:pStyle w:val="Subsection"/>
      </w:pPr>
      <w:r>
        <w:tab/>
        <w:t>(3b)</w:t>
      </w:r>
      <w:r>
        <w:tab/>
        <w:t>If a roll is altered under this section or section 4.44A after it has been supplied under section 4.42(2) to members of the council and candidates, the returning officer is to supply details of the alteration to those members and candidates in accordance with regulations.</w:t>
      </w:r>
    </w:p>
    <w:p>
      <w:pPr>
        <w:pStyle w:val="Subsection"/>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by No. 64 of 1998 s. 23; No. 49 of 2004 s. 37; No. 17 of 2009 s. 16.]</w:t>
      </w:r>
    </w:p>
    <w:p>
      <w:pPr>
        <w:pStyle w:val="Heading5"/>
      </w:pPr>
      <w:bookmarkStart w:id="455" w:name="_Toc462409306"/>
      <w:r>
        <w:rPr>
          <w:rStyle w:val="CharSectno"/>
        </w:rPr>
        <w:t>4.44A</w:t>
      </w:r>
      <w:r>
        <w:t>.</w:t>
      </w:r>
      <w:r>
        <w:tab/>
        <w:t>Alteration of rolls</w:t>
      </w:r>
      <w:bookmarkEnd w:id="455"/>
    </w:p>
    <w:p>
      <w:pPr>
        <w:pStyle w:val="Subsection"/>
      </w:pPr>
      <w:r>
        <w:tab/>
        <w:t>(1)</w:t>
      </w:r>
      <w:r>
        <w:tab/>
        <w:t>The returning officer may alter the owners and occupiers roll by including the name of an elector whose enrolment eligibility claim was made under section 4.32(1) before the close of enrolments, as defined in section 4.39(1), but accepted after that time.</w:t>
      </w:r>
    </w:p>
    <w:p>
      <w:pPr>
        <w:pStyle w:val="Subsection"/>
      </w:pPr>
      <w:r>
        <w:tab/>
        <w:t>(2)</w:t>
      </w:r>
      <w:r>
        <w:tab/>
        <w:t>If the returning officer is not the CEO, the returning officer may direct the CEO to make an alteration to the roll described in subsection (1) and the CEO is to comply with that direction.</w:t>
      </w:r>
    </w:p>
    <w:p>
      <w:pPr>
        <w:pStyle w:val="Footnotesection"/>
      </w:pPr>
      <w:r>
        <w:tab/>
        <w:t>[Section 4.44A inserted No. 17 of 2009 s. 17.]</w:t>
      </w:r>
    </w:p>
    <w:p>
      <w:pPr>
        <w:pStyle w:val="Heading5"/>
      </w:pPr>
      <w:bookmarkStart w:id="456" w:name="_Toc462409307"/>
      <w:r>
        <w:rPr>
          <w:rStyle w:val="CharSectno"/>
        </w:rPr>
        <w:t>4.44</w:t>
      </w:r>
      <w:r>
        <w:t>.</w:t>
      </w:r>
      <w:r>
        <w:tab/>
        <w:t>One enrolment per roll</w:t>
      </w:r>
      <w:bookmarkEnd w:id="456"/>
    </w:p>
    <w:p>
      <w:pPr>
        <w:pStyle w:val="Subsection"/>
      </w:pPr>
      <w:r>
        <w:tab/>
      </w:r>
      <w:r>
        <w:tab/>
        <w:t>An elector’s name is not to appear more than once on the same electoral roll.</w:t>
      </w:r>
    </w:p>
    <w:p>
      <w:pPr>
        <w:pStyle w:val="Heading5"/>
        <w:rPr>
          <w:rStyle w:val="CharSectno"/>
        </w:rPr>
      </w:pPr>
      <w:bookmarkStart w:id="457" w:name="_Toc462409308"/>
      <w:r>
        <w:rPr>
          <w:rStyle w:val="CharSectno"/>
        </w:rPr>
        <w:t>4.45</w:t>
      </w:r>
      <w:r>
        <w:t>.</w:t>
      </w:r>
      <w:r>
        <w:rPr>
          <w:rStyle w:val="CharSectno"/>
        </w:rPr>
        <w:tab/>
      </w:r>
      <w:r>
        <w:t>Failure to comply with time limits as to preparation of rolls</w:t>
      </w:r>
      <w:bookmarkEnd w:id="457"/>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spacing w:before="180"/>
      </w:pPr>
      <w:bookmarkStart w:id="458" w:name="_Toc462409309"/>
      <w:r>
        <w:rPr>
          <w:rStyle w:val="CharSectno"/>
        </w:rPr>
        <w:t>4.46</w:t>
      </w:r>
      <w:r>
        <w:t>.</w:t>
      </w:r>
      <w:r>
        <w:tab/>
        <w:t>Fresh roll may be required</w:t>
      </w:r>
      <w:bookmarkEnd w:id="458"/>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Heading4"/>
      </w:pPr>
      <w:bookmarkStart w:id="459" w:name="_Toc448219025"/>
      <w:bookmarkStart w:id="460" w:name="_Toc448224247"/>
      <w:bookmarkStart w:id="461" w:name="_Toc451179484"/>
      <w:bookmarkStart w:id="462" w:name="_Toc451430404"/>
      <w:bookmarkStart w:id="463" w:name="_Toc455396354"/>
      <w:bookmarkStart w:id="464" w:name="_Toc455397214"/>
      <w:bookmarkStart w:id="465" w:name="_Toc456086297"/>
      <w:bookmarkStart w:id="466" w:name="_Toc462409310"/>
      <w:r>
        <w:t>Subdivision 3 — Stage 2: Nomination of candidates</w:t>
      </w:r>
      <w:bookmarkEnd w:id="459"/>
      <w:bookmarkEnd w:id="460"/>
      <w:bookmarkEnd w:id="461"/>
      <w:bookmarkEnd w:id="462"/>
      <w:bookmarkEnd w:id="463"/>
      <w:bookmarkEnd w:id="464"/>
      <w:bookmarkEnd w:id="465"/>
      <w:bookmarkEnd w:id="466"/>
    </w:p>
    <w:p>
      <w:pPr>
        <w:pStyle w:val="Footnoteheading"/>
      </w:pPr>
      <w:r>
        <w:tab/>
        <w:t>[Heading inserted by No. 19 of 2010 s. 44(2).]</w:t>
      </w:r>
    </w:p>
    <w:p>
      <w:pPr>
        <w:pStyle w:val="Heading5"/>
        <w:spacing w:before="180"/>
      </w:pPr>
      <w:bookmarkStart w:id="467" w:name="_Toc462409311"/>
      <w:r>
        <w:rPr>
          <w:rStyle w:val="CharSectno"/>
        </w:rPr>
        <w:t>4.47</w:t>
      </w:r>
      <w:r>
        <w:t>.</w:t>
      </w:r>
      <w:r>
        <w:tab/>
        <w:t>Nominations, call for</w:t>
      </w:r>
      <w:bookmarkEnd w:id="467"/>
    </w:p>
    <w:p>
      <w:pPr>
        <w:pStyle w:val="Subsection"/>
      </w:pPr>
      <w:r>
        <w:tab/>
        <w:t>(1)</w:t>
      </w:r>
      <w:r>
        <w:tab/>
        <w:t>Statewide public notice calling for nominations of candidates for the election is to be given by the returning officer on or after the 56</w:t>
      </w:r>
      <w:r>
        <w:rPr>
          <w:vertAlign w:val="superscript"/>
        </w:rPr>
        <w:t>th</w:t>
      </w:r>
      <w:r>
        <w:t xml:space="preserve"> day, but not later than on the 45</w:t>
      </w:r>
      <w:r>
        <w:rPr>
          <w:vertAlign w:val="superscript"/>
        </w:rPr>
        <w:t>th</w:t>
      </w:r>
      <w:r>
        <w:t xml:space="preserve"> day, before election day.</w:t>
      </w:r>
    </w:p>
    <w:p>
      <w:pPr>
        <w:pStyle w:val="Subsection"/>
      </w:pPr>
      <w:r>
        <w:tab/>
        <w:t>(2)</w:t>
      </w:r>
      <w:r>
        <w:tab/>
        <w:t>The notice calling for nominations is to specify — </w:t>
      </w:r>
    </w:p>
    <w:p>
      <w:pPr>
        <w:pStyle w:val="Indenta"/>
      </w:pPr>
      <w:r>
        <w:tab/>
        <w:t>(a)</w:t>
      </w:r>
      <w:r>
        <w:tab/>
        <w:t>the kind of election to be held and the vacancy or vacancies to be filled; and</w:t>
      </w:r>
    </w:p>
    <w:p>
      <w:pPr>
        <w:pStyle w:val="Indenta"/>
      </w:pPr>
      <w:r>
        <w:tab/>
        <w:t>(b)</w:t>
      </w:r>
      <w:r>
        <w:tab/>
        <w:t xml:space="preserve">the place where nominations may be delivered or sent (the </w:t>
      </w:r>
      <w:r>
        <w:rPr>
          <w:rStyle w:val="CharDefText"/>
        </w:rPr>
        <w:t>nomination place</w:t>
      </w:r>
      <w:r>
        <w:t>); and</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Heading5"/>
      </w:pPr>
      <w:bookmarkStart w:id="468" w:name="_Toc462409312"/>
      <w:r>
        <w:rPr>
          <w:rStyle w:val="CharSectno"/>
        </w:rPr>
        <w:t>4.48</w:t>
      </w:r>
      <w:r>
        <w:t>.</w:t>
      </w:r>
      <w:r>
        <w:tab/>
        <w:t>Candidate, eligibility of</w:t>
      </w:r>
      <w:bookmarkEnd w:id="468"/>
    </w:p>
    <w:p>
      <w:pPr>
        <w:pStyle w:val="Subsection"/>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 and</w:t>
      </w:r>
    </w:p>
    <w:p>
      <w:pPr>
        <w:pStyle w:val="Indenta"/>
      </w:pPr>
      <w:r>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w:t>
      </w:r>
    </w:p>
    <w:p>
      <w:pPr>
        <w:pStyle w:val="Subsection"/>
      </w:pPr>
      <w:r>
        <w:tab/>
        <w:t>(2)</w:t>
      </w:r>
      <w:r>
        <w:tab/>
        <w:t>If the election is to fill the office of elector mayor or president, a person can only be a candidate if the person was an elector of the district who, as at the close of enrolments and at the time of nomination, was qualified under section 2.19 to be elected as a member of the council.</w:t>
      </w:r>
    </w:p>
    <w:p>
      <w:pPr>
        <w:pStyle w:val="Footnotesection"/>
      </w:pPr>
      <w:r>
        <w:tab/>
        <w:t>[Section 4.48 amended by No. 49 of 2004 s. 38(1) and (2); No. 17 of 2009 s. 18.]</w:t>
      </w:r>
    </w:p>
    <w:p>
      <w:pPr>
        <w:pStyle w:val="Heading5"/>
      </w:pPr>
      <w:bookmarkStart w:id="469" w:name="_Toc462409313"/>
      <w:r>
        <w:rPr>
          <w:rStyle w:val="CharSectno"/>
        </w:rPr>
        <w:t>4.49</w:t>
      </w:r>
      <w:r>
        <w:t>.</w:t>
      </w:r>
      <w:r>
        <w:tab/>
        <w:t>How to make an effective nomination</w:t>
      </w:r>
      <w:bookmarkEnd w:id="469"/>
    </w:p>
    <w:p>
      <w:pPr>
        <w:pStyle w:val="Subsection"/>
      </w:pPr>
      <w:r>
        <w:tab/>
      </w:r>
      <w:r>
        <w:tab/>
        <w:t>The nomination of a candidate is only effective if — </w:t>
      </w:r>
    </w:p>
    <w:p>
      <w:pPr>
        <w:pStyle w:val="Indenta"/>
      </w:pPr>
      <w:r>
        <w:tab/>
        <w:t>(a)</w:t>
      </w:r>
      <w:r>
        <w:tab/>
        <w:t>a completed nomination paper, in the prescribed form, is received by the returning officer at the nomination place (by delivery, post, facsimile or other prescribed means) within the period beginning on the 44</w:t>
      </w:r>
      <w:r>
        <w:rPr>
          <w:vertAlign w:val="superscript"/>
        </w:rPr>
        <w:t>th</w:t>
      </w:r>
      <w:r>
        <w:t xml:space="preserve"> day before election day and ending at 4 p.m. on the 37</w:t>
      </w:r>
      <w:r>
        <w:rPr>
          <w:vertAlign w:val="superscript"/>
        </w:rPr>
        <w:t>th</w:t>
      </w:r>
      <w:r>
        <w:t xml:space="preserve"> day before election day (the </w:t>
      </w:r>
      <w:r>
        <w:rPr>
          <w:rStyle w:val="CharDefText"/>
        </w:rPr>
        <w:t>close of nominations</w:t>
      </w:r>
      <w:r>
        <w:t>); and</w:t>
      </w:r>
    </w:p>
    <w:p>
      <w:pPr>
        <w:pStyle w:val="Indenta"/>
      </w:pPr>
      <w:r>
        <w:tab/>
        <w:t>(b)</w:t>
      </w:r>
      <w:r>
        <w:tab/>
        <w:t>a profile of the candidate, prepared in accordance with regulations, accompanies the nomination paper; and</w:t>
      </w:r>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r>
        <w:tab/>
        <w:t>[Section 4.49 amended by No. 49 of 2004 s. 39.]</w:t>
      </w:r>
    </w:p>
    <w:p>
      <w:pPr>
        <w:pStyle w:val="Heading5"/>
      </w:pPr>
      <w:bookmarkStart w:id="470" w:name="_Toc462409314"/>
      <w:r>
        <w:rPr>
          <w:rStyle w:val="CharSectno"/>
        </w:rPr>
        <w:t>4.50</w:t>
      </w:r>
      <w:r>
        <w:t>.</w:t>
      </w:r>
      <w:r>
        <w:tab/>
        <w:t>Deposits, how dealt with</w:t>
      </w:r>
      <w:bookmarkEnd w:id="470"/>
    </w:p>
    <w:p>
      <w:pPr>
        <w:pStyle w:val="Subsection"/>
      </w:pPr>
      <w:r>
        <w:tab/>
      </w:r>
      <w:r>
        <w:tab/>
        <w:t>A deposit is to be dealt with in accordance with regulations and is refundable in such circumstances as are set out in regulations.</w:t>
      </w:r>
    </w:p>
    <w:p>
      <w:pPr>
        <w:pStyle w:val="Heading5"/>
      </w:pPr>
      <w:bookmarkStart w:id="471" w:name="_Toc462409315"/>
      <w:r>
        <w:rPr>
          <w:rStyle w:val="CharSectno"/>
        </w:rPr>
        <w:t>4.51</w:t>
      </w:r>
      <w:r>
        <w:t>.</w:t>
      </w:r>
      <w:r>
        <w:tab/>
        <w:t>Nominations, rejection of</w:t>
      </w:r>
      <w:bookmarkEnd w:id="471"/>
    </w:p>
    <w:p>
      <w:pPr>
        <w:pStyle w:val="Subsection"/>
      </w:pPr>
      <w:r>
        <w:tab/>
        <w:t>(1)</w:t>
      </w:r>
      <w:r>
        <w:tab/>
        <w:t>The returning officer is to reject a nomination if — </w:t>
      </w:r>
    </w:p>
    <w:p>
      <w:pPr>
        <w:pStyle w:val="Indenta"/>
      </w:pPr>
      <w:r>
        <w:tab/>
        <w:t>(a)</w:t>
      </w:r>
      <w:r>
        <w:tab/>
        <w:t>it is not effective under section 4.49; or</w:t>
      </w:r>
    </w:p>
    <w:p>
      <w:pPr>
        <w:pStyle w:val="Indenta"/>
      </w:pPr>
      <w:r>
        <w:tab/>
        <w:t>(b)</w:t>
      </w:r>
      <w:r>
        <w:tab/>
        <w:t>the candidate is not an elector of the district or was not an elector of the district as at the close of enrolments; or</w:t>
      </w:r>
    </w:p>
    <w:p>
      <w:pPr>
        <w:pStyle w:val="Indenta"/>
      </w:pPr>
      <w:r>
        <w:tab/>
        <w:t>(ba)</w:t>
      </w:r>
      <w:r>
        <w:tab/>
        <w:t>as at the close of enrolments, the candidate was not qualified to be elected as a member of a council due to section 2.19(2); or</w:t>
      </w:r>
    </w:p>
    <w:p>
      <w:pPr>
        <w:pStyle w:val="Indenta"/>
      </w:pPr>
      <w:r>
        <w:tab/>
        <w:t>(c)</w:t>
      </w:r>
      <w:r>
        <w:tab/>
        <w:t>in the case of a candidate for election as a councillor, the candidate is not eligible to be a candidate because of section 4.48(1)(b) or (c).</w:t>
      </w:r>
    </w:p>
    <w:p>
      <w:pPr>
        <w:pStyle w:val="Subsection"/>
      </w:pPr>
      <w:r>
        <w:tab/>
        <w:t>(2)</w:t>
      </w:r>
      <w:r>
        <w:tab/>
        <w:t>If none of subsection (1)(a), (b) or (c) apply the returning officer is to accept the nomination.</w:t>
      </w:r>
    </w:p>
    <w:p>
      <w:pPr>
        <w:pStyle w:val="Subsection"/>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pPr>
      <w:r>
        <w:tab/>
        <w:t>(4)</w:t>
      </w:r>
      <w:r>
        <w:tab/>
        <w:t>If the returning officer rejects a nomination or amends a profile the returning officer is to give written notice of the decision, and the reasons for it, to the candidate without delay.</w:t>
      </w:r>
    </w:p>
    <w:p>
      <w:pPr>
        <w:pStyle w:val="Footnotesection"/>
      </w:pPr>
      <w:r>
        <w:tab/>
        <w:t>[Section 4.51 amended by No. 49 of 2004 s. 40.]</w:t>
      </w:r>
    </w:p>
    <w:p>
      <w:pPr>
        <w:pStyle w:val="Heading5"/>
      </w:pPr>
      <w:bookmarkStart w:id="472" w:name="_Toc462409316"/>
      <w:r>
        <w:rPr>
          <w:rStyle w:val="CharSectno"/>
        </w:rPr>
        <w:t>4.52</w:t>
      </w:r>
      <w:r>
        <w:t>.</w:t>
      </w:r>
      <w:r>
        <w:tab/>
        <w:t>Candidates’ details etc., exhibition of</w:t>
      </w:r>
      <w:bookmarkEnd w:id="472"/>
    </w:p>
    <w:p>
      <w:pPr>
        <w:pStyle w:val="Subsection"/>
      </w:pPr>
      <w:r>
        <w:tab/>
        <w:t>(1)</w:t>
      </w:r>
      <w:r>
        <w:tab/>
        <w:t>If a nomination is accepted, the returning officer is to ensure that the details and profile of the candidate are exhibited to the public (with the details and profiles of any other candidates) on a notice board at the local government’s offices.</w:t>
      </w:r>
    </w:p>
    <w:p>
      <w:pPr>
        <w:pStyle w:val="Subsection"/>
      </w:pPr>
      <w:r>
        <w:tab/>
        <w:t>(2)</w:t>
      </w:r>
      <w:r>
        <w:tab/>
        <w:t>The details and profiles are to remain on exhibition —</w:t>
      </w:r>
    </w:p>
    <w:p>
      <w:pPr>
        <w:pStyle w:val="Indenta"/>
      </w:pPr>
      <w:r>
        <w:tab/>
        <w:t>(a)</w:t>
      </w:r>
      <w:r>
        <w:tab/>
        <w:t>if section 4.55 or 4.57(2)(a) apply, until the result is declared under section 4.77; or</w:t>
      </w:r>
    </w:p>
    <w:p>
      <w:pPr>
        <w:pStyle w:val="Indenta"/>
      </w:pPr>
      <w:r>
        <w:tab/>
        <w:t>(b)</w:t>
      </w:r>
      <w:r>
        <w:tab/>
        <w:t>otherwise, until 6 p.m. on election day.</w:t>
      </w:r>
    </w:p>
    <w:p>
      <w:pPr>
        <w:pStyle w:val="Subsection"/>
      </w:pPr>
      <w:r>
        <w:tab/>
        <w:t>(3)</w:t>
      </w:r>
      <w:r>
        <w:tab/>
        <w:t>In this section —</w:t>
      </w:r>
    </w:p>
    <w:p>
      <w:pPr>
        <w:pStyle w:val="Defstart"/>
      </w:pPr>
      <w:r>
        <w:tab/>
      </w:r>
      <w:r>
        <w:rPr>
          <w:rStyle w:val="CharDefText"/>
        </w:rPr>
        <w:t>details</w:t>
      </w:r>
      <w:r>
        <w:t>,</w:t>
      </w:r>
      <w:r>
        <w:rPr>
          <w:b/>
        </w:rPr>
        <w:t xml:space="preserve"> </w:t>
      </w:r>
      <w:r>
        <w:t>in relation to a candidate, means —</w:t>
      </w:r>
    </w:p>
    <w:p>
      <w:pPr>
        <w:pStyle w:val="Defpara"/>
      </w:pPr>
      <w:r>
        <w:tab/>
        <w:t>(a)</w:t>
      </w:r>
      <w:r>
        <w:tab/>
        <w:t>the candidate’s name; and</w:t>
      </w:r>
    </w:p>
    <w:p>
      <w:pPr>
        <w:pStyle w:val="Defpara"/>
      </w:pPr>
      <w:r>
        <w:tab/>
        <w:t>(b)</w:t>
      </w:r>
      <w:r>
        <w:tab/>
        <w:t>the name to appear on the ballot paper; and</w:t>
      </w:r>
    </w:p>
    <w:p>
      <w:pPr>
        <w:pStyle w:val="Defpara"/>
      </w:pPr>
      <w:r>
        <w:tab/>
        <w:t>(c)</w:t>
      </w:r>
      <w:r>
        <w:tab/>
        <w:t>the ward (if any) in respect of which the candidate has nominated; and</w:t>
      </w:r>
    </w:p>
    <w:p>
      <w:pPr>
        <w:pStyle w:val="Defpara"/>
      </w:pPr>
      <w:r>
        <w:tab/>
        <w:t>(d)</w:t>
      </w:r>
      <w:r>
        <w:tab/>
        <w:t>the office for which the candidate has nominated; and</w:t>
      </w:r>
    </w:p>
    <w:p>
      <w:pPr>
        <w:pStyle w:val="Defpara"/>
      </w:pPr>
      <w:r>
        <w:tab/>
        <w:t>(e)</w:t>
      </w:r>
      <w:r>
        <w:tab/>
        <w:t>the type of election in which the candidate has nominated.</w:t>
      </w:r>
    </w:p>
    <w:p>
      <w:pPr>
        <w:pStyle w:val="Footnotesection"/>
      </w:pPr>
      <w:r>
        <w:tab/>
        <w:t>[Section 4.52 inserted by No. 64 of 1998 s. 24(1).]</w:t>
      </w:r>
    </w:p>
    <w:p>
      <w:pPr>
        <w:pStyle w:val="Heading5"/>
      </w:pPr>
      <w:bookmarkStart w:id="473" w:name="_Toc462409317"/>
      <w:r>
        <w:rPr>
          <w:rStyle w:val="CharSectno"/>
        </w:rPr>
        <w:t>4.53</w:t>
      </w:r>
      <w:r>
        <w:t>.</w:t>
      </w:r>
      <w:r>
        <w:tab/>
        <w:t>Nominations, cancellation of</w:t>
      </w:r>
      <w:bookmarkEnd w:id="473"/>
    </w:p>
    <w:p>
      <w:pPr>
        <w:pStyle w:val="Subsection"/>
      </w:pPr>
      <w:r>
        <w:tab/>
        <w:t>(1)</w:t>
      </w:r>
      <w:r>
        <w:tab/>
        <w:t>The nomination of a candidate is cancelled if the candidate withdraws the nomination or dies before the close of nominations.</w:t>
      </w:r>
    </w:p>
    <w:p>
      <w:pPr>
        <w:pStyle w:val="Subsection"/>
        <w:keepNext/>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spacing w:before="120"/>
      </w:pPr>
      <w:r>
        <w:tab/>
        <w:t>(3)</w:t>
      </w:r>
      <w:r>
        <w:tab/>
        <w:t>If a nomination is cancelled the details and profile of the candidate are to be removed from exhibition under section 4.52 and notice of the cancellation is to be exhibited until the close of nominations.</w:t>
      </w:r>
    </w:p>
    <w:p>
      <w:pPr>
        <w:pStyle w:val="Subsection"/>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by No. 64 of 1998 s. 24(2).]</w:t>
      </w:r>
    </w:p>
    <w:p>
      <w:pPr>
        <w:pStyle w:val="Heading4"/>
        <w:keepLines/>
        <w:rPr>
          <w:i/>
        </w:rPr>
      </w:pPr>
      <w:bookmarkStart w:id="474" w:name="_Toc448219033"/>
      <w:bookmarkStart w:id="475" w:name="_Toc448224255"/>
      <w:bookmarkStart w:id="476" w:name="_Toc451179492"/>
      <w:bookmarkStart w:id="477" w:name="_Toc451430412"/>
      <w:bookmarkStart w:id="478" w:name="_Toc455396362"/>
      <w:bookmarkStart w:id="479" w:name="_Toc455397222"/>
      <w:bookmarkStart w:id="480" w:name="_Toc456086305"/>
      <w:bookmarkStart w:id="481" w:name="_Toc462409318"/>
      <w:r>
        <w:t>Subdivision 4 — Stage 3: After nominations close</w:t>
      </w:r>
      <w:bookmarkEnd w:id="474"/>
      <w:bookmarkEnd w:id="475"/>
      <w:bookmarkEnd w:id="476"/>
      <w:bookmarkEnd w:id="477"/>
      <w:bookmarkEnd w:id="478"/>
      <w:bookmarkEnd w:id="479"/>
      <w:bookmarkEnd w:id="480"/>
      <w:bookmarkEnd w:id="481"/>
    </w:p>
    <w:p>
      <w:pPr>
        <w:pStyle w:val="Footnoteheading"/>
        <w:keepNext/>
        <w:keepLines/>
        <w:rPr>
          <w:i w:val="0"/>
        </w:rPr>
      </w:pPr>
      <w:r>
        <w:tab/>
        <w:t>[Heading inserted by No. 19 of 2010 s. 44(2).]</w:t>
      </w:r>
    </w:p>
    <w:p>
      <w:pPr>
        <w:pStyle w:val="Heading5"/>
      </w:pPr>
      <w:bookmarkStart w:id="482" w:name="_Toc462409319"/>
      <w:r>
        <w:rPr>
          <w:rStyle w:val="CharSectno"/>
        </w:rPr>
        <w:t>4.54</w:t>
      </w:r>
      <w:r>
        <w:t>.</w:t>
      </w:r>
      <w:r>
        <w:tab/>
        <w:t>Nominations to be declared</w:t>
      </w:r>
      <w:bookmarkEnd w:id="482"/>
    </w:p>
    <w:p>
      <w:pPr>
        <w:pStyle w:val="Subsection"/>
      </w:pPr>
      <w:r>
        <w:tab/>
        <w:t>(1)</w:t>
      </w:r>
      <w:r>
        <w:tab/>
        <w:t>As soon as possible after nominations have closed the returning officer is to declare the nominations that have been accepted and have not been cancelled.</w:t>
      </w:r>
    </w:p>
    <w:p>
      <w:pPr>
        <w:pStyle w:val="Subsection"/>
      </w:pPr>
      <w:r>
        <w:tab/>
        <w:t>(2)</w:t>
      </w:r>
      <w:r>
        <w:tab/>
        <w:t>The declaration is to be made at the nomination place in the presence of any candidates and other people who wish to attend.</w:t>
      </w:r>
    </w:p>
    <w:p>
      <w:pPr>
        <w:pStyle w:val="Heading5"/>
        <w:keepLines w:val="0"/>
      </w:pPr>
      <w:bookmarkStart w:id="483" w:name="_Toc462409320"/>
      <w:r>
        <w:rPr>
          <w:rStyle w:val="CharSectno"/>
        </w:rPr>
        <w:t>4.55</w:t>
      </w:r>
      <w:r>
        <w:t>.</w:t>
      </w:r>
      <w:r>
        <w:tab/>
        <w:t>Same number of candidates as vacancies</w:t>
      </w:r>
      <w:bookmarkEnd w:id="483"/>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pPr>
      <w:bookmarkStart w:id="484" w:name="_Toc462409321"/>
      <w:r>
        <w:rPr>
          <w:rStyle w:val="CharSectno"/>
        </w:rPr>
        <w:t>4.56</w:t>
      </w:r>
      <w:r>
        <w:t>.</w:t>
      </w:r>
      <w:r>
        <w:tab/>
        <w:t>More candidates than vacancies</w:t>
      </w:r>
      <w:bookmarkEnd w:id="484"/>
    </w:p>
    <w:p>
      <w:pPr>
        <w:pStyle w:val="Subsection"/>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485" w:name="_Toc462409322"/>
      <w:r>
        <w:rPr>
          <w:rStyle w:val="CharSectno"/>
        </w:rPr>
        <w:t>4.57</w:t>
      </w:r>
      <w:r>
        <w:t>.</w:t>
      </w:r>
      <w:r>
        <w:tab/>
        <w:t>Less candidates than vacancies</w:t>
      </w:r>
      <w:bookmarkEnd w:id="485"/>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(4)</w:t>
      </w:r>
      <w:r>
        <w:tab/>
        <w:t>A person appointed under subsection (3) is to be regarded as having been elected.</w:t>
      </w:r>
    </w:p>
    <w:p>
      <w:pPr>
        <w:pStyle w:val="Heading5"/>
      </w:pPr>
      <w:bookmarkStart w:id="486" w:name="_Toc462409323"/>
      <w:r>
        <w:rPr>
          <w:rStyle w:val="CharSectno"/>
        </w:rPr>
        <w:t>4.58</w:t>
      </w:r>
      <w:r>
        <w:t>.</w:t>
      </w:r>
      <w:r>
        <w:tab/>
        <w:t>Candidates, death of after close of nominations</w:t>
      </w:r>
      <w:bookmarkEnd w:id="486"/>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pPr>
        <w:pStyle w:val="Heading5"/>
      </w:pPr>
      <w:bookmarkStart w:id="487" w:name="_Toc462409324"/>
      <w:r>
        <w:rPr>
          <w:rStyle w:val="CharSectno"/>
        </w:rPr>
        <w:t>4.59</w:t>
      </w:r>
      <w:r>
        <w:t>.</w:t>
      </w:r>
      <w:r>
        <w:tab/>
        <w:t>Candidates, regulations about</w:t>
      </w:r>
      <w:bookmarkEnd w:id="487"/>
    </w:p>
    <w:p>
      <w:pPr>
        <w:pStyle w:val="Subsection"/>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 and</w:t>
      </w:r>
    </w:p>
    <w:p>
      <w:pPr>
        <w:pStyle w:val="Indenta"/>
      </w:pPr>
      <w:r>
        <w:tab/>
        <w:t>(c)</w:t>
      </w:r>
      <w:r>
        <w:tab/>
        <w:t>the provision of information as to expenditure incurred in relation to an election by or for the benefit of candidates.</w:t>
      </w:r>
    </w:p>
    <w:p>
      <w:pPr>
        <w:pStyle w:val="Footnotesection"/>
      </w:pPr>
      <w:r>
        <w:tab/>
        <w:t>[Section 4.59 amended by No. 17 of 2009 s. 19.]</w:t>
      </w:r>
    </w:p>
    <w:p>
      <w:pPr>
        <w:pStyle w:val="Heading4"/>
        <w:rPr>
          <w:i/>
        </w:rPr>
      </w:pPr>
      <w:bookmarkStart w:id="488" w:name="_Toc448219040"/>
      <w:bookmarkStart w:id="489" w:name="_Toc448224262"/>
      <w:bookmarkStart w:id="490" w:name="_Toc451179499"/>
      <w:bookmarkStart w:id="491" w:name="_Toc451430419"/>
      <w:bookmarkStart w:id="492" w:name="_Toc455396369"/>
      <w:bookmarkStart w:id="493" w:name="_Toc455397229"/>
      <w:bookmarkStart w:id="494" w:name="_Toc456086312"/>
      <w:bookmarkStart w:id="495" w:name="_Toc462409325"/>
      <w:r>
        <w:t>Subdivision 5 — Stage 4: Preparing for voting</w:t>
      </w:r>
      <w:bookmarkEnd w:id="488"/>
      <w:bookmarkEnd w:id="489"/>
      <w:bookmarkEnd w:id="490"/>
      <w:bookmarkEnd w:id="491"/>
      <w:bookmarkEnd w:id="492"/>
      <w:bookmarkEnd w:id="493"/>
      <w:bookmarkEnd w:id="494"/>
      <w:bookmarkEnd w:id="495"/>
    </w:p>
    <w:p>
      <w:pPr>
        <w:pStyle w:val="Footnoteheading"/>
        <w:rPr>
          <w:i w:val="0"/>
        </w:rPr>
      </w:pPr>
      <w:r>
        <w:tab/>
        <w:t>[Heading inserted by No. 19 of 2010 s. 44(2).]</w:t>
      </w:r>
    </w:p>
    <w:p>
      <w:pPr>
        <w:pStyle w:val="Heading5"/>
      </w:pPr>
      <w:bookmarkStart w:id="496" w:name="_Toc462409326"/>
      <w:r>
        <w:rPr>
          <w:rStyle w:val="CharSectno"/>
        </w:rPr>
        <w:t>4.60</w:t>
      </w:r>
      <w:r>
        <w:t>.</w:t>
      </w:r>
      <w:r>
        <w:tab/>
        <w:t>Voting by electors</w:t>
      </w:r>
      <w:bookmarkEnd w:id="496"/>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497" w:name="_Toc462409327"/>
      <w:r>
        <w:rPr>
          <w:rStyle w:val="CharSectno"/>
        </w:rPr>
        <w:t>4.61</w:t>
      </w:r>
      <w:r>
        <w:t>.</w:t>
      </w:r>
      <w:r>
        <w:tab/>
        <w:t>Choice of methods of conducting election</w:t>
      </w:r>
      <w:bookmarkEnd w:id="497"/>
    </w:p>
    <w:p>
      <w:pPr>
        <w:pStyle w:val="Subsection"/>
        <w:keepNext/>
      </w:pPr>
      <w:r>
        <w:tab/>
        <w:t>(1)</w:t>
      </w:r>
      <w:r>
        <w:tab/>
        <w:t>The election can be conducted as a — </w:t>
      </w:r>
    </w:p>
    <w:p>
      <w:pPr>
        <w:pStyle w:val="Defstart"/>
      </w:pPr>
      <w:r>
        <w:rPr>
          <w:b/>
        </w:rPr>
        <w:tab/>
      </w:r>
      <w:r>
        <w:rPr>
          <w:rStyle w:val="CharDefText"/>
        </w:rPr>
        <w:t>postal election</w:t>
      </w:r>
      <w:r>
        <w:t xml:space="preserve"> which is an election at which the method of casting votes is by posting or delivering them to an electoral officer on or before election day; or</w:t>
      </w:r>
    </w:p>
    <w:p>
      <w:pPr>
        <w:pStyle w:val="Defstart"/>
      </w:pPr>
      <w:r>
        <w:rPr>
          <w:b/>
        </w:rPr>
        <w:tab/>
      </w:r>
      <w:r>
        <w:rPr>
          <w:rStyle w:val="CharDefText"/>
        </w:rPr>
        <w:t>voting in person election</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pPr>
      <w:r>
        <w:tab/>
        <w:t>(2)</w:t>
      </w:r>
      <w:r>
        <w:tab/>
        <w:t>The local government may decide* to conduct the election as a postal election.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(3)</w:t>
      </w:r>
      <w:r>
        <w:tab/>
        <w:t>A decision under subsection (2) has no effect if it is made after the 80</w:t>
      </w:r>
      <w:r>
        <w:rPr>
          <w:vertAlign w:val="superscript"/>
        </w:rPr>
        <w:t>th</w:t>
      </w:r>
      <w:r>
        <w:t xml:space="preserve">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w:t>
      </w:r>
      <w:r>
        <w:rPr>
          <w:vertAlign w:val="superscript"/>
        </w:rPr>
        <w:t>th</w:t>
      </w:r>
      <w:r>
        <w:t xml:space="preserve"> day before election day cannot be rescinded after that 80</w:t>
      </w:r>
      <w:r>
        <w:rPr>
          <w:vertAlign w:val="superscript"/>
        </w:rPr>
        <w:t>th</w:t>
      </w:r>
      <w:r>
        <w:t xml:space="preserve">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pPr>
      <w:r>
        <w:tab/>
        <w:t>(7)</w:t>
      </w:r>
      <w:r>
        <w:tab/>
        <w:t>Unless a resolution under subsection (2) has effect, the election is to be conducted as a voting in person election.</w:t>
      </w:r>
    </w:p>
    <w:p>
      <w:pPr>
        <w:pStyle w:val="Footnotesection"/>
      </w:pPr>
      <w:r>
        <w:tab/>
        <w:t>[Section 4.61 amended by No. 64 of 1998 s. 25; No. 49 of 2004 s. 16(4) and 32(5).]</w:t>
      </w:r>
    </w:p>
    <w:p>
      <w:pPr>
        <w:pStyle w:val="Heading5"/>
      </w:pPr>
      <w:bookmarkStart w:id="498" w:name="_Toc462409328"/>
      <w:r>
        <w:rPr>
          <w:rStyle w:val="CharSectno"/>
        </w:rPr>
        <w:t>4.62</w:t>
      </w:r>
      <w:r>
        <w:t>.</w:t>
      </w:r>
      <w:r>
        <w:tab/>
        <w:t>Polling places required</w:t>
      </w:r>
      <w:bookmarkEnd w:id="498"/>
    </w:p>
    <w:p>
      <w:pPr>
        <w:pStyle w:val="Subsection"/>
        <w:spacing w:before="120"/>
      </w:pPr>
      <w:r>
        <w:tab/>
        <w:t>(1)</w:t>
      </w:r>
      <w:r>
        <w:tab/>
        <w:t>For every election in a district or a ward the returning officer is to ensure that there will be at least one polling place in the district that is open between 8 a.m. and 6 p.m. on election day.</w:t>
      </w:r>
    </w:p>
    <w:p>
      <w:pPr>
        <w:pStyle w:val="Subsection"/>
        <w:spacing w:before="120"/>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spacing w:before="120"/>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499" w:name="_Toc462409329"/>
      <w:r>
        <w:rPr>
          <w:rStyle w:val="CharSectno"/>
        </w:rPr>
        <w:t>4.63</w:t>
      </w:r>
      <w:r>
        <w:t>.</w:t>
      </w:r>
      <w:r>
        <w:tab/>
        <w:t>Presiding and other officers, appointment of</w:t>
      </w:r>
      <w:bookmarkEnd w:id="499"/>
    </w:p>
    <w:p>
      <w:pPr>
        <w:pStyle w:val="Subsection"/>
        <w:spacing w:before="120"/>
      </w:pPr>
      <w:r>
        <w:tab/>
        <w:t>(1)</w:t>
      </w:r>
      <w:r>
        <w:tab/>
        <w:t>The electoral officers appointed by the returning officer are to include a presiding officer and one or more other electoral officers for each polling place.</w:t>
      </w:r>
    </w:p>
    <w:p>
      <w:pPr>
        <w:pStyle w:val="Subsection"/>
        <w:spacing w:before="120"/>
      </w:pPr>
      <w:r>
        <w:tab/>
        <w:t>(2)</w:t>
      </w:r>
      <w:r>
        <w:tab/>
        <w:t>The returning officer may appoint himself or herself to be the presiding officer for a polling place.</w:t>
      </w:r>
    </w:p>
    <w:p>
      <w:pPr>
        <w:pStyle w:val="Heading5"/>
      </w:pPr>
      <w:bookmarkStart w:id="500" w:name="_Toc462409330"/>
      <w:r>
        <w:rPr>
          <w:rStyle w:val="CharSectno"/>
        </w:rPr>
        <w:t>4.64</w:t>
      </w:r>
      <w:r>
        <w:t>.</w:t>
      </w:r>
      <w:r>
        <w:tab/>
        <w:t>Public notice about election</w:t>
      </w:r>
      <w:bookmarkEnd w:id="500"/>
    </w:p>
    <w:p>
      <w:pPr>
        <w:pStyle w:val="Subsection"/>
        <w:spacing w:before="120"/>
      </w:pPr>
      <w:r>
        <w:tab/>
        <w:t>(1)</w:t>
      </w:r>
      <w:r>
        <w:tab/>
        <w:t>As soon as practicable after preparations for the election have been completed (but not later than on the 19</w:t>
      </w:r>
      <w:r>
        <w:rPr>
          <w:vertAlign w:val="superscript"/>
        </w:rPr>
        <w:t>th</w:t>
      </w:r>
      <w:r>
        <w:t xml:space="preserve"> day before election day) the returning officer is to give Statewide public notice about the election in accordance with regulations including details of how, when and where the election will be conducted and who the candidates are.</w:t>
      </w:r>
    </w:p>
    <w:p>
      <w:pPr>
        <w:pStyle w:val="Subsection"/>
        <w:spacing w:before="120"/>
      </w:pPr>
      <w:r>
        <w:tab/>
        <w:t>(2)</w:t>
      </w:r>
      <w:r>
        <w:tab/>
        <w:t xml:space="preserve">The Statewide public notice is called the </w:t>
      </w:r>
      <w:r>
        <w:rPr>
          <w:rStyle w:val="CharDefText"/>
        </w:rPr>
        <w:t>election notice</w:t>
      </w:r>
      <w:r>
        <w:t>.</w:t>
      </w:r>
    </w:p>
    <w:p>
      <w:pPr>
        <w:pStyle w:val="Heading4"/>
        <w:rPr>
          <w:i/>
        </w:rPr>
      </w:pPr>
      <w:bookmarkStart w:id="501" w:name="_Toc448219046"/>
      <w:bookmarkStart w:id="502" w:name="_Toc448224268"/>
      <w:bookmarkStart w:id="503" w:name="_Toc451179505"/>
      <w:bookmarkStart w:id="504" w:name="_Toc451430425"/>
      <w:bookmarkStart w:id="505" w:name="_Toc455396375"/>
      <w:bookmarkStart w:id="506" w:name="_Toc455397235"/>
      <w:bookmarkStart w:id="507" w:name="_Toc456086318"/>
      <w:bookmarkStart w:id="508" w:name="_Toc462409331"/>
      <w:r>
        <w:t>Subdivision 6 — Stage 5: Voting</w:t>
      </w:r>
      <w:bookmarkEnd w:id="501"/>
      <w:bookmarkEnd w:id="502"/>
      <w:bookmarkEnd w:id="503"/>
      <w:bookmarkEnd w:id="504"/>
      <w:bookmarkEnd w:id="505"/>
      <w:bookmarkEnd w:id="506"/>
      <w:bookmarkEnd w:id="507"/>
      <w:bookmarkEnd w:id="508"/>
    </w:p>
    <w:p>
      <w:pPr>
        <w:pStyle w:val="Footnoteheading"/>
        <w:rPr>
          <w:i w:val="0"/>
        </w:rPr>
      </w:pPr>
      <w:r>
        <w:tab/>
        <w:t>[Heading inserted by No. 19 of 2010 s. 44(2).]</w:t>
      </w:r>
    </w:p>
    <w:p>
      <w:pPr>
        <w:pStyle w:val="Heading5"/>
        <w:spacing w:before="180"/>
      </w:pPr>
      <w:bookmarkStart w:id="509" w:name="_Toc462409332"/>
      <w:r>
        <w:rPr>
          <w:rStyle w:val="CharSectno"/>
        </w:rPr>
        <w:t>4.65</w:t>
      </w:r>
      <w:r>
        <w:t>.</w:t>
      </w:r>
      <w:r>
        <w:tab/>
        <w:t>Right to vote</w:t>
      </w:r>
      <w:bookmarkEnd w:id="509"/>
    </w:p>
    <w:p>
      <w:pPr>
        <w:pStyle w:val="Subsection"/>
        <w:keepNext/>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pPr>
      <w:r>
        <w:tab/>
        <w:t>(2)</w:t>
      </w:r>
      <w:r>
        <w:tab/>
        <w:t>If an elector’s name has changed, the reference in subsection (1) to the elector’s name includes a reference to the former name.</w:t>
      </w:r>
    </w:p>
    <w:p>
      <w:pPr>
        <w:pStyle w:val="Subsection"/>
      </w:pPr>
      <w:r>
        <w:tab/>
        <w:t>(3)</w:t>
      </w:r>
      <w:r>
        <w:tab/>
        <w:t>A person who is not an elector, or who is under 18 years of age on election day, cannot vote at the election even if the person’s name is on the electoral roll used for the election.</w:t>
      </w:r>
    </w:p>
    <w:p>
      <w:pPr>
        <w:pStyle w:val="Footnotesection"/>
      </w:pPr>
      <w:r>
        <w:tab/>
        <w:t>[Section 4.65 amended by No. 66 of 2006 s. 11.]</w:t>
      </w:r>
    </w:p>
    <w:p>
      <w:pPr>
        <w:pStyle w:val="Heading5"/>
        <w:keepNext w:val="0"/>
        <w:keepLines w:val="0"/>
        <w:spacing w:before="180"/>
      </w:pPr>
      <w:bookmarkStart w:id="510" w:name="_Toc462409333"/>
      <w:r>
        <w:rPr>
          <w:rStyle w:val="CharSectno"/>
        </w:rPr>
        <w:t>4.66</w:t>
      </w:r>
      <w:r>
        <w:t>.</w:t>
      </w:r>
      <w:r>
        <w:tab/>
        <w:t>One vote for each elector</w:t>
      </w:r>
      <w:bookmarkEnd w:id="510"/>
    </w:p>
    <w:p>
      <w:pPr>
        <w:pStyle w:val="Subsection"/>
      </w:pPr>
      <w:r>
        <w:tab/>
      </w:r>
      <w:r>
        <w:tab/>
        <w:t>An elector is not to vote more than once at the election.</w:t>
      </w:r>
    </w:p>
    <w:p>
      <w:pPr>
        <w:pStyle w:val="Heading5"/>
        <w:spacing w:before="180"/>
      </w:pPr>
      <w:bookmarkStart w:id="511" w:name="_Toc462409334"/>
      <w:r>
        <w:rPr>
          <w:rStyle w:val="CharSectno"/>
        </w:rPr>
        <w:t>4.67</w:t>
      </w:r>
      <w:r>
        <w:t>.</w:t>
      </w:r>
      <w:r>
        <w:tab/>
        <w:t>Where to vote in person</w:t>
      </w:r>
      <w:bookmarkEnd w:id="511"/>
    </w:p>
    <w:p>
      <w:pPr>
        <w:pStyle w:val="Subsection"/>
        <w:keepNext/>
      </w:pPr>
      <w:r>
        <w:tab/>
      </w:r>
      <w:r>
        <w:tab/>
        <w:t>In a voting in person election — </w:t>
      </w:r>
    </w:p>
    <w:p>
      <w:pPr>
        <w:pStyle w:val="Indenta"/>
      </w:pPr>
      <w:r>
        <w:tab/>
        <w:t>(a)</w:t>
      </w:r>
      <w:r>
        <w:tab/>
        <w:t>a vote (</w:t>
      </w:r>
      <w:r>
        <w:rPr>
          <w:rStyle w:val="CharDefText"/>
        </w:rPr>
        <w:t>absent vote</w:t>
      </w:r>
      <w:r>
        <w:t>) may be cast before election day at the offices of another local government in such circumstances as are set out in regulations;</w:t>
      </w:r>
    </w:p>
    <w:p>
      <w:pPr>
        <w:pStyle w:val="Indenta"/>
      </w:pPr>
      <w:r>
        <w:tab/>
        <w:t>(b)</w:t>
      </w:r>
      <w:r>
        <w:tab/>
        <w:t>a vote (</w:t>
      </w:r>
      <w:r>
        <w:rPr>
          <w:rStyle w:val="CharDefText"/>
        </w:rPr>
        <w:t>early vote</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512" w:name="_Toc462409335"/>
      <w:r>
        <w:rPr>
          <w:rStyle w:val="CharSectno"/>
        </w:rPr>
        <w:t>4.68</w:t>
      </w:r>
      <w:r>
        <w:t>.</w:t>
      </w:r>
      <w:r>
        <w:tab/>
        <w:t>When to vote</w:t>
      </w:r>
      <w:bookmarkEnd w:id="512"/>
    </w:p>
    <w:p>
      <w:pPr>
        <w:pStyle w:val="Subsection"/>
        <w:keepNext/>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w:t>
      </w:r>
      <w:r>
        <w:rPr>
          <w:vertAlign w:val="superscript"/>
        </w:rPr>
        <w:t>th</w:t>
      </w:r>
      <w:r>
        <w:t xml:space="preserve">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513" w:name="_Toc462409336"/>
      <w:r>
        <w:rPr>
          <w:rStyle w:val="CharSectno"/>
        </w:rPr>
        <w:t>4.69</w:t>
      </w:r>
      <w:r>
        <w:t>.</w:t>
      </w:r>
      <w:r>
        <w:tab/>
        <w:t>How to vote</w:t>
      </w:r>
      <w:bookmarkEnd w:id="513"/>
    </w:p>
    <w:p>
      <w:pPr>
        <w:pStyle w:val="Subsection"/>
      </w:pPr>
      <w:r>
        <w:tab/>
        <w:t>(1)</w:t>
      </w:r>
      <w:r>
        <w:tab/>
        <w:t>If only one office is to be filled at the election, an elector is to cast his or her vote by marking the ballot paper in accordance with regulations so as to indicate the candidate named on the ballot paper whom the elector wishes to be elected.</w:t>
      </w:r>
    </w:p>
    <w:p>
      <w:pPr>
        <w:pStyle w:val="Subsection"/>
      </w:pPr>
      <w:r>
        <w:tab/>
        <w:t>(2)</w:t>
      </w:r>
      <w:r>
        <w:tab/>
        <w:t>If 2 or more offices are to be filled at the election, an elector is to cast his or her vote by marking the ballot paper in accordance with regulations so as to indicate the candidate or candidates named on the ballot paper whom the elector wishes to be elected but is not to mark votes for more candidates than the number of offices to be filled.</w:t>
      </w:r>
    </w:p>
    <w:p>
      <w:pPr>
        <w:pStyle w:val="Footnotesection"/>
      </w:pPr>
      <w:r>
        <w:tab/>
        <w:t>[Section 4.69 amended by No. 9 of 2007 s. 4; No. 15 of 2009 s. 4.]</w:t>
      </w:r>
    </w:p>
    <w:p>
      <w:pPr>
        <w:pStyle w:val="Heading5"/>
      </w:pPr>
      <w:bookmarkStart w:id="514" w:name="_Toc462409337"/>
      <w:r>
        <w:rPr>
          <w:rStyle w:val="CharSectno"/>
        </w:rPr>
        <w:t>4.70</w:t>
      </w:r>
      <w:r>
        <w:t>.</w:t>
      </w:r>
      <w:r>
        <w:tab/>
        <w:t>Presiding officer to maintain order at polling place</w:t>
      </w:r>
      <w:bookmarkEnd w:id="514"/>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515" w:name="_Toc462409338"/>
      <w:r>
        <w:rPr>
          <w:rStyle w:val="CharSectno"/>
        </w:rPr>
        <w:t>4.71</w:t>
      </w:r>
      <w:r>
        <w:t>.</w:t>
      </w:r>
      <w:r>
        <w:tab/>
        <w:t>Regulations about voting procedure</w:t>
      </w:r>
      <w:bookmarkEnd w:id="515"/>
    </w:p>
    <w:p>
      <w:pPr>
        <w:pStyle w:val="Subsection"/>
        <w:keepNext/>
        <w:keepLines/>
      </w:pPr>
      <w:r>
        <w:tab/>
        <w:t>(1)</w:t>
      </w:r>
      <w:r>
        <w:tab/>
        <w:t>Regulations are to include provisions about — </w:t>
      </w:r>
    </w:p>
    <w:p>
      <w:pPr>
        <w:pStyle w:val="Indenta"/>
      </w:pPr>
      <w:r>
        <w:tab/>
        <w:t>(a)</w:t>
      </w:r>
      <w:r>
        <w:tab/>
        <w:t>the form, content and printing of voting papers; and</w:t>
      </w:r>
    </w:p>
    <w:p>
      <w:pPr>
        <w:pStyle w:val="Indenta"/>
      </w:pPr>
      <w:r>
        <w:tab/>
        <w:t>(b)</w:t>
      </w:r>
      <w:r>
        <w:tab/>
        <w:t>measures to ensure that, so far as practicable, all electors who can vote are issued with voting papers for postal votes for a postal election; and</w:t>
      </w:r>
    </w:p>
    <w:p>
      <w:pPr>
        <w:pStyle w:val="Indenta"/>
      </w:pPr>
      <w:r>
        <w:tab/>
        <w:t>(c)</w:t>
      </w:r>
      <w:r>
        <w:tab/>
        <w:t>applying for and issuing postal votes for a voting in person election (and may provide for applications to have effect for successive elections); and</w:t>
      </w:r>
    </w:p>
    <w:p>
      <w:pPr>
        <w:pStyle w:val="Indenta"/>
      </w:pPr>
      <w:r>
        <w:tab/>
        <w:t>(d)</w:t>
      </w:r>
      <w:r>
        <w:tab/>
        <w:t>completing, transmitting and dealing with voting papers for postal votes; and</w:t>
      </w:r>
    </w:p>
    <w:p>
      <w:pPr>
        <w:pStyle w:val="Indenta"/>
      </w:pPr>
      <w:r>
        <w:tab/>
        <w:t>(e)</w:t>
      </w:r>
      <w:r>
        <w:tab/>
        <w:t>applying for, issuing, completing, and dealing with voting papers for absent votes and early votes; and</w:t>
      </w:r>
    </w:p>
    <w:p>
      <w:pPr>
        <w:pStyle w:val="Indenta"/>
      </w:pPr>
      <w:r>
        <w:tab/>
        <w:t>(f)</w:t>
      </w:r>
      <w:r>
        <w:tab/>
        <w:t>issuing, completing and dealing with ballot papers for votes cast in person on election day; and</w:t>
      </w:r>
    </w:p>
    <w:p>
      <w:pPr>
        <w:pStyle w:val="Indenta"/>
      </w:pPr>
      <w:r>
        <w:tab/>
        <w:t>(g)</w:t>
      </w:r>
      <w:r>
        <w:tab/>
        <w:t>measures to be taken to ensure that ballot papers are marked in secret; and</w:t>
      </w:r>
    </w:p>
    <w:p>
      <w:pPr>
        <w:pStyle w:val="Indenta"/>
      </w:pPr>
      <w:r>
        <w:tab/>
        <w:t>(h)</w:t>
      </w:r>
      <w:r>
        <w:tab/>
        <w:t>the design, preparation, use, supervision and security of ballot boxes for the receipt of ballot papers; and</w:t>
      </w:r>
    </w:p>
    <w:p>
      <w:pPr>
        <w:pStyle w:val="Indenta"/>
      </w:pPr>
      <w:r>
        <w:tab/>
        <w:t>(i)</w:t>
      </w:r>
      <w:r>
        <w:tab/>
        <w:t>the assistance that may be given to electors who are unable to vote without assistance; and</w:t>
      </w:r>
    </w:p>
    <w:p>
      <w:pPr>
        <w:pStyle w:val="Indenta"/>
      </w:pPr>
      <w:r>
        <w:tab/>
        <w:t>(j)</w:t>
      </w:r>
      <w:r>
        <w:tab/>
        <w:t>the appointment of scrutineers for candidates and the rights and obligations of scrutineers; and</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r>
      <w:r>
        <w:rPr>
          <w:rStyle w:val="CharDefText"/>
        </w:rPr>
        <w:t>voting papers</w:t>
      </w:r>
      <w:r>
        <w:t xml:space="preserve"> means ballot papers and any other forms, declarations, envelopes, candidates’ profiles or other papers associated with ballot papers.</w:t>
      </w:r>
    </w:p>
    <w:p>
      <w:pPr>
        <w:pStyle w:val="Heading4"/>
        <w:keepLines/>
        <w:rPr>
          <w:i/>
        </w:rPr>
      </w:pPr>
      <w:bookmarkStart w:id="516" w:name="_Toc448219054"/>
      <w:bookmarkStart w:id="517" w:name="_Toc448224276"/>
      <w:bookmarkStart w:id="518" w:name="_Toc451179513"/>
      <w:bookmarkStart w:id="519" w:name="_Toc451430433"/>
      <w:bookmarkStart w:id="520" w:name="_Toc455396383"/>
      <w:bookmarkStart w:id="521" w:name="_Toc455397243"/>
      <w:bookmarkStart w:id="522" w:name="_Toc456086326"/>
      <w:bookmarkStart w:id="523" w:name="_Toc462409339"/>
      <w:r>
        <w:t>Subdivision 7 — Stage 6: Counting the votes</w:t>
      </w:r>
      <w:bookmarkEnd w:id="516"/>
      <w:bookmarkEnd w:id="517"/>
      <w:bookmarkEnd w:id="518"/>
      <w:bookmarkEnd w:id="519"/>
      <w:bookmarkEnd w:id="520"/>
      <w:bookmarkEnd w:id="521"/>
      <w:bookmarkEnd w:id="522"/>
      <w:bookmarkEnd w:id="523"/>
    </w:p>
    <w:p>
      <w:pPr>
        <w:pStyle w:val="Footnoteheading"/>
        <w:keepNext/>
        <w:keepLines/>
        <w:rPr>
          <w:i w:val="0"/>
        </w:rPr>
      </w:pPr>
      <w:r>
        <w:tab/>
        <w:t>[Heading inserted by No. 19 of 2010 s. 44(2).]</w:t>
      </w:r>
    </w:p>
    <w:p>
      <w:pPr>
        <w:pStyle w:val="Heading5"/>
      </w:pPr>
      <w:bookmarkStart w:id="524" w:name="_Toc462409340"/>
      <w:r>
        <w:rPr>
          <w:rStyle w:val="CharSectno"/>
        </w:rPr>
        <w:t>4.72</w:t>
      </w:r>
      <w:r>
        <w:t>.</w:t>
      </w:r>
      <w:r>
        <w:tab/>
        <w:t>Outcome of election to be determined</w:t>
      </w:r>
      <w:bookmarkEnd w:id="524"/>
    </w:p>
    <w:p>
      <w:pPr>
        <w:pStyle w:val="Subsection"/>
      </w:pPr>
      <w:r>
        <w:tab/>
        <w:t>(1)</w:t>
      </w:r>
      <w:r>
        <w:tab/>
        <w:t>As soon as is practicable after voting has finished the returning officer is to arrange for the votes to be counted and ascertain the result of the election.</w:t>
      </w:r>
    </w:p>
    <w:p>
      <w:pPr>
        <w:pStyle w:val="Subsection"/>
      </w:pPr>
      <w:r>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Heading5"/>
      </w:pPr>
      <w:bookmarkStart w:id="525" w:name="_Toc462409341"/>
      <w:r>
        <w:rPr>
          <w:rStyle w:val="CharSectno"/>
        </w:rPr>
        <w:t>4.73</w:t>
      </w:r>
      <w:r>
        <w:t>.</w:t>
      </w:r>
      <w:r>
        <w:tab/>
        <w:t>Procedure when person is candidate in 2 elections</w:t>
      </w:r>
      <w:bookmarkEnd w:id="525"/>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keepNext/>
      </w:pPr>
      <w:r>
        <w:tab/>
        <w:t>(5)</w:t>
      </w:r>
      <w:r>
        <w:tab/>
        <w:t>When votes are counted under subsection (3)(b) or (4), any vote marked for the candidate who has been elected to fill the office of mayor or president is to be disregarded.</w:t>
      </w:r>
    </w:p>
    <w:p>
      <w:pPr>
        <w:pStyle w:val="Footnotesection"/>
      </w:pPr>
      <w:r>
        <w:tab/>
        <w:t>[Section 4.73 amended by No. 64 of 1998 s. 26.]</w:t>
      </w:r>
    </w:p>
    <w:p>
      <w:pPr>
        <w:pStyle w:val="Heading5"/>
        <w:spacing w:before="180"/>
      </w:pPr>
      <w:bookmarkStart w:id="526" w:name="_Toc462409342"/>
      <w:r>
        <w:rPr>
          <w:rStyle w:val="CharSectno"/>
        </w:rPr>
        <w:t>4.74</w:t>
      </w:r>
      <w:r>
        <w:t>.</w:t>
      </w:r>
      <w:r>
        <w:tab/>
        <w:t>How votes counted (Sch. 4.1)</w:t>
      </w:r>
      <w:bookmarkEnd w:id="526"/>
    </w:p>
    <w:p>
      <w:pPr>
        <w:pStyle w:val="Subsection"/>
      </w:pPr>
      <w:r>
        <w:tab/>
      </w:r>
      <w:r>
        <w:tab/>
        <w:t>The votes are to be counted, and the result of the election ascertained, in accordance with Schedule 4.1.</w:t>
      </w:r>
    </w:p>
    <w:p>
      <w:pPr>
        <w:pStyle w:val="Heading5"/>
        <w:spacing w:before="180"/>
      </w:pPr>
      <w:bookmarkStart w:id="527" w:name="_Toc462409343"/>
      <w:r>
        <w:rPr>
          <w:rStyle w:val="CharSectno"/>
        </w:rPr>
        <w:t>4.75</w:t>
      </w:r>
      <w:r>
        <w:t>.</w:t>
      </w:r>
      <w:r>
        <w:tab/>
        <w:t>Giving effect to elector’s wishes</w:t>
      </w:r>
      <w:bookmarkEnd w:id="527"/>
    </w:p>
    <w:p>
      <w:pPr>
        <w:pStyle w:val="Subsection"/>
      </w:pPr>
      <w:r>
        <w:tab/>
        <w:t>(1)</w:t>
      </w:r>
      <w:r>
        <w:tab/>
        <w:t>The returning officer may accept a ballot paper that, in his or her opinion, clearly indicates the elector’s wishes as required or authorised by section 4.69 even if the ballot paper is not marked precisely in accordance with regulations.</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Heading5"/>
      </w:pPr>
      <w:bookmarkStart w:id="528" w:name="_Toc462409344"/>
      <w:r>
        <w:rPr>
          <w:rStyle w:val="CharSectno"/>
        </w:rPr>
        <w:t>4.76</w:t>
      </w:r>
      <w:r>
        <w:t>.</w:t>
      </w:r>
      <w:r>
        <w:tab/>
        <w:t>Review of decisions on ballot papers</w:t>
      </w:r>
      <w:bookmarkEnd w:id="528"/>
    </w:p>
    <w:p>
      <w:pPr>
        <w:pStyle w:val="Subsection"/>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w:t>
      </w:r>
    </w:p>
    <w:p>
      <w:pPr>
        <w:pStyle w:val="Heading4"/>
        <w:rPr>
          <w:i/>
        </w:rPr>
      </w:pPr>
      <w:bookmarkStart w:id="529" w:name="_Toc448219060"/>
      <w:bookmarkStart w:id="530" w:name="_Toc448224282"/>
      <w:bookmarkStart w:id="531" w:name="_Toc451179519"/>
      <w:bookmarkStart w:id="532" w:name="_Toc451430439"/>
      <w:bookmarkStart w:id="533" w:name="_Toc455396389"/>
      <w:bookmarkStart w:id="534" w:name="_Toc455397249"/>
      <w:bookmarkStart w:id="535" w:name="_Toc456086332"/>
      <w:bookmarkStart w:id="536" w:name="_Toc462409345"/>
      <w:r>
        <w:t>Subdivision 8 — Stage 7: Declaring the result</w:t>
      </w:r>
      <w:bookmarkEnd w:id="529"/>
      <w:bookmarkEnd w:id="530"/>
      <w:bookmarkEnd w:id="531"/>
      <w:bookmarkEnd w:id="532"/>
      <w:bookmarkEnd w:id="533"/>
      <w:bookmarkEnd w:id="534"/>
      <w:bookmarkEnd w:id="535"/>
      <w:bookmarkEnd w:id="536"/>
    </w:p>
    <w:p>
      <w:pPr>
        <w:pStyle w:val="Footnoteheading"/>
        <w:rPr>
          <w:i w:val="0"/>
        </w:rPr>
      </w:pPr>
      <w:r>
        <w:tab/>
        <w:t>[Heading inserted by No. 19 of 2010 s. 44(2).]</w:t>
      </w:r>
    </w:p>
    <w:p>
      <w:pPr>
        <w:pStyle w:val="Heading5"/>
      </w:pPr>
      <w:bookmarkStart w:id="537" w:name="_Toc462409346"/>
      <w:r>
        <w:rPr>
          <w:rStyle w:val="CharSectno"/>
        </w:rPr>
        <w:t>4.77</w:t>
      </w:r>
      <w:r>
        <w:t>.</w:t>
      </w:r>
      <w:r>
        <w:tab/>
        <w:t>Returning officer to declare result</w:t>
      </w:r>
      <w:bookmarkEnd w:id="537"/>
    </w:p>
    <w:p>
      <w:pPr>
        <w:pStyle w:val="Subsection"/>
      </w:pPr>
      <w:r>
        <w:tab/>
      </w:r>
      <w:r>
        <w:tab/>
        <w:t>As soon as is practicable after the result of the election is known under section 4.55, 4.57 or 4.72, the returning officer is to declare and give notice of the result in accordance with regulations.</w:t>
      </w:r>
    </w:p>
    <w:p>
      <w:pPr>
        <w:pStyle w:val="Heading5"/>
      </w:pPr>
      <w:bookmarkStart w:id="538" w:name="_Toc462409347"/>
      <w:r>
        <w:rPr>
          <w:rStyle w:val="CharSectno"/>
        </w:rPr>
        <w:t>4.78</w:t>
      </w:r>
      <w:r>
        <w:t>.</w:t>
      </w:r>
      <w:r>
        <w:tab/>
        <w:t>Order of retirement of councillors</w:t>
      </w:r>
      <w:bookmarkEnd w:id="538"/>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539" w:name="_Toc462409348"/>
      <w:r>
        <w:rPr>
          <w:rStyle w:val="CharSectno"/>
        </w:rPr>
        <w:t>4.79</w:t>
      </w:r>
      <w:r>
        <w:t>.</w:t>
      </w:r>
      <w:r>
        <w:tab/>
        <w:t>Report to Minister</w:t>
      </w:r>
      <w:bookmarkEnd w:id="539"/>
    </w:p>
    <w:p>
      <w:pPr>
        <w:pStyle w:val="Subsection"/>
      </w:pPr>
      <w:r>
        <w:tab/>
        <w:t>(1)</w:t>
      </w:r>
      <w:r>
        <w:tab/>
        <w:t>A returning officer is to provide the Minister with a report as to the result of the election.</w:t>
      </w:r>
    </w:p>
    <w:p>
      <w:pPr>
        <w:pStyle w:val="Subsection"/>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540" w:name="_Toc448219064"/>
      <w:bookmarkStart w:id="541" w:name="_Toc448224286"/>
      <w:bookmarkStart w:id="542" w:name="_Toc451179523"/>
      <w:bookmarkStart w:id="543" w:name="_Toc451430443"/>
      <w:bookmarkStart w:id="544" w:name="_Toc455396393"/>
      <w:bookmarkStart w:id="545" w:name="_Toc455397253"/>
      <w:bookmarkStart w:id="546" w:name="_Toc456086336"/>
      <w:bookmarkStart w:id="547" w:name="_Toc462409349"/>
      <w:r>
        <w:rPr>
          <w:rStyle w:val="CharDivNo"/>
        </w:rPr>
        <w:t>Division 10</w:t>
      </w:r>
      <w:r>
        <w:t> — </w:t>
      </w:r>
      <w:r>
        <w:rPr>
          <w:rStyle w:val="CharDivText"/>
        </w:rPr>
        <w:t>Validity of elections</w:t>
      </w:r>
      <w:bookmarkEnd w:id="540"/>
      <w:bookmarkEnd w:id="541"/>
      <w:bookmarkEnd w:id="542"/>
      <w:bookmarkEnd w:id="543"/>
      <w:bookmarkEnd w:id="544"/>
      <w:bookmarkEnd w:id="545"/>
      <w:bookmarkEnd w:id="546"/>
      <w:bookmarkEnd w:id="547"/>
    </w:p>
    <w:p>
      <w:pPr>
        <w:pStyle w:val="Heading5"/>
      </w:pPr>
      <w:bookmarkStart w:id="548" w:name="_Toc462409350"/>
      <w:r>
        <w:rPr>
          <w:rStyle w:val="CharSectno"/>
        </w:rPr>
        <w:t>4.80</w:t>
      </w:r>
      <w:r>
        <w:t>.</w:t>
      </w:r>
      <w:r>
        <w:tab/>
        <w:t>Complaints about result of election</w:t>
      </w:r>
      <w:bookmarkEnd w:id="548"/>
    </w:p>
    <w:p>
      <w:pPr>
        <w:pStyle w:val="Subsection"/>
      </w:pPr>
      <w:r>
        <w:tab/>
        <w:t>(1)</w:t>
      </w:r>
      <w:r>
        <w:tab/>
        <w:t>A person who is dissatisfied with the result of an election or with the way in which an election was conducted may make an invalidity complaint.</w:t>
      </w:r>
    </w:p>
    <w:p>
      <w:pPr>
        <w:pStyle w:val="Subsection"/>
      </w:pPr>
      <w:r>
        <w:tab/>
        <w:t>(2)</w:t>
      </w:r>
      <w:r>
        <w:tab/>
        <w:t xml:space="preserve">An </w:t>
      </w:r>
      <w:r>
        <w:rPr>
          <w:rStyle w:val="CharDefText"/>
        </w:rPr>
        <w:t>invalidity complaint</w:t>
      </w:r>
      <w:r>
        <w:t xml:space="preserve"> is a complaint that an election is invalid, or that another person should be declared elected, or that the term of office of a councillor should be longer or shorter than the term determined by the returning officer.</w:t>
      </w:r>
    </w:p>
    <w:p>
      <w:pPr>
        <w:pStyle w:val="Heading5"/>
      </w:pPr>
      <w:bookmarkStart w:id="549" w:name="_Toc462409351"/>
      <w:r>
        <w:rPr>
          <w:rStyle w:val="CharSectno"/>
        </w:rPr>
        <w:t>4.81</w:t>
      </w:r>
      <w:r>
        <w:t>.</w:t>
      </w:r>
      <w:r>
        <w:tab/>
        <w:t>Complaints to go to Court of Disputed Returns</w:t>
      </w:r>
      <w:bookmarkEnd w:id="549"/>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pPr>
      <w:r>
        <w:tab/>
        <w:t>(3)</w:t>
      </w:r>
      <w:r>
        <w:tab/>
        <w:t>If the court declares the election to have been invalid — </w:t>
      </w:r>
    </w:p>
    <w:p>
      <w:pPr>
        <w:pStyle w:val="Indenta"/>
      </w:pPr>
      <w:r>
        <w:tab/>
        <w:t>(a)</w:t>
      </w:r>
      <w:r>
        <w:tab/>
        <w:t>the election is null and void; and</w:t>
      </w:r>
    </w:p>
    <w:p>
      <w:pPr>
        <w:pStyle w:val="Indenta"/>
      </w:pPr>
      <w:r>
        <w:tab/>
        <w:t>(b)</w:t>
      </w:r>
      <w:r>
        <w:tab/>
        <w:t>any office of member filled at the election is vacant; and</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rStyle w:val="CharDefText"/>
        </w:rPr>
        <w:t>candidate A</w:t>
      </w:r>
      <w:r>
        <w:t>) ought to have been elected in place of another person (</w:t>
      </w:r>
      <w:r>
        <w:rPr>
          <w:rStyle w:val="CharDefText"/>
        </w:rPr>
        <w:t>candidate B</w:t>
      </w:r>
      <w:r>
        <w:t>) — </w:t>
      </w:r>
    </w:p>
    <w:p>
      <w:pPr>
        <w:pStyle w:val="Indenta"/>
      </w:pPr>
      <w:r>
        <w:tab/>
        <w:t>(a)</w:t>
      </w:r>
      <w:r>
        <w:tab/>
        <w:t>candidate B is not to act as a member of the council; and</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Heading5"/>
      </w:pPr>
      <w:bookmarkStart w:id="550" w:name="_Toc462409352"/>
      <w:r>
        <w:rPr>
          <w:rStyle w:val="CharSectno"/>
        </w:rPr>
        <w:t>4.82</w:t>
      </w:r>
      <w:r>
        <w:t>.</w:t>
      </w:r>
      <w:r>
        <w:tab/>
        <w:t>No appeal</w:t>
      </w:r>
      <w:bookmarkEnd w:id="550"/>
    </w:p>
    <w:p>
      <w:pPr>
        <w:pStyle w:val="Subsection"/>
      </w:pPr>
      <w:r>
        <w:tab/>
      </w:r>
      <w:r>
        <w:tab/>
        <w:t>There is no appeal from a decision of a Court of Disputed Returns.</w:t>
      </w:r>
    </w:p>
    <w:p>
      <w:pPr>
        <w:pStyle w:val="Heading5"/>
      </w:pPr>
      <w:bookmarkStart w:id="551" w:name="_Toc462409353"/>
      <w:r>
        <w:rPr>
          <w:rStyle w:val="CharSectno"/>
        </w:rPr>
        <w:t>4.83</w:t>
      </w:r>
      <w:r>
        <w:t>.</w:t>
      </w:r>
      <w:r>
        <w:tab/>
        <w:t>Validity of election</w:t>
      </w:r>
      <w:bookmarkEnd w:id="551"/>
    </w:p>
    <w:p>
      <w:pPr>
        <w:pStyle w:val="Subsection"/>
        <w:rPr>
          <w:spacing w:val="-2"/>
        </w:rPr>
      </w:pPr>
      <w:r>
        <w:rPr>
          <w:spacing w:val="-2"/>
        </w:rPr>
        <w:tab/>
      </w:r>
      <w:r>
        <w:rPr>
          <w:spacing w:val="-2"/>
        </w:rPr>
        <w:tab/>
        <w:t>An election is not invalid because of — </w:t>
      </w:r>
    </w:p>
    <w:p>
      <w:pPr>
        <w:pStyle w:val="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pPr>
      <w:bookmarkStart w:id="552" w:name="_Toc462409354"/>
      <w:r>
        <w:rPr>
          <w:rStyle w:val="CharSectno"/>
        </w:rPr>
        <w:t>4.84</w:t>
      </w:r>
      <w:r>
        <w:t>.</w:t>
      </w:r>
      <w:r>
        <w:tab/>
        <w:t>Retention and availability of electoral papers, regulations about</w:t>
      </w:r>
      <w:bookmarkEnd w:id="552"/>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keepLines/>
      </w:pPr>
      <w:bookmarkStart w:id="553" w:name="_Toc448219070"/>
      <w:bookmarkStart w:id="554" w:name="_Toc448224292"/>
      <w:bookmarkStart w:id="555" w:name="_Toc451179529"/>
      <w:bookmarkStart w:id="556" w:name="_Toc451430449"/>
      <w:bookmarkStart w:id="557" w:name="_Toc455396399"/>
      <w:bookmarkStart w:id="558" w:name="_Toc455397259"/>
      <w:bookmarkStart w:id="559" w:name="_Toc456086342"/>
      <w:bookmarkStart w:id="560" w:name="_Toc462409355"/>
      <w:r>
        <w:rPr>
          <w:rStyle w:val="CharDivNo"/>
        </w:rPr>
        <w:t>Division 11</w:t>
      </w:r>
      <w:r>
        <w:t> — </w:t>
      </w:r>
      <w:r>
        <w:rPr>
          <w:rStyle w:val="CharDivText"/>
        </w:rPr>
        <w:t>Electoral offences</w:t>
      </w:r>
      <w:bookmarkEnd w:id="553"/>
      <w:bookmarkEnd w:id="554"/>
      <w:bookmarkEnd w:id="555"/>
      <w:bookmarkEnd w:id="556"/>
      <w:bookmarkEnd w:id="557"/>
      <w:bookmarkEnd w:id="558"/>
      <w:bookmarkEnd w:id="559"/>
      <w:bookmarkEnd w:id="560"/>
    </w:p>
    <w:p>
      <w:pPr>
        <w:pStyle w:val="Heading5"/>
        <w:spacing w:before="180"/>
      </w:pPr>
      <w:bookmarkStart w:id="561" w:name="_Toc462409356"/>
      <w:r>
        <w:rPr>
          <w:rStyle w:val="CharSectno"/>
        </w:rPr>
        <w:t>4.85</w:t>
      </w:r>
      <w:r>
        <w:t>.</w:t>
      </w:r>
      <w:r>
        <w:tab/>
        <w:t>Bribery and undue influence, offence</w:t>
      </w:r>
      <w:bookmarkEnd w:id="561"/>
    </w:p>
    <w:p>
      <w:pPr>
        <w:pStyle w:val="Subsection"/>
        <w:keepNext/>
        <w:keepLines/>
      </w:pPr>
      <w:r>
        <w:tab/>
        <w:t>(1)</w:t>
      </w:r>
      <w:r>
        <w:tab/>
        <w:t>A person who —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rPr>
          <w:spacing w:val="-2"/>
        </w:rPr>
      </w:pPr>
      <w:r>
        <w:tab/>
      </w:r>
      <w:r>
        <w:tab/>
        <w:t>commits</w:t>
      </w:r>
      <w:r>
        <w:rPr>
          <w:spacing w:val="-2"/>
        </w:rPr>
        <w:t xml:space="preserve"> an offence.</w:t>
      </w:r>
    </w:p>
    <w:p>
      <w:pPr>
        <w:pStyle w:val="Penstart"/>
      </w:pPr>
      <w:r>
        <w:tab/>
        <w:t>Penalty: $10 000 or imprisonment for 2 years.</w:t>
      </w:r>
    </w:p>
    <w:p>
      <w:pPr>
        <w:pStyle w:val="Subsection"/>
        <w:keepNext/>
      </w:pPr>
      <w:r>
        <w:tab/>
        <w:t>(2)</w:t>
      </w:r>
      <w:r>
        <w:tab/>
        <w:t>A person who — </w:t>
      </w:r>
    </w:p>
    <w:p>
      <w:pPr>
        <w:pStyle w:val="Indenta"/>
      </w:pPr>
      <w:r>
        <w:tab/>
        <w:t>(a)</w:t>
      </w:r>
      <w:r>
        <w:tab/>
        <w:t>threatens, offers or suggests detriment for, or on account of, or to induce, electoral conduct or a promise of electoral conduct; or</w:t>
      </w:r>
    </w:p>
    <w:p>
      <w:pPr>
        <w:pStyle w:val="Indenta"/>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commits an offence.</w:t>
      </w:r>
    </w:p>
    <w:p>
      <w:pPr>
        <w:pStyle w:val="Penstart"/>
      </w:pPr>
      <w:r>
        <w:tab/>
        <w:t>Penalty: $10 000 or imprisonment for 2 years.</w:t>
      </w:r>
    </w:p>
    <w:p>
      <w:pPr>
        <w:pStyle w:val="Subsection"/>
      </w:pPr>
      <w:r>
        <w:tab/>
        <w:t>(3)</w:t>
      </w:r>
      <w:r>
        <w:tab/>
        <w:t>The making of a declaration of public policy or a promise of public action does not give rise to an offence against this section.</w:t>
      </w:r>
    </w:p>
    <w:p>
      <w:pPr>
        <w:pStyle w:val="Subsection"/>
      </w:pPr>
      <w:r>
        <w:tab/>
        <w:t>(4)</w:t>
      </w:r>
      <w:r>
        <w:tab/>
        <w:t>In this section — </w:t>
      </w:r>
    </w:p>
    <w:p>
      <w:pPr>
        <w:pStyle w:val="Defstart"/>
      </w:pPr>
      <w:r>
        <w:rPr>
          <w:b/>
        </w:rPr>
        <w:tab/>
      </w:r>
      <w:r>
        <w:rPr>
          <w:rStyle w:val="CharDefText"/>
        </w:rPr>
        <w:t>detriment</w:t>
      </w:r>
      <w:r>
        <w:t xml:space="preserve"> means violence, injury, punishment, damage, loss or disadvantage;</w:t>
      </w:r>
    </w:p>
    <w:p>
      <w:pPr>
        <w:pStyle w:val="Defstart"/>
      </w:pPr>
      <w:r>
        <w:rPr>
          <w:b/>
        </w:rPr>
        <w:tab/>
      </w:r>
      <w:r>
        <w:rPr>
          <w:rStyle w:val="CharDefText"/>
        </w:rPr>
        <w:t>electoral conduct</w:t>
      </w:r>
      <w:r>
        <w:rPr>
          <w:b/>
        </w:rPr>
        <w:t xml:space="preserve"> </w:t>
      </w:r>
      <w:r>
        <w:t>means — </w:t>
      </w:r>
    </w:p>
    <w:p>
      <w:pPr>
        <w:pStyle w:val="Defpara"/>
      </w:pPr>
      <w:r>
        <w:tab/>
        <w:t>(a)</w:t>
      </w:r>
      <w:r>
        <w:tab/>
        <w:t>candidature at an election; or</w:t>
      </w:r>
    </w:p>
    <w:p>
      <w:pPr>
        <w:pStyle w:val="Defpara"/>
      </w:pPr>
      <w:r>
        <w:tab/>
        <w:t>(b)</w:t>
      </w:r>
      <w:r>
        <w:tab/>
        <w:t>withdrawal of candidature from an election; or</w:t>
      </w:r>
    </w:p>
    <w:p>
      <w:pPr>
        <w:pStyle w:val="Defpara"/>
      </w:pPr>
      <w:r>
        <w:tab/>
        <w:t>(c)</w:t>
      </w:r>
      <w:r>
        <w:tab/>
        <w:t>a vote, or an omission to vote, at an election; or</w:t>
      </w:r>
    </w:p>
    <w:p>
      <w:pPr>
        <w:pStyle w:val="Defpara"/>
      </w:pPr>
      <w:r>
        <w:tab/>
        <w:t>(d)</w:t>
      </w:r>
      <w:r>
        <w:tab/>
        <w:t>support of, or opposition to, a candidate for election;</w:t>
      </w:r>
    </w:p>
    <w:p>
      <w:pPr>
        <w:pStyle w:val="Defstart"/>
      </w:pPr>
      <w:r>
        <w:tab/>
      </w:r>
      <w:r>
        <w:rPr>
          <w:rStyle w:val="CharDefText"/>
        </w:rPr>
        <w:t>reward</w:t>
      </w:r>
      <w:r>
        <w:t xml:space="preserve"> means a reward in the form of valuable consideration or any other recompense, benefit or advantage.</w:t>
      </w:r>
    </w:p>
    <w:p>
      <w:pPr>
        <w:pStyle w:val="Heading5"/>
        <w:spacing w:before="180"/>
      </w:pPr>
      <w:bookmarkStart w:id="562" w:name="_Toc462409357"/>
      <w:r>
        <w:rPr>
          <w:rStyle w:val="CharSectno"/>
        </w:rPr>
        <w:t>4.86</w:t>
      </w:r>
      <w:r>
        <w:t>.</w:t>
      </w:r>
      <w:r>
        <w:tab/>
        <w:t>Breach or neglect by officers, offence</w:t>
      </w:r>
      <w:bookmarkEnd w:id="562"/>
    </w:p>
    <w:p>
      <w:pPr>
        <w:pStyle w:val="Subsection"/>
        <w:keepNext/>
      </w:pPr>
      <w:r>
        <w:tab/>
      </w:r>
      <w:r>
        <w:tab/>
        <w:t>An electoral officer who — </w:t>
      </w:r>
    </w:p>
    <w:p>
      <w:pPr>
        <w:pStyle w:val="Indenta"/>
      </w:pPr>
      <w:r>
        <w:tab/>
        <w:t>(a)</w:t>
      </w:r>
      <w:r>
        <w:tab/>
        <w:t>attempts to influence the vote of an elector, or, except by recording that vote, the result of an election; or</w:t>
      </w:r>
    </w:p>
    <w:p>
      <w:pPr>
        <w:pStyle w:val="Indenta"/>
        <w:keepNext/>
      </w:pPr>
      <w:r>
        <w:tab/>
        <w:t>(b)</w:t>
      </w:r>
      <w:r>
        <w:tab/>
        <w:t>discloses, except under compulsion of law, knowledge officially acquired concerning the vote of an elector; or</w:t>
      </w:r>
    </w:p>
    <w:p>
      <w:pPr>
        <w:pStyle w:val="Indenta"/>
      </w:pPr>
      <w:r>
        <w:tab/>
        <w:t>(c)</w:t>
      </w:r>
      <w:r>
        <w:tab/>
        <w:t>refuses or wilfully neglects to discharge a duty imposed under this Part or otherwise contravenes a provision of this Part,</w:t>
      </w:r>
    </w:p>
    <w:p>
      <w:pPr>
        <w:pStyle w:val="Subsection"/>
      </w:pPr>
      <w:r>
        <w:tab/>
      </w:r>
      <w:r>
        <w:tab/>
        <w:t>commits an offence.</w:t>
      </w:r>
    </w:p>
    <w:p>
      <w:pPr>
        <w:pStyle w:val="Penstart"/>
      </w:pPr>
      <w:r>
        <w:tab/>
        <w:t>Penalty: $10 000 or imprisonment for 2 years.</w:t>
      </w:r>
    </w:p>
    <w:p>
      <w:pPr>
        <w:pStyle w:val="Heading5"/>
      </w:pPr>
      <w:bookmarkStart w:id="563" w:name="_Toc462409358"/>
      <w:r>
        <w:rPr>
          <w:rStyle w:val="CharSectno"/>
        </w:rPr>
        <w:t>4.87</w:t>
      </w:r>
      <w:r>
        <w:t>.</w:t>
      </w:r>
      <w:r>
        <w:tab/>
        <w:t>Printing and publication of electoral material</w:t>
      </w:r>
      <w:bookmarkEnd w:id="563"/>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pPr>
      <w:r>
        <w:tab/>
        <w:t>(b)</w:t>
      </w:r>
      <w:r>
        <w:tab/>
        <w:t>in the case of electoral material that is printed otherwise than in a newspaper, the name and business address of the printer appears at the end of the electoral material.</w:t>
      </w:r>
    </w:p>
    <w:p>
      <w:pPr>
        <w:pStyle w:val="Penstart"/>
      </w:pPr>
      <w:r>
        <w:tab/>
        <w:t>Penalty: $2 000.</w:t>
      </w:r>
    </w:p>
    <w:p>
      <w:pPr>
        <w:pStyle w:val="Subsection"/>
      </w:pPr>
      <w:r>
        <w:tab/>
        <w:t>(2)</w:t>
      </w:r>
      <w:r>
        <w:tab/>
        <w:t>Subsection (1) does not apply to electoral material on an item included in a prescribed class of items.</w:t>
      </w:r>
    </w:p>
    <w:p>
      <w:pPr>
        <w:pStyle w:val="Subsection"/>
        <w:keepNext/>
      </w:pPr>
      <w:r>
        <w:tab/>
        <w:t>(3)</w:t>
      </w:r>
      <w:r>
        <w:tab/>
        <w:t>In this section — </w:t>
      </w:r>
    </w:p>
    <w:p>
      <w:pPr>
        <w:pStyle w:val="Defstart"/>
      </w:pPr>
      <w:r>
        <w:rPr>
          <w:b/>
        </w:rPr>
        <w:tab/>
      </w:r>
      <w:r>
        <w:rPr>
          <w:rStyle w:val="CharDefText"/>
        </w:rPr>
        <w:t>electoral material</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pPr>
      <w:r>
        <w:rPr>
          <w:b/>
        </w:rPr>
        <w:tab/>
      </w:r>
      <w:r>
        <w:rPr>
          <w:rStyle w:val="CharDefText"/>
        </w:rPr>
        <w:t>print</w:t>
      </w:r>
      <w:r>
        <w:t xml:space="preserve"> includes photocopy or reproduce by any means.</w:t>
      </w:r>
    </w:p>
    <w:p>
      <w:pPr>
        <w:pStyle w:val="Footnotesection"/>
      </w:pPr>
      <w:r>
        <w:tab/>
        <w:t>[Section 4.87 amended by No. 49 of 2004 s. 41.]</w:t>
      </w:r>
    </w:p>
    <w:p>
      <w:pPr>
        <w:pStyle w:val="Heading5"/>
        <w:spacing w:before="200"/>
      </w:pPr>
      <w:bookmarkStart w:id="564" w:name="_Toc462409359"/>
      <w:r>
        <w:rPr>
          <w:rStyle w:val="CharSectno"/>
        </w:rPr>
        <w:t>4.88</w:t>
      </w:r>
      <w:r>
        <w:t>.</w:t>
      </w:r>
      <w:r>
        <w:tab/>
        <w:t>Misleading, false or defamatory statements, offence</w:t>
      </w:r>
      <w:bookmarkEnd w:id="564"/>
    </w:p>
    <w:p>
      <w:pPr>
        <w:pStyle w:val="Subsection"/>
      </w:pPr>
      <w:r>
        <w:tab/>
        <w:t>(1)</w:t>
      </w:r>
      <w:r>
        <w:tab/>
        <w:t>A person who, during the relevant period in relation to an election — </w:t>
      </w:r>
    </w:p>
    <w:p>
      <w:pPr>
        <w:pStyle w:val="Indenta"/>
      </w:pPr>
      <w:r>
        <w:tab/>
        <w:t>(a)</w:t>
      </w:r>
      <w:r>
        <w:tab/>
        <w:t>prints, publishes or distributes deceptive material or causes deceptive material to be printed, published or distributed; or</w:t>
      </w:r>
    </w:p>
    <w:p>
      <w:pPr>
        <w:pStyle w:val="Indenta"/>
      </w:pPr>
      <w:r>
        <w:tab/>
        <w:t>(b)</w:t>
      </w:r>
      <w:r>
        <w:tab/>
        <w:t>makes or publishes any false or defamatory statement in relation to the personal character or conduct of a candidate in the election or causes such a statement to be made or published,</w:t>
      </w:r>
    </w:p>
    <w:p>
      <w:pPr>
        <w:pStyle w:val="Subsection"/>
        <w:keepNext/>
        <w:keepLines/>
      </w:pPr>
      <w:r>
        <w:tab/>
      </w:r>
      <w:r>
        <w:tab/>
        <w:t>commits an offence.</w:t>
      </w:r>
    </w:p>
    <w:p>
      <w:pPr>
        <w:pStyle w:val="Penstart"/>
      </w:pPr>
      <w:r>
        <w:tab/>
        <w:t>Penalty: $5 000 or imprisonment for one year.</w:t>
      </w:r>
    </w:p>
    <w:p>
      <w:pPr>
        <w:pStyle w:val="Subsection"/>
      </w:pPr>
      <w:r>
        <w:tab/>
        <w:t>(2)</w:t>
      </w:r>
      <w:r>
        <w:tab/>
        <w:t>It is a defence to a charge under subsection (1)(a) to prove that the accused person did not know, and could not reasonably have been expected to know, that the material was likely to mislead or deceive an elector in relation to the casting of the elector’s vote.</w:t>
      </w:r>
    </w:p>
    <w:p>
      <w:pPr>
        <w:pStyle w:val="Subsection"/>
      </w:pPr>
      <w:r>
        <w:tab/>
        <w:t>(3)</w:t>
      </w:r>
      <w:r>
        <w:tab/>
        <w:t>It is a defence to a charge under subsection (1)(b) to prove that the accused person believed the statement to be true and had reasonable grounds for doing so.</w:t>
      </w:r>
    </w:p>
    <w:p>
      <w:pPr>
        <w:pStyle w:val="Subsection"/>
        <w:keepNext/>
      </w:pPr>
      <w:r>
        <w:tab/>
        <w:t>(4)</w:t>
      </w:r>
      <w:r>
        <w:tab/>
        <w:t>In this section — </w:t>
      </w:r>
    </w:p>
    <w:p>
      <w:pPr>
        <w:pStyle w:val="Defstart"/>
      </w:pPr>
      <w:r>
        <w:rPr>
          <w:b/>
        </w:rPr>
        <w:tab/>
      </w:r>
      <w:r>
        <w:rPr>
          <w:rStyle w:val="CharDefText"/>
        </w:rPr>
        <w:t>deceptive material</w:t>
      </w:r>
      <w:r>
        <w:t xml:space="preserve"> means any matter or thing that is likely to mislead or deceive an elector in relation to the casting of the elector’s vote at the election;</w:t>
      </w:r>
    </w:p>
    <w:p>
      <w:pPr>
        <w:pStyle w:val="Defstart"/>
      </w:pPr>
      <w:r>
        <w:rPr>
          <w:b/>
        </w:rPr>
        <w:tab/>
      </w:r>
      <w:r>
        <w:rPr>
          <w:rStyle w:val="CharDefText"/>
        </w:rPr>
        <w:t>print</w:t>
      </w:r>
      <w:r>
        <w:t xml:space="preserve"> includes photocopy or reproduce by any means;</w:t>
      </w:r>
    </w:p>
    <w:p>
      <w:pPr>
        <w:pStyle w:val="Defstart"/>
      </w:pPr>
      <w:r>
        <w:rPr>
          <w:b/>
        </w:rPr>
        <w:tab/>
      </w:r>
      <w:r>
        <w:rPr>
          <w:rStyle w:val="CharDefText"/>
        </w:rPr>
        <w:t>publish</w:t>
      </w:r>
      <w:r>
        <w:t xml:space="preserve"> includes publish by radio or television;</w:t>
      </w:r>
    </w:p>
    <w:p>
      <w:pPr>
        <w:pStyle w:val="Defstart"/>
      </w:pPr>
      <w:r>
        <w:rPr>
          <w:b/>
        </w:rPr>
        <w:tab/>
      </w:r>
      <w:r>
        <w:rPr>
          <w:rStyle w:val="CharDefText"/>
        </w:rPr>
        <w:t>relevant period</w:t>
      </w:r>
      <w:r>
        <w:t xml:space="preserve"> means the period commencing when notice calling for nominations for the election is published and ending at 6 p.m. on election day.</w:t>
      </w:r>
    </w:p>
    <w:p>
      <w:pPr>
        <w:pStyle w:val="Heading5"/>
      </w:pPr>
      <w:bookmarkStart w:id="565" w:name="_Toc462409360"/>
      <w:r>
        <w:rPr>
          <w:rStyle w:val="CharSectno"/>
        </w:rPr>
        <w:t>4.89</w:t>
      </w:r>
      <w:r>
        <w:t>.</w:t>
      </w:r>
      <w:r>
        <w:tab/>
        <w:t>Canvassing in or near polling places, offence</w:t>
      </w:r>
      <w:bookmarkEnd w:id="565"/>
    </w:p>
    <w:p>
      <w:pPr>
        <w:pStyle w:val="Subsection"/>
      </w:pPr>
      <w:r>
        <w:tab/>
        <w:t>(1)</w:t>
      </w:r>
      <w:r>
        <w:tab/>
        <w:t>If, on any day on which polling for an election takes place, a person — </w:t>
      </w:r>
    </w:p>
    <w:p>
      <w:pPr>
        <w:pStyle w:val="Indenta"/>
      </w:pPr>
      <w:r>
        <w:tab/>
        <w:t>(a)</w:t>
      </w:r>
      <w:r>
        <w:tab/>
        <w:t>canvasses for votes; or</w:t>
      </w:r>
    </w:p>
    <w:p>
      <w:pPr>
        <w:pStyle w:val="Indenta"/>
      </w:pPr>
      <w:r>
        <w:tab/>
        <w:t>(b)</w:t>
      </w:r>
      <w:r>
        <w:tab/>
        <w:t>solicits the vote of an elector; or</w:t>
      </w:r>
    </w:p>
    <w:p>
      <w:pPr>
        <w:pStyle w:val="Indenta"/>
      </w:pPr>
      <w:r>
        <w:tab/>
        <w:t>(c)</w:t>
      </w:r>
      <w:r>
        <w:tab/>
        <w:t>induces an elector not to vote for a particular candidate; or</w:t>
      </w:r>
    </w:p>
    <w:p>
      <w:pPr>
        <w:pStyle w:val="Indenta"/>
      </w:pPr>
      <w:r>
        <w:tab/>
        <w:t>(d)</w:t>
      </w:r>
      <w:r>
        <w:tab/>
        <w:t>induces an elector not to vote at the election,</w:t>
      </w:r>
    </w:p>
    <w:p>
      <w:pPr>
        <w:pStyle w:val="Subsection"/>
      </w:pPr>
      <w:r>
        <w:tab/>
      </w:r>
      <w:r>
        <w:tab/>
        <w:t>in a polling place or within 6 m from the entrance to a polling place, that person commits an offence.</w:t>
      </w:r>
    </w:p>
    <w:p>
      <w:pPr>
        <w:pStyle w:val="Penstart"/>
      </w:pPr>
      <w:r>
        <w:tab/>
        <w:t>Penalty: $2 000.</w:t>
      </w:r>
    </w:p>
    <w:p>
      <w:pPr>
        <w:pStyle w:val="Subsection"/>
      </w:pPr>
      <w:r>
        <w:tab/>
        <w:t>(2)</w:t>
      </w:r>
      <w:r>
        <w:tab/>
        <w:t>It is a defence to a charge under subsection (1) to prove that the accused person was within 6 m of the entrance to a polling place with the approval of the presiding officer.</w:t>
      </w:r>
    </w:p>
    <w:p>
      <w:pPr>
        <w:pStyle w:val="Footnotesection"/>
      </w:pPr>
      <w:r>
        <w:tab/>
        <w:t>[Section 4.89 amended by No. 64 of 1998 s. 27.]</w:t>
      </w:r>
    </w:p>
    <w:p>
      <w:pPr>
        <w:pStyle w:val="Heading5"/>
      </w:pPr>
      <w:bookmarkStart w:id="566" w:name="_Toc462409361"/>
      <w:r>
        <w:rPr>
          <w:rStyle w:val="CharSectno"/>
        </w:rPr>
        <w:t>4.90</w:t>
      </w:r>
      <w:r>
        <w:t>.</w:t>
      </w:r>
      <w:r>
        <w:tab/>
        <w:t>False statements, offence</w:t>
      </w:r>
      <w:bookmarkEnd w:id="566"/>
    </w:p>
    <w:p>
      <w:pPr>
        <w:pStyle w:val="Subsection"/>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$5 000 or imprisonment for one year.</w:t>
      </w:r>
    </w:p>
    <w:p>
      <w:pPr>
        <w:pStyle w:val="Subsection"/>
      </w:pPr>
      <w:r>
        <w:tab/>
        <w:t>(2)</w:t>
      </w:r>
      <w:r>
        <w:tab/>
        <w:t>A person who induces another person to commit an offence against subsection (1) also commits an offence against subsection (1).</w:t>
      </w:r>
    </w:p>
    <w:p>
      <w:pPr>
        <w:pStyle w:val="Heading5"/>
      </w:pPr>
      <w:bookmarkStart w:id="567" w:name="_Toc462409362"/>
      <w:r>
        <w:rPr>
          <w:rStyle w:val="CharSectno"/>
        </w:rPr>
        <w:t>4.91</w:t>
      </w:r>
      <w:r>
        <w:t>.</w:t>
      </w:r>
      <w:r>
        <w:tab/>
        <w:t>Nomination papers, ballot papers and ballot boxes, offences relating to</w:t>
      </w:r>
      <w:bookmarkEnd w:id="567"/>
    </w:p>
    <w:p>
      <w:pPr>
        <w:pStyle w:val="Subsection"/>
      </w:pPr>
      <w:r>
        <w:tab/>
        <w:t>(1)</w:t>
      </w:r>
      <w:r>
        <w:tab/>
        <w:t>A person who — </w:t>
      </w:r>
    </w:p>
    <w:p>
      <w:pPr>
        <w:pStyle w:val="Indenta"/>
      </w:pPr>
      <w:r>
        <w:tab/>
        <w:t>(a)</w:t>
      </w:r>
      <w:r>
        <w:tab/>
        <w:t>forges or fraudulently defaces or destroys a ballot paper or nomination paper; or</w:t>
      </w:r>
    </w:p>
    <w:p>
      <w:pPr>
        <w:pStyle w:val="Indenta"/>
      </w:pPr>
      <w:r>
        <w:tab/>
        <w:t>(b)</w:t>
      </w:r>
      <w:r>
        <w:tab/>
        <w:t>fraudulently puts a ballot paper into a ballot box; or</w:t>
      </w:r>
    </w:p>
    <w:p>
      <w:pPr>
        <w:pStyle w:val="Indenta"/>
      </w:pPr>
      <w:r>
        <w:tab/>
        <w:t>(c)</w:t>
      </w:r>
      <w:r>
        <w:tab/>
        <w:t>wilfully destroys, takes, opens or otherwise interferes with any ballot box or ballot papers without authority; or</w:t>
      </w:r>
    </w:p>
    <w:p>
      <w:pPr>
        <w:pStyle w:val="Indenta"/>
      </w:pPr>
      <w:r>
        <w:tab/>
        <w:t>(d)</w:t>
      </w:r>
      <w:r>
        <w:tab/>
        <w:t>personates any elector,</w:t>
      </w:r>
    </w:p>
    <w:p>
      <w:pPr>
        <w:pStyle w:val="Subsection"/>
      </w:pPr>
      <w:r>
        <w:tab/>
      </w:r>
      <w:r>
        <w:tab/>
        <w:t>commits an offence.</w:t>
      </w:r>
    </w:p>
    <w:p>
      <w:pPr>
        <w:pStyle w:val="Penstart"/>
      </w:pPr>
      <w:r>
        <w:tab/>
        <w:t>Penalty: $10 000 or imprisonment for 2 years.</w:t>
      </w:r>
    </w:p>
    <w:p>
      <w:pPr>
        <w:pStyle w:val="Subsection"/>
      </w:pPr>
      <w:r>
        <w:tab/>
        <w:t>(2)</w:t>
      </w:r>
      <w:r>
        <w:tab/>
        <w:t>A person who — </w:t>
      </w:r>
    </w:p>
    <w:p>
      <w:pPr>
        <w:pStyle w:val="Indenta"/>
      </w:pPr>
      <w:r>
        <w:tab/>
        <w:t>(a)</w:t>
      </w:r>
      <w:r>
        <w:tab/>
        <w:t>supplies a ballot paper without authority; or</w:t>
      </w:r>
    </w:p>
    <w:p>
      <w:pPr>
        <w:pStyle w:val="Indenta"/>
      </w:pPr>
      <w:r>
        <w:tab/>
        <w:t>(b)</w:t>
      </w:r>
      <w:r>
        <w:tab/>
        <w:t>is in possession of an unauthorised ballot paper; or</w:t>
      </w:r>
    </w:p>
    <w:p>
      <w:pPr>
        <w:pStyle w:val="Indenta"/>
      </w:pPr>
      <w:r>
        <w:tab/>
        <w:t>(c)</w:t>
      </w:r>
      <w:r>
        <w:tab/>
        <w:t>votes more than once in an election; or</w:t>
      </w:r>
    </w:p>
    <w:p>
      <w:pPr>
        <w:pStyle w:val="Indenta"/>
      </w:pPr>
      <w:r>
        <w:tab/>
        <w:t>(d)</w:t>
      </w:r>
      <w:r>
        <w:tab/>
        <w:t>marks a ballot paper without authority,</w:t>
      </w:r>
    </w:p>
    <w:p>
      <w:pPr>
        <w:pStyle w:val="Subsection"/>
      </w:pPr>
      <w:r>
        <w:tab/>
      </w:r>
      <w:r>
        <w:tab/>
        <w:t>commits an offence.</w:t>
      </w:r>
    </w:p>
    <w:p>
      <w:pPr>
        <w:pStyle w:val="Penstart"/>
      </w:pPr>
      <w:r>
        <w:tab/>
        <w:t>Penalty: $5 000 or imprisonment for one year.</w:t>
      </w:r>
    </w:p>
    <w:p>
      <w:pPr>
        <w:pStyle w:val="Subsection"/>
      </w:pPr>
      <w:r>
        <w:tab/>
        <w:t>(3)</w:t>
      </w:r>
      <w:r>
        <w:tab/>
        <w:t>A person who fraudulently leaves a polling place with a ballot paper commits an offence.</w:t>
      </w:r>
    </w:p>
    <w:p>
      <w:pPr>
        <w:pStyle w:val="Penstart"/>
      </w:pPr>
      <w:r>
        <w:tab/>
        <w:t>Penalty: $2 000.</w:t>
      </w:r>
    </w:p>
    <w:p>
      <w:pPr>
        <w:pStyle w:val="Heading5"/>
      </w:pPr>
      <w:bookmarkStart w:id="568" w:name="_Toc462409363"/>
      <w:r>
        <w:rPr>
          <w:rStyle w:val="CharSectno"/>
        </w:rPr>
        <w:t>4.92</w:t>
      </w:r>
      <w:r>
        <w:t>.</w:t>
      </w:r>
      <w:r>
        <w:tab/>
        <w:t>Postal votes, offences relating to</w:t>
      </w:r>
      <w:bookmarkEnd w:id="568"/>
    </w:p>
    <w:p>
      <w:pPr>
        <w:pStyle w:val="Subsection"/>
      </w:pPr>
      <w:r>
        <w:tab/>
      </w:r>
      <w:r>
        <w:tab/>
        <w:t>A candidate in an election, or a person expressly authorised to act on behalf of a candidate in connection with an election, who, in relation to the election — </w:t>
      </w:r>
    </w:p>
    <w:p>
      <w:pPr>
        <w:pStyle w:val="Indenta"/>
      </w:pPr>
      <w:r>
        <w:tab/>
        <w:t>(a)</w:t>
      </w:r>
      <w:r>
        <w:tab/>
        <w:t>applies undue influence or pressure on an elector to apply for a postal vote; or</w:t>
      </w:r>
    </w:p>
    <w:p>
      <w:pPr>
        <w:pStyle w:val="Indenta"/>
      </w:pPr>
      <w:r>
        <w:tab/>
        <w:t>(b)</w:t>
      </w:r>
      <w:r>
        <w:tab/>
        <w:t>interferes with an elector while the elector is applying for a postal vote; or</w:t>
      </w:r>
    </w:p>
    <w:p>
      <w:pPr>
        <w:pStyle w:val="Indenta"/>
      </w:pPr>
      <w:r>
        <w:tab/>
        <w:t>(c)</w:t>
      </w:r>
      <w:r>
        <w:tab/>
        <w:t>takes custody of an envelope in which there is a postal vote; or</w:t>
      </w:r>
    </w:p>
    <w:p>
      <w:pPr>
        <w:pStyle w:val="Indenta"/>
        <w:keepNext/>
      </w:pPr>
      <w:r>
        <w:tab/>
        <w:t>(d)</w:t>
      </w:r>
      <w:r>
        <w:tab/>
        <w:t>causes any other person, not being the elector whose vote is in the envelope, to do anything referred to in paragraph (c),</w:t>
      </w:r>
    </w:p>
    <w:p>
      <w:pPr>
        <w:pStyle w:val="Subsection"/>
      </w:pPr>
      <w:r>
        <w:tab/>
      </w:r>
      <w:r>
        <w:tab/>
        <w:t>commits an offence.</w:t>
      </w:r>
    </w:p>
    <w:p>
      <w:pPr>
        <w:pStyle w:val="Penstart"/>
      </w:pPr>
      <w:r>
        <w:tab/>
        <w:t>Penalty: $5 000 or imprisonment for one year.</w:t>
      </w:r>
    </w:p>
    <w:p>
      <w:pPr>
        <w:pStyle w:val="Heading5"/>
      </w:pPr>
      <w:bookmarkStart w:id="569" w:name="_Toc462409364"/>
      <w:r>
        <w:rPr>
          <w:rStyle w:val="CharSectno"/>
        </w:rPr>
        <w:t>4.93</w:t>
      </w:r>
      <w:r>
        <w:t>.</w:t>
      </w:r>
      <w:r>
        <w:tab/>
        <w:t>Interference with electors: infringement of secrecy, offence</w:t>
      </w:r>
      <w:bookmarkEnd w:id="569"/>
    </w:p>
    <w:p>
      <w:pPr>
        <w:pStyle w:val="Subsection"/>
      </w:pPr>
      <w:r>
        <w:tab/>
      </w:r>
      <w:r>
        <w:tab/>
        <w:t>A person who — </w:t>
      </w:r>
    </w:p>
    <w:p>
      <w:pPr>
        <w:pStyle w:val="Indenta"/>
      </w:pPr>
      <w:r>
        <w:tab/>
        <w:t>(a)</w:t>
      </w:r>
      <w:r>
        <w:tab/>
        <w:t>unlawfully communicates with, assists or interferes with an elector while the elector is marking a ballot paper; or</w:t>
      </w:r>
    </w:p>
    <w:p>
      <w:pPr>
        <w:pStyle w:val="Indenta"/>
      </w:pPr>
      <w:r>
        <w:tab/>
        <w:t>(b)</w:t>
      </w:r>
      <w:r>
        <w:tab/>
        <w:t>unlawfully looks at or becomes acquainted with the vote of an elector; or</w:t>
      </w:r>
    </w:p>
    <w:p>
      <w:pPr>
        <w:pStyle w:val="Indenta"/>
      </w:pPr>
      <w:r>
        <w:tab/>
        <w:t>(c)</w:t>
      </w:r>
      <w:r>
        <w:tab/>
        <w:t>discloses the vote of an elector,</w:t>
      </w:r>
    </w:p>
    <w:p>
      <w:pPr>
        <w:pStyle w:val="Subsection"/>
      </w:pPr>
      <w:r>
        <w:tab/>
      </w:r>
      <w:r>
        <w:tab/>
        <w:t>commits an offence.</w:t>
      </w:r>
    </w:p>
    <w:p>
      <w:pPr>
        <w:pStyle w:val="Penstart"/>
      </w:pPr>
      <w:r>
        <w:tab/>
        <w:t>Penalty: $5 000 or imprisonment for one year.</w:t>
      </w:r>
    </w:p>
    <w:p>
      <w:pPr>
        <w:pStyle w:val="Heading5"/>
      </w:pPr>
      <w:bookmarkStart w:id="570" w:name="_Toc462409365"/>
      <w:r>
        <w:rPr>
          <w:rStyle w:val="CharSectno"/>
        </w:rPr>
        <w:t>4.94</w:t>
      </w:r>
      <w:r>
        <w:t>.</w:t>
      </w:r>
      <w:r>
        <w:tab/>
        <w:t>Other electoral offences</w:t>
      </w:r>
      <w:bookmarkEnd w:id="570"/>
    </w:p>
    <w:p>
      <w:pPr>
        <w:pStyle w:val="Subsection"/>
      </w:pPr>
      <w:r>
        <w:tab/>
      </w:r>
      <w:r>
        <w:tab/>
        <w:t>A person who — </w:t>
      </w:r>
    </w:p>
    <w:p>
      <w:pPr>
        <w:pStyle w:val="Indenta"/>
      </w:pPr>
      <w:r>
        <w:tab/>
        <w:t>(a)</w:t>
      </w:r>
      <w:r>
        <w:tab/>
        <w:t>when in a polling place on a day on which polling is taking place, misconducts himself or herself or fails to obey the reasonable instructions of an electoral officer; or</w:t>
      </w:r>
    </w:p>
    <w:p>
      <w:pPr>
        <w:pStyle w:val="Indenta"/>
      </w:pPr>
      <w:r>
        <w:tab/>
        <w:t>(b)</w:t>
      </w:r>
      <w:r>
        <w:tab/>
        <w:t>re</w:t>
      </w:r>
      <w:r>
        <w:noBreakHyphen/>
        <w:t>enters a polling place without permission after being removed from the polling place under section 4.70; or</w:t>
      </w:r>
    </w:p>
    <w:p>
      <w:pPr>
        <w:pStyle w:val="Indenta"/>
      </w:pPr>
      <w:r>
        <w:tab/>
        <w:t>(c)</w:t>
      </w:r>
      <w:r>
        <w:tab/>
        <w:t>not being a candidate in an election, canvasses at the election while he or she is an employee of the local government in question; or</w:t>
      </w:r>
    </w:p>
    <w:p>
      <w:pPr>
        <w:pStyle w:val="Indenta"/>
      </w:pPr>
      <w:r>
        <w:tab/>
        <w:t>(d)</w:t>
      </w:r>
      <w:r>
        <w:tab/>
        <w:t>wilfully defaces, mutilates, destroys or removes a notice, list or other document which an electoral officer, acting within the scope of his or her authority, has exhibited or caused to be exhibited; or</w:t>
      </w:r>
    </w:p>
    <w:p>
      <w:pPr>
        <w:pStyle w:val="Indenta"/>
        <w:keepNext/>
        <w:keepLines/>
      </w:pPr>
      <w:r>
        <w:tab/>
        <w:t>(e)</w:t>
      </w:r>
      <w:r>
        <w:tab/>
        <w:t>bets on the result of an election,</w:t>
      </w:r>
    </w:p>
    <w:p>
      <w:pPr>
        <w:pStyle w:val="Subsection"/>
        <w:keepNext/>
        <w:keepLines/>
      </w:pPr>
      <w:r>
        <w:tab/>
      </w:r>
      <w:r>
        <w:tab/>
        <w:t>commits an offence.</w:t>
      </w:r>
    </w:p>
    <w:p>
      <w:pPr>
        <w:pStyle w:val="Penstart"/>
      </w:pPr>
      <w:r>
        <w:tab/>
        <w:t>Penalty: $2 000.</w:t>
      </w:r>
    </w:p>
    <w:p>
      <w:pPr>
        <w:pStyle w:val="Heading5"/>
      </w:pPr>
      <w:bookmarkStart w:id="571" w:name="_Toc462409366"/>
      <w:r>
        <w:rPr>
          <w:rStyle w:val="CharSectno"/>
        </w:rPr>
        <w:t>4.95</w:t>
      </w:r>
      <w:r>
        <w:t>.</w:t>
      </w:r>
      <w:r>
        <w:tab/>
        <w:t>Offences, attempts to commit</w:t>
      </w:r>
      <w:bookmarkEnd w:id="571"/>
    </w:p>
    <w:p>
      <w:pPr>
        <w:pStyle w:val="Subsection"/>
      </w:pPr>
      <w:r>
        <w:tab/>
      </w:r>
      <w:r>
        <w:tab/>
        <w:t>An attempt to commit an offence against this Part is an offence punishable as if the offence had been committed.</w:t>
      </w:r>
    </w:p>
    <w:p>
      <w:pPr>
        <w:pStyle w:val="Heading5"/>
      </w:pPr>
      <w:bookmarkStart w:id="572" w:name="_Toc462409367"/>
      <w:r>
        <w:rPr>
          <w:rStyle w:val="CharSectno"/>
        </w:rPr>
        <w:t>4.96</w:t>
      </w:r>
      <w:r>
        <w:t>.</w:t>
      </w:r>
      <w:r>
        <w:tab/>
        <w:t>Investigation of electoral misconduct</w:t>
      </w:r>
      <w:bookmarkEnd w:id="572"/>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573" w:name="_Toc462409368"/>
      <w:r>
        <w:rPr>
          <w:rStyle w:val="CharSectno"/>
        </w:rPr>
        <w:t>4.97</w:t>
      </w:r>
      <w:r>
        <w:t>.</w:t>
      </w:r>
      <w:r>
        <w:tab/>
        <w:t>Prosecutions</w:t>
      </w:r>
      <w:bookmarkEnd w:id="573"/>
    </w:p>
    <w:p>
      <w:pPr>
        <w:pStyle w:val="Subsection"/>
      </w:pPr>
      <w:r>
        <w:tab/>
        <w:t>(1)</w:t>
      </w:r>
      <w:r>
        <w:tab/>
        <w:t>A prosecution for an offence against this Part may be commenced by the returning officer or any person referred to in section 9.24(1).</w:t>
      </w:r>
    </w:p>
    <w:p>
      <w:pPr>
        <w:pStyle w:val="Subsection"/>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pPr>
      <w:r>
        <w:tab/>
        <w:t>(b)</w:t>
      </w:r>
      <w:r>
        <w:tab/>
        <w:t>the returning officer is to pay to the local government any fees or costs paid to the returning officer in respect of the proceedings.</w:t>
      </w:r>
    </w:p>
    <w:p>
      <w:pPr>
        <w:pStyle w:val="Footnotesection"/>
      </w:pPr>
      <w:r>
        <w:tab/>
        <w:t>[Section 4.97 inserted by No. 84 of 2004 s. 53.]</w:t>
      </w:r>
    </w:p>
    <w:p>
      <w:pPr>
        <w:pStyle w:val="Heading5"/>
      </w:pPr>
      <w:bookmarkStart w:id="574" w:name="_Toc462409369"/>
      <w:r>
        <w:rPr>
          <w:rStyle w:val="CharSectno"/>
        </w:rPr>
        <w:t>4.98</w:t>
      </w:r>
      <w:r>
        <w:t>.</w:t>
      </w:r>
      <w:r>
        <w:tab/>
        <w:t>Criminal Code not to apply</w:t>
      </w:r>
      <w:bookmarkEnd w:id="574"/>
    </w:p>
    <w:p>
      <w:pPr>
        <w:pStyle w:val="Subsection"/>
      </w:pPr>
      <w:r>
        <w:tab/>
      </w:r>
      <w:r>
        <w:tab/>
        <w:t xml:space="preserve">Chapter XIV of </w:t>
      </w:r>
      <w:r>
        <w:rPr>
          <w:i/>
        </w:rPr>
        <w:t>The Criminal Code</w:t>
      </w:r>
      <w:r>
        <w:t xml:space="preserve"> does not apply to elections held under this Act.</w:t>
      </w:r>
    </w:p>
    <w:p>
      <w:pPr>
        <w:pStyle w:val="Heading3"/>
      </w:pPr>
      <w:bookmarkStart w:id="575" w:name="_Toc448219085"/>
      <w:bookmarkStart w:id="576" w:name="_Toc448224307"/>
      <w:bookmarkStart w:id="577" w:name="_Toc451179544"/>
      <w:bookmarkStart w:id="578" w:name="_Toc451430464"/>
      <w:bookmarkStart w:id="579" w:name="_Toc455396414"/>
      <w:bookmarkStart w:id="580" w:name="_Toc455397274"/>
      <w:bookmarkStart w:id="581" w:name="_Toc456086357"/>
      <w:bookmarkStart w:id="582" w:name="_Toc462409370"/>
      <w:r>
        <w:rPr>
          <w:rStyle w:val="CharDivNo"/>
        </w:rPr>
        <w:t>Division 12</w:t>
      </w:r>
      <w:r>
        <w:t> — </w:t>
      </w:r>
      <w:r>
        <w:rPr>
          <w:rStyle w:val="CharDivText"/>
        </w:rPr>
        <w:t>Polls and referendums</w:t>
      </w:r>
      <w:bookmarkEnd w:id="575"/>
      <w:bookmarkEnd w:id="576"/>
      <w:bookmarkEnd w:id="577"/>
      <w:bookmarkEnd w:id="578"/>
      <w:bookmarkEnd w:id="579"/>
      <w:bookmarkEnd w:id="580"/>
      <w:bookmarkEnd w:id="581"/>
      <w:bookmarkEnd w:id="582"/>
    </w:p>
    <w:p>
      <w:pPr>
        <w:pStyle w:val="Heading5"/>
      </w:pPr>
      <w:bookmarkStart w:id="583" w:name="_Toc462409371"/>
      <w:r>
        <w:rPr>
          <w:rStyle w:val="CharSectno"/>
        </w:rPr>
        <w:t>4.99</w:t>
      </w:r>
      <w:r>
        <w:t>.</w:t>
      </w:r>
      <w:r>
        <w:tab/>
        <w:t>Election procedures to apply to polls and referendums</w:t>
      </w:r>
      <w:bookmarkEnd w:id="583"/>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584" w:name="_Toc448219087"/>
      <w:bookmarkStart w:id="585" w:name="_Toc448224309"/>
      <w:bookmarkStart w:id="586" w:name="_Toc451179546"/>
      <w:bookmarkStart w:id="587" w:name="_Toc451430466"/>
      <w:bookmarkStart w:id="588" w:name="_Toc455396416"/>
      <w:bookmarkStart w:id="589" w:name="_Toc455397276"/>
      <w:bookmarkStart w:id="590" w:name="_Toc456086359"/>
      <w:bookmarkStart w:id="591" w:name="_Toc462409372"/>
      <w:r>
        <w:rPr>
          <w:rStyle w:val="CharPartNo"/>
        </w:rPr>
        <w:t>Part 5</w:t>
      </w:r>
      <w:r>
        <w:t> — </w:t>
      </w:r>
      <w:r>
        <w:rPr>
          <w:rStyle w:val="CharPartText"/>
        </w:rPr>
        <w:t>Administration</w:t>
      </w:r>
      <w:bookmarkEnd w:id="584"/>
      <w:bookmarkEnd w:id="585"/>
      <w:bookmarkEnd w:id="586"/>
      <w:bookmarkEnd w:id="587"/>
      <w:bookmarkEnd w:id="588"/>
      <w:bookmarkEnd w:id="589"/>
      <w:bookmarkEnd w:id="590"/>
      <w:bookmarkEnd w:id="591"/>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council meetings, committees and their meetings and electors’ meetings;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employment of persons by local governments and matters relating to local government employees;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annual reports and plans;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disclosure of financial interests in matters affecting local government decisions and in returns;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public access to local government information; and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the limitation of the payment of fees, expenses and allowances to council and committee members, mayors and presidents; and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codes of conduct.</w:t>
      </w:r>
    </w:p>
    <w:p>
      <w:pPr>
        <w:pStyle w:val="Footnotesection"/>
      </w:pPr>
      <w:r>
        <w:tab/>
        <w:t>[Notes to Part 5 amended by No. 49 of 2004 s. 42(1).]</w:t>
      </w:r>
    </w:p>
    <w:p>
      <w:pPr>
        <w:pStyle w:val="Heading3"/>
      </w:pPr>
      <w:bookmarkStart w:id="592" w:name="_Toc448219088"/>
      <w:bookmarkStart w:id="593" w:name="_Toc448224310"/>
      <w:bookmarkStart w:id="594" w:name="_Toc451179547"/>
      <w:bookmarkStart w:id="595" w:name="_Toc451430467"/>
      <w:bookmarkStart w:id="596" w:name="_Toc455396417"/>
      <w:bookmarkStart w:id="597" w:name="_Toc455397277"/>
      <w:bookmarkStart w:id="598" w:name="_Toc456086360"/>
      <w:bookmarkStart w:id="599" w:name="_Toc462409373"/>
      <w:r>
        <w:rPr>
          <w:rStyle w:val="CharDivNo"/>
        </w:rPr>
        <w:t>Division 1</w:t>
      </w:r>
      <w:r>
        <w:t> — </w:t>
      </w:r>
      <w:r>
        <w:rPr>
          <w:rStyle w:val="CharDivText"/>
        </w:rPr>
        <w:t>Introduction</w:t>
      </w:r>
      <w:bookmarkEnd w:id="592"/>
      <w:bookmarkEnd w:id="593"/>
      <w:bookmarkEnd w:id="594"/>
      <w:bookmarkEnd w:id="595"/>
      <w:bookmarkEnd w:id="596"/>
      <w:bookmarkEnd w:id="597"/>
      <w:bookmarkEnd w:id="598"/>
      <w:bookmarkEnd w:id="599"/>
    </w:p>
    <w:p>
      <w:pPr>
        <w:pStyle w:val="Heading5"/>
      </w:pPr>
      <w:bookmarkStart w:id="600" w:name="_Toc462409374"/>
      <w:r>
        <w:rPr>
          <w:rStyle w:val="CharSectno"/>
        </w:rPr>
        <w:t>5.1</w:t>
      </w:r>
      <w:r>
        <w:t>.</w:t>
      </w:r>
      <w:r>
        <w:tab/>
        <w:t>Term used: committee</w:t>
      </w:r>
      <w:bookmarkEnd w:id="600"/>
    </w:p>
    <w:p>
      <w:pPr>
        <w:pStyle w:val="Subsection"/>
      </w:pPr>
      <w:r>
        <w:tab/>
      </w:r>
      <w:r>
        <w:tab/>
        <w:t>In this Part, unless the contrary intention appears — </w:t>
      </w:r>
    </w:p>
    <w:p>
      <w:pPr>
        <w:pStyle w:val="Defstart"/>
      </w:pPr>
      <w:r>
        <w:rPr>
          <w:b/>
        </w:rPr>
        <w:tab/>
      </w:r>
      <w:r>
        <w:rPr>
          <w:rStyle w:val="CharDefText"/>
        </w:rPr>
        <w:t>committee</w:t>
      </w:r>
      <w:r>
        <w:t xml:space="preserve"> means a committee of a council.</w:t>
      </w:r>
    </w:p>
    <w:p>
      <w:pPr>
        <w:pStyle w:val="Heading5"/>
      </w:pPr>
      <w:bookmarkStart w:id="601" w:name="_Toc462409375"/>
      <w:r>
        <w:rPr>
          <w:rStyle w:val="CharSectno"/>
        </w:rPr>
        <w:t>5.2</w:t>
      </w:r>
      <w:r>
        <w:t>.</w:t>
      </w:r>
      <w:r>
        <w:tab/>
        <w:t>Administration of local governments</w:t>
      </w:r>
      <w:bookmarkEnd w:id="601"/>
    </w:p>
    <w:p>
      <w:pPr>
        <w:pStyle w:val="Subsection"/>
      </w:pPr>
      <w:r>
        <w:tab/>
      </w:r>
      <w:r>
        <w:tab/>
        <w:t>The council of a local government is to ensure that there is an appropriate structure for administering the local government.</w:t>
      </w:r>
    </w:p>
    <w:p>
      <w:pPr>
        <w:pStyle w:val="Heading3"/>
      </w:pPr>
      <w:bookmarkStart w:id="602" w:name="_Toc448219091"/>
      <w:bookmarkStart w:id="603" w:name="_Toc448224313"/>
      <w:bookmarkStart w:id="604" w:name="_Toc451179550"/>
      <w:bookmarkStart w:id="605" w:name="_Toc451430470"/>
      <w:bookmarkStart w:id="606" w:name="_Toc455396420"/>
      <w:bookmarkStart w:id="607" w:name="_Toc455397280"/>
      <w:bookmarkStart w:id="608" w:name="_Toc456086363"/>
      <w:bookmarkStart w:id="609" w:name="_Toc462409376"/>
      <w:r>
        <w:rPr>
          <w:rStyle w:val="CharDivNo"/>
        </w:rPr>
        <w:t>Division 2</w:t>
      </w:r>
      <w:r>
        <w:t> — </w:t>
      </w:r>
      <w:r>
        <w:rPr>
          <w:rStyle w:val="CharDivText"/>
        </w:rPr>
        <w:t>Council meetings, committees and their meetings and electors’ meetings</w:t>
      </w:r>
      <w:bookmarkEnd w:id="602"/>
      <w:bookmarkEnd w:id="603"/>
      <w:bookmarkEnd w:id="604"/>
      <w:bookmarkEnd w:id="605"/>
      <w:bookmarkEnd w:id="606"/>
      <w:bookmarkEnd w:id="607"/>
      <w:bookmarkEnd w:id="608"/>
      <w:bookmarkEnd w:id="609"/>
    </w:p>
    <w:p>
      <w:pPr>
        <w:pStyle w:val="Heading4"/>
      </w:pPr>
      <w:bookmarkStart w:id="610" w:name="_Toc448219092"/>
      <w:bookmarkStart w:id="611" w:name="_Toc448224314"/>
      <w:bookmarkStart w:id="612" w:name="_Toc451179551"/>
      <w:bookmarkStart w:id="613" w:name="_Toc451430471"/>
      <w:bookmarkStart w:id="614" w:name="_Toc455396421"/>
      <w:bookmarkStart w:id="615" w:name="_Toc455397281"/>
      <w:bookmarkStart w:id="616" w:name="_Toc456086364"/>
      <w:bookmarkStart w:id="617" w:name="_Toc462409377"/>
      <w:r>
        <w:t>Subdivision 1 — Council meetings</w:t>
      </w:r>
      <w:bookmarkEnd w:id="610"/>
      <w:bookmarkEnd w:id="611"/>
      <w:bookmarkEnd w:id="612"/>
      <w:bookmarkEnd w:id="613"/>
      <w:bookmarkEnd w:id="614"/>
      <w:bookmarkEnd w:id="615"/>
      <w:bookmarkEnd w:id="616"/>
      <w:bookmarkEnd w:id="617"/>
    </w:p>
    <w:p>
      <w:pPr>
        <w:pStyle w:val="Heading5"/>
      </w:pPr>
      <w:bookmarkStart w:id="618" w:name="_Toc462409378"/>
      <w:r>
        <w:rPr>
          <w:rStyle w:val="CharSectno"/>
        </w:rPr>
        <w:t>5.3</w:t>
      </w:r>
      <w:r>
        <w:t>.</w:t>
      </w:r>
      <w:r>
        <w:tab/>
        <w:t>Ordinary and special council meetings</w:t>
      </w:r>
      <w:bookmarkEnd w:id="618"/>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Heading5"/>
      </w:pPr>
      <w:bookmarkStart w:id="619" w:name="_Toc462409379"/>
      <w:r>
        <w:rPr>
          <w:rStyle w:val="CharSectno"/>
        </w:rPr>
        <w:t>5.4</w:t>
      </w:r>
      <w:r>
        <w:t>.</w:t>
      </w:r>
      <w:r>
        <w:tab/>
        <w:t>Calling council meetings</w:t>
      </w:r>
      <w:bookmarkEnd w:id="619"/>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620" w:name="_Toc462409380"/>
      <w:r>
        <w:rPr>
          <w:rStyle w:val="CharSectno"/>
        </w:rPr>
        <w:t>5.5</w:t>
      </w:r>
      <w:r>
        <w:t>.</w:t>
      </w:r>
      <w:r>
        <w:tab/>
        <w:t>Convening council meetings</w:t>
      </w:r>
      <w:bookmarkEnd w:id="620"/>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621" w:name="_Toc462409381"/>
      <w:r>
        <w:rPr>
          <w:rStyle w:val="CharSectno"/>
        </w:rPr>
        <w:t>5.6</w:t>
      </w:r>
      <w:r>
        <w:t>.</w:t>
      </w:r>
      <w:r>
        <w:tab/>
        <w:t>Who presides at council meetings</w:t>
      </w:r>
      <w:bookmarkEnd w:id="621"/>
    </w:p>
    <w:p>
      <w:pPr>
        <w:pStyle w:val="Subsection"/>
      </w:pPr>
      <w:r>
        <w:tab/>
        <w:t>(1)</w:t>
      </w:r>
      <w:r>
        <w:tab/>
        <w:t>The mayor or president is to preside at all meetings of the council.</w:t>
      </w:r>
    </w:p>
    <w:p>
      <w:pPr>
        <w:pStyle w:val="Subsection"/>
      </w:pPr>
      <w:r>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622" w:name="_Toc462409382"/>
      <w:r>
        <w:rPr>
          <w:rStyle w:val="CharSectno"/>
        </w:rPr>
        <w:t>5.7</w:t>
      </w:r>
      <w:r>
        <w:t>.</w:t>
      </w:r>
      <w:r>
        <w:tab/>
        <w:t>Minister may reduce number for quorum and certain majorities</w:t>
      </w:r>
      <w:bookmarkEnd w:id="622"/>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623" w:name="_Toc448219098"/>
      <w:bookmarkStart w:id="624" w:name="_Toc448224320"/>
      <w:bookmarkStart w:id="625" w:name="_Toc451179557"/>
      <w:bookmarkStart w:id="626" w:name="_Toc451430477"/>
      <w:bookmarkStart w:id="627" w:name="_Toc455396427"/>
      <w:bookmarkStart w:id="628" w:name="_Toc455397287"/>
      <w:bookmarkStart w:id="629" w:name="_Toc456086370"/>
      <w:bookmarkStart w:id="630" w:name="_Toc462409383"/>
      <w:r>
        <w:t>Subdivision 2 — Committees and their meetings</w:t>
      </w:r>
      <w:bookmarkEnd w:id="623"/>
      <w:bookmarkEnd w:id="624"/>
      <w:bookmarkEnd w:id="625"/>
      <w:bookmarkEnd w:id="626"/>
      <w:bookmarkEnd w:id="627"/>
      <w:bookmarkEnd w:id="628"/>
      <w:bookmarkEnd w:id="629"/>
      <w:bookmarkEnd w:id="630"/>
    </w:p>
    <w:p>
      <w:pPr>
        <w:pStyle w:val="Heading5"/>
      </w:pPr>
      <w:bookmarkStart w:id="631" w:name="_Toc462409384"/>
      <w:r>
        <w:rPr>
          <w:rStyle w:val="CharSectno"/>
        </w:rPr>
        <w:t>5.8</w:t>
      </w:r>
      <w:r>
        <w:t>.</w:t>
      </w:r>
      <w:r>
        <w:tab/>
        <w:t>Establishment of committees</w:t>
      </w:r>
      <w:bookmarkEnd w:id="631"/>
    </w:p>
    <w:p>
      <w:pPr>
        <w:pStyle w:val="Subsection"/>
      </w:pPr>
      <w:r>
        <w:tab/>
      </w:r>
      <w:r>
        <w:tab/>
        <w:t>A local government may establish* committees of 3 or more persons to assist the council and to exercise the powers and discharge the duties of the local government that can be delegated to committees.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632" w:name="_Toc462409385"/>
      <w:r>
        <w:rPr>
          <w:rStyle w:val="CharSectno"/>
        </w:rPr>
        <w:t>5.9</w:t>
      </w:r>
      <w:r>
        <w:t>.</w:t>
      </w:r>
      <w:r>
        <w:tab/>
        <w:t>Committees, types of</w:t>
      </w:r>
      <w:bookmarkEnd w:id="632"/>
    </w:p>
    <w:p>
      <w:pPr>
        <w:pStyle w:val="Subsection"/>
      </w:pPr>
      <w:r>
        <w:tab/>
        <w:t>(1)</w:t>
      </w:r>
      <w:r>
        <w:tab/>
        <w:t>In this section — </w:t>
      </w:r>
    </w:p>
    <w:p>
      <w:pPr>
        <w:pStyle w:val="Defstart"/>
      </w:pPr>
      <w:r>
        <w:rPr>
          <w:b/>
        </w:rPr>
        <w:tab/>
      </w:r>
      <w:r>
        <w:rPr>
          <w:rStyle w:val="CharDefText"/>
        </w:rPr>
        <w:t>other person</w:t>
      </w:r>
      <w:r>
        <w:t xml:space="preserve"> means a person who is not a council member or an employee.</w:t>
      </w:r>
    </w:p>
    <w:p>
      <w:pPr>
        <w:pStyle w:val="Subsection"/>
      </w:pPr>
      <w:r>
        <w:tab/>
        <w:t>(2)</w:t>
      </w:r>
      <w:r>
        <w:tab/>
        <w:t>A committee is to comprise — </w:t>
      </w:r>
    </w:p>
    <w:p>
      <w:pPr>
        <w:pStyle w:val="Indenta"/>
      </w:pPr>
      <w:r>
        <w:tab/>
        <w:t>(a)</w:t>
      </w:r>
      <w:r>
        <w:tab/>
        <w:t>council members only; or</w:t>
      </w:r>
    </w:p>
    <w:p>
      <w:pPr>
        <w:pStyle w:val="Indenta"/>
      </w:pPr>
      <w:r>
        <w:tab/>
        <w:t>(b)</w:t>
      </w:r>
      <w:r>
        <w:tab/>
        <w:t>council members and employees; or</w:t>
      </w:r>
    </w:p>
    <w:p>
      <w:pPr>
        <w:pStyle w:val="Indenta"/>
      </w:pPr>
      <w:r>
        <w:tab/>
        <w:t>(c)</w:t>
      </w:r>
      <w:r>
        <w:tab/>
        <w:t>council members, employees and other persons; or</w:t>
      </w:r>
    </w:p>
    <w:p>
      <w:pPr>
        <w:pStyle w:val="Indenta"/>
      </w:pPr>
      <w:r>
        <w:tab/>
        <w:t>(d)</w:t>
      </w:r>
      <w:r>
        <w:tab/>
        <w:t>council members and other persons; or</w:t>
      </w:r>
    </w:p>
    <w:p>
      <w:pPr>
        <w:pStyle w:val="Indenta"/>
      </w:pPr>
      <w:r>
        <w:tab/>
        <w:t>(e)</w:t>
      </w:r>
      <w:r>
        <w:tab/>
        <w:t>employees and other persons; or</w:t>
      </w:r>
    </w:p>
    <w:p>
      <w:pPr>
        <w:pStyle w:val="Indenta"/>
      </w:pPr>
      <w:r>
        <w:tab/>
        <w:t>(f)</w:t>
      </w:r>
      <w:r>
        <w:tab/>
        <w:t>other persons only.</w:t>
      </w:r>
    </w:p>
    <w:p>
      <w:pPr>
        <w:pStyle w:val="Heading5"/>
        <w:spacing w:before="180"/>
      </w:pPr>
      <w:bookmarkStart w:id="633" w:name="_Toc462409386"/>
      <w:r>
        <w:rPr>
          <w:rStyle w:val="CharSectno"/>
        </w:rPr>
        <w:t>5.10</w:t>
      </w:r>
      <w:r>
        <w:t>.</w:t>
      </w:r>
      <w:r>
        <w:tab/>
        <w:t>Committee members, appointment of</w:t>
      </w:r>
      <w:bookmarkEnd w:id="633"/>
      <w:r>
        <w:t xml:space="preserve"> </w:t>
      </w:r>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local government.</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his or her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Heading5"/>
      </w:pPr>
      <w:bookmarkStart w:id="634" w:name="_Toc462409387"/>
      <w:r>
        <w:rPr>
          <w:rStyle w:val="CharSectno"/>
        </w:rPr>
        <w:t>5.11A</w:t>
      </w:r>
      <w:r>
        <w:t>.</w:t>
      </w:r>
      <w:r>
        <w:tab/>
        <w:t>Deputy committee members</w:t>
      </w:r>
      <w:bookmarkEnd w:id="634"/>
    </w:p>
    <w:p>
      <w:pPr>
        <w:pStyle w:val="Subsection"/>
        <w:rPr>
          <w:snapToGrid w:val="0"/>
        </w:rPr>
      </w:pPr>
      <w:r>
        <w:rPr>
          <w:snapToGrid w:val="0"/>
        </w:rPr>
        <w:tab/>
        <w:t>(1)</w:t>
      </w:r>
      <w:r>
        <w:rPr>
          <w:snapToGrid w:val="0"/>
        </w:rPr>
        <w:tab/>
        <w:t>The local government may appoint* a person to be a deputy of a member of a committee and may terminate such an appointment* at any time.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 xml:space="preserve">A person who is appointed as a deputy of a member of a committee is to be — </w:t>
      </w:r>
    </w:p>
    <w:p>
      <w:pPr>
        <w:pStyle w:val="Indenta"/>
      </w:pPr>
      <w:r>
        <w:tab/>
        <w:t>(a)</w:t>
      </w:r>
      <w:r>
        <w:tab/>
        <w:t>if the member of the committee is a council member — a council member; or</w:t>
      </w:r>
    </w:p>
    <w:p>
      <w:pPr>
        <w:pStyle w:val="Indenta"/>
      </w:pPr>
      <w:r>
        <w:tab/>
        <w:t>(b)</w:t>
      </w:r>
      <w:r>
        <w:tab/>
        <w:t>if the member of the committee is an employee — an employee; or</w:t>
      </w:r>
    </w:p>
    <w:p>
      <w:pPr>
        <w:pStyle w:val="Indenta"/>
      </w:pPr>
      <w:r>
        <w:tab/>
        <w:t>(c)</w:t>
      </w:r>
      <w:r>
        <w:tab/>
        <w:t>if the member of the committee is not a council member or an employee — a person who is not a council member or an employee; or</w:t>
      </w:r>
    </w:p>
    <w:p>
      <w:pPr>
        <w:pStyle w:val="Indenta"/>
      </w:pPr>
      <w:r>
        <w:tab/>
        <w:t>(d)</w:t>
      </w:r>
      <w:r>
        <w:tab/>
        <w:t>if the member of the committee is a person appointed under section 5.10(5) — a person nominated by the CEO.</w:t>
      </w:r>
    </w:p>
    <w:p>
      <w:pPr>
        <w:pStyle w:val="Subsection"/>
        <w:rPr>
          <w:snapToGrid w:val="0"/>
        </w:rPr>
      </w:pPr>
      <w:r>
        <w:tab/>
        <w:t>(3)</w:t>
      </w:r>
      <w:r>
        <w:tab/>
      </w:r>
      <w:r>
        <w:rPr>
          <w:snapToGrid w:val="0"/>
        </w:rPr>
        <w:t>A deputy of a member of a committee may perform the functions of the member when the member is unable to do so by reason of illness, absence or other cause.</w:t>
      </w:r>
    </w:p>
    <w:p>
      <w:pPr>
        <w:pStyle w:val="Subsection"/>
        <w:rPr>
          <w:snapToGrid w:val="0"/>
        </w:rPr>
      </w:pPr>
      <w:r>
        <w:tab/>
        <w:t>(4)</w:t>
      </w:r>
      <w:r>
        <w:tab/>
      </w:r>
      <w:r>
        <w:rPr>
          <w:snapToGrid w:val="0"/>
        </w:rPr>
        <w:t>A deputy of a member of a committee, while acting as a member, has all the functions of and all the protection given to a member.</w:t>
      </w:r>
    </w:p>
    <w:p>
      <w:pPr>
        <w:pStyle w:val="Footnotesection"/>
      </w:pPr>
      <w:r>
        <w:tab/>
        <w:t>[Section 5.11A inserted by No. 17 of 2009 s. 20.]</w:t>
      </w:r>
    </w:p>
    <w:p>
      <w:pPr>
        <w:pStyle w:val="Heading5"/>
      </w:pPr>
      <w:bookmarkStart w:id="635" w:name="_Toc462409388"/>
      <w:r>
        <w:rPr>
          <w:rStyle w:val="CharSectno"/>
        </w:rPr>
        <w:t>5.11</w:t>
      </w:r>
      <w:r>
        <w:t>.</w:t>
      </w:r>
      <w:r>
        <w:tab/>
        <w:t>Committee membership, tenure of</w:t>
      </w:r>
      <w:bookmarkEnd w:id="635"/>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 or</w:t>
      </w:r>
    </w:p>
    <w:p>
      <w:pPr>
        <w:pStyle w:val="Indenta"/>
      </w:pPr>
      <w:r>
        <w:tab/>
        <w:t>(b)</w:t>
      </w:r>
      <w:r>
        <w:tab/>
        <w:t>the person resigns from membership of the committee; or</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the term of the person’s appointment as a committee member expires; or</w:t>
      </w:r>
    </w:p>
    <w:p>
      <w:pPr>
        <w:pStyle w:val="Indenta"/>
      </w:pPr>
      <w:r>
        <w:tab/>
        <w:t>(b)</w:t>
      </w:r>
      <w:r>
        <w:tab/>
        <w:t>the local government removes the person from the office of committee member or the office of committee member otherwise becomes vacant; or</w:t>
      </w:r>
    </w:p>
    <w:p>
      <w:pPr>
        <w:pStyle w:val="Indenta"/>
      </w:pPr>
      <w:r>
        <w:tab/>
        <w:t>(c)</w:t>
      </w:r>
      <w:r>
        <w:tab/>
        <w:t xml:space="preserve">the committee is disbanded; or </w:t>
      </w:r>
    </w:p>
    <w:p>
      <w:pPr>
        <w:pStyle w:val="Indenta"/>
        <w:keepNext/>
      </w:pPr>
      <w:r>
        <w:tab/>
        <w:t>(d)</w:t>
      </w:r>
      <w:r>
        <w:tab/>
        <w:t xml:space="preserve">the next ordinary elections day, </w:t>
      </w:r>
    </w:p>
    <w:p>
      <w:pPr>
        <w:pStyle w:val="Subsection"/>
      </w:pPr>
      <w:r>
        <w:tab/>
      </w:r>
      <w:r>
        <w:tab/>
        <w:t>whichever happens first.</w:t>
      </w:r>
    </w:p>
    <w:p>
      <w:pPr>
        <w:pStyle w:val="Heading5"/>
      </w:pPr>
      <w:bookmarkStart w:id="636" w:name="_Toc462409389"/>
      <w:r>
        <w:rPr>
          <w:rStyle w:val="CharSectno"/>
        </w:rPr>
        <w:t>5.12</w:t>
      </w:r>
      <w:r>
        <w:t>.</w:t>
      </w:r>
      <w:r>
        <w:tab/>
        <w:t>Presiding members and deputies, election of</w:t>
      </w:r>
      <w:bookmarkEnd w:id="636"/>
    </w:p>
    <w:p>
      <w:pPr>
        <w:pStyle w:val="Subsection"/>
      </w:pPr>
      <w:r>
        <w:tab/>
        <w:t>(1)</w:t>
      </w:r>
      <w:r>
        <w:tab/>
        <w:t>The members of a committee are to elect a presiding member from amongst themselves in accordance with Schedule 2.3, Division 1 as if the references in that Schedule — </w:t>
      </w:r>
    </w:p>
    <w:p>
      <w:pPr>
        <w:pStyle w:val="Indenta"/>
      </w:pPr>
      <w:r>
        <w:tab/>
        <w:t>(a)</w:t>
      </w:r>
      <w:r>
        <w:tab/>
        <w:t>to “office” were references to “office of presiding member”; and</w:t>
      </w:r>
    </w:p>
    <w:p>
      <w:pPr>
        <w:pStyle w:val="Indenta"/>
      </w:pPr>
      <w:r>
        <w:tab/>
        <w:t>(b)</w:t>
      </w:r>
      <w:r>
        <w:tab/>
        <w:t>to “council” were references to “committee”; and</w:t>
      </w:r>
    </w:p>
    <w:p>
      <w:pPr>
        <w:pStyle w:val="Indenta"/>
      </w:pPr>
      <w:r>
        <w:tab/>
        <w:t>(c)</w:t>
      </w:r>
      <w:r>
        <w:tab/>
        <w:t xml:space="preserve">to “councillors” were references to “committee members”. </w:t>
      </w:r>
    </w:p>
    <w:p>
      <w:pPr>
        <w:pStyle w:val="Subsection"/>
      </w:pPr>
      <w:r>
        <w:tab/>
        <w:t>(2)</w:t>
      </w:r>
      <w:r>
        <w:tab/>
        <w:t>The members of a committee may elect a deputy presiding member from amongst themselves but any such election is to be in accordance with Schedule 2.3, Division 2 as if the references in that Schedule — </w:t>
      </w:r>
    </w:p>
    <w:p>
      <w:pPr>
        <w:pStyle w:val="Indenta"/>
      </w:pPr>
      <w:r>
        <w:tab/>
        <w:t>(a)</w:t>
      </w:r>
      <w:r>
        <w:tab/>
        <w:t>to “office” were references to “office of deputy presiding member”; and</w:t>
      </w:r>
    </w:p>
    <w:p>
      <w:pPr>
        <w:pStyle w:val="Indenta"/>
      </w:pPr>
      <w:r>
        <w:tab/>
        <w:t>(b)</w:t>
      </w:r>
      <w:r>
        <w:tab/>
        <w:t>to “council” were references to “committee”; and</w:t>
      </w:r>
    </w:p>
    <w:p>
      <w:pPr>
        <w:pStyle w:val="Indenta"/>
      </w:pPr>
      <w:r>
        <w:tab/>
        <w:t>(c)</w:t>
      </w:r>
      <w:r>
        <w:tab/>
        <w:t>to “councillors” were references to “committee members”; and</w:t>
      </w:r>
    </w:p>
    <w:p>
      <w:pPr>
        <w:pStyle w:val="Indenta"/>
      </w:pPr>
      <w:r>
        <w:tab/>
        <w:t>(d)</w:t>
      </w:r>
      <w:r>
        <w:tab/>
        <w:t>to “mayor or president” were references to “presiding member”.</w:t>
      </w:r>
    </w:p>
    <w:p>
      <w:pPr>
        <w:pStyle w:val="Heading5"/>
      </w:pPr>
      <w:bookmarkStart w:id="637" w:name="_Toc462409390"/>
      <w:r>
        <w:rPr>
          <w:rStyle w:val="CharSectno"/>
        </w:rPr>
        <w:t>5.13</w:t>
      </w:r>
      <w:r>
        <w:t>.</w:t>
      </w:r>
      <w:r>
        <w:tab/>
        <w:t>Deputy presiding members, functions of</w:t>
      </w:r>
      <w:bookmarkEnd w:id="637"/>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pPr>
      <w:r>
        <w:tab/>
      </w:r>
      <w:r>
        <w:tab/>
        <w:t>then the deputy presiding member, if any, may perform the functions of presiding member.</w:t>
      </w:r>
    </w:p>
    <w:p>
      <w:pPr>
        <w:pStyle w:val="Heading5"/>
        <w:spacing w:before="180"/>
      </w:pPr>
      <w:bookmarkStart w:id="638" w:name="_Toc462409391"/>
      <w:r>
        <w:rPr>
          <w:rStyle w:val="CharSectno"/>
        </w:rPr>
        <w:t>5.14</w:t>
      </w:r>
      <w:r>
        <w:t>.</w:t>
      </w:r>
      <w:r>
        <w:tab/>
        <w:t>Who acts if no presiding member</w:t>
      </w:r>
      <w:bookmarkEnd w:id="638"/>
    </w:p>
    <w:p>
      <w:pPr>
        <w:pStyle w:val="Subsection"/>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spacing w:before="180"/>
      </w:pPr>
      <w:bookmarkStart w:id="639" w:name="_Toc462409392"/>
      <w:r>
        <w:rPr>
          <w:rStyle w:val="CharSectno"/>
        </w:rPr>
        <w:t>5.15</w:t>
      </w:r>
      <w:r>
        <w:t>.</w:t>
      </w:r>
      <w:r>
        <w:tab/>
        <w:t>Reduction of quorum for committees</w:t>
      </w:r>
      <w:bookmarkEnd w:id="639"/>
    </w:p>
    <w:p>
      <w:pPr>
        <w:pStyle w:val="Subsection"/>
      </w:pPr>
      <w:r>
        <w:tab/>
      </w:r>
      <w:r>
        <w:tab/>
        <w:t>The local government may reduce* the number of offices of committee member required for a quorum at a committee meeting specified by the local government if there would not otherwise be a quorum for the meeting.</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640" w:name="_Toc462409393"/>
      <w:r>
        <w:rPr>
          <w:rStyle w:val="CharSectno"/>
        </w:rPr>
        <w:t>5.16</w:t>
      </w:r>
      <w:r>
        <w:t>.</w:t>
      </w:r>
      <w:r>
        <w:tab/>
        <w:t>Delegation of some powers and duties to certain committees</w:t>
      </w:r>
      <w:bookmarkEnd w:id="640"/>
    </w:p>
    <w:p>
      <w:pPr>
        <w:pStyle w:val="Subsection"/>
      </w:pPr>
      <w:r>
        <w:tab/>
        <w:t>(1)</w:t>
      </w:r>
      <w:r>
        <w:tab/>
        <w:t>Under and subject to section 5.17, a local government may delegate* to a committee any of its powers and duties other than this power of delegation.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spacing w:before="180"/>
      </w:pPr>
      <w:bookmarkStart w:id="641" w:name="_Toc462409394"/>
      <w:r>
        <w:rPr>
          <w:rStyle w:val="CharSectno"/>
        </w:rPr>
        <w:t>5.17</w:t>
      </w:r>
      <w:r>
        <w:t>.</w:t>
      </w:r>
      <w:r>
        <w:tab/>
        <w:t>Limits on delegation of powers and duties to certain committees</w:t>
      </w:r>
      <w:bookmarkEnd w:id="641"/>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or a 75% majority of the local government; and</w:t>
      </w:r>
    </w:p>
    <w:p>
      <w:pPr>
        <w:pStyle w:val="Indenti"/>
      </w:pPr>
      <w:r>
        <w:tab/>
        <w:t>(ii)</w:t>
      </w:r>
      <w:r>
        <w:tab/>
        <w:t>any other power or duty that is prescribed;</w:t>
      </w:r>
    </w:p>
    <w:p>
      <w:pPr>
        <w:pStyle w:val="Indenta"/>
      </w:pPr>
      <w:r>
        <w:tab/>
      </w:r>
      <w:r>
        <w:tab/>
        <w:t>and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spacing w:before="120"/>
      </w:pPr>
      <w:r>
        <w:tab/>
        <w:t>(2)</w:t>
      </w:r>
      <w:r>
        <w:tab/>
        <w:t>A local government cannot delegate any of its powers or duties to a committee referred to in section 5.9(2)(f).</w:t>
      </w:r>
    </w:p>
    <w:p>
      <w:pPr>
        <w:pStyle w:val="Footnotesection"/>
      </w:pPr>
      <w:r>
        <w:tab/>
        <w:t>[Section 5.17 amended by No. 49 of 2004 s. 16(2).]</w:t>
      </w:r>
    </w:p>
    <w:p>
      <w:pPr>
        <w:pStyle w:val="Heading5"/>
        <w:keepNext w:val="0"/>
        <w:keepLines w:val="0"/>
        <w:spacing w:before="180"/>
      </w:pPr>
      <w:bookmarkStart w:id="642" w:name="_Toc462409395"/>
      <w:r>
        <w:rPr>
          <w:rStyle w:val="CharSectno"/>
        </w:rPr>
        <w:t>5.18</w:t>
      </w:r>
      <w:r>
        <w:t>.</w:t>
      </w:r>
      <w:r>
        <w:tab/>
        <w:t>Register of delegations to committees</w:t>
      </w:r>
      <w:bookmarkEnd w:id="642"/>
    </w:p>
    <w:p>
      <w:pPr>
        <w:pStyle w:val="Subsection"/>
        <w:spacing w:before="120"/>
      </w:pPr>
      <w:r>
        <w:tab/>
      </w:r>
      <w:r>
        <w:tab/>
        <w:t>A local government is to keep a register of the delegations made under this Division and review the delegations at least once every financial year.</w:t>
      </w:r>
    </w:p>
    <w:p>
      <w:pPr>
        <w:pStyle w:val="Heading4"/>
      </w:pPr>
      <w:bookmarkStart w:id="643" w:name="_Toc448219111"/>
      <w:bookmarkStart w:id="644" w:name="_Toc448224333"/>
      <w:bookmarkStart w:id="645" w:name="_Toc451179570"/>
      <w:bookmarkStart w:id="646" w:name="_Toc451430490"/>
      <w:bookmarkStart w:id="647" w:name="_Toc455396440"/>
      <w:bookmarkStart w:id="648" w:name="_Toc455397300"/>
      <w:bookmarkStart w:id="649" w:name="_Toc456086383"/>
      <w:bookmarkStart w:id="650" w:name="_Toc462409396"/>
      <w:r>
        <w:t>Subdivision 3 — Matters affecting council and committee meetings</w:t>
      </w:r>
      <w:bookmarkEnd w:id="643"/>
      <w:bookmarkEnd w:id="644"/>
      <w:bookmarkEnd w:id="645"/>
      <w:bookmarkEnd w:id="646"/>
      <w:bookmarkEnd w:id="647"/>
      <w:bookmarkEnd w:id="648"/>
      <w:bookmarkEnd w:id="649"/>
      <w:bookmarkEnd w:id="650"/>
    </w:p>
    <w:p>
      <w:pPr>
        <w:pStyle w:val="Heading5"/>
      </w:pPr>
      <w:bookmarkStart w:id="651" w:name="_Toc462409397"/>
      <w:r>
        <w:rPr>
          <w:rStyle w:val="CharSectno"/>
        </w:rPr>
        <w:t>5.19</w:t>
      </w:r>
      <w:r>
        <w:t>.</w:t>
      </w:r>
      <w:r>
        <w:tab/>
        <w:t>Quorum for meetings</w:t>
      </w:r>
      <w:bookmarkEnd w:id="651"/>
    </w:p>
    <w:p>
      <w:pPr>
        <w:pStyle w:val="Subsection"/>
      </w:pPr>
      <w:r>
        <w:tab/>
      </w:r>
      <w:r>
        <w:tab/>
        <w:t xml:space="preserve">The quorum for a meeting of a council or committee is at least 50% of the number of offices (whether vacant or not) of member of the council or the committee. </w:t>
      </w:r>
    </w:p>
    <w:p>
      <w:pPr>
        <w:pStyle w:val="Heading5"/>
      </w:pPr>
      <w:bookmarkStart w:id="652" w:name="_Toc462409398"/>
      <w:r>
        <w:rPr>
          <w:rStyle w:val="CharSectno"/>
        </w:rPr>
        <w:t>5.20</w:t>
      </w:r>
      <w:r>
        <w:t>.</w:t>
      </w:r>
      <w:r>
        <w:tab/>
        <w:t>Decisions of councils and committees</w:t>
      </w:r>
      <w:bookmarkEnd w:id="652"/>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 or</w:t>
      </w:r>
    </w:p>
    <w:p>
      <w:pPr>
        <w:pStyle w:val="Indenta"/>
      </w:pPr>
      <w:r>
        <w:tab/>
        <w:t>(b)</w:t>
      </w:r>
      <w:r>
        <w:tab/>
        <w:t>by a council of the local government’s deputy mayor or president under section 2.15; or</w:t>
      </w:r>
    </w:p>
    <w:p>
      <w:pPr>
        <w:pStyle w:val="Indenta"/>
      </w:pPr>
      <w:r>
        <w:tab/>
        <w:t>(c)</w:t>
      </w:r>
      <w:r>
        <w:tab/>
        <w:t>by a committee of the committee’s presiding member or deputy presiding member under section 5.12.</w:t>
      </w:r>
    </w:p>
    <w:p>
      <w:pPr>
        <w:pStyle w:val="Heading5"/>
      </w:pPr>
      <w:bookmarkStart w:id="653" w:name="_Toc462409399"/>
      <w:r>
        <w:rPr>
          <w:rStyle w:val="CharSectno"/>
        </w:rPr>
        <w:t>5.21</w:t>
      </w:r>
      <w:r>
        <w:t>.</w:t>
      </w:r>
      <w:r>
        <w:tab/>
        <w:t>Voting</w:t>
      </w:r>
      <w:bookmarkEnd w:id="653"/>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tab/>
        <w:t>(3)</w:t>
      </w:r>
      <w:r>
        <w:tab/>
        <w:t>If the votes of members present at a council or a committee meeting are equally divided, the person presiding is to cast a second vote.</w:t>
      </w:r>
    </w:p>
    <w:p>
      <w:pPr>
        <w:pStyle w:val="Subsection"/>
      </w:pPr>
      <w:r>
        <w:tab/>
        <w:t>(4)</w:t>
      </w:r>
      <w:r>
        <w:tab/>
        <w:t>If a member of a council or a committee specifically requests that there be recorded — </w:t>
      </w:r>
    </w:p>
    <w:p>
      <w:pPr>
        <w:pStyle w:val="Indenta"/>
      </w:pPr>
      <w:r>
        <w:tab/>
        <w:t>(a)</w:t>
      </w:r>
      <w:r>
        <w:tab/>
        <w:t>his or her vote; or</w:t>
      </w:r>
    </w:p>
    <w:p>
      <w:pPr>
        <w:pStyle w:val="Indenta"/>
      </w:pPr>
      <w:r>
        <w:tab/>
        <w:t>(b)</w:t>
      </w:r>
      <w:r>
        <w:tab/>
        <w:t>the vote of all members present,</w:t>
      </w:r>
    </w:p>
    <w:p>
      <w:pPr>
        <w:pStyle w:val="Subsection"/>
      </w:pPr>
      <w:r>
        <w:tab/>
      </w:r>
      <w:r>
        <w:tab/>
        <w:t>on a matter voted on at a meeting of the council or the committee, the person presiding is to cause the vote or votes, as the case may be, to be recorded in the minutes.</w:t>
      </w:r>
    </w:p>
    <w:p>
      <w:pPr>
        <w:pStyle w:val="Subsection"/>
      </w:pPr>
      <w:r>
        <w:tab/>
        <w:t>(5)</w:t>
      </w:r>
      <w:r>
        <w:tab/>
        <w:t>A person who fails to comply with subsection (2) or (3) commits an offence.</w:t>
      </w:r>
    </w:p>
    <w:p>
      <w:pPr>
        <w:pStyle w:val="Footnotesection"/>
      </w:pPr>
      <w:r>
        <w:tab/>
        <w:t>[Section 5.21 amended by No. 49 of 2004 s. 43.]</w:t>
      </w:r>
    </w:p>
    <w:p>
      <w:pPr>
        <w:pStyle w:val="Heading5"/>
      </w:pPr>
      <w:bookmarkStart w:id="654" w:name="_Toc462409400"/>
      <w:r>
        <w:rPr>
          <w:rStyle w:val="CharSectno"/>
        </w:rPr>
        <w:t>5.22</w:t>
      </w:r>
      <w:r>
        <w:t>.</w:t>
      </w:r>
      <w:r>
        <w:tab/>
        <w:t>Minutes of council and committee meetings</w:t>
      </w:r>
      <w:bookmarkEnd w:id="654"/>
    </w:p>
    <w:p>
      <w:pPr>
        <w:pStyle w:val="Subsection"/>
      </w:pPr>
      <w:r>
        <w:tab/>
        <w:t>(1)</w:t>
      </w:r>
      <w:r>
        <w:tab/>
        <w:t>The person presiding at a meeting of a council or a committee is to cause minutes to be kept of the meeting’s proceedings.</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pPr>
      <w:r>
        <w:tab/>
        <w:t>(3)</w:t>
      </w:r>
      <w:r>
        <w:tab/>
        <w:t>The person presiding at the meeting at which the minutes are confirmed is to sign the minutes and certify the confirmation.</w:t>
      </w:r>
    </w:p>
    <w:p>
      <w:pPr>
        <w:pStyle w:val="Heading5"/>
      </w:pPr>
      <w:bookmarkStart w:id="655" w:name="_Toc462409401"/>
      <w:r>
        <w:rPr>
          <w:rStyle w:val="CharSectno"/>
        </w:rPr>
        <w:t>5.23</w:t>
      </w:r>
      <w:r>
        <w:t>.</w:t>
      </w:r>
      <w:r>
        <w:tab/>
        <w:t>Meetings generally open to public</w:t>
      </w:r>
      <w:bookmarkEnd w:id="655"/>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pPr>
      <w:r>
        <w:tab/>
        <w:t>(2)</w:t>
      </w:r>
      <w:r>
        <w:tab/>
        <w:t>If a meeting is being held by a council or by a committee referred to in subsection (1)(b), the council or committee may close to members of the public the meeting, or part of the meeting, if the meeting or the part of the meeting deals with any of the following — </w:t>
      </w:r>
    </w:p>
    <w:p>
      <w:pPr>
        <w:pStyle w:val="Indenta"/>
      </w:pPr>
      <w:r>
        <w:tab/>
        <w:t>(a)</w:t>
      </w:r>
      <w:r>
        <w:tab/>
        <w:t>a matter affecting an employee or employees; and</w:t>
      </w:r>
    </w:p>
    <w:p>
      <w:pPr>
        <w:pStyle w:val="Indenta"/>
      </w:pPr>
      <w:r>
        <w:tab/>
        <w:t>(b)</w:t>
      </w:r>
      <w:r>
        <w:tab/>
        <w:t>the personal affairs of any person; and</w:t>
      </w:r>
    </w:p>
    <w:p>
      <w:pPr>
        <w:pStyle w:val="Indenta"/>
      </w:pPr>
      <w:r>
        <w:tab/>
        <w:t>(c)</w:t>
      </w:r>
      <w:r>
        <w:tab/>
        <w:t>a contract entered into, or which may be entered into, by the local government and which relates to a matter to be discussed at the meeting; and</w:t>
      </w:r>
    </w:p>
    <w:p>
      <w:pPr>
        <w:pStyle w:val="Indenta"/>
      </w:pPr>
      <w:r>
        <w:tab/>
        <w:t>(d)</w:t>
      </w:r>
      <w:r>
        <w:tab/>
        <w:t>legal advice obtained, or which may be obtained, by the local government and which relates to a matter to be discussed at the meeting; and</w:t>
      </w:r>
    </w:p>
    <w:p>
      <w:pPr>
        <w:pStyle w:val="Indenta"/>
      </w:pPr>
      <w:r>
        <w:tab/>
        <w:t>(e)</w:t>
      </w:r>
      <w:r>
        <w:tab/>
        <w:t>a matter that if disclosed, would reveal — </w:t>
      </w:r>
    </w:p>
    <w:p>
      <w:pPr>
        <w:pStyle w:val="Indenti"/>
      </w:pPr>
      <w:r>
        <w:tab/>
        <w:t>(i)</w:t>
      </w:r>
      <w:r>
        <w:tab/>
        <w:t>a trade secret; or</w:t>
      </w:r>
    </w:p>
    <w:p>
      <w:pPr>
        <w:pStyle w:val="Indenti"/>
      </w:pPr>
      <w:r>
        <w:tab/>
        <w:t>(ii)</w:t>
      </w:r>
      <w:r>
        <w:tab/>
        <w:t>information that has a commercial value to a person; or</w:t>
      </w:r>
    </w:p>
    <w:p>
      <w:pPr>
        <w:pStyle w:val="Indenti"/>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 and</w:t>
      </w:r>
    </w:p>
    <w:p>
      <w:pPr>
        <w:pStyle w:val="Indenta"/>
      </w:pPr>
      <w:r>
        <w:tab/>
        <w:t>(f)</w:t>
      </w:r>
      <w:r>
        <w:tab/>
        <w:t>a matter that if disclosed, could be reasonably expected to — </w:t>
      </w:r>
    </w:p>
    <w:p>
      <w:pPr>
        <w:pStyle w:val="Indenti"/>
      </w:pPr>
      <w:r>
        <w:tab/>
        <w:t>(i)</w:t>
      </w:r>
      <w:r>
        <w:tab/>
        <w:t>impair the effectiveness of any lawful method or procedure for preventing, detecting, investigating or dealing with any contravention or possible contravention of the law; or</w:t>
      </w:r>
    </w:p>
    <w:p>
      <w:pPr>
        <w:pStyle w:val="Indenti"/>
      </w:pPr>
      <w:r>
        <w:tab/>
        <w:t>(ii)</w:t>
      </w:r>
      <w:r>
        <w:tab/>
        <w:t>endanger the security of the local government’s property; or</w:t>
      </w:r>
    </w:p>
    <w:p>
      <w:pPr>
        <w:pStyle w:val="Indenti"/>
      </w:pPr>
      <w:r>
        <w:tab/>
        <w:t>(iii)</w:t>
      </w:r>
      <w:r>
        <w:tab/>
        <w:t xml:space="preserve">prejudice the maintenance or enforcement of a lawful measure for protecting public safety; </w:t>
      </w:r>
    </w:p>
    <w:p>
      <w:pPr>
        <w:pStyle w:val="Indenta"/>
        <w:tabs>
          <w:tab w:val="left" w:pos="4800"/>
        </w:tabs>
      </w:pPr>
      <w:r>
        <w:tab/>
      </w:r>
      <w:r>
        <w:tab/>
        <w:t>and</w:t>
      </w:r>
    </w:p>
    <w:p>
      <w:pPr>
        <w:pStyle w:val="Indenta"/>
        <w:tabs>
          <w:tab w:val="left" w:pos="4800"/>
        </w:tabs>
      </w:pPr>
      <w:r>
        <w:tab/>
        <w:t>(g)</w:t>
      </w:r>
      <w:r>
        <w:tab/>
        <w:t xml:space="preserve">information which is the subject of a direction given under section 23(1a) of the </w:t>
      </w:r>
      <w:r>
        <w:rPr>
          <w:i/>
        </w:rPr>
        <w:t>Parliamentary Commissioner Act 1971</w:t>
      </w:r>
      <w:r>
        <w:t>; and</w:t>
      </w:r>
    </w:p>
    <w:p>
      <w:pPr>
        <w:pStyle w:val="Indenta"/>
        <w:tabs>
          <w:tab w:val="left" w:pos="4800"/>
        </w:tabs>
      </w:pPr>
      <w:r>
        <w:tab/>
        <w:t>(h)</w:t>
      </w:r>
      <w:r>
        <w:tab/>
        <w:t>such other matters as may be prescribed.</w:t>
      </w:r>
    </w:p>
    <w:p>
      <w:pPr>
        <w:pStyle w:val="Subsection"/>
        <w:tabs>
          <w:tab w:val="left" w:pos="4800"/>
        </w:tabs>
      </w:pPr>
      <w:r>
        <w:tab/>
        <w:t>(3)</w:t>
      </w:r>
      <w:r>
        <w:tab/>
        <w:t>A decision to close a meeting or part of a meeting and the reason for the decision are to be recorded in the minutes of the meeting.</w:t>
      </w:r>
    </w:p>
    <w:p>
      <w:pPr>
        <w:pStyle w:val="Heading5"/>
        <w:tabs>
          <w:tab w:val="left" w:pos="4800"/>
        </w:tabs>
      </w:pPr>
      <w:bookmarkStart w:id="656" w:name="_Toc462409402"/>
      <w:r>
        <w:rPr>
          <w:rStyle w:val="CharSectno"/>
        </w:rPr>
        <w:t>5.24</w:t>
      </w:r>
      <w:r>
        <w:t>.</w:t>
      </w:r>
      <w:r>
        <w:tab/>
        <w:t>Question time for public</w:t>
      </w:r>
      <w:bookmarkEnd w:id="656"/>
    </w:p>
    <w:p>
      <w:pPr>
        <w:pStyle w:val="Subsection"/>
        <w:tabs>
          <w:tab w:val="left" w:pos="4800"/>
        </w:tabs>
      </w:pPr>
      <w:r>
        <w:tab/>
        <w:t>(1)</w:t>
      </w:r>
      <w:r>
        <w:tab/>
        <w:t>Time is to be allocated for questions to be raised by members of the public and responded to at — </w:t>
      </w:r>
    </w:p>
    <w:p>
      <w:pPr>
        <w:pStyle w:val="Indenta"/>
        <w:tabs>
          <w:tab w:val="left" w:pos="4800"/>
        </w:tabs>
      </w:pPr>
      <w:r>
        <w:tab/>
        <w:t>(a)</w:t>
      </w:r>
      <w:r>
        <w:tab/>
        <w:t xml:space="preserve">every ordinary meeting of a council; and </w:t>
      </w:r>
    </w:p>
    <w:p>
      <w:pPr>
        <w:pStyle w:val="Indenta"/>
        <w:tabs>
          <w:tab w:val="left" w:pos="4800"/>
        </w:tabs>
      </w:pPr>
      <w:r>
        <w:tab/>
        <w:t>(b)</w:t>
      </w:r>
      <w:r>
        <w:tab/>
        <w:t>such other meetings of councils or committees as may be prescribed.</w:t>
      </w:r>
    </w:p>
    <w:p>
      <w:pPr>
        <w:pStyle w:val="Subsection"/>
        <w:tabs>
          <w:tab w:val="left" w:pos="4800"/>
        </w:tabs>
      </w:pPr>
      <w:r>
        <w:tab/>
        <w:t>(2)</w:t>
      </w:r>
      <w:r>
        <w:tab/>
        <w:t>Procedures and the minimum time to be allocated for the asking of and responding to questions raised by members of the public at council or committee meetings are to be in accordance with regulations.</w:t>
      </w:r>
    </w:p>
    <w:p>
      <w:pPr>
        <w:pStyle w:val="Heading5"/>
        <w:tabs>
          <w:tab w:val="left" w:pos="4800"/>
        </w:tabs>
        <w:spacing w:before="180"/>
      </w:pPr>
      <w:bookmarkStart w:id="657" w:name="_Toc462409403"/>
      <w:r>
        <w:rPr>
          <w:rStyle w:val="CharSectno"/>
        </w:rPr>
        <w:t>5.25</w:t>
      </w:r>
      <w:r>
        <w:t>.</w:t>
      </w:r>
      <w:r>
        <w:tab/>
        <w:t>Regulations about council and committee meetings and committees</w:t>
      </w:r>
      <w:bookmarkEnd w:id="657"/>
    </w:p>
    <w:p>
      <w:pPr>
        <w:pStyle w:val="Subsection"/>
        <w:tabs>
          <w:tab w:val="left" w:pos="4800"/>
        </w:tabs>
      </w:pPr>
      <w:r>
        <w:tab/>
        <w:t>(1)</w:t>
      </w:r>
      <w:r>
        <w:tab/>
        <w:t>Without limiting the generality of section 9.59, regulations may make provision in relation to — </w:t>
      </w:r>
    </w:p>
    <w:p>
      <w:pPr>
        <w:pStyle w:val="Indenta"/>
        <w:tabs>
          <w:tab w:val="left" w:pos="4800"/>
        </w:tabs>
      </w:pPr>
      <w:r>
        <w:tab/>
        <w:t>(a)</w:t>
      </w:r>
      <w:r>
        <w:tab/>
        <w:t>the matters to be dealt with at ordinary or at special meetings of councils; and</w:t>
      </w:r>
    </w:p>
    <w:p>
      <w:pPr>
        <w:pStyle w:val="Indenta"/>
        <w:tabs>
          <w:tab w:val="left" w:pos="4800"/>
        </w:tabs>
      </w:pPr>
      <w:r>
        <w:tab/>
        <w:t>(b)</w:t>
      </w:r>
      <w:r>
        <w:tab/>
        <w:t>the functions of committees or types of committee; and</w:t>
      </w:r>
    </w:p>
    <w:p>
      <w:pPr>
        <w:pStyle w:val="Indenta"/>
        <w:tabs>
          <w:tab w:val="left" w:pos="4800"/>
        </w:tabs>
      </w:pPr>
      <w:r>
        <w:tab/>
        <w:t>(ba)</w:t>
      </w:r>
      <w:r>
        <w:tab/>
        <w:t>the holding of council or committee meetings by telephone, video conference or other electronic means; and</w:t>
      </w:r>
    </w:p>
    <w:p>
      <w:pPr>
        <w:pStyle w:val="Indenta"/>
        <w:tabs>
          <w:tab w:val="left" w:pos="4800"/>
        </w:tabs>
      </w:pPr>
      <w:r>
        <w:tab/>
        <w:t>(c)</w:t>
      </w:r>
      <w:r>
        <w:tab/>
        <w:t>the procedure to be followed at, and in respect of, council or committee meetings; and</w:t>
      </w:r>
    </w:p>
    <w:p>
      <w:pPr>
        <w:pStyle w:val="Indenta"/>
        <w:tabs>
          <w:tab w:val="left" w:pos="4800"/>
        </w:tabs>
      </w:pPr>
      <w:r>
        <w:tab/>
        <w:t>(d)</w:t>
      </w:r>
      <w:r>
        <w:tab/>
        <w:t xml:space="preserve">methods of voting at council or committee meetings; and </w:t>
      </w:r>
    </w:p>
    <w:p>
      <w:pPr>
        <w:pStyle w:val="Indenta"/>
        <w:tabs>
          <w:tab w:val="left" w:pos="4800"/>
        </w:tabs>
      </w:pPr>
      <w:r>
        <w:tab/>
        <w:t>(e)</w:t>
      </w:r>
      <w:r>
        <w:tab/>
        <w:t>the circumstances and manner in which a decision made at a council or a committee meeting may be revoked or changed (which may differ from the manner in which the decision was made); and</w:t>
      </w:r>
    </w:p>
    <w:p>
      <w:pPr>
        <w:pStyle w:val="Indenta"/>
      </w:pPr>
      <w:r>
        <w:tab/>
        <w:t>(f)</w:t>
      </w:r>
      <w:r>
        <w:tab/>
        <w:t>the content and confirmation of minutes of council or committee meetings and the keeping and preserving of the minutes and any documents relating to meetings; and</w:t>
      </w:r>
    </w:p>
    <w:p>
      <w:pPr>
        <w:pStyle w:val="Indenta"/>
      </w:pPr>
      <w:r>
        <w:tab/>
        <w:t>(g)</w:t>
      </w:r>
      <w:r>
        <w:tab/>
        <w:t>the giving of public notice of the date and agenda for council or committee meetings; and</w:t>
      </w:r>
    </w:p>
    <w:p>
      <w:pPr>
        <w:pStyle w:val="Indenta"/>
      </w:pPr>
      <w:r>
        <w:tab/>
        <w:t>(h)</w:t>
      </w:r>
      <w:r>
        <w:tab/>
        <w:t>the exclusion from meetings of persons whose conduct is not conducive to the proper conduct of the meetings and the steps to be taken in the event of persons refusing to leave meetings; and</w:t>
      </w:r>
    </w:p>
    <w:p>
      <w:pPr>
        <w:pStyle w:val="Indenta"/>
      </w:pPr>
      <w:r>
        <w:tab/>
        <w:t>(i)</w:t>
      </w:r>
      <w:r>
        <w:tab/>
        <w:t>the circumstances and time in which the unconfirmed minutes of council or committee meetings are to be made available for inspection by members of the public; and</w:t>
      </w:r>
    </w:p>
    <w:p>
      <w:pPr>
        <w:pStyle w:val="Indenta"/>
      </w:pPr>
      <w:r>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pPr>
      <w:r>
        <w:tab/>
        <w:t>(ii)</w:t>
      </w:r>
      <w:r>
        <w:tab/>
        <w:t>produced by the local government or a committee for presentation at a council or committee meeting,</w:t>
      </w:r>
    </w:p>
    <w:p>
      <w:pPr>
        <w:pStyle w:val="Indenta"/>
      </w:pPr>
      <w:r>
        <w:tab/>
      </w:r>
      <w:r>
        <w:tab/>
        <w:t>are to be made available for inspection by members of the public.</w:t>
      </w:r>
    </w:p>
    <w:p>
      <w:pPr>
        <w:pStyle w:val="Subsection"/>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by No. 64 of 1998 s. 28.]</w:t>
      </w:r>
    </w:p>
    <w:p>
      <w:pPr>
        <w:pStyle w:val="Heading4"/>
        <w:keepNext w:val="0"/>
      </w:pPr>
      <w:bookmarkStart w:id="658" w:name="_Toc448219119"/>
      <w:bookmarkStart w:id="659" w:name="_Toc448224341"/>
      <w:bookmarkStart w:id="660" w:name="_Toc451179578"/>
      <w:bookmarkStart w:id="661" w:name="_Toc451430498"/>
      <w:bookmarkStart w:id="662" w:name="_Toc455396448"/>
      <w:bookmarkStart w:id="663" w:name="_Toc455397308"/>
      <w:bookmarkStart w:id="664" w:name="_Toc456086391"/>
      <w:bookmarkStart w:id="665" w:name="_Toc462409404"/>
      <w:r>
        <w:t>Subdivision 4 — Electors’ meetings</w:t>
      </w:r>
      <w:bookmarkEnd w:id="658"/>
      <w:bookmarkEnd w:id="659"/>
      <w:bookmarkEnd w:id="660"/>
      <w:bookmarkEnd w:id="661"/>
      <w:bookmarkEnd w:id="662"/>
      <w:bookmarkEnd w:id="663"/>
      <w:bookmarkEnd w:id="664"/>
      <w:bookmarkEnd w:id="665"/>
    </w:p>
    <w:p>
      <w:pPr>
        <w:pStyle w:val="Heading5"/>
        <w:keepLines w:val="0"/>
        <w:spacing w:before="180"/>
      </w:pPr>
      <w:bookmarkStart w:id="666" w:name="_Toc462409405"/>
      <w:r>
        <w:rPr>
          <w:rStyle w:val="CharSectno"/>
        </w:rPr>
        <w:t>5.26</w:t>
      </w:r>
      <w:r>
        <w:t>.</w:t>
      </w:r>
      <w:r>
        <w:tab/>
        <w:t>Term used: electors</w:t>
      </w:r>
      <w:bookmarkEnd w:id="666"/>
    </w:p>
    <w:p>
      <w:pPr>
        <w:pStyle w:val="Subsection"/>
        <w:spacing w:before="120"/>
      </w:pPr>
      <w:r>
        <w:tab/>
      </w:r>
      <w:r>
        <w:tab/>
        <w:t>In this Subdivision — </w:t>
      </w:r>
    </w:p>
    <w:p>
      <w:pPr>
        <w:pStyle w:val="Defstart"/>
      </w:pPr>
      <w:r>
        <w:tab/>
      </w:r>
      <w:r>
        <w:rPr>
          <w:rStyle w:val="CharDefText"/>
        </w:rPr>
        <w:t>electors</w:t>
      </w:r>
      <w:r>
        <w:t xml:space="preserve"> includes ratepayers.</w:t>
      </w:r>
    </w:p>
    <w:p>
      <w:pPr>
        <w:pStyle w:val="Heading5"/>
        <w:keepLines w:val="0"/>
      </w:pPr>
      <w:bookmarkStart w:id="667" w:name="_Toc462409406"/>
      <w:r>
        <w:rPr>
          <w:rStyle w:val="CharSectno"/>
        </w:rPr>
        <w:t>5.27</w:t>
      </w:r>
      <w:r>
        <w:t>.</w:t>
      </w:r>
      <w:r>
        <w:tab/>
        <w:t>Electors’ general meetings</w:t>
      </w:r>
      <w:bookmarkEnd w:id="667"/>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pPr>
      <w:r>
        <w:tab/>
        <w:t>(3)</w:t>
      </w:r>
      <w:r>
        <w:tab/>
        <w:t>The matters to be discussed at general electors’ meetings are to be those prescribed.</w:t>
      </w:r>
    </w:p>
    <w:p>
      <w:pPr>
        <w:pStyle w:val="Heading5"/>
      </w:pPr>
      <w:bookmarkStart w:id="668" w:name="_Toc462409407"/>
      <w:r>
        <w:rPr>
          <w:rStyle w:val="CharSectno"/>
        </w:rPr>
        <w:t>5.28</w:t>
      </w:r>
      <w:r>
        <w:t>.</w:t>
      </w:r>
      <w:r>
        <w:tab/>
        <w:t>Electors’ special meetings</w:t>
      </w:r>
      <w:bookmarkEnd w:id="668"/>
    </w:p>
    <w:p>
      <w:pPr>
        <w:pStyle w:val="Subsection"/>
      </w:pPr>
      <w:r>
        <w:tab/>
        <w:t>(1)</w:t>
      </w:r>
      <w:r>
        <w:tab/>
        <w:t>A special meeting of the electors of a district is to be held on the request of not less than — </w:t>
      </w:r>
    </w:p>
    <w:p>
      <w:pPr>
        <w:pStyle w:val="Indenta"/>
      </w:pPr>
      <w:r>
        <w:tab/>
        <w:t>(a)</w:t>
      </w:r>
      <w:r>
        <w:tab/>
        <w:t>100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he or she received the request.</w:t>
      </w:r>
    </w:p>
    <w:p>
      <w:pPr>
        <w:pStyle w:val="Heading5"/>
      </w:pPr>
      <w:bookmarkStart w:id="669" w:name="_Toc462409408"/>
      <w:r>
        <w:rPr>
          <w:rStyle w:val="CharSectno"/>
        </w:rPr>
        <w:t>5.29</w:t>
      </w:r>
      <w:r>
        <w:t>.</w:t>
      </w:r>
      <w:r>
        <w:tab/>
        <w:t>Convening electors’ meetings</w:t>
      </w:r>
      <w:bookmarkEnd w:id="669"/>
    </w:p>
    <w:p>
      <w:pPr>
        <w:pStyle w:val="Subsection"/>
        <w:keepNext/>
        <w:keepLines/>
      </w:pPr>
      <w:r>
        <w:tab/>
        <w:t>(1)</w:t>
      </w:r>
      <w:r>
        <w:tab/>
        <w:t>The CEO is to convene an electors’ meeting by giving — </w:t>
      </w:r>
    </w:p>
    <w:p>
      <w:pPr>
        <w:pStyle w:val="Indenta"/>
      </w:pPr>
      <w:r>
        <w:tab/>
        <w:t>(a)</w:t>
      </w:r>
      <w:r>
        <w:tab/>
        <w:t>at least 14 days’ local public notice; and</w:t>
      </w:r>
    </w:p>
    <w:p>
      <w:pPr>
        <w:pStyle w:val="Indenta"/>
      </w:pPr>
      <w:r>
        <w:tab/>
        <w:t>(b)</w:t>
      </w:r>
      <w:r>
        <w:tab/>
        <w:t>each council member at least 14 days’ notice,</w:t>
      </w:r>
    </w:p>
    <w:p>
      <w:pPr>
        <w:pStyle w:val="Subsection"/>
      </w:pPr>
      <w:r>
        <w:tab/>
      </w:r>
      <w:r>
        <w:tab/>
        <w:t>of the date, time, place and purpose of the meeting.</w:t>
      </w:r>
    </w:p>
    <w:p>
      <w:pPr>
        <w:pStyle w:val="Subsection"/>
      </w:pPr>
      <w:r>
        <w:tab/>
        <w:t>(2)</w:t>
      </w:r>
      <w:r>
        <w:tab/>
        <w:t>The local public notice referred to in subsection (1)(a) is to be treated as having commenced at the time of publication of the notice under section 1.7(1)(a) and is to continue by way of exhibition under section 1.7(1)(b) and (c) until the meeting has been held.</w:t>
      </w:r>
    </w:p>
    <w:p>
      <w:pPr>
        <w:pStyle w:val="Heading5"/>
      </w:pPr>
      <w:bookmarkStart w:id="670" w:name="_Toc462409409"/>
      <w:r>
        <w:rPr>
          <w:rStyle w:val="CharSectno"/>
        </w:rPr>
        <w:t>5.30</w:t>
      </w:r>
      <w:r>
        <w:t>.</w:t>
      </w:r>
      <w:r>
        <w:tab/>
        <w:t>Who presides at electors’ meetings</w:t>
      </w:r>
      <w:bookmarkEnd w:id="670"/>
    </w:p>
    <w:p>
      <w:pPr>
        <w:pStyle w:val="Subsection"/>
      </w:pPr>
      <w:r>
        <w:tab/>
        <w:t>(1)</w:t>
      </w:r>
      <w:r>
        <w:tab/>
        <w:t>The mayor or president is to preside at electors’ meetings.</w:t>
      </w:r>
    </w:p>
    <w:p>
      <w:pPr>
        <w:pStyle w:val="Subsection"/>
      </w:pPr>
      <w:r>
        <w:tab/>
        <w:t>(2)</w:t>
      </w:r>
      <w:r>
        <w:tab/>
        <w:t>If the circumstances mentioned in section 5.34(a) or (b) apply the deputy mayor or deputy president may preside at an electors’ meeting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keepNext w:val="0"/>
        <w:keepLines w:val="0"/>
      </w:pPr>
      <w:bookmarkStart w:id="671" w:name="_Toc462409410"/>
      <w:r>
        <w:rPr>
          <w:rStyle w:val="CharSectno"/>
        </w:rPr>
        <w:t>5.31</w:t>
      </w:r>
      <w:r>
        <w:t>.</w:t>
      </w:r>
      <w:r>
        <w:tab/>
        <w:t>Procedure for electors’ meetings</w:t>
      </w:r>
      <w:bookmarkEnd w:id="671"/>
    </w:p>
    <w:p>
      <w:pPr>
        <w:pStyle w:val="Subsection"/>
      </w:pPr>
      <w:r>
        <w:tab/>
      </w:r>
      <w:r>
        <w:tab/>
        <w:t>The procedure to be followed at, and in respect of, electors’ meetings and the methods of voting at electors’ meetings are to be in accordance with regulations.</w:t>
      </w:r>
    </w:p>
    <w:p>
      <w:pPr>
        <w:pStyle w:val="Heading5"/>
      </w:pPr>
      <w:bookmarkStart w:id="672" w:name="_Toc462409411"/>
      <w:r>
        <w:rPr>
          <w:rStyle w:val="CharSectno"/>
        </w:rPr>
        <w:t>5.32</w:t>
      </w:r>
      <w:r>
        <w:t>.</w:t>
      </w:r>
      <w:r>
        <w:tab/>
        <w:t>Minutes of electors’ meetings</w:t>
      </w:r>
      <w:bookmarkEnd w:id="672"/>
    </w:p>
    <w:p>
      <w:pPr>
        <w:pStyle w:val="Subsection"/>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ensure that copies of the minutes are made available for inspection by members of the public before the council meeting at which decisions made at the electors’ meeting are first considered.</w:t>
      </w:r>
    </w:p>
    <w:p>
      <w:pPr>
        <w:pStyle w:val="Heading5"/>
        <w:spacing w:before="180"/>
      </w:pPr>
      <w:bookmarkStart w:id="673" w:name="_Toc462409412"/>
      <w:r>
        <w:rPr>
          <w:rStyle w:val="CharSectno"/>
        </w:rPr>
        <w:t>5.33</w:t>
      </w:r>
      <w:r>
        <w:t>.</w:t>
      </w:r>
      <w:r>
        <w:tab/>
        <w:t>Decisions made at electors’ meetings</w:t>
      </w:r>
      <w:bookmarkEnd w:id="673"/>
    </w:p>
    <w:p>
      <w:pPr>
        <w:pStyle w:val="Subsection"/>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674" w:name="_Toc448219128"/>
      <w:bookmarkStart w:id="675" w:name="_Toc448224350"/>
      <w:bookmarkStart w:id="676" w:name="_Toc451179587"/>
      <w:bookmarkStart w:id="677" w:name="_Toc451430507"/>
      <w:bookmarkStart w:id="678" w:name="_Toc455396457"/>
      <w:bookmarkStart w:id="679" w:name="_Toc455397317"/>
      <w:bookmarkStart w:id="680" w:name="_Toc456086400"/>
      <w:bookmarkStart w:id="681" w:name="_Toc462409413"/>
      <w:r>
        <w:rPr>
          <w:rStyle w:val="CharDivNo"/>
        </w:rPr>
        <w:t>Division 3</w:t>
      </w:r>
      <w:r>
        <w:t> — </w:t>
      </w:r>
      <w:r>
        <w:rPr>
          <w:rStyle w:val="CharDivText"/>
        </w:rPr>
        <w:t>Acting for the mayor or president</w:t>
      </w:r>
      <w:bookmarkEnd w:id="674"/>
      <w:bookmarkEnd w:id="675"/>
      <w:bookmarkEnd w:id="676"/>
      <w:bookmarkEnd w:id="677"/>
      <w:bookmarkEnd w:id="678"/>
      <w:bookmarkEnd w:id="679"/>
      <w:bookmarkEnd w:id="680"/>
      <w:bookmarkEnd w:id="681"/>
    </w:p>
    <w:p>
      <w:pPr>
        <w:pStyle w:val="Heading5"/>
        <w:spacing w:before="180"/>
      </w:pPr>
      <w:bookmarkStart w:id="682" w:name="_Toc462409414"/>
      <w:r>
        <w:rPr>
          <w:rStyle w:val="CharSectno"/>
        </w:rPr>
        <w:t>5.34</w:t>
      </w:r>
      <w:r>
        <w:t>.</w:t>
      </w:r>
      <w:r>
        <w:tab/>
        <w:t>When deputy mayors and deputy presidents can act</w:t>
      </w:r>
      <w:bookmarkEnd w:id="682"/>
    </w:p>
    <w:p>
      <w:pPr>
        <w:pStyle w:val="Subsection"/>
      </w:pPr>
      <w:r>
        <w:tab/>
      </w:r>
      <w:r>
        <w:tab/>
        <w:t>If — </w:t>
      </w:r>
    </w:p>
    <w:p>
      <w:pPr>
        <w:pStyle w:val="Indenta"/>
      </w:pPr>
      <w:r>
        <w:tab/>
        <w:t>(a)</w:t>
      </w:r>
      <w:r>
        <w:tab/>
        <w:t xml:space="preserve">the office of mayor or president is vacant; or </w:t>
      </w:r>
    </w:p>
    <w:p>
      <w:pPr>
        <w:pStyle w:val="Indenta"/>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683" w:name="_Toc462409415"/>
      <w:r>
        <w:rPr>
          <w:rStyle w:val="CharSectno"/>
        </w:rPr>
        <w:t>5.35</w:t>
      </w:r>
      <w:r>
        <w:t>.</w:t>
      </w:r>
      <w:r>
        <w:tab/>
        <w:t>Who acts if no mayor, president or deputy</w:t>
      </w:r>
      <w:bookmarkEnd w:id="683"/>
    </w:p>
    <w:p>
      <w:pPr>
        <w:pStyle w:val="Subsection"/>
        <w:keepNext/>
        <w:keepLines/>
      </w:pPr>
      <w:r>
        <w:tab/>
        <w:t>(1)</w:t>
      </w:r>
      <w:r>
        <w:tab/>
        <w:t>If the circumstances mentioned in section 5.34(a) or (b) apply and — </w:t>
      </w:r>
    </w:p>
    <w:p>
      <w:pPr>
        <w:pStyle w:val="Indenta"/>
        <w:spacing w:before="60"/>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684" w:name="_Toc448219131"/>
      <w:bookmarkStart w:id="685" w:name="_Toc448224353"/>
      <w:bookmarkStart w:id="686" w:name="_Toc451179590"/>
      <w:bookmarkStart w:id="687" w:name="_Toc451430510"/>
      <w:bookmarkStart w:id="688" w:name="_Toc455396460"/>
      <w:bookmarkStart w:id="689" w:name="_Toc455397320"/>
      <w:bookmarkStart w:id="690" w:name="_Toc456086403"/>
      <w:bookmarkStart w:id="691" w:name="_Toc462409416"/>
      <w:r>
        <w:rPr>
          <w:rStyle w:val="CharDivNo"/>
        </w:rPr>
        <w:t>Division 4</w:t>
      </w:r>
      <w:r>
        <w:t> — </w:t>
      </w:r>
      <w:r>
        <w:rPr>
          <w:rStyle w:val="CharDivText"/>
        </w:rPr>
        <w:t>Local government employees</w:t>
      </w:r>
      <w:bookmarkEnd w:id="684"/>
      <w:bookmarkEnd w:id="685"/>
      <w:bookmarkEnd w:id="686"/>
      <w:bookmarkEnd w:id="687"/>
      <w:bookmarkEnd w:id="688"/>
      <w:bookmarkEnd w:id="689"/>
      <w:bookmarkEnd w:id="690"/>
      <w:bookmarkEnd w:id="691"/>
    </w:p>
    <w:p>
      <w:pPr>
        <w:pStyle w:val="Heading5"/>
      </w:pPr>
      <w:bookmarkStart w:id="692" w:name="_Toc462409417"/>
      <w:r>
        <w:rPr>
          <w:rStyle w:val="CharSectno"/>
        </w:rPr>
        <w:t>5.36</w:t>
      </w:r>
      <w:r>
        <w:t>.</w:t>
      </w:r>
      <w:r>
        <w:tab/>
        <w:t>Local government employees</w:t>
      </w:r>
      <w:bookmarkEnd w:id="692"/>
    </w:p>
    <w:p>
      <w:pPr>
        <w:pStyle w:val="Subsection"/>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spacing w:before="180"/>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pPr>
      <w:r>
        <w:tab/>
        <w:t>(b)</w:t>
      </w:r>
      <w:r>
        <w:tab/>
        <w:t>is satisfied* with the provisions of the proposed employment contract.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spacing w:before="180"/>
      </w:pPr>
      <w:r>
        <w:tab/>
        <w:t>(4)</w:t>
      </w:r>
      <w:r>
        <w:tab/>
        <w:t>Unless subsection (5A) applies, if the position of CEO of a local government becomes vacant, it is to be advertised by the local government in the manner prescribed, and the advertisement is to contain such information with respect to the position as is prescribed.</w:t>
      </w:r>
    </w:p>
    <w:p>
      <w:pPr>
        <w:pStyle w:val="Subsection"/>
        <w:spacing w:before="180"/>
      </w:pPr>
      <w:r>
        <w:tab/>
        <w:t>(5A)</w:t>
      </w:r>
      <w:r>
        <w:tab/>
        <w:t>Subsection (4) does not require a position to be advertised if it is proposed that the position be filled by a person in a prescribed class.</w:t>
      </w:r>
    </w:p>
    <w:p>
      <w:pPr>
        <w:pStyle w:val="Subsection"/>
        <w:spacing w:before="180"/>
      </w:pPr>
      <w:r>
        <w:tab/>
        <w:t>(5)</w:t>
      </w:r>
      <w:r>
        <w:tab/>
        <w:t>For the avoidance of doubt, subsection (4) does not impose a requirement to advertise a position before the renewal of a contract referred to in section 5.39.</w:t>
      </w:r>
    </w:p>
    <w:p>
      <w:pPr>
        <w:pStyle w:val="Footnotesection"/>
        <w:ind w:left="890" w:hanging="890"/>
      </w:pPr>
      <w:r>
        <w:tab/>
        <w:t>[Section 5.36 amended by No. 49 of 2004 s. 44; No. 17 of 2009 s. 21.]</w:t>
      </w:r>
    </w:p>
    <w:p>
      <w:pPr>
        <w:pStyle w:val="Heading5"/>
      </w:pPr>
      <w:bookmarkStart w:id="693" w:name="_Toc462409418"/>
      <w:r>
        <w:rPr>
          <w:rStyle w:val="CharSectno"/>
        </w:rPr>
        <w:t>5.37</w:t>
      </w:r>
      <w:r>
        <w:t>.</w:t>
      </w:r>
      <w:r>
        <w:tab/>
        <w:t>Senior employees</w:t>
      </w:r>
      <w:bookmarkEnd w:id="693"/>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r>
        <w:tab/>
        <w:t>(3)</w:t>
      </w:r>
      <w:r>
        <w:tab/>
        <w:t>Unless subsection (4A) applies, 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(4A)</w:t>
      </w:r>
      <w:r>
        <w:tab/>
        <w:t>Subsection (3) does not require a position to be advertised if it is proposed that the position be filled by a person in a prescribed class.</w:t>
      </w:r>
    </w:p>
    <w:p>
      <w:pPr>
        <w:pStyle w:val="Subsection"/>
      </w:pPr>
      <w:r>
        <w:tab/>
        <w:t>(4)</w:t>
      </w:r>
      <w:r>
        <w:tab/>
        <w:t>For the avoidance of doubt, subsection (3) does not impose a requirement to advertise a position where a contract referred to in section 5.39 is renewed.</w:t>
      </w:r>
    </w:p>
    <w:p>
      <w:pPr>
        <w:pStyle w:val="Footnotesection"/>
      </w:pPr>
      <w:r>
        <w:tab/>
        <w:t>[Section 5.37 amended by No. 49 of 2004 s. 45 and 46(4); No. 17 of 2009 s. 22.]</w:t>
      </w:r>
    </w:p>
    <w:p>
      <w:pPr>
        <w:pStyle w:val="Heading5"/>
      </w:pPr>
      <w:bookmarkStart w:id="694" w:name="_Toc462409419"/>
      <w:r>
        <w:rPr>
          <w:rStyle w:val="CharSectno"/>
        </w:rPr>
        <w:t>5.38</w:t>
      </w:r>
      <w:r>
        <w:t>.</w:t>
      </w:r>
      <w:r>
        <w:tab/>
        <w:t>Annual review of certain employees’ performances</w:t>
      </w:r>
      <w:bookmarkEnd w:id="694"/>
    </w:p>
    <w:p>
      <w:pPr>
        <w:pStyle w:val="Subsection"/>
      </w:pPr>
      <w:r>
        <w:tab/>
      </w:r>
      <w:r>
        <w:tab/>
        <w:t>The performance of each employee who is employed for a term of more than one year, including the CEO and each senior employee, is to be reviewed at least once in relation to every year of the employment.</w:t>
      </w:r>
    </w:p>
    <w:p>
      <w:pPr>
        <w:pStyle w:val="Heading5"/>
      </w:pPr>
      <w:bookmarkStart w:id="695" w:name="_Toc462409420"/>
      <w:r>
        <w:rPr>
          <w:rStyle w:val="CharSectno"/>
        </w:rPr>
        <w:t>5.39</w:t>
      </w:r>
      <w:r>
        <w:t>.</w:t>
      </w:r>
      <w:r>
        <w:tab/>
        <w:t>Contracts for CEO and senior employees</w:t>
      </w:r>
      <w:bookmarkEnd w:id="695"/>
    </w:p>
    <w:p>
      <w:pPr>
        <w:pStyle w:val="Subsection"/>
      </w:pPr>
      <w:r>
        <w:tab/>
        <w:t>(1)</w:t>
      </w:r>
      <w:r>
        <w:tab/>
        <w:t>Subject to subsection (1a), the employment of a person who is a CEO or a senior employee is to be governed by a written contract in accordance with this section.</w:t>
      </w:r>
    </w:p>
    <w:p>
      <w:pPr>
        <w:pStyle w:val="Subsection"/>
      </w:pPr>
      <w:r>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he or she is acting; and</w:t>
      </w:r>
    </w:p>
    <w:p>
      <w:pPr>
        <w:pStyle w:val="Indenta"/>
      </w:pPr>
      <w:r>
        <w:tab/>
        <w:t>(b)</w:t>
      </w:r>
      <w:r>
        <w:tab/>
        <w:t>a person may be employed by a local government as a senior employee for a term not exceeding 3 months, during any 2 year period, without a written contract.</w:t>
      </w:r>
    </w:p>
    <w:p>
      <w:pPr>
        <w:pStyle w:val="Subsection"/>
        <w:keepNext/>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pPr>
      <w:r>
        <w:tab/>
        <w:t>(3)</w:t>
      </w:r>
      <w:r>
        <w:tab/>
        <w:t>A contract under this section is of no effect unless — </w:t>
      </w:r>
    </w:p>
    <w:p>
      <w:pPr>
        <w:pStyle w:val="Indenta"/>
      </w:pPr>
      <w:r>
        <w:tab/>
        <w:t>(a)</w:t>
      </w:r>
      <w:r>
        <w:tab/>
        <w:t>the expiry date is specified in the contract; and</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pPr>
      <w:r>
        <w:tab/>
        <w:t>(7)</w:t>
      </w:r>
      <w:r>
        <w:tab/>
        <w:t xml:space="preserve">A CEO is to be paid or provided with such remuneration as is determined by the Salaries and Allowances Tribunal under the </w:t>
      </w:r>
      <w:r>
        <w:rPr>
          <w:i/>
        </w:rPr>
        <w:t>Salaries and Allowances Act 1975</w:t>
      </w:r>
      <w:r>
        <w:t xml:space="preserve"> section 7A.</w:t>
      </w:r>
    </w:p>
    <w:p>
      <w:pPr>
        <w:pStyle w:val="Subsection"/>
      </w:pPr>
      <w:r>
        <w:tab/>
        <w:t>(8)</w:t>
      </w:r>
      <w:r>
        <w:tab/>
        <w:t>A local government is to ensure that subsection (7) is complied with in entering into, or renewing, a contract of employment with a CEO.</w:t>
      </w:r>
    </w:p>
    <w:p>
      <w:pPr>
        <w:pStyle w:val="Footnotesection"/>
      </w:pPr>
      <w:r>
        <w:tab/>
        <w:t>[Section 5.39 amended by No. 49 of 2004 s. 46(1)</w:t>
      </w:r>
      <w:r>
        <w:noBreakHyphen/>
        <w:t>(3); No. 2 of 2012 s. 13 (correction to reprint in Gazette 28 Mar 2013 p. 1317).]</w:t>
      </w:r>
    </w:p>
    <w:p>
      <w:pPr>
        <w:pStyle w:val="Heading5"/>
        <w:spacing w:before="180"/>
      </w:pPr>
      <w:bookmarkStart w:id="696" w:name="_Toc462409421"/>
      <w:r>
        <w:rPr>
          <w:rStyle w:val="CharSectno"/>
        </w:rPr>
        <w:t>5.40</w:t>
      </w:r>
      <w:r>
        <w:t>.</w:t>
      </w:r>
      <w:r>
        <w:tab/>
        <w:t>Principles affecting employment by local governments</w:t>
      </w:r>
      <w:bookmarkEnd w:id="696"/>
    </w:p>
    <w:p>
      <w:pPr>
        <w:pStyle w:val="Subsection"/>
        <w:keepNext/>
        <w:keepLines/>
        <w:spacing w:before="120"/>
      </w:pPr>
      <w:r>
        <w:tab/>
      </w:r>
      <w:r>
        <w:tab/>
        <w:t>The following principles apply to a local government in respect of its employees — </w:t>
      </w:r>
    </w:p>
    <w:p>
      <w:pPr>
        <w:pStyle w:val="Indenta"/>
      </w:pPr>
      <w:r>
        <w:tab/>
        <w:t>(a)</w:t>
      </w:r>
      <w:r>
        <w:tab/>
        <w:t>employees are to be selected and promoted in accordance with the principles of merit and equity; and</w:t>
      </w:r>
    </w:p>
    <w:p>
      <w:pPr>
        <w:pStyle w:val="Indenta"/>
      </w:pPr>
      <w:r>
        <w:tab/>
        <w:t>(b)</w:t>
      </w:r>
      <w:r>
        <w:tab/>
        <w:t>no power with regard to matters affecting employees is to be exercised on the basis of nepotism or patronage; and</w:t>
      </w:r>
    </w:p>
    <w:p>
      <w:pPr>
        <w:pStyle w:val="Indenta"/>
      </w:pPr>
      <w:r>
        <w:tab/>
        <w:t>(c)</w:t>
      </w:r>
      <w:r>
        <w:tab/>
        <w:t>employees are to be treated fairly and consistently; and</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 and</w:t>
      </w:r>
    </w:p>
    <w:p>
      <w:pPr>
        <w:pStyle w:val="Indenta"/>
      </w:pPr>
      <w:r>
        <w:tab/>
        <w:t>(e)</w:t>
      </w:r>
      <w:r>
        <w:tab/>
        <w:t xml:space="preserve">employees are to be provided with safe and healthy working conditions in accordance with the </w:t>
      </w:r>
      <w:r>
        <w:rPr>
          <w:i/>
        </w:rPr>
        <w:t>Occupational Safety and Health Act 1984</w:t>
      </w:r>
      <w:r>
        <w:t>; and</w:t>
      </w:r>
    </w:p>
    <w:p>
      <w:pPr>
        <w:pStyle w:val="Indenta"/>
      </w:pPr>
      <w:r>
        <w:tab/>
        <w:t>(f)</w:t>
      </w:r>
      <w:r>
        <w:tab/>
        <w:t>such other principles, not inconsistent with this Division, as may be prescribed.</w:t>
      </w:r>
    </w:p>
    <w:p>
      <w:pPr>
        <w:pStyle w:val="Heading5"/>
        <w:spacing w:before="180"/>
      </w:pPr>
      <w:bookmarkStart w:id="697" w:name="_Toc462409422"/>
      <w:r>
        <w:rPr>
          <w:rStyle w:val="CharSectno"/>
        </w:rPr>
        <w:t>5.41</w:t>
      </w:r>
      <w:r>
        <w:t>.</w:t>
      </w:r>
      <w:r>
        <w:tab/>
        <w:t>Functions of CEO</w:t>
      </w:r>
      <w:bookmarkEnd w:id="697"/>
    </w:p>
    <w:p>
      <w:pPr>
        <w:pStyle w:val="Subsection"/>
        <w:spacing w:before="120"/>
      </w:pPr>
      <w:r>
        <w:tab/>
      </w:r>
      <w:r>
        <w:tab/>
        <w:t>The CEO’s functions are to — </w:t>
      </w:r>
    </w:p>
    <w:p>
      <w:pPr>
        <w:pStyle w:val="Indenta"/>
      </w:pPr>
      <w:r>
        <w:tab/>
        <w:t>(a)</w:t>
      </w:r>
      <w:r>
        <w:tab/>
        <w:t>advise the council in relation to the functions of a local government under this Act and other written laws; and</w:t>
      </w:r>
    </w:p>
    <w:p>
      <w:pPr>
        <w:pStyle w:val="Indenta"/>
      </w:pPr>
      <w:r>
        <w:tab/>
        <w:t>(b)</w:t>
      </w:r>
      <w:r>
        <w:tab/>
        <w:t>ensure that advice and information is available to the council so that informed decisions can be made; and</w:t>
      </w:r>
    </w:p>
    <w:p>
      <w:pPr>
        <w:pStyle w:val="Indenta"/>
      </w:pPr>
      <w:r>
        <w:tab/>
        <w:t>(c)</w:t>
      </w:r>
      <w:r>
        <w:tab/>
        <w:t>cause council decisions to be implemented; and</w:t>
      </w:r>
    </w:p>
    <w:p>
      <w:pPr>
        <w:pStyle w:val="Indenta"/>
      </w:pPr>
      <w:r>
        <w:tab/>
        <w:t>(d)</w:t>
      </w:r>
      <w:r>
        <w:tab/>
        <w:t xml:space="preserve">manage the day to day operations of the local government; and </w:t>
      </w:r>
    </w:p>
    <w:p>
      <w:pPr>
        <w:pStyle w:val="Indenta"/>
      </w:pPr>
      <w:r>
        <w:tab/>
        <w:t>(e)</w:t>
      </w:r>
      <w:r>
        <w:tab/>
        <w:t>liaise with the mayor or president on the local government’s affairs and the performance of the local government’s functions; and</w:t>
      </w:r>
    </w:p>
    <w:p>
      <w:pPr>
        <w:pStyle w:val="Indenta"/>
      </w:pPr>
      <w:r>
        <w:tab/>
        <w:t>(f)</w:t>
      </w:r>
      <w:r>
        <w:tab/>
        <w:t>speak on behalf of the local government if the mayor or president agrees; and</w:t>
      </w:r>
    </w:p>
    <w:p>
      <w:pPr>
        <w:pStyle w:val="Indenta"/>
      </w:pPr>
      <w:r>
        <w:tab/>
        <w:t>(g)</w:t>
      </w:r>
      <w:r>
        <w:tab/>
        <w:t>be responsible for the employment, management supervision, direction and dismissal of other employees (subject to section 5.37(2) in relation to senior employees); and</w:t>
      </w:r>
    </w:p>
    <w:p>
      <w:pPr>
        <w:pStyle w:val="Indenta"/>
      </w:pPr>
      <w:r>
        <w:tab/>
        <w:t>(h)</w:t>
      </w:r>
      <w:r>
        <w:tab/>
        <w:t>ensure that records and documents of the local government are properly kept for the purposes of this Act and any other written law; and</w:t>
      </w:r>
    </w:p>
    <w:p>
      <w:pPr>
        <w:pStyle w:val="Indenta"/>
      </w:pPr>
      <w:r>
        <w:tab/>
        <w:t>(i)</w:t>
      </w:r>
      <w:r>
        <w:tab/>
        <w:t>perform any other function specified or delegated by the local government or imposed under this Act or any other written law as a function to be performed by the CEO.</w:t>
      </w:r>
    </w:p>
    <w:p>
      <w:pPr>
        <w:pStyle w:val="Heading5"/>
        <w:spacing w:before="240"/>
      </w:pPr>
      <w:bookmarkStart w:id="698" w:name="_Toc462409423"/>
      <w:r>
        <w:rPr>
          <w:rStyle w:val="CharSectno"/>
        </w:rPr>
        <w:t>5.42</w:t>
      </w:r>
      <w:r>
        <w:t>.</w:t>
      </w:r>
      <w:r>
        <w:tab/>
        <w:t>Delegation of some powers and duties to CEO</w:t>
      </w:r>
      <w:bookmarkEnd w:id="698"/>
    </w:p>
    <w:p>
      <w:pPr>
        <w:pStyle w:val="Subsection"/>
        <w:spacing w:before="120"/>
      </w:pPr>
      <w:r>
        <w:tab/>
        <w:t>(1)</w:t>
      </w:r>
      <w:r>
        <w:tab/>
        <w:t xml:space="preserve">A local government may delegate* to the CEO the exercise of any of its powers or the discharge of any of its duties under — </w:t>
      </w:r>
    </w:p>
    <w:p>
      <w:pPr>
        <w:pStyle w:val="Indenta"/>
      </w:pPr>
      <w:r>
        <w:tab/>
        <w:t>(a)</w:t>
      </w:r>
      <w:r>
        <w:tab/>
        <w:t>this Act other than those referred to in section 5.43; or</w:t>
      </w:r>
    </w:p>
    <w:p>
      <w:pPr>
        <w:pStyle w:val="Indenta"/>
      </w:pPr>
      <w:r>
        <w:tab/>
        <w:t>(b)</w:t>
      </w:r>
      <w:r>
        <w:tab/>
        <w:t xml:space="preserve">the </w:t>
      </w:r>
      <w:r>
        <w:rPr>
          <w:i/>
          <w:iCs/>
        </w:rPr>
        <w:t>Planning and Development Act 2005</w:t>
      </w:r>
      <w:r>
        <w:t xml:space="preserve"> section 214(2), (3) or (5).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delegation under this section is to be in writing and may be general or as otherwise provided in the instrument of delegation.</w:t>
      </w:r>
    </w:p>
    <w:p>
      <w:pPr>
        <w:pStyle w:val="Footnotesection"/>
        <w:spacing w:before="160"/>
        <w:ind w:left="890" w:hanging="890"/>
      </w:pPr>
      <w:r>
        <w:tab/>
        <w:t>[Section 5.42 amended by No. 1 of 1998 s. 13; No. 28 of 2010 s. 70.]</w:t>
      </w:r>
    </w:p>
    <w:p>
      <w:pPr>
        <w:pStyle w:val="Heading5"/>
      </w:pPr>
      <w:bookmarkStart w:id="699" w:name="_Toc462409424"/>
      <w:r>
        <w:rPr>
          <w:rStyle w:val="CharSectno"/>
        </w:rPr>
        <w:t>5.43</w:t>
      </w:r>
      <w:r>
        <w:t>.</w:t>
      </w:r>
      <w:r>
        <w:tab/>
        <w:t>Limits on delegations to CEO</w:t>
      </w:r>
      <w:bookmarkEnd w:id="699"/>
    </w:p>
    <w:p>
      <w:pPr>
        <w:pStyle w:val="Subsection"/>
      </w:pPr>
      <w:r>
        <w:tab/>
      </w:r>
      <w:r>
        <w:tab/>
        <w:t>A local government cannot delegate to a CEO any of the following powers or duties — </w:t>
      </w:r>
    </w:p>
    <w:p>
      <w:pPr>
        <w:pStyle w:val="Indenta"/>
      </w:pPr>
      <w:r>
        <w:tab/>
        <w:t>(a)</w:t>
      </w:r>
      <w:r>
        <w:tab/>
        <w:t>any power or duty that requires a decision of an absolute majority or a 75% majority of the local government;</w:t>
      </w:r>
    </w:p>
    <w:p>
      <w:pPr>
        <w:pStyle w:val="Indenta"/>
      </w:pPr>
      <w:r>
        <w:tab/>
        <w:t>(b)</w:t>
      </w:r>
      <w:r>
        <w:tab/>
      </w:r>
      <w:r>
        <w:rPr>
          <w:spacing w:val="-4"/>
        </w:rPr>
        <w:t>accepting a tender which exceeds an amount determined by the local government for the purpose of this paragraph;</w:t>
      </w:r>
    </w:p>
    <w:p>
      <w:pPr>
        <w:pStyle w:val="Indenta"/>
      </w:pPr>
      <w:r>
        <w:tab/>
        <w:t>(c)</w:t>
      </w:r>
      <w:r>
        <w:tab/>
        <w:t>appointing an auditor;</w:t>
      </w:r>
    </w:p>
    <w:p>
      <w:pPr>
        <w:pStyle w:val="Indenta"/>
      </w:pPr>
      <w:r>
        <w:tab/>
        <w:t>(d)</w:t>
      </w:r>
      <w:r>
        <w:tab/>
        <w:t>acquiring or disposing of any property valued at an amount exceeding an amount determined by the local government for the purpose of this paragraph;</w:t>
      </w:r>
    </w:p>
    <w:p>
      <w:pPr>
        <w:pStyle w:val="Indenta"/>
      </w:pPr>
      <w:r>
        <w:tab/>
        <w:t>(e)</w:t>
      </w:r>
      <w:r>
        <w:tab/>
        <w:t>any of the local government’s powers under section 5.98, 5.98A, 5.99, 5.99A or 5.100;</w:t>
      </w:r>
    </w:p>
    <w:p>
      <w:pPr>
        <w:pStyle w:val="Indenta"/>
      </w:pPr>
      <w:r>
        <w:tab/>
        <w:t>(f)</w:t>
      </w:r>
      <w:r>
        <w:tab/>
        <w:t>borrowing money on behalf of the local government;</w:t>
      </w:r>
    </w:p>
    <w:p>
      <w:pPr>
        <w:pStyle w:val="Indenta"/>
      </w:pPr>
      <w:r>
        <w:tab/>
        <w:t>(g)</w:t>
      </w:r>
      <w:r>
        <w:tab/>
        <w:t>hearing or determining an objection of a kind referred to in section 9.5;</w:t>
      </w:r>
    </w:p>
    <w:p>
      <w:pPr>
        <w:pStyle w:val="Indenta"/>
      </w:pPr>
      <w:r>
        <w:tab/>
        <w:t>(ha)</w:t>
      </w:r>
      <w:r>
        <w:tab/>
        <w:t>the power under section 9.49A(4) to authorise a person to sign documents on behalf of the local government;</w:t>
      </w:r>
    </w:p>
    <w:p>
      <w:pPr>
        <w:pStyle w:val="Indenta"/>
      </w:pPr>
      <w:r>
        <w:tab/>
        <w:t>(h)</w:t>
      </w:r>
      <w:r>
        <w:tab/>
        <w:t>any power or duty that requires the approval of the Minister or the Governor;</w:t>
      </w:r>
    </w:p>
    <w:p>
      <w:pPr>
        <w:pStyle w:val="Indenta"/>
      </w:pPr>
      <w:r>
        <w:tab/>
        <w:t>(i)</w:t>
      </w:r>
      <w:r>
        <w:tab/>
        <w:t>such other powers or duties as may be prescribed.</w:t>
      </w:r>
    </w:p>
    <w:p>
      <w:pPr>
        <w:pStyle w:val="Footnotesection"/>
        <w:spacing w:before="160"/>
        <w:ind w:left="890" w:hanging="890"/>
      </w:pPr>
      <w:r>
        <w:tab/>
        <w:t>[Section 5.43 amended by No. 49 of 2004 s. 16(3) and 47; No. 17 of 2009 s. 23.]</w:t>
      </w:r>
    </w:p>
    <w:p>
      <w:pPr>
        <w:pStyle w:val="Heading5"/>
      </w:pPr>
      <w:bookmarkStart w:id="700" w:name="_Toc462409425"/>
      <w:r>
        <w:rPr>
          <w:rStyle w:val="CharSectno"/>
        </w:rPr>
        <w:t>5.44</w:t>
      </w:r>
      <w:r>
        <w:t>.</w:t>
      </w:r>
      <w:r>
        <w:tab/>
        <w:t>CEO may delegate powers and duties to other employees</w:t>
      </w:r>
      <w:bookmarkEnd w:id="700"/>
    </w:p>
    <w:p>
      <w:pPr>
        <w:pStyle w:val="Subsection"/>
      </w:pPr>
      <w:r>
        <w:tab/>
        <w:t>(1)</w:t>
      </w:r>
      <w:r>
        <w:tab/>
        <w:t>A CEO may delegate to any employee of the local government the exercise of any of the CEO’s powers or the discharge of any 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keepNext/>
      </w:pPr>
      <w:r>
        <w:tab/>
        <w:t>(5)</w:t>
      </w:r>
      <w:r>
        <w:tab/>
        <w:t xml:space="preserve">In subsections (3) and (4) — </w:t>
      </w:r>
    </w:p>
    <w:p>
      <w:pPr>
        <w:pStyle w:val="Defstart"/>
      </w:pPr>
      <w:r>
        <w:tab/>
      </w:r>
      <w:r>
        <w:rPr>
          <w:rStyle w:val="CharDefText"/>
        </w:rPr>
        <w:t>conditions</w:t>
      </w:r>
      <w:r>
        <w:t xml:space="preserve"> includes qualifications, limitations or exceptions.</w:t>
      </w:r>
    </w:p>
    <w:p>
      <w:pPr>
        <w:pStyle w:val="Footnotesection"/>
      </w:pPr>
      <w:r>
        <w:tab/>
        <w:t>[Section 5.44 amended by No. 1 of 1998 s. 14(1).]</w:t>
      </w:r>
    </w:p>
    <w:p>
      <w:pPr>
        <w:pStyle w:val="Heading5"/>
      </w:pPr>
      <w:bookmarkStart w:id="701" w:name="_Toc462409426"/>
      <w:r>
        <w:rPr>
          <w:rStyle w:val="CharSectno"/>
        </w:rPr>
        <w:t>5.45</w:t>
      </w:r>
      <w:r>
        <w:t>.</w:t>
      </w:r>
      <w:r>
        <w:tab/>
        <w:t>Other matters relevant to delegations under this Division</w:t>
      </w:r>
      <w:bookmarkEnd w:id="701"/>
    </w:p>
    <w:p>
      <w:pPr>
        <w:pStyle w:val="Subsection"/>
        <w:keepNext/>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keepNext/>
      </w:pPr>
      <w:r>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his or her functions by acting through another person.</w:t>
      </w:r>
    </w:p>
    <w:p>
      <w:pPr>
        <w:pStyle w:val="Heading5"/>
        <w:keepNext w:val="0"/>
        <w:spacing w:before="180"/>
      </w:pPr>
      <w:bookmarkStart w:id="702" w:name="_Toc462409427"/>
      <w:r>
        <w:rPr>
          <w:rStyle w:val="CharSectno"/>
        </w:rPr>
        <w:t>5.46</w:t>
      </w:r>
      <w:r>
        <w:t>.</w:t>
      </w:r>
      <w:r>
        <w:tab/>
        <w:t>Register of, and records relevant to, delegations to CEO and employees</w:t>
      </w:r>
      <w:bookmarkEnd w:id="702"/>
    </w:p>
    <w:p>
      <w:pPr>
        <w:pStyle w:val="Subsection"/>
      </w:pPr>
      <w:r>
        <w:tab/>
        <w:t>(1)</w:t>
      </w:r>
      <w:r>
        <w:tab/>
        <w:t>The CEO is to keep a register of the delegations made under this Division to the CEO and to employees.</w:t>
      </w:r>
    </w:p>
    <w:p>
      <w:pPr>
        <w:pStyle w:val="Subsection"/>
      </w:pPr>
      <w:r>
        <w:tab/>
        <w:t>(2)</w:t>
      </w:r>
      <w:r>
        <w:tab/>
        <w:t>At least once every financial year, delegations made under this Division are to be reviewed by the delegator.</w:t>
      </w:r>
    </w:p>
    <w:p>
      <w:pPr>
        <w:pStyle w:val="Subsection"/>
      </w:pPr>
      <w:r>
        <w:tab/>
        <w:t>(3)</w:t>
      </w:r>
      <w:r>
        <w:tab/>
        <w:t>A person to whom a power or duty is delegated under this Act is to keep records in accordance with regulations in relation to the exercise of the power or the discharge of the duty.</w:t>
      </w:r>
    </w:p>
    <w:p>
      <w:pPr>
        <w:pStyle w:val="Heading5"/>
        <w:spacing w:before="180"/>
      </w:pPr>
      <w:bookmarkStart w:id="703" w:name="_Toc462409428"/>
      <w:r>
        <w:rPr>
          <w:rStyle w:val="CharSectno"/>
        </w:rPr>
        <w:t>5.47</w:t>
      </w:r>
      <w:r>
        <w:t>.</w:t>
      </w:r>
      <w:r>
        <w:tab/>
        <w:t>Superannuation regulations</w:t>
      </w:r>
      <w:bookmarkEnd w:id="703"/>
    </w:p>
    <w:p>
      <w:pPr>
        <w:pStyle w:val="Subsection"/>
      </w:pPr>
      <w:r>
        <w:tab/>
      </w:r>
      <w:r>
        <w:tab/>
        <w:t>The Governor may make regulations about any matter relating to the provision of superannuation by a local government.</w:t>
      </w:r>
    </w:p>
    <w:p>
      <w:pPr>
        <w:pStyle w:val="Footnotesection"/>
        <w:ind w:left="890" w:hanging="890"/>
      </w:pPr>
      <w:r>
        <w:tab/>
        <w:t>[Section 5.47 inserted by No. 17 of 2009 s. 24.]</w:t>
      </w:r>
    </w:p>
    <w:p>
      <w:pPr>
        <w:pStyle w:val="Heading5"/>
        <w:spacing w:before="180"/>
      </w:pPr>
      <w:bookmarkStart w:id="704" w:name="_Toc462409429"/>
      <w:r>
        <w:rPr>
          <w:rStyle w:val="CharSectno"/>
        </w:rPr>
        <w:t>5.48</w:t>
      </w:r>
      <w:r>
        <w:t>.</w:t>
      </w:r>
      <w:r>
        <w:tab/>
        <w:t>Long service benefits for employees and employees of local government associations</w:t>
      </w:r>
      <w:bookmarkEnd w:id="704"/>
    </w:p>
    <w:p>
      <w:pPr>
        <w:pStyle w:val="Subsection"/>
      </w:pPr>
      <w:r>
        <w:tab/>
        <w:t>(1)</w:t>
      </w:r>
      <w:r>
        <w:tab/>
        <w:t>In this section — </w:t>
      </w:r>
    </w:p>
    <w:p>
      <w:pPr>
        <w:pStyle w:val="Defstart"/>
      </w:pPr>
      <w:r>
        <w:rPr>
          <w:b/>
        </w:rPr>
        <w:tab/>
      </w:r>
      <w:r>
        <w:rPr>
          <w:rStyle w:val="CharDefText"/>
        </w:rPr>
        <w:t>employee</w:t>
      </w:r>
      <w:r>
        <w:t xml:space="preserve"> includes an employee of WALGA;</w:t>
      </w:r>
    </w:p>
    <w:p>
      <w:pPr>
        <w:pStyle w:val="Defstart"/>
      </w:pPr>
      <w:r>
        <w:rPr>
          <w:b/>
        </w:rPr>
        <w:tab/>
      </w:r>
      <w:r>
        <w:rPr>
          <w:rStyle w:val="CharDefText"/>
        </w:rPr>
        <w:t>long service benefit</w:t>
      </w:r>
      <w:r>
        <w:t xml:space="preserve"> means any of the following — </w:t>
      </w:r>
    </w:p>
    <w:p>
      <w:pPr>
        <w:pStyle w:val="Defpara"/>
      </w:pPr>
      <w:r>
        <w:tab/>
        <w:t>(a)</w:t>
      </w:r>
      <w:r>
        <w:tab/>
        <w:t>long service leave with pay; or</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pPr>
      <w:r>
        <w:tab/>
        <w:t>(2)</w:t>
      </w:r>
      <w:r>
        <w:tab/>
        <w:t>Long service benefits for employees are to be provided in accordance with regulations.</w:t>
      </w:r>
    </w:p>
    <w:p>
      <w:pPr>
        <w:pStyle w:val="Footnotesection"/>
        <w:spacing w:before="160"/>
        <w:ind w:left="890" w:hanging="890"/>
      </w:pPr>
      <w:r>
        <w:tab/>
        <w:t>[Section 5.48 amended by No. 17 of 2009 s. 25.]</w:t>
      </w:r>
    </w:p>
    <w:p>
      <w:pPr>
        <w:pStyle w:val="Heading5"/>
        <w:spacing w:before="180"/>
      </w:pPr>
      <w:bookmarkStart w:id="705" w:name="_Toc462409430"/>
      <w:r>
        <w:rPr>
          <w:rStyle w:val="CharSectno"/>
        </w:rPr>
        <w:t>5.49</w:t>
      </w:r>
      <w:r>
        <w:t>.</w:t>
      </w:r>
      <w:r>
        <w:tab/>
        <w:t>Workers’ compensation arrangement</w:t>
      </w:r>
      <w:bookmarkEnd w:id="705"/>
    </w:p>
    <w:p>
      <w:pPr>
        <w:pStyle w:val="Subsection"/>
      </w:pPr>
      <w:r>
        <w:tab/>
        <w:t>(1)</w:t>
      </w:r>
      <w:r>
        <w:tab/>
        <w:t>In this section — </w:t>
      </w:r>
    </w:p>
    <w:p>
      <w:pPr>
        <w:pStyle w:val="Defstart"/>
      </w:pPr>
      <w:r>
        <w:tab/>
      </w:r>
      <w:r>
        <w:rPr>
          <w:rStyle w:val="CharDefText"/>
        </w:rPr>
        <w:t>arrangement</w:t>
      </w:r>
      <w:r>
        <w:t xml:space="preserve"> means the group self</w:t>
      </w:r>
      <w:r>
        <w:noBreakHyphen/>
        <w:t>insurance arrangement established under subsection (2);</w:t>
      </w:r>
    </w:p>
    <w:p>
      <w:pPr>
        <w:pStyle w:val="Defstart"/>
        <w:keepNext/>
      </w:pPr>
      <w:r>
        <w:tab/>
      </w:r>
      <w:r>
        <w:rPr>
          <w:rStyle w:val="CharDefText"/>
        </w:rPr>
        <w:t>eligible body</w:t>
      </w:r>
      <w:r>
        <w:t xml:space="preserve"> means — </w:t>
      </w:r>
    </w:p>
    <w:p>
      <w:pPr>
        <w:pStyle w:val="Defpara"/>
      </w:pPr>
      <w:r>
        <w:tab/>
        <w:t>(a)</w:t>
      </w:r>
      <w:r>
        <w:tab/>
        <w:t>a local government; or</w:t>
      </w:r>
    </w:p>
    <w:p>
      <w:pPr>
        <w:pStyle w:val="Defpara"/>
      </w:pPr>
      <w:r>
        <w:tab/>
        <w:t>(b)</w:t>
      </w:r>
      <w:r>
        <w:tab/>
        <w:t>a regional local government; or</w:t>
      </w:r>
    </w:p>
    <w:p>
      <w:pPr>
        <w:pStyle w:val="Defpara"/>
      </w:pPr>
      <w:r>
        <w:tab/>
        <w:t>(c)</w:t>
      </w:r>
      <w:r>
        <w:tab/>
        <w:t>any other body with functions relating to local government approved in writing by the Minister;</w:t>
      </w:r>
    </w:p>
    <w:p>
      <w:pPr>
        <w:pStyle w:val="Defstart"/>
      </w:pPr>
      <w:r>
        <w:tab/>
      </w:r>
      <w:r>
        <w:rPr>
          <w:rStyle w:val="CharDefText"/>
        </w:rPr>
        <w:t>WCIM Act</w:t>
      </w:r>
      <w:r>
        <w:t xml:space="preserve"> means the </w:t>
      </w:r>
      <w:r>
        <w:rPr>
          <w:i/>
        </w:rPr>
        <w:t>Workers’ Compensation and Injury Management Act 1981</w:t>
      </w:r>
      <w:r>
        <w:t>;</w:t>
      </w:r>
    </w:p>
    <w:p>
      <w:pPr>
        <w:pStyle w:val="Defstart"/>
      </w:pPr>
      <w:r>
        <w:rPr>
          <w:b/>
        </w:rPr>
        <w:tab/>
      </w:r>
      <w:smartTag w:uri="urn:schemas-microsoft-com:office:smarttags" w:element="place">
        <w:smartTag w:uri="urn:schemas-microsoft-com:office:smarttags" w:element="City">
          <w:r>
            <w:rPr>
              <w:rStyle w:val="CharDefText"/>
            </w:rPr>
            <w:t>WorkCover</w:t>
          </w:r>
        </w:smartTag>
        <w:r>
          <w:rPr>
            <w:rStyle w:val="CharDefText"/>
          </w:rPr>
          <w:t xml:space="preserve"> </w:t>
        </w:r>
        <w:smartTag w:uri="urn:schemas-microsoft-com:office:smarttags" w:element="State">
          <w:r>
            <w:rPr>
              <w:rStyle w:val="CharDefText"/>
            </w:rPr>
            <w:t>WA</w:t>
          </w:r>
        </w:smartTag>
      </w:smartTag>
      <w:r>
        <w:t xml:space="preserve"> has the same meaning as it has in the WCIM Act.</w:t>
      </w:r>
    </w:p>
    <w:p>
      <w:pPr>
        <w:pStyle w:val="Subsection"/>
      </w:pPr>
      <w:r>
        <w:tab/>
        <w:t>(2)</w:t>
      </w:r>
      <w:r>
        <w:tab/>
        <w:t>WALGA is to establish and manage, for the benefit of itself and any eligible body that chooses to participate, a group self</w:t>
      </w:r>
      <w:r>
        <w:noBreakHyphen/>
        <w:t>insurance arrangement against liability to pay compensation under the WCIM Act.</w:t>
      </w:r>
    </w:p>
    <w:p>
      <w:pPr>
        <w:pStyle w:val="Subsection"/>
      </w:pPr>
      <w:r>
        <w:tab/>
        <w:t>(3)</w:t>
      </w:r>
      <w:r>
        <w:tab/>
        <w:t xml:space="preserve">Subsection (2) does not apply unless the group of participants in the arrangement is exempted under section 164 of the WCIM Act. </w:t>
      </w:r>
    </w:p>
    <w:p>
      <w:pPr>
        <w:pStyle w:val="Subsection"/>
      </w:pPr>
      <w:r>
        <w:tab/>
        <w:t>(4)</w:t>
      </w:r>
      <w:r>
        <w:tab/>
        <w:t xml:space="preserve">If an eligible body wishes to join or leave the arrangement, WALGA is to apply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seek a variation in the group exemption.</w:t>
      </w:r>
    </w:p>
    <w:p>
      <w:pPr>
        <w:pStyle w:val="Subsection"/>
      </w:pPr>
      <w:r>
        <w:tab/>
        <w:t>(5)</w:t>
      </w:r>
      <w:r>
        <w:tab/>
        <w:t>Participants in the arrangement are jointly and severally liable for a liability of any participant to pay compensation under the WCIM Act, being a liability in relation to which that participant is exempted under section 164 of that Act from the requirement to insure.</w:t>
      </w:r>
    </w:p>
    <w:p>
      <w:pPr>
        <w:pStyle w:val="Subsection"/>
      </w:pPr>
      <w:r>
        <w:tab/>
        <w:t>(6)</w:t>
      </w:r>
      <w:r>
        <w:tab/>
        <w:t>WALGA is to dissolve the arrangement if exemption of the group under section 164 of the WCIM Act is cancelled.</w:t>
      </w:r>
    </w:p>
    <w:p>
      <w:pPr>
        <w:pStyle w:val="Subsection"/>
        <w:keepNext/>
      </w:pPr>
      <w:r>
        <w:tab/>
        <w:t>(7)</w:t>
      </w:r>
      <w:r>
        <w:tab/>
        <w:t>Nothing in this section limits the application of the WCIM Act.</w:t>
      </w:r>
    </w:p>
    <w:p>
      <w:pPr>
        <w:pStyle w:val="Footnotesection"/>
      </w:pPr>
      <w:r>
        <w:tab/>
        <w:t>[Section 5.49 amended by No. 42 of 2004 s. 165; No. 49 of 2004 s. 12.]</w:t>
      </w:r>
    </w:p>
    <w:p>
      <w:pPr>
        <w:pStyle w:val="Heading5"/>
      </w:pPr>
      <w:bookmarkStart w:id="706" w:name="_Toc462409431"/>
      <w:r>
        <w:rPr>
          <w:rStyle w:val="CharSectno"/>
        </w:rPr>
        <w:t>5.50</w:t>
      </w:r>
      <w:r>
        <w:t>.</w:t>
      </w:r>
      <w:r>
        <w:tab/>
        <w:t>Payments to employees in addition to contract or award</w:t>
      </w:r>
      <w:bookmarkEnd w:id="706"/>
    </w:p>
    <w:p>
      <w:pPr>
        <w:pStyle w:val="Subsection"/>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keepNext/>
      </w:pPr>
      <w:r>
        <w:tab/>
        <w:t>(b)</w:t>
      </w:r>
      <w:r>
        <w:tab/>
        <w:t xml:space="preserve">the manner of assessment of the additional amount, </w:t>
      </w:r>
    </w:p>
    <w:p>
      <w:pPr>
        <w:pStyle w:val="Subsection"/>
      </w:pPr>
      <w:r>
        <w:tab/>
      </w:r>
      <w:r>
        <w:tab/>
        <w:t>and cause local public notice to be given in relation to the policy.</w:t>
      </w:r>
    </w:p>
    <w:p>
      <w:pPr>
        <w:pStyle w:val="Subsection"/>
      </w:pPr>
      <w:r>
        <w:tab/>
        <w:t>(1a)</w:t>
      </w:r>
      <w:r>
        <w:tab/>
        <w:t>A local government must not make any payment of the kind described in subsection (1)(a) unless the local government has adopted a policy prepared under subsection (1).</w:t>
      </w:r>
    </w:p>
    <w:p>
      <w:pPr>
        <w:pStyle w:val="Subsection"/>
        <w:keepNext/>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Footnotesection"/>
      </w:pPr>
      <w:r>
        <w:tab/>
        <w:t>[Section 5.50 amended by No. 64 of 1998 s. 29.]</w:t>
      </w:r>
    </w:p>
    <w:p>
      <w:pPr>
        <w:pStyle w:val="Heading5"/>
      </w:pPr>
      <w:bookmarkStart w:id="707" w:name="_Toc462409432"/>
      <w:r>
        <w:rPr>
          <w:rStyle w:val="CharSectno"/>
        </w:rPr>
        <w:t>5.51</w:t>
      </w:r>
      <w:r>
        <w:t>.</w:t>
      </w:r>
      <w:r>
        <w:tab/>
        <w:t>Employee who nominates for election to council to take leave</w:t>
      </w:r>
      <w:bookmarkEnd w:id="707"/>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Heading3"/>
        <w:keepLines/>
      </w:pPr>
      <w:bookmarkStart w:id="708" w:name="_Toc448219148"/>
      <w:bookmarkStart w:id="709" w:name="_Toc448224370"/>
      <w:bookmarkStart w:id="710" w:name="_Toc451179607"/>
      <w:bookmarkStart w:id="711" w:name="_Toc451430527"/>
      <w:bookmarkStart w:id="712" w:name="_Toc455396477"/>
      <w:bookmarkStart w:id="713" w:name="_Toc455397337"/>
      <w:bookmarkStart w:id="714" w:name="_Toc456086420"/>
      <w:bookmarkStart w:id="715" w:name="_Toc462409433"/>
      <w:r>
        <w:rPr>
          <w:rStyle w:val="CharDivNo"/>
        </w:rPr>
        <w:t>Division 5</w:t>
      </w:r>
      <w:r>
        <w:t> — </w:t>
      </w:r>
      <w:r>
        <w:rPr>
          <w:rStyle w:val="CharDivText"/>
        </w:rPr>
        <w:t>Annual reports and planning</w:t>
      </w:r>
      <w:bookmarkEnd w:id="708"/>
      <w:bookmarkEnd w:id="709"/>
      <w:bookmarkEnd w:id="710"/>
      <w:bookmarkEnd w:id="711"/>
      <w:bookmarkEnd w:id="712"/>
      <w:bookmarkEnd w:id="713"/>
      <w:bookmarkEnd w:id="714"/>
      <w:bookmarkEnd w:id="715"/>
    </w:p>
    <w:p>
      <w:pPr>
        <w:pStyle w:val="Footnoteheading"/>
        <w:keepNext/>
        <w:keepLines/>
        <w:spacing w:before="100"/>
      </w:pPr>
      <w:r>
        <w:tab/>
        <w:t>[Heading amended by No. 49 of 2004 s. 42(2).]</w:t>
      </w:r>
    </w:p>
    <w:p>
      <w:pPr>
        <w:pStyle w:val="Ednotesection"/>
        <w:spacing w:before="240"/>
      </w:pPr>
      <w:r>
        <w:t>[</w:t>
      </w:r>
      <w:r>
        <w:rPr>
          <w:b/>
        </w:rPr>
        <w:t>5.52.</w:t>
      </w:r>
      <w:r>
        <w:tab/>
        <w:t>Deleted by No. 49 of 2004 s. 42(3).]</w:t>
      </w:r>
    </w:p>
    <w:p>
      <w:pPr>
        <w:pStyle w:val="Heading5"/>
        <w:spacing w:before="240"/>
      </w:pPr>
      <w:bookmarkStart w:id="716" w:name="_Toc462409434"/>
      <w:r>
        <w:rPr>
          <w:rStyle w:val="CharSectno"/>
        </w:rPr>
        <w:t>5.53</w:t>
      </w:r>
      <w:r>
        <w:t>.</w:t>
      </w:r>
      <w:r>
        <w:tab/>
        <w:t>Annual reports</w:t>
      </w:r>
      <w:bookmarkEnd w:id="716"/>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 and</w:t>
      </w:r>
    </w:p>
    <w:p>
      <w:pPr>
        <w:pStyle w:val="Indenta"/>
      </w:pPr>
      <w:r>
        <w:tab/>
        <w:t>(b)</w:t>
      </w:r>
      <w:r>
        <w:tab/>
        <w:t>a report from the CEO; and</w:t>
      </w:r>
    </w:p>
    <w:p>
      <w:pPr>
        <w:pStyle w:val="Ednotepara"/>
        <w:tabs>
          <w:tab w:val="left" w:pos="960"/>
        </w:tabs>
        <w:spacing w:before="80"/>
      </w:pPr>
      <w:r>
        <w:tab/>
        <w:t>[(c), (d)</w:t>
      </w:r>
      <w:r>
        <w:tab/>
        <w:t>deleted]</w:t>
      </w:r>
    </w:p>
    <w:p>
      <w:pPr>
        <w:pStyle w:val="Indenta"/>
      </w:pPr>
      <w:r>
        <w:tab/>
        <w:t>(e)</w:t>
      </w:r>
      <w:r>
        <w:tab/>
        <w:t>an overview of the plan for the future of the district made in accordance with section 5.56, including major initiatives that are proposed to commence or to continue in the next financial year; and</w:t>
      </w:r>
    </w:p>
    <w:p>
      <w:pPr>
        <w:pStyle w:val="Indenta"/>
      </w:pPr>
      <w:r>
        <w:tab/>
        <w:t>(f)</w:t>
      </w:r>
      <w:r>
        <w:tab/>
        <w:t>the financial report for the financial year; and</w:t>
      </w:r>
    </w:p>
    <w:p>
      <w:pPr>
        <w:pStyle w:val="Indenta"/>
      </w:pPr>
      <w:r>
        <w:tab/>
        <w:t>(g)</w:t>
      </w:r>
      <w:r>
        <w:tab/>
        <w:t>such information as may be prescribed in relation to the payments made to employees; and</w:t>
      </w:r>
    </w:p>
    <w:p>
      <w:pPr>
        <w:pStyle w:val="Indenta"/>
      </w:pPr>
      <w:r>
        <w:tab/>
        <w:t>(h)</w:t>
      </w:r>
      <w:r>
        <w:tab/>
        <w:t>the auditor’s report for the financial year; and</w:t>
      </w:r>
    </w:p>
    <w:p>
      <w:pPr>
        <w:pStyle w:val="Indenta"/>
      </w:pPr>
      <w:r>
        <w:tab/>
        <w:t>(ha)</w:t>
      </w:r>
      <w:r>
        <w:tab/>
        <w:t xml:space="preserve">a matter on which a report must be made under section 29(2) of the </w:t>
      </w:r>
      <w:r>
        <w:rPr>
          <w:i/>
        </w:rPr>
        <w:t>Disability Services Act 1993</w:t>
      </w:r>
      <w:r>
        <w:t>; and</w:t>
      </w:r>
    </w:p>
    <w:p>
      <w:pPr>
        <w:pStyle w:val="Indenta"/>
      </w:pPr>
      <w:r>
        <w:tab/>
        <w:t>(hb)</w:t>
      </w:r>
      <w:r>
        <w:tab/>
        <w:t xml:space="preserve">details of entries made under section 5.121 during the financial year in the register of complaints, including — </w:t>
      </w:r>
    </w:p>
    <w:p>
      <w:pPr>
        <w:pStyle w:val="Indenti"/>
      </w:pPr>
      <w:r>
        <w:tab/>
        <w:t>(i)</w:t>
      </w:r>
      <w:r>
        <w:tab/>
        <w:t>the number of complaints recorded in the register of complaints; and</w:t>
      </w:r>
    </w:p>
    <w:p>
      <w:pPr>
        <w:pStyle w:val="Indenti"/>
      </w:pPr>
      <w:r>
        <w:tab/>
        <w:t>(ii)</w:t>
      </w:r>
      <w:r>
        <w:tab/>
        <w:t>how the recorded complaints were dealt with; and</w:t>
      </w:r>
    </w:p>
    <w:p>
      <w:pPr>
        <w:pStyle w:val="Indenti"/>
      </w:pPr>
      <w:r>
        <w:tab/>
        <w:t>(iii)</w:t>
      </w:r>
      <w:r>
        <w:tab/>
        <w:t>any other details that the regulations may require;</w:t>
      </w:r>
    </w:p>
    <w:p>
      <w:pPr>
        <w:pStyle w:val="Indenta"/>
      </w:pPr>
      <w:r>
        <w:tab/>
      </w:r>
      <w:r>
        <w:tab/>
        <w:t>and</w:t>
      </w:r>
    </w:p>
    <w:p>
      <w:pPr>
        <w:pStyle w:val="Indenta"/>
        <w:keepNext/>
      </w:pPr>
      <w:r>
        <w:tab/>
        <w:t>(i)</w:t>
      </w:r>
      <w:r>
        <w:tab/>
        <w:t>such other information as may be prescribed.</w:t>
      </w:r>
    </w:p>
    <w:p>
      <w:pPr>
        <w:pStyle w:val="Footnotesection"/>
        <w:ind w:left="890" w:hanging="890"/>
      </w:pPr>
      <w:r>
        <w:tab/>
        <w:t>[Section 5.53 amended by No. 44 of 1999 s. 28(3); No. 49 of 2004 s. 42(4) and (5); No. 1 of 2007 s. 6.]</w:t>
      </w:r>
    </w:p>
    <w:p>
      <w:pPr>
        <w:pStyle w:val="Heading5"/>
        <w:spacing w:before="180"/>
      </w:pPr>
      <w:bookmarkStart w:id="717" w:name="_Toc462409435"/>
      <w:r>
        <w:rPr>
          <w:rStyle w:val="CharSectno"/>
        </w:rPr>
        <w:t>5.54</w:t>
      </w:r>
      <w:r>
        <w:t>.</w:t>
      </w:r>
      <w:r>
        <w:tab/>
        <w:t>Acceptance of annual reports</w:t>
      </w:r>
      <w:bookmarkEnd w:id="717"/>
    </w:p>
    <w:p>
      <w:pPr>
        <w:pStyle w:val="Subsection"/>
      </w:pPr>
      <w:r>
        <w:tab/>
        <w:t>(1)</w:t>
      </w:r>
      <w:r>
        <w:tab/>
        <w:t>Subject to subsection (2), the annual report for a financial year is to be accepted* by the local government no later than 31 December after that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by No. 49 of 2004 s. 49.]</w:t>
      </w:r>
    </w:p>
    <w:p>
      <w:pPr>
        <w:pStyle w:val="Heading5"/>
        <w:spacing w:before="180"/>
      </w:pPr>
      <w:bookmarkStart w:id="718" w:name="_Toc462409436"/>
      <w:r>
        <w:rPr>
          <w:rStyle w:val="CharSectno"/>
        </w:rPr>
        <w:t>5.55</w:t>
      </w:r>
      <w:r>
        <w:t>.</w:t>
      </w:r>
      <w:r>
        <w:tab/>
        <w:t>Notice of annual reports</w:t>
      </w:r>
      <w:bookmarkEnd w:id="718"/>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pPr>
      <w:bookmarkStart w:id="719" w:name="_Toc462409437"/>
      <w:r>
        <w:t>5.56.</w:t>
      </w:r>
      <w:r>
        <w:tab/>
        <w:t>Planning for the future</w:t>
      </w:r>
      <w:bookmarkEnd w:id="719"/>
    </w:p>
    <w:p>
      <w:pPr>
        <w:pStyle w:val="Subsection"/>
      </w:pPr>
      <w:r>
        <w:tab/>
        <w:t>(1)</w:t>
      </w:r>
      <w:r>
        <w:tab/>
        <w:t>A local government is to plan for the future of the district.</w:t>
      </w:r>
    </w:p>
    <w:p>
      <w:pPr>
        <w:pStyle w:val="Subsection"/>
      </w:pPr>
      <w:r>
        <w:tab/>
        <w:t>(2)</w:t>
      </w:r>
      <w:r>
        <w:tab/>
        <w:t>A local government is to ensure that plans made under subsection (1) are in accordance with any regulations made about planning for the future of the district.</w:t>
      </w:r>
    </w:p>
    <w:p>
      <w:pPr>
        <w:pStyle w:val="Footnotesection"/>
      </w:pPr>
      <w:r>
        <w:tab/>
        <w:t>[Section 5.56 inserted by No. 49 of 2004 s. 42(6).]</w:t>
      </w:r>
    </w:p>
    <w:p>
      <w:pPr>
        <w:pStyle w:val="Ednotesection"/>
        <w:spacing w:before="180"/>
        <w:ind w:left="890" w:hanging="890"/>
      </w:pPr>
      <w:r>
        <w:t>[</w:t>
      </w:r>
      <w:r>
        <w:rPr>
          <w:b/>
        </w:rPr>
        <w:t>5.57, 5.58.</w:t>
      </w:r>
      <w:r>
        <w:tab/>
        <w:t>Deleted by No. 49 of 2004 s. 42(6).]</w:t>
      </w:r>
    </w:p>
    <w:p>
      <w:pPr>
        <w:pStyle w:val="Heading3"/>
        <w:pageBreakBefore/>
        <w:spacing w:before="0"/>
      </w:pPr>
      <w:bookmarkStart w:id="720" w:name="_Toc448219153"/>
      <w:bookmarkStart w:id="721" w:name="_Toc448224375"/>
      <w:bookmarkStart w:id="722" w:name="_Toc451179612"/>
      <w:bookmarkStart w:id="723" w:name="_Toc451430532"/>
      <w:bookmarkStart w:id="724" w:name="_Toc455396482"/>
      <w:bookmarkStart w:id="725" w:name="_Toc455397342"/>
      <w:bookmarkStart w:id="726" w:name="_Toc456086425"/>
      <w:bookmarkStart w:id="727" w:name="_Toc462409438"/>
      <w:r>
        <w:rPr>
          <w:rStyle w:val="CharDivNo"/>
        </w:rPr>
        <w:t>Division 6</w:t>
      </w:r>
      <w:r>
        <w:t> — </w:t>
      </w:r>
      <w:r>
        <w:rPr>
          <w:rStyle w:val="CharDivText"/>
        </w:rPr>
        <w:t>Disclosure of financial interests</w:t>
      </w:r>
      <w:bookmarkEnd w:id="720"/>
      <w:bookmarkEnd w:id="721"/>
      <w:bookmarkEnd w:id="722"/>
      <w:bookmarkEnd w:id="723"/>
      <w:bookmarkEnd w:id="724"/>
      <w:bookmarkEnd w:id="725"/>
      <w:bookmarkEnd w:id="726"/>
      <w:bookmarkEnd w:id="727"/>
    </w:p>
    <w:p>
      <w:pPr>
        <w:pStyle w:val="Heading4"/>
        <w:spacing w:before="220"/>
      </w:pPr>
      <w:bookmarkStart w:id="728" w:name="_Toc448219154"/>
      <w:bookmarkStart w:id="729" w:name="_Toc448224376"/>
      <w:bookmarkStart w:id="730" w:name="_Toc451179613"/>
      <w:bookmarkStart w:id="731" w:name="_Toc451430533"/>
      <w:bookmarkStart w:id="732" w:name="_Toc455396483"/>
      <w:bookmarkStart w:id="733" w:name="_Toc455397343"/>
      <w:bookmarkStart w:id="734" w:name="_Toc456086426"/>
      <w:bookmarkStart w:id="735" w:name="_Toc462409439"/>
      <w:r>
        <w:t>Subdivision 1 — Disclosure of financial interests in matters affecting local government decisions</w:t>
      </w:r>
      <w:bookmarkEnd w:id="728"/>
      <w:bookmarkEnd w:id="729"/>
      <w:bookmarkEnd w:id="730"/>
      <w:bookmarkEnd w:id="731"/>
      <w:bookmarkEnd w:id="732"/>
      <w:bookmarkEnd w:id="733"/>
      <w:bookmarkEnd w:id="734"/>
      <w:bookmarkEnd w:id="735"/>
    </w:p>
    <w:p>
      <w:pPr>
        <w:pStyle w:val="Heading5"/>
        <w:spacing w:before="180"/>
      </w:pPr>
      <w:bookmarkStart w:id="736" w:name="_Toc462409440"/>
      <w:r>
        <w:rPr>
          <w:rStyle w:val="CharSectno"/>
        </w:rPr>
        <w:t>5.59</w:t>
      </w:r>
      <w:r>
        <w:t>.</w:t>
      </w:r>
      <w:r>
        <w:tab/>
        <w:t>Terms used</w:t>
      </w:r>
      <w:bookmarkEnd w:id="736"/>
    </w:p>
    <w:p>
      <w:pPr>
        <w:pStyle w:val="Subsection"/>
        <w:spacing w:before="120"/>
      </w:pPr>
      <w:r>
        <w:tab/>
      </w:r>
      <w:r>
        <w:tab/>
        <w:t>In this Subdivision, unless the contrary intention appears — </w:t>
      </w:r>
    </w:p>
    <w:p>
      <w:pPr>
        <w:pStyle w:val="Defstart"/>
      </w:pPr>
      <w:r>
        <w:rPr>
          <w:b/>
        </w:rPr>
        <w:tab/>
      </w:r>
      <w:r>
        <w:rPr>
          <w:rStyle w:val="CharDefText"/>
        </w:rPr>
        <w:t>extent</w:t>
      </w:r>
      <w:r>
        <w:t>, in relation to an interest, includes the value and amount of the interest;</w:t>
      </w:r>
    </w:p>
    <w:p>
      <w:pPr>
        <w:pStyle w:val="Defstart"/>
      </w:pPr>
      <w:r>
        <w:rPr>
          <w:b/>
        </w:rPr>
        <w:tab/>
      </w:r>
      <w:r>
        <w:rPr>
          <w:rStyle w:val="CharDefText"/>
        </w:rPr>
        <w:t>member</w:t>
      </w:r>
      <w:r>
        <w:t>, in relation to a council or committee, means a council member or a member of the committee;</w:t>
      </w:r>
    </w:p>
    <w:p>
      <w:pPr>
        <w:pStyle w:val="Defstart"/>
      </w:pPr>
      <w:r>
        <w:rPr>
          <w:b/>
        </w:rPr>
        <w:tab/>
      </w:r>
      <w:r>
        <w:rPr>
          <w:rStyle w:val="CharDefText"/>
        </w:rPr>
        <w:t>relevant person</w:t>
      </w:r>
      <w:r>
        <w:t xml:space="preserve"> means a person who is either a member or a person to whom section 5.70 or 5.71 applies.</w:t>
      </w:r>
    </w:p>
    <w:p>
      <w:pPr>
        <w:pStyle w:val="Heading5"/>
        <w:spacing w:before="180"/>
      </w:pPr>
      <w:bookmarkStart w:id="737" w:name="_Toc462409441"/>
      <w:r>
        <w:rPr>
          <w:rStyle w:val="CharSectno"/>
        </w:rPr>
        <w:t>5.60</w:t>
      </w:r>
      <w:r>
        <w:t>.</w:t>
      </w:r>
      <w:r>
        <w:tab/>
        <w:t>When person has an interest</w:t>
      </w:r>
      <w:bookmarkEnd w:id="737"/>
    </w:p>
    <w:p>
      <w:pPr>
        <w:pStyle w:val="Subsection"/>
        <w:spacing w:before="120"/>
      </w:pPr>
      <w:r>
        <w:tab/>
      </w:r>
      <w:r>
        <w:tab/>
        <w:t>For the purposes of this Subdivision, a relevant person has an interest in a matter if either —</w:t>
      </w:r>
    </w:p>
    <w:p>
      <w:pPr>
        <w:pStyle w:val="Indenta"/>
      </w:pPr>
      <w:r>
        <w:tab/>
        <w:t>(a)</w:t>
      </w:r>
      <w:r>
        <w:tab/>
        <w:t>the relevant person; or</w:t>
      </w:r>
    </w:p>
    <w:p>
      <w:pPr>
        <w:pStyle w:val="Indenta"/>
      </w:pPr>
      <w:r>
        <w:tab/>
        <w:t>(b)</w:t>
      </w:r>
      <w:r>
        <w:tab/>
        <w:t xml:space="preserve">a person with whom the relevant person is closely associated, </w:t>
      </w:r>
    </w:p>
    <w:p>
      <w:pPr>
        <w:pStyle w:val="Subsection"/>
        <w:spacing w:before="180"/>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spacing w:before="80"/>
        <w:ind w:left="890" w:hanging="890"/>
      </w:pPr>
      <w:r>
        <w:tab/>
        <w:t>[Section 5.60 inserted by No. 64 of 1998 s. 30.]</w:t>
      </w:r>
    </w:p>
    <w:p>
      <w:pPr>
        <w:pStyle w:val="Heading5"/>
        <w:spacing w:before="180"/>
      </w:pPr>
      <w:bookmarkStart w:id="738" w:name="_Toc462409442"/>
      <w:r>
        <w:rPr>
          <w:rStyle w:val="CharSectno"/>
        </w:rPr>
        <w:t>5.60A</w:t>
      </w:r>
      <w:r>
        <w:t>.</w:t>
      </w:r>
      <w:r>
        <w:tab/>
        <w:t>Financial interest</w:t>
      </w:r>
      <w:bookmarkEnd w:id="738"/>
    </w:p>
    <w:p>
      <w:pPr>
        <w:pStyle w:val="Subsection"/>
        <w:spacing w:before="120"/>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spacing w:before="80"/>
        <w:ind w:left="890" w:hanging="890"/>
      </w:pPr>
      <w:r>
        <w:tab/>
        <w:t>[Section 5.60A inserted by No. 64 of 1998 s. 30; amended by No. 49 of 2004 s. 50.]</w:t>
      </w:r>
    </w:p>
    <w:p>
      <w:pPr>
        <w:pStyle w:val="Heading5"/>
      </w:pPr>
      <w:bookmarkStart w:id="739" w:name="_Toc462409443"/>
      <w:r>
        <w:rPr>
          <w:rStyle w:val="CharSectno"/>
        </w:rPr>
        <w:t>5.60B</w:t>
      </w:r>
      <w:r>
        <w:t>.</w:t>
      </w:r>
      <w:r>
        <w:tab/>
        <w:t>Proximity interest</w:t>
      </w:r>
      <w:bookmarkEnd w:id="739"/>
    </w:p>
    <w:p>
      <w:pPr>
        <w:pStyle w:val="Subsection"/>
      </w:pPr>
      <w:r>
        <w:tab/>
        <w:t>(1)</w:t>
      </w:r>
      <w:r>
        <w:tab/>
        <w:t>For the purposes of this Subdivision, a person has a proximity interest in a matter if the matter concerns —</w:t>
      </w:r>
    </w:p>
    <w:p>
      <w:pPr>
        <w:pStyle w:val="Indenta"/>
      </w:pPr>
      <w:r>
        <w:tab/>
        <w:t>(a)</w:t>
      </w:r>
      <w:r>
        <w:tab/>
        <w:t>a proposed change to a planning scheme affecting land that adjoins the person’s land; or</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pPr>
      <w:r>
        <w:tab/>
        <w:t>(2)</w:t>
      </w:r>
      <w:r>
        <w:tab/>
        <w:t>In this section, land (the</w:t>
      </w:r>
      <w:r>
        <w:rPr>
          <w:rStyle w:val="CharDefText"/>
        </w:rPr>
        <w:t xml:space="preserve"> proposal land</w:t>
      </w:r>
      <w:r>
        <w:t>) adjoins a person’s land if —</w:t>
      </w:r>
    </w:p>
    <w:p>
      <w:pPr>
        <w:pStyle w:val="Indenta"/>
      </w:pPr>
      <w:r>
        <w:tab/>
        <w:t>(a)</w:t>
      </w:r>
      <w:r>
        <w:tab/>
        <w:t>the proposal land, not being a thoroughfare, has a common boundary with the person’s land; or</w:t>
      </w:r>
    </w:p>
    <w:p>
      <w:pPr>
        <w:pStyle w:val="Indenta"/>
        <w:keepNext/>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by No. 64 of 1998 s. 30.]</w:t>
      </w:r>
    </w:p>
    <w:p>
      <w:pPr>
        <w:pStyle w:val="Heading5"/>
      </w:pPr>
      <w:bookmarkStart w:id="740" w:name="_Toc462409444"/>
      <w:r>
        <w:rPr>
          <w:rStyle w:val="CharSectno"/>
        </w:rPr>
        <w:t>5.61</w:t>
      </w:r>
      <w:r>
        <w:t>.</w:t>
      </w:r>
      <w:r>
        <w:tab/>
        <w:t>Indirect financial interests</w:t>
      </w:r>
      <w:bookmarkEnd w:id="740"/>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741" w:name="_Toc462409445"/>
      <w:r>
        <w:rPr>
          <w:rStyle w:val="CharSectno"/>
        </w:rPr>
        <w:t>5.62</w:t>
      </w:r>
      <w:r>
        <w:t>.</w:t>
      </w:r>
      <w:r>
        <w:tab/>
        <w:t>Closely associated persons</w:t>
      </w:r>
      <w:bookmarkEnd w:id="741"/>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 or</w:t>
      </w:r>
    </w:p>
    <w:p>
      <w:pPr>
        <w:pStyle w:val="Indenta"/>
      </w:pPr>
      <w:r>
        <w:tab/>
        <w:t>(b)</w:t>
      </w:r>
      <w:r>
        <w:tab/>
        <w:t>the person is an employer of the relevant person; or</w:t>
      </w:r>
    </w:p>
    <w:p>
      <w:pPr>
        <w:pStyle w:val="Indenta"/>
      </w:pPr>
      <w:r>
        <w:tab/>
        <w:t>(c)</w:t>
      </w:r>
      <w:r>
        <w:tab/>
        <w:t>the person is a beneficiary under a trust, or an object of a discretionary trust, of which the relevant person is a trustee; or</w:t>
      </w:r>
    </w:p>
    <w:p>
      <w:pPr>
        <w:pStyle w:val="Indenta"/>
      </w:pPr>
      <w:r>
        <w:tab/>
        <w:t>(ca)</w:t>
      </w:r>
      <w:r>
        <w:tab/>
        <w:t>the person belongs to a class of persons that is prescribed; or</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tab/>
        <w:t>(ii)</w:t>
      </w:r>
      <w:r>
        <w:tab/>
        <w:t>in which the relevant person holds shares having a total value exceeding — </w:t>
      </w:r>
    </w:p>
    <w:p>
      <w:pPr>
        <w:pStyle w:val="IndentI0"/>
      </w:pPr>
      <w:r>
        <w:tab/>
        <w:t>(I)</w:t>
      </w:r>
      <w:r>
        <w:tab/>
        <w:t>the prescribed amount; or</w:t>
      </w:r>
    </w:p>
    <w:p>
      <w:pPr>
        <w:pStyle w:val="IndentI0"/>
        <w:keepLines/>
      </w:pPr>
      <w:r>
        <w:tab/>
        <w:t>(II)</w:t>
      </w:r>
      <w:r>
        <w:tab/>
        <w:t>the prescribed percentage of the total value of the issued share capital of the company,</w:t>
      </w:r>
    </w:p>
    <w:p>
      <w:pPr>
        <w:pStyle w:val="Indenti"/>
        <w:keepLines/>
      </w:pPr>
      <w:r>
        <w:tab/>
      </w:r>
      <w:r>
        <w:tab/>
        <w:t>whichever is less;</w:t>
      </w:r>
    </w:p>
    <w:p>
      <w:pPr>
        <w:pStyle w:val="Indenta"/>
        <w:keepLines/>
      </w:pPr>
      <w:r>
        <w:tab/>
      </w:r>
      <w:r>
        <w:tab/>
        <w:t>or</w:t>
      </w:r>
    </w:p>
    <w:p>
      <w:pPr>
        <w:pStyle w:val="Indenta"/>
      </w:pPr>
      <w:r>
        <w:tab/>
        <w:t>(e)</w:t>
      </w:r>
      <w:r>
        <w:tab/>
        <w:t>the person is the spouse, de facto partner or child of the relevant person and is living with the relevant person; or</w:t>
      </w:r>
    </w:p>
    <w:p>
      <w:pPr>
        <w:pStyle w:val="Indenta"/>
        <w:keepNext/>
      </w:pPr>
      <w:r>
        <w:tab/>
        <w:t>(ea)</w:t>
      </w:r>
      <w:r>
        <w:tab/>
        <w:t>the relevant person is a council member and the person —</w:t>
      </w:r>
    </w:p>
    <w:p>
      <w:pPr>
        <w:pStyle w:val="Indenti"/>
      </w:pPr>
      <w:r>
        <w:tab/>
        <w:t>(i)</w:t>
      </w:r>
      <w:r>
        <w:tab/>
        <w:t>gave a notifiable gift to the relevant person in relation to the election at which the relevant person was last elected; or</w:t>
      </w:r>
    </w:p>
    <w:p>
      <w:pPr>
        <w:pStyle w:val="Indenti"/>
      </w:pPr>
      <w:r>
        <w:tab/>
        <w:t>(ii)</w:t>
      </w:r>
      <w:r>
        <w:tab/>
        <w:t>has given a notifiable gift to the relevant person since the relevant person was last elected;</w:t>
      </w:r>
    </w:p>
    <w:p>
      <w:pPr>
        <w:pStyle w:val="Indenta"/>
      </w:pPr>
      <w:r>
        <w:tab/>
      </w:r>
      <w:r>
        <w:tab/>
        <w:t>or</w:t>
      </w:r>
    </w:p>
    <w:p>
      <w:pPr>
        <w:pStyle w:val="Indenta"/>
      </w:pPr>
      <w:r>
        <w:tab/>
        <w:t>(eb)</w:t>
      </w:r>
      <w:r>
        <w:tab/>
        <w:t xml:space="preserve">the relevant person is a council member and since the relevant person was last elected the person — </w:t>
      </w:r>
    </w:p>
    <w:p>
      <w:pPr>
        <w:pStyle w:val="Indenti"/>
      </w:pPr>
      <w:r>
        <w:tab/>
        <w:t>(i)</w:t>
      </w:r>
      <w:r>
        <w:tab/>
        <w:t>gave to the relevant person a gift that section 5.82 requires the relevant person to disclose; or</w:t>
      </w:r>
    </w:p>
    <w:p>
      <w:pPr>
        <w:pStyle w:val="Indenti"/>
      </w:pPr>
      <w:r>
        <w:tab/>
        <w:t>(ii)</w:t>
      </w:r>
      <w:r>
        <w:tab/>
        <w:t>made a contribution to travel undertaken by the relevant person that section 5.83 requires the relevant person to disclose;</w:t>
      </w:r>
    </w:p>
    <w:p>
      <w:pPr>
        <w:pStyle w:val="Indenta"/>
      </w:pPr>
      <w:r>
        <w:tab/>
      </w:r>
      <w:r>
        <w:tab/>
        <w:t>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pPr>
      <w:r>
        <w:tab/>
        <w:t>(2)</w:t>
      </w:r>
      <w:r>
        <w:tab/>
        <w:t>In subsection (1) —</w:t>
      </w:r>
    </w:p>
    <w:p>
      <w:pPr>
        <w:pStyle w:val="Defstart"/>
      </w:pPr>
      <w:r>
        <w:tab/>
      </w:r>
      <w:r>
        <w:rPr>
          <w:rStyle w:val="CharDefText"/>
        </w:rPr>
        <w:t>notifiable gift</w:t>
      </w:r>
      <w:r>
        <w:t xml:space="preserve"> means a gift about which the relevant person was or is required by regulations under section 4.59(a) to provide information in relation to an election;</w:t>
      </w:r>
    </w:p>
    <w:p>
      <w:pPr>
        <w:pStyle w:val="Defstart"/>
      </w:pPr>
      <w:r>
        <w:rPr>
          <w:b/>
        </w:rPr>
        <w:tab/>
      </w:r>
      <w:r>
        <w:rPr>
          <w:rStyle w:val="CharDefText"/>
        </w:rPr>
        <w:t>value</w:t>
      </w:r>
      <w:r>
        <w:t>, in relation to shares, means the value of the shares calculated in the prescribed manner or using the prescribed method.</w:t>
      </w:r>
    </w:p>
    <w:p>
      <w:pPr>
        <w:pStyle w:val="Footnotesection"/>
        <w:spacing w:before="100"/>
        <w:ind w:left="890" w:hanging="890"/>
      </w:pPr>
      <w:r>
        <w:tab/>
        <w:t>[Section 5.62 amended by No. 64 of 1998 s. 31; No. 28 of 2003 s. 110; No. 49 of 2004 s. 51; No. 17 of 2009 s. 26.]</w:t>
      </w:r>
    </w:p>
    <w:p>
      <w:pPr>
        <w:pStyle w:val="Heading5"/>
      </w:pPr>
      <w:bookmarkStart w:id="742" w:name="_Toc462409446"/>
      <w:r>
        <w:rPr>
          <w:rStyle w:val="CharSectno"/>
        </w:rPr>
        <w:t>5.63</w:t>
      </w:r>
      <w:r>
        <w:t>.</w:t>
      </w:r>
      <w:r>
        <w:tab/>
        <w:t>Some interests need not be disclosed</w:t>
      </w:r>
      <w:bookmarkEnd w:id="742"/>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 or</w:t>
      </w:r>
    </w:p>
    <w:p>
      <w:pPr>
        <w:pStyle w:val="Indenta"/>
      </w:pPr>
      <w:r>
        <w:tab/>
        <w:t>(b)</w:t>
      </w:r>
      <w:r>
        <w:tab/>
        <w:t>an interest in the imposition of any rate, charge or fee by the local government; or</w:t>
      </w:r>
    </w:p>
    <w:p>
      <w:pPr>
        <w:pStyle w:val="Indenta"/>
      </w:pPr>
      <w:r>
        <w:tab/>
        <w:t>(c)</w:t>
      </w:r>
      <w:r>
        <w:tab/>
        <w:t>an interest relating to a fee, reimbursement of an expense or an allowance to which section 5.98, 5.98A, 5.99, 5.99A, 5.100 or 5.101(2) refers; or</w:t>
      </w:r>
    </w:p>
    <w:p>
      <w:pPr>
        <w:pStyle w:val="Indenta"/>
      </w:pPr>
      <w:r>
        <w:tab/>
        <w:t>(d)</w:t>
      </w:r>
      <w:r>
        <w:tab/>
        <w:t>an interest relating to the pay, terms or conditions of an employee unless — </w:t>
      </w:r>
    </w:p>
    <w:p>
      <w:pPr>
        <w:pStyle w:val="Indenti"/>
      </w:pPr>
      <w:r>
        <w:tab/>
        <w:t>(i)</w:t>
      </w:r>
      <w:r>
        <w:tab/>
        <w:t xml:space="preserve">the relevant person is the employee; or </w:t>
      </w:r>
    </w:p>
    <w:p>
      <w:pPr>
        <w:pStyle w:val="Indenti"/>
      </w:pPr>
      <w:r>
        <w:tab/>
        <w:t>(ii)</w:t>
      </w:r>
      <w:r>
        <w:tab/>
        <w:t>either the relevant person’s spouse, de facto partner or child is the employee if the spouse, de facto partner or child is living with the relevant person;</w:t>
      </w:r>
    </w:p>
    <w:p>
      <w:pPr>
        <w:pStyle w:val="Indenta"/>
      </w:pPr>
      <w:r>
        <w:tab/>
      </w:r>
      <w:r>
        <w:tab/>
        <w:t>or</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 or</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 or</w:t>
      </w:r>
    </w:p>
    <w:p>
      <w:pPr>
        <w:pStyle w:val="Indenta"/>
      </w:pPr>
      <w:r>
        <w:tab/>
        <w:t>(b)</w:t>
      </w:r>
      <w:r>
        <w:tab/>
        <w:t xml:space="preserve">any proposed change to the zoning or use of that land or any land adjacent to that land; or </w:t>
      </w:r>
    </w:p>
    <w:p>
      <w:pPr>
        <w:pStyle w:val="Indenta"/>
        <w:keepNext/>
      </w:pPr>
      <w:r>
        <w:tab/>
        <w:t>(c)</w:t>
      </w:r>
      <w:r>
        <w:tab/>
        <w:t>the proposed development of that land or any land adjacent to that land,</w:t>
      </w:r>
    </w:p>
    <w:p>
      <w:pPr>
        <w:pStyle w:val="Subsection"/>
        <w:spacing w:before="120"/>
      </w:pPr>
      <w:r>
        <w:tab/>
      </w:r>
      <w:r>
        <w:tab/>
        <w:t>then nothing in this section prevents sections 5.65, 5.70 and 5.71 from applying to the relevant person.</w:t>
      </w:r>
    </w:p>
    <w:p>
      <w:pPr>
        <w:pStyle w:val="Subsection"/>
        <w:spacing w:before="12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keepNext/>
      </w:pPr>
      <w:r>
        <w:tab/>
        <w:t>(c)</w:t>
      </w:r>
      <w:r>
        <w:tab/>
        <w:t xml:space="preserve">the proposed development of land in the district, </w:t>
      </w:r>
    </w:p>
    <w:p>
      <w:pPr>
        <w:pStyle w:val="Subsection"/>
        <w:spacing w:before="120"/>
      </w:pPr>
      <w:r>
        <w:tab/>
      </w:r>
      <w:r>
        <w:tab/>
        <w:t>then nothing in this section prevents sections 5.65, 5.70 and 5.71 from applying to the relevant person.</w:t>
      </w:r>
    </w:p>
    <w:p>
      <w:pPr>
        <w:pStyle w:val="Subsection"/>
        <w:spacing w:before="120"/>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by No. 1 of 1998 s. 15; No. 64 of 1998 s. 32; No. 28 of 2003 s. 111; No. 49 of 2004 s. 52; No. 17 of 2009 s. 27.]</w:t>
      </w:r>
    </w:p>
    <w:p>
      <w:pPr>
        <w:pStyle w:val="Ednotesection"/>
        <w:spacing w:before="180"/>
        <w:ind w:left="890" w:hanging="890"/>
      </w:pPr>
      <w:r>
        <w:t>[</w:t>
      </w:r>
      <w:r>
        <w:rPr>
          <w:b/>
        </w:rPr>
        <w:t>5.64.</w:t>
      </w:r>
      <w:r>
        <w:tab/>
        <w:t>Deleted by No. 28 of 2003 s. 112.]</w:t>
      </w:r>
    </w:p>
    <w:p>
      <w:pPr>
        <w:pStyle w:val="Heading5"/>
        <w:spacing w:before="180"/>
      </w:pPr>
      <w:bookmarkStart w:id="743" w:name="_Toc462409447"/>
      <w:r>
        <w:rPr>
          <w:rStyle w:val="CharSectno"/>
        </w:rPr>
        <w:t>5.65</w:t>
      </w:r>
      <w:r>
        <w:t>.</w:t>
      </w:r>
      <w:r>
        <w:tab/>
        <w:t>Members’ interests in matters to be discussed at meetings to be disclosed</w:t>
      </w:r>
      <w:bookmarkEnd w:id="743"/>
    </w:p>
    <w:p>
      <w:pPr>
        <w:pStyle w:val="Subsection"/>
        <w:spacing w:before="120"/>
      </w:pPr>
      <w:r>
        <w:tab/>
        <w:t>(1)</w:t>
      </w:r>
      <w:r>
        <w:tab/>
        <w:t>A member who has an interest in any matter to be discussed at a council or committee meeting that will be attended by the member must disclose the nature of the interest — </w:t>
      </w:r>
    </w:p>
    <w:p>
      <w:pPr>
        <w:pStyle w:val="Indenta"/>
        <w:spacing w:before="60"/>
      </w:pPr>
      <w:r>
        <w:tab/>
        <w:t>(a)</w:t>
      </w:r>
      <w:r>
        <w:tab/>
        <w:t>in a written notice given to the CEO before the meeting; or</w:t>
      </w:r>
    </w:p>
    <w:p>
      <w:pPr>
        <w:pStyle w:val="Indenta"/>
        <w:keepLines/>
        <w:spacing w:before="60"/>
      </w:pPr>
      <w:r>
        <w:tab/>
        <w:t>(b)</w:t>
      </w:r>
      <w:r>
        <w:tab/>
        <w:t>at the meeting immediately before the matter is discussed.</w:t>
      </w:r>
    </w:p>
    <w:p>
      <w:pPr>
        <w:pStyle w:val="Penstart"/>
        <w:spacing w:before="60"/>
      </w:pPr>
      <w:r>
        <w:tab/>
        <w:t>Penalty: $10 000 or imprisonment for 2 years.</w:t>
      </w:r>
    </w:p>
    <w:p>
      <w:pPr>
        <w:pStyle w:val="Subsection"/>
      </w:pPr>
      <w:r>
        <w:tab/>
        <w:t>(2)</w:t>
      </w:r>
      <w:r>
        <w:tab/>
        <w:t>It is a defence to a prosecution under this section if the member proves that he or she did not know — </w:t>
      </w:r>
    </w:p>
    <w:p>
      <w:pPr>
        <w:pStyle w:val="Indenta"/>
      </w:pPr>
      <w:r>
        <w:tab/>
        <w:t>(a)</w:t>
      </w:r>
      <w:r>
        <w:tab/>
        <w:t>that he or she had an interest in the matter; or</w:t>
      </w:r>
    </w:p>
    <w:p>
      <w:pPr>
        <w:pStyle w:val="Indenta"/>
      </w:pPr>
      <w:r>
        <w:tab/>
        <w:t>(b)</w:t>
      </w:r>
      <w:r>
        <w:tab/>
        <w:t>that the matter in which he or she had an interest would be discussed at the meeting.</w:t>
      </w:r>
    </w:p>
    <w:p>
      <w:pPr>
        <w:pStyle w:val="Subsection"/>
      </w:pPr>
      <w:r>
        <w:tab/>
        <w:t>(3)</w:t>
      </w:r>
      <w:r>
        <w:tab/>
        <w:t>This section does not apply to a person who is a member of a committee referred to in section 5.9(2)(f).</w:t>
      </w:r>
    </w:p>
    <w:p>
      <w:pPr>
        <w:pStyle w:val="Heading5"/>
      </w:pPr>
      <w:bookmarkStart w:id="744" w:name="_Toc462409448"/>
      <w:r>
        <w:rPr>
          <w:rStyle w:val="CharSectno"/>
        </w:rPr>
        <w:t>5.66</w:t>
      </w:r>
      <w:r>
        <w:t>.</w:t>
      </w:r>
      <w:r>
        <w:tab/>
        <w:t>Meeting to be informed of disclosures</w:t>
      </w:r>
      <w:bookmarkEnd w:id="744"/>
    </w:p>
    <w:p>
      <w:pPr>
        <w:pStyle w:val="Subsection"/>
      </w:pPr>
      <w:r>
        <w:tab/>
      </w:r>
      <w:r>
        <w:tab/>
        <w:t>If a member has disclosed an interest in a written notice given to the CEO before a meeting then — </w:t>
      </w:r>
    </w:p>
    <w:p>
      <w:pPr>
        <w:pStyle w:val="Indenta"/>
      </w:pPr>
      <w:r>
        <w:tab/>
        <w:t>(a)</w:t>
      </w:r>
      <w:r>
        <w:tab/>
        <w:t>before the meeting the CEO is to cause the notice to be given to the person who is to preside at the meeting; and</w:t>
      </w:r>
    </w:p>
    <w:p>
      <w:pPr>
        <w:pStyle w:val="Indenta"/>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by No. 1 of 1998 s. 16; No. 64 of 1998 s. 33.]</w:t>
      </w:r>
    </w:p>
    <w:p>
      <w:pPr>
        <w:pStyle w:val="Heading5"/>
      </w:pPr>
      <w:bookmarkStart w:id="745" w:name="_Toc462409449"/>
      <w:r>
        <w:rPr>
          <w:rStyle w:val="CharSectno"/>
        </w:rPr>
        <w:t>5.67</w:t>
      </w:r>
      <w:r>
        <w:t>.</w:t>
      </w:r>
      <w:r>
        <w:tab/>
        <w:t>Disclosing members not to participate in meetings</w:t>
      </w:r>
      <w:bookmarkEnd w:id="745"/>
    </w:p>
    <w:p>
      <w:pPr>
        <w:pStyle w:val="Subsection"/>
      </w:pPr>
      <w:r>
        <w:tab/>
      </w:r>
      <w:r>
        <w:tab/>
        <w:t>A member who makes a disclosure under section 5.65 must not — </w:t>
      </w:r>
    </w:p>
    <w:p>
      <w:pPr>
        <w:pStyle w:val="Indenta"/>
      </w:pPr>
      <w:r>
        <w:tab/>
        <w:t>(a)</w:t>
      </w:r>
      <w:r>
        <w:tab/>
        <w:t>preside at the part of the meeting relating to the matter; or</w:t>
      </w:r>
    </w:p>
    <w:p>
      <w:pPr>
        <w:pStyle w:val="Indenta"/>
        <w:keepNext/>
      </w:pPr>
      <w:r>
        <w:tab/>
        <w:t>(b)</w:t>
      </w:r>
      <w:r>
        <w:tab/>
        <w:t>participate in, or be present during, any discussion or decision making procedure relating to the matter,</w:t>
      </w:r>
    </w:p>
    <w:p>
      <w:pPr>
        <w:pStyle w:val="Subsection"/>
      </w:pPr>
      <w:r>
        <w:tab/>
      </w:r>
      <w:r>
        <w:tab/>
        <w:t>unless, and to the extent that, the disclosing member is allowed to do so under section 5.68 or 5.69.</w:t>
      </w:r>
    </w:p>
    <w:p>
      <w:pPr>
        <w:pStyle w:val="Penstart"/>
      </w:pPr>
      <w:r>
        <w:tab/>
        <w:t>Penalty: $10 000 or imprisonment for 2 years.</w:t>
      </w:r>
    </w:p>
    <w:p>
      <w:pPr>
        <w:pStyle w:val="Heading5"/>
      </w:pPr>
      <w:bookmarkStart w:id="746" w:name="_Toc462409450"/>
      <w:r>
        <w:rPr>
          <w:rStyle w:val="CharSectno"/>
        </w:rPr>
        <w:t>5.68</w:t>
      </w:r>
      <w:r>
        <w:t>.</w:t>
      </w:r>
      <w:r>
        <w:tab/>
        <w:t>Councils and committees may allow members disclosing interests to participate etc. in meetings</w:t>
      </w:r>
      <w:bookmarkEnd w:id="746"/>
    </w:p>
    <w:p>
      <w:pPr>
        <w:pStyle w:val="Subsection"/>
      </w:pPr>
      <w:r>
        <w:tab/>
        <w:t>(1)</w:t>
      </w:r>
      <w:r>
        <w:tab/>
        <w:t>If a member has disclosed, under section 5.65, an interest in a matter, the members present at the meeting who are entitled to vote on the matter — </w:t>
      </w:r>
    </w:p>
    <w:p>
      <w:pPr>
        <w:pStyle w:val="Indenta"/>
      </w:pPr>
      <w:r>
        <w:tab/>
        <w:t>(a)</w:t>
      </w:r>
      <w:r>
        <w:tab/>
        <w:t>may allow the disclosing member to be present during any discussion or decision making procedure relating to the matter; and</w:t>
      </w:r>
    </w:p>
    <w:p>
      <w:pPr>
        <w:pStyle w:val="Indenta"/>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pPr>
      <w:r>
        <w:tab/>
        <w:t>(II)</w:t>
      </w:r>
      <w:r>
        <w:tab/>
        <w:t>is common to a significant number of electors or ratepayers.</w:t>
      </w:r>
    </w:p>
    <w:p>
      <w:pPr>
        <w:pStyle w:val="Subsection"/>
      </w:pPr>
      <w:r>
        <w:tab/>
        <w:t>(2)</w:t>
      </w:r>
      <w:r>
        <w:tab/>
        <w:t>A decision under this section is to be recorded in the minutes of the meeting relating to the matter together with the extent of any participation allowed by the council or committee.</w:t>
      </w:r>
    </w:p>
    <w:p>
      <w:pPr>
        <w:pStyle w:val="Subsection"/>
      </w:pPr>
      <w:r>
        <w:tab/>
        <w:t>(3)</w:t>
      </w:r>
      <w:r>
        <w:tab/>
        <w:t>This section does not prevent the disclosing member from discussing, or participating in the decision making process on, the question of whether an application should be made to the Minister under section 5.69.</w:t>
      </w:r>
    </w:p>
    <w:p>
      <w:pPr>
        <w:pStyle w:val="Heading5"/>
        <w:keepNext w:val="0"/>
        <w:keepLines w:val="0"/>
        <w:spacing w:before="180"/>
      </w:pPr>
      <w:bookmarkStart w:id="747" w:name="_Toc462409451"/>
      <w:r>
        <w:rPr>
          <w:rStyle w:val="CharSectno"/>
        </w:rPr>
        <w:t>5.69</w:t>
      </w:r>
      <w:r>
        <w:t>.</w:t>
      </w:r>
      <w:r>
        <w:tab/>
        <w:t>Minister may allow members disclosing interests to participate etc. in meetings</w:t>
      </w:r>
      <w:bookmarkEnd w:id="747"/>
    </w:p>
    <w:p>
      <w:pPr>
        <w:pStyle w:val="Subsection"/>
        <w:spacing w:before="120"/>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spacing w:before="120"/>
      </w:pPr>
      <w:r>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keepLines/>
        <w:spacing w:before="120"/>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 amended by No. 49 of 2004 s. 53.]</w:t>
      </w:r>
    </w:p>
    <w:p>
      <w:pPr>
        <w:pStyle w:val="Heading5"/>
        <w:spacing w:before="180"/>
      </w:pPr>
      <w:bookmarkStart w:id="748" w:name="_Toc462409452"/>
      <w:r>
        <w:rPr>
          <w:rStyle w:val="CharSectno"/>
        </w:rPr>
        <w:t>5.69A</w:t>
      </w:r>
      <w:r>
        <w:t>.</w:t>
      </w:r>
      <w:r>
        <w:tab/>
        <w:t>Minister may exempt committee members from disclosure requirements</w:t>
      </w:r>
      <w:bookmarkEnd w:id="748"/>
    </w:p>
    <w:p>
      <w:pPr>
        <w:pStyle w:val="Subsection"/>
        <w:spacing w:before="120"/>
      </w:pPr>
      <w:r>
        <w:tab/>
        <w:t>(1)</w:t>
      </w:r>
      <w:r>
        <w:tab/>
        <w:t>A council or a CEO may apply to the Minister to exempt the members of a committee from some or all of the provisions of this Subdivision relating to the disclosure of interests by committee members.</w:t>
      </w:r>
    </w:p>
    <w:p>
      <w:pPr>
        <w:pStyle w:val="Subsection"/>
        <w:spacing w:before="120"/>
      </w:pPr>
      <w:r>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spacing w:before="120"/>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keepNext/>
        <w:spacing w:before="120"/>
      </w:pPr>
      <w:r>
        <w:tab/>
        <w:t>(4)</w:t>
      </w:r>
      <w:r>
        <w:tab/>
        <w:t>A person must not contravene a condition imposed by the Minister under this section.</w:t>
      </w:r>
    </w:p>
    <w:p>
      <w:pPr>
        <w:pStyle w:val="Penstart"/>
      </w:pPr>
      <w:r>
        <w:tab/>
        <w:t>Penalty: $10 000 or imprisonment for 2 years.</w:t>
      </w:r>
    </w:p>
    <w:p>
      <w:pPr>
        <w:pStyle w:val="Footnotesection"/>
        <w:ind w:left="890" w:hanging="890"/>
      </w:pPr>
      <w:r>
        <w:tab/>
        <w:t>[Section 5.69A inserted by No. 64 of 1998 s. 34(1).]</w:t>
      </w:r>
    </w:p>
    <w:p>
      <w:pPr>
        <w:pStyle w:val="Heading5"/>
        <w:spacing w:before="180"/>
      </w:pPr>
      <w:bookmarkStart w:id="749" w:name="_Toc462409453"/>
      <w:r>
        <w:rPr>
          <w:rStyle w:val="CharSectno"/>
        </w:rPr>
        <w:t>5.70</w:t>
      </w:r>
      <w:r>
        <w:t>.</w:t>
      </w:r>
      <w:r>
        <w:tab/>
        <w:t>Employees to disclose interests relating to advice or reports</w:t>
      </w:r>
      <w:bookmarkEnd w:id="749"/>
    </w:p>
    <w:p>
      <w:pPr>
        <w:pStyle w:val="Subsection"/>
        <w:spacing w:before="120"/>
      </w:pPr>
      <w:r>
        <w:tab/>
        <w:t>(1)</w:t>
      </w:r>
      <w:r>
        <w:tab/>
        <w:t>In this section — </w:t>
      </w:r>
    </w:p>
    <w:p>
      <w:pPr>
        <w:pStyle w:val="Defstart"/>
      </w:pPr>
      <w:r>
        <w:rPr>
          <w:b/>
        </w:rPr>
        <w:tab/>
      </w:r>
      <w:r>
        <w:rPr>
          <w:rStyle w:val="CharDefText"/>
        </w:rPr>
        <w:t>employee</w:t>
      </w:r>
      <w:r>
        <w:t xml:space="preserve"> includes a person who, under a contract for services with the local government, provides advice or a report on a matter.</w:t>
      </w:r>
    </w:p>
    <w:p>
      <w:pPr>
        <w:pStyle w:val="Subsection"/>
        <w:spacing w:before="120"/>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Subsection"/>
        <w:spacing w:before="120"/>
      </w:pPr>
      <w:r>
        <w:tab/>
        <w:t>(3)</w:t>
      </w:r>
      <w:r>
        <w:tab/>
        <w:t>An employee who discloses an interest under this section must, if required to do so by the council or committee, as the case may be, disclose the extent of the interest.</w:t>
      </w:r>
    </w:p>
    <w:p>
      <w:pPr>
        <w:pStyle w:val="Penstart"/>
      </w:pPr>
      <w:r>
        <w:tab/>
        <w:t>Penalty: $10 000 or imprisonment for 2 years.</w:t>
      </w:r>
    </w:p>
    <w:p>
      <w:pPr>
        <w:pStyle w:val="Heading5"/>
        <w:spacing w:before="180"/>
      </w:pPr>
      <w:bookmarkStart w:id="750" w:name="_Toc462409454"/>
      <w:r>
        <w:rPr>
          <w:rStyle w:val="CharSectno"/>
        </w:rPr>
        <w:t>5.71</w:t>
      </w:r>
      <w:r>
        <w:t>.</w:t>
      </w:r>
      <w:r>
        <w:tab/>
        <w:t>Employees to disclose interests relating to delegated functions</w:t>
      </w:r>
      <w:bookmarkEnd w:id="750"/>
    </w:p>
    <w:p>
      <w:pPr>
        <w:pStyle w:val="Subsection"/>
        <w:spacing w:before="120"/>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he or she has the interest in the matter; and</w:t>
      </w:r>
    </w:p>
    <w:p>
      <w:pPr>
        <w:pStyle w:val="Indenta"/>
      </w:pPr>
      <w:r>
        <w:tab/>
        <w:t>(b)</w:t>
      </w:r>
      <w:r>
        <w:tab/>
        <w:t>in the case of any other employee, must disclose to the CEO the nature of the interest as soon as practicable after becoming aware that he or she has the interest in the matter.</w:t>
      </w:r>
    </w:p>
    <w:p>
      <w:pPr>
        <w:pStyle w:val="Penstart"/>
      </w:pPr>
      <w:r>
        <w:tab/>
        <w:t>Penalty: $10 000 or imprisonment for 2 years.</w:t>
      </w:r>
    </w:p>
    <w:p>
      <w:pPr>
        <w:pStyle w:val="Heading5"/>
      </w:pPr>
      <w:bookmarkStart w:id="751" w:name="_Toc462409455"/>
      <w:r>
        <w:rPr>
          <w:rStyle w:val="CharSectno"/>
        </w:rPr>
        <w:t>5.72</w:t>
      </w:r>
      <w:r>
        <w:t>.</w:t>
      </w:r>
      <w:r>
        <w:tab/>
        <w:t>Defence to prosecution</w:t>
      </w:r>
      <w:bookmarkEnd w:id="751"/>
    </w:p>
    <w:p>
      <w:pPr>
        <w:pStyle w:val="Subsection"/>
      </w:pPr>
      <w:r>
        <w:tab/>
      </w:r>
      <w:r>
        <w:tab/>
        <w:t>It is a defence to a prosecution under section 5.70 or 5.71 if the person proves that he or she did not know that he or she had an interest in the matter.</w:t>
      </w:r>
    </w:p>
    <w:p>
      <w:pPr>
        <w:pStyle w:val="Heading5"/>
      </w:pPr>
      <w:bookmarkStart w:id="752" w:name="_Toc462409456"/>
      <w:r>
        <w:rPr>
          <w:rStyle w:val="CharSectno"/>
        </w:rPr>
        <w:t>5.73</w:t>
      </w:r>
      <w:r>
        <w:t>.</w:t>
      </w:r>
      <w:r>
        <w:tab/>
        <w:t>Disclosures to be minuted</w:t>
      </w:r>
      <w:bookmarkEnd w:id="752"/>
    </w:p>
    <w:p>
      <w:pPr>
        <w:pStyle w:val="Subsection"/>
      </w:pPr>
      <w:r>
        <w:tab/>
      </w:r>
      <w:r>
        <w:tab/>
        <w:t>A disclosure under section 5.65 or 5.70 is to be recorded in the minutes of the meeting relating to the disclosure.</w:t>
      </w:r>
    </w:p>
    <w:p>
      <w:pPr>
        <w:pStyle w:val="Heading4"/>
      </w:pPr>
      <w:bookmarkStart w:id="753" w:name="_Toc448219172"/>
      <w:bookmarkStart w:id="754" w:name="_Toc448224394"/>
      <w:bookmarkStart w:id="755" w:name="_Toc451179631"/>
      <w:bookmarkStart w:id="756" w:name="_Toc451430551"/>
      <w:bookmarkStart w:id="757" w:name="_Toc455396501"/>
      <w:bookmarkStart w:id="758" w:name="_Toc455397361"/>
      <w:bookmarkStart w:id="759" w:name="_Toc456086444"/>
      <w:bookmarkStart w:id="760" w:name="_Toc462409457"/>
      <w:r>
        <w:t>Subdivision 2 — Disclosure of financial interests in returns</w:t>
      </w:r>
      <w:bookmarkEnd w:id="753"/>
      <w:bookmarkEnd w:id="754"/>
      <w:bookmarkEnd w:id="755"/>
      <w:bookmarkEnd w:id="756"/>
      <w:bookmarkEnd w:id="757"/>
      <w:bookmarkEnd w:id="758"/>
      <w:bookmarkEnd w:id="759"/>
      <w:bookmarkEnd w:id="760"/>
    </w:p>
    <w:p>
      <w:pPr>
        <w:pStyle w:val="Heading5"/>
      </w:pPr>
      <w:bookmarkStart w:id="761" w:name="_Toc462409458"/>
      <w:r>
        <w:rPr>
          <w:rStyle w:val="CharSectno"/>
        </w:rPr>
        <w:t>5.74</w:t>
      </w:r>
      <w:r>
        <w:t>.</w:t>
      </w:r>
      <w:r>
        <w:tab/>
        <w:t>Terms used</w:t>
      </w:r>
      <w:bookmarkEnd w:id="761"/>
    </w:p>
    <w:p>
      <w:pPr>
        <w:pStyle w:val="Subsection"/>
      </w:pPr>
      <w:r>
        <w:tab/>
        <w:t>(1)</w:t>
      </w:r>
      <w:r>
        <w:tab/>
        <w:t>In this Subdivision, unless the contrary intention appears — </w:t>
      </w:r>
    </w:p>
    <w:p>
      <w:pPr>
        <w:pStyle w:val="Defstart"/>
      </w:pPr>
      <w:r>
        <w:tab/>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 or</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pPr>
      <w:r>
        <w:tab/>
        <w:t>(c)</w:t>
      </w:r>
      <w:r>
        <w:tab/>
        <w:t>in relation to any real property, the postal address of the property or the particulars of title of the property;</w:t>
      </w:r>
    </w:p>
    <w:p>
      <w:pPr>
        <w:pStyle w:val="Defstart"/>
      </w:pPr>
      <w:r>
        <w:tab/>
      </w:r>
      <w:r>
        <w:rPr>
          <w:rStyle w:val="CharDefText"/>
        </w:rPr>
        <w:t>annual return</w:t>
      </w:r>
      <w:r>
        <w:t xml:space="preserve"> means a return required by section 5.76;</w:t>
      </w:r>
    </w:p>
    <w:p>
      <w:pPr>
        <w:pStyle w:val="Defstart"/>
      </w:pPr>
      <w:r>
        <w:tab/>
      </w:r>
      <w:r>
        <w:rPr>
          <w:rStyle w:val="CharDefText"/>
        </w:rPr>
        <w:t>corporation</w:t>
      </w:r>
      <w:r>
        <w:t xml:space="preserve"> means any body corporate, whether formed or incorporated within or outside the State, and includes any </w:t>
      </w:r>
      <w:r>
        <w:rPr>
          <w:b/>
          <w:bCs/>
          <w:i/>
          <w:iCs/>
        </w:rPr>
        <w:t>company</w:t>
      </w:r>
      <w:r>
        <w:t xml:space="preserve"> or </w:t>
      </w:r>
      <w:r>
        <w:rPr>
          <w:b/>
          <w:bCs/>
          <w:i/>
          <w:iCs/>
        </w:rPr>
        <w:t>foreign company</w:t>
      </w:r>
      <w:r>
        <w:t xml:space="preserve"> (as those terms are defined in the </w:t>
      </w:r>
      <w:r>
        <w:rPr>
          <w:i/>
        </w:rPr>
        <w:t xml:space="preserve">Corporations Act 2001 </w:t>
      </w:r>
      <w:r>
        <w:t>of the Commonwealth) but does not include — </w:t>
      </w:r>
    </w:p>
    <w:p>
      <w:pPr>
        <w:pStyle w:val="Defpara"/>
      </w:pPr>
      <w:r>
        <w:tab/>
        <w:t>(a)</w:t>
      </w:r>
      <w:r>
        <w:tab/>
        <w:t xml:space="preserve">a body corporate that is incorporated within </w:t>
      </w:r>
      <w:smartTag w:uri="urn:schemas-microsoft-com:office:smarttags" w:element="place">
        <w:smartTag w:uri="urn:schemas-microsoft-com:office:smarttags" w:element="country-region">
          <w:r>
            <w:t>Australia</w:t>
          </w:r>
        </w:smartTag>
      </w:smartTag>
      <w:r>
        <w:t xml:space="preserve"> or an external Territory and is a public authority or an instrumentality or agency of the Crown; or</w:t>
      </w:r>
    </w:p>
    <w:p>
      <w:pPr>
        <w:pStyle w:val="Defpara"/>
      </w:pPr>
      <w:r>
        <w:tab/>
        <w:t>(b)</w:t>
      </w:r>
      <w:r>
        <w:tab/>
        <w:t>a corporation sole; or</w:t>
      </w:r>
    </w:p>
    <w:p>
      <w:pPr>
        <w:pStyle w:val="Ednotedefpara"/>
        <w:rPr>
          <w:iCs/>
        </w:rPr>
      </w:pPr>
      <w:r>
        <w:rPr>
          <w:iCs/>
        </w:rPr>
        <w:tab/>
        <w:t>[(c), (d)</w:t>
      </w:r>
      <w:r>
        <w:rPr>
          <w:iCs/>
        </w:rPr>
        <w:tab/>
        <w:t>deleted]</w:t>
      </w:r>
    </w:p>
    <w:p>
      <w:pPr>
        <w:pStyle w:val="Defpara"/>
      </w:pPr>
      <w:r>
        <w:tab/>
        <w:t>(e)</w:t>
      </w:r>
      <w:r>
        <w:tab/>
        <w:t xml:space="preserve">an association, society, institution or body incorporated, or taken to be incorporated, under the </w:t>
      </w:r>
      <w:r>
        <w:rPr>
          <w:i/>
        </w:rPr>
        <w:t>Associations Incorporation Act 2015</w:t>
      </w:r>
      <w:r>
        <w:t>;</w:t>
      </w:r>
    </w:p>
    <w:p>
      <w:pPr>
        <w:pStyle w:val="Defstart"/>
      </w:pPr>
      <w:r>
        <w:tab/>
      </w:r>
      <w:r>
        <w:rPr>
          <w:rStyle w:val="CharDefText"/>
        </w:rPr>
        <w:t>designated employee</w:t>
      </w:r>
      <w:r>
        <w:t xml:space="preserve"> means — </w:t>
      </w:r>
    </w:p>
    <w:p>
      <w:pPr>
        <w:pStyle w:val="Defpara"/>
      </w:pPr>
      <w:r>
        <w:tab/>
        <w:t>(a)</w:t>
      </w:r>
      <w:r>
        <w:tab/>
        <w:t>a CEO; and</w:t>
      </w:r>
    </w:p>
    <w:p>
      <w:pPr>
        <w:pStyle w:val="Defpara"/>
      </w:pPr>
      <w:r>
        <w:tab/>
        <w:t>(b)</w:t>
      </w:r>
      <w:r>
        <w:tab/>
        <w:t>an employee, other than the CEO, to whom any power or duty has been delegated under Division 4; and</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rStyle w:val="CharDefText"/>
        </w:rPr>
        <w:t>primary return</w:t>
      </w:r>
      <w:r>
        <w:t xml:space="preserve"> means a return required by section 5.75;</w:t>
      </w:r>
    </w:p>
    <w:p>
      <w:pPr>
        <w:pStyle w:val="Defstart"/>
      </w:pPr>
      <w:r>
        <w:tab/>
      </w:r>
      <w:r>
        <w:rPr>
          <w:rStyle w:val="CharDefText"/>
        </w:rPr>
        <w:t>relative</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pPr>
      <w:r>
        <w:tab/>
        <w:t>(b)</w:t>
      </w:r>
      <w:r>
        <w:tab/>
        <w:t>the relevant person’s spouse or de facto partner or the spouse or de facto partner of any relative specified in paragraph (a),</w:t>
      </w:r>
    </w:p>
    <w:p>
      <w:pPr>
        <w:pStyle w:val="Defstart"/>
      </w:pP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pPr>
      <w:r>
        <w:tab/>
      </w:r>
      <w:r>
        <w:rPr>
          <w:rStyle w:val="CharDefText"/>
        </w:rPr>
        <w:t>relevant person</w:t>
      </w:r>
      <w:r>
        <w:t xml:space="preserve"> means a person who is a council member or a designated employee;</w:t>
      </w:r>
    </w:p>
    <w:p>
      <w:pPr>
        <w:pStyle w:val="Defstart"/>
      </w:pPr>
      <w:r>
        <w:tab/>
      </w:r>
      <w:r>
        <w:rPr>
          <w:rStyle w:val="CharDefText"/>
        </w:rPr>
        <w:t>return</w:t>
      </w:r>
      <w:r>
        <w:t xml:space="preserve"> means a primary or an annual return;</w:t>
      </w:r>
    </w:p>
    <w:p>
      <w:pPr>
        <w:pStyle w:val="Defstart"/>
      </w:pPr>
      <w:r>
        <w:tab/>
      </w:r>
      <w:r>
        <w:rPr>
          <w:rStyle w:val="CharDefText"/>
        </w:rPr>
        <w:t>return period</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keepNext/>
      </w:pPr>
      <w:r>
        <w:tab/>
      </w:r>
      <w:r>
        <w:rPr>
          <w:rStyle w:val="CharDefText"/>
        </w:rPr>
        <w:t>start day</w:t>
      </w:r>
      <w:r>
        <w:t xml:space="preserve"> means — </w:t>
      </w:r>
    </w:p>
    <w:p>
      <w:pPr>
        <w:pStyle w:val="Defpara"/>
      </w:pPr>
      <w:r>
        <w:tab/>
        <w:t>(a)</w:t>
      </w:r>
      <w:r>
        <w:tab/>
        <w:t>in the case of a council member, the day on which he or she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pPr>
      <w:r>
        <w:tab/>
        <w:t>(3)</w:t>
      </w:r>
      <w:r>
        <w:tab/>
        <w:t>For the purposes of this Subdivision, gifts or contributions to travel given, loans made, or goods or services supplied, to a relevant person by 2 or more related bodies corporate (as defined in the</w:t>
      </w:r>
      <w:r>
        <w:rPr>
          <w:i/>
        </w:rPr>
        <w:t xml:space="preserve"> Corporations Act 2001 </w:t>
      </w:r>
      <w:r>
        <w:t>of the Commonwealth) is to be treated as having been given, made or supplied by a single corporation.</w:t>
      </w:r>
    </w:p>
    <w:p>
      <w:pPr>
        <w:pStyle w:val="Footnotesection"/>
      </w:pPr>
      <w:r>
        <w:tab/>
        <w:t>[Section 5.74 amended by No. 1 of 1998 s. 17; No. 26 of 1999 s. 92(2); No. 10 of 2001 s. 122; No. 28 of 2003 s. 113; No. 24 of 2009 s. 516; No. 30 of 2015 s. 223.]</w:t>
      </w:r>
    </w:p>
    <w:p>
      <w:pPr>
        <w:pStyle w:val="Heading5"/>
      </w:pPr>
      <w:bookmarkStart w:id="762" w:name="_Toc462409459"/>
      <w:r>
        <w:rPr>
          <w:rStyle w:val="CharSectno"/>
        </w:rPr>
        <w:t>5.75</w:t>
      </w:r>
      <w:r>
        <w:t>.</w:t>
      </w:r>
      <w:r>
        <w:tab/>
        <w:t>Primary returns</w:t>
      </w:r>
      <w:bookmarkEnd w:id="762"/>
    </w:p>
    <w:p>
      <w:pPr>
        <w:pStyle w:val="Subsection"/>
      </w:pPr>
      <w:r>
        <w:tab/>
        <w:t>(1)</w:t>
      </w:r>
      <w:r>
        <w:tab/>
        <w:t>A relevant person other than the CEO must lodge with the CEO a primary return in the prescribed form within 3 months of the start day.</w:t>
      </w:r>
    </w:p>
    <w:p>
      <w:pPr>
        <w:pStyle w:val="Subsection"/>
      </w:pPr>
      <w:r>
        <w:tab/>
        <w:t>(2)</w:t>
      </w:r>
      <w:r>
        <w:tab/>
        <w:t>A CEO must lodge with the mayor or president a primary return in the prescribed form within 3 months of the start day.</w:t>
      </w:r>
    </w:p>
    <w:p>
      <w:pPr>
        <w:pStyle w:val="Subsection"/>
      </w:pPr>
      <w:r>
        <w:tab/>
        <w:t>(3)</w:t>
      </w:r>
      <w:r>
        <w:tab/>
        <w:t>This section does not apply to a person who — </w:t>
      </w:r>
    </w:p>
    <w:p>
      <w:pPr>
        <w:pStyle w:val="Indenta"/>
      </w:pPr>
      <w:r>
        <w:tab/>
        <w:t>(a)</w:t>
      </w:r>
      <w:r>
        <w:tab/>
        <w:t xml:space="preserve">has lodged a return within the previous year; or </w:t>
      </w:r>
    </w:p>
    <w:p>
      <w:pPr>
        <w:pStyle w:val="Indenta"/>
      </w:pPr>
      <w:r>
        <w:tab/>
        <w:t>(b)</w:t>
      </w:r>
      <w:r>
        <w:tab/>
        <w:t>has, within 3 months of the start day, ceased to be a relevant person.</w:t>
      </w:r>
    </w:p>
    <w:p>
      <w:pPr>
        <w:pStyle w:val="Penstart"/>
      </w:pPr>
      <w:r>
        <w:tab/>
        <w:t>Penalty: $10 000 or imprisonment for 2 years.</w:t>
      </w:r>
    </w:p>
    <w:p>
      <w:pPr>
        <w:pStyle w:val="Heading5"/>
        <w:spacing w:before="180"/>
      </w:pPr>
      <w:bookmarkStart w:id="763" w:name="_Toc462409460"/>
      <w:r>
        <w:rPr>
          <w:rStyle w:val="CharSectno"/>
        </w:rPr>
        <w:t>5.76</w:t>
      </w:r>
      <w:r>
        <w:t>.</w:t>
      </w:r>
      <w:r>
        <w:tab/>
        <w:t>Annual returns</w:t>
      </w:r>
      <w:bookmarkEnd w:id="763"/>
    </w:p>
    <w:p>
      <w:pPr>
        <w:pStyle w:val="Subsection"/>
      </w:pPr>
      <w:r>
        <w:tab/>
        <w:t>(1)</w:t>
      </w:r>
      <w:r>
        <w:tab/>
        <w:t>Each year, a relevant person other than the CEO must lodge with the CEO an annual return in the prescribed form by 31 August of that year.</w:t>
      </w:r>
    </w:p>
    <w:p>
      <w:pPr>
        <w:pStyle w:val="Subsection"/>
        <w:keepNext/>
      </w:pPr>
      <w:r>
        <w:tab/>
        <w:t>(2)</w:t>
      </w:r>
      <w:r>
        <w:tab/>
        <w:t xml:space="preserve">Each year, a CEO must lodge with the mayor or president an annual return in the prescribed form by 31 August of that year. </w:t>
      </w:r>
    </w:p>
    <w:p>
      <w:pPr>
        <w:pStyle w:val="Penstart"/>
      </w:pPr>
      <w:r>
        <w:tab/>
        <w:t>Penalty applicable to subsections (1) and (2): $10 000 or imprisonment for 2 years.</w:t>
      </w:r>
    </w:p>
    <w:p>
      <w:pPr>
        <w:pStyle w:val="Footnotesection"/>
        <w:spacing w:before="80"/>
        <w:ind w:left="890" w:hanging="890"/>
      </w:pPr>
      <w:r>
        <w:tab/>
        <w:t>[Section 5.76 amended by No. 1 of 1998 s. 18; No. 66 of 2006 s. 12.]</w:t>
      </w:r>
    </w:p>
    <w:p>
      <w:pPr>
        <w:pStyle w:val="Heading5"/>
        <w:keepNext w:val="0"/>
        <w:spacing w:before="180"/>
      </w:pPr>
      <w:bookmarkStart w:id="764" w:name="_Toc462409461"/>
      <w:r>
        <w:rPr>
          <w:rStyle w:val="CharSectno"/>
        </w:rPr>
        <w:t>5.77</w:t>
      </w:r>
      <w:r>
        <w:t>.</w:t>
      </w:r>
      <w:r>
        <w:tab/>
        <w:t>Acknowledging receipt of returns</w:t>
      </w:r>
      <w:bookmarkEnd w:id="764"/>
    </w:p>
    <w:p>
      <w:pPr>
        <w:pStyle w:val="Subsection"/>
        <w:spacing w:before="120"/>
        <w:rPr>
          <w:spacing w:val="-2"/>
        </w:rPr>
      </w:pPr>
      <w:r>
        <w:tab/>
      </w:r>
      <w:r>
        <w:tab/>
      </w:r>
      <w:r>
        <w:rPr>
          <w:spacing w:val="-2"/>
        </w:rPr>
        <w:t xml:space="preserve">On receipt of a return under section 5.75 or 5.76 from a person, the CEO or the mayor or president, as the case may be, is to give </w:t>
      </w:r>
      <w:r>
        <w:rPr>
          <w:rFonts w:ascii="Times" w:hAnsi="Times"/>
          <w:spacing w:val="-2"/>
        </w:rPr>
        <w:t>the person written acknowledgment of having received the return.</w:t>
      </w:r>
    </w:p>
    <w:p>
      <w:pPr>
        <w:pStyle w:val="Heading5"/>
        <w:keepNext w:val="0"/>
        <w:keepLines w:val="0"/>
        <w:spacing w:before="180"/>
      </w:pPr>
      <w:bookmarkStart w:id="765" w:name="_Toc462409462"/>
      <w:r>
        <w:rPr>
          <w:rStyle w:val="CharSectno"/>
        </w:rPr>
        <w:t>5.78</w:t>
      </w:r>
      <w:r>
        <w:t>.</w:t>
      </w:r>
      <w:r>
        <w:tab/>
        <w:t>Information to be disclosed in returns</w:t>
      </w:r>
      <w:bookmarkEnd w:id="765"/>
    </w:p>
    <w:p>
      <w:pPr>
        <w:pStyle w:val="Subsection"/>
        <w:spacing w:before="120"/>
      </w:pPr>
      <w:r>
        <w:tab/>
        <w:t>(1)</w:t>
      </w:r>
      <w:r>
        <w:tab/>
        <w:t>A relevant person must comply with the requirements of sections 5.79, 5.80, 5.81, 5.84, 5.85 and 5.86 in relation to the disclosure of information in a return.</w:t>
      </w:r>
    </w:p>
    <w:p>
      <w:pPr>
        <w:pStyle w:val="Penstart"/>
        <w:spacing w:before="60"/>
      </w:pPr>
      <w:r>
        <w:tab/>
        <w:t>Penalty: $10 000 or imprisonment for 2 years.</w:t>
      </w:r>
    </w:p>
    <w:p>
      <w:pPr>
        <w:pStyle w:val="Subsection"/>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pPr>
      <w:r>
        <w:tab/>
        <w:t>(b)</w:t>
      </w:r>
      <w:r>
        <w:tab/>
        <w:t>disclose the actual value, amount or extent of any asset, income, interest, debt or disposition referred to in section 5.79, 5.80, 5.81, 5.84, 5.85 or 5.86.</w:t>
      </w:r>
    </w:p>
    <w:p>
      <w:pPr>
        <w:pStyle w:val="Footnotesection"/>
        <w:ind w:left="890" w:hanging="890"/>
      </w:pPr>
      <w:r>
        <w:tab/>
        <w:t>[Section 5.78 amended by No. 17 of 2009 s. 28; No. 2 of 2016 s. 34.]</w:t>
      </w:r>
    </w:p>
    <w:p>
      <w:pPr>
        <w:pStyle w:val="Heading5"/>
      </w:pPr>
      <w:bookmarkStart w:id="766" w:name="_Toc462409463"/>
      <w:r>
        <w:rPr>
          <w:rStyle w:val="CharSectno"/>
        </w:rPr>
        <w:t>5.79</w:t>
      </w:r>
      <w:r>
        <w:t>.</w:t>
      </w:r>
      <w:r>
        <w:tab/>
        <w:t>Real property</w:t>
      </w:r>
      <w:bookmarkEnd w:id="766"/>
    </w:p>
    <w:p>
      <w:pPr>
        <w:pStyle w:val="Subsection"/>
        <w:keepNext/>
      </w:pPr>
      <w:r>
        <w:tab/>
        <w:t>(1)</w:t>
      </w:r>
      <w:r>
        <w:tab/>
        <w:t>A relevant person is to disclose in a primary return and an annual return — </w:t>
      </w:r>
    </w:p>
    <w:p>
      <w:pPr>
        <w:pStyle w:val="Indenta"/>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pPr>
      <w:r>
        <w:tab/>
        <w:t>(2)</w:t>
      </w:r>
      <w:r>
        <w:tab/>
        <w:t>Nothing in this Subdivision requires a relevant person to disclose in a return an interest in a parcel of real property to 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 or</w:t>
      </w:r>
    </w:p>
    <w:p>
      <w:pPr>
        <w:pStyle w:val="Indenta"/>
      </w:pPr>
      <w:r>
        <w:tab/>
        <w:t>(b)</w:t>
      </w:r>
      <w:r>
        <w:tab/>
        <w:t>in the capacity of trustee and the person acquired the interest in the ordinary course of an occupation of the person which is not related to his or her duties as a council member or employee; or</w:t>
      </w:r>
    </w:p>
    <w:p>
      <w:pPr>
        <w:pStyle w:val="Indenta"/>
      </w:pPr>
      <w:r>
        <w:tab/>
        <w:t>(c)</w:t>
      </w:r>
      <w:r>
        <w:tab/>
        <w:t>by way of security for a debt.</w:t>
      </w:r>
    </w:p>
    <w:p>
      <w:pPr>
        <w:pStyle w:val="Subsection"/>
        <w:keepNext/>
      </w:pPr>
      <w:r>
        <w:tab/>
        <w:t>(3)</w:t>
      </w:r>
      <w:r>
        <w:tab/>
        <w:t>In this section — </w:t>
      </w:r>
    </w:p>
    <w:p>
      <w:pPr>
        <w:pStyle w:val="Defstart"/>
      </w:pPr>
      <w:r>
        <w:rPr>
          <w:b/>
        </w:rPr>
        <w:tab/>
      </w:r>
      <w:r>
        <w:rPr>
          <w:rStyle w:val="CharDefText"/>
        </w:rPr>
        <w:t>interest</w:t>
      </w:r>
      <w:r>
        <w:t xml:space="preserve"> means any estate, interest, right or power whatever, whether at law or in equity, in or over real property.</w:t>
      </w:r>
    </w:p>
    <w:p>
      <w:pPr>
        <w:pStyle w:val="Heading5"/>
      </w:pPr>
      <w:bookmarkStart w:id="767" w:name="_Toc462409464"/>
      <w:r>
        <w:rPr>
          <w:rStyle w:val="CharSectno"/>
        </w:rPr>
        <w:t>5.80</w:t>
      </w:r>
      <w:r>
        <w:t>.</w:t>
      </w:r>
      <w:r>
        <w:tab/>
        <w:t>Source of income</w:t>
      </w:r>
      <w:bookmarkEnd w:id="767"/>
    </w:p>
    <w:p>
      <w:pPr>
        <w:pStyle w:val="Subsection"/>
        <w:keepNext/>
        <w:keepLines/>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pPr>
      <w:r>
        <w:tab/>
        <w:t>(2)</w:t>
      </w:r>
      <w:r>
        <w:tab/>
        <w:t>A reference in subsection (1) to each source from which income was received, or is reasonably expected to be received, by a person is a reference to — </w:t>
      </w:r>
    </w:p>
    <w:p>
      <w:pPr>
        <w:pStyle w:val="Indenta"/>
      </w:pPr>
      <w:r>
        <w:tab/>
        <w:t>(a)</w:t>
      </w:r>
      <w:r>
        <w:tab/>
        <w:t>in relation to income from an occupation of the person — </w:t>
      </w:r>
    </w:p>
    <w:p>
      <w:pPr>
        <w:pStyle w:val="Indenti"/>
      </w:pPr>
      <w:r>
        <w:tab/>
        <w:t>(i)</w:t>
      </w:r>
      <w:r>
        <w:tab/>
        <w:t>a description of the occupation; and</w:t>
      </w:r>
    </w:p>
    <w:p>
      <w:pPr>
        <w:pStyle w:val="Indenti"/>
      </w:pPr>
      <w:r>
        <w:tab/>
        <w:t>(ii)</w:t>
      </w:r>
      <w:r>
        <w:tab/>
        <w:t>if the person is employed or the holder of an office, the name and address of his or her employer or a description of the office; and</w:t>
      </w:r>
    </w:p>
    <w:p>
      <w:pPr>
        <w:pStyle w:val="Indenti"/>
      </w:pPr>
      <w:r>
        <w:tab/>
        <w:t>(iii)</w:t>
      </w:r>
      <w:r>
        <w:tab/>
        <w:t>if the person has entered into a partnership with other persons, the name (if any) under which the partnership is conducted;</w:t>
      </w:r>
    </w:p>
    <w:p>
      <w:pPr>
        <w:pStyle w:val="Indenta"/>
      </w:pPr>
      <w:r>
        <w:tab/>
      </w:r>
      <w:r>
        <w:tab/>
        <w:t>and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pPr>
        <w:pStyle w:val="Subsection"/>
      </w:pPr>
      <w:r>
        <w:tab/>
        <w:t>(4)</w:t>
      </w:r>
      <w:r>
        <w:tab/>
        <w:t>In this section — </w:t>
      </w:r>
    </w:p>
    <w:p>
      <w:pPr>
        <w:pStyle w:val="Defstart"/>
      </w:pPr>
      <w:r>
        <w:rPr>
          <w:b/>
        </w:rPr>
        <w:tab/>
      </w:r>
      <w:r>
        <w:rPr>
          <w:rStyle w:val="CharDefText"/>
        </w:rPr>
        <w:t>income</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Heading5"/>
      </w:pPr>
      <w:bookmarkStart w:id="768" w:name="_Toc462409465"/>
      <w:r>
        <w:rPr>
          <w:rStyle w:val="CharSectno"/>
        </w:rPr>
        <w:t>5.81</w:t>
      </w:r>
      <w:r>
        <w:t>.</w:t>
      </w:r>
      <w:r>
        <w:tab/>
        <w:t>Trusts</w:t>
      </w:r>
      <w:bookmarkEnd w:id="768"/>
    </w:p>
    <w:p>
      <w:pPr>
        <w:pStyle w:val="Subsection"/>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Heading5"/>
      </w:pPr>
      <w:bookmarkStart w:id="769" w:name="_Toc462409466"/>
      <w:r>
        <w:rPr>
          <w:rStyle w:val="CharSectno"/>
        </w:rPr>
        <w:t>5.82</w:t>
      </w:r>
      <w:r>
        <w:t>.</w:t>
      </w:r>
      <w:r>
        <w:tab/>
        <w:t>Gifts</w:t>
      </w:r>
      <w:bookmarkEnd w:id="769"/>
    </w:p>
    <w:p>
      <w:pPr>
        <w:pStyle w:val="Subsection"/>
      </w:pPr>
      <w:r>
        <w:tab/>
        <w:t>(1A)</w:t>
      </w:r>
      <w:r>
        <w:tab/>
        <w:t>A relevant person is to disclose each gift received by the person.</w:t>
      </w:r>
    </w:p>
    <w:p>
      <w:pPr>
        <w:pStyle w:val="Subsection"/>
      </w:pPr>
      <w:r>
        <w:tab/>
        <w:t>(1B)</w:t>
      </w:r>
      <w:r>
        <w:tab/>
        <w:t>The disclosure is to be made in writing to the CEO.</w:t>
      </w:r>
    </w:p>
    <w:p>
      <w:pPr>
        <w:pStyle w:val="Subsection"/>
      </w:pPr>
      <w:r>
        <w:tab/>
        <w:t>(1C)</w:t>
      </w:r>
      <w:r>
        <w:tab/>
        <w:t>The disclosure is to be made within 10 days of receipt of the gift by the relevant person.</w:t>
      </w:r>
    </w:p>
    <w:p>
      <w:pPr>
        <w:pStyle w:val="Subsection"/>
        <w:spacing w:before="120"/>
      </w:pPr>
      <w:r>
        <w:tab/>
        <w:t>(1)</w:t>
      </w:r>
      <w:r>
        <w:tab/>
        <w:t xml:space="preserve">The disclosure is to include the following — </w:t>
      </w:r>
    </w:p>
    <w:p>
      <w:pPr>
        <w:pStyle w:val="Indenta"/>
      </w:pPr>
      <w:r>
        <w:tab/>
        <w:t>(a)</w:t>
      </w:r>
      <w:r>
        <w:tab/>
        <w:t>a description of the gift;</w:t>
      </w:r>
    </w:p>
    <w:p>
      <w:pPr>
        <w:pStyle w:val="Indenta"/>
      </w:pPr>
      <w:r>
        <w:tab/>
        <w:t>(b)</w:t>
      </w:r>
      <w:r>
        <w:tab/>
        <w:t>the name and address of the person who made the gift;</w:t>
      </w:r>
    </w:p>
    <w:p>
      <w:pPr>
        <w:pStyle w:val="Indenta"/>
      </w:pPr>
      <w:r>
        <w:tab/>
        <w:t>(c)</w:t>
      </w:r>
      <w:r>
        <w:tab/>
        <w:t>the date on which the gift was received;</w:t>
      </w:r>
    </w:p>
    <w:p>
      <w:pPr>
        <w:pStyle w:val="Indenta"/>
      </w:pPr>
      <w:r>
        <w:tab/>
        <w:t>(d)</w:t>
      </w:r>
      <w:r>
        <w:tab/>
        <w:t>the estimated value of the gift at the time it was made;</w:t>
      </w:r>
    </w:p>
    <w:p>
      <w:pPr>
        <w:pStyle w:val="Indenta"/>
      </w:pPr>
      <w:r>
        <w:tab/>
        <w:t>(e)</w:t>
      </w:r>
      <w:r>
        <w:tab/>
        <w:t>the nature of the relationship between the relevant person and the person who made the gift.</w:t>
      </w:r>
    </w:p>
    <w:p>
      <w:pPr>
        <w:pStyle w:val="Subsection"/>
      </w:pPr>
      <w:r>
        <w:tab/>
        <w:t>(2)</w:t>
      </w:r>
      <w:r>
        <w:tab/>
        <w:t>Nothing in this Subdivision requires a relevant person to disclose a gift received by the person if — </w:t>
      </w:r>
    </w:p>
    <w:p>
      <w:pPr>
        <w:pStyle w:val="Indenta"/>
      </w:pPr>
      <w:r>
        <w:tab/>
        <w:t>(a)</w:t>
      </w:r>
      <w:r>
        <w:tab/>
        <w:t>the amount of the gift did not exceed the prescribed amount unless — </w:t>
      </w:r>
    </w:p>
    <w:p>
      <w:pPr>
        <w:pStyle w:val="Indenti"/>
      </w:pPr>
      <w:r>
        <w:tab/>
        <w:t>(i)</w:t>
      </w:r>
      <w:r>
        <w:tab/>
        <w:t>the gift was one of 2 or more gifts made by one person at any time during a year; and</w:t>
      </w:r>
    </w:p>
    <w:p>
      <w:pPr>
        <w:pStyle w:val="Indenti"/>
      </w:pPr>
      <w:r>
        <w:tab/>
        <w:t>(ii)</w:t>
      </w:r>
      <w:r>
        <w:tab/>
        <w:t xml:space="preserve">the sum of those 2 or more gifts exceeded the prescribed amount; </w:t>
      </w:r>
    </w:p>
    <w:p>
      <w:pPr>
        <w:pStyle w:val="Indenta"/>
      </w:pPr>
      <w:r>
        <w:tab/>
      </w:r>
      <w:r>
        <w:tab/>
        <w:t>or</w:t>
      </w:r>
    </w:p>
    <w:p>
      <w:pPr>
        <w:pStyle w:val="Indenta"/>
        <w:spacing w:before="60"/>
      </w:pPr>
      <w:r>
        <w:tab/>
        <w:t>(b)</w:t>
      </w:r>
      <w:r>
        <w:tab/>
        <w:t>the donor was a relative of the person.</w:t>
      </w:r>
    </w:p>
    <w:p>
      <w:pPr>
        <w:pStyle w:val="Subsection"/>
      </w:pPr>
      <w:r>
        <w:tab/>
        <w:t>(3)</w:t>
      </w:r>
      <w:r>
        <w:tab/>
        <w:t>For the purposes of this section, the amount of a gift comprising property, other than money, or the conferral of a financial benefit is to be treated as being an amount equal to the value of the property or the financial benefit at the time the gift was made.</w:t>
      </w:r>
    </w:p>
    <w:p>
      <w:pPr>
        <w:pStyle w:val="Subsection"/>
      </w:pPr>
      <w:r>
        <w:tab/>
        <w:t>(4)</w:t>
      </w:r>
      <w:r>
        <w:tab/>
        <w:t>In this section — </w:t>
      </w:r>
    </w:p>
    <w:p>
      <w:pPr>
        <w:pStyle w:val="Defstart"/>
      </w:pPr>
      <w:r>
        <w:rPr>
          <w:b/>
        </w:rPr>
        <w:tab/>
      </w:r>
      <w:r>
        <w:rPr>
          <w:rStyle w:val="CharDefText"/>
        </w:rPr>
        <w:t>gift</w:t>
      </w:r>
      <w:r>
        <w:t xml:space="preserve"> means any disposition of property, or the conferral of any other financial benefit, made by one person in favour of another otherwise than by will (whether with or without an instrument in writing), without consideration in money or money’s worth passing from the person in whose favour it is made to the other, or with such consideration so passing if the consideration is not fully adequate, but does not include any financial or other contribution to travel.</w:t>
      </w:r>
    </w:p>
    <w:p>
      <w:pPr>
        <w:pStyle w:val="Footnotesection"/>
        <w:ind w:left="890" w:hanging="890"/>
      </w:pPr>
      <w:r>
        <w:tab/>
        <w:t>[Section 5.82 amended by No. 17 of 2009 s. 29; No. 2 of 2016 s. 35.]</w:t>
      </w:r>
    </w:p>
    <w:p>
      <w:pPr>
        <w:pStyle w:val="Heading5"/>
      </w:pPr>
      <w:bookmarkStart w:id="770" w:name="_Toc462409467"/>
      <w:r>
        <w:rPr>
          <w:rStyle w:val="CharSectno"/>
        </w:rPr>
        <w:t>5.83</w:t>
      </w:r>
      <w:r>
        <w:t>.</w:t>
      </w:r>
      <w:r>
        <w:tab/>
        <w:t>Contributions to travel</w:t>
      </w:r>
      <w:bookmarkEnd w:id="770"/>
    </w:p>
    <w:p>
      <w:pPr>
        <w:pStyle w:val="Subsection"/>
        <w:spacing w:before="120"/>
      </w:pPr>
      <w:r>
        <w:tab/>
        <w:t>(1A)</w:t>
      </w:r>
      <w:r>
        <w:tab/>
        <w:t>A relevant person is to disclose each financial or other contribution that has been made to any travel undertaken by the person.</w:t>
      </w:r>
    </w:p>
    <w:p>
      <w:pPr>
        <w:pStyle w:val="Subsection"/>
        <w:spacing w:before="120"/>
      </w:pPr>
      <w:r>
        <w:tab/>
        <w:t>(1B)</w:t>
      </w:r>
      <w:r>
        <w:tab/>
        <w:t>The disclosure is to be made in writing to the CEO.</w:t>
      </w:r>
    </w:p>
    <w:p>
      <w:pPr>
        <w:pStyle w:val="Subsection"/>
        <w:spacing w:before="120"/>
      </w:pPr>
      <w:r>
        <w:tab/>
        <w:t>(1C)</w:t>
      </w:r>
      <w:r>
        <w:tab/>
        <w:t>The disclosure is to be made within 10 days of receipt of the contribution by the relevant person.</w:t>
      </w:r>
    </w:p>
    <w:p>
      <w:pPr>
        <w:pStyle w:val="Subsection"/>
        <w:spacing w:before="120"/>
      </w:pPr>
      <w:r>
        <w:tab/>
        <w:t>(1)</w:t>
      </w:r>
      <w:r>
        <w:tab/>
        <w:t xml:space="preserve">The disclosure is to include the following — </w:t>
      </w:r>
    </w:p>
    <w:p>
      <w:pPr>
        <w:pStyle w:val="Indenta"/>
      </w:pPr>
      <w:r>
        <w:tab/>
        <w:t>(a)</w:t>
      </w:r>
      <w:r>
        <w:tab/>
        <w:t>a description of the contribution;</w:t>
      </w:r>
    </w:p>
    <w:p>
      <w:pPr>
        <w:pStyle w:val="Indenta"/>
      </w:pPr>
      <w:r>
        <w:tab/>
        <w:t>(b)</w:t>
      </w:r>
      <w:r>
        <w:tab/>
        <w:t>the name and address of the person who made the contribution;</w:t>
      </w:r>
    </w:p>
    <w:p>
      <w:pPr>
        <w:pStyle w:val="Indenta"/>
      </w:pPr>
      <w:r>
        <w:tab/>
        <w:t>(c)</w:t>
      </w:r>
      <w:r>
        <w:tab/>
        <w:t>the date on which the contribution was received;</w:t>
      </w:r>
    </w:p>
    <w:p>
      <w:pPr>
        <w:pStyle w:val="Indenta"/>
      </w:pPr>
      <w:r>
        <w:tab/>
        <w:t>(d)</w:t>
      </w:r>
      <w:r>
        <w:tab/>
        <w:t>the estimated value of the contribution at the time it was made;</w:t>
      </w:r>
    </w:p>
    <w:p>
      <w:pPr>
        <w:pStyle w:val="Indenta"/>
      </w:pPr>
      <w:r>
        <w:tab/>
        <w:t>(e)</w:t>
      </w:r>
      <w:r>
        <w:tab/>
        <w:t>the nature of the relationship between the relevant person and the person who made the contribution;</w:t>
      </w:r>
    </w:p>
    <w:p>
      <w:pPr>
        <w:pStyle w:val="Indenta"/>
      </w:pPr>
      <w:r>
        <w:tab/>
        <w:t>(f)</w:t>
      </w:r>
      <w:r>
        <w:tab/>
        <w:t>a description of the travel;</w:t>
      </w:r>
    </w:p>
    <w:p>
      <w:pPr>
        <w:pStyle w:val="Indenta"/>
      </w:pPr>
      <w:r>
        <w:tab/>
        <w:t>(g)</w:t>
      </w:r>
      <w:r>
        <w:tab/>
        <w:t>the date of travel.</w:t>
      </w:r>
    </w:p>
    <w:p>
      <w:pPr>
        <w:pStyle w:val="Subsection"/>
        <w:spacing w:before="120"/>
      </w:pPr>
      <w:r>
        <w:tab/>
        <w:t>(2)</w:t>
      </w:r>
      <w:r>
        <w:tab/>
        <w:t>Nothing in this Subdivision requires a relevant person to disclose a financial or other contribution to any such travel undertaken by a person if — </w:t>
      </w:r>
    </w:p>
    <w:p>
      <w:pPr>
        <w:pStyle w:val="Indenta"/>
      </w:pPr>
      <w:r>
        <w:tab/>
        <w:t>(a)</w:t>
      </w:r>
      <w:r>
        <w:tab/>
        <w:t>the contribution was made from Commonwealth, State or local government funds; or</w:t>
      </w:r>
    </w:p>
    <w:p>
      <w:pPr>
        <w:pStyle w:val="Indenta"/>
        <w:keepNext/>
      </w:pPr>
      <w:r>
        <w:tab/>
        <w:t>(b)</w:t>
      </w:r>
      <w:r>
        <w:tab/>
        <w:t>the contribution was made by a relative of the person; or</w:t>
      </w:r>
    </w:p>
    <w:p>
      <w:pPr>
        <w:pStyle w:val="Indenta"/>
      </w:pPr>
      <w:r>
        <w:tab/>
        <w:t>(c)</w:t>
      </w:r>
      <w:r>
        <w:tab/>
        <w:t>the contribution was made in the ordinary course of an occupation of the person which is not related to his or her duties as a council member or employee; or</w:t>
      </w:r>
    </w:p>
    <w:p>
      <w:pPr>
        <w:pStyle w:val="Indenta"/>
      </w:pPr>
      <w:r>
        <w:tab/>
        <w:t>(d)</w:t>
      </w:r>
      <w:r>
        <w:tab/>
        <w:t>the amount of the contribution did not exceed the prescribed amount unless — </w:t>
      </w:r>
    </w:p>
    <w:p>
      <w:pPr>
        <w:pStyle w:val="Indenti"/>
      </w:pPr>
      <w:r>
        <w:tab/>
        <w:t>(i)</w:t>
      </w:r>
      <w:r>
        <w:tab/>
        <w:t>the contribution was one of 2 or more contributions made by one person at any time during a year; and</w:t>
      </w:r>
    </w:p>
    <w:p>
      <w:pPr>
        <w:pStyle w:val="Indenti"/>
      </w:pPr>
      <w:r>
        <w:tab/>
        <w:t>(ii)</w:t>
      </w:r>
      <w:r>
        <w:tab/>
        <w:t xml:space="preserve">the sum of those 2 or more contributions exceeded the prescribed amount; </w:t>
      </w:r>
    </w:p>
    <w:p>
      <w:pPr>
        <w:pStyle w:val="Indenta"/>
      </w:pPr>
      <w:r>
        <w:tab/>
      </w:r>
      <w:r>
        <w:tab/>
        <w:t>or</w:t>
      </w:r>
    </w:p>
    <w:p>
      <w:pPr>
        <w:pStyle w:val="Indenta"/>
      </w:pPr>
      <w:r>
        <w:tab/>
        <w:t>(e)</w:t>
      </w:r>
      <w:r>
        <w:tab/>
        <w:t>the contribution was made by a political party of which the person was a member and the travel was undertaken for the purpose of political activity of the party, or to enable the person to represent the party.</w:t>
      </w:r>
    </w:p>
    <w:p>
      <w:pPr>
        <w:pStyle w:val="Subsection"/>
        <w:spacing w:before="180"/>
      </w:pPr>
      <w:r>
        <w:tab/>
        <w:t>(3)</w:t>
      </w:r>
      <w:r>
        <w:tab/>
        <w:t>For the purposes of subsection (2)(d) the amount of a contribution (other than a financial contribution) is to be treated as being an amount equal to the value of the contribution at the time the contribution was made.</w:t>
      </w:r>
    </w:p>
    <w:p>
      <w:pPr>
        <w:pStyle w:val="Subsection"/>
        <w:spacing w:before="180"/>
      </w:pPr>
      <w:r>
        <w:tab/>
        <w:t>(4)</w:t>
      </w:r>
      <w:r>
        <w:tab/>
        <w:t>In this section — </w:t>
      </w:r>
    </w:p>
    <w:p>
      <w:pPr>
        <w:pStyle w:val="Defstart"/>
      </w:pPr>
      <w:r>
        <w:rPr>
          <w:b/>
        </w:rPr>
        <w:tab/>
      </w:r>
      <w:r>
        <w:rPr>
          <w:rStyle w:val="CharDefText"/>
        </w:rPr>
        <w:t>political party</w:t>
      </w:r>
      <w:r>
        <w:t xml:space="preserve"> means a body or organization, whether incorporated or unincorporated, having as one of its objects or activities the promotion of the election to the Parliament of the Commonwealth or of the State of a candidate or candidates endorsed by it or by a body or organization of which it forms part; and</w:t>
      </w:r>
    </w:p>
    <w:p>
      <w:pPr>
        <w:pStyle w:val="Defstart"/>
        <w:keepNext/>
      </w:pPr>
      <w:r>
        <w:rPr>
          <w:b/>
        </w:rPr>
        <w:tab/>
      </w:r>
      <w:r>
        <w:rPr>
          <w:rStyle w:val="CharDefText"/>
        </w:rPr>
        <w:t>travel</w:t>
      </w:r>
      <w:r>
        <w:t xml:space="preserve"> includes accommodation incidental to a journey.</w:t>
      </w:r>
    </w:p>
    <w:p>
      <w:pPr>
        <w:pStyle w:val="Footnotesection"/>
        <w:ind w:left="890" w:hanging="890"/>
      </w:pPr>
      <w:r>
        <w:tab/>
        <w:t>[Section 5.83 amended by No. 17 of 2009 s. 30; No. 2 of 2016 s. 36.]</w:t>
      </w:r>
    </w:p>
    <w:p>
      <w:pPr>
        <w:pStyle w:val="Heading5"/>
        <w:spacing w:before="240"/>
      </w:pPr>
      <w:bookmarkStart w:id="771" w:name="_Toc462409468"/>
      <w:r>
        <w:rPr>
          <w:rStyle w:val="CharSectno"/>
        </w:rPr>
        <w:t>5.84</w:t>
      </w:r>
      <w:r>
        <w:t>.</w:t>
      </w:r>
      <w:r>
        <w:tab/>
        <w:t>Interests and positions in corporations</w:t>
      </w:r>
      <w:bookmarkEnd w:id="771"/>
    </w:p>
    <w:p>
      <w:pPr>
        <w:pStyle w:val="Subsection"/>
        <w:keepNext/>
        <w:keepLines/>
        <w:spacing w:before="180"/>
      </w:pPr>
      <w:r>
        <w:tab/>
        <w:t>(1)</w:t>
      </w:r>
      <w:r>
        <w:tab/>
        <w:t>A relevant person is to disclose in a primary return and in an annual return — </w:t>
      </w:r>
    </w:p>
    <w:p>
      <w:pPr>
        <w:pStyle w:val="Indenta"/>
      </w:pPr>
      <w:r>
        <w:tab/>
        <w:t>(a)</w:t>
      </w:r>
      <w:r>
        <w:tab/>
        <w:t>the name of each corporation of which the person was a member or in which he or she otherwise had an interest or held any position (whether remunerated or not) in the case of — </w:t>
      </w:r>
    </w:p>
    <w:p>
      <w:pPr>
        <w:pStyle w:val="Indenti"/>
      </w:pPr>
      <w:r>
        <w:tab/>
        <w:t>(i)</w:t>
      </w:r>
      <w:r>
        <w:tab/>
        <w:t>a primary return, on the start day; and</w:t>
      </w:r>
    </w:p>
    <w:p>
      <w:pPr>
        <w:pStyle w:val="Indenti"/>
        <w:keepNext/>
        <w:keepLines/>
      </w:pPr>
      <w:r>
        <w:tab/>
        <w:t>(ii)</w:t>
      </w:r>
      <w:r>
        <w:tab/>
        <w:t>an annual return, at any time during the return period;</w:t>
      </w:r>
    </w:p>
    <w:p>
      <w:pPr>
        <w:pStyle w:val="Indenta"/>
        <w:keepNext/>
        <w:keepLines/>
      </w:pPr>
      <w:r>
        <w:tab/>
      </w:r>
      <w:r>
        <w:tab/>
        <w:t>and</w:t>
      </w:r>
    </w:p>
    <w:p>
      <w:pPr>
        <w:pStyle w:val="Indenta"/>
      </w:pPr>
      <w:r>
        <w:tab/>
        <w:t>(b)</w:t>
      </w:r>
      <w:r>
        <w:tab/>
        <w:t>the nature of the interest, or the description of the position held, in each corporation to which paragraph (a) applies; and</w:t>
      </w:r>
    </w:p>
    <w:p>
      <w:pPr>
        <w:pStyle w:val="Indenta"/>
      </w:pPr>
      <w:r>
        <w:tab/>
        <w:t>(c)</w:t>
      </w:r>
      <w:r>
        <w:tab/>
        <w:t xml:space="preserve">for each corporation to which paragraph (a) applies, other than corporations whose shares are quoted on a prescribed financial market in </w:t>
      </w:r>
      <w:smartTag w:uri="urn:schemas-microsoft-com:office:smarttags" w:element="place">
        <w:smartTag w:uri="urn:schemas-microsoft-com:office:smarttags" w:element="country-region">
          <w:r>
            <w:t>Australia</w:t>
          </w:r>
        </w:smartTag>
      </w:smartTag>
      <w:r>
        <w:t> —</w:t>
      </w:r>
    </w:p>
    <w:p>
      <w:pPr>
        <w:pStyle w:val="Indenti"/>
      </w:pPr>
      <w:r>
        <w:tab/>
        <w:t>(i)</w:t>
      </w:r>
      <w:r>
        <w:tab/>
        <w:t>its address; and</w:t>
      </w:r>
    </w:p>
    <w:p>
      <w:pPr>
        <w:pStyle w:val="Indenti"/>
      </w:pPr>
      <w:r>
        <w:tab/>
        <w:t>(ii)</w:t>
      </w:r>
      <w:r>
        <w:tab/>
        <w:t>a description of its principal business.</w:t>
      </w:r>
    </w:p>
    <w:p>
      <w:pPr>
        <w:pStyle w:val="Subsection"/>
        <w:keepNext/>
      </w:pPr>
      <w:r>
        <w:tab/>
        <w:t>(2)</w:t>
      </w:r>
      <w:r>
        <w:tab/>
        <w:t xml:space="preserve">In this section — </w:t>
      </w:r>
    </w:p>
    <w:p>
      <w:pPr>
        <w:pStyle w:val="Defstart"/>
      </w:pPr>
      <w:r>
        <w:tab/>
      </w:r>
      <w:r>
        <w:rPr>
          <w:rStyle w:val="CharDefText"/>
        </w:rPr>
        <w:t>interest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pPr>
      <w:r>
        <w:tab/>
      </w:r>
      <w:r>
        <w:rPr>
          <w:rStyle w:val="CharDefText"/>
        </w:rPr>
        <w:t>prescribed financial market</w:t>
      </w:r>
      <w:r>
        <w:t xml:space="preserve"> has the meaning given by section 9 of the </w:t>
      </w:r>
      <w:r>
        <w:rPr>
          <w:i/>
        </w:rPr>
        <w:t>Corporations Act 2001</w:t>
      </w:r>
      <w:r>
        <w:t xml:space="preserve"> of the Commonwealth.</w:t>
      </w:r>
    </w:p>
    <w:p>
      <w:pPr>
        <w:pStyle w:val="Footnotesection"/>
        <w:ind w:left="890" w:hanging="890"/>
      </w:pPr>
      <w:r>
        <w:tab/>
        <w:t>[Section 5.84 inserted by No. 64 of 1998 s. 35; amended by No. 10 of 2001 s. 123; No. 21 of 2003 s. 15(2) and (3).]</w:t>
      </w:r>
    </w:p>
    <w:p>
      <w:pPr>
        <w:pStyle w:val="Heading5"/>
        <w:spacing w:before="240"/>
      </w:pPr>
      <w:bookmarkStart w:id="772" w:name="_Toc462409469"/>
      <w:r>
        <w:rPr>
          <w:rStyle w:val="CharSectno"/>
        </w:rPr>
        <w:t>5.85</w:t>
      </w:r>
      <w:r>
        <w:t>.</w:t>
      </w:r>
      <w:r>
        <w:tab/>
        <w:t>Debts</w:t>
      </w:r>
      <w:bookmarkEnd w:id="772"/>
    </w:p>
    <w:p>
      <w:pPr>
        <w:pStyle w:val="Subsection"/>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pPr>
      <w:r>
        <w:tab/>
      </w:r>
      <w:r>
        <w:tab/>
        <w:t>whether or not the amount, or any part of the amount, to be paid was due and payable on the start day or at any time during the return period, as the case may be.</w:t>
      </w:r>
    </w:p>
    <w:p>
      <w:pPr>
        <w:pStyle w:val="Subsection"/>
      </w:pPr>
      <w:r>
        <w:tab/>
        <w:t>(2)</w:t>
      </w:r>
      <w:r>
        <w:tab/>
        <w:t>Nothing in this Subdivision requires a relevant person to disclose in a return a liability to pay a debt if — </w:t>
      </w:r>
    </w:p>
    <w:p>
      <w:pPr>
        <w:pStyle w:val="Indenta"/>
      </w:pPr>
      <w:r>
        <w:tab/>
        <w:t>(a)</w:t>
      </w:r>
      <w:r>
        <w:tab/>
        <w:t>the amount to be paid did not exceed the prescribed amount on the start day or at any time during the return period, as the case may be, unless — </w:t>
      </w:r>
    </w:p>
    <w:p>
      <w:pPr>
        <w:pStyle w:val="Indenti"/>
        <w:widowControl w:val="0"/>
      </w:pPr>
      <w:r>
        <w:tab/>
        <w:t>(i)</w:t>
      </w:r>
      <w:r>
        <w:tab/>
        <w:t>the debt was one of 2 or more debts which the person was liable to pay to one person on the start day or at any time during the return period, as the case may be; and</w:t>
      </w:r>
    </w:p>
    <w:p>
      <w:pPr>
        <w:pStyle w:val="Indenti"/>
        <w:keepNext/>
        <w:keepLines/>
      </w:pPr>
      <w:r>
        <w:tab/>
        <w:t>(ii)</w:t>
      </w:r>
      <w:r>
        <w:tab/>
        <w:t>the sum of the amounts to be paid exceeded the prescribed amount;</w:t>
      </w:r>
    </w:p>
    <w:p>
      <w:pPr>
        <w:pStyle w:val="Indenta"/>
      </w:pPr>
      <w:r>
        <w:tab/>
      </w:r>
      <w:r>
        <w:tab/>
        <w:t>or</w:t>
      </w:r>
    </w:p>
    <w:p>
      <w:pPr>
        <w:pStyle w:val="Indenta"/>
      </w:pPr>
      <w:r>
        <w:tab/>
        <w:t>(b)</w:t>
      </w:r>
      <w:r>
        <w:tab/>
        <w:t>the person was liable to pay the debt to a relative; or</w:t>
      </w:r>
    </w:p>
    <w:p>
      <w:pPr>
        <w:pStyle w:val="Indenta"/>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keepNext/>
      </w:pPr>
      <w:r>
        <w:tab/>
        <w:t>(d)</w:t>
      </w:r>
      <w:r>
        <w:tab/>
        <w:t>in the case of a debt arising from the supply of goods or services — </w:t>
      </w:r>
    </w:p>
    <w:p>
      <w:pPr>
        <w:pStyle w:val="Indenti"/>
      </w:pPr>
      <w:r>
        <w:tab/>
        <w:t>(i)</w:t>
      </w:r>
      <w:r>
        <w:tab/>
        <w:t>the goods or services were supplied in the period of 18 months immediately preceding the start day or were supplied during the return period, as the case may be; or</w:t>
      </w:r>
    </w:p>
    <w:p>
      <w:pPr>
        <w:pStyle w:val="Indenti"/>
      </w:pPr>
      <w:r>
        <w:tab/>
        <w:t>(ii)</w:t>
      </w:r>
      <w:r>
        <w:tab/>
        <w:t>the goods or services were supplied in the ordinary course of an occupation of the person which is not related to his or her duties as a council member or employee.</w:t>
      </w:r>
    </w:p>
    <w:p>
      <w:pPr>
        <w:pStyle w:val="Subsection"/>
      </w:pPr>
      <w:r>
        <w:tab/>
        <w:t>(3)</w:t>
      </w:r>
      <w:r>
        <w:tab/>
        <w:t>In subsections (1) and (2) — </w:t>
      </w:r>
    </w:p>
    <w:p>
      <w:pPr>
        <w:pStyle w:val="Defstart"/>
        <w:spacing w:before="120"/>
      </w:pPr>
      <w:r>
        <w:rPr>
          <w:b/>
        </w:rPr>
        <w:tab/>
      </w:r>
      <w:r>
        <w:rPr>
          <w:rStyle w:val="CharDefText"/>
        </w:rPr>
        <w:t>debt</w:t>
      </w:r>
      <w:r>
        <w:t xml:space="preserve"> means a debt arising from — </w:t>
      </w:r>
    </w:p>
    <w:p>
      <w:pPr>
        <w:pStyle w:val="Defpara"/>
      </w:pPr>
      <w:r>
        <w:tab/>
        <w:t>(a)</w:t>
      </w:r>
      <w:r>
        <w:tab/>
        <w:t>a loan of money; or</w:t>
      </w:r>
    </w:p>
    <w:p>
      <w:pPr>
        <w:pStyle w:val="Defpara"/>
      </w:pPr>
      <w:r>
        <w:tab/>
        <w:t>(b)</w:t>
      </w:r>
      <w:r>
        <w:tab/>
        <w:t>the supply of goods or services.</w:t>
      </w:r>
    </w:p>
    <w:p>
      <w:pPr>
        <w:pStyle w:val="Footnotesection"/>
        <w:spacing w:before="160"/>
        <w:ind w:left="890" w:hanging="890"/>
      </w:pPr>
      <w:r>
        <w:tab/>
        <w:t>[Section 5.85 amended by No. 26 of 1999 s. 92(3).]</w:t>
      </w:r>
    </w:p>
    <w:p>
      <w:pPr>
        <w:pStyle w:val="Heading5"/>
      </w:pPr>
      <w:bookmarkStart w:id="773" w:name="_Toc462409470"/>
      <w:r>
        <w:rPr>
          <w:rStyle w:val="CharSectno"/>
        </w:rPr>
        <w:t>5.86</w:t>
      </w:r>
      <w:r>
        <w:t>.</w:t>
      </w:r>
      <w:r>
        <w:tab/>
        <w:t>Dispositions of property</w:t>
      </w:r>
      <w:bookmarkEnd w:id="773"/>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 and</w:t>
      </w:r>
    </w:p>
    <w:p>
      <w:pPr>
        <w:pStyle w:val="Indenta"/>
      </w:pPr>
      <w:r>
        <w:tab/>
        <w:t>(b)</w:t>
      </w:r>
      <w:r>
        <w:tab/>
        <w:t>to a person by any person other than the relevant person under arrangements made by the relevant person; and</w:t>
      </w:r>
    </w:p>
    <w:p>
      <w:pPr>
        <w:pStyle w:val="Indenta"/>
      </w:pPr>
      <w:r>
        <w:tab/>
        <w:t>(c)</w:t>
      </w:r>
      <w:r>
        <w:tab/>
        <w:t>by which disposition the relevant person obtained, either wholly or in part, the use and benefit of the property,</w:t>
      </w:r>
    </w:p>
    <w:p>
      <w:pPr>
        <w:pStyle w:val="Subsection"/>
        <w:spacing w:before="120"/>
      </w:pPr>
      <w:r>
        <w:tab/>
      </w:r>
      <w:r>
        <w:tab/>
        <w:t>which was made at any time during the return period.</w:t>
      </w:r>
    </w:p>
    <w:p>
      <w:pPr>
        <w:pStyle w:val="Subsection"/>
        <w:keepNext/>
      </w:pPr>
      <w:r>
        <w:tab/>
        <w:t>(3)</w:t>
      </w:r>
      <w:r>
        <w:tab/>
        <w:t>In this section — </w:t>
      </w:r>
    </w:p>
    <w:p>
      <w:pPr>
        <w:pStyle w:val="Defstart"/>
        <w:keepNext/>
      </w:pPr>
      <w:r>
        <w:rPr>
          <w:b/>
        </w:rPr>
        <w:tab/>
      </w:r>
      <w:r>
        <w:rPr>
          <w:rStyle w:val="CharDefText"/>
        </w:rPr>
        <w:t>disposition of real property</w:t>
      </w:r>
      <w:r>
        <w:t xml:space="preserve"> means any conveyance, transfer, assignment, settlement, payment or other alienation of real property, and includes — </w:t>
      </w:r>
    </w:p>
    <w:p>
      <w:pPr>
        <w:pStyle w:val="Defpara"/>
      </w:pPr>
      <w:r>
        <w:tab/>
        <w:t>(a)</w:t>
      </w:r>
      <w:r>
        <w:tab/>
        <w:t>the creation of a trust in respect of real property; and</w:t>
      </w:r>
    </w:p>
    <w:p>
      <w:pPr>
        <w:pStyle w:val="Defpara"/>
      </w:pPr>
      <w:r>
        <w:tab/>
        <w:t>(b)</w:t>
      </w:r>
      <w:r>
        <w:tab/>
        <w:t>the grant or creation of any lease, mortgage, charge, easement, licence, power, partnership or interest in respect of real property; and</w:t>
      </w:r>
    </w:p>
    <w:p>
      <w:pPr>
        <w:pStyle w:val="Defpara"/>
      </w:pPr>
      <w:r>
        <w:tab/>
        <w:t>(c)</w:t>
      </w:r>
      <w:r>
        <w:tab/>
        <w:t>the release, discharge, surrender, forfeiture or abandonment, at law or in equity, of any debt, contract, chose in action or any other interest in respect of real property; and</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spacing w:before="180"/>
      </w:pPr>
      <w:bookmarkStart w:id="774" w:name="_Toc462409471"/>
      <w:r>
        <w:rPr>
          <w:rStyle w:val="CharSectno"/>
        </w:rPr>
        <w:t>5.87</w:t>
      </w:r>
      <w:r>
        <w:t>.</w:t>
      </w:r>
      <w:r>
        <w:tab/>
        <w:t>Discretionary disclosures generally</w:t>
      </w:r>
      <w:bookmarkEnd w:id="774"/>
    </w:p>
    <w:p>
      <w:pPr>
        <w:pStyle w:val="Subsection"/>
        <w:spacing w:before="120"/>
      </w:pPr>
      <w:r>
        <w:tab/>
      </w:r>
      <w:r>
        <w:tab/>
        <w:t>A relevant person may, at his or her discretion, disclose in any return any direct or indirect benefits, advantages or liabilities, whether financial or not — </w:t>
      </w:r>
    </w:p>
    <w:p>
      <w:pPr>
        <w:pStyle w:val="Indenta"/>
        <w:spacing w:before="60"/>
      </w:pPr>
      <w:r>
        <w:tab/>
        <w:t>(a)</w:t>
      </w:r>
      <w:r>
        <w:tab/>
        <w:t>which are not required to be disclosed by any other provision of this Subdivision; and</w:t>
      </w:r>
    </w:p>
    <w:p>
      <w:pPr>
        <w:pStyle w:val="Indenta"/>
        <w:spacing w:before="60"/>
      </w:pPr>
      <w:r>
        <w:tab/>
        <w:t>(b)</w:t>
      </w:r>
      <w:r>
        <w:tab/>
        <w:t>which the person considers might appear to raise a conflict between the person’s private interests and the person’s duty as a council member or a designated employee or which he or she otherwise desires to disclose.</w:t>
      </w:r>
    </w:p>
    <w:p>
      <w:pPr>
        <w:pStyle w:val="Heading4"/>
        <w:keepLines/>
        <w:spacing w:before="180"/>
      </w:pPr>
      <w:bookmarkStart w:id="775" w:name="_Toc448219187"/>
      <w:bookmarkStart w:id="776" w:name="_Toc448224409"/>
      <w:bookmarkStart w:id="777" w:name="_Toc451179646"/>
      <w:bookmarkStart w:id="778" w:name="_Toc451430566"/>
      <w:bookmarkStart w:id="779" w:name="_Toc455396516"/>
      <w:bookmarkStart w:id="780" w:name="_Toc455397376"/>
      <w:bookmarkStart w:id="781" w:name="_Toc456086459"/>
      <w:bookmarkStart w:id="782" w:name="_Toc462409472"/>
      <w:r>
        <w:t>Subdivision 3 — General</w:t>
      </w:r>
      <w:bookmarkEnd w:id="775"/>
      <w:bookmarkEnd w:id="776"/>
      <w:bookmarkEnd w:id="777"/>
      <w:bookmarkEnd w:id="778"/>
      <w:bookmarkEnd w:id="779"/>
      <w:bookmarkEnd w:id="780"/>
      <w:bookmarkEnd w:id="781"/>
      <w:bookmarkEnd w:id="782"/>
    </w:p>
    <w:p>
      <w:pPr>
        <w:pStyle w:val="Heading5"/>
        <w:spacing w:before="180"/>
      </w:pPr>
      <w:bookmarkStart w:id="783" w:name="_Toc462409473"/>
      <w:r>
        <w:rPr>
          <w:rStyle w:val="CharSectno"/>
        </w:rPr>
        <w:t>5.88</w:t>
      </w:r>
      <w:r>
        <w:t>.</w:t>
      </w:r>
      <w:r>
        <w:tab/>
        <w:t>Register of financial interests</w:t>
      </w:r>
      <w:bookmarkEnd w:id="783"/>
    </w:p>
    <w:p>
      <w:pPr>
        <w:pStyle w:val="Subsection"/>
        <w:spacing w:before="120"/>
      </w:pPr>
      <w:r>
        <w:tab/>
        <w:t>(1)</w:t>
      </w:r>
      <w:r>
        <w:tab/>
        <w:t>A CEO is to keep a register of financial interests.</w:t>
      </w:r>
    </w:p>
    <w:p>
      <w:pPr>
        <w:pStyle w:val="Subsection"/>
        <w:spacing w:before="120"/>
      </w:pPr>
      <w:r>
        <w:tab/>
        <w:t>(2)</w:t>
      </w:r>
      <w:r>
        <w:tab/>
        <w:t>The register is to contain — </w:t>
      </w:r>
    </w:p>
    <w:p>
      <w:pPr>
        <w:pStyle w:val="Indenta"/>
        <w:spacing w:before="60"/>
      </w:pPr>
      <w:r>
        <w:tab/>
        <w:t>(a)</w:t>
      </w:r>
      <w:r>
        <w:tab/>
        <w:t>the returns lodged under section 5.75 and 5.76; and</w:t>
      </w:r>
    </w:p>
    <w:p>
      <w:pPr>
        <w:pStyle w:val="Indenta"/>
        <w:spacing w:before="60"/>
      </w:pPr>
      <w:r>
        <w:tab/>
        <w:t>(b)</w:t>
      </w:r>
      <w:r>
        <w:tab/>
        <w:t>a record of the disclosures made under sections 5.65, 5.70 and 5.71,</w:t>
      </w:r>
    </w:p>
    <w:p>
      <w:pPr>
        <w:pStyle w:val="Subsection"/>
        <w:spacing w:before="120"/>
      </w:pPr>
      <w:r>
        <w:tab/>
      </w:r>
      <w:r>
        <w:tab/>
        <w:t>and be in the form that is prescribed (if any).</w:t>
      </w:r>
    </w:p>
    <w:p>
      <w:pPr>
        <w:pStyle w:val="Subsection"/>
        <w:spacing w:before="120"/>
      </w:pPr>
      <w:r>
        <w:tab/>
        <w:t>(3)</w:t>
      </w:r>
      <w:r>
        <w:tab/>
        <w:t>As soon as is practicable after a person ceases to be a person who is required under section 5.75 or 5.76 to lodge a return, the CEO is to remove from the register all returns relating to that person.</w:t>
      </w:r>
    </w:p>
    <w:p>
      <w:pPr>
        <w:pStyle w:val="Subsection"/>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Heading5"/>
        <w:spacing w:before="180"/>
      </w:pPr>
      <w:bookmarkStart w:id="784" w:name="_Toc462409474"/>
      <w:r>
        <w:rPr>
          <w:rStyle w:val="CharSectno"/>
        </w:rPr>
        <w:t>5.89A</w:t>
      </w:r>
      <w:r>
        <w:t>.</w:t>
      </w:r>
      <w:r>
        <w:tab/>
        <w:t>Register of gifts and contributions to travel</w:t>
      </w:r>
      <w:bookmarkEnd w:id="784"/>
    </w:p>
    <w:p>
      <w:pPr>
        <w:pStyle w:val="Subsection"/>
      </w:pPr>
      <w:r>
        <w:tab/>
        <w:t>(1)</w:t>
      </w:r>
      <w:r>
        <w:tab/>
        <w:t>A CEO is to keep a register of gifts and contributions to travel.</w:t>
      </w:r>
    </w:p>
    <w:p>
      <w:pPr>
        <w:pStyle w:val="Subsection"/>
      </w:pPr>
      <w:r>
        <w:tab/>
        <w:t>(2)</w:t>
      </w:r>
      <w:r>
        <w:tab/>
        <w:t>The register is to contain a record of the disclosures made under sections 5.82 and 5.83.</w:t>
      </w:r>
    </w:p>
    <w:p>
      <w:pPr>
        <w:pStyle w:val="Subsection"/>
      </w:pPr>
      <w:r>
        <w:tab/>
        <w:t>(3)</w:t>
      </w:r>
      <w:r>
        <w:tab/>
        <w:t>The register is to be in the form that is prescribed (if any).</w:t>
      </w:r>
    </w:p>
    <w:p>
      <w:pPr>
        <w:pStyle w:val="Subsection"/>
      </w:pPr>
      <w:r>
        <w:tab/>
        <w:t>(4)</w:t>
      </w:r>
      <w:r>
        <w:tab/>
        <w:t>The CEO is to make the register available for public inspection.</w:t>
      </w:r>
    </w:p>
    <w:p>
      <w:pPr>
        <w:pStyle w:val="Subsection"/>
      </w:pPr>
      <w:r>
        <w:tab/>
        <w:t>(5)</w:t>
      </w:r>
      <w:r>
        <w:tab/>
        <w:t>The CEO is to publish the register on the local government’s official website.</w:t>
      </w:r>
    </w:p>
    <w:p>
      <w:pPr>
        <w:pStyle w:val="Subsection"/>
      </w:pPr>
      <w:r>
        <w:tab/>
        <w:t>(6)</w:t>
      </w:r>
      <w:r>
        <w:tab/>
        <w:t>As soon as practicable after a person ceases to be a person who is required under section 5.82 or 5.83 to make a disclosure, the CEO is to remove from the register all records relating to that person.</w:t>
      </w:r>
    </w:p>
    <w:p>
      <w:pPr>
        <w:pStyle w:val="Subsection"/>
      </w:pPr>
      <w:r>
        <w:tab/>
        <w:t>(7)</w:t>
      </w:r>
      <w:r>
        <w:tab/>
        <w:t xml:space="preserve">Disclosures made under section 5.82 or 5.83 and removed from the register under subsection (6) are, for a period of at least 5 years after the person who made the disclosure ceases to be a person required under section 5.82 or 5.83 to make a disclosure — </w:t>
      </w:r>
    </w:p>
    <w:p>
      <w:pPr>
        <w:pStyle w:val="Indenta"/>
      </w:pPr>
      <w:r>
        <w:tab/>
        <w:t>(a)</w:t>
      </w:r>
      <w:r>
        <w:tab/>
        <w:t>to be kept by the CEO; and</w:t>
      </w:r>
    </w:p>
    <w:p>
      <w:pPr>
        <w:pStyle w:val="Indenta"/>
      </w:pPr>
      <w:r>
        <w:tab/>
        <w:t>(b)</w:t>
      </w:r>
      <w:r>
        <w:tab/>
        <w:t>to be made available for public inspection.</w:t>
      </w:r>
    </w:p>
    <w:p>
      <w:pPr>
        <w:pStyle w:val="Footnotesection"/>
      </w:pPr>
      <w:r>
        <w:tab/>
        <w:t>[Section 5.89A inserted by No. 2 of 2016 s. 37.]</w:t>
      </w:r>
    </w:p>
    <w:p>
      <w:pPr>
        <w:pStyle w:val="Heading5"/>
        <w:spacing w:before="180"/>
      </w:pPr>
      <w:bookmarkStart w:id="785" w:name="_Toc462409475"/>
      <w:r>
        <w:rPr>
          <w:rStyle w:val="CharSectno"/>
        </w:rPr>
        <w:t>5.89B</w:t>
      </w:r>
      <w:r>
        <w:t>.</w:t>
      </w:r>
      <w:r>
        <w:tab/>
        <w:t>Offence to fail to disclose under sections 5.82 and 5.83</w:t>
      </w:r>
      <w:bookmarkEnd w:id="785"/>
    </w:p>
    <w:p>
      <w:pPr>
        <w:pStyle w:val="Subsection"/>
      </w:pPr>
      <w:r>
        <w:tab/>
      </w:r>
      <w:r>
        <w:tab/>
        <w:t>A relevant person must comply with the requirements of sections 5.82 and 5.83 in relation to the disclosure of information.</w:t>
      </w:r>
    </w:p>
    <w:p>
      <w:pPr>
        <w:pStyle w:val="Penstart"/>
      </w:pPr>
      <w:r>
        <w:tab/>
        <w:t>Penalty: a fine of $10 000 or imprisonment for 2 years.</w:t>
      </w:r>
    </w:p>
    <w:p>
      <w:pPr>
        <w:pStyle w:val="Footnotesection"/>
        <w:spacing w:before="80"/>
        <w:ind w:left="890" w:hanging="890"/>
      </w:pPr>
      <w:r>
        <w:tab/>
        <w:t>[Section 5.89B inserted by No. 2 of 2016 s. 37.]</w:t>
      </w:r>
    </w:p>
    <w:p>
      <w:pPr>
        <w:pStyle w:val="Heading5"/>
      </w:pPr>
      <w:bookmarkStart w:id="786" w:name="_Toc462409476"/>
      <w:r>
        <w:rPr>
          <w:rStyle w:val="CharSectno"/>
        </w:rPr>
        <w:t>5.89</w:t>
      </w:r>
      <w:r>
        <w:t>.</w:t>
      </w:r>
      <w:r>
        <w:tab/>
        <w:t>Offence to give false or misleading information</w:t>
      </w:r>
      <w:bookmarkEnd w:id="786"/>
    </w:p>
    <w:p>
      <w:pPr>
        <w:pStyle w:val="Subsection"/>
        <w:spacing w:before="120"/>
      </w:pPr>
      <w:r>
        <w:tab/>
      </w:r>
      <w:r>
        <w:tab/>
        <w:t>A person must not, in relation to a disclosure under section 5.65, 5.70, 5.71, 5.82 or 5.83 or a return lodged under section 5.75 or 5.76, provide information in written or oral form that the person knows to be — </w:t>
      </w:r>
    </w:p>
    <w:p>
      <w:pPr>
        <w:pStyle w:val="Indenta"/>
        <w:spacing w:before="60"/>
      </w:pPr>
      <w:r>
        <w:tab/>
        <w:t>(a)</w:t>
      </w:r>
      <w:r>
        <w:tab/>
        <w:t>false or misleading in a material particular; or</w:t>
      </w:r>
    </w:p>
    <w:p>
      <w:pPr>
        <w:pStyle w:val="Indenta"/>
        <w:spacing w:before="60"/>
      </w:pPr>
      <w:r>
        <w:tab/>
        <w:t>(b)</w:t>
      </w:r>
      <w:r>
        <w:tab/>
        <w:t>likely to deceive in a material way.</w:t>
      </w:r>
    </w:p>
    <w:p>
      <w:pPr>
        <w:pStyle w:val="Penstart"/>
        <w:spacing w:before="60"/>
      </w:pPr>
      <w:r>
        <w:tab/>
        <w:t>Penalty: $10 000 or imprisonment for 2 years.</w:t>
      </w:r>
    </w:p>
    <w:p>
      <w:pPr>
        <w:pStyle w:val="Footnotesection"/>
        <w:spacing w:before="80"/>
        <w:ind w:left="890" w:hanging="890"/>
      </w:pPr>
      <w:r>
        <w:tab/>
        <w:t>[Section 5.89 amended by No. 2 of 2016 s. 38.]</w:t>
      </w:r>
    </w:p>
    <w:p>
      <w:pPr>
        <w:pStyle w:val="Heading5"/>
        <w:spacing w:before="180"/>
      </w:pPr>
      <w:bookmarkStart w:id="787" w:name="_Toc462409477"/>
      <w:r>
        <w:rPr>
          <w:rStyle w:val="CharSectno"/>
        </w:rPr>
        <w:t>5.90</w:t>
      </w:r>
      <w:r>
        <w:t>.</w:t>
      </w:r>
      <w:r>
        <w:tab/>
        <w:t>Offence to publish information in certain cases</w:t>
      </w:r>
      <w:bookmarkEnd w:id="787"/>
    </w:p>
    <w:p>
      <w:pPr>
        <w:pStyle w:val="Subsection"/>
        <w:spacing w:before="120"/>
      </w:pPr>
      <w:r>
        <w:tab/>
        <w:t>(1)</w:t>
      </w:r>
      <w:r>
        <w:tab/>
        <w:t>A person must not publish — </w:t>
      </w:r>
    </w:p>
    <w:p>
      <w:pPr>
        <w:pStyle w:val="Indenta"/>
        <w:spacing w:before="60"/>
      </w:pPr>
      <w:r>
        <w:tab/>
        <w:t>(a)</w:t>
      </w:r>
      <w:r>
        <w:tab/>
        <w:t>any information derived from a register of financial interests unless that information constitutes a fair or accurate report or summary of information contained in the register and is published in good faith; or</w:t>
      </w:r>
    </w:p>
    <w:p>
      <w:pPr>
        <w:pStyle w:val="Indenta"/>
        <w:spacing w:before="60"/>
      </w:pPr>
      <w:r>
        <w:tab/>
        <w:t>(b)</w:t>
      </w:r>
      <w:r>
        <w:tab/>
        <w:t>any comment on the facts set forth in a register of financial interests unless that comment is fair and published in good faith.</w:t>
      </w:r>
    </w:p>
    <w:p>
      <w:pPr>
        <w:pStyle w:val="Penstart"/>
        <w:spacing w:before="60"/>
      </w:pPr>
      <w:r>
        <w:tab/>
        <w:t>Penalty: $5 000 or imprisonment for 1 year.</w:t>
      </w:r>
    </w:p>
    <w:p>
      <w:pPr>
        <w:pStyle w:val="Subsection"/>
        <w:spacing w:before="120"/>
      </w:pPr>
      <w:r>
        <w:tab/>
        <w:t>(2)</w:t>
      </w:r>
      <w:r>
        <w:tab/>
        <w:t>In subsection (1) — </w:t>
      </w:r>
    </w:p>
    <w:p>
      <w:pPr>
        <w:pStyle w:val="Defstart"/>
        <w:spacing w:before="60"/>
      </w:pPr>
      <w:r>
        <w:rPr>
          <w:b/>
        </w:rPr>
        <w:tab/>
      </w:r>
      <w:r>
        <w:rPr>
          <w:rStyle w:val="CharDefText"/>
        </w:rPr>
        <w:t>publish</w:t>
      </w:r>
      <w:r>
        <w:t xml:space="preserve"> has the same meaning in relation to any information or comment referred to in that subsection as it has in sections 348 and 349 of </w:t>
      </w:r>
      <w:r>
        <w:rPr>
          <w:i/>
        </w:rPr>
        <w:t>The Criminal Code</w:t>
      </w:r>
      <w:r>
        <w:rPr>
          <w:iCs/>
          <w:vertAlign w:val="superscript"/>
        </w:rPr>
        <w:t> 7</w:t>
      </w:r>
      <w:r>
        <w:t xml:space="preserve"> in relation to the publication of defamatory matter.</w:t>
      </w:r>
    </w:p>
    <w:p>
      <w:pPr>
        <w:pStyle w:val="Heading3"/>
      </w:pPr>
      <w:bookmarkStart w:id="788" w:name="_Toc448219193"/>
      <w:bookmarkStart w:id="789" w:name="_Toc448224415"/>
      <w:bookmarkStart w:id="790" w:name="_Toc451179652"/>
      <w:bookmarkStart w:id="791" w:name="_Toc451430572"/>
      <w:bookmarkStart w:id="792" w:name="_Toc455396522"/>
      <w:bookmarkStart w:id="793" w:name="_Toc455397382"/>
      <w:bookmarkStart w:id="794" w:name="_Toc456086465"/>
      <w:bookmarkStart w:id="795" w:name="_Toc462409478"/>
      <w:r>
        <w:rPr>
          <w:rStyle w:val="CharDivNo"/>
        </w:rPr>
        <w:t>Division 7</w:t>
      </w:r>
      <w:r>
        <w:t> — </w:t>
      </w:r>
      <w:r>
        <w:rPr>
          <w:rStyle w:val="CharDivText"/>
        </w:rPr>
        <w:t>Access to information</w:t>
      </w:r>
      <w:bookmarkEnd w:id="788"/>
      <w:bookmarkEnd w:id="789"/>
      <w:bookmarkEnd w:id="790"/>
      <w:bookmarkEnd w:id="791"/>
      <w:bookmarkEnd w:id="792"/>
      <w:bookmarkEnd w:id="793"/>
      <w:bookmarkEnd w:id="794"/>
      <w:bookmarkEnd w:id="795"/>
    </w:p>
    <w:p>
      <w:pPr>
        <w:pStyle w:val="Heading5"/>
      </w:pPr>
      <w:bookmarkStart w:id="796" w:name="_Toc462409479"/>
      <w:r>
        <w:rPr>
          <w:rStyle w:val="CharSectno"/>
        </w:rPr>
        <w:t>5.91</w:t>
      </w:r>
      <w:r>
        <w:t>.</w:t>
      </w:r>
      <w:r>
        <w:tab/>
        <w:t>Interpretation</w:t>
      </w:r>
      <w:bookmarkEnd w:id="796"/>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797" w:name="_Toc462409480"/>
      <w:r>
        <w:rPr>
          <w:rStyle w:val="CharSectno"/>
        </w:rPr>
        <w:t>5.92</w:t>
      </w:r>
      <w:r>
        <w:t>.</w:t>
      </w:r>
      <w:r>
        <w:tab/>
        <w:t>Access to information by council, committee members</w:t>
      </w:r>
      <w:bookmarkEnd w:id="797"/>
    </w:p>
    <w:p>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pPr>
        <w:pStyle w:val="Subsection"/>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Heading5"/>
      </w:pPr>
      <w:bookmarkStart w:id="798" w:name="_Toc462409481"/>
      <w:r>
        <w:rPr>
          <w:rStyle w:val="CharSectno"/>
        </w:rPr>
        <w:t>5.93</w:t>
      </w:r>
      <w:r>
        <w:t>.</w:t>
      </w:r>
      <w:r>
        <w:tab/>
        <w:t>Improper use of information</w:t>
      </w:r>
      <w:bookmarkEnd w:id="798"/>
    </w:p>
    <w:p>
      <w:pPr>
        <w:pStyle w:val="Subsection"/>
      </w:pPr>
      <w:r>
        <w:tab/>
      </w:r>
      <w:r>
        <w:tab/>
        <w:t>A person who is a council member, a committee member or an employee must not make improper use of any information acquired in the performance by the person of any of his or her functions under this Act or any other written law — </w:t>
      </w:r>
    </w:p>
    <w:p>
      <w:pPr>
        <w:pStyle w:val="Indenta"/>
      </w:pPr>
      <w:r>
        <w:tab/>
        <w:t>(a)</w:t>
      </w:r>
      <w:r>
        <w:tab/>
        <w:t>to gain directly or indirectly an advantage for the person or any other person; or</w:t>
      </w:r>
    </w:p>
    <w:p>
      <w:pPr>
        <w:pStyle w:val="Indenta"/>
      </w:pPr>
      <w:r>
        <w:tab/>
        <w:t>(b)</w:t>
      </w:r>
      <w:r>
        <w:tab/>
        <w:t>to cause detriment to the local government or any other person.</w:t>
      </w:r>
    </w:p>
    <w:p>
      <w:pPr>
        <w:pStyle w:val="Penstart"/>
      </w:pPr>
      <w:r>
        <w:tab/>
        <w:t>Penalty: $10 000 or imprisonment for 2 years.</w:t>
      </w:r>
    </w:p>
    <w:p>
      <w:pPr>
        <w:pStyle w:val="Heading5"/>
      </w:pPr>
      <w:bookmarkStart w:id="799" w:name="_Toc462409482"/>
      <w:r>
        <w:rPr>
          <w:rStyle w:val="CharSectno"/>
        </w:rPr>
        <w:t>5.94</w:t>
      </w:r>
      <w:r>
        <w:t>.</w:t>
      </w:r>
      <w:r>
        <w:tab/>
        <w:t>Public can inspect certain local government information</w:t>
      </w:r>
      <w:bookmarkEnd w:id="799"/>
    </w:p>
    <w:p>
      <w:pPr>
        <w:pStyle w:val="Subsection"/>
      </w:pPr>
      <w:r>
        <w:tab/>
      </w:r>
      <w:r>
        <w:tab/>
        <w:t xml:space="preserve">A person can attend the office of a local government during office hours and, unless it would be contrary to section 5.95, inspect, free of charge, in the form or medium in which it is held by the local government and whether or not it is current at the time of inspection — </w:t>
      </w:r>
    </w:p>
    <w:p>
      <w:pPr>
        <w:pStyle w:val="Indenta"/>
      </w:pPr>
      <w:r>
        <w:tab/>
        <w:t>(a)</w:t>
      </w:r>
      <w:r>
        <w:tab/>
        <w:t>any code of conduct;</w:t>
      </w:r>
    </w:p>
    <w:p>
      <w:pPr>
        <w:pStyle w:val="Indenta"/>
      </w:pPr>
      <w:r>
        <w:tab/>
        <w:t>(aa)</w:t>
      </w:r>
      <w:r>
        <w:tab/>
        <w:t>any regulations prescribing rules of conduct of council members referred to in section 5.104;</w:t>
      </w:r>
    </w:p>
    <w:p>
      <w:pPr>
        <w:pStyle w:val="Indenta"/>
      </w:pPr>
      <w:r>
        <w:tab/>
        <w:t>(ab)</w:t>
      </w:r>
      <w:r>
        <w:tab/>
        <w:t>any register of complaints referred to in section 5.121;</w:t>
      </w:r>
    </w:p>
    <w:p>
      <w:pPr>
        <w:pStyle w:val="Indenta"/>
      </w:pPr>
      <w:r>
        <w:tab/>
        <w:t>(b)</w:t>
      </w:r>
      <w:r>
        <w:tab/>
        <w:t>any register of financial interests;</w:t>
      </w:r>
    </w:p>
    <w:p>
      <w:pPr>
        <w:pStyle w:val="Indenta"/>
      </w:pPr>
      <w:r>
        <w:tab/>
        <w:t>(c)</w:t>
      </w:r>
      <w:r>
        <w:tab/>
        <w:t>any annual report;</w:t>
      </w:r>
    </w:p>
    <w:p>
      <w:pPr>
        <w:pStyle w:val="Indenta"/>
      </w:pPr>
      <w:r>
        <w:tab/>
        <w:t>(d)</w:t>
      </w:r>
      <w:r>
        <w:tab/>
        <w:t>any annual budget;</w:t>
      </w:r>
    </w:p>
    <w:p>
      <w:pPr>
        <w:pStyle w:val="Indenta"/>
        <w:keepNext/>
      </w:pPr>
      <w:r>
        <w:tab/>
        <w:t>(e)</w:t>
      </w:r>
      <w:r>
        <w:tab/>
        <w:t>any schedule of fees and charges;</w:t>
      </w:r>
    </w:p>
    <w:p>
      <w:pPr>
        <w:pStyle w:val="Indenta"/>
      </w:pPr>
      <w:r>
        <w:tab/>
        <w:t>(f)</w:t>
      </w:r>
      <w:r>
        <w:tab/>
        <w:t>any plan for the future of the district made in accordance with section 5.56;</w:t>
      </w:r>
    </w:p>
    <w:p>
      <w:pPr>
        <w:pStyle w:val="Indenta"/>
      </w:pPr>
      <w:r>
        <w:tab/>
        <w:t>(g)</w:t>
      </w:r>
      <w:r>
        <w:tab/>
        <w:t>any proposed local law of which the local government has given Statewide public notice under section 3.12(3);</w:t>
      </w:r>
    </w:p>
    <w:p>
      <w:pPr>
        <w:pStyle w:val="Indenta"/>
      </w:pPr>
      <w:r>
        <w:tab/>
        <w:t>(h)</w:t>
      </w:r>
      <w:r>
        <w:tab/>
        <w:t>any local law made by the local government in accordance with section 3.12;</w:t>
      </w:r>
    </w:p>
    <w:p>
      <w:pPr>
        <w:pStyle w:val="Indenta"/>
      </w:pPr>
      <w:r>
        <w:tab/>
        <w:t>(i)</w:t>
      </w:r>
      <w:r>
        <w:tab/>
        <w:t>any regulations made by the Governor under section 9.60 that operate as if they were local laws of the local government;</w:t>
      </w:r>
    </w:p>
    <w:p>
      <w:pPr>
        <w:pStyle w:val="Indenta"/>
        <w:keepNext/>
      </w:pPr>
      <w:r>
        <w:tab/>
        <w:t>(j)</w:t>
      </w:r>
      <w:r>
        <w:tab/>
        <w:t>any 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tab/>
        <w:t>(ii)</w:t>
      </w:r>
      <w:r>
        <w:tab/>
        <w:t>would be adopted by a proposed local law of which the local government has given Statewide public notice under section 3.12(3);</w:t>
      </w:r>
    </w:p>
    <w:p>
      <w:pPr>
        <w:pStyle w:val="Indenta"/>
      </w:pPr>
      <w:r>
        <w:tab/>
        <w:t>(k)</w:t>
      </w:r>
      <w:r>
        <w:tab/>
        <w:t xml:space="preserve">any 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any rates record;</w:t>
      </w:r>
    </w:p>
    <w:p>
      <w:pPr>
        <w:pStyle w:val="Indenta"/>
      </w:pPr>
      <w:r>
        <w:tab/>
        <w:t>(n)</w:t>
      </w:r>
      <w:r>
        <w:tab/>
        <w:t xml:space="preserve">any confirmed minutes of council or committee meetings; </w:t>
      </w:r>
    </w:p>
    <w:p>
      <w:pPr>
        <w:pStyle w:val="Indenta"/>
      </w:pPr>
      <w:r>
        <w:tab/>
        <w:t>(o)</w:t>
      </w:r>
      <w:r>
        <w:tab/>
        <w:t>any minutes of electors’ meetings;</w:t>
      </w:r>
    </w:p>
    <w:p>
      <w:pPr>
        <w:pStyle w:val="Indenta"/>
        <w:keepNext/>
        <w:keepLines/>
      </w:pPr>
      <w:r>
        <w:tab/>
        <w:t>(p)</w:t>
      </w:r>
      <w:r>
        <w:tab/>
        <w:t>any 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keepLines/>
      </w:pPr>
      <w:r>
        <w:tab/>
        <w:t>(ii)</w:t>
      </w:r>
      <w:r>
        <w:tab/>
        <w:t xml:space="preserve">produced by the local government or a committee for presentation at a council or committee meeting and which have been presented at the meeting; </w:t>
      </w:r>
    </w:p>
    <w:p>
      <w:pPr>
        <w:pStyle w:val="Indenta"/>
      </w:pPr>
      <w:r>
        <w:tab/>
        <w:t>(q)</w:t>
      </w:r>
      <w:r>
        <w:tab/>
        <w:t>any report of a review of a local law prepared under section 3.16(3);</w:t>
      </w:r>
    </w:p>
    <w:p>
      <w:pPr>
        <w:pStyle w:val="Indenta"/>
      </w:pPr>
      <w:r>
        <w:tab/>
        <w:t>(r)</w:t>
      </w:r>
      <w:r>
        <w:tab/>
        <w:t>any business plan prepared under section 3.59;</w:t>
      </w:r>
    </w:p>
    <w:p>
      <w:pPr>
        <w:pStyle w:val="Indenta"/>
      </w:pPr>
      <w:r>
        <w:tab/>
        <w:t>(s)</w:t>
      </w:r>
      <w:r>
        <w:tab/>
        <w:t>any register of owners and occupiers under section 4.32(6) and electoral rolls;</w:t>
      </w:r>
    </w:p>
    <w:p>
      <w:pPr>
        <w:pStyle w:val="Indenta"/>
      </w:pPr>
      <w:r>
        <w:tab/>
        <w:t>(t)</w:t>
      </w:r>
      <w:r>
        <w:tab/>
        <w:t>any contract under section 5.39 and variation of such contract;</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pPr>
      <w:r>
        <w:tab/>
        <w:t>(ii)</w:t>
      </w:r>
      <w:r>
        <w:tab/>
        <w:t>as may be prescribed.</w:t>
      </w:r>
    </w:p>
    <w:p>
      <w:pPr>
        <w:pStyle w:val="Footnotesection"/>
      </w:pPr>
      <w:r>
        <w:tab/>
        <w:t>[Section 5.94 amended by No. 49 of 2004 s. 42(7); No. 1 of 2007 s. 7.]</w:t>
      </w:r>
    </w:p>
    <w:p>
      <w:pPr>
        <w:pStyle w:val="Heading5"/>
        <w:spacing w:before="180"/>
      </w:pPr>
      <w:bookmarkStart w:id="800" w:name="_Toc462409483"/>
      <w:r>
        <w:rPr>
          <w:rStyle w:val="CharSectno"/>
        </w:rPr>
        <w:t>5.95</w:t>
      </w:r>
      <w:r>
        <w:t>.</w:t>
      </w:r>
      <w:r>
        <w:tab/>
        <w:t>Limits on right to inspect local government information</w:t>
      </w:r>
      <w:bookmarkEnd w:id="800"/>
    </w:p>
    <w:p>
      <w:pPr>
        <w:pStyle w:val="Subsection"/>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tab/>
        <w:t>(b)</w:t>
      </w:r>
      <w:r>
        <w:tab/>
        <w:t>which, in the CEO’s opinion, would divert a substantial and unreasonable portion of the local government’s resources away from its other functions.</w:t>
      </w:r>
    </w:p>
    <w:p>
      <w:pPr>
        <w:pStyle w:val="Subsection"/>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 </w:t>
      </w:r>
    </w:p>
    <w:p>
      <w:pPr>
        <w:pStyle w:val="Indenta"/>
      </w:pPr>
      <w:r>
        <w:tab/>
        <w:t>(a)</w:t>
      </w:r>
      <w:r>
        <w:tab/>
        <w:t xml:space="preserve">was closed to members of the public; or </w:t>
      </w:r>
    </w:p>
    <w:p>
      <w:pPr>
        <w:pStyle w:val="Indenta"/>
      </w:pPr>
      <w:r>
        <w:tab/>
        <w:t>(b)</w:t>
      </w:r>
      <w:r>
        <w:tab/>
        <w:t>in the CEO’s opinion, could have been closed to members of the public but was not closed.</w:t>
      </w:r>
    </w:p>
    <w:p>
      <w:pPr>
        <w:pStyle w:val="Subsection"/>
        <w:spacing w:before="120"/>
      </w:pPr>
      <w:r>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Subsection"/>
      </w:pPr>
      <w:r>
        <w:tab/>
        <w:t>(5)</w:t>
      </w:r>
      <w:r>
        <w:tab/>
        <w:t>A person’s right to inspect information referred to in section 5.94 does not extend to the inspection of information referred to in paragraph (t) of that section if — </w:t>
      </w:r>
    </w:p>
    <w:p>
      <w:pPr>
        <w:pStyle w:val="Indenta"/>
      </w:pPr>
      <w:r>
        <w:tab/>
        <w:t>(a)</w:t>
      </w:r>
      <w:r>
        <w:tab/>
        <w:t>the information relates to a matter other than the salary or the remuneration or benefits payable under the contract; and</w:t>
      </w:r>
    </w:p>
    <w:p>
      <w:pPr>
        <w:pStyle w:val="Indenta"/>
      </w:pPr>
      <w:r>
        <w:tab/>
        <w:t>(b)</w:t>
      </w:r>
      <w:r>
        <w:tab/>
        <w:t>the information is prescribed as being of a private nature.</w:t>
      </w:r>
    </w:p>
    <w:p>
      <w:pPr>
        <w:pStyle w:val="Subsection"/>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keepNext/>
      </w:pPr>
      <w:r>
        <w:tab/>
        <w:t>(b)</w:t>
      </w:r>
      <w:r>
        <w:tab/>
        <w:t>referred to in that section of a type prescribed as confidential for the purposes of this subsection,</w:t>
      </w:r>
    </w:p>
    <w:p>
      <w:pPr>
        <w:pStyle w:val="Subsection"/>
        <w:spacing w:before="180"/>
      </w:pPr>
      <w:r>
        <w:tab/>
      </w:r>
      <w:r>
        <w:tab/>
        <w:t>for the period of time prescribed in relation to the information.</w:t>
      </w:r>
    </w:p>
    <w:p>
      <w:pPr>
        <w:pStyle w:val="Subsection"/>
        <w:spacing w:before="180"/>
      </w:pPr>
      <w:r>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spacing w:before="180"/>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pPr>
        <w:pStyle w:val="Footnotesection"/>
      </w:pPr>
      <w:r>
        <w:tab/>
        <w:t>[Section 5.95 amended by No. 49 of 2004 s. 54.]</w:t>
      </w:r>
    </w:p>
    <w:p>
      <w:pPr>
        <w:pStyle w:val="Heading5"/>
        <w:spacing w:before="180"/>
      </w:pPr>
      <w:bookmarkStart w:id="801" w:name="_Toc462409484"/>
      <w:r>
        <w:rPr>
          <w:rStyle w:val="CharSectno"/>
        </w:rPr>
        <w:t>5.96</w:t>
      </w:r>
      <w:r>
        <w:t>.</w:t>
      </w:r>
      <w:r>
        <w:tab/>
        <w:t>Copies of information to be available</w:t>
      </w:r>
      <w:bookmarkEnd w:id="801"/>
    </w:p>
    <w:p>
      <w:pPr>
        <w:pStyle w:val="Subsection"/>
      </w:pPr>
      <w:r>
        <w:tab/>
      </w:r>
      <w:r>
        <w:tab/>
        <w:t>If a person can inspect certain information under this Division, the person may request a copy of the information and, unless regulations prescribe otherwise, the local government is to ensure that copies are available and that the price at which it sells copies does not exceed the cost of providing the copies.</w:t>
      </w:r>
    </w:p>
    <w:p>
      <w:pPr>
        <w:pStyle w:val="Footnotesection"/>
        <w:spacing w:before="80"/>
        <w:ind w:left="890" w:hanging="890"/>
      </w:pPr>
      <w:r>
        <w:tab/>
        <w:t>[Section 5.96 amended by No. 17 of 2009 s. 31.]</w:t>
      </w:r>
    </w:p>
    <w:p>
      <w:pPr>
        <w:pStyle w:val="Heading5"/>
        <w:spacing w:before="180"/>
      </w:pPr>
      <w:bookmarkStart w:id="802" w:name="_Toc462409485"/>
      <w:r>
        <w:rPr>
          <w:rStyle w:val="CharSectno"/>
        </w:rPr>
        <w:t>5.97</w:t>
      </w:r>
      <w:r>
        <w:t>.</w:t>
      </w:r>
      <w:r>
        <w:tab/>
      </w:r>
      <w:r>
        <w:rPr>
          <w:i/>
        </w:rPr>
        <w:t>Freedom of Information Act 1992</w:t>
      </w:r>
      <w:r>
        <w:t xml:space="preserve"> not affected</w:t>
      </w:r>
      <w:bookmarkEnd w:id="802"/>
    </w:p>
    <w:p>
      <w:pPr>
        <w:pStyle w:val="Subsection"/>
      </w:pPr>
      <w:r>
        <w:tab/>
      </w:r>
      <w:r>
        <w:tab/>
        <w:t xml:space="preserve">Nothing in this Division affects the operation of the </w:t>
      </w:r>
      <w:r>
        <w:rPr>
          <w:i/>
        </w:rPr>
        <w:t>Freedom of Information Act 1992</w:t>
      </w:r>
      <w:r>
        <w:t>.</w:t>
      </w:r>
    </w:p>
    <w:p>
      <w:pPr>
        <w:pStyle w:val="Heading3"/>
        <w:pageBreakBefore/>
        <w:spacing w:before="0"/>
      </w:pPr>
      <w:bookmarkStart w:id="803" w:name="_Toc448219201"/>
      <w:bookmarkStart w:id="804" w:name="_Toc448224423"/>
      <w:bookmarkStart w:id="805" w:name="_Toc451179660"/>
      <w:bookmarkStart w:id="806" w:name="_Toc451430580"/>
      <w:bookmarkStart w:id="807" w:name="_Toc455396530"/>
      <w:bookmarkStart w:id="808" w:name="_Toc455397390"/>
      <w:bookmarkStart w:id="809" w:name="_Toc456086473"/>
      <w:bookmarkStart w:id="810" w:name="_Toc462409486"/>
      <w:r>
        <w:rPr>
          <w:rStyle w:val="CharDivNo"/>
        </w:rPr>
        <w:t>Division 8</w:t>
      </w:r>
      <w:r>
        <w:t> — </w:t>
      </w:r>
      <w:r>
        <w:rPr>
          <w:rStyle w:val="CharDivText"/>
        </w:rPr>
        <w:t>Local government payments and gifts to its members</w:t>
      </w:r>
      <w:bookmarkEnd w:id="803"/>
      <w:bookmarkEnd w:id="804"/>
      <w:bookmarkEnd w:id="805"/>
      <w:bookmarkEnd w:id="806"/>
      <w:bookmarkEnd w:id="807"/>
      <w:bookmarkEnd w:id="808"/>
      <w:bookmarkEnd w:id="809"/>
      <w:bookmarkEnd w:id="810"/>
    </w:p>
    <w:p>
      <w:pPr>
        <w:pStyle w:val="Footnoteheading"/>
      </w:pPr>
      <w:r>
        <w:tab/>
        <w:t>[Heading inserted by No. 17 of 2009 s. 32.]</w:t>
      </w:r>
    </w:p>
    <w:p>
      <w:pPr>
        <w:pStyle w:val="Heading5"/>
        <w:spacing w:before="180"/>
      </w:pPr>
      <w:bookmarkStart w:id="811" w:name="_Toc462409487"/>
      <w:r>
        <w:rPr>
          <w:rStyle w:val="CharSectno"/>
        </w:rPr>
        <w:t>5.98</w:t>
      </w:r>
      <w:r>
        <w:t>.</w:t>
      </w:r>
      <w:r>
        <w:tab/>
        <w:t>Fees etc. for council members</w:t>
      </w:r>
      <w:bookmarkEnd w:id="811"/>
    </w:p>
    <w:p>
      <w:pPr>
        <w:pStyle w:val="Subsection"/>
      </w:pPr>
      <w:r>
        <w:tab/>
        <w:t>(1A)</w:t>
      </w:r>
      <w:r>
        <w:tab/>
        <w:t xml:space="preserve">In this section — </w:t>
      </w:r>
    </w:p>
    <w:p>
      <w:pPr>
        <w:pStyle w:val="Defstart"/>
      </w:pPr>
      <w:r>
        <w:tab/>
      </w:r>
      <w:r>
        <w:rPr>
          <w:rStyle w:val="CharDefText"/>
        </w:rPr>
        <w:t>determined</w:t>
      </w:r>
      <w:r>
        <w:t xml:space="preserve"> means determined by the Salaries and Allowances Tribunal under the </w:t>
      </w:r>
      <w:r>
        <w:rPr>
          <w:i/>
        </w:rPr>
        <w:t xml:space="preserve">Salaries and Allowances Act 1975 </w:t>
      </w:r>
      <w:r>
        <w:t>section 7B.</w:t>
      </w:r>
    </w:p>
    <w:p>
      <w:pPr>
        <w:pStyle w:val="Subsection"/>
        <w:keepNext/>
        <w:keepLines/>
      </w:pPr>
      <w:r>
        <w:tab/>
        <w:t>(1)</w:t>
      </w:r>
      <w:r>
        <w:tab/>
        <w:t>A council member who attends a council or committee meeting is entitled to be paid — </w:t>
      </w:r>
    </w:p>
    <w:p>
      <w:pPr>
        <w:pStyle w:val="Indenta"/>
      </w:pPr>
      <w:r>
        <w:tab/>
        <w:t>(a)</w:t>
      </w:r>
      <w:r>
        <w:tab/>
        <w:t>the fee determined for attending a council or committee meeting; or</w:t>
      </w:r>
    </w:p>
    <w:p>
      <w:pPr>
        <w:pStyle w:val="Indenta"/>
      </w:pPr>
      <w:r>
        <w:tab/>
        <w:t>(b)</w:t>
      </w:r>
      <w:r>
        <w:tab/>
        <w:t>where the local government has set a fee within the range determined for council or committee meeting attendance fees, that fee.</w:t>
      </w:r>
    </w:p>
    <w:p>
      <w:pPr>
        <w:pStyle w:val="Subsection"/>
        <w:keepNext/>
        <w:spacing w:before="120"/>
      </w:pPr>
      <w:r>
        <w:tab/>
        <w:t>(2A)</w:t>
      </w:r>
      <w:r>
        <w:tab/>
        <w:t xml:space="preserve">A council member who attends a meeting of a prescribed type at the request of the council is entitled to be paid — </w:t>
      </w:r>
    </w:p>
    <w:p>
      <w:pPr>
        <w:pStyle w:val="Indenta"/>
      </w:pPr>
      <w:r>
        <w:tab/>
        <w:t>(a)</w:t>
      </w:r>
      <w:r>
        <w:tab/>
        <w:t>the fee determined for attending a meeting of that type; or</w:t>
      </w:r>
    </w:p>
    <w:p>
      <w:pPr>
        <w:pStyle w:val="Indenta"/>
      </w:pPr>
      <w:r>
        <w:tab/>
        <w:t>(b)</w:t>
      </w:r>
      <w:r>
        <w:tab/>
        <w:t>where the local government has set a fee within the range determined for meetings of that type, that fee.</w:t>
      </w:r>
    </w:p>
    <w:p>
      <w:pPr>
        <w:pStyle w:val="Subsection"/>
      </w:pPr>
      <w:r>
        <w:tab/>
        <w:t>(2)</w:t>
      </w:r>
      <w:r>
        <w:tab/>
        <w:t>A council member who incurs an expense of a kind prescribed as being an expense — </w:t>
      </w:r>
    </w:p>
    <w:p>
      <w:pPr>
        <w:pStyle w:val="Indenta"/>
      </w:pPr>
      <w:r>
        <w:tab/>
        <w:t>(a)</w:t>
      </w:r>
      <w:r>
        <w:tab/>
        <w:t xml:space="preserve">to be reimbursed by all local governments; or </w:t>
      </w:r>
    </w:p>
    <w:p>
      <w:pPr>
        <w:pStyle w:val="Indenta"/>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pPr>
      <w:r>
        <w:tab/>
        <w:t>(3)</w:t>
      </w:r>
      <w:r>
        <w:tab/>
        <w:t>A council member to whom subsection (2) applies is to be reimbursed for the expense — </w:t>
      </w:r>
    </w:p>
    <w:p>
      <w:pPr>
        <w:pStyle w:val="Indenta"/>
      </w:pPr>
      <w:r>
        <w:tab/>
        <w:t>(a)</w:t>
      </w:r>
      <w:r>
        <w:tab/>
        <w:t>where the extent of reimbursement for the expense has been determined, to that extent; or</w:t>
      </w:r>
    </w:p>
    <w:p>
      <w:pPr>
        <w:pStyle w:val="Indenta"/>
      </w:pPr>
      <w:r>
        <w:tab/>
        <w:t>(b)</w:t>
      </w:r>
      <w:r>
        <w:tab/>
        <w:t>where the local government has set the extent to which the expense can be reimbursed and that extent is within the range determined for reimbursement, to that extent.</w:t>
      </w:r>
    </w:p>
    <w:p>
      <w:pPr>
        <w:pStyle w:val="Subsection"/>
        <w:spacing w:before="120"/>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spacing w:before="120"/>
      </w:pPr>
      <w:r>
        <w:tab/>
        <w:t>(5)</w:t>
      </w:r>
      <w:r>
        <w:tab/>
        <w:t>The mayor or president of a local government is entitled, in addition to any entitlement that he or she has under subsection (1) or (2), to be paid — </w:t>
      </w:r>
    </w:p>
    <w:p>
      <w:pPr>
        <w:pStyle w:val="Indenta"/>
      </w:pPr>
      <w:r>
        <w:tab/>
        <w:t>(a)</w:t>
      </w:r>
      <w:r>
        <w:tab/>
        <w:t>the annual local government allowance determined for mayors or presidents; or</w:t>
      </w:r>
    </w:p>
    <w:p>
      <w:pPr>
        <w:pStyle w:val="Indenta"/>
      </w:pPr>
      <w:r>
        <w:tab/>
        <w:t>(b)</w:t>
      </w:r>
      <w:r>
        <w:tab/>
        <w:t>where the local government has set an annual local government allowance within the range determined for annual local government allowances for mayors or presidents, that allowance.</w:t>
      </w:r>
    </w:p>
    <w:p>
      <w:pPr>
        <w:pStyle w:val="Subsection"/>
      </w:pPr>
      <w:r>
        <w:tab/>
        <w:t>(6)</w:t>
      </w:r>
      <w:r>
        <w:tab/>
        <w:t>A local government cannot — </w:t>
      </w:r>
    </w:p>
    <w:p>
      <w:pPr>
        <w:pStyle w:val="Indenta"/>
      </w:pPr>
      <w:r>
        <w:tab/>
        <w:t>(a)</w:t>
      </w:r>
      <w:r>
        <w:tab/>
        <w:t>make any payment to; or</w:t>
      </w:r>
    </w:p>
    <w:p>
      <w:pPr>
        <w:pStyle w:val="Indenta"/>
      </w:pPr>
      <w:r>
        <w:tab/>
        <w:t>(b)</w:t>
      </w:r>
      <w:r>
        <w:tab/>
        <w:t>reimburse an expense of,</w:t>
      </w:r>
    </w:p>
    <w:p>
      <w:pPr>
        <w:pStyle w:val="Subsection"/>
      </w:pPr>
      <w:r>
        <w:tab/>
      </w:r>
      <w:r>
        <w:tab/>
        <w:t>a person who is a council member or a mayor or president in that person’s capacity as council member, mayor or president unless the payment or reimbursement is in accordance with this Division.</w:t>
      </w:r>
    </w:p>
    <w:p>
      <w:pPr>
        <w:pStyle w:val="Subsection"/>
        <w:keepNext/>
      </w:pPr>
      <w:r>
        <w:tab/>
        <w:t>(7)</w:t>
      </w:r>
      <w:r>
        <w:tab/>
        <w:t xml:space="preserve">A reference in this section to a </w:t>
      </w:r>
      <w:r>
        <w:rPr>
          <w:rStyle w:val="CharDefText"/>
        </w:rPr>
        <w:t>committee meeting</w:t>
      </w:r>
      <w:r>
        <w:t xml:space="preserve"> is a reference to a meeting of a committee comprising — </w:t>
      </w:r>
    </w:p>
    <w:p>
      <w:pPr>
        <w:pStyle w:val="Indenta"/>
      </w:pPr>
      <w:r>
        <w:tab/>
        <w:t>(a)</w:t>
      </w:r>
      <w:r>
        <w:tab/>
        <w:t>council members only; or</w:t>
      </w:r>
    </w:p>
    <w:p>
      <w:pPr>
        <w:pStyle w:val="Indenta"/>
      </w:pPr>
      <w:r>
        <w:tab/>
        <w:t>(b)</w:t>
      </w:r>
      <w:r>
        <w:tab/>
        <w:t>council members and employees.</w:t>
      </w:r>
    </w:p>
    <w:p>
      <w:pPr>
        <w:pStyle w:val="Footnotesection"/>
      </w:pPr>
      <w:r>
        <w:tab/>
        <w:t>[Section 5.98 amended by No. 64 of 1998 s. 36; No. 17 of 2009 s. 33; No. 2 of 2012 s. 14.]</w:t>
      </w:r>
    </w:p>
    <w:p>
      <w:pPr>
        <w:pStyle w:val="Heading5"/>
        <w:spacing w:before="180"/>
      </w:pPr>
      <w:bookmarkStart w:id="812" w:name="_Toc462409488"/>
      <w:r>
        <w:rPr>
          <w:rStyle w:val="CharSectno"/>
        </w:rPr>
        <w:t>5.98A</w:t>
      </w:r>
      <w:r>
        <w:t>.</w:t>
      </w:r>
      <w:r>
        <w:tab/>
        <w:t>Allowance for deputy mayor or deputy president</w:t>
      </w:r>
      <w:bookmarkEnd w:id="812"/>
    </w:p>
    <w:p>
      <w:pPr>
        <w:pStyle w:val="Subsection"/>
      </w:pPr>
      <w:r>
        <w:tab/>
        <w:t>(1)</w:t>
      </w:r>
      <w:r>
        <w:tab/>
        <w:t xml:space="preserve">A local government may decide* to pay the deputy mayor or deputy president of the local government an allowance of up to the percentage that is determined by the Salaries and Allowances Tribunal under the </w:t>
      </w:r>
      <w:r>
        <w:rPr>
          <w:i/>
        </w:rPr>
        <w:t xml:space="preserve">Salaries and Allowances Act 1975 </w:t>
      </w:r>
      <w:r>
        <w:t>section 7B of the annual local government allowance to which the mayor or president is entitled under section 5.98(5).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(2)</w:t>
      </w:r>
      <w:r>
        <w:tab/>
        <w:t>An allowance under subsection (1) is to be paid in addition to any amount to which the deputy mayor or deputy president is entitled under section 5.98.</w:t>
      </w:r>
    </w:p>
    <w:p>
      <w:pPr>
        <w:pStyle w:val="Footnotesection"/>
      </w:pPr>
      <w:r>
        <w:tab/>
        <w:t>[Section 5.98A inserted by No. 64 of 1998 s. 37; amended by No. 2 of 2012 s. 15.]</w:t>
      </w:r>
    </w:p>
    <w:p>
      <w:pPr>
        <w:pStyle w:val="Heading5"/>
        <w:spacing w:before="180"/>
      </w:pPr>
      <w:bookmarkStart w:id="813" w:name="_Toc462409489"/>
      <w:r>
        <w:rPr>
          <w:rStyle w:val="CharSectno"/>
        </w:rPr>
        <w:t>5.99</w:t>
      </w:r>
      <w:r>
        <w:t>.</w:t>
      </w:r>
      <w:r>
        <w:tab/>
        <w:t>Annual fee for council members in lieu of fees for attending meetings</w:t>
      </w:r>
      <w:bookmarkEnd w:id="813"/>
    </w:p>
    <w:p>
      <w:pPr>
        <w:pStyle w:val="Subsection"/>
        <w:spacing w:before="120"/>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 xml:space="preserve">the annual fee determined by the Salaries and Allowances Tribunal under the </w:t>
      </w:r>
      <w:r>
        <w:rPr>
          <w:i/>
        </w:rPr>
        <w:t xml:space="preserve">Salaries and Allowances Act 1975 </w:t>
      </w:r>
      <w:r>
        <w:t>section 7B; or</w:t>
      </w:r>
    </w:p>
    <w:p>
      <w:pPr>
        <w:pStyle w:val="Indenta"/>
      </w:pPr>
      <w:r>
        <w:tab/>
        <w:t>(b)</w:t>
      </w:r>
      <w:r>
        <w:tab/>
        <w:t>where the local government has set a fee within the range for annual fees determined by that Tribunal under that</w:t>
      </w:r>
      <w:r>
        <w:rPr>
          <w:i/>
        </w:rPr>
        <w:t xml:space="preserve"> </w:t>
      </w:r>
      <w:r>
        <w:t>section, that fee.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pPr>
      <w:r>
        <w:tab/>
        <w:t>[Section 5.99 amended by No. 2 of 2012 s. 16.]</w:t>
      </w:r>
    </w:p>
    <w:p>
      <w:pPr>
        <w:pStyle w:val="Heading5"/>
        <w:spacing w:before="180"/>
      </w:pPr>
      <w:bookmarkStart w:id="814" w:name="_Toc462409490"/>
      <w:r>
        <w:rPr>
          <w:rStyle w:val="CharSectno"/>
        </w:rPr>
        <w:t>5.99A</w:t>
      </w:r>
      <w:r>
        <w:t>.</w:t>
      </w:r>
      <w:r>
        <w:tab/>
        <w:t>Allowances for council members in lieu of reimbursement of expenses</w:t>
      </w:r>
      <w:bookmarkEnd w:id="814"/>
    </w:p>
    <w:p>
      <w:pPr>
        <w:pStyle w:val="Subsection"/>
      </w:pPr>
      <w:r>
        <w:tab/>
      </w:r>
      <w:r>
        <w:tab/>
        <w:t>A local government may decide* that instead of reimbursing council members under section 5.98(2) for all of a particular type of expense it will instead pay all council members —</w:t>
      </w:r>
    </w:p>
    <w:p>
      <w:pPr>
        <w:pStyle w:val="Indenta"/>
      </w:pPr>
      <w:r>
        <w:tab/>
        <w:t>(a)</w:t>
      </w:r>
      <w:r>
        <w:tab/>
        <w:t xml:space="preserve">the annual allowance determined by the Salaries and Allowances Tribunal under the </w:t>
      </w:r>
      <w:r>
        <w:rPr>
          <w:i/>
        </w:rPr>
        <w:t xml:space="preserve">Salaries and Allowances Act 1975 </w:t>
      </w:r>
      <w:r>
        <w:t>section 7B for that type of expense; or</w:t>
      </w:r>
    </w:p>
    <w:p>
      <w:pPr>
        <w:pStyle w:val="Indenta"/>
      </w:pPr>
      <w:r>
        <w:tab/>
        <w:t>(b)</w:t>
      </w:r>
      <w:r>
        <w:tab/>
        <w:t xml:space="preserve">where the local government has set an allowance within the range determined by the Salaries and Allowances Tribunal under the </w:t>
      </w:r>
      <w:r>
        <w:rPr>
          <w:i/>
        </w:rPr>
        <w:t xml:space="preserve">Salaries and Allowances Act 1975 </w:t>
      </w:r>
      <w:r>
        <w:t>section 7B for annual allowances for that type of expense, an allowance of that amount,</w:t>
      </w:r>
    </w:p>
    <w:p>
      <w:pPr>
        <w:pStyle w:val="Subsection"/>
      </w:pPr>
      <w:r>
        <w:tab/>
      </w:r>
      <w:r>
        <w:tab/>
        <w:t>and only reimburse the member for expenses of that type in excess of the amount of the allowance.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pPr>
      <w:r>
        <w:tab/>
        <w:t>[Section 5.99A inserted by No. 64 of 1998 s. 38; amended by No. 2 of 2012 s. 17.]</w:t>
      </w:r>
    </w:p>
    <w:p>
      <w:pPr>
        <w:pStyle w:val="Heading5"/>
        <w:spacing w:before="180"/>
      </w:pPr>
      <w:bookmarkStart w:id="815" w:name="_Toc462409491"/>
      <w:r>
        <w:rPr>
          <w:rStyle w:val="CharSectno"/>
        </w:rPr>
        <w:t>5.100A</w:t>
      </w:r>
      <w:r>
        <w:t>.</w:t>
      </w:r>
      <w:r>
        <w:tab/>
        <w:t>Gifts to council members</w:t>
      </w:r>
      <w:bookmarkEnd w:id="815"/>
    </w:p>
    <w:p>
      <w:pPr>
        <w:pStyle w:val="Subsection"/>
        <w:spacing w:before="120"/>
      </w:pPr>
      <w:r>
        <w:tab/>
      </w:r>
      <w:r>
        <w:tab/>
        <w:t xml:space="preserve">A local government cannot give a gift to a council member unless — </w:t>
      </w:r>
    </w:p>
    <w:p>
      <w:pPr>
        <w:pStyle w:val="Indenta"/>
      </w:pPr>
      <w:r>
        <w:tab/>
        <w:t>(a)</w:t>
      </w:r>
      <w:r>
        <w:tab/>
        <w:t>the gift is given in prescribed circumstances; and</w:t>
      </w:r>
    </w:p>
    <w:p>
      <w:pPr>
        <w:pStyle w:val="Indenta"/>
      </w:pPr>
      <w:r>
        <w:tab/>
        <w:t>(b)</w:t>
      </w:r>
      <w:r>
        <w:tab/>
        <w:t>the value of the gift is less than a prescribed amount.</w:t>
      </w:r>
    </w:p>
    <w:p>
      <w:pPr>
        <w:pStyle w:val="Footnotesection"/>
      </w:pPr>
      <w:r>
        <w:tab/>
        <w:t>[Section 5.100A inserted by No. 17 of 2009 s. 34.]</w:t>
      </w:r>
    </w:p>
    <w:p>
      <w:pPr>
        <w:pStyle w:val="Heading5"/>
        <w:keepLines w:val="0"/>
        <w:spacing w:before="180"/>
      </w:pPr>
      <w:bookmarkStart w:id="816" w:name="_Toc462409492"/>
      <w:r>
        <w:rPr>
          <w:rStyle w:val="CharSectno"/>
        </w:rPr>
        <w:t>5.100</w:t>
      </w:r>
      <w:r>
        <w:t>.</w:t>
      </w:r>
      <w:r>
        <w:tab/>
        <w:t>Payments for certain committee members</w:t>
      </w:r>
      <w:bookmarkEnd w:id="816"/>
    </w:p>
    <w:p>
      <w:pPr>
        <w:pStyle w:val="Subsection"/>
        <w:spacing w:before="120"/>
      </w:pPr>
      <w:r>
        <w:tab/>
        <w:t>(1)</w:t>
      </w:r>
      <w:r>
        <w:tab/>
        <w:t>A person who is a committee member but who is not a council member or an employee is not to be paid a fee for attending any committee meeting.</w:t>
      </w:r>
    </w:p>
    <w:p>
      <w:pPr>
        <w:pStyle w:val="Subsection"/>
        <w:spacing w:before="120"/>
      </w:pPr>
      <w:r>
        <w:tab/>
        <w:t>(2)</w:t>
      </w:r>
      <w:r>
        <w:tab/>
        <w:t>Where — </w:t>
      </w:r>
    </w:p>
    <w:p>
      <w:pPr>
        <w:pStyle w:val="Indenta"/>
      </w:pPr>
      <w:r>
        <w:tab/>
        <w:t>(a)</w:t>
      </w:r>
      <w:r>
        <w:tab/>
        <w:t>a local government decides that any person who is a committee member but who is not a council member or an employee is to be reimbursed by the local government for an expense incurred by the person in relation to a matter affecting the local government; and</w:t>
      </w:r>
    </w:p>
    <w:p>
      <w:pPr>
        <w:pStyle w:val="Indenta"/>
        <w:keepNext/>
        <w:keepLines/>
      </w:pPr>
      <w:r>
        <w:tab/>
        <w:t>(b)</w:t>
      </w:r>
      <w:r>
        <w:tab/>
        <w:t xml:space="preserve">a maximum amount for reimbursement of expenses has been determined for the purposes of section 5.98(3)(b), </w:t>
      </w:r>
    </w:p>
    <w:p>
      <w:pPr>
        <w:pStyle w:val="Subsection"/>
      </w:pPr>
      <w:r>
        <w:tab/>
      </w:r>
      <w:r>
        <w:tab/>
        <w:t>the local government must ensure that the amount reimbursed to that person does not exceed that maximum.</w:t>
      </w:r>
    </w:p>
    <w:p>
      <w:pPr>
        <w:pStyle w:val="Footnotesection"/>
      </w:pPr>
      <w:r>
        <w:tab/>
        <w:t>[Section 5.100 amended by No. 2 of 2012 s. 18.]</w:t>
      </w:r>
    </w:p>
    <w:p>
      <w:pPr>
        <w:pStyle w:val="Heading5"/>
      </w:pPr>
      <w:bookmarkStart w:id="817" w:name="_Toc462409493"/>
      <w:r>
        <w:rPr>
          <w:rStyle w:val="CharSectno"/>
        </w:rPr>
        <w:t>5.101</w:t>
      </w:r>
      <w:r>
        <w:t>.</w:t>
      </w:r>
      <w:r>
        <w:tab/>
        <w:t>Payments for employee committee members</w:t>
      </w:r>
      <w:bookmarkEnd w:id="817"/>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818" w:name="_Toc462409494"/>
      <w:r>
        <w:rPr>
          <w:rStyle w:val="CharSectno"/>
        </w:rPr>
        <w:t>5.101A</w:t>
      </w:r>
      <w:r>
        <w:t>.</w:t>
      </w:r>
      <w:r>
        <w:tab/>
        <w:t>Regulations about payment of expenses</w:t>
      </w:r>
      <w:bookmarkEnd w:id="818"/>
    </w:p>
    <w:p>
      <w:pPr>
        <w:pStyle w:val="Subsection"/>
      </w:pPr>
      <w:r>
        <w:tab/>
      </w:r>
      <w:r>
        <w:tab/>
        <w:t>Regulations may be made about the method of payment of an expense for which a person can be reimbursed.</w:t>
      </w:r>
    </w:p>
    <w:p>
      <w:pPr>
        <w:pStyle w:val="Footnotesection"/>
      </w:pPr>
      <w:r>
        <w:tab/>
        <w:t>[Section 5.101A inserted by No. 17 of 2009 s. 35.]</w:t>
      </w:r>
    </w:p>
    <w:p>
      <w:pPr>
        <w:pStyle w:val="Heading5"/>
        <w:spacing w:before="180"/>
      </w:pPr>
      <w:bookmarkStart w:id="819" w:name="_Toc462409495"/>
      <w:r>
        <w:rPr>
          <w:rStyle w:val="CharSectno"/>
        </w:rPr>
        <w:t>5.102</w:t>
      </w:r>
      <w:r>
        <w:t>.</w:t>
      </w:r>
      <w:r>
        <w:tab/>
        <w:t>Expense may be funded before actually incurred</w:t>
      </w:r>
      <w:bookmarkEnd w:id="819"/>
    </w:p>
    <w:p>
      <w:pPr>
        <w:pStyle w:val="Subsection"/>
      </w:pPr>
      <w:r>
        <w:tab/>
      </w:r>
      <w:r>
        <w:tab/>
        <w:t>Nothing in this Division prevents a local government from making a cash advance to a person in respect of an expense for which the person can be reimbursed.</w:t>
      </w:r>
    </w:p>
    <w:p>
      <w:pPr>
        <w:pStyle w:val="Heading3"/>
      </w:pPr>
      <w:bookmarkStart w:id="820" w:name="_Toc448219211"/>
      <w:bookmarkStart w:id="821" w:name="_Toc448224433"/>
      <w:bookmarkStart w:id="822" w:name="_Toc451179670"/>
      <w:bookmarkStart w:id="823" w:name="_Toc451430590"/>
      <w:bookmarkStart w:id="824" w:name="_Toc455396540"/>
      <w:bookmarkStart w:id="825" w:name="_Toc455397400"/>
      <w:bookmarkStart w:id="826" w:name="_Toc456086483"/>
      <w:bookmarkStart w:id="827" w:name="_Toc462409496"/>
      <w:r>
        <w:rPr>
          <w:rStyle w:val="CharDivNo"/>
        </w:rPr>
        <w:t>Division 9</w:t>
      </w:r>
      <w:r>
        <w:t> — </w:t>
      </w:r>
      <w:r>
        <w:rPr>
          <w:rStyle w:val="CharDivText"/>
        </w:rPr>
        <w:t>Conduct of certain officials</w:t>
      </w:r>
      <w:bookmarkEnd w:id="820"/>
      <w:bookmarkEnd w:id="821"/>
      <w:bookmarkEnd w:id="822"/>
      <w:bookmarkEnd w:id="823"/>
      <w:bookmarkEnd w:id="824"/>
      <w:bookmarkEnd w:id="825"/>
      <w:bookmarkEnd w:id="826"/>
      <w:bookmarkEnd w:id="827"/>
    </w:p>
    <w:p>
      <w:pPr>
        <w:pStyle w:val="Footnoteheading"/>
      </w:pPr>
      <w:r>
        <w:tab/>
        <w:t>[Heading inserted by No. 1 of 2007 s. 8.]</w:t>
      </w:r>
    </w:p>
    <w:p>
      <w:pPr>
        <w:pStyle w:val="Heading5"/>
        <w:spacing w:before="180"/>
      </w:pPr>
      <w:bookmarkStart w:id="828" w:name="_Toc462409497"/>
      <w:r>
        <w:rPr>
          <w:rStyle w:val="CharSectno"/>
        </w:rPr>
        <w:t>5.102A</w:t>
      </w:r>
      <w:r>
        <w:t>.</w:t>
      </w:r>
      <w:r>
        <w:tab/>
        <w:t>Terms used</w:t>
      </w:r>
      <w:bookmarkEnd w:id="828"/>
    </w:p>
    <w:p>
      <w:pPr>
        <w:pStyle w:val="Subsection"/>
      </w:pPr>
      <w:r>
        <w:tab/>
      </w:r>
      <w:r>
        <w:tab/>
        <w:t xml:space="preserve">In this Division — </w:t>
      </w:r>
    </w:p>
    <w:p>
      <w:pPr>
        <w:pStyle w:val="Defstart"/>
      </w:pPr>
      <w:r>
        <w:rPr>
          <w:b/>
        </w:rPr>
        <w:tab/>
      </w:r>
      <w:r>
        <w:rPr>
          <w:rStyle w:val="CharDefText"/>
        </w:rPr>
        <w:t>breach</w:t>
      </w:r>
      <w:r>
        <w:t xml:space="preserve"> means a minor breach or a serious breach;</w:t>
      </w:r>
    </w:p>
    <w:p>
      <w:pPr>
        <w:pStyle w:val="Defstart"/>
      </w:pPr>
      <w:r>
        <w:rPr>
          <w:b/>
        </w:rPr>
        <w:tab/>
      </w:r>
      <w:r>
        <w:rPr>
          <w:rStyle w:val="CharDefText"/>
        </w:rPr>
        <w:t>complaints officer</w:t>
      </w:r>
      <w:r>
        <w:t xml:space="preserve"> means the person who is the complaints officer under section 5.120 for the local government concerned;</w:t>
      </w:r>
    </w:p>
    <w:p>
      <w:pPr>
        <w:pStyle w:val="Defstart"/>
      </w:pPr>
      <w:r>
        <w:rPr>
          <w:b/>
        </w:rPr>
        <w:tab/>
      </w:r>
      <w:r>
        <w:rPr>
          <w:rStyle w:val="CharDefText"/>
        </w:rPr>
        <w:t>minor breach</w:t>
      </w:r>
      <w:r>
        <w:t xml:space="preserve"> has the meaning given in section 5.105(1), and it includes a recurrent breach;</w:t>
      </w:r>
    </w:p>
    <w:p>
      <w:pPr>
        <w:pStyle w:val="Defstart"/>
      </w:pPr>
      <w:r>
        <w:rPr>
          <w:b/>
        </w:rPr>
        <w:tab/>
      </w:r>
      <w:r>
        <w:rPr>
          <w:rStyle w:val="CharDefText"/>
        </w:rPr>
        <w:t>party</w:t>
      </w:r>
      <w:r>
        <w:t>, when used in connection with a complaint, means —</w:t>
      </w:r>
    </w:p>
    <w:p>
      <w:pPr>
        <w:pStyle w:val="Defpara"/>
      </w:pPr>
      <w:r>
        <w:tab/>
        <w:t>(a)</w:t>
      </w:r>
      <w:r>
        <w:tab/>
        <w:t>the person who made the complaint; or</w:t>
      </w:r>
    </w:p>
    <w:p>
      <w:pPr>
        <w:pStyle w:val="Defpara"/>
      </w:pPr>
      <w:r>
        <w:tab/>
        <w:t>(b)</w:t>
      </w:r>
      <w:r>
        <w:tab/>
        <w:t>the person against whom the complaint was made;</w:t>
      </w:r>
    </w:p>
    <w:p>
      <w:pPr>
        <w:pStyle w:val="Defstart"/>
      </w:pPr>
      <w:r>
        <w:rPr>
          <w:b/>
        </w:rPr>
        <w:tab/>
      </w:r>
      <w:r>
        <w:rPr>
          <w:rStyle w:val="CharDefText"/>
        </w:rPr>
        <w:t>primary standards panel</w:t>
      </w:r>
      <w:r>
        <w:t xml:space="preserve"> means the standards panel established under section 5.122(1);</w:t>
      </w:r>
    </w:p>
    <w:p>
      <w:pPr>
        <w:pStyle w:val="Defstart"/>
      </w:pPr>
      <w:r>
        <w:rPr>
          <w:b/>
        </w:rPr>
        <w:tab/>
      </w:r>
      <w:r>
        <w:rPr>
          <w:rStyle w:val="CharDefText"/>
        </w:rPr>
        <w:t>recurrent breach</w:t>
      </w:r>
      <w:r>
        <w:t xml:space="preserve"> has the meaning given in section 5.105(2);</w:t>
      </w:r>
    </w:p>
    <w:p>
      <w:pPr>
        <w:pStyle w:val="Defstart"/>
      </w:pPr>
      <w:r>
        <w:rPr>
          <w:b/>
        </w:rPr>
        <w:tab/>
      </w:r>
      <w:r>
        <w:rPr>
          <w:rStyle w:val="CharDefText"/>
        </w:rPr>
        <w:t>rules of conduct</w:t>
      </w:r>
      <w:r>
        <w:t xml:space="preserve"> means rules of conduct for council members referred to in section 5.104(1);</w:t>
      </w:r>
    </w:p>
    <w:p>
      <w:pPr>
        <w:pStyle w:val="Defstart"/>
      </w:pPr>
      <w:r>
        <w:rPr>
          <w:b/>
        </w:rPr>
        <w:tab/>
      </w:r>
      <w:r>
        <w:rPr>
          <w:rStyle w:val="CharDefText"/>
        </w:rPr>
        <w:t>serious breach</w:t>
      </w:r>
      <w:r>
        <w:t xml:space="preserve"> has the meaning given in section 5.105(3);</w:t>
      </w:r>
    </w:p>
    <w:p>
      <w:pPr>
        <w:pStyle w:val="Defstart"/>
      </w:pPr>
      <w:r>
        <w:rPr>
          <w:b/>
        </w:rPr>
        <w:tab/>
      </w:r>
      <w:r>
        <w:rPr>
          <w:rStyle w:val="CharDefText"/>
        </w:rPr>
        <w:t>standards panel</w:t>
      </w:r>
      <w:r>
        <w:t xml:space="preserve"> means a standards panel established under section 5.122(1) or (2).</w:t>
      </w:r>
    </w:p>
    <w:p>
      <w:pPr>
        <w:pStyle w:val="Footnotesection"/>
      </w:pPr>
      <w:r>
        <w:tab/>
        <w:t>[Section 5.102A inserted by No. 1 of 2007 s. 9.]</w:t>
      </w:r>
    </w:p>
    <w:p>
      <w:pPr>
        <w:pStyle w:val="Heading5"/>
      </w:pPr>
      <w:bookmarkStart w:id="829" w:name="_Toc462409498"/>
      <w:r>
        <w:rPr>
          <w:rStyle w:val="CharSectno"/>
        </w:rPr>
        <w:t>5.103</w:t>
      </w:r>
      <w:r>
        <w:t>.</w:t>
      </w:r>
      <w:r>
        <w:tab/>
        <w:t>Codes of conduct</w:t>
      </w:r>
      <w:bookmarkEnd w:id="829"/>
    </w:p>
    <w:p>
      <w:pPr>
        <w:pStyle w:val="Subsection"/>
      </w:pPr>
      <w:r>
        <w:tab/>
        <w:t>(1)</w:t>
      </w:r>
      <w:r>
        <w:tab/>
        <w:t xml:space="preserve">Every local government is to prepare or adopt a code of conduct to be observed by council members, committee members and employees. </w:t>
      </w:r>
    </w:p>
    <w:p>
      <w:pPr>
        <w:pStyle w:val="Ednotesubsection"/>
      </w:pPr>
      <w:r>
        <w:tab/>
        <w:t>[(2)</w:t>
      </w:r>
      <w:r>
        <w:tab/>
        <w:t>deleted]</w:t>
      </w:r>
    </w:p>
    <w:p>
      <w:pPr>
        <w:pStyle w:val="Subsection"/>
      </w:pPr>
      <w:r>
        <w:tab/>
        <w:t>(3)</w:t>
      </w:r>
      <w:r>
        <w:tab/>
        <w:t>Regulations may prescribe codes of conduct or the content of, and matters in relation to, codes of conduct and any code of conduct or provision of a code of conduct applying to a local government under subsection (1) is of effect only to the extent to which it is not inconsistent with regulations.</w:t>
      </w:r>
    </w:p>
    <w:p>
      <w:pPr>
        <w:pStyle w:val="Footnotesection"/>
      </w:pPr>
      <w:r>
        <w:tab/>
        <w:t>[Section 5.103 amended by No. 49 of 2004 s. 55; No. 1 of 2007 s. 10.]</w:t>
      </w:r>
    </w:p>
    <w:p>
      <w:pPr>
        <w:pStyle w:val="Heading5"/>
      </w:pPr>
      <w:bookmarkStart w:id="830" w:name="_Toc462409499"/>
      <w:r>
        <w:rPr>
          <w:rStyle w:val="CharSectno"/>
        </w:rPr>
        <w:t>5.104</w:t>
      </w:r>
      <w:r>
        <w:t>.</w:t>
      </w:r>
      <w:r>
        <w:tab/>
        <w:t>Other regulations about conduct of council members</w:t>
      </w:r>
      <w:bookmarkEnd w:id="830"/>
    </w:p>
    <w:p>
      <w:pPr>
        <w:pStyle w:val="Subsection"/>
      </w:pPr>
      <w:r>
        <w:tab/>
        <w:t>(1)</w:t>
      </w:r>
      <w:r>
        <w:tab/>
        <w:t>Regulations may prescribe rules, to be known as the rules of conduct for council members, that council members are required to observe.</w:t>
      </w:r>
    </w:p>
    <w:p>
      <w:pPr>
        <w:pStyle w:val="Subsection"/>
      </w:pPr>
      <w:r>
        <w:tab/>
        <w:t>(2)</w:t>
      </w:r>
      <w:r>
        <w:tab/>
        <w:t>The rules of conduct for council members apply, to the extent stated in the regulations, to a council member when acting as a committee member.</w:t>
      </w:r>
    </w:p>
    <w:p>
      <w:pPr>
        <w:pStyle w:val="Subsection"/>
      </w:pPr>
      <w:r>
        <w:tab/>
        <w:t>(3)</w:t>
      </w:r>
      <w:r>
        <w:tab/>
        <w:t>The rules of conduct may contain provisions dealing with any aspect of the conduct of council members whether or not it is otherwise dealt with in this Act.</w:t>
      </w:r>
    </w:p>
    <w:p>
      <w:pPr>
        <w:pStyle w:val="Subsection"/>
      </w:pPr>
      <w:r>
        <w:tab/>
        <w:t>(4)</w:t>
      </w:r>
      <w:r>
        <w:tab/>
        <w:t>Regulations cannot prescribe a rule of conduct if contravention of the rule would, in addition to being a minor breach under section 5.105(1)(a), also be a serious breach under section 5.105(3).</w:t>
      </w:r>
    </w:p>
    <w:p>
      <w:pPr>
        <w:pStyle w:val="Subsection"/>
      </w:pPr>
      <w:r>
        <w:tab/>
        <w:t>(5)</w:t>
      </w:r>
      <w:r>
        <w:tab/>
        <w:t>Regulations cannot specify that contravention of a local law under this Act is a minor breach if contravention of the local law would, in addition to being a minor breach under section 5.105(1)(b), also be a serious breach under section 5.105(3).</w:t>
      </w:r>
    </w:p>
    <w:p>
      <w:pPr>
        <w:pStyle w:val="Subsection"/>
      </w:pPr>
      <w:r>
        <w:tab/>
        <w:t>(6)</w:t>
      </w:r>
      <w:r>
        <w:tab/>
        <w:t>The rules of conduct do not limit what a code of conduct under section 5.103 may contain.</w:t>
      </w:r>
    </w:p>
    <w:p>
      <w:pPr>
        <w:pStyle w:val="Subsection"/>
      </w:pPr>
      <w:r>
        <w:tab/>
        <w:t>(7)</w:t>
      </w:r>
      <w:r>
        <w:tab/>
        <w:t>The regulations may, in addition to rules of conduct, prescribe general principles to guide the behaviour of council members.</w:t>
      </w:r>
    </w:p>
    <w:p>
      <w:pPr>
        <w:pStyle w:val="Footnotesection"/>
      </w:pPr>
      <w:r>
        <w:tab/>
        <w:t>[Section 5.104 inserted by No. 1 of 2007 s. 11.]</w:t>
      </w:r>
    </w:p>
    <w:p>
      <w:pPr>
        <w:pStyle w:val="Heading5"/>
        <w:keepNext w:val="0"/>
        <w:keepLines w:val="0"/>
        <w:spacing w:before="180"/>
      </w:pPr>
      <w:bookmarkStart w:id="831" w:name="_Toc462409500"/>
      <w:r>
        <w:rPr>
          <w:rStyle w:val="CharSectno"/>
        </w:rPr>
        <w:t>5.105</w:t>
      </w:r>
      <w:r>
        <w:t>.</w:t>
      </w:r>
      <w:r>
        <w:tab/>
        <w:t>Breaches by council members</w:t>
      </w:r>
      <w:bookmarkEnd w:id="831"/>
    </w:p>
    <w:p>
      <w:pPr>
        <w:pStyle w:val="Subsection"/>
      </w:pPr>
      <w:r>
        <w:tab/>
        <w:t>(1)</w:t>
      </w:r>
      <w:r>
        <w:tab/>
        <w:t xml:space="preserve">A council member commits a minor breach if he or she contravenes — </w:t>
      </w:r>
    </w:p>
    <w:p>
      <w:pPr>
        <w:pStyle w:val="Indenta"/>
      </w:pPr>
      <w:r>
        <w:tab/>
        <w:t>(a)</w:t>
      </w:r>
      <w:r>
        <w:tab/>
        <w:t>a rule of conduct under section 5.104(1); or</w:t>
      </w:r>
    </w:p>
    <w:p>
      <w:pPr>
        <w:pStyle w:val="Indenta"/>
      </w:pPr>
      <w:r>
        <w:tab/>
        <w:t>(b)</w:t>
      </w:r>
      <w:r>
        <w:tab/>
        <w:t>a local law under this Act, contravention of which the regulations specify to be a minor breach.</w:t>
      </w:r>
    </w:p>
    <w:p>
      <w:pPr>
        <w:pStyle w:val="Subsection"/>
        <w:spacing w:before="120"/>
      </w:pPr>
      <w:r>
        <w:tab/>
        <w:t>(2)</w:t>
      </w:r>
      <w:r>
        <w:tab/>
        <w:t>A minor breach is a recurrent breach if it occurs after the council member has been found under this Division to have committed 2 or more other minor breaches.</w:t>
      </w:r>
    </w:p>
    <w:p>
      <w:pPr>
        <w:pStyle w:val="Subsection"/>
        <w:spacing w:before="120"/>
      </w:pPr>
      <w:r>
        <w:tab/>
        <w:t>(3)</w:t>
      </w:r>
      <w:r>
        <w:tab/>
        <w:t>A council member who commits any offence under a written law, other than a local law made under this Act, of which it is an element that the offender is a council member or is a person of a description that specifically includes a council member commits a serious breach.</w:t>
      </w:r>
    </w:p>
    <w:p>
      <w:pPr>
        <w:pStyle w:val="Footnotesection"/>
        <w:spacing w:before="80"/>
        <w:ind w:left="890" w:hanging="890"/>
      </w:pPr>
      <w:r>
        <w:tab/>
        <w:t>[Section 5.105 inserted by No. 1 of 2007 s. 11.]</w:t>
      </w:r>
    </w:p>
    <w:p>
      <w:pPr>
        <w:pStyle w:val="Heading5"/>
        <w:spacing w:before="180"/>
      </w:pPr>
      <w:bookmarkStart w:id="832" w:name="_Toc462409501"/>
      <w:r>
        <w:rPr>
          <w:rStyle w:val="CharSectno"/>
        </w:rPr>
        <w:t>5.106</w:t>
      </w:r>
      <w:r>
        <w:t>.</w:t>
      </w:r>
      <w:r>
        <w:tab/>
        <w:t>Deciding whether breach occurred</w:t>
      </w:r>
      <w:bookmarkEnd w:id="832"/>
    </w:p>
    <w:p>
      <w:pPr>
        <w:pStyle w:val="Subsection"/>
        <w:spacing w:before="120"/>
      </w:pPr>
      <w:r>
        <w:tab/>
      </w:r>
      <w:r>
        <w:tab/>
        <w:t>A finding that a breach has occurred is to be based on evidence from which it may be concluded that it is more likely that the breach occurred than that it did not occur.</w:t>
      </w:r>
    </w:p>
    <w:p>
      <w:pPr>
        <w:pStyle w:val="Footnotesection"/>
      </w:pPr>
      <w:r>
        <w:tab/>
        <w:t>[Section 5.106 inserted by No. 1 of 2007 s. 11.]</w:t>
      </w:r>
    </w:p>
    <w:p>
      <w:pPr>
        <w:pStyle w:val="Heading5"/>
        <w:spacing w:before="240"/>
      </w:pPr>
      <w:bookmarkStart w:id="833" w:name="_Toc462409502"/>
      <w:r>
        <w:rPr>
          <w:rStyle w:val="CharSectno"/>
        </w:rPr>
        <w:t>5.107</w:t>
      </w:r>
      <w:r>
        <w:t>.</w:t>
      </w:r>
      <w:r>
        <w:tab/>
        <w:t>Complaining to complaints officer of minor breach</w:t>
      </w:r>
      <w:bookmarkEnd w:id="833"/>
    </w:p>
    <w:p>
      <w:pPr>
        <w:pStyle w:val="Subsection"/>
      </w:pPr>
      <w:r>
        <w:tab/>
        <w:t>(1)</w:t>
      </w:r>
      <w:r>
        <w:tab/>
        <w:t>A person who has reason to believe that a council member has committed a minor breach may complain of the breach by sending to the complaints officer a complaint in accordance with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pPr>
      <w:r>
        <w:tab/>
        <w:t>(c)</w:t>
      </w:r>
      <w:r>
        <w:tab/>
        <w:t>the contravention that is alleged to have resulted in the breach; and</w:t>
      </w:r>
    </w:p>
    <w:p>
      <w:pPr>
        <w:pStyle w:val="Indenta"/>
      </w:pPr>
      <w:r>
        <w:tab/>
        <w:t>(d)</w:t>
      </w:r>
      <w:r>
        <w:tab/>
        <w:t>any other information that the regulations may require.</w:t>
      </w:r>
    </w:p>
    <w:p>
      <w:pPr>
        <w:pStyle w:val="Subsection"/>
      </w:pPr>
      <w:r>
        <w:tab/>
        <w:t>(3)</w:t>
      </w:r>
      <w:r>
        <w:tab/>
        <w:t xml:space="preserve">Within 14 days after the day on which the complaints officer receives the complaint, the complaints officer is required to — </w:t>
      </w:r>
    </w:p>
    <w:p>
      <w:pPr>
        <w:pStyle w:val="Indenta"/>
      </w:pPr>
      <w:r>
        <w:tab/>
        <w:t>(a)</w:t>
      </w:r>
      <w:r>
        <w:tab/>
        <w:t>give to the person making the complaint an acknowledgment in writing that the complaint has been received; and</w:t>
      </w:r>
    </w:p>
    <w:p>
      <w:pPr>
        <w:pStyle w:val="Indenta"/>
        <w:keepNext/>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spacing w:before="120"/>
      </w:pPr>
      <w:r>
        <w:tab/>
        <w:t>(4)</w:t>
      </w:r>
      <w:r>
        <w:tab/>
        <w:t>A person can make a complaint under this section within 2 years after the breach alleged in the complaint occurred, but not later.</w:t>
      </w:r>
    </w:p>
    <w:p>
      <w:pPr>
        <w:pStyle w:val="Footnotesection"/>
        <w:spacing w:before="80"/>
        <w:ind w:left="890" w:hanging="890"/>
      </w:pPr>
      <w:r>
        <w:tab/>
        <w:t>[Section 5.107 inserted by No. 1 of 2007 s. 11.]</w:t>
      </w:r>
    </w:p>
    <w:p>
      <w:pPr>
        <w:pStyle w:val="Heading5"/>
        <w:keepNext w:val="0"/>
        <w:keepLines w:val="0"/>
        <w:spacing w:before="180"/>
      </w:pPr>
      <w:bookmarkStart w:id="834" w:name="_Toc462409503"/>
      <w:r>
        <w:rPr>
          <w:rStyle w:val="CharSectno"/>
        </w:rPr>
        <w:t>5.108</w:t>
      </w:r>
      <w:r>
        <w:t>.</w:t>
      </w:r>
      <w:r>
        <w:tab/>
        <w:t>Departmental CEO may send complaint of minor breach to complaints officer</w:t>
      </w:r>
      <w:bookmarkEnd w:id="834"/>
    </w:p>
    <w:p>
      <w:pPr>
        <w:pStyle w:val="Subsection"/>
        <w:spacing w:before="120"/>
      </w:pPr>
      <w:r>
        <w:tab/>
        <w:t>(1)</w:t>
      </w:r>
      <w:r>
        <w:tab/>
        <w:t>If it appears to the Departmental CEO that a complaint a person seeks to make under section 5.114 discloses a minor breach, the Departmental CEO may send the complaint to the complaints officer of the local government concerned.</w:t>
      </w:r>
    </w:p>
    <w:p>
      <w:pPr>
        <w:pStyle w:val="Subsection"/>
        <w:spacing w:before="120"/>
      </w:pPr>
      <w:r>
        <w:tab/>
        <w:t>(2)</w:t>
      </w:r>
      <w:r>
        <w:tab/>
        <w:t xml:space="preserve">Within 14 days after the day on which the complaints officer receives the complaint, the complaints officer is required to — </w:t>
      </w:r>
    </w:p>
    <w:p>
      <w:pPr>
        <w:pStyle w:val="Indenta"/>
      </w:pPr>
      <w:r>
        <w:tab/>
        <w:t>(a)</w:t>
      </w:r>
      <w:r>
        <w:tab/>
        <w:t>give to the person who sent the complaint to the Departmental CEO written notice that the complaint is to be dealt with as a complaint of a minor breach; and</w:t>
      </w:r>
    </w:p>
    <w:p>
      <w:pPr>
        <w:pStyle w:val="Indenta"/>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(3)</w:t>
      </w:r>
      <w:r>
        <w:tab/>
        <w:t>The Departmental CEO can send a complaint to a complaints officer under this section within 2 years after the breach alleged in the complaint occurred, but not later.</w:t>
      </w:r>
    </w:p>
    <w:p>
      <w:pPr>
        <w:pStyle w:val="Footnotesection"/>
      </w:pPr>
      <w:r>
        <w:tab/>
        <w:t>[Section 5.108 inserted by No. 1 of 2007 s. 11; amended by No. 17 of 2009 s. 44.]</w:t>
      </w:r>
    </w:p>
    <w:p>
      <w:pPr>
        <w:pStyle w:val="Heading5"/>
      </w:pPr>
      <w:bookmarkStart w:id="835" w:name="_Toc462409504"/>
      <w:r>
        <w:rPr>
          <w:rStyle w:val="CharSectno"/>
        </w:rPr>
        <w:t>5.109</w:t>
      </w:r>
      <w:r>
        <w:t>.</w:t>
      </w:r>
      <w:r>
        <w:tab/>
        <w:t>Complaint initiated by complaints officer</w:t>
      </w:r>
      <w:bookmarkEnd w:id="835"/>
    </w:p>
    <w:p>
      <w:pPr>
        <w:pStyle w:val="Subsection"/>
      </w:pPr>
      <w:r>
        <w:tab/>
        <w:t>(1)</w:t>
      </w:r>
      <w:r>
        <w:tab/>
        <w:t xml:space="preserve">A person who is a complaints officer may make a complaint of a minor breach by — </w:t>
      </w:r>
    </w:p>
    <w:p>
      <w:pPr>
        <w:pStyle w:val="Indenta"/>
      </w:pPr>
      <w:r>
        <w:tab/>
        <w:t>(a)</w:t>
      </w:r>
      <w:r>
        <w:tab/>
        <w:t>preparing the complaint in the form required under section 5.107(2); and</w:t>
      </w:r>
    </w:p>
    <w:p>
      <w:pPr>
        <w:pStyle w:val="Indenta"/>
      </w:pPr>
      <w:r>
        <w:tab/>
        <w:t>(b)</w:t>
      </w:r>
      <w:r>
        <w:tab/>
        <w:t>giving the council member about whom the complaint is made a copy of the complaint; and</w:t>
      </w:r>
    </w:p>
    <w:p>
      <w:pPr>
        <w:pStyle w:val="Indenta"/>
      </w:pPr>
      <w:r>
        <w:tab/>
        <w:t>(c)</w:t>
      </w:r>
      <w:r>
        <w:tab/>
        <w:t xml:space="preserve">sending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(2)</w:t>
      </w:r>
      <w:r>
        <w:tab/>
        <w:t>A complaints officer can make a complaint under this section within 2 years after the breach alleged in the complaint occurred, but not later.</w:t>
      </w:r>
    </w:p>
    <w:p>
      <w:pPr>
        <w:pStyle w:val="Footnotesection"/>
      </w:pPr>
      <w:r>
        <w:tab/>
        <w:t>[Section 5.109 inserted by No. 1 of 2007 s. 11.]</w:t>
      </w:r>
    </w:p>
    <w:p>
      <w:pPr>
        <w:pStyle w:val="Heading5"/>
      </w:pPr>
      <w:bookmarkStart w:id="836" w:name="_Toc462409505"/>
      <w:r>
        <w:rPr>
          <w:rStyle w:val="CharSectno"/>
        </w:rPr>
        <w:t>5.110</w:t>
      </w:r>
      <w:r>
        <w:t>.</w:t>
      </w:r>
      <w:r>
        <w:tab/>
        <w:t>Dealing with complaint of minor breach</w:t>
      </w:r>
      <w:bookmarkEnd w:id="836"/>
    </w:p>
    <w:p>
      <w:pPr>
        <w:pStyle w:val="Subsection"/>
      </w:pPr>
      <w:r>
        <w:tab/>
        <w:t>(1)</w:t>
      </w:r>
      <w:r>
        <w:tab/>
        <w:t xml:space="preserve">The member of the primary standards panel who receives a complaint from a complaints officer under section 5.107(3)(c), 5.108(2)(c) or 5.109(1)(c) is to — </w:t>
      </w:r>
    </w:p>
    <w:p>
      <w:pPr>
        <w:pStyle w:val="Indenta"/>
      </w:pPr>
      <w:r>
        <w:tab/>
        <w:t>(a)</w:t>
      </w:r>
      <w:r>
        <w:tab/>
        <w:t>allocate that complaint to a standards panel; and</w:t>
      </w:r>
    </w:p>
    <w:p>
      <w:pPr>
        <w:pStyle w:val="Indenta"/>
      </w:pPr>
      <w:r>
        <w:tab/>
        <w:t>(b)</w:t>
      </w:r>
      <w:r>
        <w:tab/>
        <w:t>send the complaint and anything received from the complaints officer to the member of that standards panel who is appointed under Schedule 5.1 clause 2(a).</w:t>
      </w:r>
    </w:p>
    <w:p>
      <w:pPr>
        <w:pStyle w:val="Subsection"/>
      </w:pPr>
      <w:r>
        <w:tab/>
        <w:t>(2)</w:t>
      </w:r>
      <w:r>
        <w:tab/>
        <w:t xml:space="preserve">After receiving a complaint allocated to it under subsection (1), a standards panel is required to — </w:t>
      </w:r>
    </w:p>
    <w:p>
      <w:pPr>
        <w:pStyle w:val="Indenta"/>
      </w:pPr>
      <w:r>
        <w:tab/>
        <w:t>(a)</w:t>
      </w:r>
      <w:r>
        <w:tab/>
        <w:t>make a finding as to whether the breach alleged in the complaint occurred; or</w:t>
      </w:r>
    </w:p>
    <w:p>
      <w:pPr>
        <w:pStyle w:val="Indenta"/>
      </w:pPr>
      <w:r>
        <w:tab/>
        <w:t>(b)</w:t>
      </w:r>
      <w:r>
        <w:tab/>
        <w:t>send the complaint to the Departmental CEO under section 5.111.</w:t>
      </w:r>
    </w:p>
    <w:p>
      <w:pPr>
        <w:pStyle w:val="Subsection"/>
      </w:pPr>
      <w:r>
        <w:tab/>
        <w:t>(3)</w:t>
      </w:r>
      <w:r>
        <w:tab/>
        <w:t>For the purpose of helping it to deal with a complaint, a standards panel may request the complaints officer to provide anything further that the standards panel requires, and the complaints officer is required to comply with the request so far as it is practicable to do so.</w:t>
      </w:r>
    </w:p>
    <w:p>
      <w:pPr>
        <w:pStyle w:val="Subsection"/>
      </w:pPr>
      <w:r>
        <w:tab/>
        <w:t>(4)</w:t>
      </w:r>
      <w:r>
        <w:tab/>
        <w:t>A standards panel is required to give each party written notice of the reasons for any finding it makes under subsection (2).</w:t>
      </w:r>
    </w:p>
    <w:p>
      <w:pPr>
        <w:pStyle w:val="Subsection"/>
      </w:pPr>
      <w:r>
        <w:tab/>
        <w:t>(5)</w:t>
      </w:r>
      <w:r>
        <w:tab/>
        <w:t>If a standards panel finds that a council member has committed a minor breach, the standards panel is required to give the council member an opportunity to make submissions about how the breach should be dealt with under subsection (6).</w:t>
      </w:r>
    </w:p>
    <w:p>
      <w:pPr>
        <w:pStyle w:val="Subsection"/>
      </w:pPr>
      <w:r>
        <w:tab/>
        <w:t>(6)</w:t>
      </w:r>
      <w:r>
        <w:tab/>
        <w:t xml:space="preserve">The breach is to be dealt with by — </w:t>
      </w:r>
    </w:p>
    <w:p>
      <w:pPr>
        <w:pStyle w:val="Indenta"/>
      </w:pPr>
      <w:r>
        <w:tab/>
        <w:t>(a)</w:t>
      </w:r>
      <w:r>
        <w:tab/>
        <w:t>dismissing the complaint; or</w:t>
      </w:r>
    </w:p>
    <w:p>
      <w:pPr>
        <w:pStyle w:val="Indenta"/>
      </w:pPr>
      <w:r>
        <w:tab/>
        <w:t>(b)</w:t>
      </w:r>
      <w:r>
        <w:tab/>
        <w:t xml:space="preserve">ordering that — </w:t>
      </w:r>
    </w:p>
    <w:p>
      <w:pPr>
        <w:pStyle w:val="Indenti"/>
      </w:pPr>
      <w:r>
        <w:tab/>
        <w:t>(i)</w:t>
      </w:r>
      <w:r>
        <w:tab/>
        <w:t>the person against whom the complaint was made be publicly censured as specified in the order; or</w:t>
      </w:r>
    </w:p>
    <w:p>
      <w:pPr>
        <w:pStyle w:val="Indenti"/>
      </w:pPr>
      <w:r>
        <w:tab/>
        <w:t>(ii)</w:t>
      </w:r>
      <w:r>
        <w:tab/>
        <w:t>the person against whom the complaint was made apologise publicly as specified in the order; or</w:t>
      </w:r>
    </w:p>
    <w:p>
      <w:pPr>
        <w:pStyle w:val="Indenti"/>
      </w:pPr>
      <w:r>
        <w:tab/>
        <w:t>(iii)</w:t>
      </w:r>
      <w:r>
        <w:tab/>
        <w:t>the person against whom the complaint was made undertake training as specified in the order;</w:t>
      </w:r>
    </w:p>
    <w:p>
      <w:pPr>
        <w:pStyle w:val="Indenta"/>
      </w:pPr>
      <w:r>
        <w:tab/>
      </w:r>
      <w:r>
        <w:tab/>
        <w:t>or</w:t>
      </w:r>
    </w:p>
    <w:p>
      <w:pPr>
        <w:pStyle w:val="Indenta"/>
      </w:pPr>
      <w:r>
        <w:tab/>
        <w:t>(c)</w:t>
      </w:r>
      <w:r>
        <w:tab/>
        <w:t>ordering 2 or more of the sanctions described in paragraph (b).</w:t>
      </w:r>
    </w:p>
    <w:p>
      <w:pPr>
        <w:pStyle w:val="Subsection"/>
      </w:pPr>
      <w:r>
        <w:tab/>
        <w:t>(7)</w:t>
      </w:r>
      <w:r>
        <w:tab/>
        <w:t>A standards panel is required to give to each party and the complaints officer notice of how it deals with the matter under subsection (6).</w:t>
      </w:r>
    </w:p>
    <w:p>
      <w:pPr>
        <w:pStyle w:val="Footnotesection"/>
      </w:pPr>
      <w:r>
        <w:tab/>
        <w:t>[Section 5.110 inserted by No. 1 of 2007 s. 11; amended by No. 17 of 2009 s. 44.]</w:t>
      </w:r>
    </w:p>
    <w:p>
      <w:pPr>
        <w:pStyle w:val="Heading5"/>
      </w:pPr>
      <w:bookmarkStart w:id="837" w:name="_Toc462409506"/>
      <w:r>
        <w:rPr>
          <w:rStyle w:val="CharSectno"/>
        </w:rPr>
        <w:t>5.111</w:t>
      </w:r>
      <w:r>
        <w:t>.</w:t>
      </w:r>
      <w:r>
        <w:tab/>
        <w:t>Dealing with recurrent breach</w:t>
      </w:r>
      <w:bookmarkEnd w:id="837"/>
    </w:p>
    <w:p>
      <w:pPr>
        <w:pStyle w:val="Subsection"/>
      </w:pPr>
      <w:r>
        <w:tab/>
        <w:t>(1)</w:t>
      </w:r>
      <w:r>
        <w:tab/>
        <w:t>If a standards panel is allocated a complaint as described in section 5.110(1) and the breach alleged, if it were found to have been committed, would be a recurrent breach, the standards panel may send the complaint to the Departmental CEO or proceed under section 5.110 to make a finding and deal with the complaint.</w:t>
      </w:r>
    </w:p>
    <w:p>
      <w:pPr>
        <w:pStyle w:val="Subsection"/>
      </w:pPr>
      <w:r>
        <w:tab/>
        <w:t>(2)</w:t>
      </w:r>
      <w:r>
        <w:tab/>
        <w:t xml:space="preserve">If a standards panel sends the complaint to the Departmental CEO under subsection (1), the standards panel is required to notify — </w:t>
      </w:r>
    </w:p>
    <w:p>
      <w:pPr>
        <w:pStyle w:val="Indenta"/>
      </w:pPr>
      <w:r>
        <w:tab/>
        <w:t>(a)</w:t>
      </w:r>
      <w:r>
        <w:tab/>
        <w:t>each of the parties; and</w:t>
      </w:r>
    </w:p>
    <w:p>
      <w:pPr>
        <w:pStyle w:val="Indenta"/>
      </w:pPr>
      <w:r>
        <w:tab/>
        <w:t>(b)</w:t>
      </w:r>
      <w:r>
        <w:tab/>
        <w:t>the complaints officer.</w:t>
      </w:r>
    </w:p>
    <w:p>
      <w:pPr>
        <w:pStyle w:val="Footnotesection"/>
      </w:pPr>
      <w:r>
        <w:tab/>
        <w:t>[Section 5.111 inserted by No. 1 of 2007 s. 11; amended by No. 17 of 2009 s. 44.]</w:t>
      </w:r>
    </w:p>
    <w:p>
      <w:pPr>
        <w:pStyle w:val="Heading5"/>
      </w:pPr>
      <w:bookmarkStart w:id="838" w:name="_Toc462409507"/>
      <w:r>
        <w:rPr>
          <w:rStyle w:val="CharSectno"/>
        </w:rPr>
        <w:t>5.112</w:t>
      </w:r>
      <w:r>
        <w:t>.</w:t>
      </w:r>
      <w:r>
        <w:tab/>
        <w:t>Allegation of recurrent breach</w:t>
      </w:r>
      <w:bookmarkEnd w:id="838"/>
    </w:p>
    <w:p>
      <w:pPr>
        <w:pStyle w:val="Subsection"/>
      </w:pPr>
      <w:r>
        <w:tab/>
        <w:t>(1)</w:t>
      </w:r>
      <w:r>
        <w:tab/>
        <w:t>If a standards panel sends to the Departmental CEO, under section 5.111, a complaint of a minor breach that, if it were found to have been committed, would be a recurrent breach, the Departmental CEO has to decide whether to make an allegation under subsection (2).</w:t>
      </w:r>
    </w:p>
    <w:p>
      <w:pPr>
        <w:pStyle w:val="Subsection"/>
      </w:pPr>
      <w:r>
        <w:tab/>
        <w:t>(2)</w:t>
      </w:r>
      <w:r>
        <w:tab/>
        <w:t>If the Departmental CEO considers it appropriate to do so, the Departmental CEO may make an allegation to the State Administrative Tribunal that the council member committed the breach.</w:t>
      </w:r>
    </w:p>
    <w:p>
      <w:pPr>
        <w:pStyle w:val="Subsection"/>
      </w:pPr>
      <w:r>
        <w:tab/>
        <w:t>(3)</w:t>
      </w:r>
      <w:r>
        <w:tab/>
        <w:t>The Departmental CEO is required to give the complaints officer and each of the parties notice in writing of the decision.</w:t>
      </w:r>
    </w:p>
    <w:p>
      <w:pPr>
        <w:pStyle w:val="Subsection"/>
      </w:pPr>
      <w:r>
        <w:tab/>
        <w:t>(4)</w:t>
      </w:r>
      <w:r>
        <w:tab/>
        <w:t xml:space="preserve">If the Departmental CEO decides not to make an allegation to the State Administrative Tribunal — </w:t>
      </w:r>
    </w:p>
    <w:p>
      <w:pPr>
        <w:pStyle w:val="Indenta"/>
      </w:pPr>
      <w:r>
        <w:tab/>
        <w:t>(a)</w:t>
      </w:r>
      <w:r>
        <w:tab/>
        <w:t>the Departmental CEO is required to send the complaint to the standards panel that sent the complaint to the Departmental CEO; and</w:t>
      </w:r>
    </w:p>
    <w:p>
      <w:pPr>
        <w:pStyle w:val="Indenta"/>
      </w:pPr>
      <w:r>
        <w:tab/>
        <w:t>(b)</w:t>
      </w:r>
      <w:r>
        <w:tab/>
        <w:t>the standards panel is required to notify each of the parties and the complaints officer that the complaint will be dealt with by the standards panel; and</w:t>
      </w:r>
    </w:p>
    <w:p>
      <w:pPr>
        <w:pStyle w:val="Indenta"/>
      </w:pPr>
      <w:r>
        <w:tab/>
        <w:t>(c)</w:t>
      </w:r>
      <w:r>
        <w:tab/>
        <w:t>the standards panel is required to deal with the complaint under section 5.110.</w:t>
      </w:r>
    </w:p>
    <w:p>
      <w:pPr>
        <w:pStyle w:val="Subsection"/>
        <w:spacing w:before="120"/>
      </w:pPr>
      <w:r>
        <w:tab/>
        <w:t>(5)</w:t>
      </w:r>
      <w:r>
        <w:tab/>
        <w:t>The fact that the person who made the complaint does not want an allegation to be made to the State Administrative Tribunal does not prevent the Departmental CEO from making the allegation.</w:t>
      </w:r>
    </w:p>
    <w:p>
      <w:pPr>
        <w:pStyle w:val="Footnotesection"/>
        <w:ind w:left="890" w:hanging="890"/>
      </w:pPr>
      <w:r>
        <w:tab/>
        <w:t>[Section 5.112 inserted by No. 1 of 2007 s. 11; amended by No. 17 of 2009 s. 44.]</w:t>
      </w:r>
    </w:p>
    <w:p>
      <w:pPr>
        <w:pStyle w:val="Heading5"/>
        <w:spacing w:before="240"/>
      </w:pPr>
      <w:bookmarkStart w:id="839" w:name="_Toc462409508"/>
      <w:r>
        <w:rPr>
          <w:rStyle w:val="CharSectno"/>
        </w:rPr>
        <w:t>5.113</w:t>
      </w:r>
      <w:r>
        <w:t>.</w:t>
      </w:r>
      <w:r>
        <w:tab/>
        <w:t>Punishment for recurrent breach</w:t>
      </w:r>
      <w:bookmarkEnd w:id="839"/>
    </w:p>
    <w:p>
      <w:pPr>
        <w:pStyle w:val="Subsection"/>
      </w:pPr>
      <w:r>
        <w:tab/>
      </w:r>
      <w:r>
        <w:tab/>
        <w:t>If, on an allegation under section 5.112, the State Administrative Tribunal finds that a person committed a recurrent breach, it may make any of the orders described in section 5.117.</w:t>
      </w:r>
    </w:p>
    <w:p>
      <w:pPr>
        <w:pStyle w:val="Footnotesection"/>
        <w:ind w:left="890" w:hanging="890"/>
      </w:pPr>
      <w:r>
        <w:tab/>
        <w:t>[Section 5.113 inserted by No. 1 of 2007 s. 11.]</w:t>
      </w:r>
    </w:p>
    <w:p>
      <w:pPr>
        <w:pStyle w:val="Heading5"/>
        <w:pageBreakBefore/>
        <w:spacing w:before="0"/>
      </w:pPr>
      <w:bookmarkStart w:id="840" w:name="_Toc462409509"/>
      <w:r>
        <w:rPr>
          <w:rStyle w:val="CharSectno"/>
        </w:rPr>
        <w:t>5.114</w:t>
      </w:r>
      <w:r>
        <w:t>.</w:t>
      </w:r>
      <w:r>
        <w:tab/>
        <w:t>Making complaint of serious breach</w:t>
      </w:r>
      <w:bookmarkEnd w:id="840"/>
    </w:p>
    <w:p>
      <w:pPr>
        <w:pStyle w:val="Subsection"/>
      </w:pPr>
      <w:r>
        <w:tab/>
        <w:t>(1)</w:t>
      </w:r>
      <w:r>
        <w:tab/>
        <w:t>A person who has reason to believe that a council member has committed a serious breach may complain to the Departmental CEO as described in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pPr>
      <w:r>
        <w:tab/>
        <w:t>(c)</w:t>
      </w:r>
      <w:r>
        <w:tab/>
        <w:t>the offence that is alleged to have resulted in the breach; and</w:t>
      </w:r>
    </w:p>
    <w:p>
      <w:pPr>
        <w:pStyle w:val="Indenta"/>
      </w:pPr>
      <w:r>
        <w:tab/>
        <w:t>(d)</w:t>
      </w:r>
      <w:r>
        <w:tab/>
        <w:t>any other information that the regulations may require,</w:t>
      </w:r>
    </w:p>
    <w:p>
      <w:pPr>
        <w:pStyle w:val="Subsection"/>
        <w:spacing w:before="180"/>
      </w:pPr>
      <w:r>
        <w:tab/>
      </w:r>
      <w:r>
        <w:tab/>
        <w:t>and sent to the Departmental CEO.</w:t>
      </w:r>
    </w:p>
    <w:p>
      <w:pPr>
        <w:pStyle w:val="Subsection"/>
        <w:spacing w:before="180"/>
      </w:pPr>
      <w:r>
        <w:tab/>
        <w:t>(3)</w:t>
      </w:r>
      <w:r>
        <w:tab/>
        <w:t>If there is a limit on the time within which proceedings may be commenced for the offence to which a complaint of a serious breach relates, the complaint cannot be made after that time has elapsed.</w:t>
      </w:r>
    </w:p>
    <w:p>
      <w:pPr>
        <w:pStyle w:val="Footnotesection"/>
      </w:pPr>
      <w:r>
        <w:tab/>
        <w:t>[Section 5.114 inserted by No. 1 of 2007 s. 11; amended by No. 17 of 2009 s. 44.]</w:t>
      </w:r>
    </w:p>
    <w:p>
      <w:pPr>
        <w:pStyle w:val="Heading5"/>
        <w:spacing w:before="240"/>
      </w:pPr>
      <w:bookmarkStart w:id="841" w:name="_Toc462409510"/>
      <w:r>
        <w:rPr>
          <w:rStyle w:val="CharSectno"/>
        </w:rPr>
        <w:t>5.115</w:t>
      </w:r>
      <w:r>
        <w:t>.</w:t>
      </w:r>
      <w:r>
        <w:tab/>
        <w:t>Complaints officer to send complaint of serious breach to Departmental CEO</w:t>
      </w:r>
      <w:bookmarkEnd w:id="841"/>
    </w:p>
    <w:p>
      <w:pPr>
        <w:pStyle w:val="Subsection"/>
        <w:spacing w:before="180"/>
      </w:pPr>
      <w:r>
        <w:tab/>
        <w:t>(1)</w:t>
      </w:r>
      <w:r>
        <w:tab/>
        <w:t>If it appears to a complaints officer that a complaint a person seeks to make under section 5.107 discloses a serious breach, the complaints officer is required to send the complaint to the Departmental CEO.</w:t>
      </w:r>
    </w:p>
    <w:p>
      <w:pPr>
        <w:pStyle w:val="Subsection"/>
        <w:spacing w:before="180"/>
      </w:pPr>
      <w:r>
        <w:tab/>
        <w:t>(2)</w:t>
      </w:r>
      <w:r>
        <w:tab/>
        <w:t>If the complaints officer sends the complaint to the Departmental CEO, the complaints officer is required to notify each of the parties.</w:t>
      </w:r>
    </w:p>
    <w:p>
      <w:pPr>
        <w:pStyle w:val="Footnotesection"/>
      </w:pPr>
      <w:r>
        <w:tab/>
        <w:t>[Section 5.115 inserted by No. 1 of 2007 s. 11; amended by No. 17 of 2009 s. 44.]</w:t>
      </w:r>
    </w:p>
    <w:p>
      <w:pPr>
        <w:pStyle w:val="Heading5"/>
        <w:spacing w:before="240"/>
      </w:pPr>
      <w:bookmarkStart w:id="842" w:name="_Toc462409511"/>
      <w:r>
        <w:rPr>
          <w:rStyle w:val="CharSectno"/>
        </w:rPr>
        <w:t>5.116</w:t>
      </w:r>
      <w:r>
        <w:t>.</w:t>
      </w:r>
      <w:r>
        <w:tab/>
        <w:t>Allegation by Departmental CEO of serious breach</w:t>
      </w:r>
      <w:bookmarkEnd w:id="842"/>
    </w:p>
    <w:p>
      <w:pPr>
        <w:pStyle w:val="Subsection"/>
        <w:spacing w:before="180"/>
      </w:pPr>
      <w:r>
        <w:tab/>
        <w:t>(1)</w:t>
      </w:r>
      <w:r>
        <w:tab/>
        <w:t xml:space="preserve">If — </w:t>
      </w:r>
    </w:p>
    <w:p>
      <w:pPr>
        <w:pStyle w:val="Indenta"/>
      </w:pPr>
      <w:r>
        <w:tab/>
        <w:t>(a)</w:t>
      </w:r>
      <w:r>
        <w:tab/>
        <w:t>a person sends to the Departmental CEO a complaint under section 5.114(1) that a council member has committed a serious breach; or</w:t>
      </w:r>
    </w:p>
    <w:p>
      <w:pPr>
        <w:pStyle w:val="Indenta"/>
        <w:keepNext/>
      </w:pPr>
      <w:r>
        <w:tab/>
        <w:t>(b)</w:t>
      </w:r>
      <w:r>
        <w:tab/>
        <w:t>a complaints officer sends to the Departmental CEO, under section 5.115(1), a complaint that appears to disclose a serious breach,</w:t>
      </w:r>
    </w:p>
    <w:p>
      <w:pPr>
        <w:pStyle w:val="Subsection"/>
      </w:pPr>
      <w:r>
        <w:tab/>
      </w:r>
      <w:r>
        <w:tab/>
        <w:t>the Departmental CEO has to decide whether to make an allegation under subsection (2).</w:t>
      </w:r>
    </w:p>
    <w:p>
      <w:pPr>
        <w:pStyle w:val="Subsection"/>
      </w:pPr>
      <w:r>
        <w:tab/>
        <w:t>(2)</w:t>
      </w:r>
      <w:r>
        <w:tab/>
        <w:t>If the Departmental CEO considers it appropriate to do so, the Departmental CEO may, whether or not a complaint has been sent to the Departmental CEO, make an allegation to the State Administrative Tribunal that the council member committed a serious breach.</w:t>
      </w:r>
    </w:p>
    <w:p>
      <w:pPr>
        <w:pStyle w:val="Subsection"/>
      </w:pPr>
      <w:r>
        <w:tab/>
        <w:t>(3)</w:t>
      </w:r>
      <w:r>
        <w:tab/>
        <w:t>In deciding whether it would be appropriate to make an allegation to the State Administrative Tribunal, the Departmental CEO has to consider whether it would be more appropriate for the matter to be dealt with in another way.</w:t>
      </w:r>
    </w:p>
    <w:p>
      <w:pPr>
        <w:pStyle w:val="Subsection"/>
      </w:pPr>
      <w:r>
        <w:tab/>
        <w:t>(4)</w:t>
      </w:r>
      <w:r>
        <w:tab/>
        <w:t>The Departmental CEO cannot make an allegation under subsection (2) if the council member has already been tried by a court for the offence the commission of which is the serious breach.</w:t>
      </w:r>
    </w:p>
    <w:p>
      <w:pPr>
        <w:pStyle w:val="Subsection"/>
      </w:pPr>
      <w:r>
        <w:tab/>
        <w:t>(5)</w:t>
      </w:r>
      <w:r>
        <w:tab/>
        <w:t xml:space="preserve">Within 14 days after the day on which the Departmental CEO receives a complaint that is sent to the Departmental CEO under section 5.114 or 5.115, the Departmental CEO is required to give each party notice in writing — </w:t>
      </w:r>
    </w:p>
    <w:p>
      <w:pPr>
        <w:pStyle w:val="Indenta"/>
      </w:pPr>
      <w:r>
        <w:tab/>
        <w:t>(a)</w:t>
      </w:r>
      <w:r>
        <w:tab/>
        <w:t>acknowledging that the complaint is in accordance with the Act; and</w:t>
      </w:r>
    </w:p>
    <w:p>
      <w:pPr>
        <w:pStyle w:val="Indenta"/>
      </w:pPr>
      <w:r>
        <w:tab/>
        <w:t>(b)</w:t>
      </w:r>
      <w:r>
        <w:tab/>
        <w:t>stating that the Departmental CEO will decide whether to make an allegation under subsection (2).</w:t>
      </w:r>
    </w:p>
    <w:p>
      <w:pPr>
        <w:pStyle w:val="Subsection"/>
      </w:pPr>
      <w:r>
        <w:tab/>
        <w:t>(6)</w:t>
      </w:r>
      <w:r>
        <w:tab/>
        <w:t>The fact that a person who made a complaint does not want an allegation arising from the complaint to be made to the State Administrative Tribunal does not prevent the Departmental CEO from making the allegation.</w:t>
      </w:r>
    </w:p>
    <w:p>
      <w:pPr>
        <w:pStyle w:val="Footnotesection"/>
      </w:pPr>
      <w:r>
        <w:tab/>
        <w:t>[Section 5.116 inserted by No. 1 of 2007 s. 11; amended by No. 17 of 2009 s. 44.]</w:t>
      </w:r>
    </w:p>
    <w:p>
      <w:pPr>
        <w:pStyle w:val="Heading5"/>
      </w:pPr>
      <w:bookmarkStart w:id="843" w:name="_Toc462409512"/>
      <w:r>
        <w:rPr>
          <w:rStyle w:val="CharSectno"/>
        </w:rPr>
        <w:t>5.117</w:t>
      </w:r>
      <w:r>
        <w:t>.</w:t>
      </w:r>
      <w:r>
        <w:tab/>
        <w:t>Punishment for serious breach</w:t>
      </w:r>
      <w:bookmarkEnd w:id="843"/>
    </w:p>
    <w:p>
      <w:pPr>
        <w:pStyle w:val="Subsection"/>
      </w:pPr>
      <w:r>
        <w:tab/>
        <w:t>(1)</w:t>
      </w:r>
      <w:r>
        <w:tab/>
        <w:t xml:space="preserve">If, on an allegation under section 5.116(2), the State Administrative Tribunal finds that a person committed a serious breach, it may — </w:t>
      </w:r>
    </w:p>
    <w:p>
      <w:pPr>
        <w:pStyle w:val="Indenta"/>
      </w:pPr>
      <w:r>
        <w:tab/>
        <w:t>(a)</w:t>
      </w:r>
      <w:r>
        <w:tab/>
        <w:t xml:space="preserve">order that — </w:t>
      </w:r>
    </w:p>
    <w:p>
      <w:pPr>
        <w:pStyle w:val="Indenti"/>
      </w:pPr>
      <w:r>
        <w:tab/>
        <w:t>(i)</w:t>
      </w:r>
      <w:r>
        <w:tab/>
        <w:t>the person against whom the allegation was made be publicly censured as specified in the order; or</w:t>
      </w:r>
    </w:p>
    <w:p>
      <w:pPr>
        <w:pStyle w:val="Indenti"/>
      </w:pPr>
      <w:r>
        <w:tab/>
        <w:t>(ii)</w:t>
      </w:r>
      <w:r>
        <w:tab/>
        <w:t>the person against whom the allegation was made apologise publicly as specified in the order; or</w:t>
      </w:r>
    </w:p>
    <w:p>
      <w:pPr>
        <w:pStyle w:val="Indenti"/>
      </w:pPr>
      <w:r>
        <w:tab/>
        <w:t>(iii)</w:t>
      </w:r>
      <w:r>
        <w:tab/>
        <w:t>the person against whom the allegation was made undertake training as specified in the order; or</w:t>
      </w:r>
    </w:p>
    <w:p>
      <w:pPr>
        <w:pStyle w:val="Indenti"/>
      </w:pPr>
      <w:r>
        <w:tab/>
        <w:t>(iv)</w:t>
      </w:r>
      <w:r>
        <w:tab/>
        <w:t>the person against whom the allegation was made is suspended for a period of not more than 6 months specified in the order; or</w:t>
      </w:r>
    </w:p>
    <w:p>
      <w:pPr>
        <w:pStyle w:val="Indenti"/>
      </w:pPr>
      <w:r>
        <w:tab/>
        <w:t>(v)</w:t>
      </w:r>
      <w:r>
        <w:tab/>
        <w:t>the person against whom the allegation was made is, for a period of not more than 5 years specified in the order, disqualified from holding office as a member of a council;</w:t>
      </w:r>
    </w:p>
    <w:p>
      <w:pPr>
        <w:pStyle w:val="Indenta"/>
      </w:pPr>
      <w:r>
        <w:tab/>
      </w:r>
      <w:r>
        <w:tab/>
        <w:t>or</w:t>
      </w:r>
    </w:p>
    <w:p>
      <w:pPr>
        <w:pStyle w:val="Indenta"/>
      </w:pPr>
      <w:r>
        <w:tab/>
        <w:t>(b)</w:t>
      </w:r>
      <w:r>
        <w:tab/>
        <w:t>order 2 or more of the sanctions described in paragraph (a).</w:t>
      </w:r>
    </w:p>
    <w:p>
      <w:pPr>
        <w:pStyle w:val="Subsection"/>
      </w:pPr>
      <w:r>
        <w:tab/>
        <w:t>(2)</w:t>
      </w:r>
      <w:r>
        <w:tab/>
        <w:t xml:space="preserve">An order described in subsection (1)(a)(iv) or (v) may be expressed in such a way that the order — </w:t>
      </w:r>
    </w:p>
    <w:p>
      <w:pPr>
        <w:pStyle w:val="Indenta"/>
      </w:pPr>
      <w:r>
        <w:tab/>
        <w:t>(a)</w:t>
      </w:r>
      <w:r>
        <w:tab/>
        <w:t>only takes effect if, on finding that the person subject to the order has not complied with a condition specified in the order, the State Administrative Tribunal directs under subsection (7) that the order take effect; and</w:t>
      </w:r>
    </w:p>
    <w:p>
      <w:pPr>
        <w:pStyle w:val="Indenta"/>
      </w:pPr>
      <w:r>
        <w:tab/>
        <w:t>(b)</w:t>
      </w:r>
      <w:r>
        <w:tab/>
        <w:t>lapses if it has not taken effect within a period specified in the order,</w:t>
      </w:r>
    </w:p>
    <w:p>
      <w:pPr>
        <w:pStyle w:val="Subsection"/>
      </w:pPr>
      <w:r>
        <w:tab/>
      </w:r>
      <w:r>
        <w:tab/>
        <w:t xml:space="preserve">and an order so expressed is called a </w:t>
      </w:r>
      <w:r>
        <w:rPr>
          <w:rStyle w:val="CharDefText"/>
        </w:rPr>
        <w:t>suspended order</w:t>
      </w:r>
      <w:r>
        <w:t>.</w:t>
      </w:r>
    </w:p>
    <w:p>
      <w:pPr>
        <w:pStyle w:val="Subsection"/>
      </w:pPr>
      <w:r>
        <w:tab/>
        <w:t>(3)</w:t>
      </w:r>
      <w:r>
        <w:tab/>
        <w:t>The period referred to in subsection (2)(b) cannot exceed 2 years.</w:t>
      </w:r>
    </w:p>
    <w:p>
      <w:pPr>
        <w:pStyle w:val="Subsection"/>
      </w:pPr>
      <w:r>
        <w:tab/>
        <w:t>(4)</w:t>
      </w:r>
      <w:r>
        <w:tab/>
        <w:t>The Departmental CEO may make an allegation to the State Administrative Tribunal that a person subject to a suspended order has failed to comply with a condition specified in the order.</w:t>
      </w:r>
    </w:p>
    <w:p>
      <w:pPr>
        <w:pStyle w:val="Subsection"/>
      </w:pPr>
      <w:r>
        <w:tab/>
        <w:t>(5)</w:t>
      </w:r>
      <w:r>
        <w:tab/>
        <w:t>The Departmental CEO must give a person notice in writing of a decision to make an allegation about the person under subsection (4).</w:t>
      </w:r>
    </w:p>
    <w:p>
      <w:pPr>
        <w:pStyle w:val="Subsection"/>
      </w:pPr>
      <w:r>
        <w:tab/>
        <w:t>(6)</w:t>
      </w:r>
      <w:r>
        <w:tab/>
        <w:t>If the State Administrative Tribunal receives an allegation under subsection (4), it must make a finding as to whether the alleged failure occurred.</w:t>
      </w:r>
    </w:p>
    <w:p>
      <w:pPr>
        <w:pStyle w:val="Subsection"/>
      </w:pPr>
      <w:r>
        <w:tab/>
        <w:t>(7)</w:t>
      </w:r>
      <w:r>
        <w:tab/>
        <w:t>If the State Administrative Tribunal finds that a person failed to comply with a condition of a suspended order, it may if it considers it appropriate to do so direct that the suspended order take effect.</w:t>
      </w:r>
      <w:r>
        <w:tab/>
      </w:r>
    </w:p>
    <w:p>
      <w:pPr>
        <w:pStyle w:val="Subsection"/>
      </w:pPr>
      <w:r>
        <w:tab/>
        <w:t>(8)</w:t>
      </w:r>
      <w:r>
        <w:tab/>
        <w:t>When a council member is suspended under subsection (1)(a)(iv), section 8.29 applies to the member as if the council had been suspended.</w:t>
      </w:r>
    </w:p>
    <w:p>
      <w:pPr>
        <w:pStyle w:val="Footnotesection"/>
      </w:pPr>
      <w:r>
        <w:tab/>
        <w:t>[Section 5.117 inserted by No. 1 of 2007 s. 11; amended by No. 17 of 2009 s. 44.]</w:t>
      </w:r>
    </w:p>
    <w:p>
      <w:pPr>
        <w:pStyle w:val="Heading5"/>
      </w:pPr>
      <w:bookmarkStart w:id="844" w:name="_Toc462409513"/>
      <w:r>
        <w:rPr>
          <w:rStyle w:val="CharSectno"/>
        </w:rPr>
        <w:t>5.118</w:t>
      </w:r>
      <w:r>
        <w:t>.</w:t>
      </w:r>
      <w:r>
        <w:tab/>
        <w:t>Carrying out orders</w:t>
      </w:r>
      <w:bookmarkEnd w:id="844"/>
    </w:p>
    <w:p>
      <w:pPr>
        <w:pStyle w:val="Subsection"/>
      </w:pPr>
      <w:r>
        <w:tab/>
        <w:t>(1)</w:t>
      </w:r>
      <w:r>
        <w:tab/>
        <w:t>The CEO of the local government concerned is required to arrange the publication of any censure ordered under section 5.110(6) by a standards panel and is to refer to the State Administrative Tribunal any failure to comply with any other order made under that subsection.</w:t>
      </w:r>
    </w:p>
    <w:p>
      <w:pPr>
        <w:pStyle w:val="Subsection"/>
      </w:pPr>
      <w:r>
        <w:tab/>
        <w:t>(2)</w:t>
      </w:r>
      <w:r>
        <w:tab/>
        <w:t>The Departmental CEO is required to arrange the publication of any censure ordered under section 5.113 or 5.117 by the State Administrative Tribunal and is to refer to the State Administrative Tribunal any failure to comply with any other order made under either of those sections.</w:t>
      </w:r>
    </w:p>
    <w:p>
      <w:pPr>
        <w:pStyle w:val="Footnotesection"/>
      </w:pPr>
      <w:r>
        <w:tab/>
        <w:t>[Section 5.118 inserted by No. 1 of 2007 s. 11; amended by No. 17 of 2009 s. 44.]</w:t>
      </w:r>
    </w:p>
    <w:p>
      <w:pPr>
        <w:pStyle w:val="Heading5"/>
        <w:spacing w:before="180"/>
      </w:pPr>
      <w:bookmarkStart w:id="845" w:name="_Toc462409514"/>
      <w:r>
        <w:rPr>
          <w:rStyle w:val="CharSectno"/>
        </w:rPr>
        <w:t>5.119</w:t>
      </w:r>
      <w:r>
        <w:t>.</w:t>
      </w:r>
      <w:r>
        <w:tab/>
        <w:t>SAT’s enforcement powers</w:t>
      </w:r>
      <w:bookmarkEnd w:id="845"/>
    </w:p>
    <w:p>
      <w:pPr>
        <w:pStyle w:val="Subsection"/>
      </w:pPr>
      <w:r>
        <w:tab/>
        <w:t>(1)</w:t>
      </w:r>
      <w:r>
        <w:tab/>
        <w:t>If, under section 5.118, the CEO of a local government or the Departmental CEO refers to the State Administrative Tribunal a failure of a person to comply with an order of a standards panel or the State Administrative Tribunal, the State Administrative Tribunal may, if satisfied that the person failed to comply with the order, make an order described in section 5.117(1)(a)(iv) or (v).</w:t>
      </w:r>
    </w:p>
    <w:p>
      <w:pPr>
        <w:pStyle w:val="Subsection"/>
      </w:pPr>
      <w:r>
        <w:tab/>
        <w:t>(2)</w:t>
      </w:r>
      <w:r>
        <w:tab/>
        <w:t>Section 5.117(2) extends to an order made under subsection (1).</w:t>
      </w:r>
    </w:p>
    <w:p>
      <w:pPr>
        <w:pStyle w:val="Footnotesection"/>
      </w:pPr>
      <w:r>
        <w:tab/>
        <w:t>[Section 5.119 inserted by No. 1 of 2007 s. 11; amended by No. 17 of 2009 s. 44.]</w:t>
      </w:r>
    </w:p>
    <w:p>
      <w:pPr>
        <w:pStyle w:val="Heading5"/>
        <w:spacing w:before="180"/>
      </w:pPr>
      <w:bookmarkStart w:id="846" w:name="_Toc462409515"/>
      <w:r>
        <w:rPr>
          <w:rStyle w:val="CharSectno"/>
        </w:rPr>
        <w:t>5.120</w:t>
      </w:r>
      <w:r>
        <w:t>.</w:t>
      </w:r>
      <w:r>
        <w:tab/>
        <w:t>Complaints officer</w:t>
      </w:r>
      <w:bookmarkEnd w:id="846"/>
    </w:p>
    <w:p>
      <w:pPr>
        <w:pStyle w:val="Subsection"/>
      </w:pPr>
      <w:r>
        <w:tab/>
        <w:t>(1)</w:t>
      </w:r>
      <w:r>
        <w:tab/>
        <w:t>Each local government is to designate a senior employee, as defined under section 5.37, to be its complaints officer.</w:t>
      </w:r>
    </w:p>
    <w:p>
      <w:pPr>
        <w:pStyle w:val="Subsection"/>
      </w:pPr>
      <w:r>
        <w:tab/>
        <w:t>(2)</w:t>
      </w:r>
      <w:r>
        <w:tab/>
        <w:t>If a local government does not have any other person as its complaints officer, the person holding office as, or acting as, its CEO is its complaints officer.</w:t>
      </w:r>
    </w:p>
    <w:p>
      <w:pPr>
        <w:pStyle w:val="Footnotesection"/>
      </w:pPr>
      <w:r>
        <w:tab/>
        <w:t>[Section 5.120 inserted by No. 1 of 2007 s. 11.]</w:t>
      </w:r>
    </w:p>
    <w:p>
      <w:pPr>
        <w:pStyle w:val="Heading5"/>
        <w:keepNext w:val="0"/>
        <w:keepLines w:val="0"/>
        <w:spacing w:before="180"/>
      </w:pPr>
      <w:bookmarkStart w:id="847" w:name="_Toc462409516"/>
      <w:r>
        <w:rPr>
          <w:rStyle w:val="CharSectno"/>
        </w:rPr>
        <w:t>5.121</w:t>
      </w:r>
      <w:r>
        <w:t>.</w:t>
      </w:r>
      <w:r>
        <w:tab/>
        <w:t>Register of certain complaints of minor breaches</w:t>
      </w:r>
      <w:bookmarkEnd w:id="847"/>
    </w:p>
    <w:p>
      <w:pPr>
        <w:pStyle w:val="Subsection"/>
        <w:spacing w:before="120"/>
      </w:pPr>
      <w:r>
        <w:tab/>
        <w:t>(1)</w:t>
      </w:r>
      <w:r>
        <w:tab/>
        <w:t>The complaints officer for each local government is required to maintain a register of complaints which records all complaints that result in action under section 5.110(6)(b) or (c).</w:t>
      </w:r>
    </w:p>
    <w:p>
      <w:pPr>
        <w:pStyle w:val="Subsection"/>
      </w:pPr>
      <w:r>
        <w:tab/>
        <w:t>(2)</w:t>
      </w:r>
      <w:r>
        <w:tab/>
        <w:t xml:space="preserve">The register of complaints is to include, for each recorded complaint — </w:t>
      </w:r>
    </w:p>
    <w:p>
      <w:pPr>
        <w:pStyle w:val="Indenta"/>
      </w:pPr>
      <w:r>
        <w:tab/>
        <w:t>(a)</w:t>
      </w:r>
      <w:r>
        <w:tab/>
        <w:t>the name of the council member about whom the complaint is made; and</w:t>
      </w:r>
    </w:p>
    <w:p>
      <w:pPr>
        <w:pStyle w:val="Indenta"/>
      </w:pPr>
      <w:r>
        <w:tab/>
        <w:t>(b)</w:t>
      </w:r>
      <w:r>
        <w:tab/>
        <w:t>the name of the person who makes the complaint; and</w:t>
      </w:r>
    </w:p>
    <w:p>
      <w:pPr>
        <w:pStyle w:val="Indenta"/>
      </w:pPr>
      <w:r>
        <w:tab/>
        <w:t>(c)</w:t>
      </w:r>
      <w:r>
        <w:tab/>
        <w:t>a description of the minor breach that the standards panel finds has occurred; and</w:t>
      </w:r>
    </w:p>
    <w:p>
      <w:pPr>
        <w:pStyle w:val="Indenta"/>
        <w:keepNext/>
        <w:keepLines/>
      </w:pPr>
      <w:r>
        <w:tab/>
        <w:t>(d)</w:t>
      </w:r>
      <w:r>
        <w:tab/>
        <w:t>details of the action taken under section 5.110(6)(b) or (c).</w:t>
      </w:r>
    </w:p>
    <w:p>
      <w:pPr>
        <w:pStyle w:val="Footnotesection"/>
      </w:pPr>
      <w:r>
        <w:tab/>
        <w:t>[Section 5.121 inserted by No. 1 of 2007 s. 11.]</w:t>
      </w:r>
    </w:p>
    <w:p>
      <w:pPr>
        <w:pStyle w:val="Heading5"/>
      </w:pPr>
      <w:bookmarkStart w:id="848" w:name="_Toc462409517"/>
      <w:r>
        <w:rPr>
          <w:rStyle w:val="CharSectno"/>
        </w:rPr>
        <w:t>5.122</w:t>
      </w:r>
      <w:r>
        <w:t>.</w:t>
      </w:r>
      <w:r>
        <w:tab/>
        <w:t>Standards panels</w:t>
      </w:r>
      <w:bookmarkEnd w:id="848"/>
    </w:p>
    <w:p>
      <w:pPr>
        <w:pStyle w:val="Subsection"/>
      </w:pPr>
      <w:r>
        <w:tab/>
        <w:t>(1)</w:t>
      </w:r>
      <w:r>
        <w:tab/>
        <w:t xml:space="preserve">The Minister is to establish a standards panel (the </w:t>
      </w:r>
      <w:r>
        <w:rPr>
          <w:rStyle w:val="CharDefText"/>
        </w:rPr>
        <w:t>primary standards panel</w:t>
      </w:r>
      <w:r>
        <w:t>).</w:t>
      </w:r>
    </w:p>
    <w:p>
      <w:pPr>
        <w:pStyle w:val="Subsection"/>
      </w:pPr>
      <w:r>
        <w:tab/>
        <w:t>(2)</w:t>
      </w:r>
      <w:r>
        <w:tab/>
        <w:t>The Minister may establish other standards panels.</w:t>
      </w:r>
    </w:p>
    <w:p>
      <w:pPr>
        <w:pStyle w:val="Subsection"/>
      </w:pPr>
      <w:r>
        <w:tab/>
        <w:t>(3)</w:t>
      </w:r>
      <w:r>
        <w:tab/>
        <w:t xml:space="preserve">Schedule 5.1 applies to a standards panel. </w:t>
      </w:r>
    </w:p>
    <w:p>
      <w:pPr>
        <w:pStyle w:val="Footnotesection"/>
      </w:pPr>
      <w:r>
        <w:tab/>
        <w:t>[Section 5.122 inserted by No. 1 of 2007 s. 11.]</w:t>
      </w:r>
    </w:p>
    <w:p>
      <w:pPr>
        <w:pStyle w:val="Heading5"/>
      </w:pPr>
      <w:bookmarkStart w:id="849" w:name="_Toc462409518"/>
      <w:r>
        <w:rPr>
          <w:rStyle w:val="CharSectno"/>
        </w:rPr>
        <w:t>5.123</w:t>
      </w:r>
      <w:r>
        <w:t>.</w:t>
      </w:r>
      <w:r>
        <w:tab/>
        <w:t>Confidentiality</w:t>
      </w:r>
      <w:bookmarkEnd w:id="849"/>
    </w:p>
    <w:p>
      <w:pPr>
        <w:pStyle w:val="Subsection"/>
      </w:pPr>
      <w:r>
        <w:tab/>
        <w:t>(1)</w:t>
      </w:r>
      <w:r>
        <w:tab/>
        <w:t xml:space="preserve">A person who — </w:t>
      </w:r>
    </w:p>
    <w:p>
      <w:pPr>
        <w:pStyle w:val="Indenta"/>
      </w:pPr>
      <w:r>
        <w:tab/>
        <w:t>(a)</w:t>
      </w:r>
      <w:r>
        <w:tab/>
        <w:t>makes a complaint during a campaign period; or</w:t>
      </w:r>
    </w:p>
    <w:p>
      <w:pPr>
        <w:pStyle w:val="Indenta"/>
      </w:pPr>
      <w:r>
        <w:tab/>
        <w:t>(b)</w:t>
      </w:r>
      <w:r>
        <w:tab/>
        <w:t>performs a function under this Act in respect of a complaint made during a campaign period; or</w:t>
      </w:r>
    </w:p>
    <w:p>
      <w:pPr>
        <w:pStyle w:val="Indenta"/>
      </w:pPr>
      <w:r>
        <w:tab/>
        <w:t>(c)</w:t>
      </w:r>
      <w:r>
        <w:tab/>
        <w:t>as a result of anything done under this Division, becomes aware of any detail of a complaint made during a campaign period knowing it to be relevant to the complaint,</w:t>
      </w:r>
    </w:p>
    <w:p>
      <w:pPr>
        <w:pStyle w:val="Subsection"/>
      </w:pPr>
      <w:r>
        <w:tab/>
      </w:r>
      <w:r>
        <w:tab/>
        <w:t>and during the campaign period discloses information that the complaint has been made, or discloses information of any detail of the complaint, commits an offence.</w:t>
      </w:r>
    </w:p>
    <w:p>
      <w:pPr>
        <w:pStyle w:val="Subsection"/>
      </w:pPr>
      <w:r>
        <w:tab/>
        <w:t>(2)</w:t>
      </w:r>
      <w:r>
        <w:tab/>
        <w:t xml:space="preserve">It is not an offence against subsection (1) to disclose information if — </w:t>
      </w:r>
    </w:p>
    <w:p>
      <w:pPr>
        <w:pStyle w:val="Indenta"/>
      </w:pPr>
      <w:r>
        <w:tab/>
        <w:t>(a)</w:t>
      </w:r>
      <w:r>
        <w:tab/>
        <w:t>the disclosure is made for the purposes of investigating or dealing with the complaint; or</w:t>
      </w:r>
    </w:p>
    <w:p>
      <w:pPr>
        <w:pStyle w:val="Indenta"/>
      </w:pPr>
      <w:r>
        <w:tab/>
        <w:t>(b)</w:t>
      </w:r>
      <w:r>
        <w:tab/>
        <w:t>the disclosure is required under a written law; or</w:t>
      </w:r>
    </w:p>
    <w:p>
      <w:pPr>
        <w:pStyle w:val="Indenta"/>
      </w:pPr>
      <w:r>
        <w:tab/>
        <w:t>(c)</w:t>
      </w:r>
      <w:r>
        <w:tab/>
        <w:t>the complaint to which the information relates is a complaint of a minor breach and a standards panel has dealt with the breach under section 5.110(6)(b) or (c); or</w:t>
      </w:r>
    </w:p>
    <w:p>
      <w:pPr>
        <w:pStyle w:val="Indenta"/>
      </w:pPr>
      <w:r>
        <w:tab/>
        <w:t>(d)</w:t>
      </w:r>
      <w:r>
        <w:tab/>
        <w:t>the complaint to which the information relates is a complaint of a serious breach and the State Administrative Tribunal has made an order under section 5.117(1).</w:t>
      </w:r>
    </w:p>
    <w:p>
      <w:pPr>
        <w:pStyle w:val="Subsection"/>
      </w:pPr>
      <w:r>
        <w:tab/>
        <w:t>(3)</w:t>
      </w:r>
      <w:r>
        <w:tab/>
        <w:t xml:space="preserve">In this section — </w:t>
      </w:r>
    </w:p>
    <w:p>
      <w:pPr>
        <w:pStyle w:val="Defstart"/>
      </w:pPr>
      <w:r>
        <w:rPr>
          <w:b/>
        </w:rPr>
        <w:tab/>
      </w:r>
      <w:r>
        <w:rPr>
          <w:rStyle w:val="CharDefText"/>
        </w:rPr>
        <w:t>campaign period</w:t>
      </w:r>
      <w:r>
        <w:t xml:space="preserve"> means the period beginning on the first day of the period referred to in section 4.49(a) and ending on election day as that term is defined in section 4.1.</w:t>
      </w:r>
    </w:p>
    <w:p>
      <w:pPr>
        <w:pStyle w:val="Footnotesection"/>
      </w:pPr>
      <w:r>
        <w:tab/>
        <w:t>[Section 5.123 inserted by No. 1 of 2007 s. 11.]</w:t>
      </w:r>
    </w:p>
    <w:p>
      <w:pPr>
        <w:pStyle w:val="Heading5"/>
      </w:pPr>
      <w:bookmarkStart w:id="850" w:name="_Toc462409519"/>
      <w:r>
        <w:rPr>
          <w:rStyle w:val="CharSectno"/>
        </w:rPr>
        <w:t>5.124</w:t>
      </w:r>
      <w:r>
        <w:t>.</w:t>
      </w:r>
      <w:r>
        <w:tab/>
        <w:t>Giving false or misleading information</w:t>
      </w:r>
      <w:bookmarkEnd w:id="850"/>
    </w:p>
    <w:p>
      <w:pPr>
        <w:pStyle w:val="Subsection"/>
      </w:pPr>
      <w:r>
        <w:tab/>
        <w:t>(1)</w:t>
      </w:r>
      <w:r>
        <w:tab/>
        <w:t>A person commits an offence if the person gives information, in any of the circumstances described in subsection (2), knowing the information to be false or misleading in a material particular.</w:t>
      </w:r>
    </w:p>
    <w:p>
      <w:pPr>
        <w:pStyle w:val="Subsection"/>
      </w:pPr>
      <w:r>
        <w:tab/>
        <w:t>(2)</w:t>
      </w:r>
      <w:r>
        <w:tab/>
        <w:t xml:space="preserve">The circumstances in which subsection (1) applies are — </w:t>
      </w:r>
    </w:p>
    <w:p>
      <w:pPr>
        <w:pStyle w:val="Indenta"/>
      </w:pPr>
      <w:r>
        <w:tab/>
        <w:t>(a)</w:t>
      </w:r>
      <w:r>
        <w:tab/>
        <w:t>when the information is given in a complaint under section 5.107 or 5.114; or</w:t>
      </w:r>
    </w:p>
    <w:p>
      <w:pPr>
        <w:pStyle w:val="Indenta"/>
      </w:pPr>
      <w:r>
        <w:tab/>
        <w:t>(b)</w:t>
      </w:r>
      <w:r>
        <w:tab/>
        <w:t>when the information is given to a person for the purposes of an investigation of whether or not a breach has been committed; or</w:t>
      </w:r>
    </w:p>
    <w:p>
      <w:pPr>
        <w:pStyle w:val="Indenta"/>
      </w:pPr>
      <w:r>
        <w:tab/>
        <w:t>(c)</w:t>
      </w:r>
      <w:r>
        <w:tab/>
        <w:t>when the information is given to a standards panel.</w:t>
      </w:r>
    </w:p>
    <w:p>
      <w:pPr>
        <w:pStyle w:val="Footnotesection"/>
      </w:pPr>
      <w:r>
        <w:tab/>
        <w:t>[Section 5.124 inserted by No. 1 of 2007 s. 11.]</w:t>
      </w:r>
    </w:p>
    <w:p>
      <w:pPr>
        <w:pStyle w:val="Heading5"/>
      </w:pPr>
      <w:bookmarkStart w:id="851" w:name="_Toc462409520"/>
      <w:r>
        <w:rPr>
          <w:rStyle w:val="CharSectno"/>
        </w:rPr>
        <w:t>5.125</w:t>
      </w:r>
      <w:r>
        <w:t>.</w:t>
      </w:r>
      <w:r>
        <w:tab/>
        <w:t>Review of certain decisions</w:t>
      </w:r>
      <w:bookmarkEnd w:id="851"/>
    </w:p>
    <w:p>
      <w:pPr>
        <w:pStyle w:val="Subsection"/>
      </w:pPr>
      <w:r>
        <w:tab/>
        <w:t>(1)</w:t>
      </w:r>
      <w:r>
        <w:tab/>
        <w:t>A party may apply to the State Administrative Tribunal for a review of a decision of a standards panel.</w:t>
      </w:r>
    </w:p>
    <w:p>
      <w:pPr>
        <w:pStyle w:val="Subsection"/>
      </w:pPr>
      <w:r>
        <w:tab/>
        <w:t>(2)</w:t>
      </w:r>
      <w:r>
        <w:tab/>
        <w:t xml:space="preserve">In subsection (1) — </w:t>
      </w:r>
    </w:p>
    <w:p>
      <w:pPr>
        <w:pStyle w:val="Defstart"/>
      </w:pPr>
      <w:r>
        <w:rPr>
          <w:b/>
        </w:rPr>
        <w:tab/>
      </w:r>
      <w:r>
        <w:rPr>
          <w:rStyle w:val="CharDefText"/>
        </w:rPr>
        <w:t>decision</w:t>
      </w:r>
      <w:r>
        <w:t xml:space="preserve"> means a decision to dismiss a complaint or to make an order.</w:t>
      </w:r>
    </w:p>
    <w:p>
      <w:pPr>
        <w:pStyle w:val="Footnotesection"/>
      </w:pPr>
      <w:r>
        <w:tab/>
        <w:t>[Section 5.125 inserted by No. 1 of 2007 s. 11.]</w:t>
      </w:r>
    </w:p>
    <w:p>
      <w:pPr>
        <w:pStyle w:val="Heading2"/>
      </w:pPr>
      <w:bookmarkStart w:id="852" w:name="_Toc448219236"/>
      <w:bookmarkStart w:id="853" w:name="_Toc448224458"/>
      <w:bookmarkStart w:id="854" w:name="_Toc451179695"/>
      <w:bookmarkStart w:id="855" w:name="_Toc451430615"/>
      <w:bookmarkStart w:id="856" w:name="_Toc455396565"/>
      <w:bookmarkStart w:id="857" w:name="_Toc455397425"/>
      <w:bookmarkStart w:id="858" w:name="_Toc456086508"/>
      <w:bookmarkStart w:id="859" w:name="_Toc462409521"/>
      <w:r>
        <w:rPr>
          <w:rStyle w:val="CharPartNo"/>
        </w:rPr>
        <w:t>Part 6</w:t>
      </w:r>
      <w:r>
        <w:t> — </w:t>
      </w:r>
      <w:r>
        <w:rPr>
          <w:rStyle w:val="CharPartText"/>
        </w:rPr>
        <w:t>Financial management</w:t>
      </w:r>
      <w:bookmarkEnd w:id="852"/>
      <w:bookmarkEnd w:id="853"/>
      <w:bookmarkEnd w:id="854"/>
      <w:bookmarkEnd w:id="855"/>
      <w:bookmarkEnd w:id="856"/>
      <w:bookmarkEnd w:id="857"/>
      <w:bookmarkEnd w:id="858"/>
      <w:bookmarkEnd w:id="859"/>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the financial management of local governments, including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annual budgeting;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financial accounting and reporting of the funds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ways (including rates and service charges, fees, charges and borrowings) in which the activities of local governments are financed.</w:t>
      </w:r>
    </w:p>
    <w:p>
      <w:pPr>
        <w:pStyle w:val="Heading3"/>
      </w:pPr>
      <w:bookmarkStart w:id="860" w:name="_Toc448219237"/>
      <w:bookmarkStart w:id="861" w:name="_Toc448224459"/>
      <w:bookmarkStart w:id="862" w:name="_Toc451179696"/>
      <w:bookmarkStart w:id="863" w:name="_Toc451430616"/>
      <w:bookmarkStart w:id="864" w:name="_Toc455396566"/>
      <w:bookmarkStart w:id="865" w:name="_Toc455397426"/>
      <w:bookmarkStart w:id="866" w:name="_Toc456086509"/>
      <w:bookmarkStart w:id="867" w:name="_Toc462409522"/>
      <w:r>
        <w:rPr>
          <w:rStyle w:val="CharDivNo"/>
        </w:rPr>
        <w:t>Division 1</w:t>
      </w:r>
      <w:r>
        <w:t> — </w:t>
      </w:r>
      <w:r>
        <w:rPr>
          <w:rStyle w:val="CharDivText"/>
        </w:rPr>
        <w:t>Introduction</w:t>
      </w:r>
      <w:bookmarkEnd w:id="860"/>
      <w:bookmarkEnd w:id="861"/>
      <w:bookmarkEnd w:id="862"/>
      <w:bookmarkEnd w:id="863"/>
      <w:bookmarkEnd w:id="864"/>
      <w:bookmarkEnd w:id="865"/>
      <w:bookmarkEnd w:id="866"/>
      <w:bookmarkEnd w:id="867"/>
    </w:p>
    <w:p>
      <w:pPr>
        <w:pStyle w:val="Heading5"/>
      </w:pPr>
      <w:bookmarkStart w:id="868" w:name="_Toc462409523"/>
      <w:r>
        <w:rPr>
          <w:rStyle w:val="CharSectno"/>
        </w:rPr>
        <w:t>6.1</w:t>
      </w:r>
      <w:r>
        <w:t>.</w:t>
      </w:r>
      <w:r>
        <w:tab/>
        <w:t>Terms used</w:t>
      </w:r>
      <w:bookmarkEnd w:id="868"/>
    </w:p>
    <w:p>
      <w:pPr>
        <w:pStyle w:val="Subsection"/>
      </w:pPr>
      <w:r>
        <w:tab/>
      </w:r>
      <w:r>
        <w:tab/>
        <w:t>In this Part, unless the contrary intention appears — </w:t>
      </w:r>
    </w:p>
    <w:p>
      <w:pPr>
        <w:pStyle w:val="Defstart"/>
      </w:pPr>
      <w:r>
        <w:rPr>
          <w:b/>
        </w:rPr>
        <w:tab/>
      </w:r>
      <w:r>
        <w:rPr>
          <w:rStyle w:val="CharDefText"/>
        </w:rPr>
        <w:t>annual budget</w:t>
      </w:r>
      <w:r>
        <w:t xml:space="preserve"> means the annual budget adopted by a local government under section 6.2;</w:t>
      </w:r>
    </w:p>
    <w:p>
      <w:pPr>
        <w:pStyle w:val="Defstart"/>
      </w:pPr>
      <w:r>
        <w:rPr>
          <w:b/>
        </w:rPr>
        <w:tab/>
      </w:r>
      <w:r>
        <w:rPr>
          <w:rStyle w:val="CharDefText"/>
        </w:rPr>
        <w:t>budget deficiency</w:t>
      </w:r>
      <w:r>
        <w:t xml:space="preserve"> means, in relation to a financial year, the amount referred to in section 6.2(2)(c);</w:t>
      </w:r>
    </w:p>
    <w:p>
      <w:pPr>
        <w:pStyle w:val="Defstart"/>
      </w:pPr>
      <w:r>
        <w:rPr>
          <w:b/>
        </w:rPr>
        <w:tab/>
      </w:r>
      <w:r>
        <w:rPr>
          <w:rStyle w:val="CharDefText"/>
        </w:rPr>
        <w:t>differential general rate</w:t>
      </w:r>
      <w:r>
        <w:t xml:space="preserve"> means the rate imposed under section 6.33;</w:t>
      </w:r>
    </w:p>
    <w:p>
      <w:pPr>
        <w:pStyle w:val="Defstart"/>
      </w:pPr>
      <w:r>
        <w:rPr>
          <w:b/>
        </w:rPr>
        <w:tab/>
      </w:r>
      <w:r>
        <w:rPr>
          <w:rStyle w:val="CharDefText"/>
        </w:rPr>
        <w:t>general rate</w:t>
      </w:r>
      <w:r>
        <w:t xml:space="preserve"> means a rate imposed in accordance with section 6.32(1)(a);</w:t>
      </w:r>
    </w:p>
    <w:p>
      <w:pPr>
        <w:pStyle w:val="Defstart"/>
      </w:pPr>
      <w:r>
        <w:rPr>
          <w:b/>
        </w:rPr>
        <w:tab/>
      </w:r>
      <w:r>
        <w:rPr>
          <w:rStyle w:val="CharDefText"/>
        </w:rPr>
        <w:t>minimum payment</w:t>
      </w:r>
      <w:r>
        <w:t xml:space="preserve"> means an amount imposed under section 6.35;</w:t>
      </w:r>
    </w:p>
    <w:p>
      <w:pPr>
        <w:pStyle w:val="Defstart"/>
      </w:pPr>
      <w:r>
        <w:rPr>
          <w:b/>
        </w:rPr>
        <w:tab/>
      </w:r>
      <w:r>
        <w:rPr>
          <w:rStyle w:val="CharDefText"/>
        </w:rPr>
        <w:t>service charge</w:t>
      </w:r>
      <w:r>
        <w:t xml:space="preserve"> means a service charge imposed under section 6.38;</w:t>
      </w:r>
    </w:p>
    <w:p>
      <w:pPr>
        <w:pStyle w:val="Defstart"/>
      </w:pPr>
      <w:r>
        <w:rPr>
          <w:b/>
        </w:rPr>
        <w:tab/>
      </w:r>
      <w:r>
        <w:rPr>
          <w:rStyle w:val="CharDefText"/>
        </w:rPr>
        <w:t>specified area rate</w:t>
      </w:r>
      <w:r>
        <w:t xml:space="preserve"> means a rate imposed under section 6.37;</w:t>
      </w:r>
    </w:p>
    <w:p>
      <w:pPr>
        <w:pStyle w:val="Defstart"/>
      </w:pPr>
      <w:r>
        <w:rPr>
          <w:b/>
        </w:rPr>
        <w:tab/>
      </w:r>
      <w:r>
        <w:rPr>
          <w:rStyle w:val="CharDefText"/>
        </w:rPr>
        <w:t>trust fund</w:t>
      </w:r>
      <w:r>
        <w:t xml:space="preserve"> means the trust fund established by a local government under section 6.9.</w:t>
      </w:r>
    </w:p>
    <w:p>
      <w:pPr>
        <w:pStyle w:val="Footnotesection"/>
      </w:pPr>
      <w:r>
        <w:tab/>
        <w:t>[Section 6.1 amended by No. 55 of 2004 s. 688.]</w:t>
      </w:r>
    </w:p>
    <w:p>
      <w:pPr>
        <w:pStyle w:val="Heading3"/>
      </w:pPr>
      <w:bookmarkStart w:id="869" w:name="_Toc448219239"/>
      <w:bookmarkStart w:id="870" w:name="_Toc448224461"/>
      <w:bookmarkStart w:id="871" w:name="_Toc451179698"/>
      <w:bookmarkStart w:id="872" w:name="_Toc451430618"/>
      <w:bookmarkStart w:id="873" w:name="_Toc455396568"/>
      <w:bookmarkStart w:id="874" w:name="_Toc455397428"/>
      <w:bookmarkStart w:id="875" w:name="_Toc456086511"/>
      <w:bookmarkStart w:id="876" w:name="_Toc462409524"/>
      <w:r>
        <w:rPr>
          <w:rStyle w:val="CharDivNo"/>
        </w:rPr>
        <w:t>Division 2</w:t>
      </w:r>
      <w:r>
        <w:t> — </w:t>
      </w:r>
      <w:r>
        <w:rPr>
          <w:rStyle w:val="CharDivText"/>
        </w:rPr>
        <w:t>Annual budget</w:t>
      </w:r>
      <w:bookmarkEnd w:id="869"/>
      <w:bookmarkEnd w:id="870"/>
      <w:bookmarkEnd w:id="871"/>
      <w:bookmarkEnd w:id="872"/>
      <w:bookmarkEnd w:id="873"/>
      <w:bookmarkEnd w:id="874"/>
      <w:bookmarkEnd w:id="875"/>
      <w:bookmarkEnd w:id="876"/>
    </w:p>
    <w:p>
      <w:pPr>
        <w:pStyle w:val="Heading5"/>
      </w:pPr>
      <w:bookmarkStart w:id="877" w:name="_Toc462409525"/>
      <w:r>
        <w:rPr>
          <w:rStyle w:val="CharSectno"/>
        </w:rPr>
        <w:t>6.2</w:t>
      </w:r>
      <w:r>
        <w:t>.</w:t>
      </w:r>
      <w:r>
        <w:tab/>
        <w:t>Local government to prepare annual budget</w:t>
      </w:r>
      <w:bookmarkEnd w:id="877"/>
    </w:p>
    <w:p>
      <w:pPr>
        <w:pStyle w:val="Subsection"/>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 and</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 and</w:t>
      </w:r>
    </w:p>
    <w:p>
      <w:pPr>
        <w:pStyle w:val="Indenta"/>
        <w:keepNext/>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tab/>
        <w:t>(ii)</w:t>
      </w:r>
      <w:r>
        <w:rPr>
          <w:spacing w:val="-2"/>
        </w:rPr>
        <w:tab/>
      </w:r>
      <w:r>
        <w:t>the rate of interest (if any) to be charged by the local government on unpaid rates and service charges;</w:t>
      </w:r>
    </w:p>
    <w:p>
      <w:pPr>
        <w:pStyle w:val="Indenta"/>
      </w:pPr>
      <w:r>
        <w:tab/>
      </w:r>
      <w:r>
        <w:tab/>
        <w:t>and</w:t>
      </w:r>
    </w:p>
    <w:p>
      <w:pPr>
        <w:pStyle w:val="Indenta"/>
      </w:pPr>
      <w:r>
        <w:tab/>
        <w:t>(c)</w:t>
      </w:r>
      <w:r>
        <w:tab/>
        <w:t>the fees and charges proposed to be imposed by the local government; and</w:t>
      </w:r>
    </w:p>
    <w:p>
      <w:pPr>
        <w:pStyle w:val="Indenta"/>
      </w:pPr>
      <w:r>
        <w:tab/>
        <w:t>(d)</w:t>
      </w:r>
      <w:r>
        <w:tab/>
        <w:t>the particulars of borrowings and other financial accommodation proposed to be entered into by the local government; and</w:t>
      </w:r>
    </w:p>
    <w:p>
      <w:pPr>
        <w:pStyle w:val="Indenta"/>
      </w:pPr>
      <w:r>
        <w:tab/>
        <w:t>(e)</w:t>
      </w:r>
      <w:r>
        <w:tab/>
        <w:t>details of the amounts to be set aside in, or used from, reserve accounts and of the purpose for which they are to be set aside or used; and</w:t>
      </w:r>
    </w:p>
    <w:p>
      <w:pPr>
        <w:pStyle w:val="Indenta"/>
      </w:pPr>
      <w:r>
        <w:tab/>
        <w:t>(f)</w:t>
      </w:r>
      <w:r>
        <w:tab/>
        <w:t>particulars of proposed land transactions and trading undertakings (as those terms are defined in and for the purpose of section 3.59) of the local government; and</w:t>
      </w:r>
    </w:p>
    <w:p>
      <w:pPr>
        <w:pStyle w:val="Indenta"/>
      </w:pPr>
      <w:r>
        <w:tab/>
        <w:t>(g)</w:t>
      </w:r>
      <w:r>
        <w:tab/>
        <w:t>such other matters as are prescribed.</w:t>
      </w:r>
    </w:p>
    <w:p>
      <w:pPr>
        <w:pStyle w:val="Subsection"/>
      </w:pPr>
      <w:r>
        <w:tab/>
        <w:t>(5)</w:t>
      </w:r>
      <w:r>
        <w:tab/>
        <w:t>Regulations may provide for — </w:t>
      </w:r>
    </w:p>
    <w:p>
      <w:pPr>
        <w:pStyle w:val="Indenta"/>
      </w:pPr>
      <w:r>
        <w:tab/>
        <w:t>(a)</w:t>
      </w:r>
      <w:r>
        <w:tab/>
        <w:t>the form of the annual budget; and</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r>
        <w:tab/>
        <w:t>[Section 6.2 amended by No. 49 of 2004 s. 42(8) and 56.]</w:t>
      </w:r>
    </w:p>
    <w:p>
      <w:pPr>
        <w:pStyle w:val="Heading5"/>
      </w:pPr>
      <w:bookmarkStart w:id="878" w:name="_Toc462409526"/>
      <w:r>
        <w:rPr>
          <w:rStyle w:val="CharSectno"/>
        </w:rPr>
        <w:t>6.3</w:t>
      </w:r>
      <w:r>
        <w:t>.</w:t>
      </w:r>
      <w:r>
        <w:tab/>
        <w:t>Budget for other circumstances</w:t>
      </w:r>
      <w:bookmarkEnd w:id="878"/>
    </w:p>
    <w:p>
      <w:pPr>
        <w:pStyle w:val="Subsection"/>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pPr>
      <w:r>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keepNext/>
        <w:keepLines/>
      </w:pPr>
      <w:r>
        <w:tab/>
        <w:t>(b)</w:t>
      </w:r>
      <w:r>
        <w:tab/>
        <w:t>if, at any time after the imposition of rates in a financial year it intends to impose a supplementary general rate or specified area rate for the unexpired portion of the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rPr>
          <w:spacing w:val="-2"/>
        </w:rPr>
      </w:pPr>
      <w:r>
        <w:tab/>
        <w:t>[Section 6.3 amended by No. 55 of 2004 s. 689.]</w:t>
      </w:r>
    </w:p>
    <w:p>
      <w:pPr>
        <w:pStyle w:val="Heading3"/>
      </w:pPr>
      <w:bookmarkStart w:id="879" w:name="_Toc448219242"/>
      <w:bookmarkStart w:id="880" w:name="_Toc448224464"/>
      <w:bookmarkStart w:id="881" w:name="_Toc451179701"/>
      <w:bookmarkStart w:id="882" w:name="_Toc451430621"/>
      <w:bookmarkStart w:id="883" w:name="_Toc455396571"/>
      <w:bookmarkStart w:id="884" w:name="_Toc455397431"/>
      <w:bookmarkStart w:id="885" w:name="_Toc456086514"/>
      <w:bookmarkStart w:id="886" w:name="_Toc462409527"/>
      <w:r>
        <w:rPr>
          <w:rStyle w:val="CharDivNo"/>
        </w:rPr>
        <w:t>Division 3</w:t>
      </w:r>
      <w:r>
        <w:t> — </w:t>
      </w:r>
      <w:r>
        <w:rPr>
          <w:rStyle w:val="CharDivText"/>
        </w:rPr>
        <w:t>Reporting on activities and finance</w:t>
      </w:r>
      <w:bookmarkEnd w:id="879"/>
      <w:bookmarkEnd w:id="880"/>
      <w:bookmarkEnd w:id="881"/>
      <w:bookmarkEnd w:id="882"/>
      <w:bookmarkEnd w:id="883"/>
      <w:bookmarkEnd w:id="884"/>
      <w:bookmarkEnd w:id="885"/>
      <w:bookmarkEnd w:id="886"/>
    </w:p>
    <w:p>
      <w:pPr>
        <w:pStyle w:val="Heading5"/>
        <w:spacing w:before="180"/>
      </w:pPr>
      <w:bookmarkStart w:id="887" w:name="_Toc462409528"/>
      <w:r>
        <w:rPr>
          <w:rStyle w:val="CharSectno"/>
        </w:rPr>
        <w:t>6.4</w:t>
      </w:r>
      <w:r>
        <w:t>.</w:t>
      </w:r>
      <w:r>
        <w:tab/>
        <w:t>Financial report</w:t>
      </w:r>
      <w:bookmarkEnd w:id="887"/>
    </w:p>
    <w:p>
      <w:pPr>
        <w:pStyle w:val="Subsection"/>
      </w:pPr>
      <w:r>
        <w:tab/>
        <w:t>(1)</w:t>
      </w:r>
      <w:r>
        <w:tab/>
        <w:t>A local government is to prepare an annual financial report for the preceding financial year and such other financial reports as are prescribed.</w:t>
      </w:r>
    </w:p>
    <w:p>
      <w:pPr>
        <w:pStyle w:val="Subsection"/>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888" w:name="_Toc448219244"/>
      <w:bookmarkStart w:id="889" w:name="_Toc448224466"/>
      <w:bookmarkStart w:id="890" w:name="_Toc451179703"/>
      <w:bookmarkStart w:id="891" w:name="_Toc451430623"/>
      <w:bookmarkStart w:id="892" w:name="_Toc455396573"/>
      <w:bookmarkStart w:id="893" w:name="_Toc455397433"/>
      <w:bookmarkStart w:id="894" w:name="_Toc456086516"/>
      <w:bookmarkStart w:id="895" w:name="_Toc462409529"/>
      <w:r>
        <w:rPr>
          <w:rStyle w:val="CharDivNo"/>
        </w:rPr>
        <w:t>Division 4</w:t>
      </w:r>
      <w:r>
        <w:t> — </w:t>
      </w:r>
      <w:r>
        <w:rPr>
          <w:rStyle w:val="CharDivText"/>
        </w:rPr>
        <w:t>General financial provisions</w:t>
      </w:r>
      <w:bookmarkEnd w:id="888"/>
      <w:bookmarkEnd w:id="889"/>
      <w:bookmarkEnd w:id="890"/>
      <w:bookmarkEnd w:id="891"/>
      <w:bookmarkEnd w:id="892"/>
      <w:bookmarkEnd w:id="893"/>
      <w:bookmarkEnd w:id="894"/>
      <w:bookmarkEnd w:id="895"/>
    </w:p>
    <w:p>
      <w:pPr>
        <w:pStyle w:val="Heading5"/>
      </w:pPr>
      <w:bookmarkStart w:id="896" w:name="_Toc462409530"/>
      <w:r>
        <w:rPr>
          <w:rStyle w:val="CharSectno"/>
        </w:rPr>
        <w:t>6.5</w:t>
      </w:r>
      <w:r>
        <w:t>.</w:t>
      </w:r>
      <w:r>
        <w:tab/>
        <w:t>Accounts and records</w:t>
      </w:r>
      <w:bookmarkEnd w:id="896"/>
    </w:p>
    <w:p>
      <w:pPr>
        <w:pStyle w:val="Subsection"/>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897" w:name="_Toc462409531"/>
      <w:r>
        <w:rPr>
          <w:rStyle w:val="CharSectno"/>
        </w:rPr>
        <w:t>6.6</w:t>
      </w:r>
      <w:r>
        <w:t>.</w:t>
      </w:r>
      <w:r>
        <w:tab/>
        <w:t>Funds to be established</w:t>
      </w:r>
      <w:bookmarkEnd w:id="897"/>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898" w:name="_Toc462409532"/>
      <w:r>
        <w:rPr>
          <w:rStyle w:val="CharSectno"/>
        </w:rPr>
        <w:t>6.7</w:t>
      </w:r>
      <w:r>
        <w:t>.</w:t>
      </w:r>
      <w:r>
        <w:tab/>
        <w:t>Municipal fund</w:t>
      </w:r>
      <w:bookmarkEnd w:id="898"/>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899" w:name="_Toc462409533"/>
      <w:r>
        <w:rPr>
          <w:rStyle w:val="CharSectno"/>
        </w:rPr>
        <w:t>6.8</w:t>
      </w:r>
      <w:r>
        <w:t>.</w:t>
      </w:r>
      <w:r>
        <w:tab/>
        <w:t>Expenditure from municipal fund not included in annual budget</w:t>
      </w:r>
      <w:bookmarkEnd w:id="899"/>
    </w:p>
    <w:p>
      <w:pPr>
        <w:pStyle w:val="Subsection"/>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 or</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spacing w:before="120"/>
      </w:pPr>
      <w:r>
        <w:tab/>
        <w:t>(1a)</w:t>
      </w:r>
      <w:r>
        <w:tab/>
        <w:t xml:space="preserve">In subsection (1) — </w:t>
      </w:r>
    </w:p>
    <w:p>
      <w:pPr>
        <w:pStyle w:val="Defstart"/>
      </w:pPr>
      <w:r>
        <w:tab/>
      </w:r>
      <w:r>
        <w:rPr>
          <w:rStyle w:val="CharDefText"/>
        </w:rPr>
        <w:t>additional purpose</w:t>
      </w:r>
      <w:r>
        <w:t xml:space="preserve"> means a purpose for which no expenditure estimate is included in the local government’s annual budget.</w:t>
      </w:r>
    </w:p>
    <w:p>
      <w:pPr>
        <w:pStyle w:val="Subsection"/>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by No. 1 of 1998 s. 19.]</w:t>
      </w:r>
    </w:p>
    <w:p>
      <w:pPr>
        <w:pStyle w:val="Heading5"/>
      </w:pPr>
      <w:bookmarkStart w:id="900" w:name="_Toc462409534"/>
      <w:r>
        <w:rPr>
          <w:rStyle w:val="CharSectno"/>
        </w:rPr>
        <w:t>6.9</w:t>
      </w:r>
      <w:r>
        <w:t>.</w:t>
      </w:r>
      <w:r>
        <w:tab/>
        <w:t>Trust fund</w:t>
      </w:r>
      <w:bookmarkEnd w:id="900"/>
    </w:p>
    <w:p>
      <w:pPr>
        <w:pStyle w:val="Subsection"/>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pPr>
      <w:r>
        <w:tab/>
        <w:t>(2)</w:t>
      </w:r>
      <w:r>
        <w:tab/>
        <w:t>Money or other property held in the trust fund is to be applied for the purposes of, and in accordance with, the trusts affecting it.</w:t>
      </w:r>
    </w:p>
    <w:p>
      <w:pPr>
        <w:pStyle w:val="Subsection"/>
      </w:pPr>
      <w:r>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spacing w:before="120"/>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by No. 49 of 2004 s. 57.]</w:t>
      </w:r>
    </w:p>
    <w:p>
      <w:pPr>
        <w:pStyle w:val="Heading5"/>
      </w:pPr>
      <w:bookmarkStart w:id="901" w:name="_Toc462409535"/>
      <w:r>
        <w:rPr>
          <w:rStyle w:val="CharSectno"/>
        </w:rPr>
        <w:t>6.10</w:t>
      </w:r>
      <w:r>
        <w:t>.</w:t>
      </w:r>
      <w:r>
        <w:tab/>
        <w:t>Financial management regulations</w:t>
      </w:r>
      <w:bookmarkEnd w:id="901"/>
    </w:p>
    <w:p>
      <w:pPr>
        <w:pStyle w:val="Subsection"/>
        <w:keepNext/>
      </w:pPr>
      <w:r>
        <w:tab/>
      </w:r>
      <w:r>
        <w:tab/>
        <w:t>Regulations may provide for — </w:t>
      </w:r>
    </w:p>
    <w:p>
      <w:pPr>
        <w:pStyle w:val="Indenta"/>
      </w:pPr>
      <w:r>
        <w:tab/>
        <w:t>(a)</w:t>
      </w:r>
      <w:r>
        <w:tab/>
        <w:t>the security and banking of money received by a local government; and</w:t>
      </w:r>
    </w:p>
    <w:p>
      <w:pPr>
        <w:pStyle w:val="Indenta"/>
      </w:pPr>
      <w:r>
        <w:tab/>
        <w:t>(b)</w:t>
      </w:r>
      <w:r>
        <w:tab/>
        <w:t>the keeping of financial records by a local government; and</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902" w:name="_Toc462409536"/>
      <w:r>
        <w:rPr>
          <w:rStyle w:val="CharSectno"/>
        </w:rPr>
        <w:t>6.11</w:t>
      </w:r>
      <w:r>
        <w:t>.</w:t>
      </w:r>
      <w:r>
        <w:tab/>
        <w:t>Reserve accounts</w:t>
      </w:r>
      <w:bookmarkEnd w:id="902"/>
    </w:p>
    <w:p>
      <w:pPr>
        <w:pStyle w:val="Subsection"/>
      </w:pPr>
      <w:r>
        <w:tab/>
        <w:t>(1)</w:t>
      </w:r>
      <w:r>
        <w:tab/>
        <w:t>Subject to subsection (5), where a local government wishes to set aside money for use for a purpose in a future financial year, 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spacing w:before="180"/>
      </w:pPr>
      <w:bookmarkStart w:id="903" w:name="_Toc462409537"/>
      <w:r>
        <w:rPr>
          <w:rStyle w:val="CharSectno"/>
        </w:rPr>
        <w:t>6.12</w:t>
      </w:r>
      <w:r>
        <w:t>.</w:t>
      </w:r>
      <w:r>
        <w:tab/>
        <w:t>Power to defer, grant discounts, waive or write off debts</w:t>
      </w:r>
      <w:bookmarkEnd w:id="903"/>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 or</w:t>
      </w:r>
    </w:p>
    <w:p>
      <w:pPr>
        <w:pStyle w:val="Indenta"/>
      </w:pPr>
      <w:r>
        <w:tab/>
        <w:t>(b)</w:t>
      </w:r>
      <w:r>
        <w:tab/>
        <w:t>waive or grant concessions in relation to any amount of money; or</w:t>
      </w:r>
    </w:p>
    <w:p>
      <w:pPr>
        <w:pStyle w:val="Indenta"/>
      </w:pPr>
      <w:r>
        <w:tab/>
        <w:t>(c)</w:t>
      </w:r>
      <w:r>
        <w:tab/>
        <w:t>write off any amount of money,</w:t>
      </w:r>
    </w:p>
    <w:p>
      <w:pPr>
        <w:pStyle w:val="Subsection"/>
      </w:pPr>
      <w:r>
        <w:tab/>
      </w:r>
      <w:r>
        <w:tab/>
        <w:t>which is owed to the local government.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by No. 64 of 1998 s. 39.]</w:t>
      </w:r>
    </w:p>
    <w:p>
      <w:pPr>
        <w:pStyle w:val="Heading5"/>
        <w:keepNext w:val="0"/>
        <w:keepLines w:val="0"/>
        <w:spacing w:before="180"/>
      </w:pPr>
      <w:bookmarkStart w:id="904" w:name="_Toc462409538"/>
      <w:r>
        <w:rPr>
          <w:rStyle w:val="CharSectno"/>
        </w:rPr>
        <w:t>6.13</w:t>
      </w:r>
      <w:r>
        <w:t>.</w:t>
      </w:r>
      <w:r>
        <w:tab/>
        <w:t>Interest on money owing to local governments</w:t>
      </w:r>
      <w:bookmarkEnd w:id="904"/>
    </w:p>
    <w:p>
      <w:pPr>
        <w:pStyle w:val="Subsection"/>
        <w:spacing w:before="120"/>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Where a local government imposes interest under subsection (1) on any outstanding amount of money the local government is 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pPr>
      <w:r>
        <w:tab/>
        <w:t>(7)</w:t>
      </w:r>
      <w:r>
        <w:tab/>
        <w:t>Regulations may provide for the method of calculation of interest.</w:t>
      </w:r>
    </w:p>
    <w:p>
      <w:pPr>
        <w:pStyle w:val="Heading5"/>
        <w:keepNext w:val="0"/>
        <w:keepLines w:val="0"/>
        <w:spacing w:before="180"/>
      </w:pPr>
      <w:bookmarkStart w:id="905" w:name="_Toc462409539"/>
      <w:r>
        <w:rPr>
          <w:rStyle w:val="CharSectno"/>
        </w:rPr>
        <w:t>6.14</w:t>
      </w:r>
      <w:r>
        <w:t>.</w:t>
      </w:r>
      <w:r>
        <w:tab/>
        <w:t>Power to invest</w:t>
      </w:r>
      <w:bookmarkEnd w:id="905"/>
    </w:p>
    <w:p>
      <w:pPr>
        <w:pStyle w:val="Subsection"/>
        <w:spacing w:before="120"/>
      </w:pPr>
      <w:r>
        <w:tab/>
        <w:t>(1)</w:t>
      </w:r>
      <w:r>
        <w:tab/>
        <w:t xml:space="preserve">Money held in the municipal fund or the trust fund of a local government that is not, for the time being, required by the local government for any other purpose may be invested as trust funds may be invested under the </w:t>
      </w:r>
      <w:r>
        <w:rPr>
          <w:i/>
        </w:rPr>
        <w:t>Trustees Act 1962</w:t>
      </w:r>
      <w:r>
        <w:t xml:space="preserve"> Part III.</w:t>
      </w:r>
    </w:p>
    <w:p>
      <w:pPr>
        <w:pStyle w:val="Subsection"/>
      </w:pPr>
      <w:r>
        <w:tab/>
        <w:t>(2A)</w:t>
      </w:r>
      <w:r>
        <w:tab/>
        <w:t>A local government is to comply with the regulations when investing money referred to in subsection (1).</w:t>
      </w:r>
    </w:p>
    <w:p>
      <w:pPr>
        <w:pStyle w:val="Subsection"/>
      </w:pPr>
      <w:r>
        <w:tab/>
        <w:t>(2)</w:t>
      </w:r>
      <w:r>
        <w:tab/>
        <w:t>Regulations in relation to investments by local governments may — </w:t>
      </w:r>
    </w:p>
    <w:p>
      <w:pPr>
        <w:pStyle w:val="Indenta"/>
      </w:pPr>
      <w:r>
        <w:tab/>
        <w:t>(a)</w:t>
      </w:r>
      <w:r>
        <w:tab/>
        <w:t>make provision in respect of the investment of money referred to in subsection (1); and</w:t>
      </w:r>
    </w:p>
    <w:p>
      <w:pPr>
        <w:pStyle w:val="Ednotepara"/>
        <w:spacing w:before="80"/>
      </w:pPr>
      <w:r>
        <w:tab/>
        <w:t>[(b)</w:t>
      </w:r>
      <w:r>
        <w:tab/>
        <w:t>deleted]</w:t>
      </w:r>
    </w:p>
    <w:p>
      <w:pPr>
        <w:pStyle w:val="Indenta"/>
      </w:pPr>
      <w:r>
        <w:tab/>
        <w:t>(c)</w:t>
      </w:r>
      <w:r>
        <w:tab/>
        <w:t>prescribe circumstances in which a local government is required to invest money held by it; and</w:t>
      </w:r>
    </w:p>
    <w:p>
      <w:pPr>
        <w:pStyle w:val="Indenta"/>
      </w:pPr>
      <w:r>
        <w:tab/>
        <w:t>(d)</w:t>
      </w:r>
      <w:r>
        <w:tab/>
        <w:t>provide for the application of investment earnings; and</w:t>
      </w:r>
    </w:p>
    <w:p>
      <w:pPr>
        <w:pStyle w:val="Indenta"/>
      </w:pPr>
      <w:r>
        <w:tab/>
        <w:t>(e)</w:t>
      </w:r>
      <w:r>
        <w:tab/>
        <w:t>generally provide for the management of those investments.</w:t>
      </w:r>
    </w:p>
    <w:p>
      <w:pPr>
        <w:pStyle w:val="Footnotesection"/>
      </w:pPr>
      <w:r>
        <w:tab/>
        <w:t>[Section 6.14 amended by No. 49 of 2004 s. 58; No. 17 of 2009 s. 36; No. 2 of 2012 s. 19.]</w:t>
      </w:r>
    </w:p>
    <w:p>
      <w:pPr>
        <w:pStyle w:val="Heading3"/>
      </w:pPr>
      <w:bookmarkStart w:id="906" w:name="_Toc448219255"/>
      <w:bookmarkStart w:id="907" w:name="_Toc448224477"/>
      <w:bookmarkStart w:id="908" w:name="_Toc451179714"/>
      <w:bookmarkStart w:id="909" w:name="_Toc451430634"/>
      <w:bookmarkStart w:id="910" w:name="_Toc455396584"/>
      <w:bookmarkStart w:id="911" w:name="_Toc455397444"/>
      <w:bookmarkStart w:id="912" w:name="_Toc456086527"/>
      <w:bookmarkStart w:id="913" w:name="_Toc462409540"/>
      <w:r>
        <w:rPr>
          <w:rStyle w:val="CharDivNo"/>
        </w:rPr>
        <w:t>Division 5</w:t>
      </w:r>
      <w:r>
        <w:t> — </w:t>
      </w:r>
      <w:r>
        <w:rPr>
          <w:rStyle w:val="CharDivText"/>
        </w:rPr>
        <w:t>Financing local government activities</w:t>
      </w:r>
      <w:bookmarkEnd w:id="906"/>
      <w:bookmarkEnd w:id="907"/>
      <w:bookmarkEnd w:id="908"/>
      <w:bookmarkEnd w:id="909"/>
      <w:bookmarkEnd w:id="910"/>
      <w:bookmarkEnd w:id="911"/>
      <w:bookmarkEnd w:id="912"/>
      <w:bookmarkEnd w:id="913"/>
    </w:p>
    <w:p>
      <w:pPr>
        <w:pStyle w:val="Heading4"/>
      </w:pPr>
      <w:bookmarkStart w:id="914" w:name="_Toc448219256"/>
      <w:bookmarkStart w:id="915" w:name="_Toc448224478"/>
      <w:bookmarkStart w:id="916" w:name="_Toc451179715"/>
      <w:bookmarkStart w:id="917" w:name="_Toc451430635"/>
      <w:bookmarkStart w:id="918" w:name="_Toc455396585"/>
      <w:bookmarkStart w:id="919" w:name="_Toc455397445"/>
      <w:bookmarkStart w:id="920" w:name="_Toc456086528"/>
      <w:bookmarkStart w:id="921" w:name="_Toc462409541"/>
      <w:r>
        <w:t>Subdivision 1 — Introduction</w:t>
      </w:r>
      <w:bookmarkEnd w:id="914"/>
      <w:bookmarkEnd w:id="915"/>
      <w:bookmarkEnd w:id="916"/>
      <w:bookmarkEnd w:id="917"/>
      <w:bookmarkEnd w:id="918"/>
      <w:bookmarkEnd w:id="919"/>
      <w:bookmarkEnd w:id="920"/>
      <w:bookmarkEnd w:id="921"/>
    </w:p>
    <w:p>
      <w:pPr>
        <w:pStyle w:val="Heading5"/>
      </w:pPr>
      <w:bookmarkStart w:id="922" w:name="_Toc462409542"/>
      <w:r>
        <w:rPr>
          <w:rStyle w:val="CharSectno"/>
        </w:rPr>
        <w:t>6.15</w:t>
      </w:r>
      <w:r>
        <w:t>.</w:t>
      </w:r>
      <w:r>
        <w:tab/>
        <w:t>Local government’s ability to receive revenue and income</w:t>
      </w:r>
      <w:bookmarkEnd w:id="922"/>
    </w:p>
    <w:p>
      <w:pPr>
        <w:pStyle w:val="Subsection"/>
      </w:pPr>
      <w:r>
        <w:tab/>
        <w:t>(1)</w:t>
      </w:r>
      <w:r>
        <w:tab/>
        <w:t>A local government may receive revenue or income — </w:t>
      </w:r>
    </w:p>
    <w:p>
      <w:pPr>
        <w:pStyle w:val="Indenta"/>
      </w:pPr>
      <w:r>
        <w:tab/>
        <w:t>(a)</w:t>
      </w:r>
      <w:r>
        <w:tab/>
        <w:t>from — </w:t>
      </w:r>
    </w:p>
    <w:p>
      <w:pPr>
        <w:pStyle w:val="Indenti"/>
      </w:pPr>
      <w:r>
        <w:tab/>
        <w:t>(i)</w:t>
      </w:r>
      <w:r>
        <w:tab/>
        <w:t>rates; or</w:t>
      </w:r>
    </w:p>
    <w:p>
      <w:pPr>
        <w:pStyle w:val="Indenti"/>
      </w:pPr>
      <w:r>
        <w:tab/>
        <w:t>(ii)</w:t>
      </w:r>
      <w:r>
        <w:tab/>
        <w:t>service charges; or</w:t>
      </w:r>
    </w:p>
    <w:p>
      <w:pPr>
        <w:pStyle w:val="Indenti"/>
      </w:pPr>
      <w:r>
        <w:tab/>
        <w:t>(iii)</w:t>
      </w:r>
      <w:r>
        <w:tab/>
        <w:t>fees and charges; or</w:t>
      </w:r>
    </w:p>
    <w:p>
      <w:pPr>
        <w:pStyle w:val="Indenti"/>
      </w:pPr>
      <w:r>
        <w:tab/>
        <w:t>(iv)</w:t>
      </w:r>
      <w:r>
        <w:tab/>
        <w:t>borrowings; or</w:t>
      </w:r>
    </w:p>
    <w:p>
      <w:pPr>
        <w:pStyle w:val="Indenti"/>
      </w:pPr>
      <w:r>
        <w:tab/>
        <w:t>(v)</w:t>
      </w:r>
      <w:r>
        <w:tab/>
        <w:t>investments; or</w:t>
      </w:r>
    </w:p>
    <w:p>
      <w:pPr>
        <w:pStyle w:val="Indenti"/>
      </w:pPr>
      <w:r>
        <w:tab/>
        <w:t>(vi)</w:t>
      </w:r>
      <w:r>
        <w:tab/>
        <w:t>any other source,</w:t>
      </w:r>
    </w:p>
    <w:p>
      <w:pPr>
        <w:pStyle w:val="Indenta"/>
        <w:keepLines/>
      </w:pPr>
      <w:r>
        <w:tab/>
      </w:r>
      <w:r>
        <w:tab/>
        <w:t>authorised by or under this Act or another written law; or</w:t>
      </w:r>
    </w:p>
    <w:p>
      <w:pPr>
        <w:pStyle w:val="Indenta"/>
        <w:keepLines/>
      </w:pPr>
      <w:r>
        <w:tab/>
        <w:t>(b)</w:t>
      </w:r>
      <w:r>
        <w:tab/>
        <w:t>from — </w:t>
      </w:r>
    </w:p>
    <w:p>
      <w:pPr>
        <w:pStyle w:val="Indenti"/>
        <w:keepLines/>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923" w:name="_Toc448219258"/>
      <w:bookmarkStart w:id="924" w:name="_Toc448224480"/>
      <w:bookmarkStart w:id="925" w:name="_Toc451179717"/>
      <w:bookmarkStart w:id="926" w:name="_Toc451430637"/>
      <w:bookmarkStart w:id="927" w:name="_Toc455396587"/>
      <w:bookmarkStart w:id="928" w:name="_Toc455397447"/>
      <w:bookmarkStart w:id="929" w:name="_Toc456086530"/>
      <w:bookmarkStart w:id="930" w:name="_Toc462409543"/>
      <w:r>
        <w:t>Subdivision 2 — Fees and charges</w:t>
      </w:r>
      <w:bookmarkEnd w:id="923"/>
      <w:bookmarkEnd w:id="924"/>
      <w:bookmarkEnd w:id="925"/>
      <w:bookmarkEnd w:id="926"/>
      <w:bookmarkEnd w:id="927"/>
      <w:bookmarkEnd w:id="928"/>
      <w:bookmarkEnd w:id="929"/>
      <w:bookmarkEnd w:id="930"/>
    </w:p>
    <w:p>
      <w:pPr>
        <w:pStyle w:val="Heading5"/>
      </w:pPr>
      <w:bookmarkStart w:id="931" w:name="_Toc462409544"/>
      <w:r>
        <w:rPr>
          <w:rStyle w:val="CharSectno"/>
        </w:rPr>
        <w:t>6.16</w:t>
      </w:r>
      <w:r>
        <w:t>.</w:t>
      </w:r>
      <w:r>
        <w:tab/>
        <w:t>Imposition of fees and charges</w:t>
      </w:r>
      <w:bookmarkEnd w:id="931"/>
    </w:p>
    <w:p>
      <w:pPr>
        <w:pStyle w:val="Subsection"/>
      </w:pPr>
      <w:r>
        <w:tab/>
        <w:t>(1)</w:t>
      </w:r>
      <w:r>
        <w:tab/>
        <w:t>A local government may impose* and recover a fee or charge for any goods or service it provides or proposes to provide, other than a service for which a service charge is imposed.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932" w:name="_Toc462409545"/>
      <w:r>
        <w:rPr>
          <w:rStyle w:val="CharSectno"/>
        </w:rPr>
        <w:t>6.17</w:t>
      </w:r>
      <w:r>
        <w:t>.</w:t>
      </w:r>
      <w:r>
        <w:tab/>
        <w:t>Setting level of fees and charges</w:t>
      </w:r>
      <w:bookmarkEnd w:id="932"/>
    </w:p>
    <w:p>
      <w:pPr>
        <w:pStyle w:val="Subsection"/>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 and</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pPr>
      <w:r>
        <w:tab/>
        <w:t>(2)</w:t>
      </w:r>
      <w:r>
        <w:tab/>
        <w:t>A higher fee or charge or additional fee or charge may be imposed for an expedited service or supply of goods if it is requested that the service or goods be provided urgently.</w:t>
      </w:r>
    </w:p>
    <w:p>
      <w:pPr>
        <w:pStyle w:val="Subsection"/>
      </w:pPr>
      <w:r>
        <w:tab/>
        <w:t>(3)</w:t>
      </w:r>
      <w:r>
        <w:tab/>
        <w:t>The basis for determining a fee or charge is not to be limited to the cost of providing the service or goods other than a service —</w:t>
      </w:r>
    </w:p>
    <w:p>
      <w:pPr>
        <w:pStyle w:val="Indenta"/>
      </w:pPr>
      <w:r>
        <w:tab/>
        <w:t>(a)</w:t>
      </w:r>
      <w:r>
        <w:tab/>
        <w:t>under section 5.96; or</w:t>
      </w:r>
    </w:p>
    <w:p>
      <w:pPr>
        <w:pStyle w:val="Indenta"/>
      </w:pPr>
      <w:r>
        <w:tab/>
        <w:t>(b)</w:t>
      </w:r>
      <w:r>
        <w:tab/>
        <w:t>under section 6.16(2)(d); or</w:t>
      </w:r>
    </w:p>
    <w:p>
      <w:pPr>
        <w:pStyle w:val="Indenta"/>
      </w:pPr>
      <w:r>
        <w:tab/>
        <w:t>(c)</w:t>
      </w:r>
      <w:r>
        <w:tab/>
        <w:t>prescribed under section 6.16(2)(f), where the regulation prescribing the service also specifies that such a limit is to apply to the fee or charge for the service.</w:t>
      </w:r>
    </w:p>
    <w:p>
      <w:pPr>
        <w:pStyle w:val="Subsection"/>
      </w:pPr>
      <w:r>
        <w:tab/>
        <w:t>(4)</w:t>
      </w:r>
      <w:r>
        <w:tab/>
        <w:t>Regulations may — </w:t>
      </w:r>
    </w:p>
    <w:p>
      <w:pPr>
        <w:pStyle w:val="Indenta"/>
      </w:pPr>
      <w:r>
        <w:tab/>
        <w:t>(a)</w:t>
      </w:r>
      <w:r>
        <w:tab/>
        <w:t>prohibit the imposition of a fee or charge in prescribed circumstances; or</w:t>
      </w:r>
    </w:p>
    <w:p>
      <w:pPr>
        <w:pStyle w:val="Indenta"/>
        <w:rPr>
          <w:spacing w:val="-2"/>
        </w:rPr>
      </w:pPr>
      <w:r>
        <w:tab/>
        <w:t>(b)</w:t>
      </w:r>
      <w:r>
        <w:tab/>
        <w:t>limit the amount of a fee or charge in prescribed circumstances</w:t>
      </w:r>
      <w:r>
        <w:rPr>
          <w:spacing w:val="-2"/>
        </w:rPr>
        <w:t>.</w:t>
      </w:r>
    </w:p>
    <w:p>
      <w:pPr>
        <w:pStyle w:val="Heading5"/>
      </w:pPr>
      <w:bookmarkStart w:id="933" w:name="_Toc462409546"/>
      <w:r>
        <w:rPr>
          <w:rStyle w:val="CharSectno"/>
        </w:rPr>
        <w:t>6.18</w:t>
      </w:r>
      <w:r>
        <w:t>.</w:t>
      </w:r>
      <w:r>
        <w:tab/>
        <w:t>Effect of other written laws</w:t>
      </w:r>
      <w:bookmarkEnd w:id="933"/>
    </w:p>
    <w:p>
      <w:pPr>
        <w:pStyle w:val="Subsection"/>
        <w:keepNext/>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spacing w:before="120"/>
      </w:pPr>
      <w:r>
        <w:tab/>
        <w:t>(2)</w:t>
      </w:r>
      <w:r>
        <w:tab/>
        <w:t>A local government is not to impose a fee or charge for a service or goods under this Act if the imposition of a fee or charge for the service or goods is prohibited under another written law.</w:t>
      </w:r>
    </w:p>
    <w:p>
      <w:pPr>
        <w:pStyle w:val="Heading5"/>
        <w:spacing w:before="160"/>
      </w:pPr>
      <w:bookmarkStart w:id="934" w:name="_Toc462409547"/>
      <w:r>
        <w:rPr>
          <w:rStyle w:val="CharSectno"/>
        </w:rPr>
        <w:t>6.19</w:t>
      </w:r>
      <w:r>
        <w:t>.</w:t>
      </w:r>
      <w:r>
        <w:tab/>
        <w:t>Local government to give notice of fees and charges</w:t>
      </w:r>
      <w:bookmarkEnd w:id="934"/>
    </w:p>
    <w:p>
      <w:pPr>
        <w:pStyle w:val="Subsection"/>
        <w:spacing w:before="120"/>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935" w:name="_Toc448219263"/>
      <w:bookmarkStart w:id="936" w:name="_Toc448224485"/>
      <w:bookmarkStart w:id="937" w:name="_Toc451179722"/>
      <w:bookmarkStart w:id="938" w:name="_Toc451430642"/>
      <w:bookmarkStart w:id="939" w:name="_Toc455396592"/>
      <w:bookmarkStart w:id="940" w:name="_Toc455397452"/>
      <w:bookmarkStart w:id="941" w:name="_Toc456086535"/>
      <w:bookmarkStart w:id="942" w:name="_Toc462409548"/>
      <w:r>
        <w:t>Subdivision 3 — Borrowings</w:t>
      </w:r>
      <w:bookmarkEnd w:id="935"/>
      <w:bookmarkEnd w:id="936"/>
      <w:bookmarkEnd w:id="937"/>
      <w:bookmarkEnd w:id="938"/>
      <w:bookmarkEnd w:id="939"/>
      <w:bookmarkEnd w:id="940"/>
      <w:bookmarkEnd w:id="941"/>
      <w:bookmarkEnd w:id="942"/>
    </w:p>
    <w:p>
      <w:pPr>
        <w:pStyle w:val="Heading5"/>
        <w:spacing w:before="160"/>
      </w:pPr>
      <w:bookmarkStart w:id="943" w:name="_Toc462409549"/>
      <w:r>
        <w:rPr>
          <w:rStyle w:val="CharSectno"/>
        </w:rPr>
        <w:t>6.20</w:t>
      </w:r>
      <w:r>
        <w:t>.</w:t>
      </w:r>
      <w:r>
        <w:tab/>
        <w:t>Power to borrow</w:t>
      </w:r>
      <w:bookmarkEnd w:id="943"/>
    </w:p>
    <w:p>
      <w:pPr>
        <w:pStyle w:val="Subsection"/>
        <w:spacing w:before="120"/>
      </w:pPr>
      <w:r>
        <w:tab/>
        <w:t>(1)</w:t>
      </w:r>
      <w:r>
        <w:tab/>
        <w:t>Subject to this Act, a local government may — </w:t>
      </w:r>
    </w:p>
    <w:p>
      <w:pPr>
        <w:pStyle w:val="Indenta"/>
      </w:pPr>
      <w:r>
        <w:rPr>
          <w:spacing w:val="-2"/>
        </w:rPr>
        <w:tab/>
      </w:r>
      <w:r>
        <w:t>(a)</w:t>
      </w:r>
      <w:r>
        <w:tab/>
        <w:t>borrow or re</w:t>
      </w:r>
      <w:r>
        <w:noBreakHyphen/>
        <w:t>borrow money; or</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20"/>
      </w:pPr>
      <w:r>
        <w:tab/>
      </w:r>
      <w:r>
        <w:tab/>
        <w:t>to enable the local government to perform the functions and exercise the powers conferred on it under this Act or any other written law.</w:t>
      </w:r>
    </w:p>
    <w:p>
      <w:pPr>
        <w:pStyle w:val="Subsection"/>
        <w:spacing w:before="120"/>
      </w:pPr>
      <w:r>
        <w:tab/>
        <w:t>(2)</w:t>
      </w:r>
      <w:r>
        <w:tab/>
        <w:t>Where, in any financial year, a local government proposes to exercise a power under subsection (1) (</w:t>
      </w:r>
      <w:r>
        <w:rPr>
          <w:rStyle w:val="CharDefText"/>
        </w:rPr>
        <w:t>power to borrow</w:t>
      </w:r>
      <w:r>
        <w:t>) and details of that proposal have not been included in the annual budget for that financial year — </w:t>
      </w:r>
    </w:p>
    <w:p>
      <w:pPr>
        <w:pStyle w:val="Indenta"/>
        <w:spacing w:before="60"/>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spacing w:before="180"/>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spacing w:before="180"/>
      </w:pPr>
      <w:r>
        <w:tab/>
      </w:r>
      <w:r>
        <w:tab/>
        <w:t>the local government may resolve* to expend the money or utilize the credit or financial accommodation for another purpose if one month’s local public notice is given of the proposed change of purpose.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spacing w:before="180"/>
      </w:pPr>
      <w:r>
        <w:tab/>
        <w:t>(5)</w:t>
      </w:r>
      <w:r>
        <w:tab/>
        <w:t>A change of purpose referred to in subsection (3) is to be disclosed in the annual financial report for the year in which the change occurs.</w:t>
      </w:r>
    </w:p>
    <w:p>
      <w:pPr>
        <w:pStyle w:val="Heading5"/>
        <w:spacing w:before="240"/>
      </w:pPr>
      <w:bookmarkStart w:id="944" w:name="_Toc462409550"/>
      <w:r>
        <w:rPr>
          <w:rStyle w:val="CharSectno"/>
        </w:rPr>
        <w:t>6.21</w:t>
      </w:r>
      <w:r>
        <w:t>.</w:t>
      </w:r>
      <w:r>
        <w:tab/>
        <w:t>Restrictions on borrowing</w:t>
      </w:r>
      <w:bookmarkEnd w:id="944"/>
    </w:p>
    <w:p>
      <w:pPr>
        <w:pStyle w:val="Subsection"/>
        <w:spacing w:before="180"/>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 or</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r>
      <w:r>
        <w:rPr>
          <w:rStyle w:val="CharDefText"/>
        </w:rPr>
        <w:t>general funds</w:t>
      </w:r>
      <w:r>
        <w:t xml:space="preserve"> means the revenue or income from — </w:t>
      </w:r>
    </w:p>
    <w:p>
      <w:pPr>
        <w:pStyle w:val="Defpara"/>
      </w:pPr>
      <w:r>
        <w:tab/>
        <w:t>(a)</w:t>
      </w:r>
      <w:r>
        <w:tab/>
        <w:t>general rates; and</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by No. 49 of 2004 s. 59.]</w:t>
      </w:r>
    </w:p>
    <w:p>
      <w:pPr>
        <w:pStyle w:val="Heading5"/>
        <w:spacing w:before="180"/>
      </w:pPr>
      <w:bookmarkStart w:id="945" w:name="_Toc462409551"/>
      <w:r>
        <w:rPr>
          <w:rStyle w:val="CharSectno"/>
        </w:rPr>
        <w:t>6.22</w:t>
      </w:r>
      <w:r>
        <w:t>.</w:t>
      </w:r>
      <w:r>
        <w:tab/>
        <w:t>Appointment of receivers</w:t>
      </w:r>
      <w:bookmarkEnd w:id="945"/>
    </w:p>
    <w:p>
      <w:pPr>
        <w:pStyle w:val="Subsection"/>
        <w:spacing w:before="120"/>
      </w:pPr>
      <w:r>
        <w:tab/>
        <w:t>(1)</w:t>
      </w:r>
      <w:r>
        <w:tab/>
        <w:t>This section applies if a local government defaults in the payment of any principal money or interest secured by a security.</w:t>
      </w:r>
    </w:p>
    <w:p>
      <w:pPr>
        <w:pStyle w:val="Subsection"/>
        <w:spacing w:before="120"/>
      </w:pPr>
      <w:r>
        <w:tab/>
        <w:t>(2)</w:t>
      </w:r>
      <w:r>
        <w:tab/>
        <w:t>On petition of the security holder the Supreme Court may appoint up to 3 receivers of the income of the local government.</w:t>
      </w:r>
    </w:p>
    <w:p>
      <w:pPr>
        <w:pStyle w:val="Subsection"/>
        <w:spacing w:before="120"/>
      </w:pPr>
      <w:r>
        <w:tab/>
        <w:t>(3)</w:t>
      </w:r>
      <w:r>
        <w:tab/>
        <w:t>A receiver so appointed is an officer of the Supreme Court and is to act under the direction of the Court.</w:t>
      </w:r>
    </w:p>
    <w:p>
      <w:pPr>
        <w:pStyle w:val="Subsection"/>
        <w:spacing w:before="120"/>
      </w:pPr>
      <w:r>
        <w:tab/>
        <w:t>(4)</w:t>
      </w:r>
      <w:r>
        <w:tab/>
        <w:t>A receiver is entitled to such remuneration as is fixed by the Supreme Court.</w:t>
      </w:r>
    </w:p>
    <w:p>
      <w:pPr>
        <w:pStyle w:val="Subsection"/>
        <w:spacing w:before="120"/>
      </w:pPr>
      <w:r>
        <w:tab/>
        <w:t>(5)</w:t>
      </w:r>
      <w:r>
        <w:tab/>
        <w:t>The Supreme Court may remove a receiver and may appoint a receiver in the place of a receiver who has been removed or dies.</w:t>
      </w:r>
    </w:p>
    <w:p>
      <w:pPr>
        <w:pStyle w:val="Heading5"/>
        <w:spacing w:before="180"/>
      </w:pPr>
      <w:bookmarkStart w:id="946" w:name="_Toc462409552"/>
      <w:r>
        <w:rPr>
          <w:rStyle w:val="CharSectno"/>
        </w:rPr>
        <w:t>6.23</w:t>
      </w:r>
      <w:r>
        <w:t>.</w:t>
      </w:r>
      <w:r>
        <w:tab/>
        <w:t>Powers of receivers</w:t>
      </w:r>
      <w:bookmarkEnd w:id="946"/>
    </w:p>
    <w:p>
      <w:pPr>
        <w:pStyle w:val="Subsection"/>
        <w:spacing w:before="120"/>
      </w:pPr>
      <w:r>
        <w:tab/>
        <w:t>(1)</w:t>
      </w:r>
      <w:r>
        <w:tab/>
        <w:t>A receiver is entitled to receive the general funds of the local government.</w:t>
      </w:r>
    </w:p>
    <w:p>
      <w:pPr>
        <w:pStyle w:val="Subsection"/>
        <w:spacing w:before="120"/>
      </w:pPr>
      <w:r>
        <w:tab/>
        <w:t>(2)</w:t>
      </w:r>
      <w:r>
        <w:tab/>
        <w:t>For the purposes of subsection (1) a receiver has the powers which a local government has with respect to general rates under this Part.</w:t>
      </w:r>
    </w:p>
    <w:p>
      <w:pPr>
        <w:pStyle w:val="Subsection"/>
        <w:spacing w:before="120"/>
      </w:pPr>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Footnotesection"/>
      </w:pPr>
      <w:r>
        <w:tab/>
        <w:t>[Section 6.23 amended by No. 49 of 2004 s. 60.]</w:t>
      </w:r>
    </w:p>
    <w:p>
      <w:pPr>
        <w:pStyle w:val="Heading5"/>
      </w:pPr>
      <w:bookmarkStart w:id="947" w:name="_Toc462409553"/>
      <w:r>
        <w:rPr>
          <w:rStyle w:val="CharSectno"/>
        </w:rPr>
        <w:t>6.24</w:t>
      </w:r>
      <w:r>
        <w:t>.</w:t>
      </w:r>
      <w:r>
        <w:tab/>
        <w:t>Application of money</w:t>
      </w:r>
      <w:bookmarkEnd w:id="947"/>
    </w:p>
    <w:p>
      <w:pPr>
        <w:pStyle w:val="Subsection"/>
      </w:pPr>
      <w:r>
        <w:tab/>
      </w:r>
      <w:r>
        <w:tab/>
        <w:t>A receiver holds all the money received by the receiver after payment of costs and expenses and his or her remuneration for the benefit of the security holders according to their respective priorities and the balance for the local government.</w:t>
      </w:r>
    </w:p>
    <w:p>
      <w:pPr>
        <w:pStyle w:val="Heading3"/>
      </w:pPr>
      <w:bookmarkStart w:id="948" w:name="_Toc448219269"/>
      <w:bookmarkStart w:id="949" w:name="_Toc448224491"/>
      <w:bookmarkStart w:id="950" w:name="_Toc451179728"/>
      <w:bookmarkStart w:id="951" w:name="_Toc451430648"/>
      <w:bookmarkStart w:id="952" w:name="_Toc455396598"/>
      <w:bookmarkStart w:id="953" w:name="_Toc455397458"/>
      <w:bookmarkStart w:id="954" w:name="_Toc456086541"/>
      <w:bookmarkStart w:id="955" w:name="_Toc462409554"/>
      <w:r>
        <w:rPr>
          <w:rStyle w:val="CharDivNo"/>
        </w:rPr>
        <w:t>Division 6</w:t>
      </w:r>
      <w:r>
        <w:t> — </w:t>
      </w:r>
      <w:r>
        <w:rPr>
          <w:rStyle w:val="CharDivText"/>
        </w:rPr>
        <w:t>Rates and service charges</w:t>
      </w:r>
      <w:bookmarkEnd w:id="948"/>
      <w:bookmarkEnd w:id="949"/>
      <w:bookmarkEnd w:id="950"/>
      <w:bookmarkEnd w:id="951"/>
      <w:bookmarkEnd w:id="952"/>
      <w:bookmarkEnd w:id="953"/>
      <w:bookmarkEnd w:id="954"/>
      <w:bookmarkEnd w:id="955"/>
    </w:p>
    <w:p>
      <w:pPr>
        <w:pStyle w:val="Heading4"/>
      </w:pPr>
      <w:bookmarkStart w:id="956" w:name="_Toc448219270"/>
      <w:bookmarkStart w:id="957" w:name="_Toc448224492"/>
      <w:bookmarkStart w:id="958" w:name="_Toc451179729"/>
      <w:bookmarkStart w:id="959" w:name="_Toc451430649"/>
      <w:bookmarkStart w:id="960" w:name="_Toc455396599"/>
      <w:bookmarkStart w:id="961" w:name="_Toc455397459"/>
      <w:bookmarkStart w:id="962" w:name="_Toc456086542"/>
      <w:bookmarkStart w:id="963" w:name="_Toc462409555"/>
      <w:r>
        <w:t>Subdivision 1 — Introduction and basis of rating</w:t>
      </w:r>
      <w:bookmarkEnd w:id="956"/>
      <w:bookmarkEnd w:id="957"/>
      <w:bookmarkEnd w:id="958"/>
      <w:bookmarkEnd w:id="959"/>
      <w:bookmarkEnd w:id="960"/>
      <w:bookmarkEnd w:id="961"/>
      <w:bookmarkEnd w:id="962"/>
      <w:bookmarkEnd w:id="963"/>
    </w:p>
    <w:p>
      <w:pPr>
        <w:pStyle w:val="Heading5"/>
      </w:pPr>
      <w:bookmarkStart w:id="964" w:name="_Toc462409556"/>
      <w:r>
        <w:rPr>
          <w:rStyle w:val="CharSectno"/>
        </w:rPr>
        <w:t>6.25</w:t>
      </w:r>
      <w:r>
        <w:t>.</w:t>
      </w:r>
      <w:r>
        <w:tab/>
        <w:t>Terms used</w:t>
      </w:r>
      <w:bookmarkEnd w:id="964"/>
    </w:p>
    <w:p>
      <w:pPr>
        <w:pStyle w:val="Subsection"/>
      </w:pPr>
      <w:r>
        <w:tab/>
      </w:r>
      <w:r>
        <w:tab/>
        <w:t>In this Division and in Schedule 6.1, unless the context requires otherwise — </w:t>
      </w:r>
    </w:p>
    <w:p>
      <w:pPr>
        <w:pStyle w:val="Defstart"/>
      </w:pPr>
      <w:r>
        <w:rPr>
          <w:b/>
        </w:rPr>
        <w:tab/>
      </w:r>
      <w:r>
        <w:rPr>
          <w:rStyle w:val="CharDefText"/>
        </w:rPr>
        <w:t>Government agreement</w:t>
      </w:r>
      <w:r>
        <w:t xml:space="preserve"> has the same meaning as under the </w:t>
      </w:r>
      <w:r>
        <w:rPr>
          <w:i/>
        </w:rPr>
        <w:t>Government Agreements Act 1979</w:t>
      </w:r>
      <w:r>
        <w:t>;</w:t>
      </w:r>
    </w:p>
    <w:p>
      <w:pPr>
        <w:pStyle w:val="Defstart"/>
      </w:pPr>
      <w:r>
        <w:rPr>
          <w:b/>
        </w:rPr>
        <w:tab/>
      </w:r>
      <w:r>
        <w:rPr>
          <w:rStyle w:val="CharDefText"/>
        </w:rPr>
        <w:t>gross rental value</w:t>
      </w:r>
      <w:r>
        <w:t xml:space="preserve"> in relation to land has the same meaning as under the </w:t>
      </w:r>
      <w:r>
        <w:rPr>
          <w:i/>
        </w:rPr>
        <w:t>Valuation of Land Act 1978</w:t>
      </w:r>
      <w:r>
        <w:t>;</w:t>
      </w:r>
    </w:p>
    <w:p>
      <w:pPr>
        <w:pStyle w:val="Defstart"/>
      </w:pPr>
      <w:r>
        <w:rPr>
          <w:b/>
        </w:rPr>
        <w:tab/>
      </w:r>
      <w:r>
        <w:rPr>
          <w:rStyle w:val="CharDefText"/>
        </w:rPr>
        <w:t>interim valuation</w:t>
      </w:r>
      <w:r>
        <w:t xml:space="preserve"> has the same meaning as under the </w:t>
      </w:r>
      <w:r>
        <w:rPr>
          <w:i/>
        </w:rPr>
        <w:t>Valuation of Land Act 1978</w:t>
      </w:r>
      <w:r>
        <w:t>;</w:t>
      </w:r>
    </w:p>
    <w:p>
      <w:pPr>
        <w:pStyle w:val="Defstart"/>
        <w:keepLines/>
      </w:pPr>
      <w:r>
        <w:tab/>
      </w:r>
      <w:r>
        <w:rPr>
          <w:rStyle w:val="CharDefText"/>
        </w:rPr>
        <w:t>owner</w:t>
      </w:r>
      <w:r>
        <w:t xml:space="preserve"> — </w:t>
      </w:r>
    </w:p>
    <w:p>
      <w:pPr>
        <w:pStyle w:val="Defpara"/>
        <w:keepLines/>
      </w:pPr>
      <w:r>
        <w:tab/>
        <w:t>(a)</w:t>
      </w:r>
      <w:r>
        <w:tab/>
        <w:t xml:space="preserve">in relation to land in a retirement village as defined in the </w:t>
      </w:r>
      <w:r>
        <w:rPr>
          <w:i/>
          <w:iCs/>
        </w:rPr>
        <w:t>Retirement Villages Act 1992</w:t>
      </w:r>
      <w:r>
        <w:t xml:space="preserve"> means — </w:t>
      </w:r>
    </w:p>
    <w:p>
      <w:pPr>
        <w:pStyle w:val="Defsubpara"/>
      </w:pPr>
      <w:r>
        <w:tab/>
        <w:t>(i)</w:t>
      </w:r>
      <w:r>
        <w:tab/>
        <w:t>the owner, as defined in that Act section 3(1); or</w:t>
      </w:r>
    </w:p>
    <w:p>
      <w:pPr>
        <w:pStyle w:val="Defsubpara"/>
      </w:pPr>
      <w:r>
        <w:tab/>
        <w:t>(ii)</w:t>
      </w:r>
      <w:r>
        <w:tab/>
        <w:t>a mortgagee in possession of the land; or</w:t>
      </w:r>
    </w:p>
    <w:p>
      <w:pPr>
        <w:pStyle w:val="Defsubpara"/>
      </w:pPr>
      <w:r>
        <w:tab/>
        <w:t>(iii)</w:t>
      </w:r>
      <w:r>
        <w:tab/>
        <w:t>a trustee, executor, administrator, attorney or agent of a person mentioned in this paragraph who is in possession of the land;</w:t>
      </w:r>
    </w:p>
    <w:p>
      <w:pPr>
        <w:pStyle w:val="Defpara"/>
      </w:pPr>
      <w:r>
        <w:tab/>
        <w:t>(b)</w:t>
      </w:r>
      <w:r>
        <w:tab/>
        <w:t>otherwise has the meaning given in section 1.4;</w:t>
      </w:r>
    </w:p>
    <w:p>
      <w:pPr>
        <w:pStyle w:val="Defstart"/>
      </w:pPr>
      <w:r>
        <w:rPr>
          <w:b/>
        </w:rPr>
        <w:tab/>
      </w:r>
      <w:r>
        <w:rPr>
          <w:rStyle w:val="CharDefText"/>
        </w:rPr>
        <w:t>rate record</w:t>
      </w:r>
      <w:r>
        <w:t xml:space="preserve"> means the rate record required to be kept under section 6.39;</w:t>
      </w:r>
    </w:p>
    <w:p>
      <w:pPr>
        <w:pStyle w:val="Defstart"/>
      </w:pPr>
      <w:r>
        <w:rPr>
          <w:b/>
        </w:rPr>
        <w:tab/>
      </w:r>
      <w:r>
        <w:rPr>
          <w:rStyle w:val="CharDefText"/>
        </w:rPr>
        <w:t>unimproved value</w:t>
      </w:r>
      <w:r>
        <w:t xml:space="preserve"> in relation to land has the same meaning as under the </w:t>
      </w:r>
      <w:r>
        <w:rPr>
          <w:i/>
        </w:rPr>
        <w:t>Valuation of Land Act 1978</w:t>
      </w:r>
      <w:r>
        <w:t>;</w:t>
      </w:r>
    </w:p>
    <w:p>
      <w:pPr>
        <w:pStyle w:val="Defstart"/>
      </w:pPr>
      <w:r>
        <w:rPr>
          <w:b/>
        </w:rPr>
        <w:tab/>
      </w:r>
      <w:r>
        <w:rPr>
          <w:rStyle w:val="CharDefText"/>
        </w:rPr>
        <w:t>vacant land</w:t>
      </w:r>
      <w:r>
        <w:t xml:space="preserve"> has the same meaning as under the </w:t>
      </w:r>
      <w:r>
        <w:rPr>
          <w:i/>
        </w:rPr>
        <w:t>Valuation of Land Act 1978</w:t>
      </w:r>
      <w:r>
        <w:t>.</w:t>
      </w:r>
    </w:p>
    <w:p>
      <w:pPr>
        <w:pStyle w:val="Footnotesection"/>
      </w:pPr>
      <w:r>
        <w:tab/>
        <w:t>[Section 6.25 amended by No. 17 of 2009 s. 37.]</w:t>
      </w:r>
    </w:p>
    <w:p>
      <w:pPr>
        <w:pStyle w:val="Heading5"/>
        <w:spacing w:before="180"/>
      </w:pPr>
      <w:bookmarkStart w:id="965" w:name="_Toc462409557"/>
      <w:r>
        <w:rPr>
          <w:rStyle w:val="CharSectno"/>
        </w:rPr>
        <w:t>6.26</w:t>
      </w:r>
      <w:r>
        <w:t>.</w:t>
      </w:r>
      <w:r>
        <w:tab/>
        <w:t>Rateable land</w:t>
      </w:r>
      <w:bookmarkEnd w:id="965"/>
    </w:p>
    <w:p>
      <w:pPr>
        <w:pStyle w:val="Subsection"/>
        <w:spacing w:before="120"/>
      </w:pPr>
      <w:r>
        <w:tab/>
        <w:t>(1)</w:t>
      </w:r>
      <w:r>
        <w:tab/>
        <w:t>Except as provided in this section all land within a district is rateable land.</w:t>
      </w:r>
    </w:p>
    <w:p>
      <w:pPr>
        <w:pStyle w:val="Subsection"/>
        <w:spacing w:before="120"/>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w:t>
      </w:r>
      <w:r>
        <w:rPr>
          <w:b/>
          <w:bCs/>
          <w:i/>
          <w:iCs/>
        </w:rPr>
        <w:t>owner</w:t>
      </w:r>
      <w:r>
        <w:t xml:space="preserve"> in section 1.4, the owner of the land other than by reason of that person being the holder of a prospecting licence held under the </w:t>
      </w:r>
      <w:r>
        <w:rPr>
          <w:i/>
        </w:rPr>
        <w:t>Mining Act 1978</w:t>
      </w:r>
      <w:r>
        <w:t xml:space="preserve"> in respect of land the area of which does not exceed 10 ha or a miscellaneous licence held under that Act; or</w:t>
      </w:r>
    </w:p>
    <w:p>
      <w:pPr>
        <w:pStyle w:val="IndentI0"/>
      </w:pPr>
      <w:r>
        <w:tab/>
        <w:t>(II)</w:t>
      </w:r>
      <w:r>
        <w:tab/>
        <w:t>where and to the extent and manner in which a person mentioned in paragraph (f) of the definition of</w:t>
      </w:r>
      <w:r>
        <w:rPr>
          <w:b/>
          <w:bCs/>
          <w:i/>
          <w:iCs/>
        </w:rPr>
        <w:t xml:space="preserve"> owner</w:t>
      </w:r>
      <w:r>
        <w:t xml:space="preserve"> in section 1.4 occupies or makes use of the land;</w:t>
      </w:r>
    </w:p>
    <w:p>
      <w:pPr>
        <w:pStyle w:val="Indenta"/>
        <w:spacing w:before="40"/>
      </w:pPr>
      <w:r>
        <w:tab/>
      </w:r>
      <w:r>
        <w:tab/>
        <w:t>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 and</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 and</w:t>
      </w:r>
    </w:p>
    <w:p>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 and</w:t>
      </w:r>
    </w:p>
    <w:p>
      <w:pPr>
        <w:pStyle w:val="Indenta"/>
      </w:pPr>
      <w:r>
        <w:tab/>
        <w:t>(e)</w:t>
      </w:r>
      <w:r>
        <w:tab/>
        <w:t>land used exclusively by a religious body as a school for the religious instruction of children; and</w:t>
      </w:r>
    </w:p>
    <w:p>
      <w:pPr>
        <w:pStyle w:val="Indenta"/>
      </w:pPr>
      <w:r>
        <w:tab/>
        <w:t>(f)</w:t>
      </w:r>
      <w:r>
        <w:tab/>
        <w:t>land used exclusively as a non</w:t>
      </w:r>
      <w:r>
        <w:noBreakHyphen/>
        <w:t xml:space="preserve">government school within the meaning of the </w:t>
      </w:r>
      <w:r>
        <w:rPr>
          <w:i/>
        </w:rPr>
        <w:t>School Education Act 1999</w:t>
      </w:r>
      <w:r>
        <w:t>; and</w:t>
      </w:r>
    </w:p>
    <w:p>
      <w:pPr>
        <w:pStyle w:val="Indenta"/>
      </w:pPr>
      <w:r>
        <w:tab/>
        <w:t>(g)</w:t>
      </w:r>
      <w:r>
        <w:tab/>
        <w:t>land used exclusively for charitable purposes; and</w:t>
      </w:r>
    </w:p>
    <w:p>
      <w:pPr>
        <w:pStyle w:val="Indenta"/>
      </w:pPr>
      <w:r>
        <w:tab/>
        <w:t>(h)</w:t>
      </w:r>
      <w:r>
        <w:tab/>
        <w:t>land vested in trustees for agricultural or horticultural show purposes; and</w:t>
      </w:r>
    </w:p>
    <w:p>
      <w:pPr>
        <w:pStyle w:val="Indenta"/>
      </w:pPr>
      <w:r>
        <w:tab/>
        <w:t>(i)</w:t>
      </w:r>
      <w:r>
        <w:tab/>
        <w:t>land owned by Co</w:t>
      </w:r>
      <w:r>
        <w:noBreakHyphen/>
        <w:t>operative Bulk Handling Limited or leased from the Crown or a statutory authority (within the meaning of that term in the</w:t>
      </w:r>
      <w:r>
        <w:rPr>
          <w:i/>
        </w:rPr>
        <w:t xml:space="preserve"> Financial Management Act 2006</w:t>
      </w:r>
      <w:r>
        <w:t>) by that co-operative and used solely for the storage of grain where that co-operative has agreed in writing to make a contribution to the local government; and</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pPr>
      <w:r>
        <w:tab/>
        <w:t>(3)</w:t>
      </w:r>
      <w:r>
        <w:tab/>
        <w:t>If Co</w:t>
      </w:r>
      <w:r>
        <w:noBreakHyphen/>
        <w:t>operative Bulk Handling Limited and the relevant local government cannot reach an agreement under subsection (2)(i) either that co-operative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by No. 36 of 1999 s. 247; No. 77 of 2006 Sch. 1 cl. 102; No. 24 of 2009 s. 506 (correction to reprint in Gazette 7 Sep 2012 p. 4329).]</w:t>
      </w:r>
    </w:p>
    <w:p>
      <w:pPr>
        <w:pStyle w:val="Heading5"/>
        <w:spacing w:before="180"/>
      </w:pPr>
      <w:bookmarkStart w:id="966" w:name="_Toc462409558"/>
      <w:r>
        <w:rPr>
          <w:rStyle w:val="CharSectno"/>
        </w:rPr>
        <w:t>6.27</w:t>
      </w:r>
      <w:r>
        <w:t>.</w:t>
      </w:r>
      <w:r>
        <w:tab/>
        <w:t>Multiple rating</w:t>
      </w:r>
      <w:bookmarkEnd w:id="966"/>
    </w:p>
    <w:p>
      <w:pPr>
        <w:pStyle w:val="Subsection"/>
        <w:spacing w:before="120"/>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 or</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keepNext/>
      </w:pPr>
      <w:r>
        <w:tab/>
        <w:t>(c)</w:t>
      </w:r>
      <w:r>
        <w:tab/>
        <w:t xml:space="preserve">under the </w:t>
      </w:r>
      <w:r>
        <w:rPr>
          <w:i/>
          <w:iCs/>
        </w:rPr>
        <w:t xml:space="preserve">Petroleum and Geothermal Energy Resources Act 1967 </w:t>
      </w:r>
      <w:r>
        <w:t>a person holds in respect of land a permit, drilling reservation, lease or licence,</w:t>
      </w:r>
    </w:p>
    <w:p>
      <w:pPr>
        <w:pStyle w:val="Subsection"/>
      </w:pPr>
      <w:r>
        <w:tab/>
      </w:r>
      <w:r>
        <w:tab/>
        <w:t>the land the subject of that tenement, permit, drilling reservation, lease or licence is rateable land under this Act notwithstanding that the land may be rateable under this Act in the hands of the holder of another estate in that land.</w:t>
      </w:r>
    </w:p>
    <w:p>
      <w:pPr>
        <w:pStyle w:val="Footnotesection"/>
        <w:ind w:left="890" w:hanging="890"/>
      </w:pPr>
      <w:r>
        <w:tab/>
        <w:t>[Section 6.27 amended by No. 35 of 2007 s. 99(3).]</w:t>
      </w:r>
    </w:p>
    <w:p>
      <w:pPr>
        <w:pStyle w:val="Heading5"/>
        <w:spacing w:before="180"/>
      </w:pPr>
      <w:bookmarkStart w:id="967" w:name="_Toc462409559"/>
      <w:r>
        <w:rPr>
          <w:rStyle w:val="CharSectno"/>
        </w:rPr>
        <w:t>6.28</w:t>
      </w:r>
      <w:r>
        <w:t>.</w:t>
      </w:r>
      <w:r>
        <w:tab/>
        <w:t>Basis of rates</w:t>
      </w:r>
      <w:bookmarkEnd w:id="967"/>
    </w:p>
    <w:p>
      <w:pPr>
        <w:pStyle w:val="Subsection"/>
        <w:keepNext/>
        <w:keepLines/>
      </w:pPr>
      <w:r>
        <w:tab/>
        <w:t>(1)</w:t>
      </w:r>
      <w:r>
        <w:tab/>
        <w:t>The Minister is to — </w:t>
      </w:r>
    </w:p>
    <w:p>
      <w:pPr>
        <w:pStyle w:val="Indenta"/>
      </w:pPr>
      <w:r>
        <w:tab/>
        <w:t>(a)</w:t>
      </w:r>
      <w:r>
        <w:tab/>
        <w:t>determine the method of valuation of land to be used by a local government as the basis for a rate; and</w:t>
      </w:r>
    </w:p>
    <w:p>
      <w:pPr>
        <w:pStyle w:val="Indenta"/>
      </w:pPr>
      <w:r>
        <w:tab/>
        <w:t>(b)</w:t>
      </w:r>
      <w:r>
        <w:tab/>
        <w:t xml:space="preserve">publish a notice of the determination in the </w:t>
      </w:r>
      <w:r>
        <w:rPr>
          <w:i/>
        </w:rPr>
        <w:t>Government Gazette</w:t>
      </w:r>
      <w:r>
        <w:t>.</w:t>
      </w:r>
    </w:p>
    <w:p>
      <w:pPr>
        <w:pStyle w:val="Subsection"/>
      </w:pPr>
      <w:r>
        <w:tab/>
        <w:t>(2)</w:t>
      </w:r>
      <w:r>
        <w:tab/>
        <w:t>In determining the method of valuation of land to be used by a local government the Minister is to have regard to the general principle that the basis for a rate on any land is to be — </w:t>
      </w:r>
    </w:p>
    <w:p>
      <w:pPr>
        <w:pStyle w:val="Indenta"/>
      </w:pPr>
      <w:r>
        <w:tab/>
        <w:t>(a)</w:t>
      </w:r>
      <w:r>
        <w:tab/>
        <w:t>where the land is used predominantly for rural purposes, the unimproved value of the land; and</w:t>
      </w:r>
    </w:p>
    <w:p>
      <w:pPr>
        <w:pStyle w:val="Indenta"/>
      </w:pPr>
      <w:r>
        <w:tab/>
        <w:t>(b)</w:t>
      </w:r>
      <w:r>
        <w:tab/>
        <w:t>where the land is used predominantly for non</w:t>
      </w:r>
      <w:r>
        <w:noBreakHyphen/>
        <w:t>rural purposes, the gross rental value of the land.</w:t>
      </w:r>
    </w:p>
    <w:p>
      <w:pPr>
        <w:pStyle w:val="Subsection"/>
      </w:pPr>
      <w:r>
        <w:tab/>
        <w:t>(3)</w:t>
      </w:r>
      <w:r>
        <w:tab/>
        <w:t>The unimproved value or gross rental value, as the case requires, of rateable land in the district of a local government is to be recorded in the rate record of that local government.</w:t>
      </w:r>
    </w:p>
    <w:p>
      <w:pPr>
        <w:pStyle w:val="Subsection"/>
        <w:spacing w:before="120"/>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pPr>
      <w:r>
        <w:tab/>
        <w:t>(5)</w:t>
      </w:r>
      <w:r>
        <w:tab/>
        <w:t>Where during a financial year — </w:t>
      </w:r>
    </w:p>
    <w:p>
      <w:pPr>
        <w:pStyle w:val="Indenta"/>
      </w:pPr>
      <w:r>
        <w:tab/>
        <w:t>(a)</w:t>
      </w:r>
      <w:r>
        <w:tab/>
        <w:t xml:space="preserve">an interim valuation is made under the </w:t>
      </w:r>
      <w:r>
        <w:rPr>
          <w:i/>
          <w:iCs/>
        </w:rPr>
        <w:t>Valuation of Land Act 1978</w:t>
      </w:r>
      <w:r>
        <w:t>; or</w:t>
      </w:r>
    </w:p>
    <w:p>
      <w:pPr>
        <w:pStyle w:val="Indenta"/>
      </w:pPr>
      <w:r>
        <w:tab/>
        <w:t>(b)</w:t>
      </w:r>
      <w:r>
        <w:tab/>
        <w:t xml:space="preserve">a valuation comes into force under the </w:t>
      </w:r>
      <w:r>
        <w:rPr>
          <w:i/>
          <w:iCs/>
        </w:rPr>
        <w:t>Valuation of Land Act 1978</w:t>
      </w:r>
      <w:r>
        <w:t xml:space="preserve"> as a result of the amendment of a valuation under that Act; or</w:t>
      </w:r>
    </w:p>
    <w:p>
      <w:pPr>
        <w:pStyle w:val="Indenta"/>
        <w:keepNext/>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pPr>
      <w:r>
        <w:tab/>
      </w:r>
      <w:r>
        <w:tab/>
        <w:t>the interim valuation, amended valuation or new valuation, as the case requires, is to be used by a local government for the purposes of this section.</w:t>
      </w:r>
    </w:p>
    <w:p>
      <w:pPr>
        <w:pStyle w:val="Footnotesection"/>
      </w:pPr>
      <w:r>
        <w:tab/>
        <w:t>[Section 6.28 amended by No. 1 of 1998 s. 20.]</w:t>
      </w:r>
    </w:p>
    <w:p>
      <w:pPr>
        <w:pStyle w:val="Heading5"/>
      </w:pPr>
      <w:bookmarkStart w:id="968" w:name="_Toc462409560"/>
      <w:r>
        <w:rPr>
          <w:rStyle w:val="CharSectno"/>
        </w:rPr>
        <w:t>6.29</w:t>
      </w:r>
      <w:r>
        <w:t>.</w:t>
      </w:r>
      <w:r>
        <w:tab/>
        <w:t>Valuation and rates on mining and petroleum interests</w:t>
      </w:r>
      <w:bookmarkEnd w:id="968"/>
    </w:p>
    <w:p>
      <w:pPr>
        <w:pStyle w:val="Subsection"/>
      </w:pPr>
      <w:r>
        <w:tab/>
        <w:t>(1)</w:t>
      </w:r>
      <w:r>
        <w:tab/>
        <w:t xml:space="preserve">In this section — </w:t>
      </w:r>
    </w:p>
    <w:p>
      <w:pPr>
        <w:pStyle w:val="Defstart"/>
      </w:pPr>
      <w:r>
        <w:tab/>
      </w:r>
      <w:r>
        <w:rPr>
          <w:rStyle w:val="CharDefText"/>
        </w:rPr>
        <w:t>relevant interest</w:t>
      </w:r>
      <w:r>
        <w:t xml:space="preserve"> means — </w:t>
      </w:r>
    </w:p>
    <w:p>
      <w:pPr>
        <w:pStyle w:val="Defpara"/>
      </w:pPr>
      <w:r>
        <w:tab/>
        <w:t>(a)</w:t>
      </w:r>
      <w:r>
        <w:tab/>
        <w:t xml:space="preserve">a mining tenement held under the </w:t>
      </w:r>
      <w:r>
        <w:rPr>
          <w:i/>
          <w:iCs/>
        </w:rPr>
        <w:t>Mining Act 1978</w:t>
      </w:r>
      <w:r>
        <w:t xml:space="preserve"> (whether within the meaning given to that term by that Act or by the </w:t>
      </w:r>
      <w:r>
        <w:rPr>
          <w:i/>
          <w:iCs/>
        </w:rPr>
        <w:t>Mining Act 1904</w:t>
      </w:r>
      <w:r>
        <w:rPr>
          <w:i/>
        </w:rPr>
        <w:t xml:space="preserve"> </w:t>
      </w:r>
      <w:r>
        <w:rPr>
          <w:vertAlign w:val="superscript"/>
        </w:rPr>
        <w:t>3</w:t>
      </w:r>
      <w:r>
        <w:t>); or</w:t>
      </w:r>
    </w:p>
    <w:p>
      <w:pPr>
        <w:pStyle w:val="Defpara"/>
      </w:pPr>
      <w:r>
        <w:tab/>
        <w:t>(b)</w:t>
      </w:r>
      <w:r>
        <w:tab/>
        <w:t xml:space="preserve">a permit, drilling reservation, lease or licence held under the </w:t>
      </w:r>
      <w:r>
        <w:rPr>
          <w:i/>
          <w:iCs/>
        </w:rPr>
        <w:t>Petroleum and Geothermal Energy Resources Act 1967</w:t>
      </w:r>
      <w:r>
        <w:t>.</w:t>
      </w:r>
    </w:p>
    <w:p>
      <w:pPr>
        <w:pStyle w:val="Subsection"/>
      </w:pPr>
      <w:r>
        <w:tab/>
        <w:t>(2)</w:t>
      </w:r>
      <w:r>
        <w:tab/>
        <w:t>Regardless of any determination made under section 6.28(1), the basis for a rate on a relevant interest is to be the unimproved value of the land, except as provided for in subsection (3).</w:t>
      </w:r>
    </w:p>
    <w:p>
      <w:pPr>
        <w:pStyle w:val="Subsection"/>
      </w:pPr>
      <w:r>
        <w:tab/>
        <w:t>(3)</w:t>
      </w:r>
      <w:r>
        <w:tab/>
        <w:t xml:space="preserve">Subsection (2) does not apply to a relevant interest in a portion of land on which capital improvements are located if — </w:t>
      </w:r>
    </w:p>
    <w:p>
      <w:pPr>
        <w:pStyle w:val="Indenta"/>
      </w:pPr>
      <w:r>
        <w:tab/>
        <w:t>(a)</w:t>
      </w:r>
      <w:r>
        <w:tab/>
        <w:t>the Minister has determined under section 6.28(1) that the gross rental value of the land is to be used as the basis for a rate on that interest; and</w:t>
      </w:r>
    </w:p>
    <w:p>
      <w:pPr>
        <w:pStyle w:val="Indenta"/>
      </w:pPr>
      <w:r>
        <w:tab/>
        <w:t>(b)</w:t>
      </w:r>
      <w:r>
        <w:tab/>
        <w:t>the determination expressly excludes the application of subsection (2).</w:t>
      </w:r>
    </w:p>
    <w:p>
      <w:pPr>
        <w:pStyle w:val="Subsection"/>
      </w:pPr>
      <w:r>
        <w:tab/>
        <w:t>(4)</w:t>
      </w:r>
      <w:r>
        <w:tab/>
        <w:t>The Minister cannot determine under section 6.28(1) that the gross rental value of the land is to be used as the basis for a rate on a relevant interest in a portion of land if another estate in that portion of land is rateable on the basis of the gross rental value of the land.</w:t>
      </w:r>
    </w:p>
    <w:p>
      <w:pPr>
        <w:pStyle w:val="Subsection"/>
      </w:pPr>
      <w:r>
        <w:tab/>
        <w:t>(5)</w:t>
      </w:r>
      <w:r>
        <w:tab/>
        <w:t xml:space="preserve">For the purpose of subsection (3)(b) a determination is to be taken to expressly exclude the application of subsection (2) if the determination — </w:t>
      </w:r>
    </w:p>
    <w:p>
      <w:pPr>
        <w:pStyle w:val="Indenta"/>
      </w:pPr>
      <w:r>
        <w:tab/>
        <w:t>(a)</w:t>
      </w:r>
      <w:r>
        <w:tab/>
        <w:t xml:space="preserve">was made before the commencement of the </w:t>
      </w:r>
      <w:r>
        <w:rPr>
          <w:i/>
          <w:snapToGrid w:val="0"/>
        </w:rPr>
        <w:t>Local Government Amendment Act 2009</w:t>
      </w:r>
      <w:r>
        <w:t xml:space="preserve"> section 38</w:t>
      </w:r>
      <w:r>
        <w:rPr>
          <w:vertAlign w:val="superscript"/>
        </w:rPr>
        <w:t> 1</w:t>
      </w:r>
      <w:r>
        <w:t>; and</w:t>
      </w:r>
    </w:p>
    <w:p>
      <w:pPr>
        <w:pStyle w:val="Indenta"/>
      </w:pPr>
      <w:r>
        <w:tab/>
        <w:t>(b)</w:t>
      </w:r>
      <w:r>
        <w:tab/>
        <w:t>specifically applies to the particular relevant interest.</w:t>
      </w:r>
    </w:p>
    <w:p>
      <w:pPr>
        <w:pStyle w:val="Footnotesection"/>
        <w:ind w:left="890" w:hanging="890"/>
      </w:pPr>
      <w:r>
        <w:tab/>
        <w:t>[Section 6.29 inserted by No. 17 of 2009 s. 38.]</w:t>
      </w:r>
    </w:p>
    <w:p>
      <w:pPr>
        <w:pStyle w:val="Heading5"/>
      </w:pPr>
      <w:bookmarkStart w:id="969" w:name="_Toc462409561"/>
      <w:r>
        <w:rPr>
          <w:rStyle w:val="CharSectno"/>
        </w:rPr>
        <w:t>6.30</w:t>
      </w:r>
      <w:r>
        <w:t>.</w:t>
      </w:r>
      <w:r>
        <w:tab/>
        <w:t>Valuation of and rates on certain land</w:t>
      </w:r>
      <w:bookmarkEnd w:id="969"/>
    </w:p>
    <w:p>
      <w:pPr>
        <w:pStyle w:val="Subsection"/>
        <w:spacing w:before="180"/>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t>(c)</w:t>
      </w:r>
      <w:r>
        <w:tab/>
        <w:t>$1.00 per 4 000 m</w:t>
      </w:r>
      <w:r>
        <w:rPr>
          <w:vertAlign w:val="superscript"/>
        </w:rPr>
        <w:t>2</w:t>
      </w:r>
      <w:r>
        <w:t xml:space="preserve"> for each of the first 40 000 ha or part thereof;</w:t>
      </w:r>
    </w:p>
    <w:p>
      <w:pPr>
        <w:pStyle w:val="Indenta"/>
      </w:pPr>
      <w:r>
        <w:tab/>
        <w:t>(d)</w:t>
      </w:r>
      <w:r>
        <w:tab/>
        <w:t>$0.75 per 4 000 m</w:t>
      </w:r>
      <w:r>
        <w:rPr>
          <w:vertAlign w:val="superscript"/>
        </w:rPr>
        <w:t xml:space="preserve">2 </w:t>
      </w:r>
      <w:r>
        <w:t>for each of the second 40 000 ha or part thereof;</w:t>
      </w:r>
    </w:p>
    <w:p>
      <w:pPr>
        <w:pStyle w:val="Indenta"/>
      </w:pPr>
      <w:r>
        <w:tab/>
        <w:t>(e)</w:t>
      </w:r>
      <w:r>
        <w:tab/>
        <w:t>$0.50 per 4 000 m</w:t>
      </w:r>
      <w:r>
        <w:rPr>
          <w:vertAlign w:val="superscript"/>
        </w:rPr>
        <w:t xml:space="preserve">2 </w:t>
      </w:r>
      <w:r>
        <w:t>for each of the third and fourth 40 000 ha or part thereof;</w:t>
      </w:r>
    </w:p>
    <w:p>
      <w:pPr>
        <w:pStyle w:val="Indenta"/>
      </w:pPr>
      <w:r>
        <w:tab/>
        <w:t>(f)</w:t>
      </w:r>
      <w:r>
        <w:tab/>
        <w:t>$0.25 for each 4 000 m</w:t>
      </w:r>
      <w:r>
        <w:rPr>
          <w:vertAlign w:val="superscript"/>
        </w:rPr>
        <w:t xml:space="preserve">2  </w:t>
      </w:r>
      <w:r>
        <w:t>in excess of 160 000 ha.</w:t>
      </w:r>
    </w:p>
    <w:p>
      <w:pPr>
        <w:pStyle w:val="Subsection"/>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Footnotesection"/>
      </w:pPr>
      <w:r>
        <w:tab/>
        <w:t>[Section 6.30 amended by No. 19 of 2010 s. 51.]</w:t>
      </w:r>
    </w:p>
    <w:p>
      <w:pPr>
        <w:pStyle w:val="Heading5"/>
        <w:spacing w:before="240"/>
      </w:pPr>
      <w:bookmarkStart w:id="970" w:name="_Toc462409562"/>
      <w:r>
        <w:rPr>
          <w:rStyle w:val="CharSectno"/>
        </w:rPr>
        <w:t>6.31</w:t>
      </w:r>
      <w:r>
        <w:t>.</w:t>
      </w:r>
      <w:r>
        <w:tab/>
        <w:t>Phasing in of certain valuations</w:t>
      </w:r>
      <w:bookmarkEnd w:id="970"/>
    </w:p>
    <w:p>
      <w:pPr>
        <w:pStyle w:val="Subsection"/>
      </w:pPr>
      <w:r>
        <w:tab/>
      </w:r>
      <w:r>
        <w:tab/>
        <w:t>Schedule 6.1 which deals with the phasing in of valuations has effect.</w:t>
      </w:r>
    </w:p>
    <w:p>
      <w:pPr>
        <w:pStyle w:val="Heading4"/>
      </w:pPr>
      <w:bookmarkStart w:id="971" w:name="_Toc448219278"/>
      <w:bookmarkStart w:id="972" w:name="_Toc448224500"/>
      <w:bookmarkStart w:id="973" w:name="_Toc451179737"/>
      <w:bookmarkStart w:id="974" w:name="_Toc451430657"/>
      <w:bookmarkStart w:id="975" w:name="_Toc455396607"/>
      <w:bookmarkStart w:id="976" w:name="_Toc455397467"/>
      <w:bookmarkStart w:id="977" w:name="_Toc456086550"/>
      <w:bookmarkStart w:id="978" w:name="_Toc462409563"/>
      <w:r>
        <w:t>Subdivision 2 — Categories of rates and service charges</w:t>
      </w:r>
      <w:bookmarkEnd w:id="971"/>
      <w:bookmarkEnd w:id="972"/>
      <w:bookmarkEnd w:id="973"/>
      <w:bookmarkEnd w:id="974"/>
      <w:bookmarkEnd w:id="975"/>
      <w:bookmarkEnd w:id="976"/>
      <w:bookmarkEnd w:id="977"/>
      <w:bookmarkEnd w:id="978"/>
    </w:p>
    <w:p>
      <w:pPr>
        <w:pStyle w:val="Heading5"/>
      </w:pPr>
      <w:bookmarkStart w:id="979" w:name="_Toc462409564"/>
      <w:r>
        <w:rPr>
          <w:rStyle w:val="CharSectno"/>
        </w:rPr>
        <w:t>6.32</w:t>
      </w:r>
      <w:r>
        <w:t>.</w:t>
      </w:r>
      <w:r>
        <w:tab/>
        <w:t>Rates and service charges</w:t>
      </w:r>
      <w:bookmarkEnd w:id="979"/>
    </w:p>
    <w:p>
      <w:pPr>
        <w:pStyle w:val="Subsection"/>
        <w:keepNext/>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r>
      <w:r>
        <w:tab/>
        <w:t>and</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pPr>
      <w:r>
        <w:tab/>
      </w:r>
      <w:r>
        <w:tab/>
        <w:t>and</w:t>
      </w:r>
    </w:p>
    <w:p>
      <w:pPr>
        <w:pStyle w:val="Indenta"/>
      </w:pPr>
      <w:r>
        <w:tab/>
        <w:t>(c)</w:t>
      </w:r>
      <w:r>
        <w:tab/>
        <w:t>may impose* a service charge on land within its district.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pPr>
      <w:r>
        <w:tab/>
        <w:t>(3)</w:t>
      </w:r>
      <w:r>
        <w:tab/>
        <w:t>A local government — </w:t>
      </w:r>
    </w:p>
    <w:p>
      <w:pPr>
        <w:pStyle w:val="Indenta"/>
      </w:pPr>
      <w:r>
        <w:tab/>
        <w:t>(a)</w:t>
      </w:r>
      <w:r>
        <w:tab/>
        <w:t>may, at any time after the imposition of rates in a financial year, in an emergency, impose* a supplementary general rate or specified area rate for the unexpired portion of the current financial year; and</w:t>
      </w:r>
    </w:p>
    <w:p>
      <w:pPr>
        <w:pStyle w:val="Indenta"/>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spacing w:before="80"/>
        <w:ind w:left="890" w:hanging="890"/>
      </w:pPr>
      <w:r>
        <w:tab/>
        <w:t>[Section 6.32 amended by No. 55 of 2004 s. 690.]</w:t>
      </w:r>
    </w:p>
    <w:p>
      <w:pPr>
        <w:pStyle w:val="Heading5"/>
        <w:keepLines w:val="0"/>
      </w:pPr>
      <w:bookmarkStart w:id="980" w:name="_Toc462409565"/>
      <w:r>
        <w:rPr>
          <w:rStyle w:val="CharSectno"/>
        </w:rPr>
        <w:t>6.33</w:t>
      </w:r>
      <w:r>
        <w:t>.</w:t>
      </w:r>
      <w:r>
        <w:tab/>
        <w:t>Differential general rates</w:t>
      </w:r>
      <w:bookmarkEnd w:id="980"/>
    </w:p>
    <w:p>
      <w:pPr>
        <w:pStyle w:val="Subsection"/>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whether or not under a local planning scheme or improvement scheme in force under the </w:t>
      </w:r>
      <w:r>
        <w:rPr>
          <w:i/>
        </w:rPr>
        <w:t>Planning and Development Act 2005</w:t>
      </w:r>
      <w:r>
        <w:t>; or</w:t>
      </w:r>
    </w:p>
    <w:p>
      <w:pPr>
        <w:pStyle w:val="Indenta"/>
        <w:spacing w:before="120"/>
      </w:pPr>
      <w:r>
        <w:tab/>
        <w:t>(b)</w:t>
      </w:r>
      <w:r>
        <w:tab/>
        <w:t>a purpose for which the land is held or used as determined by the local government; or</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Subsection"/>
      </w:pPr>
      <w:r>
        <w:tab/>
        <w:t>(5)</w:t>
      </w:r>
      <w:r>
        <w:tab/>
        <w:t xml:space="preserve">A differential general rate that a local government purported to impose under this Act before the </w:t>
      </w:r>
      <w:r>
        <w:rPr>
          <w:i/>
          <w:snapToGrid w:val="0"/>
        </w:rPr>
        <w:t>Local Government Amendment Act 2009</w:t>
      </w:r>
      <w:r>
        <w:t xml:space="preserve"> section 39(1)(a) came into operation</w:t>
      </w:r>
      <w:r>
        <w:rPr>
          <w:vertAlign w:val="superscript"/>
        </w:rPr>
        <w:t> 1</w:t>
      </w:r>
      <w:r>
        <w:t xml:space="preserve"> is to be taken to have been as valid as if the amendment made by that paragraph had been made before the purported imposition of that rate.</w:t>
      </w:r>
    </w:p>
    <w:p>
      <w:pPr>
        <w:pStyle w:val="Footnotesection"/>
        <w:ind w:left="890" w:hanging="890"/>
      </w:pPr>
      <w:r>
        <w:tab/>
        <w:t>[Section 6.33 amended by No. 38 of 2005 s. 15; No. 17 of 2009 s. 39; No. 28 of 2010 s. 34.]</w:t>
      </w:r>
    </w:p>
    <w:p>
      <w:pPr>
        <w:pStyle w:val="Heading5"/>
        <w:keepNext w:val="0"/>
        <w:keepLines w:val="0"/>
        <w:pageBreakBefore/>
        <w:spacing w:before="0"/>
      </w:pPr>
      <w:bookmarkStart w:id="981" w:name="_Toc462409566"/>
      <w:r>
        <w:rPr>
          <w:rStyle w:val="CharSectno"/>
        </w:rPr>
        <w:t>6.34</w:t>
      </w:r>
      <w:r>
        <w:t>.</w:t>
      </w:r>
      <w:r>
        <w:tab/>
        <w:t>Limit on revenue or income from general rates</w:t>
      </w:r>
      <w:bookmarkEnd w:id="981"/>
    </w:p>
    <w:p>
      <w:pPr>
        <w:pStyle w:val="Subsection"/>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Heading5"/>
      </w:pPr>
      <w:bookmarkStart w:id="982" w:name="_Toc462409567"/>
      <w:r>
        <w:rPr>
          <w:rStyle w:val="CharSectno"/>
        </w:rPr>
        <w:t>6.35</w:t>
      </w:r>
      <w:r>
        <w:t>.</w:t>
      </w:r>
      <w:r>
        <w:tab/>
        <w:t>Minimum payment</w:t>
      </w:r>
      <w:bookmarkEnd w:id="982"/>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 and</w:t>
      </w:r>
    </w:p>
    <w:p>
      <w:pPr>
        <w:pStyle w:val="Indenta"/>
      </w:pPr>
      <w:r>
        <w:tab/>
        <w:t>(b)</w:t>
      </w:r>
      <w:r>
        <w:tab/>
        <w:t>to land rated on unimproved value; and</w:t>
      </w:r>
    </w:p>
    <w:p>
      <w:pPr>
        <w:pStyle w:val="Indenta"/>
      </w:pPr>
      <w:r>
        <w:tab/>
        <w:t>(c)</w:t>
      </w:r>
      <w:r>
        <w:tab/>
        <w:t>to each differential rating category where a differential general rate is imposed.</w:t>
      </w:r>
    </w:p>
    <w:p>
      <w:pPr>
        <w:pStyle w:val="Footnotesection"/>
      </w:pPr>
      <w:r>
        <w:tab/>
        <w:t>[Section 6.35 amended by No. 49 of 2004 s. 61.]</w:t>
      </w:r>
    </w:p>
    <w:p>
      <w:pPr>
        <w:pStyle w:val="Heading5"/>
      </w:pPr>
      <w:bookmarkStart w:id="983" w:name="_Toc462409568"/>
      <w:r>
        <w:rPr>
          <w:rStyle w:val="CharSectno"/>
        </w:rPr>
        <w:t>6.36</w:t>
      </w:r>
      <w:r>
        <w:t>.</w:t>
      </w:r>
      <w:r>
        <w:tab/>
        <w:t>Local government to give notice of certain rates</w:t>
      </w:r>
      <w:bookmarkEnd w:id="983"/>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 and</w:t>
      </w:r>
    </w:p>
    <w:p>
      <w:pPr>
        <w:pStyle w:val="Indenta"/>
      </w:pPr>
      <w:r>
        <w:tab/>
        <w:t>(b)</w:t>
      </w:r>
      <w:r>
        <w:tab/>
        <w:t>is to contain — </w:t>
      </w:r>
    </w:p>
    <w:p>
      <w:pPr>
        <w:pStyle w:val="Indenti"/>
      </w:pPr>
      <w:r>
        <w:tab/>
        <w:t>(i)</w:t>
      </w:r>
      <w:r>
        <w:tab/>
        <w:t>details of each rate or minimum payment the local government intends to impose; and</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tab/>
        <w:t>(c)</w:t>
      </w:r>
      <w:r>
        <w:tab/>
        <w:t>is to advise electors and ratepayers of the time and place where a document describing the objects of, and reasons for, each proposed rate and minimum payment may be inspected.</w:t>
      </w:r>
    </w:p>
    <w:p>
      <w:pPr>
        <w:pStyle w:val="Subsection"/>
      </w:pPr>
      <w:r>
        <w:tab/>
        <w:t>(4)</w:t>
      </w:r>
      <w:r>
        <w:tab/>
        <w:t>The local government is required to consider any submissions received before imposing the proposed rate or minimum payment with or without modification.</w:t>
      </w:r>
    </w:p>
    <w:p>
      <w:pPr>
        <w:pStyle w:val="Subsection"/>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Heading5"/>
        <w:spacing w:before="180"/>
      </w:pPr>
      <w:bookmarkStart w:id="984" w:name="_Toc462409569"/>
      <w:r>
        <w:rPr>
          <w:rStyle w:val="CharSectno"/>
        </w:rPr>
        <w:t>6.37</w:t>
      </w:r>
      <w:r>
        <w:t>.</w:t>
      </w:r>
      <w:r>
        <w:tab/>
        <w:t>Specified area rates</w:t>
      </w:r>
      <w:bookmarkEnd w:id="984"/>
    </w:p>
    <w:p>
      <w:pPr>
        <w:pStyle w:val="Subsection"/>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tab/>
        <w:t>(a)</w:t>
      </w:r>
      <w:r>
        <w:tab/>
        <w:t>have benefited or will benefit from; or</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pPr>
      <w:r>
        <w:tab/>
        <w:t>(2)</w:t>
      </w:r>
      <w:r>
        <w:tab/>
        <w:t>A local government is required to — </w:t>
      </w:r>
    </w:p>
    <w:p>
      <w:pPr>
        <w:pStyle w:val="Indenta"/>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Subsection"/>
      </w:pPr>
      <w:r>
        <w:tab/>
        <w:t>(6)</w:t>
      </w:r>
      <w:r>
        <w:tab/>
        <w:t xml:space="preserve">Where — </w:t>
      </w:r>
    </w:p>
    <w:p>
      <w:pPr>
        <w:pStyle w:val="Indenta"/>
      </w:pPr>
      <w:r>
        <w:tab/>
        <w:t>(a)</w:t>
      </w:r>
      <w:r>
        <w:tab/>
        <w:t xml:space="preserve">before the coming into operation of the </w:t>
      </w:r>
      <w:r>
        <w:rPr>
          <w:i/>
        </w:rPr>
        <w:t>Local Government Amendment Act 2012</w:t>
      </w:r>
      <w:r>
        <w:t xml:space="preserve"> Part 2 Division 5, a specified area rate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the rate is, and is taken always to have been, as validly imposed under this section as it would have been if, at the time of the imposition of the rate, the local government were to provide the underground electricity.</w:t>
      </w:r>
    </w:p>
    <w:p>
      <w:pPr>
        <w:pStyle w:val="Footnotesection"/>
      </w:pPr>
      <w:r>
        <w:tab/>
        <w:t>[Section 6.37 amended by No. 2 of 2012 s. 20.]</w:t>
      </w:r>
    </w:p>
    <w:p>
      <w:pPr>
        <w:pStyle w:val="Heading5"/>
      </w:pPr>
      <w:bookmarkStart w:id="985" w:name="_Toc462409570"/>
      <w:r>
        <w:rPr>
          <w:rStyle w:val="CharSectno"/>
        </w:rPr>
        <w:t>6.38</w:t>
      </w:r>
      <w:r>
        <w:t>.</w:t>
      </w:r>
      <w:r>
        <w:tab/>
        <w:t>Service charges</w:t>
      </w:r>
      <w:bookmarkEnd w:id="985"/>
    </w:p>
    <w:p>
      <w:pPr>
        <w:pStyle w:val="Subsection"/>
        <w:spacing w:before="120"/>
      </w:pPr>
      <w:r>
        <w:tab/>
        <w:t>(1)</w:t>
      </w:r>
      <w:r>
        <w:tab/>
        <w:t>A local government may impose on — </w:t>
      </w:r>
    </w:p>
    <w:p>
      <w:pPr>
        <w:pStyle w:val="Indenta"/>
      </w:pPr>
      <w:r>
        <w:tab/>
        <w:t>(a)</w:t>
      </w:r>
      <w:r>
        <w:tab/>
        <w:t>owners; or</w:t>
      </w:r>
    </w:p>
    <w:p>
      <w:pPr>
        <w:pStyle w:val="Indenta"/>
        <w:keepNext/>
      </w:pPr>
      <w:r>
        <w:tab/>
        <w:t>(b)</w:t>
      </w:r>
      <w:r>
        <w:tab/>
        <w:t>occupiers,</w:t>
      </w:r>
    </w:p>
    <w:p>
      <w:pPr>
        <w:pStyle w:val="Subsection"/>
      </w:pPr>
      <w:r>
        <w:tab/>
      </w:r>
      <w:r>
        <w:tab/>
        <w:t>of land within the district or a defined part of the district a service charge for a financial year to meet the cost to the local government in the provision of a prescribed work, service or facility in relation to the land.</w:t>
      </w:r>
    </w:p>
    <w:p>
      <w:pPr>
        <w:pStyle w:val="Subsection"/>
      </w:pPr>
      <w:r>
        <w:tab/>
        <w:t>(2)</w:t>
      </w:r>
      <w:r>
        <w:tab/>
        <w:t>A local government is required to — </w:t>
      </w:r>
    </w:p>
    <w:p>
      <w:pPr>
        <w:pStyle w:val="Indenta"/>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work, service or facility.</w:t>
      </w:r>
    </w:p>
    <w:p>
      <w:pPr>
        <w:pStyle w:val="Subsection"/>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work, service or facility for which the charge was imposed,</w:t>
      </w:r>
    </w:p>
    <w:p>
      <w:pPr>
        <w:pStyle w:val="Subsection"/>
        <w:spacing w:before="10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work, service or facility charge was imposed; or</w:t>
      </w:r>
    </w:p>
    <w:p>
      <w:pPr>
        <w:pStyle w:val="Indenta"/>
      </w:pPr>
      <w:r>
        <w:tab/>
        <w:t>(b)</w:t>
      </w:r>
      <w:r>
        <w:tab/>
        <w:t>to repay money borrowed for anything referred to in paragraph (a) and interest on that money.</w:t>
      </w:r>
    </w:p>
    <w:p>
      <w:pPr>
        <w:pStyle w:val="Subsection"/>
        <w:keepNext/>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Subsection"/>
      </w:pPr>
      <w:r>
        <w:tab/>
        <w:t>(7)</w:t>
      </w:r>
      <w:r>
        <w:tab/>
        <w:t>This section applies in respect of a prescribed work, service or facility even if the work, service or facility is not provided, or not wholly provided, by a local government if the local government has facilitated or participated in the provision of the work, service or facility.</w:t>
      </w:r>
    </w:p>
    <w:p>
      <w:pPr>
        <w:pStyle w:val="Subsection"/>
      </w:pPr>
      <w:r>
        <w:tab/>
        <w:t>(8)</w:t>
      </w:r>
      <w:r>
        <w:tab/>
        <w:t xml:space="preserve">Where — </w:t>
      </w:r>
    </w:p>
    <w:p>
      <w:pPr>
        <w:pStyle w:val="Indenta"/>
      </w:pPr>
      <w:r>
        <w:tab/>
        <w:t>(a)</w:t>
      </w:r>
      <w:r>
        <w:tab/>
        <w:t xml:space="preserve">before the coming into operation of the </w:t>
      </w:r>
      <w:r>
        <w:rPr>
          <w:i/>
        </w:rPr>
        <w:t xml:space="preserve">Local Government Amendment Act 2012 </w:t>
      </w:r>
      <w:r>
        <w:t>Part 2 Division 5, a service charge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 xml:space="preserve">the charge is, and is taken always to have been, as validly imposed under this section as it would have been if, at the time of the imposition of the charge, the amendments effected by </w:t>
      </w:r>
      <w:r>
        <w:rPr>
          <w:i/>
        </w:rPr>
        <w:t>Local Government Amendment Act 2012</w:t>
      </w:r>
      <w:r>
        <w:t xml:space="preserve"> Part 2 Division 5 had been in effect and the provision of underground electricity had been a prescribed work.</w:t>
      </w:r>
    </w:p>
    <w:p>
      <w:pPr>
        <w:pStyle w:val="Footnotesection"/>
      </w:pPr>
      <w:r>
        <w:tab/>
        <w:t>[Section 6.38 amended by No. 2 of 2012 s. 21.]</w:t>
      </w:r>
    </w:p>
    <w:p>
      <w:pPr>
        <w:pStyle w:val="Heading4"/>
      </w:pPr>
      <w:bookmarkStart w:id="986" w:name="_Toc448219286"/>
      <w:bookmarkStart w:id="987" w:name="_Toc448224508"/>
      <w:bookmarkStart w:id="988" w:name="_Toc451179745"/>
      <w:bookmarkStart w:id="989" w:name="_Toc451430665"/>
      <w:bookmarkStart w:id="990" w:name="_Toc455396615"/>
      <w:bookmarkStart w:id="991" w:name="_Toc455397475"/>
      <w:bookmarkStart w:id="992" w:name="_Toc456086558"/>
      <w:bookmarkStart w:id="993" w:name="_Toc462409571"/>
      <w:r>
        <w:t>Subdivision 3 — Imposition of rates and service charges</w:t>
      </w:r>
      <w:bookmarkEnd w:id="986"/>
      <w:bookmarkEnd w:id="987"/>
      <w:bookmarkEnd w:id="988"/>
      <w:bookmarkEnd w:id="989"/>
      <w:bookmarkEnd w:id="990"/>
      <w:bookmarkEnd w:id="991"/>
      <w:bookmarkEnd w:id="992"/>
      <w:bookmarkEnd w:id="993"/>
    </w:p>
    <w:p>
      <w:pPr>
        <w:pStyle w:val="Heading5"/>
      </w:pPr>
      <w:bookmarkStart w:id="994" w:name="_Toc462409572"/>
      <w:r>
        <w:rPr>
          <w:rStyle w:val="CharSectno"/>
        </w:rPr>
        <w:t>6.39</w:t>
      </w:r>
      <w:r>
        <w:t>.</w:t>
      </w:r>
      <w:r>
        <w:tab/>
        <w:t>Rate record</w:t>
      </w:r>
      <w:bookmarkEnd w:id="994"/>
    </w:p>
    <w:p>
      <w:pPr>
        <w:pStyle w:val="Subsection"/>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995" w:name="_Toc462409573"/>
      <w:r>
        <w:rPr>
          <w:rStyle w:val="CharSectno"/>
        </w:rPr>
        <w:t>6.40</w:t>
      </w:r>
      <w:r>
        <w:t>.</w:t>
      </w:r>
      <w:r>
        <w:tab/>
        <w:t>Effect of amendment of rate record</w:t>
      </w:r>
      <w:bookmarkEnd w:id="995"/>
    </w:p>
    <w:p>
      <w:pPr>
        <w:pStyle w:val="Subsection"/>
      </w:pPr>
      <w:r>
        <w:tab/>
        <w:t>(1)</w:t>
      </w:r>
      <w:r>
        <w:tab/>
        <w:t>Where the rate record in relation to any land is amended under section 6.39(2) as a result of a change in — </w:t>
      </w:r>
    </w:p>
    <w:p>
      <w:pPr>
        <w:pStyle w:val="Indenta"/>
      </w:pPr>
      <w:r>
        <w:tab/>
        <w:t>(a)</w:t>
      </w:r>
      <w:r>
        <w:tab/>
        <w:t>the rateable value of; or</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996" w:name="_Toc462409574"/>
      <w:r>
        <w:rPr>
          <w:rStyle w:val="CharSectno"/>
        </w:rPr>
        <w:t>6.41</w:t>
      </w:r>
      <w:r>
        <w:t>.</w:t>
      </w:r>
      <w:r>
        <w:tab/>
        <w:t>Service of rate notice</w:t>
      </w:r>
      <w:bookmarkEnd w:id="996"/>
    </w:p>
    <w:p>
      <w:pPr>
        <w:pStyle w:val="Subsection"/>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pPr>
      <w:r>
        <w:tab/>
      </w:r>
      <w:r>
        <w:tab/>
        <w:t>a rate notice stating the date the rate notice was issued and incorporating or accompanied by the details and particulars prescribed.</w:t>
      </w:r>
    </w:p>
    <w:p>
      <w:pPr>
        <w:pStyle w:val="Subsection"/>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Heading4"/>
      </w:pPr>
      <w:bookmarkStart w:id="997" w:name="_Toc448219290"/>
      <w:bookmarkStart w:id="998" w:name="_Toc448224512"/>
      <w:bookmarkStart w:id="999" w:name="_Toc451179749"/>
      <w:bookmarkStart w:id="1000" w:name="_Toc451430669"/>
      <w:bookmarkStart w:id="1001" w:name="_Toc455396619"/>
      <w:bookmarkStart w:id="1002" w:name="_Toc455397479"/>
      <w:bookmarkStart w:id="1003" w:name="_Toc456086562"/>
      <w:bookmarkStart w:id="1004" w:name="_Toc462409575"/>
      <w:r>
        <w:t>Subdivision 4 — Payment of rates and service charges</w:t>
      </w:r>
      <w:bookmarkEnd w:id="997"/>
      <w:bookmarkEnd w:id="998"/>
      <w:bookmarkEnd w:id="999"/>
      <w:bookmarkEnd w:id="1000"/>
      <w:bookmarkEnd w:id="1001"/>
      <w:bookmarkEnd w:id="1002"/>
      <w:bookmarkEnd w:id="1003"/>
      <w:bookmarkEnd w:id="1004"/>
    </w:p>
    <w:p>
      <w:pPr>
        <w:pStyle w:val="Heading5"/>
      </w:pPr>
      <w:bookmarkStart w:id="1005" w:name="_Toc462409576"/>
      <w:r>
        <w:rPr>
          <w:rStyle w:val="CharSectno"/>
        </w:rPr>
        <w:t>6.42</w:t>
      </w:r>
      <w:r>
        <w:t>.</w:t>
      </w:r>
      <w:r>
        <w:tab/>
        <w:t>Term used: service charge</w:t>
      </w:r>
      <w:bookmarkEnd w:id="1005"/>
    </w:p>
    <w:p>
      <w:pPr>
        <w:pStyle w:val="Subsection"/>
        <w:spacing w:before="180"/>
      </w:pPr>
      <w:r>
        <w:tab/>
      </w:r>
      <w:r>
        <w:tab/>
        <w:t>In sections 6.43, 6.44 and 6.52(1) — </w:t>
      </w:r>
    </w:p>
    <w:p>
      <w:pPr>
        <w:pStyle w:val="Defstart"/>
        <w:rPr>
          <w:rStyle w:val="CharSectno"/>
        </w:rPr>
      </w:pPr>
      <w:r>
        <w:rPr>
          <w:b/>
        </w:rPr>
        <w:tab/>
      </w:r>
      <w:r>
        <w:rPr>
          <w:rStyle w:val="CharDefText"/>
        </w:rPr>
        <w:t>service charge</w:t>
      </w:r>
      <w:r>
        <w:t xml:space="preserve"> does not include a service charge imposed under section 6.38(1)(b) on the occupier of land who is not the owner of that land.</w:t>
      </w:r>
    </w:p>
    <w:p>
      <w:pPr>
        <w:pStyle w:val="Heading5"/>
        <w:spacing w:before="240"/>
      </w:pPr>
      <w:bookmarkStart w:id="1006" w:name="_Toc462409577"/>
      <w:r>
        <w:rPr>
          <w:rStyle w:val="CharSectno"/>
        </w:rPr>
        <w:t>6.43</w:t>
      </w:r>
      <w:r>
        <w:t>.</w:t>
      </w:r>
      <w:r>
        <w:tab/>
        <w:t>Rates and service charges are a charge on land</w:t>
      </w:r>
      <w:bookmarkEnd w:id="1006"/>
    </w:p>
    <w:p>
      <w:pPr>
        <w:pStyle w:val="Subsection"/>
        <w:spacing w:before="180"/>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spacing w:before="240"/>
      </w:pPr>
      <w:bookmarkStart w:id="1007" w:name="_Toc462409578"/>
      <w:r>
        <w:rPr>
          <w:rStyle w:val="CharSectno"/>
        </w:rPr>
        <w:t>6.44</w:t>
      </w:r>
      <w:r>
        <w:t>.</w:t>
      </w:r>
      <w:r>
        <w:tab/>
        <w:t>Liability for rates or service charges</w:t>
      </w:r>
      <w:bookmarkEnd w:id="1007"/>
    </w:p>
    <w:p>
      <w:pPr>
        <w:pStyle w:val="Subsection"/>
        <w:spacing w:before="180"/>
      </w:pPr>
      <w:r>
        <w:tab/>
        <w:t>(1)</w:t>
      </w:r>
      <w:r>
        <w:tab/>
        <w:t>The owner for the time being of land on which a rate or service charge has been imposed is liable to pay the rate or service charge to the local government.</w:t>
      </w:r>
    </w:p>
    <w:p>
      <w:pPr>
        <w:pStyle w:val="Subsection"/>
        <w:spacing w:before="180"/>
      </w:pPr>
      <w:r>
        <w:tab/>
        <w:t>(2)</w:t>
      </w:r>
      <w:r>
        <w:tab/>
        <w:t>If there are 2 or more owners of the land they are jointly and severally liable to pay the rate or service charge, as the case requires.</w:t>
      </w:r>
    </w:p>
    <w:p>
      <w:pPr>
        <w:pStyle w:val="Heading5"/>
      </w:pPr>
      <w:bookmarkStart w:id="1008" w:name="_Toc462409579"/>
      <w:r>
        <w:rPr>
          <w:rStyle w:val="CharSectno"/>
        </w:rPr>
        <w:t>6.45</w:t>
      </w:r>
      <w:r>
        <w:t>.</w:t>
      </w:r>
      <w:r>
        <w:tab/>
        <w:t>Options for payment of rates or service charges</w:t>
      </w:r>
      <w:bookmarkEnd w:id="1008"/>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keepNext/>
        <w:keepLines/>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pPr>
        <w:pStyle w:val="Subsection"/>
        <w:keepNext/>
      </w:pPr>
      <w:r>
        <w:tab/>
        <w:t>(4)</w:t>
      </w:r>
      <w:r>
        <w:tab/>
        <w:t>Regulations may — </w:t>
      </w:r>
    </w:p>
    <w:p>
      <w:pPr>
        <w:pStyle w:val="Indenta"/>
      </w:pPr>
      <w:r>
        <w:tab/>
        <w:t>(a)</w:t>
      </w:r>
      <w:r>
        <w:tab/>
        <w:t>provide for the manner of making an election to pay by instalments under subsection (1) or (2); and</w:t>
      </w:r>
    </w:p>
    <w:p>
      <w:pPr>
        <w:pStyle w:val="Indenta"/>
      </w:pPr>
      <w:r>
        <w:tab/>
        <w:t>(b)</w:t>
      </w:r>
      <w:r>
        <w:tab/>
        <w:t>prescribe circumstances in which payments may or may not be made by instalments; and</w:t>
      </w:r>
    </w:p>
    <w:p>
      <w:pPr>
        <w:pStyle w:val="Indenta"/>
      </w:pPr>
      <w:r>
        <w:tab/>
        <w:t>(c)</w:t>
      </w:r>
      <w:r>
        <w:tab/>
        <w:t>prohibit or regulate any matters relating to payments by instalments; and</w:t>
      </w:r>
    </w:p>
    <w:p>
      <w:pPr>
        <w:pStyle w:val="Indenta"/>
      </w:pPr>
      <w:r>
        <w:tab/>
        <w:t>(d)</w:t>
      </w:r>
      <w:r>
        <w:tab/>
        <w:t>provide for the time when, and manner in which, instalments are to be paid; and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Heading5"/>
      </w:pPr>
      <w:bookmarkStart w:id="1009" w:name="_Toc462409580"/>
      <w:r>
        <w:rPr>
          <w:rStyle w:val="CharSectno"/>
        </w:rPr>
        <w:t>6.46</w:t>
      </w:r>
      <w:r>
        <w:t>.</w:t>
      </w:r>
      <w:r>
        <w:tab/>
        <w:t>Discounts</w:t>
      </w:r>
      <w:bookmarkEnd w:id="1009"/>
    </w:p>
    <w:p>
      <w:pPr>
        <w:pStyle w:val="Subsection"/>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1010" w:name="_Toc462409581"/>
      <w:r>
        <w:rPr>
          <w:rStyle w:val="CharSectno"/>
        </w:rPr>
        <w:t>6.47</w:t>
      </w:r>
      <w:r>
        <w:t>.</w:t>
      </w:r>
      <w:r>
        <w:tab/>
        <w:t>Concessions</w:t>
      </w:r>
      <w:bookmarkEnd w:id="1010"/>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keepNext w:val="0"/>
        <w:keepLines w:val="0"/>
        <w:spacing w:before="180"/>
      </w:pPr>
      <w:bookmarkStart w:id="1011" w:name="_Toc462409582"/>
      <w:r>
        <w:rPr>
          <w:rStyle w:val="CharSectno"/>
        </w:rPr>
        <w:t>6.48</w:t>
      </w:r>
      <w:r>
        <w:t>.</w:t>
      </w:r>
      <w:r>
        <w:tab/>
        <w:t>Regulation of grant of discounts and concessions</w:t>
      </w:r>
      <w:bookmarkEnd w:id="1011"/>
    </w:p>
    <w:p>
      <w:pPr>
        <w:pStyle w:val="Subsection"/>
        <w:spacing w:before="120"/>
      </w:pPr>
      <w:r>
        <w:tab/>
      </w:r>
      <w:r>
        <w:tab/>
        <w:t>Regulations may prescribe circumstances in which a local government is not to exercise a power under section 6.46 or 6.47 or regulate the exercise of the power.</w:t>
      </w:r>
    </w:p>
    <w:p>
      <w:pPr>
        <w:pStyle w:val="Heading5"/>
      </w:pPr>
      <w:bookmarkStart w:id="1012" w:name="_Toc462409583"/>
      <w:r>
        <w:rPr>
          <w:rStyle w:val="CharSectno"/>
        </w:rPr>
        <w:t>6.49</w:t>
      </w:r>
      <w:r>
        <w:t>.</w:t>
      </w:r>
      <w:r>
        <w:tab/>
        <w:t>Agreement as to payment of rates and service charges</w:t>
      </w:r>
      <w:bookmarkEnd w:id="1012"/>
    </w:p>
    <w:p>
      <w:pPr>
        <w:pStyle w:val="Subsection"/>
      </w:pPr>
      <w:r>
        <w:tab/>
      </w:r>
      <w:r>
        <w:tab/>
        <w:t>A local government may accept payment of a rate or service charge due and payable by a person in accordance with an agreement made with the person.</w:t>
      </w:r>
    </w:p>
    <w:p>
      <w:pPr>
        <w:pStyle w:val="Heading5"/>
        <w:spacing w:before="180"/>
      </w:pPr>
      <w:bookmarkStart w:id="1013" w:name="_Toc462409584"/>
      <w:r>
        <w:rPr>
          <w:rStyle w:val="CharSectno"/>
        </w:rPr>
        <w:t>6.50</w:t>
      </w:r>
      <w:r>
        <w:t>.</w:t>
      </w:r>
      <w:r>
        <w:tab/>
        <w:t>Rates or service charges due and payable</w:t>
      </w:r>
      <w:bookmarkEnd w:id="1013"/>
    </w:p>
    <w:p>
      <w:pPr>
        <w:pStyle w:val="Subsection"/>
      </w:pPr>
      <w:r>
        <w:tab/>
        <w:t>(1)</w:t>
      </w:r>
      <w:r>
        <w:tab/>
        <w:t>Subject to — </w:t>
      </w:r>
    </w:p>
    <w:p>
      <w:pPr>
        <w:pStyle w:val="Indenta"/>
      </w:pPr>
      <w:r>
        <w:tab/>
        <w:t>(a)</w:t>
      </w:r>
      <w:r>
        <w:tab/>
        <w:t>subsections (2) and (3); and</w:t>
      </w:r>
    </w:p>
    <w:p>
      <w:pPr>
        <w:pStyle w:val="Indenta"/>
      </w:pPr>
      <w:r>
        <w:tab/>
        <w:t>(b)</w:t>
      </w:r>
      <w:r>
        <w:tab/>
        <w:t>any concession granted under section 6.47; and</w:t>
      </w:r>
    </w:p>
    <w:p>
      <w:pPr>
        <w:pStyle w:val="Indenta"/>
        <w:spacing w:before="120"/>
      </w:pPr>
      <w:r>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spacing w:before="180"/>
      </w:pPr>
      <w:bookmarkStart w:id="1014" w:name="_Toc462409585"/>
      <w:r>
        <w:rPr>
          <w:rStyle w:val="CharSectno"/>
        </w:rPr>
        <w:t>6.51</w:t>
      </w:r>
      <w:r>
        <w:t>.</w:t>
      </w:r>
      <w:r>
        <w:tab/>
        <w:t>Accrual of interest on overdue rates or service charges</w:t>
      </w:r>
      <w:bookmarkEnd w:id="1014"/>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spacing w:before="120"/>
      </w:pPr>
      <w:r>
        <w:tab/>
        <w:t>(b)</w:t>
      </w:r>
      <w:r>
        <w:tab/>
        <w:t>any costs of proceedings to recover any such charge,</w:t>
      </w:r>
    </w:p>
    <w:p>
      <w:pPr>
        <w:pStyle w:val="Subsection"/>
      </w:pPr>
      <w:r>
        <w:tab/>
      </w:r>
      <w:r>
        <w:tab/>
        <w:t>that remains unpaid after becoming due and payable.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spacing w:before="120"/>
      </w:pPr>
      <w:r>
        <w:tab/>
        <w:t>(3)</w:t>
      </w:r>
      <w:r>
        <w:tab/>
        <w:t>Accrued interest is, for the purpose of its recovery, taken to be a rate or service charge, as the case requires, that is due and payable.</w:t>
      </w:r>
    </w:p>
    <w:p>
      <w:pPr>
        <w:pStyle w:val="Subsection"/>
        <w:spacing w:before="120"/>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spacing w:before="120"/>
      </w:pPr>
      <w:r>
        <w:tab/>
        <w:t>(5)</w:t>
      </w:r>
      <w:r>
        <w:tab/>
        <w:t>Regulations may provide for the method of calculation of interest.</w:t>
      </w:r>
    </w:p>
    <w:p>
      <w:pPr>
        <w:pStyle w:val="Footnotesection"/>
      </w:pPr>
      <w:r>
        <w:tab/>
        <w:t>[Section 6.51 amended by No. 1 of 1998 s. 21(1); No. 49 of 2004 s. 62.]</w:t>
      </w:r>
    </w:p>
    <w:p>
      <w:pPr>
        <w:pStyle w:val="Heading5"/>
        <w:spacing w:before="180"/>
      </w:pPr>
      <w:bookmarkStart w:id="1015" w:name="_Toc462409586"/>
      <w:r>
        <w:rPr>
          <w:rStyle w:val="CharSectno"/>
        </w:rPr>
        <w:t>6.52</w:t>
      </w:r>
      <w:r>
        <w:t>.</w:t>
      </w:r>
      <w:r>
        <w:tab/>
        <w:t>Rates and service charges may be apportioned</w:t>
      </w:r>
      <w:bookmarkEnd w:id="1015"/>
    </w:p>
    <w:p>
      <w:pPr>
        <w:pStyle w:val="Subsection"/>
        <w:keepNext/>
        <w:spacing w:before="120"/>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pPr>
      <w:r>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1016" w:name="_Toc462409587"/>
      <w:r>
        <w:rPr>
          <w:rStyle w:val="CharSectno"/>
        </w:rPr>
        <w:t>6.53</w:t>
      </w:r>
      <w:r>
        <w:t>.</w:t>
      </w:r>
      <w:r>
        <w:tab/>
        <w:t>Land becoming or ceasing to be rateable land</w:t>
      </w:r>
      <w:bookmarkEnd w:id="1016"/>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1017" w:name="_Toc448219303"/>
      <w:bookmarkStart w:id="1018" w:name="_Toc448224525"/>
      <w:bookmarkStart w:id="1019" w:name="_Toc451179762"/>
      <w:bookmarkStart w:id="1020" w:name="_Toc451430682"/>
      <w:bookmarkStart w:id="1021" w:name="_Toc455396632"/>
      <w:bookmarkStart w:id="1022" w:name="_Toc455397492"/>
      <w:bookmarkStart w:id="1023" w:name="_Toc456086575"/>
      <w:bookmarkStart w:id="1024" w:name="_Toc462409588"/>
      <w:r>
        <w:t>Subdivision 5 — Recovery of unpaid rates and service charges</w:t>
      </w:r>
      <w:bookmarkEnd w:id="1017"/>
      <w:bookmarkEnd w:id="1018"/>
      <w:bookmarkEnd w:id="1019"/>
      <w:bookmarkEnd w:id="1020"/>
      <w:bookmarkEnd w:id="1021"/>
      <w:bookmarkEnd w:id="1022"/>
      <w:bookmarkEnd w:id="1023"/>
      <w:bookmarkEnd w:id="1024"/>
    </w:p>
    <w:p>
      <w:pPr>
        <w:pStyle w:val="Heading5"/>
      </w:pPr>
      <w:bookmarkStart w:id="1025" w:name="_Toc462409589"/>
      <w:r>
        <w:rPr>
          <w:rStyle w:val="CharSectno"/>
        </w:rPr>
        <w:t>6.54</w:t>
      </w:r>
      <w:r>
        <w:t>.</w:t>
      </w:r>
      <w:r>
        <w:tab/>
        <w:t>Term used: service charge</w:t>
      </w:r>
      <w:bookmarkEnd w:id="1025"/>
    </w:p>
    <w:p>
      <w:pPr>
        <w:pStyle w:val="Subsection"/>
      </w:pPr>
      <w:r>
        <w:tab/>
      </w:r>
      <w:r>
        <w:tab/>
        <w:t>In sections 6.55, 6.60 and 6.62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spacing w:before="180"/>
      </w:pPr>
      <w:bookmarkStart w:id="1026" w:name="_Toc462409590"/>
      <w:r>
        <w:rPr>
          <w:rStyle w:val="CharSectno"/>
        </w:rPr>
        <w:t>6.55</w:t>
      </w:r>
      <w:r>
        <w:t>.</w:t>
      </w:r>
      <w:r>
        <w:tab/>
        <w:t>Recovery of rates and service charges</w:t>
      </w:r>
      <w:bookmarkEnd w:id="1026"/>
    </w:p>
    <w:p>
      <w:pPr>
        <w:pStyle w:val="Subsection"/>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1027" w:name="_Toc462409591"/>
      <w:r>
        <w:rPr>
          <w:rStyle w:val="CharSectno"/>
        </w:rPr>
        <w:t>6.56</w:t>
      </w:r>
      <w:r>
        <w:t>.</w:t>
      </w:r>
      <w:r>
        <w:tab/>
        <w:t>Rates or service charges recoverable in court</w:t>
      </w:r>
      <w:bookmarkEnd w:id="1027"/>
    </w:p>
    <w:p>
      <w:pPr>
        <w:pStyle w:val="Subsection"/>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pPr>
      <w:r>
        <w:tab/>
        <w:t>(2)</w:t>
      </w:r>
      <w:r>
        <w:tab/>
        <w:t>Rates or service charges due by the same person to the local government may be included in one writ, summons, or other process.</w:t>
      </w:r>
    </w:p>
    <w:p>
      <w:pPr>
        <w:pStyle w:val="Footnotesection"/>
      </w:pPr>
      <w:r>
        <w:tab/>
        <w:t>[Section 6.56 amended by No. 84 of 2004 s. 80.]</w:t>
      </w:r>
    </w:p>
    <w:p>
      <w:pPr>
        <w:pStyle w:val="Heading5"/>
      </w:pPr>
      <w:bookmarkStart w:id="1028" w:name="_Toc462409592"/>
      <w:r>
        <w:rPr>
          <w:rStyle w:val="CharSectno"/>
        </w:rPr>
        <w:t>6.57</w:t>
      </w:r>
      <w:r>
        <w:t>.</w:t>
      </w:r>
      <w:r>
        <w:tab/>
        <w:t>Non</w:t>
      </w:r>
      <w:r>
        <w:noBreakHyphen/>
        <w:t>compliance with procedure in Act not to prevent recovery of rate or service charge</w:t>
      </w:r>
      <w:bookmarkEnd w:id="1028"/>
    </w:p>
    <w:p>
      <w:pPr>
        <w:pStyle w:val="Subsection"/>
        <w:spacing w:before="120"/>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1029" w:name="_Toc462409593"/>
      <w:r>
        <w:rPr>
          <w:rStyle w:val="CharSectno"/>
        </w:rPr>
        <w:t>6.58</w:t>
      </w:r>
      <w:r>
        <w:t>.</w:t>
      </w:r>
      <w:r>
        <w:tab/>
        <w:t>Defence in special cases</w:t>
      </w:r>
      <w:bookmarkEnd w:id="1029"/>
    </w:p>
    <w:p>
      <w:pPr>
        <w:pStyle w:val="Subsection"/>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spacing w:before="100"/>
        <w:ind w:left="890" w:hanging="890"/>
      </w:pPr>
      <w:r>
        <w:tab/>
        <w:t>[Section 6.58 amended by No. 55 of 2004 s. 691.]</w:t>
      </w:r>
    </w:p>
    <w:p>
      <w:pPr>
        <w:pStyle w:val="Heading5"/>
      </w:pPr>
      <w:bookmarkStart w:id="1030" w:name="_Toc462409594"/>
      <w:r>
        <w:rPr>
          <w:rStyle w:val="CharSectno"/>
        </w:rPr>
        <w:t>6.59</w:t>
      </w:r>
      <w:r>
        <w:t>.</w:t>
      </w:r>
      <w:r>
        <w:tab/>
        <w:t>Question of title to land not to affect jurisdiction</w:t>
      </w:r>
      <w:bookmarkEnd w:id="1030"/>
    </w:p>
    <w:p>
      <w:pPr>
        <w:pStyle w:val="Subsection"/>
        <w:spacing w:before="120"/>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spacing w:before="100"/>
        <w:ind w:left="890" w:hanging="890"/>
      </w:pPr>
      <w:r>
        <w:tab/>
        <w:t>[Section 6.59 amended by No. 55 of 2004 s. 692.]</w:t>
      </w:r>
    </w:p>
    <w:p>
      <w:pPr>
        <w:pStyle w:val="Heading5"/>
      </w:pPr>
      <w:bookmarkStart w:id="1031" w:name="_Toc462409595"/>
      <w:r>
        <w:rPr>
          <w:rStyle w:val="CharSectno"/>
        </w:rPr>
        <w:t>6.60</w:t>
      </w:r>
      <w:r>
        <w:t>.</w:t>
      </w:r>
      <w:r>
        <w:tab/>
        <w:t>Local government may require lessee to pay rent</w:t>
      </w:r>
      <w:bookmarkEnd w:id="1031"/>
    </w:p>
    <w:p>
      <w:pPr>
        <w:pStyle w:val="Subsection"/>
        <w:keepNext/>
      </w:pPr>
      <w:r>
        <w:tab/>
        <w:t>(1)</w:t>
      </w:r>
      <w:r>
        <w:tab/>
        <w:t>In this section — </w:t>
      </w:r>
    </w:p>
    <w:p>
      <w:pPr>
        <w:pStyle w:val="Defstart"/>
      </w:pPr>
      <w:r>
        <w:tab/>
      </w:r>
      <w:r>
        <w:rPr>
          <w:rStyle w:val="CharDefText"/>
        </w:rPr>
        <w:t>lease</w:t>
      </w:r>
      <w:r>
        <w:t xml:space="preserve"> includes an agreement whether made orally or in writing for the leasing or subleasing of land and includes a licence or arrangement for the use of land;</w:t>
      </w:r>
    </w:p>
    <w:p>
      <w:pPr>
        <w:pStyle w:val="Defstart"/>
      </w:pPr>
      <w:r>
        <w:rPr>
          <w:b/>
        </w:rPr>
        <w:tab/>
      </w:r>
      <w:r>
        <w:rPr>
          <w:rStyle w:val="CharDefText"/>
        </w:rPr>
        <w:t>lessor</w:t>
      </w:r>
      <w:r>
        <w:t xml:space="preserve"> and </w:t>
      </w:r>
      <w:r>
        <w:rPr>
          <w:rStyle w:val="CharDefText"/>
        </w:rPr>
        <w:t>lessee</w:t>
      </w:r>
      <w:r>
        <w:t xml:space="preserve"> mean the parties to a lease and their respective successors in title.</w:t>
      </w:r>
    </w:p>
    <w:p>
      <w:pPr>
        <w:pStyle w:val="Subsection"/>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pPr>
      <w:r>
        <w:tab/>
        <w:t>(5)</w:t>
      </w:r>
      <w:r>
        <w:tab/>
        <w:t>Where an amount is paid under this section to the local government — </w:t>
      </w:r>
    </w:p>
    <w:p>
      <w:pPr>
        <w:pStyle w:val="Indenta"/>
      </w:pPr>
      <w:r>
        <w:tab/>
        <w:t>(a)</w:t>
      </w:r>
      <w:r>
        <w:tab/>
        <w:t>the payment discharges the payer from any liability to any person to pay that amount as rent; and</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keepNext/>
      </w:pPr>
      <w:r>
        <w:tab/>
        <w:t>(6)</w:t>
      </w:r>
      <w:r>
        <w:tab/>
        <w:t>To the extent that an agreement purports to preclude a lessee from setting off or recovering payments made to a local government under this section, the agreement is of no effect.</w:t>
      </w:r>
    </w:p>
    <w:p>
      <w:pPr>
        <w:pStyle w:val="Heading5"/>
      </w:pPr>
      <w:bookmarkStart w:id="1032" w:name="_Toc462409596"/>
      <w:r>
        <w:rPr>
          <w:rStyle w:val="CharSectno"/>
        </w:rPr>
        <w:t>6.61</w:t>
      </w:r>
      <w:r>
        <w:t>.</w:t>
      </w:r>
      <w:r>
        <w:tab/>
        <w:t>Requirement to give name of person liable</w:t>
      </w:r>
      <w:bookmarkEnd w:id="1032"/>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Heading5"/>
      </w:pPr>
      <w:bookmarkStart w:id="1033" w:name="_Toc462409597"/>
      <w:r>
        <w:rPr>
          <w:rStyle w:val="CharSectno"/>
        </w:rPr>
        <w:t>6.62</w:t>
      </w:r>
      <w:r>
        <w:t>.</w:t>
      </w:r>
      <w:r>
        <w:tab/>
        <w:t>Application of money paid for rates and service charges</w:t>
      </w:r>
      <w:bookmarkEnd w:id="1033"/>
    </w:p>
    <w:p>
      <w:pPr>
        <w:pStyle w:val="Subsection"/>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by No. 49 of 2004 s. 63.]</w:t>
      </w:r>
    </w:p>
    <w:p>
      <w:pPr>
        <w:pStyle w:val="Heading4"/>
        <w:keepLines/>
      </w:pPr>
      <w:bookmarkStart w:id="1034" w:name="_Toc448219313"/>
      <w:bookmarkStart w:id="1035" w:name="_Toc448224535"/>
      <w:bookmarkStart w:id="1036" w:name="_Toc451179772"/>
      <w:bookmarkStart w:id="1037" w:name="_Toc451430692"/>
      <w:bookmarkStart w:id="1038" w:name="_Toc455396642"/>
      <w:bookmarkStart w:id="1039" w:name="_Toc455397502"/>
      <w:bookmarkStart w:id="1040" w:name="_Toc456086585"/>
      <w:bookmarkStart w:id="1041" w:name="_Toc462409598"/>
      <w:r>
        <w:t>Subdivision 6 — Actions against land where rates or service charges unpaid</w:t>
      </w:r>
      <w:bookmarkEnd w:id="1034"/>
      <w:bookmarkEnd w:id="1035"/>
      <w:bookmarkEnd w:id="1036"/>
      <w:bookmarkEnd w:id="1037"/>
      <w:bookmarkEnd w:id="1038"/>
      <w:bookmarkEnd w:id="1039"/>
      <w:bookmarkEnd w:id="1040"/>
      <w:bookmarkEnd w:id="1041"/>
      <w:r>
        <w:t xml:space="preserve"> </w:t>
      </w:r>
    </w:p>
    <w:p>
      <w:pPr>
        <w:pStyle w:val="Heading5"/>
        <w:spacing w:before="180"/>
      </w:pPr>
      <w:bookmarkStart w:id="1042" w:name="_Toc462409599"/>
      <w:r>
        <w:rPr>
          <w:rStyle w:val="CharSectno"/>
        </w:rPr>
        <w:t>6.63</w:t>
      </w:r>
      <w:r>
        <w:t>.</w:t>
      </w:r>
      <w:r>
        <w:tab/>
        <w:t>Term used: service charge</w:t>
      </w:r>
      <w:bookmarkEnd w:id="1042"/>
    </w:p>
    <w:p>
      <w:pPr>
        <w:pStyle w:val="Subsection"/>
        <w:keepLines/>
      </w:pPr>
      <w:r>
        <w:tab/>
      </w:r>
      <w:r>
        <w:tab/>
        <w:t>In this Subdivision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spacing w:before="180"/>
      </w:pPr>
      <w:bookmarkStart w:id="1043" w:name="_Toc462409600"/>
      <w:r>
        <w:rPr>
          <w:rStyle w:val="CharSectno"/>
        </w:rPr>
        <w:t>6.64</w:t>
      </w:r>
      <w:r>
        <w:t>.</w:t>
      </w:r>
      <w:r>
        <w:tab/>
        <w:t>Actions to be taken</w:t>
      </w:r>
      <w:bookmarkEnd w:id="1043"/>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 or</w:t>
      </w:r>
    </w:p>
    <w:p>
      <w:pPr>
        <w:pStyle w:val="Indenta"/>
        <w:spacing w:before="120"/>
      </w:pPr>
      <w:r>
        <w:tab/>
        <w:t>(b)</w:t>
      </w:r>
      <w:r>
        <w:tab/>
        <w:t>sell the land; or</w:t>
      </w:r>
    </w:p>
    <w:p>
      <w:pPr>
        <w:pStyle w:val="Indenta"/>
      </w:pPr>
      <w:r>
        <w:tab/>
        <w:t>(c)</w:t>
      </w:r>
      <w:r>
        <w:tab/>
        <w:t>cause the land to be transferred to the Crown; or</w:t>
      </w:r>
    </w:p>
    <w:p>
      <w:pPr>
        <w:pStyle w:val="Indenta"/>
      </w:pPr>
      <w:r>
        <w:tab/>
        <w:t>(d)</w:t>
      </w:r>
      <w:r>
        <w:tab/>
        <w:t>cause the land to be transferred to itself.</w:t>
      </w:r>
    </w:p>
    <w:p>
      <w:pPr>
        <w:pStyle w:val="Subsection"/>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keepNext w:val="0"/>
        <w:keepLines w:val="0"/>
        <w:spacing w:before="180"/>
      </w:pPr>
      <w:bookmarkStart w:id="1044" w:name="_Toc462409601"/>
      <w:r>
        <w:rPr>
          <w:rStyle w:val="CharSectno"/>
        </w:rPr>
        <w:t>6.65</w:t>
      </w:r>
      <w:r>
        <w:t>.</w:t>
      </w:r>
      <w:r>
        <w:tab/>
        <w:t>Power to lease: procedure</w:t>
      </w:r>
      <w:bookmarkEnd w:id="1044"/>
    </w:p>
    <w:p>
      <w:pPr>
        <w:pStyle w:val="Subsection"/>
        <w:spacing w:before="120"/>
      </w:pPr>
      <w:r>
        <w:tab/>
      </w:r>
      <w:r>
        <w:tab/>
        <w:t xml:space="preserve">Schedule 6.2 has effect in relation to the exercise of a power under section 6.64(1)(a) (in this Subdivision and that Schedule referred to as the </w:t>
      </w:r>
      <w:r>
        <w:rPr>
          <w:rStyle w:val="CharDefText"/>
        </w:rPr>
        <w:t>power to lease</w:t>
      </w:r>
      <w:r>
        <w:t>).</w:t>
      </w:r>
    </w:p>
    <w:p>
      <w:pPr>
        <w:pStyle w:val="Heading5"/>
      </w:pPr>
      <w:bookmarkStart w:id="1045" w:name="_Toc462409602"/>
      <w:r>
        <w:rPr>
          <w:rStyle w:val="CharSectno"/>
        </w:rPr>
        <w:t>6.66</w:t>
      </w:r>
      <w:r>
        <w:t>.</w:t>
      </w:r>
      <w:r>
        <w:tab/>
        <w:t>Effect of lease</w:t>
      </w:r>
      <w:bookmarkEnd w:id="1045"/>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 or</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1046" w:name="_Toc462409603"/>
      <w:r>
        <w:rPr>
          <w:rStyle w:val="CharSectno"/>
        </w:rPr>
        <w:t>6.67</w:t>
      </w:r>
      <w:r>
        <w:t>.</w:t>
      </w:r>
      <w:r>
        <w:tab/>
        <w:t>Release of property after payment of arrears</w:t>
      </w:r>
      <w:bookmarkEnd w:id="1046"/>
    </w:p>
    <w:p>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r>
      <w:r>
        <w:rPr>
          <w:rStyle w:val="CharDefText"/>
        </w:rPr>
        <w:t>entitled person</w:t>
      </w:r>
      <w:r>
        <w:t xml:space="preserve"> means the person who, if the local government had not taken possession of the land under section 6.64, would be entitled to possession of that land.</w:t>
      </w:r>
    </w:p>
    <w:p>
      <w:pPr>
        <w:pStyle w:val="Heading5"/>
      </w:pPr>
      <w:bookmarkStart w:id="1047" w:name="_Toc462409604"/>
      <w:r>
        <w:rPr>
          <w:rStyle w:val="CharSectno"/>
        </w:rPr>
        <w:t>6.68</w:t>
      </w:r>
      <w:r>
        <w:t>.</w:t>
      </w:r>
      <w:r>
        <w:tab/>
        <w:t>Exercise of power to sell land</w:t>
      </w:r>
      <w:bookmarkEnd w:id="1047"/>
    </w:p>
    <w:p>
      <w:pPr>
        <w:pStyle w:val="Subsection"/>
      </w:pPr>
      <w:r>
        <w:tab/>
        <w:t>(1)</w:t>
      </w:r>
      <w:r>
        <w:tab/>
        <w:t xml:space="preserve">Subject to subsection (2), a local government is not to exercise its power under section 6.64(1)(b) (in this Subdivision and Schedule 6.3 referred to as the </w:t>
      </w:r>
      <w:r>
        <w:rPr>
          <w:rStyle w:val="CharDefText"/>
        </w:rPr>
        <w:t>power of sale</w:t>
      </w:r>
      <w:r>
        <w:t>) in relation to any land unless, within the period of 3 years prior to the exercise of the power of sale, the local government has at least once attempted under section 6.56 to recover money due to it.</w:t>
      </w:r>
    </w:p>
    <w:p>
      <w:pPr>
        <w:pStyle w:val="Subsection"/>
      </w:pPr>
      <w:r>
        <w:tab/>
        <w:t>(2)</w:t>
      </w:r>
      <w:r>
        <w:tab/>
        <w:t xml:space="preserve">A local government is not required to attempt under section 6.56 to recover money due to it before exercising the power of sale where the local government — </w:t>
      </w:r>
    </w:p>
    <w:p>
      <w:pPr>
        <w:pStyle w:val="Indenta"/>
      </w:pPr>
      <w:r>
        <w:tab/>
        <w:t>(a)</w:t>
      </w:r>
      <w:r>
        <w:tab/>
        <w:t>has a reasonable belief that the cost of the proceedings under that section will equal or exceed the value of the land; or</w:t>
      </w:r>
    </w:p>
    <w:p>
      <w:pPr>
        <w:pStyle w:val="Indenta"/>
      </w:pPr>
      <w:r>
        <w:tab/>
        <w:t>(b)</w:t>
      </w:r>
      <w:r>
        <w:tab/>
        <w:t>having made reasonable efforts to locate the owner of the property is unable to do so.</w:t>
      </w:r>
    </w:p>
    <w:p>
      <w:pPr>
        <w:pStyle w:val="Subsection"/>
      </w:pPr>
      <w:r>
        <w:tab/>
        <w:t>(3A)</w:t>
      </w:r>
      <w:r>
        <w:tab/>
        <w:t>A local government is to ensure that a decision to exercise a power of sale without having, within the period of 3 years prior to the exercise of the power of sale, attempted under section 6.56 to recover the money due to it and the reasons for the decision are recorded in the minutes of the meeting at which the decision was made.</w:t>
      </w:r>
    </w:p>
    <w:p>
      <w:pPr>
        <w:pStyle w:val="Subsection"/>
      </w:pPr>
      <w:r>
        <w:tab/>
        <w:t>(3)</w:t>
      </w:r>
      <w:r>
        <w:tab/>
        <w:t>Schedule 6.3 has effect in relation to the exercise of the power of sale.</w:t>
      </w:r>
    </w:p>
    <w:p>
      <w:pPr>
        <w:pStyle w:val="Footnotesection"/>
      </w:pPr>
      <w:r>
        <w:tab/>
        <w:t>[Section 6.68 amended by No. 17 of 2009 s. 40.]</w:t>
      </w:r>
    </w:p>
    <w:p>
      <w:pPr>
        <w:pStyle w:val="Heading5"/>
      </w:pPr>
      <w:bookmarkStart w:id="1048" w:name="_Toc462409605"/>
      <w:r>
        <w:rPr>
          <w:rStyle w:val="CharSectno"/>
        </w:rPr>
        <w:t>6.69</w:t>
      </w:r>
      <w:r>
        <w:t>.</w:t>
      </w:r>
      <w:r>
        <w:tab/>
        <w:t>Right to pay rates, service charges and costs, and stay proceedings</w:t>
      </w:r>
      <w:bookmarkEnd w:id="1048"/>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1049" w:name="_Toc462409606"/>
      <w:r>
        <w:rPr>
          <w:rStyle w:val="CharSectno"/>
        </w:rPr>
        <w:t>6.70</w:t>
      </w:r>
      <w:r>
        <w:t>.</w:t>
      </w:r>
      <w:r>
        <w:tab/>
        <w:t>Effect of changes in boundaries of local government area</w:t>
      </w:r>
      <w:bookmarkEnd w:id="1049"/>
    </w:p>
    <w:p>
      <w:pPr>
        <w:pStyle w:val="Subsection"/>
      </w:pPr>
      <w:r>
        <w:tab/>
      </w:r>
      <w:r>
        <w:tab/>
        <w:t>An alteration in — </w:t>
      </w:r>
    </w:p>
    <w:p>
      <w:pPr>
        <w:pStyle w:val="Indenta"/>
      </w:pPr>
      <w:r>
        <w:tab/>
        <w:t>(a)</w:t>
      </w:r>
      <w:r>
        <w:tab/>
        <w:t>the boundaries of a district of a local government; or</w:t>
      </w:r>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1050" w:name="_Toc462409607"/>
      <w:r>
        <w:rPr>
          <w:rStyle w:val="CharSectno"/>
        </w:rPr>
        <w:t>6.71</w:t>
      </w:r>
      <w:r>
        <w:t>.</w:t>
      </w:r>
      <w:r>
        <w:tab/>
        <w:t>Power to transfer land to Crown or to local government</w:t>
      </w:r>
      <w:bookmarkEnd w:id="1050"/>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and Transfers,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Footnotesection"/>
      </w:pPr>
      <w:r>
        <w:tab/>
        <w:t>[Section 6.71 amended by No. 47 of 2011 s. 16.]</w:t>
      </w:r>
    </w:p>
    <w:p>
      <w:pPr>
        <w:pStyle w:val="Heading5"/>
      </w:pPr>
      <w:bookmarkStart w:id="1051" w:name="_Toc462409608"/>
      <w:r>
        <w:rPr>
          <w:rStyle w:val="CharSectno"/>
        </w:rPr>
        <w:t>6.72</w:t>
      </w:r>
      <w:r>
        <w:t>.</w:t>
      </w:r>
      <w:r>
        <w:tab/>
        <w:t>Title to land sold or transferred</w:t>
      </w:r>
      <w:bookmarkEnd w:id="1051"/>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 or</w:t>
      </w:r>
    </w:p>
    <w:p>
      <w:pPr>
        <w:pStyle w:val="Indenta"/>
      </w:pPr>
      <w:r>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by No. 81 of 1996 s. 153(1).]</w:t>
      </w:r>
    </w:p>
    <w:p>
      <w:pPr>
        <w:pStyle w:val="Heading5"/>
      </w:pPr>
      <w:bookmarkStart w:id="1052" w:name="_Toc462409609"/>
      <w:r>
        <w:rPr>
          <w:rStyle w:val="CharSectno"/>
        </w:rPr>
        <w:t>6.73</w:t>
      </w:r>
      <w:r>
        <w:t>.</w:t>
      </w:r>
      <w:r>
        <w:tab/>
        <w:t>Discharge of liability on sale of land</w:t>
      </w:r>
      <w:bookmarkEnd w:id="1052"/>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keepLines w:val="0"/>
      </w:pPr>
      <w:bookmarkStart w:id="1053" w:name="_Toc462409610"/>
      <w:r>
        <w:rPr>
          <w:rStyle w:val="CharSectno"/>
        </w:rPr>
        <w:t>6.74</w:t>
      </w:r>
      <w:r>
        <w:t>.</w:t>
      </w:r>
      <w:r>
        <w:tab/>
        <w:t>Power to have land revested in Crown if rates in arrears 3 years</w:t>
      </w:r>
      <w:bookmarkEnd w:id="1053"/>
    </w:p>
    <w:p>
      <w:pPr>
        <w:pStyle w:val="Subsection"/>
      </w:pPr>
      <w:r>
        <w:tab/>
        <w:t>(1)</w:t>
      </w:r>
      <w:r>
        <w:tab/>
        <w:t>If land is — </w:t>
      </w:r>
    </w:p>
    <w:p>
      <w:pPr>
        <w:pStyle w:val="Indenta"/>
      </w:pPr>
      <w:r>
        <w:tab/>
        <w:t>(a)</w:t>
      </w:r>
      <w:r>
        <w:tab/>
        <w:t>rateable land; and</w:t>
      </w:r>
    </w:p>
    <w:p>
      <w:pPr>
        <w:pStyle w:val="Indenta"/>
      </w:pPr>
      <w:r>
        <w:tab/>
        <w:t>(b)</w:t>
      </w:r>
      <w:r>
        <w:tab/>
        <w:t>vacant land; and</w:t>
      </w:r>
    </w:p>
    <w:p>
      <w:pPr>
        <w:pStyle w:val="Indenta"/>
      </w:pPr>
      <w:r>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and Transfers,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by No. 49 of 2004 s. 64(1)</w:t>
      </w:r>
      <w:r>
        <w:rPr>
          <w:spacing w:val="-4"/>
        </w:rPr>
        <w:t>; No. 47 of 2011 s.</w:t>
      </w:r>
      <w:r>
        <w:t> 16.]</w:t>
      </w:r>
    </w:p>
    <w:p>
      <w:pPr>
        <w:pStyle w:val="Heading5"/>
        <w:rPr>
          <w:b w:val="0"/>
          <w:spacing w:val="-2"/>
        </w:rPr>
      </w:pPr>
      <w:bookmarkStart w:id="1054" w:name="_Toc462409611"/>
      <w:r>
        <w:rPr>
          <w:rStyle w:val="CharSectno"/>
        </w:rPr>
        <w:t>6.75</w:t>
      </w:r>
      <w:r>
        <w:t>.</w:t>
      </w:r>
      <w:r>
        <w:tab/>
        <w:t>Land to be vested in local government</w:t>
      </w:r>
      <w:bookmarkEnd w:id="1054"/>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pPr>
      <w:r>
        <w:tab/>
        <w:t>(b)</w:t>
      </w:r>
      <w:r>
        <w:tab/>
        <w:t>the land has not, under the provisions of this Subdivision, been — </w:t>
      </w:r>
    </w:p>
    <w:p>
      <w:pPr>
        <w:pStyle w:val="Indenti"/>
      </w:pPr>
      <w:r>
        <w:tab/>
        <w:t>(i)</w:t>
      </w:r>
      <w:r>
        <w:tab/>
        <w:t>sold by the local government; or</w:t>
      </w:r>
    </w:p>
    <w:p>
      <w:pPr>
        <w:pStyle w:val="Indenti"/>
      </w:pPr>
      <w:r>
        <w:tab/>
        <w:t>(ii)</w:t>
      </w:r>
      <w:r>
        <w:tab/>
        <w:t>transferred to the local government; or</w:t>
      </w:r>
    </w:p>
    <w:p>
      <w:pPr>
        <w:pStyle w:val="Indenti"/>
      </w:pPr>
      <w:r>
        <w:tab/>
        <w:t>(iii)</w:t>
      </w:r>
      <w:r>
        <w:tab/>
        <w:t>transferred to the Crown,</w:t>
      </w:r>
    </w:p>
    <w:p>
      <w:pPr>
        <w:pStyle w:val="Subsection"/>
      </w:pPr>
      <w:r>
        <w:tab/>
      </w:r>
      <w:r>
        <w:tab/>
        <w:t>by operation of this section the fee simple in the land is to be transferred to the local government subject to — </w:t>
      </w:r>
    </w:p>
    <w:p>
      <w:pPr>
        <w:pStyle w:val="Indenta"/>
      </w:pPr>
      <w:r>
        <w:tab/>
        <w:t>(c)</w:t>
      </w:r>
      <w:r>
        <w:tab/>
        <w:t>easements in favour of the public which affect the land; 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pPr>
      <w:r>
        <w:tab/>
        <w:t>(2)</w:t>
      </w:r>
      <w:r>
        <w:tab/>
        <w:t>Schedule 6.3 has effect in relation to a transfer under this section.</w:t>
      </w:r>
    </w:p>
    <w:p>
      <w:pPr>
        <w:pStyle w:val="Heading4"/>
      </w:pPr>
      <w:bookmarkStart w:id="1055" w:name="_Toc448219327"/>
      <w:bookmarkStart w:id="1056" w:name="_Toc448224549"/>
      <w:bookmarkStart w:id="1057" w:name="_Toc451179786"/>
      <w:bookmarkStart w:id="1058" w:name="_Toc451430706"/>
      <w:bookmarkStart w:id="1059" w:name="_Toc455396656"/>
      <w:bookmarkStart w:id="1060" w:name="_Toc455397516"/>
      <w:bookmarkStart w:id="1061" w:name="_Toc456086599"/>
      <w:bookmarkStart w:id="1062" w:name="_Toc462409612"/>
      <w:r>
        <w:t>Subdivision 7 — Objections and review</w:t>
      </w:r>
      <w:bookmarkEnd w:id="1055"/>
      <w:bookmarkEnd w:id="1056"/>
      <w:bookmarkEnd w:id="1057"/>
      <w:bookmarkEnd w:id="1058"/>
      <w:bookmarkEnd w:id="1059"/>
      <w:bookmarkEnd w:id="1060"/>
      <w:bookmarkEnd w:id="1061"/>
      <w:bookmarkEnd w:id="1062"/>
    </w:p>
    <w:p>
      <w:pPr>
        <w:pStyle w:val="Footnotesection"/>
      </w:pPr>
      <w:r>
        <w:tab/>
        <w:t>[Heading amended by No. 55 of 2004 s. 693.]</w:t>
      </w:r>
    </w:p>
    <w:p>
      <w:pPr>
        <w:pStyle w:val="Heading5"/>
      </w:pPr>
      <w:bookmarkStart w:id="1063" w:name="_Toc462409613"/>
      <w:r>
        <w:rPr>
          <w:rStyle w:val="CharSectno"/>
        </w:rPr>
        <w:t>6.76</w:t>
      </w:r>
      <w:r>
        <w:t>.</w:t>
      </w:r>
      <w:r>
        <w:tab/>
        <w:t>Grounds of objection</w:t>
      </w:r>
      <w:bookmarkEnd w:id="1063"/>
    </w:p>
    <w:p>
      <w:pPr>
        <w:pStyle w:val="Subsection"/>
      </w:pPr>
      <w:r>
        <w:tab/>
        <w:t>(1)</w:t>
      </w:r>
      <w:r>
        <w:tab/>
        <w:t>A person may, in accordance with this section, object to the rate record of a local government on the ground — </w:t>
      </w:r>
    </w:p>
    <w:p>
      <w:pPr>
        <w:pStyle w:val="Indenta"/>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pPr>
      <w:r>
        <w:tab/>
        <w:t>(2)</w:t>
      </w:r>
      <w:r>
        <w:tab/>
        <w:t>An objection under subsection (1) is to — </w:t>
      </w:r>
    </w:p>
    <w:p>
      <w:pPr>
        <w:pStyle w:val="Indenta"/>
      </w:pPr>
      <w:r>
        <w:tab/>
        <w:t>(a)</w:t>
      </w:r>
      <w:r>
        <w:tab/>
        <w:t>be made to the local government in writing within 42 days of the service of a rate notice under section 6.41; and</w:t>
      </w:r>
    </w:p>
    <w:p>
      <w:pPr>
        <w:pStyle w:val="Indenta"/>
      </w:pPr>
      <w:r>
        <w:tab/>
        <w:t>(b)</w:t>
      </w:r>
      <w:r>
        <w:tab/>
        <w:t>identify the relevant land; and</w:t>
      </w:r>
    </w:p>
    <w:p>
      <w:pPr>
        <w:pStyle w:val="Indenta"/>
      </w:pPr>
      <w:r>
        <w:tab/>
        <w:t>(c)</w:t>
      </w:r>
      <w:r>
        <w:tab/>
        <w:t>set out fully and in detail the grounds of objection.</w:t>
      </w:r>
    </w:p>
    <w:p>
      <w:pPr>
        <w:pStyle w:val="Subsection"/>
        <w:spacing w:before="120"/>
      </w:pPr>
      <w:r>
        <w:tab/>
        <w:t>(3)</w:t>
      </w:r>
      <w:r>
        <w:tab/>
        <w:t>An objection under subsection (1) may be made by the person named in the rate record as the owner of land or by the agent or attorney of that person.</w:t>
      </w:r>
    </w:p>
    <w:p>
      <w:pPr>
        <w:pStyle w:val="Subsection"/>
        <w:spacing w:before="120"/>
      </w:pPr>
      <w:r>
        <w:tab/>
        <w:t>(4)</w:t>
      </w:r>
      <w:r>
        <w:tab/>
        <w:t>The local government may, on application by a person proposing to make an objection, extend the time for making the objection for such period as it thinks fit.</w:t>
      </w:r>
    </w:p>
    <w:p>
      <w:pPr>
        <w:pStyle w:val="Subsection"/>
        <w:spacing w:before="120"/>
      </w:pPr>
      <w:r>
        <w:tab/>
        <w:t>(5)</w:t>
      </w:r>
      <w:r>
        <w:tab/>
        <w:t>The local government is to promptly consider any objection and may either disallow it or allow it, wholly or in part.</w:t>
      </w:r>
    </w:p>
    <w:p>
      <w:pPr>
        <w:pStyle w:val="Subsection"/>
        <w:spacing w:before="120"/>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spacing w:before="180"/>
      </w:pPr>
      <w:bookmarkStart w:id="1064" w:name="_Toc462409614"/>
      <w:r>
        <w:rPr>
          <w:rStyle w:val="CharSectno"/>
        </w:rPr>
        <w:t>6.77</w:t>
      </w:r>
      <w:r>
        <w:t>.</w:t>
      </w:r>
      <w:r>
        <w:tab/>
        <w:t>Review of decision of local government on objection</w:t>
      </w:r>
      <w:bookmarkEnd w:id="1064"/>
    </w:p>
    <w:p>
      <w:pPr>
        <w:pStyle w:val="Subsection"/>
        <w:spacing w:before="120"/>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by No. 55 of 2004 s. 694.]</w:t>
      </w:r>
    </w:p>
    <w:p>
      <w:pPr>
        <w:pStyle w:val="Heading5"/>
        <w:spacing w:before="180"/>
      </w:pPr>
      <w:bookmarkStart w:id="1065" w:name="_Toc462409615"/>
      <w:r>
        <w:rPr>
          <w:rStyle w:val="CharSectno"/>
        </w:rPr>
        <w:t>6.78</w:t>
      </w:r>
      <w:r>
        <w:t>.</w:t>
      </w:r>
      <w:r>
        <w:tab/>
        <w:t>Review of decision to refuse to extend time for objection</w:t>
      </w:r>
      <w:bookmarkEnd w:id="1065"/>
    </w:p>
    <w:p>
      <w:pPr>
        <w:pStyle w:val="Subsection"/>
        <w:spacing w:before="12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by No. 55 of 2004 s. 695.]</w:t>
      </w:r>
    </w:p>
    <w:p>
      <w:pPr>
        <w:pStyle w:val="Heading5"/>
      </w:pPr>
      <w:bookmarkStart w:id="1066" w:name="_Toc462409616"/>
      <w:r>
        <w:rPr>
          <w:rStyle w:val="CharSectno"/>
        </w:rPr>
        <w:t>6.79</w:t>
      </w:r>
      <w:r>
        <w:t>.</w:t>
      </w:r>
      <w:r>
        <w:tab/>
        <w:t>New matters raised on review</w:t>
      </w:r>
      <w:bookmarkEnd w:id="1066"/>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by No. 55 of 2004 s. 696.]</w:t>
      </w:r>
    </w:p>
    <w:p>
      <w:pPr>
        <w:pStyle w:val="Heading5"/>
      </w:pPr>
      <w:bookmarkStart w:id="1067" w:name="_Toc462409617"/>
      <w:r>
        <w:rPr>
          <w:rStyle w:val="CharSectno"/>
        </w:rPr>
        <w:t>6.79B</w:t>
      </w:r>
      <w:r>
        <w:t>.</w:t>
      </w:r>
      <w:r>
        <w:tab/>
      </w:r>
      <w:r>
        <w:rPr>
          <w:snapToGrid w:val="0"/>
        </w:rPr>
        <w:t>Written reasons for certain determinations to be given and published</w:t>
      </w:r>
      <w:bookmarkEnd w:id="1067"/>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by No. 55 of 2004 s. 696.]</w:t>
      </w:r>
    </w:p>
    <w:p>
      <w:pPr>
        <w:pStyle w:val="Heading5"/>
      </w:pPr>
      <w:bookmarkStart w:id="1068" w:name="_Toc462409618"/>
      <w:r>
        <w:rPr>
          <w:rStyle w:val="CharSectno"/>
        </w:rPr>
        <w:t>6.80</w:t>
      </w:r>
      <w:r>
        <w:t>.</w:t>
      </w:r>
      <w:r>
        <w:tab/>
        <w:t>Objections and reviews against valuations</w:t>
      </w:r>
      <w:bookmarkEnd w:id="1068"/>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r>
        <w:tab/>
        <w:t>[Section 6.80 amended by No. 55 of 2004 s. 697.]</w:t>
      </w:r>
    </w:p>
    <w:p>
      <w:pPr>
        <w:pStyle w:val="Heading5"/>
      </w:pPr>
      <w:bookmarkStart w:id="1069" w:name="_Toc462409619"/>
      <w:r>
        <w:rPr>
          <w:rStyle w:val="CharSectno"/>
        </w:rPr>
        <w:t>6.81</w:t>
      </w:r>
      <w:r>
        <w:t>.</w:t>
      </w:r>
      <w:r>
        <w:tab/>
        <w:t>Objection not to affect liability to pay rates or service charges</w:t>
      </w:r>
      <w:bookmarkEnd w:id="1069"/>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r>
        <w:tab/>
        <w:t>[Section 6.81 amended by No. 55 of 2004 s. 698.]</w:t>
      </w:r>
    </w:p>
    <w:p>
      <w:pPr>
        <w:pStyle w:val="Heading5"/>
      </w:pPr>
      <w:bookmarkStart w:id="1070" w:name="_Toc462409620"/>
      <w:r>
        <w:rPr>
          <w:rStyle w:val="CharSectno"/>
        </w:rPr>
        <w:t>6.82</w:t>
      </w:r>
      <w:r>
        <w:t>.</w:t>
      </w:r>
      <w:r>
        <w:tab/>
        <w:t>General review of imposition of rate or service charge</w:t>
      </w:r>
      <w:bookmarkEnd w:id="1070"/>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keepLines/>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r>
        <w:tab/>
        <w:t>[Section 6.82 amended by No. 55 of 2004 s. 699.]</w:t>
      </w:r>
    </w:p>
    <w:p>
      <w:pPr>
        <w:pStyle w:val="Heading2"/>
      </w:pPr>
      <w:bookmarkStart w:id="1071" w:name="_Toc448219336"/>
      <w:bookmarkStart w:id="1072" w:name="_Toc448224558"/>
      <w:bookmarkStart w:id="1073" w:name="_Toc451179795"/>
      <w:bookmarkStart w:id="1074" w:name="_Toc451430715"/>
      <w:bookmarkStart w:id="1075" w:name="_Toc455396665"/>
      <w:bookmarkStart w:id="1076" w:name="_Toc455397525"/>
      <w:bookmarkStart w:id="1077" w:name="_Toc456086608"/>
      <w:bookmarkStart w:id="1078" w:name="_Toc462409621"/>
      <w:r>
        <w:rPr>
          <w:rStyle w:val="CharPartNo"/>
        </w:rPr>
        <w:t>Part 7</w:t>
      </w:r>
      <w:r>
        <w:t> — </w:t>
      </w:r>
      <w:r>
        <w:rPr>
          <w:rStyle w:val="CharPartText"/>
        </w:rPr>
        <w:t>Audit</w:t>
      </w:r>
      <w:bookmarkEnd w:id="1071"/>
      <w:bookmarkEnd w:id="1072"/>
      <w:bookmarkEnd w:id="1073"/>
      <w:bookmarkEnd w:id="1074"/>
      <w:bookmarkEnd w:id="1075"/>
      <w:bookmarkEnd w:id="1076"/>
      <w:bookmarkEnd w:id="1077"/>
      <w:bookmarkEnd w:id="1078"/>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the audit of the financial accounts of local governments, including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appointment of auditors;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conduct of audits.</w:t>
      </w:r>
    </w:p>
    <w:p>
      <w:pPr>
        <w:pStyle w:val="Heading3"/>
      </w:pPr>
      <w:bookmarkStart w:id="1079" w:name="_Toc448219337"/>
      <w:bookmarkStart w:id="1080" w:name="_Toc448224559"/>
      <w:bookmarkStart w:id="1081" w:name="_Toc451179796"/>
      <w:bookmarkStart w:id="1082" w:name="_Toc451430716"/>
      <w:bookmarkStart w:id="1083" w:name="_Toc455396666"/>
      <w:bookmarkStart w:id="1084" w:name="_Toc455397526"/>
      <w:bookmarkStart w:id="1085" w:name="_Toc456086609"/>
      <w:bookmarkStart w:id="1086" w:name="_Toc462409622"/>
      <w:r>
        <w:rPr>
          <w:rStyle w:val="CharDivNo"/>
        </w:rPr>
        <w:t>Division 1</w:t>
      </w:r>
      <w:r>
        <w:t> — </w:t>
      </w:r>
      <w:r>
        <w:rPr>
          <w:rStyle w:val="CharDivText"/>
        </w:rPr>
        <w:t>Introduction</w:t>
      </w:r>
      <w:bookmarkEnd w:id="1079"/>
      <w:bookmarkEnd w:id="1080"/>
      <w:bookmarkEnd w:id="1081"/>
      <w:bookmarkEnd w:id="1082"/>
      <w:bookmarkEnd w:id="1083"/>
      <w:bookmarkEnd w:id="1084"/>
      <w:bookmarkEnd w:id="1085"/>
      <w:bookmarkEnd w:id="1086"/>
      <w:r>
        <w:rPr>
          <w:rStyle w:val="CharDivText"/>
        </w:rPr>
        <w:t xml:space="preserve"> </w:t>
      </w:r>
    </w:p>
    <w:p>
      <w:pPr>
        <w:pStyle w:val="Heading5"/>
        <w:keepNext w:val="0"/>
        <w:spacing w:before="260"/>
      </w:pPr>
      <w:bookmarkStart w:id="1087" w:name="_Toc462409623"/>
      <w:r>
        <w:rPr>
          <w:rStyle w:val="CharSectno"/>
        </w:rPr>
        <w:t>7.1</w:t>
      </w:r>
      <w:r>
        <w:t>.</w:t>
      </w:r>
      <w:r>
        <w:tab/>
        <w:t>Terms used</w:t>
      </w:r>
      <w:bookmarkEnd w:id="1087"/>
    </w:p>
    <w:p>
      <w:pPr>
        <w:pStyle w:val="Subsection"/>
      </w:pPr>
      <w:r>
        <w:tab/>
      </w:r>
      <w:r>
        <w:tab/>
        <w:t>In this Part — </w:t>
      </w:r>
    </w:p>
    <w:p>
      <w:pPr>
        <w:pStyle w:val="Defstart"/>
      </w:pPr>
      <w:r>
        <w:rPr>
          <w:b/>
        </w:rPr>
        <w:tab/>
      </w:r>
      <w:r>
        <w:rPr>
          <w:rStyle w:val="CharDefText"/>
        </w:rPr>
        <w:t>approved auditor</w:t>
      </w:r>
      <w:r>
        <w:t xml:space="preserve"> means a person who is approved by the Minister under section 7.5;</w:t>
      </w:r>
    </w:p>
    <w:p>
      <w:pPr>
        <w:pStyle w:val="Defstart"/>
      </w:pPr>
      <w:r>
        <w:rPr>
          <w:b/>
        </w:rPr>
        <w:tab/>
      </w:r>
      <w:r>
        <w:rPr>
          <w:rStyle w:val="CharDefText"/>
        </w:rPr>
        <w:t>audit committee</w:t>
      </w:r>
      <w:r>
        <w:t xml:space="preserve"> means an audit committee established under section 7.1A;</w:t>
      </w:r>
    </w:p>
    <w:p>
      <w:pPr>
        <w:pStyle w:val="Defstart"/>
      </w:pPr>
      <w:r>
        <w:rPr>
          <w:b/>
        </w:rPr>
        <w:tab/>
      </w:r>
      <w:r>
        <w:rPr>
          <w:rStyle w:val="CharDefText"/>
        </w:rPr>
        <w:t>disqualified person</w:t>
      </w:r>
      <w:r>
        <w:t xml:space="preserve"> has the meaning given by section 7.4(2);</w:t>
      </w:r>
    </w:p>
    <w:p>
      <w:pPr>
        <w:pStyle w:val="Defstart"/>
      </w:pPr>
      <w:r>
        <w:rPr>
          <w:b/>
        </w:rPr>
        <w:tab/>
      </w:r>
      <w:r>
        <w:rPr>
          <w:rStyle w:val="CharDefText"/>
        </w:rPr>
        <w:t>qualified person</w:t>
      </w:r>
      <w:r>
        <w:t xml:space="preserve"> means a person who is an approved auditor or a registered company auditor and who is not a disqualified person;</w:t>
      </w:r>
    </w:p>
    <w:p>
      <w:pPr>
        <w:pStyle w:val="Defstart"/>
      </w:pPr>
      <w:r>
        <w:rPr>
          <w:b/>
        </w:rPr>
        <w:tab/>
      </w:r>
      <w:r>
        <w:rPr>
          <w:rStyle w:val="CharDefText"/>
        </w:rPr>
        <w:t>registered company auditor</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rStyle w:val="CharDefText"/>
        </w:rPr>
        <w:t>regulations</w:t>
      </w:r>
      <w:r>
        <w:t xml:space="preserve"> means regulations made for the purposes of this Part.</w:t>
      </w:r>
    </w:p>
    <w:p>
      <w:pPr>
        <w:pStyle w:val="Footnotesection"/>
      </w:pPr>
      <w:r>
        <w:tab/>
        <w:t>[Section 7.1 amended by No. 10 of 2001 s. 124; No. 49 of 2004 s. 4.]</w:t>
      </w:r>
    </w:p>
    <w:p>
      <w:pPr>
        <w:pStyle w:val="Heading3"/>
      </w:pPr>
      <w:bookmarkStart w:id="1088" w:name="_Toc448219339"/>
      <w:bookmarkStart w:id="1089" w:name="_Toc448224561"/>
      <w:bookmarkStart w:id="1090" w:name="_Toc451179798"/>
      <w:bookmarkStart w:id="1091" w:name="_Toc451430718"/>
      <w:bookmarkStart w:id="1092" w:name="_Toc455396668"/>
      <w:bookmarkStart w:id="1093" w:name="_Toc455397528"/>
      <w:bookmarkStart w:id="1094" w:name="_Toc456086611"/>
      <w:bookmarkStart w:id="1095" w:name="_Toc462409624"/>
      <w:r>
        <w:rPr>
          <w:rStyle w:val="CharDivNo"/>
        </w:rPr>
        <w:t>Division 1A</w:t>
      </w:r>
      <w:r>
        <w:t> — </w:t>
      </w:r>
      <w:r>
        <w:rPr>
          <w:rStyle w:val="CharDivText"/>
        </w:rPr>
        <w:t>Audit committee</w:t>
      </w:r>
      <w:bookmarkEnd w:id="1088"/>
      <w:bookmarkEnd w:id="1089"/>
      <w:bookmarkEnd w:id="1090"/>
      <w:bookmarkEnd w:id="1091"/>
      <w:bookmarkEnd w:id="1092"/>
      <w:bookmarkEnd w:id="1093"/>
      <w:bookmarkEnd w:id="1094"/>
      <w:bookmarkEnd w:id="1095"/>
    </w:p>
    <w:p>
      <w:pPr>
        <w:pStyle w:val="Footnoteheading"/>
        <w:keepNext/>
      </w:pPr>
      <w:r>
        <w:tab/>
        <w:t>[Heading inserted by No. 49 of 2004 s. 5.]</w:t>
      </w:r>
    </w:p>
    <w:p>
      <w:pPr>
        <w:pStyle w:val="Heading5"/>
        <w:spacing w:before="240"/>
      </w:pPr>
      <w:bookmarkStart w:id="1096" w:name="_Toc462409625"/>
      <w:r>
        <w:rPr>
          <w:rStyle w:val="CharSectno"/>
        </w:rPr>
        <w:t>7.1A</w:t>
      </w:r>
      <w:r>
        <w:t>.</w:t>
      </w:r>
      <w:r>
        <w:tab/>
        <w:t>Audit committee</w:t>
      </w:r>
      <w:bookmarkEnd w:id="1096"/>
    </w:p>
    <w:p>
      <w:pPr>
        <w:pStyle w:val="Subsection"/>
        <w:spacing w:before="180"/>
      </w:pPr>
      <w:r>
        <w:tab/>
        <w:t>(1)</w:t>
      </w:r>
      <w:r>
        <w:tab/>
        <w:t>A local government is to establish an audit committee of 3 or more persons to exercise the powers and discharge the duties conferred on it.</w:t>
      </w:r>
    </w:p>
    <w:p>
      <w:pPr>
        <w:pStyle w:val="Subsection"/>
        <w:spacing w:before="180"/>
      </w:pPr>
      <w:r>
        <w:tab/>
        <w:t>(2)</w:t>
      </w:r>
      <w:r>
        <w:tab/>
        <w:t>The members of the audit committee of a local government are to be appointed* by the local government and at least 3 of the members, and the majority of the members, are to be council members.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(3)</w:t>
      </w:r>
      <w:r>
        <w:tab/>
        <w:t>A CEO is not to be a member of an audit committee and may not nominate a person to be a member of an audit committee or have a person to represent him or her as a member of an audit committee.</w:t>
      </w:r>
    </w:p>
    <w:p>
      <w:pPr>
        <w:pStyle w:val="Subsection"/>
        <w:spacing w:before="180"/>
      </w:pPr>
      <w:r>
        <w:tab/>
        <w:t>(4)</w:t>
      </w:r>
      <w:r>
        <w:tab/>
        <w:t>An employee is not to be a member of an audit committee.</w:t>
      </w:r>
    </w:p>
    <w:p>
      <w:pPr>
        <w:pStyle w:val="Footnotesection"/>
        <w:ind w:left="890" w:hanging="890"/>
      </w:pPr>
      <w:r>
        <w:tab/>
        <w:t>[Section 7.1A inserted by No. 49 of 2004 s. 5.]</w:t>
      </w:r>
    </w:p>
    <w:p>
      <w:pPr>
        <w:pStyle w:val="Heading5"/>
        <w:spacing w:before="240"/>
      </w:pPr>
      <w:bookmarkStart w:id="1097" w:name="_Toc462409626"/>
      <w:r>
        <w:rPr>
          <w:rStyle w:val="CharSectno"/>
        </w:rPr>
        <w:t>7.1B</w:t>
      </w:r>
      <w:r>
        <w:t>.</w:t>
      </w:r>
      <w:r>
        <w:tab/>
        <w:t>Delegation of some powers and duties to audit committees</w:t>
      </w:r>
      <w:bookmarkEnd w:id="1097"/>
    </w:p>
    <w:p>
      <w:pPr>
        <w:pStyle w:val="Subsection"/>
        <w:spacing w:before="180"/>
      </w:pPr>
      <w:r>
        <w:tab/>
        <w:t>(1)</w:t>
      </w:r>
      <w:r>
        <w:tab/>
        <w:t>Despite section 5.16, the only powers and duties that a local government may delegate* to its audit committee are any of its powers and duties under this Part other than this power of delegation.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(2)</w:t>
      </w:r>
      <w:r>
        <w:tab/>
        <w:t>A delegation to an audit committee is not subject to section 5.17.</w:t>
      </w:r>
    </w:p>
    <w:p>
      <w:pPr>
        <w:pStyle w:val="Footnotesection"/>
      </w:pPr>
      <w:r>
        <w:tab/>
        <w:t>[Section 7.1B inserted by No. 49 of 2004 s. 5.]</w:t>
      </w:r>
    </w:p>
    <w:p>
      <w:pPr>
        <w:pStyle w:val="Heading5"/>
        <w:keepLines w:val="0"/>
        <w:spacing w:before="180"/>
      </w:pPr>
      <w:bookmarkStart w:id="1098" w:name="_Toc462409627"/>
      <w:r>
        <w:rPr>
          <w:rStyle w:val="CharSectno"/>
        </w:rPr>
        <w:t>7.1C</w:t>
      </w:r>
      <w:r>
        <w:t>.</w:t>
      </w:r>
      <w:r>
        <w:tab/>
        <w:t>Decisions of audit committees</w:t>
      </w:r>
      <w:bookmarkEnd w:id="1098"/>
    </w:p>
    <w:p>
      <w:pPr>
        <w:pStyle w:val="Subsection"/>
      </w:pPr>
      <w:r>
        <w:tab/>
      </w:r>
      <w:r>
        <w:tab/>
        <w:t>Despite section 5.20, a decision of an audit committee is to be made by a simple majority.</w:t>
      </w:r>
    </w:p>
    <w:p>
      <w:pPr>
        <w:pStyle w:val="Footnotesection"/>
        <w:spacing w:before="80"/>
        <w:ind w:left="890" w:hanging="890"/>
      </w:pPr>
      <w:r>
        <w:tab/>
        <w:t>[Section 7.1C inserted by No. 49 of 2004 s. 5.]</w:t>
      </w:r>
    </w:p>
    <w:p>
      <w:pPr>
        <w:pStyle w:val="Heading3"/>
      </w:pPr>
      <w:bookmarkStart w:id="1099" w:name="_Toc448219343"/>
      <w:bookmarkStart w:id="1100" w:name="_Toc448224565"/>
      <w:bookmarkStart w:id="1101" w:name="_Toc451179802"/>
      <w:bookmarkStart w:id="1102" w:name="_Toc451430722"/>
      <w:bookmarkStart w:id="1103" w:name="_Toc455396672"/>
      <w:bookmarkStart w:id="1104" w:name="_Toc455397532"/>
      <w:bookmarkStart w:id="1105" w:name="_Toc456086615"/>
      <w:bookmarkStart w:id="1106" w:name="_Toc462409628"/>
      <w:r>
        <w:rPr>
          <w:rStyle w:val="CharDivNo"/>
        </w:rPr>
        <w:t>Division 2</w:t>
      </w:r>
      <w:r>
        <w:t> — </w:t>
      </w:r>
      <w:r>
        <w:rPr>
          <w:rStyle w:val="CharDivText"/>
        </w:rPr>
        <w:t>Appointment of auditors</w:t>
      </w:r>
      <w:bookmarkEnd w:id="1099"/>
      <w:bookmarkEnd w:id="1100"/>
      <w:bookmarkEnd w:id="1101"/>
      <w:bookmarkEnd w:id="1102"/>
      <w:bookmarkEnd w:id="1103"/>
      <w:bookmarkEnd w:id="1104"/>
      <w:bookmarkEnd w:id="1105"/>
      <w:bookmarkEnd w:id="1106"/>
    </w:p>
    <w:p>
      <w:pPr>
        <w:pStyle w:val="Heading5"/>
        <w:keepNext w:val="0"/>
        <w:spacing w:before="260"/>
      </w:pPr>
      <w:bookmarkStart w:id="1107" w:name="_Toc462409629"/>
      <w:r>
        <w:rPr>
          <w:rStyle w:val="CharSectno"/>
        </w:rPr>
        <w:t>7.2</w:t>
      </w:r>
      <w:r>
        <w:t>.</w:t>
      </w:r>
      <w:r>
        <w:tab/>
        <w:t>Audit</w:t>
      </w:r>
      <w:bookmarkEnd w:id="1107"/>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1108" w:name="_Toc462409630"/>
      <w:r>
        <w:rPr>
          <w:rStyle w:val="CharSectno"/>
        </w:rPr>
        <w:t>7.3</w:t>
      </w:r>
      <w:r>
        <w:t>.</w:t>
      </w:r>
      <w:r>
        <w:tab/>
        <w:t>Appointment of auditors</w:t>
      </w:r>
      <w:bookmarkEnd w:id="1108"/>
    </w:p>
    <w:p>
      <w:pPr>
        <w:pStyle w:val="Subsection"/>
      </w:pPr>
      <w:r>
        <w:tab/>
        <w:t>(1)</w:t>
      </w:r>
      <w:r>
        <w:tab/>
        <w:t>A local government is to, from time to time whenever such an appointment is necessary or expedient, appoint* a person, on the recommendation of the audit committee, to be its auditor.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by No. 49 of 2004 s. 6.]</w:t>
      </w:r>
    </w:p>
    <w:p>
      <w:pPr>
        <w:pStyle w:val="Heading5"/>
      </w:pPr>
      <w:bookmarkStart w:id="1109" w:name="_Toc462409631"/>
      <w:r>
        <w:rPr>
          <w:rStyle w:val="CharSectno"/>
        </w:rPr>
        <w:t>7.4</w:t>
      </w:r>
      <w:r>
        <w:t>.</w:t>
      </w:r>
      <w:r>
        <w:tab/>
        <w:t>Disqualified person not to be auditor</w:t>
      </w:r>
      <w:bookmarkEnd w:id="1109"/>
    </w:p>
    <w:p>
      <w:pPr>
        <w:pStyle w:val="Subsection"/>
      </w:pPr>
      <w:r>
        <w:tab/>
        <w:t>(1)</w:t>
      </w:r>
      <w:r>
        <w:tab/>
        <w:t>A person may not be appointed as a local government’s auditor if that person is a disqualified person.</w:t>
      </w:r>
    </w:p>
    <w:p>
      <w:pPr>
        <w:pStyle w:val="Subsection"/>
      </w:pPr>
      <w:r>
        <w:tab/>
        <w:t>(2)</w:t>
      </w:r>
      <w:r>
        <w:tab/>
        <w:t>In this section — </w:t>
      </w:r>
    </w:p>
    <w:p>
      <w:pPr>
        <w:pStyle w:val="Defstart"/>
      </w:pPr>
      <w:r>
        <w:rPr>
          <w:b/>
        </w:rPr>
        <w:tab/>
      </w:r>
      <w:r>
        <w:rPr>
          <w:rStyle w:val="CharDefText"/>
        </w:rPr>
        <w:t>disqualified person</w:t>
      </w:r>
      <w:r>
        <w:t xml:space="preserve"> means a person who — </w:t>
      </w:r>
    </w:p>
    <w:p>
      <w:pPr>
        <w:pStyle w:val="Defpara"/>
      </w:pPr>
      <w:r>
        <w:tab/>
        <w:t>(a)</w:t>
      </w:r>
      <w:r>
        <w:tab/>
        <w:t>is a councillor or an employee of the local government; or</w:t>
      </w:r>
    </w:p>
    <w:p>
      <w:pPr>
        <w:pStyle w:val="Defpara"/>
      </w:pPr>
      <w:r>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tab/>
        <w:t>(ii)</w:t>
      </w:r>
      <w:r>
        <w:tab/>
        <w:t>in the case of that part of the debt which is not for a rate or service charge, the date an account was rendered to the person by the local government;</w:t>
      </w:r>
    </w:p>
    <w:p>
      <w:pPr>
        <w:pStyle w:val="Defpara"/>
      </w:pPr>
      <w:r>
        <w:tab/>
      </w:r>
      <w:r>
        <w:tab/>
        <w:t>or</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Heading5"/>
      </w:pPr>
      <w:bookmarkStart w:id="1110" w:name="_Toc462409632"/>
      <w:r>
        <w:rPr>
          <w:rStyle w:val="CharSectno"/>
        </w:rPr>
        <w:t>7.5</w:t>
      </w:r>
      <w:r>
        <w:t>.</w:t>
      </w:r>
      <w:r>
        <w:tab/>
        <w:t>Approval of auditors</w:t>
      </w:r>
      <w:bookmarkEnd w:id="1110"/>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1111" w:name="_Toc462409633"/>
      <w:r>
        <w:rPr>
          <w:rStyle w:val="CharSectno"/>
        </w:rPr>
        <w:t>7.6</w:t>
      </w:r>
      <w:r>
        <w:t>.</w:t>
      </w:r>
      <w:r>
        <w:tab/>
        <w:t>Term of office of auditor</w:t>
      </w:r>
      <w:bookmarkEnd w:id="1111"/>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tab/>
        <w:t>(2)</w:t>
      </w:r>
      <w:r>
        <w:tab/>
        <w:t>The appointment of an auditor of a local government ceases to have effect if — </w:t>
      </w:r>
    </w:p>
    <w:p>
      <w:pPr>
        <w:pStyle w:val="Indenta"/>
      </w:pPr>
      <w:r>
        <w:tab/>
        <w:t>(a)</w:t>
      </w:r>
      <w:r>
        <w:tab/>
        <w:t>his or her registration as a registered company auditor is cancelled; or</w:t>
      </w:r>
    </w:p>
    <w:p>
      <w:pPr>
        <w:pStyle w:val="Indenta"/>
      </w:pPr>
      <w:r>
        <w:tab/>
        <w:t>(b)</w:t>
      </w:r>
      <w:r>
        <w:tab/>
        <w:t>his or her approval as an approved auditor is withdrawn; or</w:t>
      </w:r>
    </w:p>
    <w:p>
      <w:pPr>
        <w:pStyle w:val="Indenta"/>
      </w:pPr>
      <w:r>
        <w:tab/>
        <w:t>(c)</w:t>
      </w:r>
      <w:r>
        <w:tab/>
        <w:t>he or she dies; or</w:t>
      </w:r>
    </w:p>
    <w:p>
      <w:pPr>
        <w:pStyle w:val="Indenta"/>
      </w:pPr>
      <w:r>
        <w:tab/>
        <w:t>(d)</w:t>
      </w:r>
      <w:r>
        <w:tab/>
        <w:t>the auditor ceases to be qualified to hold office as auditor or becomes a disqualified person; or</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spacing w:before="120"/>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his or her duties,</w:t>
      </w:r>
    </w:p>
    <w:p>
      <w:pPr>
        <w:pStyle w:val="Subsection"/>
      </w:pPr>
      <w:r>
        <w:tab/>
      </w:r>
      <w:r>
        <w:tab/>
        <w:t>the local government is to appoint* a person to conduct the audit or to complete that part of the audit which remains to be conducted, as the case requires.</w:t>
      </w:r>
    </w:p>
    <w:p>
      <w:pPr>
        <w:pStyle w:val="MiscellaneousBody"/>
        <w:spacing w:before="120"/>
        <w:rPr>
          <w:rFonts w:ascii="Arial" w:hAnsi="Arial" w:cs="Arial"/>
          <w:i/>
          <w:snapToGrid w:val="0"/>
          <w:sz w:val="18"/>
          <w:szCs w:val="18"/>
        </w:rPr>
      </w:pPr>
      <w:r>
        <w:rPr>
          <w:rFonts w:ascii="Arial" w:hAnsi="Arial" w:cs="Arial"/>
          <w:i/>
          <w:snapToGrid w:val="0"/>
          <w:sz w:val="18"/>
          <w:szCs w:val="18"/>
        </w:rPr>
        <w:tab/>
        <w:t>* Absolute majority required.</w:t>
      </w:r>
    </w:p>
    <w:p>
      <w:pPr>
        <w:pStyle w:val="Heading5"/>
        <w:spacing w:before="180"/>
      </w:pPr>
      <w:bookmarkStart w:id="1112" w:name="_Toc462409634"/>
      <w:r>
        <w:rPr>
          <w:rStyle w:val="CharSectno"/>
        </w:rPr>
        <w:t>7.7</w:t>
      </w:r>
      <w:r>
        <w:t>.</w:t>
      </w:r>
      <w:r>
        <w:tab/>
        <w:t>Departmental CEO may appoint auditor</w:t>
      </w:r>
      <w:bookmarkEnd w:id="1112"/>
    </w:p>
    <w:p>
      <w:pPr>
        <w:pStyle w:val="Subsection"/>
      </w:pPr>
      <w:r>
        <w:tab/>
      </w:r>
      <w:r>
        <w:tab/>
        <w:t>If by 30 November in any year a local government has not appointed an auditor the Departmental CEO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Footnotesection"/>
        <w:spacing w:before="60"/>
        <w:ind w:left="890" w:hanging="890"/>
      </w:pPr>
      <w:r>
        <w:tab/>
        <w:t>[Section 7.7 amended by No. 28 of 2006 s. 364.]</w:t>
      </w:r>
    </w:p>
    <w:p>
      <w:pPr>
        <w:pStyle w:val="Heading5"/>
      </w:pPr>
      <w:bookmarkStart w:id="1113" w:name="_Toc462409635"/>
      <w:r>
        <w:rPr>
          <w:rStyle w:val="CharSectno"/>
        </w:rPr>
        <w:t>7.8</w:t>
      </w:r>
      <w:r>
        <w:t>.</w:t>
      </w:r>
      <w:r>
        <w:tab/>
        <w:t>Terms of appointment of auditors</w:t>
      </w:r>
      <w:bookmarkEnd w:id="1113"/>
    </w:p>
    <w:p>
      <w:pPr>
        <w:pStyle w:val="Subsection"/>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pPr>
      <w:r>
        <w:tab/>
        <w:t>(2)</w:t>
      </w:r>
      <w:r>
        <w:tab/>
        <w:t>The remuneration and expenses payable to the auditor of a local government (whether appointed by the local government or by the Departmental CEO under section 7.7) are payable by the local government.</w:t>
      </w:r>
    </w:p>
    <w:p>
      <w:pPr>
        <w:pStyle w:val="Footnotesection"/>
      </w:pPr>
      <w:r>
        <w:tab/>
        <w:t>[Section 7.8 amended by No. 28 of 2006 s. 364.]</w:t>
      </w:r>
    </w:p>
    <w:p>
      <w:pPr>
        <w:pStyle w:val="Heading3"/>
        <w:spacing w:before="160"/>
      </w:pPr>
      <w:bookmarkStart w:id="1114" w:name="_Toc448219351"/>
      <w:bookmarkStart w:id="1115" w:name="_Toc448224573"/>
      <w:bookmarkStart w:id="1116" w:name="_Toc451179810"/>
      <w:bookmarkStart w:id="1117" w:name="_Toc451430730"/>
      <w:bookmarkStart w:id="1118" w:name="_Toc455396680"/>
      <w:bookmarkStart w:id="1119" w:name="_Toc455397540"/>
      <w:bookmarkStart w:id="1120" w:name="_Toc456086623"/>
      <w:bookmarkStart w:id="1121" w:name="_Toc462409636"/>
      <w:r>
        <w:rPr>
          <w:rStyle w:val="CharDivNo"/>
        </w:rPr>
        <w:t>Division 3</w:t>
      </w:r>
      <w:r>
        <w:t> — </w:t>
      </w:r>
      <w:r>
        <w:rPr>
          <w:rStyle w:val="CharDivText"/>
        </w:rPr>
        <w:t>Conduct of audit</w:t>
      </w:r>
      <w:bookmarkEnd w:id="1114"/>
      <w:bookmarkEnd w:id="1115"/>
      <w:bookmarkEnd w:id="1116"/>
      <w:bookmarkEnd w:id="1117"/>
      <w:bookmarkEnd w:id="1118"/>
      <w:bookmarkEnd w:id="1119"/>
      <w:bookmarkEnd w:id="1120"/>
      <w:bookmarkEnd w:id="1121"/>
    </w:p>
    <w:p>
      <w:pPr>
        <w:pStyle w:val="Heading5"/>
      </w:pPr>
      <w:bookmarkStart w:id="1122" w:name="_Toc462409637"/>
      <w:r>
        <w:rPr>
          <w:rStyle w:val="CharSectno"/>
        </w:rPr>
        <w:t>7.9</w:t>
      </w:r>
      <w:r>
        <w:t>.</w:t>
      </w:r>
      <w:r>
        <w:tab/>
        <w:t>Audit to be conducted</w:t>
      </w:r>
      <w:bookmarkEnd w:id="1122"/>
    </w:p>
    <w:p>
      <w:pPr>
        <w:pStyle w:val="Subsection"/>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 and</w:t>
      </w:r>
    </w:p>
    <w:p>
      <w:pPr>
        <w:pStyle w:val="Indenta"/>
        <w:spacing w:before="120"/>
      </w:pPr>
      <w:r>
        <w:tab/>
        <w:t>(b)</w:t>
      </w:r>
      <w:r>
        <w:tab/>
        <w:t>the CEO of the local government; and</w:t>
      </w:r>
    </w:p>
    <w:p>
      <w:pPr>
        <w:pStyle w:val="Indenta"/>
        <w:spacing w:before="120"/>
      </w:pPr>
      <w:r>
        <w:tab/>
        <w:t>(c)</w:t>
      </w:r>
      <w:r>
        <w:tab/>
        <w:t>the Minister.</w:t>
      </w:r>
    </w:p>
    <w:p>
      <w:pPr>
        <w:pStyle w:val="Subsection"/>
      </w:pPr>
      <w:r>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 or</w:t>
      </w:r>
    </w:p>
    <w:p>
      <w:pPr>
        <w:pStyle w:val="Indenta"/>
        <w:spacing w:before="120"/>
      </w:pPr>
      <w:r>
        <w:tab/>
        <w:t>(b)</w:t>
      </w:r>
      <w:r>
        <w:tab/>
        <w:t>any money paid from, or due to, any fund or account of a local government has been or may have been misapplied to purposes not authorised by law; or</w:t>
      </w:r>
    </w:p>
    <w:p>
      <w:pPr>
        <w:pStyle w:val="Indenta"/>
        <w:keepNext/>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r>
        <w:tab/>
        <w:t>(4)</w:t>
      </w:r>
      <w:r>
        <w:tab/>
        <w:t>If the Minister considers it appropriate to do so, the Minister is to forward a copy of the report referred to in subsection (3), or part of that report, to the CEO of the local government to be dealt with under section 7.12A.</w:t>
      </w:r>
    </w:p>
    <w:p>
      <w:pPr>
        <w:pStyle w:val="Footnotesection"/>
      </w:pPr>
      <w:r>
        <w:tab/>
        <w:t>[Section 7.9 amended by No. 49 of 2004 s. 7.]</w:t>
      </w:r>
    </w:p>
    <w:p>
      <w:pPr>
        <w:pStyle w:val="Heading5"/>
      </w:pPr>
      <w:bookmarkStart w:id="1123" w:name="_Toc462409638"/>
      <w:r>
        <w:rPr>
          <w:rStyle w:val="CharSectno"/>
        </w:rPr>
        <w:t>7.10</w:t>
      </w:r>
      <w:r>
        <w:t>.</w:t>
      </w:r>
      <w:r>
        <w:tab/>
        <w:t>Powers of auditor</w:t>
      </w:r>
      <w:bookmarkEnd w:id="1123"/>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 and</w:t>
      </w:r>
    </w:p>
    <w:p>
      <w:pPr>
        <w:pStyle w:val="Indenta"/>
      </w:pPr>
      <w:r>
        <w:tab/>
        <w:t>(b)</w:t>
      </w:r>
      <w:r>
        <w:tab/>
        <w:t>may require from a member or an employee of the local government — </w:t>
      </w:r>
    </w:p>
    <w:p>
      <w:pPr>
        <w:pStyle w:val="Indenti"/>
      </w:pPr>
      <w:r>
        <w:tab/>
        <w:t>(i)</w:t>
      </w:r>
      <w:r>
        <w:tab/>
        <w:t>any book, account, document or asset of the local government; or</w:t>
      </w:r>
    </w:p>
    <w:p>
      <w:pPr>
        <w:pStyle w:val="Indenti"/>
      </w:pPr>
      <w:r>
        <w:tab/>
        <w:t>(ii)</w:t>
      </w:r>
      <w:r>
        <w:tab/>
        <w:t>any information, assistance or explanation,</w:t>
      </w:r>
    </w:p>
    <w:p>
      <w:pPr>
        <w:pStyle w:val="Indenta"/>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rStyle w:val="CharDefText"/>
        </w:rPr>
        <w:t>employee</w:t>
      </w:r>
      <w:r>
        <w:t xml:space="preserve"> includes a person who has a contract for services with the local government.</w:t>
      </w:r>
    </w:p>
    <w:p>
      <w:pPr>
        <w:pStyle w:val="Heading5"/>
      </w:pPr>
      <w:bookmarkStart w:id="1124" w:name="_Toc462409639"/>
      <w:r>
        <w:rPr>
          <w:rStyle w:val="CharSectno"/>
        </w:rPr>
        <w:t>7.11</w:t>
      </w:r>
      <w:r>
        <w:t>.</w:t>
      </w:r>
      <w:r>
        <w:tab/>
        <w:t>Power to demand production of books etc.</w:t>
      </w:r>
      <w:bookmarkEnd w:id="1124"/>
    </w:p>
    <w:p>
      <w:pPr>
        <w:pStyle w:val="Subsection"/>
      </w:pPr>
      <w:r>
        <w:tab/>
      </w:r>
      <w:r>
        <w:tab/>
        <w:t>For the purpose of an audit, inspection or inquiry,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Heading5"/>
      </w:pPr>
      <w:bookmarkStart w:id="1125" w:name="_Toc462409640"/>
      <w:r>
        <w:rPr>
          <w:rStyle w:val="CharSectno"/>
        </w:rPr>
        <w:t>7.12</w:t>
      </w:r>
      <w:r>
        <w:t>.</w:t>
      </w:r>
      <w:r>
        <w:tab/>
        <w:t>Employees and financial institutions to furnish particulars of money received</w:t>
      </w:r>
      <w:bookmarkEnd w:id="1125"/>
    </w:p>
    <w:p>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Heading3"/>
      </w:pPr>
      <w:bookmarkStart w:id="1126" w:name="_Toc448219356"/>
      <w:bookmarkStart w:id="1127" w:name="_Toc448224578"/>
      <w:bookmarkStart w:id="1128" w:name="_Toc451179815"/>
      <w:bookmarkStart w:id="1129" w:name="_Toc451430735"/>
      <w:bookmarkStart w:id="1130" w:name="_Toc455396685"/>
      <w:bookmarkStart w:id="1131" w:name="_Toc455397545"/>
      <w:bookmarkStart w:id="1132" w:name="_Toc456086628"/>
      <w:bookmarkStart w:id="1133" w:name="_Toc462409641"/>
      <w:r>
        <w:rPr>
          <w:rStyle w:val="CharDivNo"/>
        </w:rPr>
        <w:t>Division 4</w:t>
      </w:r>
      <w:r>
        <w:t> — </w:t>
      </w:r>
      <w:r>
        <w:rPr>
          <w:rStyle w:val="CharDivText"/>
        </w:rPr>
        <w:t>General</w:t>
      </w:r>
      <w:bookmarkEnd w:id="1126"/>
      <w:bookmarkEnd w:id="1127"/>
      <w:bookmarkEnd w:id="1128"/>
      <w:bookmarkEnd w:id="1129"/>
      <w:bookmarkEnd w:id="1130"/>
      <w:bookmarkEnd w:id="1131"/>
      <w:bookmarkEnd w:id="1132"/>
      <w:bookmarkEnd w:id="1133"/>
    </w:p>
    <w:p>
      <w:pPr>
        <w:pStyle w:val="Heading5"/>
      </w:pPr>
      <w:bookmarkStart w:id="1134" w:name="_Toc462409642"/>
      <w:r>
        <w:t>7.12A.</w:t>
      </w:r>
      <w:r>
        <w:tab/>
        <w:t>Duties of local government with respect to audits</w:t>
      </w:r>
      <w:bookmarkEnd w:id="1134"/>
    </w:p>
    <w:p>
      <w:pPr>
        <w:pStyle w:val="Subsection"/>
      </w:pPr>
      <w:r>
        <w:tab/>
        <w:t>(1)</w:t>
      </w:r>
      <w:r>
        <w:tab/>
        <w:t xml:space="preserve">A local government is to do everything in its power to — </w:t>
      </w:r>
    </w:p>
    <w:p>
      <w:pPr>
        <w:pStyle w:val="Indenta"/>
      </w:pPr>
      <w:r>
        <w:tab/>
        <w:t>(a)</w:t>
      </w:r>
      <w:r>
        <w:tab/>
        <w:t>assist the auditor of the local government to conduct an audit and carry out his or her other duties under this Act in respect of the local government; and</w:t>
      </w:r>
    </w:p>
    <w:p>
      <w:pPr>
        <w:pStyle w:val="Indenta"/>
      </w:pPr>
      <w:r>
        <w:tab/>
        <w:t>(b)</w:t>
      </w:r>
      <w:r>
        <w:tab/>
        <w:t>ensure that audits are conducted successfully and expeditiously.</w:t>
      </w:r>
    </w:p>
    <w:p>
      <w:pPr>
        <w:pStyle w:val="Subsection"/>
      </w:pPr>
      <w:r>
        <w:tab/>
        <w:t>(2)</w:t>
      </w:r>
      <w:r>
        <w:tab/>
        <w:t>Without limiting the generality of subsection (1), a local government is to meet with the auditor of the local government at least once in every year.</w:t>
      </w:r>
    </w:p>
    <w:p>
      <w:pPr>
        <w:pStyle w:val="Subsection"/>
      </w:pPr>
      <w:r>
        <w:tab/>
        <w:t>(3)</w:t>
      </w:r>
      <w:r>
        <w:tab/>
        <w:t xml:space="preserve">A local government is to examine the report of the auditor prepared under section 7.9(1), and any report prepared under section 7.9(3) forwarded to it, and is to — </w:t>
      </w:r>
    </w:p>
    <w:p>
      <w:pPr>
        <w:pStyle w:val="Indenta"/>
      </w:pPr>
      <w:r>
        <w:tab/>
        <w:t>(a)</w:t>
      </w:r>
      <w:r>
        <w:tab/>
        <w:t>determine if any matters raised by the report, or reports, require action to be taken by the local government; and</w:t>
      </w:r>
    </w:p>
    <w:p>
      <w:pPr>
        <w:pStyle w:val="Indenta"/>
      </w:pPr>
      <w:r>
        <w:tab/>
        <w:t>(b)</w:t>
      </w:r>
      <w:r>
        <w:tab/>
        <w:t>ensure that appropriate action is taken in respect of those matters.</w:t>
      </w:r>
    </w:p>
    <w:p>
      <w:pPr>
        <w:pStyle w:val="Subsection"/>
        <w:keepNext/>
      </w:pPr>
      <w:r>
        <w:tab/>
        <w:t>(4)</w:t>
      </w:r>
      <w:r>
        <w:tab/>
        <w:t xml:space="preserve">A local government is to — </w:t>
      </w:r>
    </w:p>
    <w:p>
      <w:pPr>
        <w:pStyle w:val="Indenta"/>
        <w:spacing w:before="60"/>
      </w:pPr>
      <w:r>
        <w:tab/>
        <w:t>(a)</w:t>
      </w:r>
      <w:r>
        <w:tab/>
        <w:t xml:space="preserve">prepare a report on any actions under subsection (3) in respect of an audit conducted in respect of a financial year; and </w:t>
      </w:r>
    </w:p>
    <w:p>
      <w:pPr>
        <w:pStyle w:val="Indenta"/>
        <w:spacing w:before="60"/>
      </w:pPr>
      <w:r>
        <w:tab/>
        <w:t>(b)</w:t>
      </w:r>
      <w:r>
        <w:tab/>
        <w:t>forward a copy of that report to the Minister,</w:t>
      </w:r>
    </w:p>
    <w:p>
      <w:pPr>
        <w:pStyle w:val="Subsection"/>
      </w:pPr>
      <w:r>
        <w:tab/>
      </w:r>
      <w:r>
        <w:tab/>
        <w:t>by the end of the next financial year, or 6 months after the last report prepared under section 7.9 is received by the local government, whichever is the latest in time.</w:t>
      </w:r>
    </w:p>
    <w:p>
      <w:pPr>
        <w:pStyle w:val="Footnotesection"/>
      </w:pPr>
      <w:r>
        <w:tab/>
        <w:t>[Section 7.12A inserted by No. 49 of 2004 s. 8.]</w:t>
      </w:r>
    </w:p>
    <w:p>
      <w:pPr>
        <w:pStyle w:val="Heading5"/>
      </w:pPr>
      <w:bookmarkStart w:id="1135" w:name="_Toc462409643"/>
      <w:r>
        <w:rPr>
          <w:rStyle w:val="CharSectno"/>
        </w:rPr>
        <w:t>7.13</w:t>
      </w:r>
      <w:r>
        <w:t>.</w:t>
      </w:r>
      <w:r>
        <w:tab/>
        <w:t>Regulations as to audits</w:t>
      </w:r>
      <w:bookmarkEnd w:id="1135"/>
    </w:p>
    <w:p>
      <w:pPr>
        <w:pStyle w:val="Subsection"/>
        <w:spacing w:before="100"/>
      </w:pPr>
      <w:r>
        <w:tab/>
        <w:t>(1)</w:t>
      </w:r>
      <w:r>
        <w:tab/>
        <w:t xml:space="preserve">Regulations may make provision — </w:t>
      </w:r>
    </w:p>
    <w:p>
      <w:pPr>
        <w:pStyle w:val="Indenta"/>
      </w:pPr>
      <w:r>
        <w:tab/>
        <w:t>(aa)</w:t>
      </w:r>
      <w:r>
        <w:tab/>
        <w:t>as to the functions of the CEO and the audit committee in relation to audits carried out under this Part and reports made on those audits;</w:t>
      </w:r>
    </w:p>
    <w:p>
      <w:pPr>
        <w:pStyle w:val="Indenta"/>
      </w:pPr>
      <w:r>
        <w:tab/>
        <w:t>(ab)</w:t>
      </w:r>
      <w:r>
        <w:tab/>
        <w:t>as to the functions of audit committees, including the selection and recommendation of an auditor;</w:t>
      </w:r>
    </w:p>
    <w:p>
      <w:pPr>
        <w:pStyle w:val="Indenta"/>
      </w:pPr>
      <w:r>
        <w:tab/>
        <w:t>(ac)</w:t>
      </w:r>
      <w:r>
        <w:tab/>
        <w:t>as to the procedure to be followed in selecting an auditor;</w:t>
      </w:r>
    </w:p>
    <w:p>
      <w:pPr>
        <w:pStyle w:val="Indenta"/>
      </w:pPr>
      <w:r>
        <w:tab/>
        <w:t>(ad)</w:t>
      </w:r>
      <w:r>
        <w:tab/>
        <w:t>as to the contents of the annual report to be prepared by an audit committee;</w:t>
      </w:r>
    </w:p>
    <w:p>
      <w:pPr>
        <w:pStyle w:val="Indenta"/>
        <w:keepNext/>
        <w:spacing w:before="60"/>
      </w:pPr>
      <w:r>
        <w:tab/>
        <w:t>(ae)</w:t>
      </w:r>
      <w:r>
        <w:tab/>
        <w:t>as to monitoring action taken in respect of any matters raised in a report by an auditor;</w:t>
      </w:r>
    </w:p>
    <w:p>
      <w:pPr>
        <w:pStyle w:val="Indenta"/>
      </w:pPr>
      <w:r>
        <w:tab/>
        <w:t>(a)</w:t>
      </w:r>
      <w:r>
        <w:tab/>
        <w:t>with respect to matters to be included in agreements between local governments and auditors;</w:t>
      </w:r>
    </w:p>
    <w:p>
      <w:pPr>
        <w:pStyle w:val="Indenta"/>
      </w:pPr>
      <w:r>
        <w:tab/>
        <w:t>(b)</w:t>
      </w:r>
      <w:r>
        <w:tab/>
        <w:t>for notifications and reports to be given in relation to agreements between local governments and auditors, including any variations to, or termination of such agreements;</w:t>
      </w:r>
    </w:p>
    <w:p>
      <w:pPr>
        <w:pStyle w:val="Indenta"/>
      </w:pPr>
      <w:r>
        <w:tab/>
        <w:t>(ba)</w:t>
      </w:r>
      <w:r>
        <w:tab/>
        <w:t>as to the copies of agreements between local governments and auditors being provided to the Department;</w:t>
      </w:r>
    </w:p>
    <w:p>
      <w:pPr>
        <w:pStyle w:val="Indenta"/>
      </w:pPr>
      <w:r>
        <w:tab/>
        <w:t>(c)</w:t>
      </w:r>
      <w:r>
        <w:tab/>
        <w:t>as to the manner in which an application may be made to the Minister for approval as an auditor;</w:t>
      </w:r>
    </w:p>
    <w:p>
      <w:pPr>
        <w:pStyle w:val="Indenta"/>
      </w:pPr>
      <w:r>
        <w:tab/>
        <w:t>(d)</w:t>
      </w:r>
      <w:r>
        <w:tab/>
        <w:t>in relation to approved auditors, for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by auditors in their reports;</w:t>
      </w:r>
    </w:p>
    <w:p>
      <w:pPr>
        <w:pStyle w:val="Indenta"/>
      </w:pPr>
      <w:r>
        <w:tab/>
        <w:t>(g)</w:t>
      </w:r>
      <w:r>
        <w:tab/>
        <w:t>requiring auditors to provide the Minister with such information as to audits carried out by them under this Part as is prescribed;</w:t>
      </w:r>
    </w:p>
    <w:p>
      <w:pPr>
        <w:pStyle w:val="Indenta"/>
      </w:pPr>
      <w:r>
        <w:tab/>
        <w:t>(h)</w:t>
      </w:r>
      <w:r>
        <w:tab/>
        <w:t>prescribing the circumstances in which an auditor is to be considered to have a conflict of interest and requiring auditors to disclose in their reports such information as to a possible conflict of interest as is prescribed;</w:t>
      </w:r>
    </w:p>
    <w:p>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by No. 64 of 1998 s. 40; No. 49 of 2004 s. 9; No. 55 of 2004 s. 700.]</w:t>
      </w:r>
    </w:p>
    <w:p>
      <w:pPr>
        <w:pStyle w:val="Heading2"/>
      </w:pPr>
      <w:bookmarkStart w:id="1136" w:name="_Toc448219359"/>
      <w:bookmarkStart w:id="1137" w:name="_Toc448224581"/>
      <w:bookmarkStart w:id="1138" w:name="_Toc451179818"/>
      <w:bookmarkStart w:id="1139" w:name="_Toc451430738"/>
      <w:bookmarkStart w:id="1140" w:name="_Toc455396688"/>
      <w:bookmarkStart w:id="1141" w:name="_Toc455397548"/>
      <w:bookmarkStart w:id="1142" w:name="_Toc456086631"/>
      <w:bookmarkStart w:id="1143" w:name="_Toc462409644"/>
      <w:r>
        <w:rPr>
          <w:rStyle w:val="CharPartNo"/>
        </w:rPr>
        <w:t>Part 8</w:t>
      </w:r>
      <w:r>
        <w:t> — </w:t>
      </w:r>
      <w:r>
        <w:rPr>
          <w:rStyle w:val="CharPartText"/>
        </w:rPr>
        <w:t>Scrutiny of the affairs of local governments</w:t>
      </w:r>
      <w:bookmarkEnd w:id="1136"/>
      <w:bookmarkEnd w:id="1137"/>
      <w:bookmarkEnd w:id="1138"/>
      <w:bookmarkEnd w:id="1139"/>
      <w:bookmarkEnd w:id="1140"/>
      <w:bookmarkEnd w:id="1141"/>
      <w:bookmarkEnd w:id="1142"/>
      <w:bookmarkEnd w:id="1143"/>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inquiring into the affairs and performance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suspending and dismissing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making members or local government employees accountable for the misapplication of property.</w:t>
      </w:r>
    </w:p>
    <w:p>
      <w:pPr>
        <w:pStyle w:val="Heading3"/>
      </w:pPr>
      <w:bookmarkStart w:id="1144" w:name="_Toc448219360"/>
      <w:bookmarkStart w:id="1145" w:name="_Toc448224582"/>
      <w:bookmarkStart w:id="1146" w:name="_Toc451179819"/>
      <w:bookmarkStart w:id="1147" w:name="_Toc451430739"/>
      <w:bookmarkStart w:id="1148" w:name="_Toc455396689"/>
      <w:bookmarkStart w:id="1149" w:name="_Toc455397549"/>
      <w:bookmarkStart w:id="1150" w:name="_Toc456086632"/>
      <w:bookmarkStart w:id="1151" w:name="_Toc462409645"/>
      <w:r>
        <w:rPr>
          <w:rStyle w:val="CharDivNo"/>
        </w:rPr>
        <w:t>Division 1</w:t>
      </w:r>
      <w:r>
        <w:t> — </w:t>
      </w:r>
      <w:r>
        <w:rPr>
          <w:rStyle w:val="CharDivText"/>
        </w:rPr>
        <w:t>Inquiries by the Minister or an authorised person</w:t>
      </w:r>
      <w:bookmarkEnd w:id="1144"/>
      <w:bookmarkEnd w:id="1145"/>
      <w:bookmarkEnd w:id="1146"/>
      <w:bookmarkEnd w:id="1147"/>
      <w:bookmarkEnd w:id="1148"/>
      <w:bookmarkEnd w:id="1149"/>
      <w:bookmarkEnd w:id="1150"/>
      <w:bookmarkEnd w:id="1151"/>
    </w:p>
    <w:p>
      <w:pPr>
        <w:pStyle w:val="Heading5"/>
        <w:spacing w:before="180"/>
      </w:pPr>
      <w:bookmarkStart w:id="1152" w:name="_Toc462409646"/>
      <w:r>
        <w:rPr>
          <w:rStyle w:val="CharSectno"/>
        </w:rPr>
        <w:t>8.1</w:t>
      </w:r>
      <w:r>
        <w:t>.</w:t>
      </w:r>
      <w:r>
        <w:tab/>
        <w:t>Terms used</w:t>
      </w:r>
      <w:bookmarkEnd w:id="1152"/>
    </w:p>
    <w:p>
      <w:pPr>
        <w:pStyle w:val="Subsection"/>
      </w:pPr>
      <w:r>
        <w:tab/>
      </w:r>
      <w:r>
        <w:tab/>
        <w:t>In this Division — </w:t>
      </w:r>
    </w:p>
    <w:p>
      <w:pPr>
        <w:pStyle w:val="Defstart"/>
      </w:pPr>
      <w:r>
        <w:rPr>
          <w:b/>
        </w:rPr>
        <w:tab/>
      </w:r>
      <w:r>
        <w:rPr>
          <w:rStyle w:val="CharDefText"/>
        </w:rPr>
        <w:t>authorised person</w:t>
      </w:r>
      <w:r>
        <w:t xml:space="preserve"> means the Departmental CEO or any other person authorised to conduct an inquiry;</w:t>
      </w:r>
    </w:p>
    <w:p>
      <w:pPr>
        <w:pStyle w:val="Defstart"/>
      </w:pPr>
      <w:r>
        <w:rPr>
          <w:b/>
        </w:rPr>
        <w:tab/>
      </w:r>
      <w:r>
        <w:rPr>
          <w:rStyle w:val="CharDefText"/>
        </w:rPr>
        <w:t>inquiry</w:t>
      </w:r>
      <w:r>
        <w:t xml:space="preserve"> means an inquiry under section 8.3.</w:t>
      </w:r>
    </w:p>
    <w:p>
      <w:pPr>
        <w:pStyle w:val="Footnotesection"/>
      </w:pPr>
      <w:r>
        <w:tab/>
        <w:t>[Section 8.1 amended by No. 28 of 2006 s. 364.]</w:t>
      </w:r>
    </w:p>
    <w:p>
      <w:pPr>
        <w:pStyle w:val="Heading5"/>
        <w:spacing w:before="180"/>
      </w:pPr>
      <w:bookmarkStart w:id="1153" w:name="_Toc462409647"/>
      <w:r>
        <w:rPr>
          <w:rStyle w:val="CharSectno"/>
        </w:rPr>
        <w:t>8.2</w:t>
      </w:r>
      <w:r>
        <w:t>.</w:t>
      </w:r>
      <w:r>
        <w:tab/>
        <w:t>Minister or Departmental CEO may require information</w:t>
      </w:r>
      <w:bookmarkEnd w:id="1153"/>
    </w:p>
    <w:p>
      <w:pPr>
        <w:pStyle w:val="Subsection"/>
      </w:pPr>
      <w:r>
        <w:tab/>
        <w:t>(1)</w:t>
      </w:r>
      <w:r>
        <w:tab/>
        <w:t>The Minister or Departmental CEO may in a written notice require a local government, a member of a council, a CEO or an employee to provide information of a kind specified in the notice concerning the local government or its operations or affairs.</w:t>
      </w:r>
    </w:p>
    <w:p>
      <w:pPr>
        <w:pStyle w:val="Subsection"/>
      </w:pPr>
      <w:r>
        <w:tab/>
        <w:t>(2)</w:t>
      </w:r>
      <w:r>
        <w:tab/>
        <w:t>A person who fails to comply with a notice under subsection (1) commits an offence.</w:t>
      </w:r>
    </w:p>
    <w:p>
      <w:pPr>
        <w:pStyle w:val="Footnotesection"/>
      </w:pPr>
      <w:r>
        <w:tab/>
        <w:t>[Section 8.2 amended by No. 28 of 2006 s. 364; No. 17 of 2009 s. 41.]</w:t>
      </w:r>
    </w:p>
    <w:p>
      <w:pPr>
        <w:pStyle w:val="Heading5"/>
        <w:keepNext w:val="0"/>
        <w:keepLines w:val="0"/>
        <w:spacing w:before="180"/>
      </w:pPr>
      <w:bookmarkStart w:id="1154" w:name="_Toc462409648"/>
      <w:r>
        <w:rPr>
          <w:rStyle w:val="CharSectno"/>
        </w:rPr>
        <w:t>8.3</w:t>
      </w:r>
      <w:r>
        <w:t>.</w:t>
      </w:r>
      <w:r>
        <w:tab/>
        <w:t>Inquiries by, or authorised by, Departmental CEO</w:t>
      </w:r>
      <w:bookmarkEnd w:id="1154"/>
    </w:p>
    <w:p>
      <w:pPr>
        <w:pStyle w:val="Subsection"/>
      </w:pPr>
      <w:r>
        <w:tab/>
        <w:t>(1)</w:t>
      </w:r>
      <w:r>
        <w:tab/>
        <w:t>The Departmental CEO has authority to inquire into all local governments and their operations and affairs.</w:t>
      </w:r>
    </w:p>
    <w:p>
      <w:pPr>
        <w:pStyle w:val="Subsection"/>
      </w:pPr>
      <w:r>
        <w:tab/>
        <w:t>(2)</w:t>
      </w:r>
      <w:r>
        <w:tab/>
        <w:t>The Departmental CEO may, by written authorisation, authorise a person to inquire into and report on any aspect of a local government or its operations or affairs.</w:t>
      </w:r>
    </w:p>
    <w:p>
      <w:pPr>
        <w:pStyle w:val="Subsection"/>
      </w:pPr>
      <w:r>
        <w:tab/>
        <w:t>(3)</w:t>
      </w:r>
      <w:r>
        <w:tab/>
        <w:t>The Minister may direct the Departmental CEO to authorise an inquiry under this section.</w:t>
      </w:r>
    </w:p>
    <w:p>
      <w:pPr>
        <w:pStyle w:val="Subsection"/>
      </w:pPr>
      <w:r>
        <w:tab/>
        <w:t>(4)</w:t>
      </w:r>
      <w:r>
        <w:tab/>
        <w:t>The Departmental CEO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rStyle w:val="CharDefText"/>
        </w:rPr>
        <w:t>the authorised person</w:t>
      </w:r>
      <w:r>
        <w:t xml:space="preserve"> or </w:t>
      </w:r>
      <w:r>
        <w:rPr>
          <w:rStyle w:val="CharDefText"/>
        </w:rPr>
        <w:t>an authorised person</w:t>
      </w:r>
      <w:r>
        <w:t xml:space="preserve"> is a reference to</w:t>
      </w:r>
      <w:r>
        <w:rPr>
          <w:b/>
        </w:rPr>
        <w:t xml:space="preserve"> </w:t>
      </w:r>
      <w:r>
        <w:t>those people; and</w:t>
      </w:r>
    </w:p>
    <w:p>
      <w:pPr>
        <w:pStyle w:val="Indenta"/>
      </w:pPr>
      <w:r>
        <w:tab/>
        <w:t>(b)</w:t>
      </w:r>
      <w:r>
        <w:tab/>
        <w:t xml:space="preserve">a reference in section 8.5, 8.6, 8.8, 8.9, 8.10 or 8.11 to </w:t>
      </w:r>
      <w:r>
        <w:rPr>
          <w:rStyle w:val="CharDefText"/>
        </w:rPr>
        <w:t>an authorised person</w:t>
      </w:r>
      <w:r>
        <w:t xml:space="preserve"> is a reference to</w:t>
      </w:r>
      <w:r>
        <w:rPr>
          <w:b/>
        </w:rPr>
        <w:t xml:space="preserve"> </w:t>
      </w:r>
      <w:r>
        <w:t>any of</w:t>
      </w:r>
      <w:r>
        <w:rPr>
          <w:b/>
        </w:rPr>
        <w:t xml:space="preserve"> </w:t>
      </w:r>
      <w:r>
        <w:t>those people.</w:t>
      </w:r>
    </w:p>
    <w:p>
      <w:pPr>
        <w:pStyle w:val="Footnotesection"/>
      </w:pPr>
      <w:r>
        <w:tab/>
        <w:t>[Section 8.3 amended by No. 64 of 1998 s. 41, No. 28 of 2006 s. 364.]</w:t>
      </w:r>
    </w:p>
    <w:p>
      <w:pPr>
        <w:pStyle w:val="Heading5"/>
      </w:pPr>
      <w:bookmarkStart w:id="1155" w:name="_Toc462409649"/>
      <w:r>
        <w:rPr>
          <w:rStyle w:val="CharSectno"/>
        </w:rPr>
        <w:t>8.4</w:t>
      </w:r>
      <w:r>
        <w:t>.</w:t>
      </w:r>
      <w:r>
        <w:tab/>
        <w:t>Scope and duration of authorisation</w:t>
      </w:r>
      <w:bookmarkEnd w:id="1155"/>
    </w:p>
    <w:p>
      <w:pPr>
        <w:pStyle w:val="Subsection"/>
      </w:pPr>
      <w:r>
        <w:tab/>
        <w:t>(1)</w:t>
      </w:r>
      <w:r>
        <w:tab/>
        <w:t>An authorisation under section 8.3(2) may confer a general power to conduct inquiries or a power to conduct a specific inquiry.</w:t>
      </w:r>
    </w:p>
    <w:p>
      <w:pPr>
        <w:pStyle w:val="Subsection"/>
      </w:pPr>
      <w:r>
        <w:tab/>
        <w:t>(2)</w:t>
      </w:r>
      <w:r>
        <w:tab/>
        <w:t>Even though a specific inquiry is authorised, the authorised person may inquire into any other matter that comes to the person’s attention during the inquiry if the person considers it necessary or expedient to inquire into that matter and notifies the Departmental CEO accordingly.</w:t>
      </w:r>
    </w:p>
    <w:p>
      <w:pPr>
        <w:pStyle w:val="Subsection"/>
      </w:pPr>
      <w:r>
        <w:tab/>
        <w:t>(3)</w:t>
      </w:r>
      <w:r>
        <w:tab/>
        <w:t>The authorisation is to set out — </w:t>
      </w:r>
    </w:p>
    <w:p>
      <w:pPr>
        <w:pStyle w:val="Indenta"/>
      </w:pPr>
      <w:r>
        <w:tab/>
        <w:t>(a)</w:t>
      </w:r>
      <w:r>
        <w:tab/>
        <w:t>the name of the authorised person; and</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Departmental CEO by written notice given to the authorised person.</w:t>
      </w:r>
    </w:p>
    <w:p>
      <w:pPr>
        <w:pStyle w:val="Footnotesection"/>
      </w:pPr>
      <w:r>
        <w:tab/>
        <w:t>[Section 8.4 amended by No. 28 of 2006 s. 364.]</w:t>
      </w:r>
    </w:p>
    <w:p>
      <w:pPr>
        <w:pStyle w:val="Heading5"/>
      </w:pPr>
      <w:bookmarkStart w:id="1156" w:name="_Toc462409650"/>
      <w:r>
        <w:rPr>
          <w:rStyle w:val="CharSectno"/>
        </w:rPr>
        <w:t>8.5</w:t>
      </w:r>
      <w:r>
        <w:t>.</w:t>
      </w:r>
      <w:r>
        <w:tab/>
        <w:t>Powers of authorised person</w:t>
      </w:r>
      <w:bookmarkEnd w:id="1156"/>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1157" w:name="_Toc462409651"/>
      <w:r>
        <w:rPr>
          <w:rStyle w:val="CharSectno"/>
        </w:rPr>
        <w:t>8.6</w:t>
      </w:r>
      <w:r>
        <w:t>.</w:t>
      </w:r>
      <w:r>
        <w:tab/>
        <w:t>Power to enter property</w:t>
      </w:r>
      <w:bookmarkEnd w:id="1157"/>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 or</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1158" w:name="_Toc462409652"/>
      <w:r>
        <w:rPr>
          <w:rStyle w:val="CharSectno"/>
        </w:rPr>
        <w:t>8.7</w:t>
      </w:r>
      <w:r>
        <w:t>.</w:t>
      </w:r>
      <w:r>
        <w:tab/>
        <w:t>Notice of entry</w:t>
      </w:r>
      <w:bookmarkEnd w:id="1158"/>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1159" w:name="_Toc462409653"/>
      <w:r>
        <w:rPr>
          <w:rStyle w:val="CharSectno"/>
        </w:rPr>
        <w:t>8.8</w:t>
      </w:r>
      <w:r>
        <w:t>.</w:t>
      </w:r>
      <w:r>
        <w:tab/>
        <w:t>Entry under warrant</w:t>
      </w:r>
      <w:bookmarkEnd w:id="1159"/>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keepLines/>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1160" w:name="_Toc462409654"/>
      <w:r>
        <w:rPr>
          <w:rStyle w:val="CharSectno"/>
        </w:rPr>
        <w:t>8.9</w:t>
      </w:r>
      <w:r>
        <w:t>.</w:t>
      </w:r>
      <w:r>
        <w:tab/>
        <w:t>Exercise of powers</w:t>
      </w:r>
      <w:bookmarkEnd w:id="1160"/>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1161" w:name="_Toc462409655"/>
      <w:r>
        <w:rPr>
          <w:rStyle w:val="CharSectno"/>
        </w:rPr>
        <w:t>8.10</w:t>
      </w:r>
      <w:r>
        <w:t>.</w:t>
      </w:r>
      <w:r>
        <w:tab/>
        <w:t>Protection from liability</w:t>
      </w:r>
      <w:bookmarkEnd w:id="1161"/>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1162" w:name="_Toc462409656"/>
      <w:r>
        <w:rPr>
          <w:rStyle w:val="CharSectno"/>
        </w:rPr>
        <w:t>8.11</w:t>
      </w:r>
      <w:r>
        <w:t>.</w:t>
      </w:r>
      <w:r>
        <w:tab/>
        <w:t>Failure to comply with directions</w:t>
      </w:r>
      <w:bookmarkEnd w:id="1162"/>
    </w:p>
    <w:p>
      <w:pPr>
        <w:pStyle w:val="Subsection"/>
        <w:keepNext/>
        <w:keepLines/>
      </w:pPr>
      <w:r>
        <w:tab/>
      </w:r>
      <w:r>
        <w:tab/>
        <w:t>A person who — </w:t>
      </w:r>
    </w:p>
    <w:p>
      <w:pPr>
        <w:pStyle w:val="Indenta"/>
      </w:pPr>
      <w:r>
        <w:tab/>
        <w:t>(a)</w:t>
      </w:r>
      <w:r>
        <w:tab/>
        <w:t>hinders or obstructs an authorised person in the performance of his or her functions; or</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spacing w:before="180"/>
      </w:pPr>
      <w:bookmarkStart w:id="1163" w:name="_Toc462409657"/>
      <w:r>
        <w:rPr>
          <w:rStyle w:val="CharSectno"/>
        </w:rPr>
        <w:t>8.12</w:t>
      </w:r>
      <w:r>
        <w:t>.</w:t>
      </w:r>
      <w:r>
        <w:tab/>
        <w:t>Referral to other authorities</w:t>
      </w:r>
      <w:bookmarkEnd w:id="1163"/>
    </w:p>
    <w:p>
      <w:pPr>
        <w:pStyle w:val="Subsection"/>
        <w:spacing w:before="120"/>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spacing w:before="180"/>
      </w:pPr>
      <w:bookmarkStart w:id="1164" w:name="_Toc462409658"/>
      <w:r>
        <w:rPr>
          <w:rStyle w:val="CharSectno"/>
        </w:rPr>
        <w:t>8.13</w:t>
      </w:r>
      <w:r>
        <w:t>.</w:t>
      </w:r>
      <w:r>
        <w:tab/>
        <w:t>Authorised person’s report</w:t>
      </w:r>
      <w:bookmarkEnd w:id="1164"/>
    </w:p>
    <w:p>
      <w:pPr>
        <w:pStyle w:val="Subsection"/>
        <w:spacing w:before="120"/>
      </w:pPr>
      <w:r>
        <w:tab/>
        <w:t>(1)</w:t>
      </w:r>
      <w:r>
        <w:tab/>
        <w:t>An authorised person is to compile a report on the outcome of any inquiry he or she conducts.</w:t>
      </w:r>
    </w:p>
    <w:p>
      <w:pPr>
        <w:pStyle w:val="Subsection"/>
        <w:spacing w:before="120"/>
      </w:pPr>
      <w:r>
        <w:tab/>
        <w:t>(2)</w:t>
      </w:r>
      <w:r>
        <w:tab/>
        <w:t>The report is to contain any recommendations that the authorised person considers appropriate.</w:t>
      </w:r>
    </w:p>
    <w:p>
      <w:pPr>
        <w:pStyle w:val="Subsection"/>
        <w:spacing w:before="120"/>
      </w:pPr>
      <w:r>
        <w:tab/>
        <w:t>(3)</w:t>
      </w:r>
      <w:r>
        <w:tab/>
        <w:t>The report of an authorised person other than the Departmental CEO is to be given to the Departmental CEO.</w:t>
      </w:r>
    </w:p>
    <w:p>
      <w:pPr>
        <w:pStyle w:val="Subsection"/>
      </w:pPr>
      <w:r>
        <w:tab/>
        <w:t>(4)</w:t>
      </w:r>
      <w:r>
        <w:tab/>
        <w:t>The Departmental CEO is to give a copy of the report to the Minister.</w:t>
      </w:r>
    </w:p>
    <w:p>
      <w:pPr>
        <w:pStyle w:val="Footnotesection"/>
        <w:ind w:left="890" w:hanging="890"/>
      </w:pPr>
      <w:r>
        <w:tab/>
        <w:t>[Section 8.13 amended by No. 28 of 2006 s. 364.]</w:t>
      </w:r>
    </w:p>
    <w:p>
      <w:pPr>
        <w:pStyle w:val="Heading5"/>
        <w:keepNext w:val="0"/>
        <w:keepLines w:val="0"/>
        <w:spacing w:before="180"/>
      </w:pPr>
      <w:bookmarkStart w:id="1165" w:name="_Toc462409659"/>
      <w:r>
        <w:rPr>
          <w:rStyle w:val="CharSectno"/>
        </w:rPr>
        <w:t>8.14</w:t>
      </w:r>
      <w:r>
        <w:t>.</w:t>
      </w:r>
      <w:r>
        <w:tab/>
        <w:t>Copy to be given to local government concerned</w:t>
      </w:r>
      <w:bookmarkEnd w:id="1165"/>
    </w:p>
    <w:p>
      <w:pPr>
        <w:pStyle w:val="Subsection"/>
        <w:spacing w:before="120"/>
      </w:pPr>
      <w:r>
        <w:tab/>
        <w:t>(1)</w:t>
      </w:r>
      <w:r>
        <w:tab/>
        <w:t>Unless the Minister directs otherwise, the Departmental CEO is to give a copy of a report under section 8.13 to the local government concerned.</w:t>
      </w:r>
    </w:p>
    <w:p>
      <w:pPr>
        <w:pStyle w:val="Subsection"/>
      </w:pPr>
      <w:r>
        <w:tab/>
        <w:t>(2)</w:t>
      </w:r>
      <w:r>
        <w:tab/>
        <w:t>Before giving the report to the local government the Departmental CEO may remove from the report anything that — </w:t>
      </w:r>
    </w:p>
    <w:p>
      <w:pPr>
        <w:pStyle w:val="Indenta"/>
      </w:pPr>
      <w:r>
        <w:tab/>
        <w:t>(a)</w:t>
      </w:r>
      <w:r>
        <w:tab/>
        <w:t>could prejudice any legal action arising from the inquiry; or</w:t>
      </w:r>
    </w:p>
    <w:p>
      <w:pPr>
        <w:pStyle w:val="Indenta"/>
      </w:pPr>
      <w:r>
        <w:tab/>
        <w:t>(b)</w:t>
      </w:r>
      <w:r>
        <w:tab/>
        <w:t>could prejudice any inquiry that the Minister may wish to institute under Division 2; or</w:t>
      </w:r>
    </w:p>
    <w:p>
      <w:pPr>
        <w:pStyle w:val="Indenta"/>
      </w:pPr>
      <w:r>
        <w:tab/>
        <w:t>(c)</w:t>
      </w:r>
      <w:r>
        <w:tab/>
        <w:t>could be considered defamatory; or</w:t>
      </w:r>
    </w:p>
    <w:p>
      <w:pPr>
        <w:pStyle w:val="Indenta"/>
      </w:pPr>
      <w:r>
        <w:tab/>
        <w:t>(d)</w:t>
      </w:r>
      <w:r>
        <w:tab/>
        <w:t>the Departmental CEO considers ought, for any other reason, to be removed.</w:t>
      </w:r>
    </w:p>
    <w:p>
      <w:pPr>
        <w:pStyle w:val="Subsection"/>
        <w:spacing w:before="120"/>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Footnotesection"/>
      </w:pPr>
      <w:r>
        <w:tab/>
        <w:t>[Section 8.14 amended by No. 64 of 1998 s. 42; No. 28 of 2006 s. 364.]</w:t>
      </w:r>
    </w:p>
    <w:p>
      <w:pPr>
        <w:pStyle w:val="Heading5"/>
      </w:pPr>
      <w:bookmarkStart w:id="1166" w:name="_Toc462409660"/>
      <w:r>
        <w:rPr>
          <w:rStyle w:val="CharSectno"/>
        </w:rPr>
        <w:t>8.15</w:t>
      </w:r>
      <w:r>
        <w:t>.</w:t>
      </w:r>
      <w:r>
        <w:tab/>
        <w:t>Minister can take action to ensure that recommendations are put into effect</w:t>
      </w:r>
      <w:bookmarkEnd w:id="1166"/>
    </w:p>
    <w:p>
      <w:pPr>
        <w:pStyle w:val="Subsection"/>
      </w:pPr>
      <w:r>
        <w:tab/>
        <w:t>(1)</w:t>
      </w:r>
      <w:r>
        <w:tab/>
        <w:t>The Minister may, if he or she thinks fit — </w:t>
      </w:r>
    </w:p>
    <w:p>
      <w:pPr>
        <w:pStyle w:val="Indenta"/>
      </w:pPr>
      <w:r>
        <w:tab/>
        <w:t>(a)</w:t>
      </w:r>
      <w:r>
        <w:tab/>
        <w:t>after receiving the local government’s advice; or</w:t>
      </w:r>
    </w:p>
    <w:p>
      <w:pPr>
        <w:pStyle w:val="Indenta"/>
        <w:keepNext/>
      </w:pPr>
      <w:r>
        <w:tab/>
        <w:t>(b)</w:t>
      </w:r>
      <w:r>
        <w:tab/>
        <w:t>after the time allowed by or under section 8.14(3) runs out, if no advice has been received by then,</w:t>
      </w:r>
    </w:p>
    <w:p>
      <w:pPr>
        <w:pStyle w:val="Subsection"/>
      </w:pPr>
      <w:r>
        <w:tab/>
      </w:r>
      <w:r>
        <w:tab/>
        <w:t>order the local government, or any of its council members or employees, to give effect to any one or more of the recommendations in the report in a manner and within a time ordered by the Minister.</w:t>
      </w:r>
    </w:p>
    <w:p>
      <w:pPr>
        <w:pStyle w:val="Subsection"/>
      </w:pPr>
      <w:r>
        <w:tab/>
        <w:t>(2)</w:t>
      </w:r>
      <w:r>
        <w:tab/>
        <w:t>If the Minister’s order under subsection (1) is not complied with according to its terms the Minister may, by order, suspend the council of the local government.</w:t>
      </w:r>
    </w:p>
    <w:p>
      <w:pPr>
        <w:pStyle w:val="Heading5"/>
      </w:pPr>
      <w:bookmarkStart w:id="1167" w:name="_Toc462409661"/>
      <w:r>
        <w:rPr>
          <w:rStyle w:val="CharSectno"/>
        </w:rPr>
        <w:t>8.15A</w:t>
      </w:r>
      <w:r>
        <w:t>.</w:t>
      </w:r>
      <w:r>
        <w:tab/>
        <w:t>Local government may have to meet inquiry costs</w:t>
      </w:r>
      <w:bookmarkEnd w:id="1167"/>
    </w:p>
    <w:p>
      <w:pPr>
        <w:pStyle w:val="Subsection"/>
      </w:pPr>
      <w:r>
        <w:tab/>
      </w:r>
      <w:r>
        <w:tab/>
        <w:t>If —</w:t>
      </w:r>
    </w:p>
    <w:p>
      <w:pPr>
        <w:pStyle w:val="Indenta"/>
      </w:pPr>
      <w:r>
        <w:tab/>
        <w:t>(a)</w:t>
      </w:r>
      <w:r>
        <w:tab/>
        <w:t>an authorised person makes findings adverse to a local government, or to its council or any member, or to any of its employees; or</w:t>
      </w:r>
    </w:p>
    <w:p>
      <w:pPr>
        <w:pStyle w:val="Indenta"/>
      </w:pPr>
      <w:r>
        <w:tab/>
        <w:t>(b)</w:t>
      </w:r>
      <w:r>
        <w:tab/>
        <w:t>an inquiry by an authorised person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by No. 64 of 1998 s. 43.]</w:t>
      </w:r>
    </w:p>
    <w:p>
      <w:pPr>
        <w:pStyle w:val="Heading3"/>
      </w:pPr>
      <w:bookmarkStart w:id="1168" w:name="_Toc448219377"/>
      <w:bookmarkStart w:id="1169" w:name="_Toc448224599"/>
      <w:bookmarkStart w:id="1170" w:name="_Toc451179836"/>
      <w:bookmarkStart w:id="1171" w:name="_Toc451430756"/>
      <w:bookmarkStart w:id="1172" w:name="_Toc455396706"/>
      <w:bookmarkStart w:id="1173" w:name="_Toc455397566"/>
      <w:bookmarkStart w:id="1174" w:name="_Toc456086649"/>
      <w:bookmarkStart w:id="1175" w:name="_Toc462409662"/>
      <w:r>
        <w:rPr>
          <w:rStyle w:val="CharDivNo"/>
        </w:rPr>
        <w:t>Division 2A</w:t>
      </w:r>
      <w:r>
        <w:t> — </w:t>
      </w:r>
      <w:r>
        <w:rPr>
          <w:rStyle w:val="CharDivText"/>
        </w:rPr>
        <w:t>Council may be peremptorily suspended or required to undertake remedial action</w:t>
      </w:r>
      <w:bookmarkEnd w:id="1168"/>
      <w:bookmarkEnd w:id="1169"/>
      <w:bookmarkEnd w:id="1170"/>
      <w:bookmarkEnd w:id="1171"/>
      <w:bookmarkEnd w:id="1172"/>
      <w:bookmarkEnd w:id="1173"/>
      <w:bookmarkEnd w:id="1174"/>
      <w:bookmarkEnd w:id="1175"/>
    </w:p>
    <w:p>
      <w:pPr>
        <w:pStyle w:val="Footnoteheading"/>
      </w:pPr>
      <w:r>
        <w:tab/>
        <w:t>[Heading inserted by No. 2 of 2012 s. 22.]</w:t>
      </w:r>
    </w:p>
    <w:p>
      <w:pPr>
        <w:pStyle w:val="Heading5"/>
      </w:pPr>
      <w:bookmarkStart w:id="1176" w:name="_Toc462409663"/>
      <w:r>
        <w:rPr>
          <w:rStyle w:val="CharSectno"/>
        </w:rPr>
        <w:t>8.15B</w:t>
      </w:r>
      <w:r>
        <w:t>.</w:t>
      </w:r>
      <w:r>
        <w:tab/>
        <w:t>Notice that council may be peremptorily suspended or required to undertake remedial action</w:t>
      </w:r>
      <w:bookmarkEnd w:id="1176"/>
    </w:p>
    <w:p>
      <w:pPr>
        <w:pStyle w:val="Subsection"/>
      </w:pPr>
      <w:r>
        <w:tab/>
        <w:t>(1)</w:t>
      </w:r>
      <w:r>
        <w:tab/>
        <w:t xml:space="preserve">Before the Minister makes an order under section 8.15C(2), the Minister is to give a notice (a </w:t>
      </w:r>
      <w:r>
        <w:rPr>
          <w:rStyle w:val="CharDefText"/>
        </w:rPr>
        <w:t>show cause notice</w:t>
      </w:r>
      <w:r>
        <w:t xml:space="preserve">) in writing to the local government of the intention to do one or both of the following — </w:t>
      </w:r>
    </w:p>
    <w:p>
      <w:pPr>
        <w:pStyle w:val="Indenta"/>
      </w:pPr>
      <w:r>
        <w:tab/>
        <w:t>(a)</w:t>
      </w:r>
      <w:r>
        <w:tab/>
        <w:t>suspend the council of the local government;</w:t>
      </w:r>
    </w:p>
    <w:p>
      <w:pPr>
        <w:pStyle w:val="Indenta"/>
      </w:pPr>
      <w:r>
        <w:tab/>
        <w:t>(b)</w:t>
      </w:r>
      <w:r>
        <w:tab/>
        <w:t>require the council, or one or more of the members of the council, to undertake such remedial action as is specified in the notice.</w:t>
      </w:r>
    </w:p>
    <w:p>
      <w:pPr>
        <w:pStyle w:val="Subsection"/>
        <w:keepNext/>
      </w:pPr>
      <w:r>
        <w:tab/>
        <w:t>(2)</w:t>
      </w:r>
      <w:r>
        <w:tab/>
        <w:t>Within 21 days of receiving a show cause notice, or such longer period as the Minister allows, the local government is to give the Minister a written response to the notice.</w:t>
      </w:r>
    </w:p>
    <w:p>
      <w:pPr>
        <w:pStyle w:val="Footnotesection"/>
        <w:ind w:left="890" w:hanging="890"/>
      </w:pPr>
      <w:r>
        <w:tab/>
        <w:t>[Section 8.15B inserted by No. 2 of 2012 s. 22.]</w:t>
      </w:r>
    </w:p>
    <w:p>
      <w:pPr>
        <w:pStyle w:val="Heading5"/>
        <w:spacing w:before="240"/>
      </w:pPr>
      <w:bookmarkStart w:id="1177" w:name="_Toc462409664"/>
      <w:r>
        <w:rPr>
          <w:rStyle w:val="CharSectno"/>
        </w:rPr>
        <w:t>8.15C</w:t>
      </w:r>
      <w:r>
        <w:t>.</w:t>
      </w:r>
      <w:r>
        <w:tab/>
        <w:t>Minister may order that council be peremptorily suspended or required to undertake remedial action</w:t>
      </w:r>
      <w:bookmarkEnd w:id="1177"/>
    </w:p>
    <w:p>
      <w:pPr>
        <w:pStyle w:val="Subsection"/>
        <w:spacing w:before="120"/>
      </w:pPr>
      <w:r>
        <w:tab/>
        <w:t>(1)</w:t>
      </w:r>
      <w:r>
        <w:tab/>
        <w:t xml:space="preserve">This section applies if the Minister thinks that — </w:t>
      </w:r>
    </w:p>
    <w:p>
      <w:pPr>
        <w:pStyle w:val="Indenta"/>
      </w:pPr>
      <w:r>
        <w:tab/>
        <w:t>(a)</w:t>
      </w:r>
      <w:r>
        <w:tab/>
        <w:t>the seriousness or duration of a suspected failure of the council of a local government to ensure that the local government performs its functions properly; or</w:t>
      </w:r>
    </w:p>
    <w:p>
      <w:pPr>
        <w:pStyle w:val="Indenta"/>
      </w:pPr>
      <w:r>
        <w:tab/>
        <w:t>(b)</w:t>
      </w:r>
      <w:r>
        <w:tab/>
        <w:t>such other factors as the Minister considers relevant,</w:t>
      </w:r>
    </w:p>
    <w:p>
      <w:pPr>
        <w:pStyle w:val="Subsection"/>
        <w:spacing w:before="120"/>
      </w:pPr>
      <w:r>
        <w:tab/>
      </w:r>
      <w:r>
        <w:tab/>
        <w:t>make it inappropriate for the council to act, or to continue to act, without intervention under this section, as the governing body of the local government, whether or not there has been an inquiry under Division 1.</w:t>
      </w:r>
    </w:p>
    <w:p>
      <w:pPr>
        <w:pStyle w:val="Subsection"/>
        <w:spacing w:before="120"/>
      </w:pPr>
      <w:r>
        <w:tab/>
        <w:t>(2)</w:t>
      </w:r>
      <w:r>
        <w:tab/>
        <w:t xml:space="preserve">The Minister may — </w:t>
      </w:r>
    </w:p>
    <w:p>
      <w:pPr>
        <w:pStyle w:val="Indenta"/>
      </w:pPr>
      <w:r>
        <w:tab/>
        <w:t>(a)</w:t>
      </w:r>
      <w:r>
        <w:tab/>
        <w:t>after receiving the local government’s response under section 8.15B(2); or</w:t>
      </w:r>
    </w:p>
    <w:p>
      <w:pPr>
        <w:pStyle w:val="Indenta"/>
      </w:pPr>
      <w:r>
        <w:tab/>
        <w:t>(b)</w:t>
      </w:r>
      <w:r>
        <w:tab/>
        <w:t>after the time allowed by or under section 8.15B(2) runs out, if no response has been received by then,</w:t>
      </w:r>
    </w:p>
    <w:p>
      <w:pPr>
        <w:pStyle w:val="Subsection"/>
        <w:spacing w:before="120"/>
      </w:pPr>
      <w:r>
        <w:tab/>
      </w:r>
      <w:r>
        <w:tab/>
        <w:t xml:space="preserve">by order, do one or more of the following — </w:t>
      </w:r>
    </w:p>
    <w:p>
      <w:pPr>
        <w:pStyle w:val="Indenta"/>
      </w:pPr>
      <w:r>
        <w:tab/>
        <w:t>(c)</w:t>
      </w:r>
      <w:r>
        <w:tab/>
        <w:t>suspend the council;</w:t>
      </w:r>
    </w:p>
    <w:p>
      <w:pPr>
        <w:pStyle w:val="Indenta"/>
      </w:pPr>
      <w:r>
        <w:tab/>
        <w:t>(d)</w:t>
      </w:r>
      <w:r>
        <w:tab/>
        <w:t>require the council, or one or more of the members of the council, to undertake such remedial action as is specified in the order.</w:t>
      </w:r>
    </w:p>
    <w:p>
      <w:pPr>
        <w:pStyle w:val="Subsection"/>
        <w:spacing w:before="120"/>
      </w:pPr>
      <w:r>
        <w:tab/>
        <w:t>(3)</w:t>
      </w:r>
      <w:r>
        <w:tab/>
        <w:t xml:space="preserve">An order under this section suspending a council ceases to have effect when — </w:t>
      </w:r>
    </w:p>
    <w:p>
      <w:pPr>
        <w:pStyle w:val="Indenta"/>
      </w:pPr>
      <w:r>
        <w:tab/>
        <w:t>(a)</w:t>
      </w:r>
      <w:r>
        <w:tab/>
        <w:t>an Inquiry Panel is appointed to conduct an inquiry and make a report about the local government; or</w:t>
      </w:r>
    </w:p>
    <w:p>
      <w:pPr>
        <w:pStyle w:val="Indenta"/>
      </w:pPr>
      <w:r>
        <w:tab/>
        <w:t>(b)</w:t>
      </w:r>
      <w:r>
        <w:tab/>
        <w:t>the council is reinstated by the Minister under section 8.28(3); or</w:t>
      </w:r>
    </w:p>
    <w:p>
      <w:pPr>
        <w:pStyle w:val="Indenta"/>
      </w:pPr>
      <w:r>
        <w:tab/>
        <w:t>(c)</w:t>
      </w:r>
      <w:r>
        <w:tab/>
        <w:t>the period of 6 months from when the order was made ends,</w:t>
      </w:r>
    </w:p>
    <w:p>
      <w:pPr>
        <w:pStyle w:val="Subsection"/>
        <w:spacing w:before="120"/>
      </w:pPr>
      <w:r>
        <w:tab/>
      </w:r>
      <w:r>
        <w:tab/>
        <w:t>whichever happens soonest.</w:t>
      </w:r>
    </w:p>
    <w:p>
      <w:pPr>
        <w:pStyle w:val="Footnotesection"/>
        <w:ind w:left="890" w:hanging="890"/>
      </w:pPr>
      <w:r>
        <w:tab/>
        <w:t>[Section 8.15C inserted by No. 2 of 2012 s. 22.]</w:t>
      </w:r>
    </w:p>
    <w:p>
      <w:pPr>
        <w:pStyle w:val="Heading3"/>
        <w:spacing w:before="260"/>
      </w:pPr>
      <w:bookmarkStart w:id="1178" w:name="_Toc448219380"/>
      <w:bookmarkStart w:id="1179" w:name="_Toc448224602"/>
      <w:bookmarkStart w:id="1180" w:name="_Toc451179839"/>
      <w:bookmarkStart w:id="1181" w:name="_Toc451430759"/>
      <w:bookmarkStart w:id="1182" w:name="_Toc455396709"/>
      <w:bookmarkStart w:id="1183" w:name="_Toc455397569"/>
      <w:bookmarkStart w:id="1184" w:name="_Toc456086652"/>
      <w:bookmarkStart w:id="1185" w:name="_Toc462409665"/>
      <w:r>
        <w:rPr>
          <w:rStyle w:val="CharDivNo"/>
        </w:rPr>
        <w:t>Division 2</w:t>
      </w:r>
      <w:r>
        <w:t> — </w:t>
      </w:r>
      <w:r>
        <w:rPr>
          <w:rStyle w:val="CharDivText"/>
        </w:rPr>
        <w:t>Inquiries by Inquiry Panels</w:t>
      </w:r>
      <w:bookmarkEnd w:id="1178"/>
      <w:bookmarkEnd w:id="1179"/>
      <w:bookmarkEnd w:id="1180"/>
      <w:bookmarkEnd w:id="1181"/>
      <w:bookmarkEnd w:id="1182"/>
      <w:bookmarkEnd w:id="1183"/>
      <w:bookmarkEnd w:id="1184"/>
      <w:bookmarkEnd w:id="1185"/>
    </w:p>
    <w:p>
      <w:pPr>
        <w:pStyle w:val="Heading5"/>
      </w:pPr>
      <w:bookmarkStart w:id="1186" w:name="_Toc462409666"/>
      <w:r>
        <w:rPr>
          <w:rStyle w:val="CharSectno"/>
        </w:rPr>
        <w:t>8.16</w:t>
      </w:r>
      <w:r>
        <w:t>.</w:t>
      </w:r>
      <w:r>
        <w:tab/>
        <w:t>Minister may institute inquiry</w:t>
      </w:r>
      <w:bookmarkEnd w:id="1186"/>
    </w:p>
    <w:p>
      <w:pPr>
        <w:pStyle w:val="Subsection"/>
      </w:pPr>
      <w:r>
        <w:tab/>
        <w:t>(1)</w:t>
      </w:r>
      <w:r>
        <w:tab/>
        <w:t>The Minister may by written notice appoint an Inquiry Panel consisting of one person or 3 people to inquire into and report on any aspect of a local government or its operations or affairs.</w:t>
      </w:r>
    </w:p>
    <w:p>
      <w:pPr>
        <w:pStyle w:val="Subsection"/>
      </w:pPr>
      <w:r>
        <w:tab/>
        <w:t>(2)</w:t>
      </w:r>
      <w:r>
        <w:tab/>
        <w:t>Schedule 8.1 (which contains provisions about Inquiry Panels) has effect.</w:t>
      </w:r>
    </w:p>
    <w:p>
      <w:pPr>
        <w:pStyle w:val="Footnotesection"/>
        <w:spacing w:before="100"/>
        <w:ind w:left="890" w:hanging="890"/>
      </w:pPr>
      <w:r>
        <w:tab/>
        <w:t>[Section 8.16 amended by No. 64 of 1998 s. 44(1).]</w:t>
      </w:r>
    </w:p>
    <w:p>
      <w:pPr>
        <w:pStyle w:val="Heading5"/>
      </w:pPr>
      <w:bookmarkStart w:id="1187" w:name="_Toc462409667"/>
      <w:r>
        <w:rPr>
          <w:rStyle w:val="CharSectno"/>
        </w:rPr>
        <w:t>8.17</w:t>
      </w:r>
      <w:r>
        <w:t>.</w:t>
      </w:r>
      <w:r>
        <w:tab/>
        <w:t>Scope and duration of inquiry</w:t>
      </w:r>
      <w:bookmarkEnd w:id="1187"/>
    </w:p>
    <w:p>
      <w:pPr>
        <w:pStyle w:val="Subsection"/>
      </w:pPr>
      <w:r>
        <w:tab/>
      </w:r>
      <w:r>
        <w:tab/>
        <w:t>The notice appointing an Inquiry Panel is to set out — </w:t>
      </w:r>
    </w:p>
    <w:p>
      <w:pPr>
        <w:pStyle w:val="Indenta"/>
      </w:pPr>
      <w:r>
        <w:tab/>
        <w:t>(a)</w:t>
      </w:r>
      <w:r>
        <w:tab/>
        <w:t>the nature of the inquiry to be conducted; and</w:t>
      </w:r>
    </w:p>
    <w:p>
      <w:pPr>
        <w:pStyle w:val="Indenta"/>
      </w:pPr>
      <w:r>
        <w:tab/>
        <w:t>(b)</w:t>
      </w:r>
      <w:r>
        <w:tab/>
        <w:t>the functions of the Inquiry Panel; and</w:t>
      </w:r>
    </w:p>
    <w:p>
      <w:pPr>
        <w:pStyle w:val="Indenta"/>
      </w:pPr>
      <w:r>
        <w:tab/>
        <w:t>(c)</w:t>
      </w:r>
      <w:r>
        <w:tab/>
        <w:t>any limit imposed on the duration of the inquiry.</w:t>
      </w:r>
    </w:p>
    <w:p>
      <w:pPr>
        <w:pStyle w:val="Heading5"/>
      </w:pPr>
      <w:bookmarkStart w:id="1188" w:name="_Toc462409668"/>
      <w:r>
        <w:rPr>
          <w:rStyle w:val="CharSectno"/>
        </w:rPr>
        <w:t>8.18</w:t>
      </w:r>
      <w:r>
        <w:t>.</w:t>
      </w:r>
      <w:r>
        <w:tab/>
        <w:t>Local government to be informed</w:t>
      </w:r>
      <w:bookmarkEnd w:id="1188"/>
    </w:p>
    <w:p>
      <w:pPr>
        <w:pStyle w:val="Subsection"/>
      </w:pPr>
      <w:r>
        <w:tab/>
      </w:r>
      <w:r>
        <w:tab/>
        <w:t>The Minister is to give a copy of the notice appointing an Inquiry Panel to the local government concerned as soon as is practicable after the members of the panel have been notified of their appointments.</w:t>
      </w:r>
    </w:p>
    <w:p>
      <w:pPr>
        <w:pStyle w:val="Heading5"/>
      </w:pPr>
      <w:bookmarkStart w:id="1189" w:name="_Toc462409669"/>
      <w:r>
        <w:rPr>
          <w:rStyle w:val="CharSectno"/>
        </w:rPr>
        <w:t>8.19</w:t>
      </w:r>
      <w:r>
        <w:t>.</w:t>
      </w:r>
      <w:r>
        <w:tab/>
        <w:t>Suspension of council while inquiry is held</w:t>
      </w:r>
      <w:bookmarkEnd w:id="1189"/>
    </w:p>
    <w:p>
      <w:pPr>
        <w:pStyle w:val="Subsection"/>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pPr>
      <w:r>
        <w:tab/>
        <w:t>(i)</w:t>
      </w:r>
      <w:r>
        <w:tab/>
        <w:t>the seriousness or duration of a suspected failure of the council to ensure that the local government performs its functions properly; or</w:t>
      </w:r>
    </w:p>
    <w:p>
      <w:pPr>
        <w:pStyle w:val="Indenti"/>
        <w:keepNext/>
      </w:pPr>
      <w:r>
        <w:tab/>
        <w:t>(ii)</w:t>
      </w:r>
      <w:r>
        <w:tab/>
        <w:t>such other factors as the Minister considers relevant,</w:t>
      </w:r>
    </w:p>
    <w:p>
      <w:pPr>
        <w:pStyle w:val="Indenta"/>
      </w:pPr>
      <w:r>
        <w:tab/>
      </w:r>
      <w:r>
        <w:tab/>
        <w:t>make it inappropriate for the council to act, or to continue to act, as the governing body of the local government; or</w:t>
      </w:r>
    </w:p>
    <w:p>
      <w:pPr>
        <w:pStyle w:val="Indenta"/>
      </w:pPr>
      <w:r>
        <w:tab/>
        <w:t>(b)</w:t>
      </w:r>
      <w:r>
        <w:tab/>
        <w:t>if the Minister thinks that the conduct of the inquiry would be likely to be seriously prejudiced if the council were to act, or to continue to act, as the governing body of the local government.</w:t>
      </w:r>
    </w:p>
    <w:p>
      <w:pPr>
        <w:pStyle w:val="Subsection"/>
      </w:pPr>
      <w:r>
        <w:tab/>
        <w:t>(2)</w:t>
      </w:r>
      <w:r>
        <w:tab/>
        <w:t>If an Inquiry Panel has not been appointed when the suspension under an order made under this section takes place the Minister is to appoint one within 6 months after the suspension.</w:t>
      </w:r>
    </w:p>
    <w:p>
      <w:pPr>
        <w:pStyle w:val="Subsection"/>
      </w:pPr>
      <w:r>
        <w:tab/>
        <w:t>(3)</w:t>
      </w:r>
      <w:r>
        <w:tab/>
        <w:t>If a council is already suspended under section 8.15C, then an order may be made under subsection (1) extending the suspension of the council and, for the purpose of this Act, such an order is to be taken to be an order suspending the council made under this section.</w:t>
      </w:r>
    </w:p>
    <w:p>
      <w:pPr>
        <w:pStyle w:val="Footnotesection"/>
        <w:ind w:left="890" w:hanging="890"/>
      </w:pPr>
      <w:r>
        <w:tab/>
        <w:t>[Section 8.19 amended by No. 2 of 2012 s. 23.]</w:t>
      </w:r>
    </w:p>
    <w:p>
      <w:pPr>
        <w:pStyle w:val="Heading5"/>
        <w:spacing w:before="240"/>
      </w:pPr>
      <w:bookmarkStart w:id="1190" w:name="_Toc462409670"/>
      <w:r>
        <w:rPr>
          <w:rStyle w:val="CharSectno"/>
        </w:rPr>
        <w:t>8.20</w:t>
      </w:r>
      <w:r>
        <w:t>.</w:t>
      </w:r>
      <w:r>
        <w:tab/>
        <w:t>Powers of Inquiry Panel</w:t>
      </w:r>
      <w:bookmarkEnd w:id="1190"/>
    </w:p>
    <w:p>
      <w:pPr>
        <w:pStyle w:val="Subsection"/>
        <w:spacing w:before="18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by No. 64 of 1998 s. 45.]</w:t>
      </w:r>
    </w:p>
    <w:p>
      <w:pPr>
        <w:pStyle w:val="Heading5"/>
      </w:pPr>
      <w:bookmarkStart w:id="1191" w:name="_Toc462409671"/>
      <w:r>
        <w:rPr>
          <w:rStyle w:val="CharSectno"/>
        </w:rPr>
        <w:t>8.21</w:t>
      </w:r>
      <w:r>
        <w:t>.</w:t>
      </w:r>
      <w:r>
        <w:tab/>
        <w:t>Referral to other authorities</w:t>
      </w:r>
      <w:bookmarkEnd w:id="1191"/>
    </w:p>
    <w:p>
      <w:pPr>
        <w:pStyle w:val="Subsection"/>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 by No. 64 of 1998 s. 46.]</w:t>
      </w:r>
    </w:p>
    <w:p>
      <w:pPr>
        <w:pStyle w:val="Heading5"/>
      </w:pPr>
      <w:bookmarkStart w:id="1192" w:name="_Toc462409672"/>
      <w:r>
        <w:rPr>
          <w:rStyle w:val="CharSectno"/>
        </w:rPr>
        <w:t>8.22</w:t>
      </w:r>
      <w:r>
        <w:t>.</w:t>
      </w:r>
      <w:r>
        <w:tab/>
        <w:t>Report of Inquiry Panel</w:t>
      </w:r>
      <w:bookmarkEnd w:id="1192"/>
    </w:p>
    <w:p>
      <w:pPr>
        <w:pStyle w:val="Subsection"/>
      </w:pPr>
      <w:r>
        <w:tab/>
        <w:t>(1)</w:t>
      </w:r>
      <w:r>
        <w:tab/>
        <w:t>An Inquiry Panel’s report is to contain any recommendations that the Inquiry Panel considers appropriate.</w:t>
      </w:r>
    </w:p>
    <w:p>
      <w:pPr>
        <w:pStyle w:val="Subsection"/>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w:t>
      </w:r>
    </w:p>
    <w:p>
      <w:pPr>
        <w:pStyle w:val="Subsection"/>
      </w:pPr>
      <w:r>
        <w:tab/>
        <w:t>(3)</w:t>
      </w:r>
      <w:r>
        <w:tab/>
        <w:t>The report is to be given to the Minister.</w:t>
      </w:r>
    </w:p>
    <w:p>
      <w:pPr>
        <w:pStyle w:val="Heading5"/>
        <w:keepLines w:val="0"/>
      </w:pPr>
      <w:bookmarkStart w:id="1193" w:name="_Toc462409673"/>
      <w:r>
        <w:rPr>
          <w:rStyle w:val="CharSectno"/>
        </w:rPr>
        <w:t>8.23</w:t>
      </w:r>
      <w:r>
        <w:t>.</w:t>
      </w:r>
      <w:r>
        <w:tab/>
        <w:t>Copies to be given to local government concerned and made available to public</w:t>
      </w:r>
      <w:bookmarkEnd w:id="1193"/>
    </w:p>
    <w:p>
      <w:pPr>
        <w:pStyle w:val="Subsection"/>
      </w:pPr>
      <w:r>
        <w:tab/>
        <w:t>(1)</w:t>
      </w:r>
      <w:r>
        <w:tab/>
        <w:t>The Minister is to give a copy of the Inquiry Panel’s report to the local government concerned and, if its council is suspended, to each council member.</w:t>
      </w:r>
    </w:p>
    <w:p>
      <w:pPr>
        <w:pStyle w:val="Subsection"/>
      </w:pPr>
      <w:r>
        <w:tab/>
        <w:t>(2)</w:t>
      </w:r>
      <w:r>
        <w:tab/>
        <w:t>After subsection (1) has been complied with, the Minister is to make the report of an Inquiry Panel available to the public in any manner that the Minister thinks fit.</w:t>
      </w:r>
    </w:p>
    <w:p>
      <w:pPr>
        <w:pStyle w:val="Subsection"/>
      </w:pPr>
      <w:r>
        <w:tab/>
        <w:t>(3)</w:t>
      </w:r>
      <w:r>
        <w:tab/>
        <w:t>Despite subsections (1) and (2), the Minister may withhold a report, or its contents, to the extent that the Inquiry Panel has indicated that it considers that making it available might prejudice a matter that is likely to come before a court of law.</w:t>
      </w:r>
    </w:p>
    <w:p>
      <w:pPr>
        <w:pStyle w:val="Subsection"/>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pPr>
      <w:r>
        <w:tab/>
        <w:t>(5)</w:t>
      </w:r>
      <w:r>
        <w:tab/>
        <w:t>If the council is suspended each council member may, within 35 days after receiving the report or such longer period as the Minister allows, give the Minister written advice setting out the member’s comments on the recommendations in the report.</w:t>
      </w:r>
    </w:p>
    <w:p>
      <w:pPr>
        <w:pStyle w:val="Footnotesection"/>
      </w:pPr>
      <w:r>
        <w:tab/>
        <w:t>[Section 8.23 amended by No. 64 of 1998 s. 47.]</w:t>
      </w:r>
    </w:p>
    <w:p>
      <w:pPr>
        <w:pStyle w:val="Heading5"/>
      </w:pPr>
      <w:bookmarkStart w:id="1194" w:name="_Toc462409674"/>
      <w:r>
        <w:rPr>
          <w:rStyle w:val="CharSectno"/>
        </w:rPr>
        <w:t>8.24</w:t>
      </w:r>
      <w:r>
        <w:t>.</w:t>
      </w:r>
      <w:r>
        <w:tab/>
        <w:t>Minister to decide what action to take on Inquiry Panel’s report</w:t>
      </w:r>
      <w:bookmarkEnd w:id="1194"/>
    </w:p>
    <w:p>
      <w:pPr>
        <w:pStyle w:val="Subsection"/>
      </w:pPr>
      <w:r>
        <w:tab/>
        <w:t>(1)</w:t>
      </w:r>
      <w:r>
        <w:tab/>
        <w:t>The Minister is to decide what action (if any) to take under this section in respect of an Inquiry Panel’s report.</w:t>
      </w:r>
    </w:p>
    <w:p>
      <w:pPr>
        <w:pStyle w:val="Subsection"/>
      </w:pPr>
      <w:r>
        <w:tab/>
        <w:t>(2)</w:t>
      </w:r>
      <w:r>
        <w:tab/>
        <w:t>If the Minister has given the local government concerned a copy of the report, the decision is to be made — </w:t>
      </w:r>
    </w:p>
    <w:p>
      <w:pPr>
        <w:pStyle w:val="Indenta"/>
      </w:pPr>
      <w:r>
        <w:tab/>
        <w:t>(a)</w:t>
      </w:r>
      <w:r>
        <w:tab/>
        <w:t>after receiving the advice of the local government; or</w:t>
      </w:r>
    </w:p>
    <w:p>
      <w:pPr>
        <w:pStyle w:val="Indenta"/>
      </w:pPr>
      <w:r>
        <w:tab/>
        <w:t>(b)</w:t>
      </w:r>
      <w:r>
        <w:tab/>
        <w:t>after the time allowed by or under section 8.23(4)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 reinstate the council even if the Inquiry Panel has recommended its dismissal.</w:t>
      </w:r>
    </w:p>
    <w:p>
      <w:pPr>
        <w:pStyle w:val="Subsection"/>
      </w:pPr>
      <w:r>
        <w:tab/>
        <w:t>(5)</w:t>
      </w:r>
      <w:r>
        <w:tab/>
        <w:t>The Minister may order the local government, or any of its council members (if the council is not suspended or dismissed) or any of its employees to give effect to any one or more of the recommendations of the Inquiry Panel in a manner and within a time ordered by the Minister.</w:t>
      </w:r>
    </w:p>
    <w:p>
      <w:pPr>
        <w:pStyle w:val="Heading5"/>
        <w:spacing w:before="240"/>
      </w:pPr>
      <w:bookmarkStart w:id="1195" w:name="_Toc462409675"/>
      <w:r>
        <w:rPr>
          <w:rStyle w:val="CharSectno"/>
        </w:rPr>
        <w:t>8.25</w:t>
      </w:r>
      <w:r>
        <w:t>.</w:t>
      </w:r>
      <w:r>
        <w:tab/>
        <w:t>Dismissal of council by Governor</w:t>
      </w:r>
      <w:bookmarkEnd w:id="1195"/>
    </w:p>
    <w:p>
      <w:pPr>
        <w:pStyle w:val="Subsection"/>
      </w:pPr>
      <w:r>
        <w:tab/>
      </w:r>
      <w:r>
        <w:tab/>
        <w:t>The Governor may, by order made on the recommendation of the Minister under section 8.24(3), dismiss a council.</w:t>
      </w:r>
    </w:p>
    <w:p>
      <w:pPr>
        <w:pStyle w:val="Heading5"/>
        <w:spacing w:before="240"/>
      </w:pPr>
      <w:bookmarkStart w:id="1196" w:name="_Toc462409676"/>
      <w:r>
        <w:rPr>
          <w:rStyle w:val="CharSectno"/>
        </w:rPr>
        <w:t>8.26</w:t>
      </w:r>
      <w:r>
        <w:t>.</w:t>
      </w:r>
      <w:r>
        <w:tab/>
        <w:t>Suspension of council if Minister’s order not complied with</w:t>
      </w:r>
      <w:bookmarkEnd w:id="1196"/>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240"/>
      </w:pPr>
      <w:bookmarkStart w:id="1197" w:name="_Toc462409677"/>
      <w:r>
        <w:rPr>
          <w:rStyle w:val="CharSectno"/>
        </w:rPr>
        <w:t>8.27</w:t>
      </w:r>
      <w:r>
        <w:t>.</w:t>
      </w:r>
      <w:r>
        <w:tab/>
        <w:t>Local government may have to meet inquiry costs</w:t>
      </w:r>
      <w:bookmarkEnd w:id="1197"/>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keepNext/>
      </w:pPr>
      <w:r>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keepNext w:val="0"/>
      </w:pPr>
      <w:bookmarkStart w:id="1198" w:name="_Toc448219393"/>
      <w:bookmarkStart w:id="1199" w:name="_Toc448224615"/>
      <w:bookmarkStart w:id="1200" w:name="_Toc451179852"/>
      <w:bookmarkStart w:id="1201" w:name="_Toc451430772"/>
      <w:bookmarkStart w:id="1202" w:name="_Toc455396722"/>
      <w:bookmarkStart w:id="1203" w:name="_Toc455397582"/>
      <w:bookmarkStart w:id="1204" w:name="_Toc456086665"/>
      <w:bookmarkStart w:id="1205" w:name="_Toc462409678"/>
      <w:r>
        <w:rPr>
          <w:rStyle w:val="CharDivNo"/>
        </w:rPr>
        <w:t>Division 3</w:t>
      </w:r>
      <w:r>
        <w:t> — </w:t>
      </w:r>
      <w:r>
        <w:rPr>
          <w:rStyle w:val="CharDivText"/>
        </w:rPr>
        <w:t>General provisions about suspension and dismissal of councils</w:t>
      </w:r>
      <w:bookmarkEnd w:id="1198"/>
      <w:bookmarkEnd w:id="1199"/>
      <w:bookmarkEnd w:id="1200"/>
      <w:bookmarkEnd w:id="1201"/>
      <w:bookmarkEnd w:id="1202"/>
      <w:bookmarkEnd w:id="1203"/>
      <w:bookmarkEnd w:id="1204"/>
      <w:bookmarkEnd w:id="1205"/>
    </w:p>
    <w:p>
      <w:pPr>
        <w:pStyle w:val="Heading5"/>
        <w:spacing w:before="180"/>
      </w:pPr>
      <w:bookmarkStart w:id="1206" w:name="_Toc462409679"/>
      <w:r>
        <w:rPr>
          <w:rStyle w:val="CharSectno"/>
        </w:rPr>
        <w:t>8.28</w:t>
      </w:r>
      <w:r>
        <w:t>.</w:t>
      </w:r>
      <w:r>
        <w:tab/>
        <w:t>Period of suspension: reinstatement of council</w:t>
      </w:r>
      <w:bookmarkEnd w:id="1206"/>
    </w:p>
    <w:p>
      <w:pPr>
        <w:pStyle w:val="Subsection"/>
      </w:pPr>
      <w:r>
        <w:tab/>
        <w:t>(1)</w:t>
      </w:r>
      <w:r>
        <w:tab/>
        <w:t>An order suspending a council, other than an order made under section 8.15C(2), has effect for the period, not exceeding 2 years, specified in the order or, if no period is so specified, for the period of 2 years from when the order was made.</w:t>
      </w:r>
    </w:p>
    <w:p>
      <w:pPr>
        <w:pStyle w:val="Subsection"/>
      </w:pPr>
      <w:r>
        <w:tab/>
        <w:t>(2)</w:t>
      </w:r>
      <w:r>
        <w:tab/>
        <w:t>An order suspending a council, other than an order made under section 8.15C(2),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w:t>
      </w:r>
    </w:p>
    <w:p>
      <w:pPr>
        <w:pStyle w:val="Subsection"/>
      </w:pPr>
      <w:r>
        <w:tab/>
      </w:r>
      <w:r>
        <w:tab/>
        <w:t>whichever happens soonest.</w:t>
      </w:r>
    </w:p>
    <w:p>
      <w:pPr>
        <w:pStyle w:val="Subsection"/>
      </w:pPr>
      <w:r>
        <w:tab/>
        <w:t>(3)</w:t>
      </w:r>
      <w:r>
        <w:tab/>
        <w:t>The Minister may, if he or she thinks fit, reinstate a suspended council with effect from the time specified in the order.</w:t>
      </w:r>
    </w:p>
    <w:p>
      <w:pPr>
        <w:pStyle w:val="Footnotesection"/>
      </w:pPr>
      <w:r>
        <w:tab/>
        <w:t>[Section 8.28 amended by No. 2 of 2012 s. 24.]</w:t>
      </w:r>
    </w:p>
    <w:p>
      <w:pPr>
        <w:pStyle w:val="Heading5"/>
      </w:pPr>
      <w:bookmarkStart w:id="1207" w:name="_Toc462409680"/>
      <w:r>
        <w:rPr>
          <w:rStyle w:val="CharSectno"/>
        </w:rPr>
        <w:t>8.29</w:t>
      </w:r>
      <w:r>
        <w:t>.</w:t>
      </w:r>
      <w:r>
        <w:tab/>
        <w:t>Effect of suspension of council</w:t>
      </w:r>
      <w:bookmarkEnd w:id="1207"/>
    </w:p>
    <w:p>
      <w:pPr>
        <w:pStyle w:val="Subsection"/>
      </w:pPr>
      <w:r>
        <w:tab/>
        <w:t>(1)</w:t>
      </w:r>
      <w:r>
        <w:tab/>
        <w:t>While a council is suspended, the powers and duties of the council or of any member cannot be performed by the council or member.</w:t>
      </w:r>
    </w:p>
    <w:p>
      <w:pPr>
        <w:pStyle w:val="Subsection"/>
      </w:pPr>
      <w:r>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spacing w:before="120"/>
      </w:pPr>
      <w:r>
        <w:tab/>
        <w:t>(4)</w:t>
      </w:r>
      <w:r>
        <w:tab/>
        <w:t>An order reinstating a suspended council is to fix a day for any poll needed for an election to fill any offices of member that are vacant.</w:t>
      </w:r>
    </w:p>
    <w:p>
      <w:pPr>
        <w:pStyle w:val="Heading5"/>
        <w:spacing w:before="180"/>
      </w:pPr>
      <w:bookmarkStart w:id="1208" w:name="_Toc462409681"/>
      <w:r>
        <w:rPr>
          <w:rStyle w:val="CharSectno"/>
        </w:rPr>
        <w:t>8.30</w:t>
      </w:r>
      <w:r>
        <w:t>.</w:t>
      </w:r>
      <w:r>
        <w:tab/>
        <w:t>Appointment of commissioner while council is suspended</w:t>
      </w:r>
      <w:bookmarkEnd w:id="1208"/>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5"/>
      </w:pPr>
      <w:bookmarkStart w:id="1209" w:name="_Toc462409682"/>
      <w:r>
        <w:rPr>
          <w:rStyle w:val="CharSectno"/>
        </w:rPr>
        <w:t>8.31</w:t>
      </w:r>
      <w:r>
        <w:t>.</w:t>
      </w:r>
      <w:r>
        <w:tab/>
        <w:t>No dismissal of council except on Inquiry Panel’s recommendation</w:t>
      </w:r>
      <w:bookmarkEnd w:id="1209"/>
    </w:p>
    <w:p>
      <w:pPr>
        <w:pStyle w:val="Subsection"/>
      </w:pPr>
      <w:r>
        <w:tab/>
        <w:t>(1)</w:t>
      </w:r>
      <w:r>
        <w:tab/>
        <w:t>A council cannot be dismissed otherwise than under section 8.25.</w:t>
      </w:r>
    </w:p>
    <w:p>
      <w:pPr>
        <w:pStyle w:val="Subsection"/>
      </w:pPr>
      <w:r>
        <w:tab/>
        <w:t>(2)</w:t>
      </w:r>
      <w:r>
        <w:tab/>
        <w:t>Subsection (1) does not affect the operation of section 2.36A or 2.37.</w:t>
      </w:r>
    </w:p>
    <w:p>
      <w:pPr>
        <w:pStyle w:val="Footnotesection"/>
      </w:pPr>
      <w:r>
        <w:tab/>
        <w:t>[Section 8.31 amended by No. 64 of 1998 s. 4(5).]</w:t>
      </w:r>
    </w:p>
    <w:p>
      <w:pPr>
        <w:pStyle w:val="Heading5"/>
      </w:pPr>
      <w:bookmarkStart w:id="1210" w:name="_Toc462409683"/>
      <w:r>
        <w:rPr>
          <w:rStyle w:val="CharSectno"/>
        </w:rPr>
        <w:t>8.32</w:t>
      </w:r>
      <w:r>
        <w:t>.</w:t>
      </w:r>
      <w:r>
        <w:tab/>
        <w:t>When dismissal of council takes effect</w:t>
      </w:r>
      <w:bookmarkEnd w:id="1210"/>
    </w:p>
    <w:p>
      <w:pPr>
        <w:pStyle w:val="Subsection"/>
      </w:pPr>
      <w:r>
        <w:tab/>
      </w:r>
      <w:r>
        <w:tab/>
        <w:t>An order dismissing a council has effect from the day specified in the order.</w:t>
      </w:r>
    </w:p>
    <w:p>
      <w:pPr>
        <w:pStyle w:val="Heading5"/>
      </w:pPr>
      <w:bookmarkStart w:id="1211" w:name="_Toc462409684"/>
      <w:r>
        <w:rPr>
          <w:rStyle w:val="CharSectno"/>
        </w:rPr>
        <w:t>8.33</w:t>
      </w:r>
      <w:r>
        <w:t>.</w:t>
      </w:r>
      <w:r>
        <w:tab/>
        <w:t>Appointment of commissioner on dismissal of council</w:t>
      </w:r>
      <w:bookmarkEnd w:id="1211"/>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1212" w:name="_Toc462409685"/>
      <w:r>
        <w:rPr>
          <w:rStyle w:val="CharSectno"/>
        </w:rPr>
        <w:t>8.34</w:t>
      </w:r>
      <w:r>
        <w:t>.</w:t>
      </w:r>
      <w:r>
        <w:tab/>
        <w:t>Elections following dismissal of council</w:t>
      </w:r>
      <w:bookmarkEnd w:id="1212"/>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keepLines w:val="0"/>
      </w:pPr>
      <w:r>
        <w:tab/>
        <w:t>[Section 8.34 amended by No. 1 of 1998 s. 22.]</w:t>
      </w:r>
    </w:p>
    <w:p>
      <w:pPr>
        <w:pStyle w:val="Heading3"/>
      </w:pPr>
      <w:bookmarkStart w:id="1213" w:name="_Toc448219401"/>
      <w:bookmarkStart w:id="1214" w:name="_Toc448224623"/>
      <w:bookmarkStart w:id="1215" w:name="_Toc451179860"/>
      <w:bookmarkStart w:id="1216" w:name="_Toc451430780"/>
      <w:bookmarkStart w:id="1217" w:name="_Toc455396730"/>
      <w:bookmarkStart w:id="1218" w:name="_Toc455397590"/>
      <w:bookmarkStart w:id="1219" w:name="_Toc456086673"/>
      <w:bookmarkStart w:id="1220" w:name="_Toc462409686"/>
      <w:r>
        <w:rPr>
          <w:rStyle w:val="CharDivNo"/>
        </w:rPr>
        <w:t>Division 4</w:t>
      </w:r>
      <w:r>
        <w:t> — </w:t>
      </w:r>
      <w:r>
        <w:rPr>
          <w:rStyle w:val="CharDivText"/>
        </w:rPr>
        <w:t>Misapplication of funds and property</w:t>
      </w:r>
      <w:bookmarkEnd w:id="1213"/>
      <w:bookmarkEnd w:id="1214"/>
      <w:bookmarkEnd w:id="1215"/>
      <w:bookmarkEnd w:id="1216"/>
      <w:bookmarkEnd w:id="1217"/>
      <w:bookmarkEnd w:id="1218"/>
      <w:bookmarkEnd w:id="1219"/>
      <w:bookmarkEnd w:id="1220"/>
    </w:p>
    <w:p>
      <w:pPr>
        <w:pStyle w:val="Heading5"/>
      </w:pPr>
      <w:bookmarkStart w:id="1221" w:name="_Toc462409687"/>
      <w:r>
        <w:rPr>
          <w:rStyle w:val="CharSectno"/>
        </w:rPr>
        <w:t>8.35</w:t>
      </w:r>
      <w:r>
        <w:t>.</w:t>
      </w:r>
      <w:r>
        <w:tab/>
        <w:t>Interpretation</w:t>
      </w:r>
      <w:bookmarkEnd w:id="1221"/>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pPr>
      <w:r>
        <w:tab/>
        <w:t>(3)</w:t>
      </w:r>
      <w:r>
        <w:tab/>
        <w:t>In this Division — </w:t>
      </w:r>
    </w:p>
    <w:p>
      <w:pPr>
        <w:pStyle w:val="Defstart"/>
      </w:pPr>
      <w:r>
        <w:tab/>
      </w:r>
      <w:r>
        <w:rPr>
          <w:rStyle w:val="CharDefText"/>
        </w:rPr>
        <w:t>amount misapplied</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rStyle w:val="CharDefText"/>
        </w:rPr>
        <w:t>authorised person</w:t>
      </w:r>
      <w:r>
        <w:t xml:space="preserve"> means — </w:t>
      </w:r>
    </w:p>
    <w:p>
      <w:pPr>
        <w:pStyle w:val="Defpara"/>
      </w:pPr>
      <w:r>
        <w:tab/>
        <w:t>(a)</w:t>
      </w:r>
      <w:r>
        <w:tab/>
        <w:t>the Departmental CEO; or</w:t>
      </w:r>
    </w:p>
    <w:p>
      <w:pPr>
        <w:pStyle w:val="Defpara"/>
      </w:pPr>
      <w:r>
        <w:tab/>
        <w:t>(b)</w:t>
      </w:r>
      <w:r>
        <w:tab/>
        <w:t>any other person authorised to conduct an inquiry under section 8.3; or</w:t>
      </w:r>
    </w:p>
    <w:p>
      <w:pPr>
        <w:pStyle w:val="Defpara"/>
      </w:pPr>
      <w:r>
        <w:tab/>
        <w:t>(c)</w:t>
      </w:r>
      <w:r>
        <w:tab/>
        <w:t>any person authorised under section 8.36.</w:t>
      </w:r>
    </w:p>
    <w:p>
      <w:pPr>
        <w:pStyle w:val="Footnotesection"/>
      </w:pPr>
      <w:r>
        <w:tab/>
        <w:t>[Section 8.35 amended by No. 28 of 2006 s. 364.]</w:t>
      </w:r>
    </w:p>
    <w:p>
      <w:pPr>
        <w:pStyle w:val="Heading5"/>
      </w:pPr>
      <w:bookmarkStart w:id="1222" w:name="_Toc462409688"/>
      <w:r>
        <w:rPr>
          <w:rStyle w:val="CharSectno"/>
        </w:rPr>
        <w:t>8.36</w:t>
      </w:r>
      <w:r>
        <w:t>.</w:t>
      </w:r>
      <w:r>
        <w:tab/>
        <w:t>Authorisation</w:t>
      </w:r>
      <w:bookmarkEnd w:id="1222"/>
    </w:p>
    <w:p>
      <w:pPr>
        <w:pStyle w:val="Subsection"/>
      </w:pPr>
      <w:r>
        <w:tab/>
        <w:t>(1)</w:t>
      </w:r>
      <w:r>
        <w:tab/>
        <w:t>The Departmental CEO may, by written authorisation, authorise a person to take actions under and subject to this Division.</w:t>
      </w:r>
    </w:p>
    <w:p>
      <w:pPr>
        <w:pStyle w:val="Subsection"/>
      </w:pPr>
      <w:r>
        <w:tab/>
        <w:t>(2)</w:t>
      </w:r>
      <w:r>
        <w:tab/>
        <w:t>An authorisation under subsection (1) may confer a general power to take actions or a power to take actions in respect of a specific matter.</w:t>
      </w:r>
    </w:p>
    <w:p>
      <w:pPr>
        <w:pStyle w:val="Subsection"/>
        <w:keepNext/>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pPr>
      <w:r>
        <w:tab/>
        <w:t>[Section 8.36 amended by No. 28 of 2006 s. 364.]</w:t>
      </w:r>
    </w:p>
    <w:p>
      <w:pPr>
        <w:pStyle w:val="Heading5"/>
      </w:pPr>
      <w:bookmarkStart w:id="1223" w:name="_Toc462409689"/>
      <w:r>
        <w:rPr>
          <w:rStyle w:val="CharSectno"/>
        </w:rPr>
        <w:t>8.37</w:t>
      </w:r>
      <w:r>
        <w:t>.</w:t>
      </w:r>
      <w:r>
        <w:tab/>
        <w:t>Powers related to inquiries</w:t>
      </w:r>
      <w:bookmarkEnd w:id="1223"/>
    </w:p>
    <w:p>
      <w:pPr>
        <w:pStyle w:val="Subsection"/>
        <w:rPr>
          <w:spacing w:val="-4"/>
        </w:rPr>
      </w:pPr>
      <w:r>
        <w:tab/>
      </w:r>
      <w:r>
        <w:tab/>
      </w:r>
      <w:r>
        <w:rPr>
          <w:spacing w:val="-4"/>
        </w:rPr>
        <w:t>The authorisation conferred by this Division on a person authorised to conduct an inquiry under section 8.3 is limited to matters to which the inquiry relates and is subject to any limit imposed on the duration of the authorisation under section 8.4(3).</w:t>
      </w:r>
    </w:p>
    <w:p>
      <w:pPr>
        <w:pStyle w:val="Heading5"/>
      </w:pPr>
      <w:bookmarkStart w:id="1224" w:name="_Toc462409690"/>
      <w:r>
        <w:rPr>
          <w:rStyle w:val="CharSectno"/>
        </w:rPr>
        <w:t>8.38</w:t>
      </w:r>
      <w:r>
        <w:t>.</w:t>
      </w:r>
      <w:r>
        <w:tab/>
        <w:t>Liability for misapplication of funds or property</w:t>
      </w:r>
      <w:bookmarkEnd w:id="1224"/>
    </w:p>
    <w:p>
      <w:pPr>
        <w:pStyle w:val="Subsection"/>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pPr>
      <w:r>
        <w:tab/>
      </w:r>
      <w:r>
        <w:tab/>
        <w:t xml:space="preserve">that council member or employee is personally liable to pay the amount misapplied to the local government. </w:t>
      </w:r>
    </w:p>
    <w:p>
      <w:pPr>
        <w:pStyle w:val="Subsection"/>
      </w:pPr>
      <w:r>
        <w:tab/>
        <w:t>(2)</w:t>
      </w:r>
      <w:r>
        <w:tab/>
        <w:t>If 2 or more people are liable to pay the amount misapplied, their liability is joint and several.</w:t>
      </w:r>
    </w:p>
    <w:p>
      <w:pPr>
        <w:pStyle w:val="Subsection"/>
      </w:pPr>
      <w:r>
        <w:tab/>
        <w:t>(3)</w:t>
      </w:r>
      <w:r>
        <w:tab/>
        <w:t>A person’s liability to pay the amount misapplied continues whether or not the person is still a council member or employee of the local government.</w:t>
      </w:r>
    </w:p>
    <w:p>
      <w:pPr>
        <w:pStyle w:val="Heading5"/>
      </w:pPr>
      <w:bookmarkStart w:id="1225" w:name="_Toc462409691"/>
      <w:r>
        <w:rPr>
          <w:rStyle w:val="CharSectno"/>
        </w:rPr>
        <w:t>8.39</w:t>
      </w:r>
      <w:r>
        <w:t>.</w:t>
      </w:r>
      <w:r>
        <w:tab/>
        <w:t>Action to recover amounts misapplied</w:t>
      </w:r>
      <w:bookmarkEnd w:id="1225"/>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1226" w:name="_Toc462409692"/>
      <w:r>
        <w:rPr>
          <w:rStyle w:val="CharSectno"/>
        </w:rPr>
        <w:t>8.40</w:t>
      </w:r>
      <w:r>
        <w:t>.</w:t>
      </w:r>
      <w:r>
        <w:tab/>
        <w:t>Notice to be given before action is taken</w:t>
      </w:r>
      <w:bookmarkEnd w:id="1226"/>
    </w:p>
    <w:p>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 and</w:t>
      </w:r>
    </w:p>
    <w:p>
      <w:pPr>
        <w:pStyle w:val="Indenta"/>
      </w:pPr>
      <w:r>
        <w:tab/>
        <w:t>(b)</w:t>
      </w:r>
      <w:r>
        <w:tab/>
        <w:t>include details of the grounds upon which the authorised person proposes to take action; and</w:t>
      </w:r>
    </w:p>
    <w:p>
      <w:pPr>
        <w:pStyle w:val="Indenta"/>
      </w:pPr>
      <w:r>
        <w:tab/>
        <w:t>(c)</w:t>
      </w:r>
      <w:r>
        <w:tab/>
        <w:t>state the amount in question.</w:t>
      </w:r>
    </w:p>
    <w:p>
      <w:pPr>
        <w:pStyle w:val="Heading5"/>
      </w:pPr>
      <w:bookmarkStart w:id="1227" w:name="_Toc462409693"/>
      <w:r>
        <w:rPr>
          <w:rStyle w:val="CharSectno"/>
        </w:rPr>
        <w:t>8.41</w:t>
      </w:r>
      <w:r>
        <w:t>.</w:t>
      </w:r>
      <w:r>
        <w:tab/>
        <w:t>Decision whether or not to proceed with action</w:t>
      </w:r>
      <w:bookmarkEnd w:id="1227"/>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Departmental CEO cannot decide to proceed with the action without the express approval of the Departmental CEO.</w:t>
      </w:r>
    </w:p>
    <w:p>
      <w:pPr>
        <w:pStyle w:val="Subsection"/>
      </w:pPr>
      <w:r>
        <w:tab/>
        <w:t>(3)</w:t>
      </w:r>
      <w:r>
        <w:tab/>
        <w:t>If the authorised person decides to proceed with the action, he or she is to give written notice of the decision to the local government concerned.</w:t>
      </w:r>
    </w:p>
    <w:p>
      <w:pPr>
        <w:pStyle w:val="Subsection"/>
      </w:pPr>
      <w:r>
        <w:tab/>
        <w:t>(4)</w:t>
      </w:r>
      <w:r>
        <w:tab/>
        <w:t>If the authorised person decides not to proceed with the action, he or she is to give written notice of the decision to the local government concerned and to any person to whom notice has been given under section 8.40(1).</w:t>
      </w:r>
    </w:p>
    <w:p>
      <w:pPr>
        <w:pStyle w:val="Footnotesection"/>
      </w:pPr>
      <w:r>
        <w:tab/>
        <w:t>[Section 8.41 amended by No. 28 of 2006 s. 364.]</w:t>
      </w:r>
    </w:p>
    <w:p>
      <w:pPr>
        <w:pStyle w:val="Heading5"/>
      </w:pPr>
      <w:bookmarkStart w:id="1228" w:name="_Toc462409694"/>
      <w:r>
        <w:rPr>
          <w:rStyle w:val="CharSectno"/>
        </w:rPr>
        <w:t>8.42</w:t>
      </w:r>
      <w:r>
        <w:t>.</w:t>
      </w:r>
      <w:r>
        <w:tab/>
        <w:t>Power of court to order payment</w:t>
      </w:r>
      <w:bookmarkEnd w:id="1228"/>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pPr>
      <w:r>
        <w:tab/>
        <w:t>(2)</w:t>
      </w:r>
      <w:r>
        <w:tab/>
        <w:t>If an authorised person recovers money in proceedings under this Division, he or she is to pay it to the local government concerned.</w:t>
      </w:r>
    </w:p>
    <w:p>
      <w:pPr>
        <w:pStyle w:val="Heading5"/>
      </w:pPr>
      <w:bookmarkStart w:id="1229" w:name="_Toc462409695"/>
      <w:r>
        <w:rPr>
          <w:rStyle w:val="CharSectno"/>
        </w:rPr>
        <w:t>8.43</w:t>
      </w:r>
      <w:r>
        <w:t>.</w:t>
      </w:r>
      <w:r>
        <w:tab/>
        <w:t>Disqualification of person who has misapplied funds or property</w:t>
      </w:r>
      <w:bookmarkEnd w:id="1229"/>
    </w:p>
    <w:p>
      <w:pPr>
        <w:pStyle w:val="Subsection"/>
        <w:spacing w:before="120"/>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spacing w:before="120"/>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pPr>
        <w:pStyle w:val="Subsection"/>
        <w:spacing w:before="120"/>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pPr>
      <w:r>
        <w:tab/>
        <w:t>[Section 8.43 amended by No. 28 of 2006 s. 364.]</w:t>
      </w:r>
    </w:p>
    <w:p>
      <w:pPr>
        <w:pStyle w:val="Heading5"/>
        <w:spacing w:before="180"/>
      </w:pPr>
      <w:bookmarkStart w:id="1230" w:name="_Toc462409696"/>
      <w:r>
        <w:rPr>
          <w:rStyle w:val="CharSectno"/>
        </w:rPr>
        <w:t>8.44</w:t>
      </w:r>
      <w:r>
        <w:t>.</w:t>
      </w:r>
      <w:r>
        <w:tab/>
        <w:t>Evidence of authorisation</w:t>
      </w:r>
      <w:bookmarkEnd w:id="1230"/>
    </w:p>
    <w:p>
      <w:pPr>
        <w:pStyle w:val="Subsection"/>
        <w:spacing w:before="120"/>
      </w:pPr>
      <w:r>
        <w:tab/>
      </w:r>
      <w:r>
        <w:tab/>
        <w:t xml:space="preserve">In proceedings brought under this Division, a document purporting to be an authorisation or approval given by the Departmental CEO to a person, is </w:t>
      </w:r>
      <w:r>
        <w:rPr>
          <w:i/>
        </w:rPr>
        <w:t xml:space="preserve">prima facie </w:t>
      </w:r>
      <w:r>
        <w:t>evidence of the authorisation or approval having been given, and of the signature of the Departmental CEO.</w:t>
      </w:r>
    </w:p>
    <w:p>
      <w:pPr>
        <w:pStyle w:val="Footnotesection"/>
        <w:spacing w:before="80"/>
        <w:ind w:left="890" w:hanging="890"/>
      </w:pPr>
      <w:r>
        <w:tab/>
        <w:t>[Section 8.44 amended by No. 28 of 2006 s. 364.]</w:t>
      </w:r>
    </w:p>
    <w:p>
      <w:pPr>
        <w:pStyle w:val="Heading2"/>
      </w:pPr>
      <w:bookmarkStart w:id="1231" w:name="_Toc448219412"/>
      <w:bookmarkStart w:id="1232" w:name="_Toc448224634"/>
      <w:bookmarkStart w:id="1233" w:name="_Toc451179871"/>
      <w:bookmarkStart w:id="1234" w:name="_Toc451430791"/>
      <w:bookmarkStart w:id="1235" w:name="_Toc455396741"/>
      <w:bookmarkStart w:id="1236" w:name="_Toc455397601"/>
      <w:bookmarkStart w:id="1237" w:name="_Toc456086684"/>
      <w:bookmarkStart w:id="1238" w:name="_Toc462409697"/>
      <w:r>
        <w:rPr>
          <w:rStyle w:val="CharPartNo"/>
        </w:rPr>
        <w:t>Part 9</w:t>
      </w:r>
      <w:r>
        <w:t> — </w:t>
      </w:r>
      <w:r>
        <w:rPr>
          <w:rStyle w:val="CharPartText"/>
        </w:rPr>
        <w:t>Miscellaneous provisions</w:t>
      </w:r>
      <w:bookmarkEnd w:id="1231"/>
      <w:bookmarkEnd w:id="1232"/>
      <w:bookmarkEnd w:id="1233"/>
      <w:bookmarkEnd w:id="1234"/>
      <w:bookmarkEnd w:id="1235"/>
      <w:bookmarkEnd w:id="1236"/>
      <w:bookmarkEnd w:id="1237"/>
      <w:bookmarkEnd w:id="1238"/>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contains provisions about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objections and review;</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legal proceedings;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regulations and orders,</w:t>
      </w:r>
    </w:p>
    <w:p>
      <w:pPr>
        <w:pStyle w:val="MiscellaneousBody"/>
        <w:rPr>
          <w:rFonts w:ascii="Arial" w:hAnsi="Arial" w:cs="Arial"/>
          <w:i/>
          <w:snapToGrid w:val="0"/>
          <w:sz w:val="22"/>
        </w:rPr>
      </w:pPr>
      <w:r>
        <w:rPr>
          <w:rFonts w:ascii="Arial" w:hAnsi="Arial" w:cs="Arial"/>
          <w:i/>
          <w:snapToGrid w:val="0"/>
          <w:sz w:val="22"/>
        </w:rPr>
        <w:t>and various other matters.</w:t>
      </w:r>
    </w:p>
    <w:p>
      <w:pPr>
        <w:pStyle w:val="Footnoteheading"/>
        <w:rPr>
          <w:i w:val="0"/>
        </w:rPr>
      </w:pPr>
      <w:r>
        <w:tab/>
        <w:t>[Notes to Pt. 9 amended by No. 55 of 2004 s. 700.]</w:t>
      </w:r>
    </w:p>
    <w:p>
      <w:pPr>
        <w:pStyle w:val="Heading3"/>
      </w:pPr>
      <w:bookmarkStart w:id="1239" w:name="_Toc448219413"/>
      <w:bookmarkStart w:id="1240" w:name="_Toc448224635"/>
      <w:bookmarkStart w:id="1241" w:name="_Toc451179872"/>
      <w:bookmarkStart w:id="1242" w:name="_Toc451430792"/>
      <w:bookmarkStart w:id="1243" w:name="_Toc455396742"/>
      <w:bookmarkStart w:id="1244" w:name="_Toc455397602"/>
      <w:bookmarkStart w:id="1245" w:name="_Toc456086685"/>
      <w:bookmarkStart w:id="1246" w:name="_Toc462409698"/>
      <w:r>
        <w:rPr>
          <w:rStyle w:val="CharDivNo"/>
        </w:rPr>
        <w:t>Division 1</w:t>
      </w:r>
      <w:r>
        <w:t> — </w:t>
      </w:r>
      <w:r>
        <w:rPr>
          <w:rStyle w:val="CharDivText"/>
        </w:rPr>
        <w:t>Objections and review</w:t>
      </w:r>
      <w:bookmarkEnd w:id="1239"/>
      <w:bookmarkEnd w:id="1240"/>
      <w:bookmarkEnd w:id="1241"/>
      <w:bookmarkEnd w:id="1242"/>
      <w:bookmarkEnd w:id="1243"/>
      <w:bookmarkEnd w:id="1244"/>
      <w:bookmarkEnd w:id="1245"/>
      <w:bookmarkEnd w:id="1246"/>
    </w:p>
    <w:p>
      <w:pPr>
        <w:pStyle w:val="Footnoteheading"/>
      </w:pPr>
      <w:r>
        <w:tab/>
        <w:t>[Heading amended by No. 55 of 2004 s. 701.]</w:t>
      </w:r>
    </w:p>
    <w:p>
      <w:pPr>
        <w:pStyle w:val="Heading5"/>
      </w:pPr>
      <w:bookmarkStart w:id="1247" w:name="_Toc462409699"/>
      <w:r>
        <w:rPr>
          <w:rStyle w:val="CharSectno"/>
        </w:rPr>
        <w:t>9.1</w:t>
      </w:r>
      <w:r>
        <w:t>.</w:t>
      </w:r>
      <w:r>
        <w:tab/>
        <w:t>When this Division applies</w:t>
      </w:r>
      <w:bookmarkEnd w:id="1247"/>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by No. 1 of 1998 s. 23.]</w:t>
      </w:r>
    </w:p>
    <w:p>
      <w:pPr>
        <w:pStyle w:val="Heading5"/>
        <w:spacing w:before="260"/>
      </w:pPr>
      <w:bookmarkStart w:id="1248" w:name="_Toc462409700"/>
      <w:r>
        <w:rPr>
          <w:rStyle w:val="CharSectno"/>
        </w:rPr>
        <w:t>9.2</w:t>
      </w:r>
      <w:r>
        <w:t>.</w:t>
      </w:r>
      <w:r>
        <w:tab/>
        <w:t>Terms used</w:t>
      </w:r>
      <w:bookmarkEnd w:id="1248"/>
    </w:p>
    <w:p>
      <w:pPr>
        <w:pStyle w:val="Subsection"/>
      </w:pPr>
      <w:r>
        <w:tab/>
      </w:r>
      <w:r>
        <w:tab/>
        <w:t>In this Division, unless the contrary intention appears — </w:t>
      </w:r>
    </w:p>
    <w:p>
      <w:pPr>
        <w:pStyle w:val="Defstart"/>
      </w:pPr>
      <w:r>
        <w:rPr>
          <w:b/>
        </w:rPr>
        <w:tab/>
      </w:r>
      <w:r>
        <w:rPr>
          <w:rStyle w:val="CharDefText"/>
        </w:rPr>
        <w:t>affected person</w:t>
      </w:r>
      <w:r>
        <w:t>, in relation to — </w:t>
      </w:r>
    </w:p>
    <w:p>
      <w:pPr>
        <w:pStyle w:val="Defpara"/>
      </w:pPr>
      <w:r>
        <w:tab/>
        <w:t>(a)</w:t>
      </w:r>
      <w:r>
        <w:tab/>
        <w:t xml:space="preserve">a decision to which this Division applies because of subsection (1) or (3) of section 9.1, means a person referred to in that subsection; and </w:t>
      </w:r>
    </w:p>
    <w:p>
      <w:pPr>
        <w:pStyle w:val="Defpara"/>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pPr>
      <w:r>
        <w:rPr>
          <w:b/>
        </w:rPr>
        <w:tab/>
      </w:r>
      <w:r>
        <w:rPr>
          <w:rStyle w:val="CharDefText"/>
        </w:rPr>
        <w:t>authorisation</w:t>
      </w:r>
      <w:r>
        <w:t xml:space="preserve"> means a licence, permit, approval, or other means of authorising a person to do anything, other than one that has been excluded by regulations from being an authorisation for the purposes of this definition;</w:t>
      </w:r>
    </w:p>
    <w:p>
      <w:pPr>
        <w:pStyle w:val="Defstart"/>
      </w:pPr>
      <w:r>
        <w:rPr>
          <w:b/>
        </w:rPr>
        <w:tab/>
      </w:r>
      <w:r>
        <w:rPr>
          <w:rStyle w:val="CharDefText"/>
        </w:rPr>
        <w:t>decision</w:t>
      </w:r>
      <w:r>
        <w:t xml:space="preserve"> means a decision or notice that, in accordance with section 9.1, causes this Division to apply.</w:t>
      </w:r>
    </w:p>
    <w:p>
      <w:pPr>
        <w:pStyle w:val="Footnotesection"/>
      </w:pPr>
      <w:r>
        <w:tab/>
        <w:t>[Section 9.2 amended by No. 64 of 1998 s. 48.]</w:t>
      </w:r>
    </w:p>
    <w:p>
      <w:pPr>
        <w:pStyle w:val="Heading5"/>
      </w:pPr>
      <w:bookmarkStart w:id="1249" w:name="_Toc462409701"/>
      <w:r>
        <w:rPr>
          <w:rStyle w:val="CharSectno"/>
        </w:rPr>
        <w:t>9.3</w:t>
      </w:r>
      <w:r>
        <w:t>.</w:t>
      </w:r>
      <w:r>
        <w:tab/>
        <w:t>Rights of affected person extended to certain owners</w:t>
      </w:r>
      <w:bookmarkEnd w:id="1249"/>
    </w:p>
    <w:p>
      <w:pPr>
        <w:pStyle w:val="Subsection"/>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pPr>
      <w:bookmarkStart w:id="1250" w:name="_Toc462409702"/>
      <w:r>
        <w:rPr>
          <w:rStyle w:val="CharSectno"/>
        </w:rPr>
        <w:t>9.4</w:t>
      </w:r>
      <w:r>
        <w:t>.</w:t>
      </w:r>
      <w:r>
        <w:tab/>
        <w:t>Advice of objection and review rights</w:t>
      </w:r>
      <w:bookmarkEnd w:id="1250"/>
    </w:p>
    <w:p>
      <w:pPr>
        <w:pStyle w:val="Subsection"/>
      </w:pPr>
      <w:r>
        <w:tab/>
      </w:r>
      <w:r>
        <w:tab/>
        <w:t>Whenever a decision is made that the affected person could consider to be unfavourable, the person making it is to ensure that, as soon as practicable after the decision is made, the affected person is given written reasons for the decision and informed of the person’s rights under this Division to object against, and apply for a review of, the decision.</w:t>
      </w:r>
    </w:p>
    <w:p>
      <w:pPr>
        <w:pStyle w:val="Footnotesection"/>
      </w:pPr>
      <w:r>
        <w:tab/>
        <w:t>[Section 9.4 amended by No. 55 of 2004 s. 702.]</w:t>
      </w:r>
    </w:p>
    <w:p>
      <w:pPr>
        <w:pStyle w:val="Heading5"/>
      </w:pPr>
      <w:bookmarkStart w:id="1251" w:name="_Toc462409703"/>
      <w:r>
        <w:rPr>
          <w:rStyle w:val="CharSectno"/>
        </w:rPr>
        <w:t>9.5</w:t>
      </w:r>
      <w:r>
        <w:t>.</w:t>
      </w:r>
      <w:r>
        <w:tab/>
        <w:t>Objection may be lodged</w:t>
      </w:r>
      <w:bookmarkEnd w:id="1251"/>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r>
        <w:tab/>
        <w:t>[Section 9.5 amended by No. 55 of 2004 s. 703.]</w:t>
      </w:r>
    </w:p>
    <w:p>
      <w:pPr>
        <w:pStyle w:val="Heading5"/>
      </w:pPr>
      <w:bookmarkStart w:id="1252" w:name="_Toc462409704"/>
      <w:r>
        <w:rPr>
          <w:rStyle w:val="CharSectno"/>
        </w:rPr>
        <w:t>9.6</w:t>
      </w:r>
      <w:r>
        <w:t>.</w:t>
      </w:r>
      <w:r>
        <w:tab/>
        <w:t>Dealing with objection</w:t>
      </w:r>
      <w:bookmarkEnd w:id="1252"/>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 or</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1253" w:name="_Toc462409705"/>
      <w:r>
        <w:rPr>
          <w:rStyle w:val="CharSectno"/>
        </w:rPr>
        <w:t>9.7</w:t>
      </w:r>
      <w:r>
        <w:t>.</w:t>
      </w:r>
      <w:r>
        <w:tab/>
        <w:t>Review</w:t>
      </w:r>
      <w:bookmarkEnd w:id="1253"/>
    </w:p>
    <w:p>
      <w:pPr>
        <w:pStyle w:val="Subsection"/>
      </w:pPr>
      <w:r>
        <w:tab/>
        <w:t>(1)</w:t>
      </w:r>
      <w:r>
        <w:tab/>
        <w:t>An affected person may apply to the</w:t>
      </w:r>
      <w:r>
        <w:rPr>
          <w:snapToGrid w:val="0"/>
        </w:rPr>
        <w:t xml:space="preserve"> State</w:t>
      </w:r>
      <w:r>
        <w:t xml:space="preserve"> </w:t>
      </w:r>
      <w:r>
        <w:rPr>
          <w:snapToGrid w:val="0"/>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rPr>
        <w:t>Administrative Tribunal</w:t>
      </w:r>
      <w:r>
        <w:t xml:space="preserve"> for a review of the decision on the objection.</w:t>
      </w:r>
    </w:p>
    <w:p>
      <w:pPr>
        <w:pStyle w:val="Subsection"/>
        <w:rPr>
          <w:i/>
          <w:szCs w:val="24"/>
        </w:rPr>
      </w:pPr>
      <w:r>
        <w:tab/>
        <w:t>(3)</w:t>
      </w:r>
      <w:r>
        <w:tab/>
        <w:t xml:space="preserve">The application is to be made within 42 days after the right to make it arose </w:t>
      </w:r>
      <w:r>
        <w:rPr>
          <w:i/>
          <w:szCs w:val="24"/>
        </w:rPr>
        <w:t>[i.e. —</w:t>
      </w:r>
    </w:p>
    <w:p>
      <w:pPr>
        <w:pStyle w:val="MiscellaneousBody"/>
        <w:ind w:left="896" w:hanging="392"/>
        <w:rPr>
          <w:i/>
        </w:rPr>
      </w:pPr>
      <w:r>
        <w:rPr>
          <w:i/>
        </w:rPr>
        <w:tab/>
        <w:t>within 42 days after the original decision, for an application under subsection (1)(a); or</w:t>
      </w:r>
    </w:p>
    <w:p>
      <w:pPr>
        <w:pStyle w:val="MiscellaneousBody"/>
        <w:ind w:left="896" w:hanging="392"/>
        <w:rPr>
          <w:i/>
        </w:rPr>
      </w:pPr>
      <w:r>
        <w:rPr>
          <w:i/>
        </w:rPr>
        <w:tab/>
        <w:t xml:space="preserve">more than 35 days, but within 77 days, after the objection was lodged, for an application under subsection (1)(b); or </w:t>
      </w:r>
    </w:p>
    <w:p>
      <w:pPr>
        <w:pStyle w:val="MiscellaneousBody"/>
        <w:ind w:left="896" w:hanging="392"/>
        <w:rPr>
          <w:i/>
        </w:rPr>
      </w:pPr>
      <w:r>
        <w:rPr>
          <w:i/>
        </w:rPr>
        <w:tab/>
        <w:t>within 42 days after the objection was decided, for an application under subsection (2)].</w:t>
      </w:r>
    </w:p>
    <w:p>
      <w:pPr>
        <w:pStyle w:val="Footnotesection"/>
      </w:pPr>
      <w:r>
        <w:tab/>
        <w:t>[Section 9.7 amended by No. 55 of 2004 s. 704.]</w:t>
      </w:r>
    </w:p>
    <w:p>
      <w:pPr>
        <w:pStyle w:val="Ednotesection"/>
      </w:pPr>
      <w:r>
        <w:t>[</w:t>
      </w:r>
      <w:r>
        <w:rPr>
          <w:b/>
        </w:rPr>
        <w:t>9.8.</w:t>
      </w:r>
      <w:r>
        <w:rPr>
          <w:b/>
        </w:rPr>
        <w:tab/>
      </w:r>
      <w:r>
        <w:t>Deleted by No. 55 of 2004 s. 705.]</w:t>
      </w:r>
    </w:p>
    <w:p>
      <w:pPr>
        <w:pStyle w:val="Heading5"/>
        <w:spacing w:before="180"/>
      </w:pPr>
      <w:bookmarkStart w:id="1254" w:name="_Toc462409706"/>
      <w:r>
        <w:rPr>
          <w:rStyle w:val="CharSectno"/>
        </w:rPr>
        <w:t>9.9</w:t>
      </w:r>
      <w:r>
        <w:t>.</w:t>
      </w:r>
      <w:r>
        <w:tab/>
        <w:t>Suspension of effect of decision</w:t>
      </w:r>
      <w:bookmarkEnd w:id="1254"/>
    </w:p>
    <w:p>
      <w:pPr>
        <w:pStyle w:val="Subsection"/>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keepNext/>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pPr>
      <w:r>
        <w:tab/>
        <w:t>(3)</w:t>
      </w:r>
      <w:r>
        <w:tab/>
        <w:t>As soon as a local government makes a decision under subsection (1)(b), it is to give the affected person notice in writing stating its reasons.</w:t>
      </w:r>
    </w:p>
    <w:p>
      <w:pPr>
        <w:pStyle w:val="Footnotesection"/>
      </w:pPr>
      <w:r>
        <w:tab/>
        <w:t>[Section 9.9 amended by No. 64 of 1998 s. 50; No. 55 of 2004 s. 706.]</w:t>
      </w:r>
    </w:p>
    <w:p>
      <w:pPr>
        <w:pStyle w:val="Heading3"/>
      </w:pPr>
      <w:bookmarkStart w:id="1255" w:name="_Toc448219422"/>
      <w:bookmarkStart w:id="1256" w:name="_Toc448224644"/>
      <w:bookmarkStart w:id="1257" w:name="_Toc451179881"/>
      <w:bookmarkStart w:id="1258" w:name="_Toc451430801"/>
      <w:bookmarkStart w:id="1259" w:name="_Toc455396751"/>
      <w:bookmarkStart w:id="1260" w:name="_Toc455397611"/>
      <w:bookmarkStart w:id="1261" w:name="_Toc456086694"/>
      <w:bookmarkStart w:id="1262" w:name="_Toc462409707"/>
      <w:r>
        <w:rPr>
          <w:rStyle w:val="CharDivNo"/>
        </w:rPr>
        <w:t>Division 2</w:t>
      </w:r>
      <w:r>
        <w:t> — </w:t>
      </w:r>
      <w:r>
        <w:rPr>
          <w:rStyle w:val="CharDivText"/>
        </w:rPr>
        <w:t>Enforcement and legal proceedings</w:t>
      </w:r>
      <w:bookmarkEnd w:id="1255"/>
      <w:bookmarkEnd w:id="1256"/>
      <w:bookmarkEnd w:id="1257"/>
      <w:bookmarkEnd w:id="1258"/>
      <w:bookmarkEnd w:id="1259"/>
      <w:bookmarkEnd w:id="1260"/>
      <w:bookmarkEnd w:id="1261"/>
      <w:bookmarkEnd w:id="1262"/>
    </w:p>
    <w:p>
      <w:pPr>
        <w:pStyle w:val="Heading4"/>
      </w:pPr>
      <w:bookmarkStart w:id="1263" w:name="_Toc448219423"/>
      <w:bookmarkStart w:id="1264" w:name="_Toc448224645"/>
      <w:bookmarkStart w:id="1265" w:name="_Toc451179882"/>
      <w:bookmarkStart w:id="1266" w:name="_Toc451430802"/>
      <w:bookmarkStart w:id="1267" w:name="_Toc455396752"/>
      <w:bookmarkStart w:id="1268" w:name="_Toc455397612"/>
      <w:bookmarkStart w:id="1269" w:name="_Toc456086695"/>
      <w:bookmarkStart w:id="1270" w:name="_Toc462409708"/>
      <w:r>
        <w:t>Subdivision 1 — Miscellaneous provisions about enforcement</w:t>
      </w:r>
      <w:bookmarkEnd w:id="1263"/>
      <w:bookmarkEnd w:id="1264"/>
      <w:bookmarkEnd w:id="1265"/>
      <w:bookmarkEnd w:id="1266"/>
      <w:bookmarkEnd w:id="1267"/>
      <w:bookmarkEnd w:id="1268"/>
      <w:bookmarkEnd w:id="1269"/>
      <w:bookmarkEnd w:id="1270"/>
    </w:p>
    <w:p>
      <w:pPr>
        <w:pStyle w:val="Heading5"/>
      </w:pPr>
      <w:bookmarkStart w:id="1271" w:name="_Toc462409709"/>
      <w:r>
        <w:rPr>
          <w:rStyle w:val="CharSectno"/>
        </w:rPr>
        <w:t>9.10</w:t>
      </w:r>
      <w:r>
        <w:t>.</w:t>
      </w:r>
      <w:r>
        <w:tab/>
        <w:t>Appointment of authorised persons</w:t>
      </w:r>
      <w:bookmarkEnd w:id="1271"/>
    </w:p>
    <w:p>
      <w:pPr>
        <w:pStyle w:val="Subsection"/>
      </w:pPr>
      <w:r>
        <w:tab/>
        <w:t>(1)</w:t>
      </w:r>
      <w:r>
        <w:tab/>
        <w:t>The local government may, in writing, appoint persons or classes of persons to be authorised for the purposes of performing particular functions.</w:t>
      </w:r>
    </w:p>
    <w:p>
      <w:pPr>
        <w:pStyle w:val="Subsection"/>
      </w:pPr>
      <w:r>
        <w:tab/>
        <w:t>(2)</w:t>
      </w:r>
      <w:r>
        <w:tab/>
        <w:t>The local government is to issue to each person so authorised a certificate stating that the person is so authorised, and the person is to produce the certificate whenever required to do so by a person who has been or is about to be affected by any exercise of authority by the authorised person.</w:t>
      </w:r>
    </w:p>
    <w:p>
      <w:pPr>
        <w:pStyle w:val="Heading5"/>
      </w:pPr>
      <w:bookmarkStart w:id="1272" w:name="_Toc462409710"/>
      <w:r>
        <w:rPr>
          <w:rStyle w:val="CharSectno"/>
        </w:rPr>
        <w:t>9.11</w:t>
      </w:r>
      <w:r>
        <w:t>.</w:t>
      </w:r>
      <w:r>
        <w:tab/>
        <w:t>Persons found committing breach of Act to give name on demand</w:t>
      </w:r>
      <w:bookmarkEnd w:id="1272"/>
    </w:p>
    <w:p>
      <w:pPr>
        <w:pStyle w:val="Subsection"/>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 and</w:t>
      </w:r>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Subsection"/>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ind w:left="890" w:hanging="890"/>
      </w:pPr>
      <w:r>
        <w:tab/>
        <w:t>[Section 9.11 amended by No. 49 of 2004 s. 65.]</w:t>
      </w:r>
    </w:p>
    <w:p>
      <w:pPr>
        <w:pStyle w:val="Heading5"/>
      </w:pPr>
      <w:bookmarkStart w:id="1273" w:name="_Toc462409711"/>
      <w:r>
        <w:rPr>
          <w:rStyle w:val="CharSectno"/>
        </w:rPr>
        <w:t>9.12</w:t>
      </w:r>
      <w:r>
        <w:t>.</w:t>
      </w:r>
      <w:r>
        <w:tab/>
        <w:t>Obstructing person acting under written law, offence</w:t>
      </w:r>
      <w:bookmarkEnd w:id="1273"/>
    </w:p>
    <w:p>
      <w:pPr>
        <w:pStyle w:val="Subsection"/>
      </w:pPr>
      <w:r>
        <w:tab/>
        <w:t>(1)</w:t>
      </w:r>
      <w:r>
        <w:tab/>
        <w:t>A person who obstructs anything that a local government, or a person acting on behalf of a local government, is trying to do under this Act or any other written law commits an offence.</w:t>
      </w:r>
    </w:p>
    <w:p>
      <w:pPr>
        <w:pStyle w:val="Subsection"/>
      </w:pPr>
      <w:r>
        <w:tab/>
        <w:t>(2)</w:t>
      </w:r>
      <w:r>
        <w:tab/>
        <w:t>A person who, without committing an offence against subsection (1), obstructs anything that a person is trying to do under this Act commits an offence against this subsection.</w:t>
      </w:r>
    </w:p>
    <w:p>
      <w:pPr>
        <w:pStyle w:val="Heading5"/>
      </w:pPr>
      <w:bookmarkStart w:id="1274" w:name="_Toc462409712"/>
      <w:r>
        <w:rPr>
          <w:rStyle w:val="CharSectno"/>
        </w:rPr>
        <w:t>9.13</w:t>
      </w:r>
      <w:r>
        <w:t>.</w:t>
      </w:r>
      <w:r>
        <w:tab/>
        <w:t>Onus of proof in vehicle offences may be shifted</w:t>
      </w:r>
      <w:bookmarkEnd w:id="1274"/>
    </w:p>
    <w:p>
      <w:pPr>
        <w:pStyle w:val="Subsection"/>
      </w:pPr>
      <w:r>
        <w:tab/>
        <w:t>(1)</w:t>
      </w:r>
      <w:r>
        <w:tab/>
        <w:t>In this section — </w:t>
      </w:r>
    </w:p>
    <w:p>
      <w:pPr>
        <w:pStyle w:val="Defstart"/>
      </w:pPr>
      <w:r>
        <w:rPr>
          <w:b/>
        </w:rPr>
        <w:tab/>
      </w:r>
      <w:r>
        <w:rPr>
          <w:rStyle w:val="CharDefText"/>
        </w:rPr>
        <w:t>authorised person</w:t>
      </w:r>
      <w:r>
        <w:t xml:space="preserve"> means a person appointed by the local government to be an authorised person for the purposes of this section;</w:t>
      </w:r>
    </w:p>
    <w:p>
      <w:pPr>
        <w:pStyle w:val="Defstart"/>
        <w:rPr>
          <w:spacing w:val="-2"/>
        </w:rPr>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its possession;</w:t>
      </w:r>
    </w:p>
    <w:p>
      <w:pPr>
        <w:pStyle w:val="Defstart"/>
      </w:pPr>
      <w:r>
        <w:rPr>
          <w:b/>
        </w:rPr>
        <w:tab/>
      </w:r>
      <w:r>
        <w:rPr>
          <w:rStyle w:val="CharDefText"/>
        </w:rPr>
        <w:t>prescribed</w:t>
      </w:r>
      <w:r>
        <w:t xml:space="preserve"> means prescribed by a local law or, if the alleged offence is under a regulation, prescribed by regulations or by a local law;</w:t>
      </w:r>
    </w:p>
    <w:p>
      <w:pPr>
        <w:pStyle w:val="Defstart"/>
      </w:pPr>
      <w:r>
        <w:rPr>
          <w:b/>
        </w:rPr>
        <w:tab/>
      </w:r>
      <w:r>
        <w:rPr>
          <w:rStyle w:val="CharDefText"/>
        </w:rPr>
        <w:t>vehicle offence</w:t>
      </w:r>
      <w:r>
        <w:t xml:space="preserve"> means an offence against this Act of which the use, driving, parking, standing or leaving of a vehicle is an element.</w:t>
      </w:r>
    </w:p>
    <w:p>
      <w:pPr>
        <w:pStyle w:val="Subsection"/>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spacing w:before="120"/>
      </w:pPr>
      <w:r>
        <w:tab/>
        <w:t>(5)</w:t>
      </w:r>
      <w:r>
        <w:tab/>
        <w:t>The notice is to include a short statement of the effect of subsection (6).</w:t>
      </w:r>
    </w:p>
    <w:p>
      <w:pPr>
        <w:pStyle w:val="Subsection"/>
        <w:spacing w:before="120"/>
      </w:pPr>
      <w:r>
        <w:tab/>
        <w:t>(6)</w:t>
      </w:r>
      <w:r>
        <w:tab/>
        <w:t>Unless, within 28 days after being served with the notice, the owner of the vehicle — </w:t>
      </w:r>
    </w:p>
    <w:p>
      <w:pPr>
        <w:pStyle w:val="Indenta"/>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spacing w:before="120"/>
      </w:pPr>
      <w:r>
        <w:tab/>
      </w:r>
      <w:r>
        <w:tab/>
        <w:t>the owner is, in the absence of proof to the contrary, deemed to have committed the offence.</w:t>
      </w:r>
    </w:p>
    <w:p>
      <w:pPr>
        <w:pStyle w:val="Footnotesection"/>
      </w:pPr>
      <w:r>
        <w:tab/>
        <w:t>[Section 9.13 amended by No. 8 of 2012 s. 123.]</w:t>
      </w:r>
    </w:p>
    <w:p>
      <w:pPr>
        <w:pStyle w:val="Heading5"/>
        <w:spacing w:before="180"/>
      </w:pPr>
      <w:bookmarkStart w:id="1275" w:name="_Toc462409713"/>
      <w:r>
        <w:rPr>
          <w:rStyle w:val="CharSectno"/>
        </w:rPr>
        <w:t>9.13A</w:t>
      </w:r>
      <w:r>
        <w:t>.</w:t>
      </w:r>
      <w:r>
        <w:tab/>
        <w:t>Notice to prevent continuing contravention</w:t>
      </w:r>
      <w:bookmarkEnd w:id="1275"/>
    </w:p>
    <w:p>
      <w:pPr>
        <w:pStyle w:val="Subsection"/>
        <w:spacing w:before="120"/>
      </w:pPr>
      <w:r>
        <w:tab/>
        <w:t>(1)</w:t>
      </w:r>
      <w:r>
        <w:tab/>
        <w:t>If the Minister considers that a local government, a member of a council, a CEO, an employee or an authorised person is contravening a provision of this Act contravention of which is not an offence, the Minister may give the person a notice directing the person to cease contravening that provision.</w:t>
      </w:r>
    </w:p>
    <w:p>
      <w:pPr>
        <w:pStyle w:val="Subsection"/>
        <w:spacing w:before="120"/>
      </w:pPr>
      <w:r>
        <w:tab/>
        <w:t>(2)</w:t>
      </w:r>
      <w:r>
        <w:tab/>
        <w:t>A person who continues to contravene a provision of this Act after being given a notice under subsection (1) in relation to that contravention commits an offence.</w:t>
      </w:r>
    </w:p>
    <w:p>
      <w:pPr>
        <w:pStyle w:val="Footnotesection"/>
        <w:spacing w:before="80"/>
        <w:ind w:left="890" w:hanging="890"/>
      </w:pPr>
      <w:r>
        <w:tab/>
        <w:t>[Section 9.13A inserted by No. 64 of 1998 s. 51.]</w:t>
      </w:r>
    </w:p>
    <w:p>
      <w:pPr>
        <w:pStyle w:val="Heading5"/>
      </w:pPr>
      <w:bookmarkStart w:id="1276" w:name="_Toc462409714"/>
      <w:r>
        <w:rPr>
          <w:rStyle w:val="CharSectno"/>
        </w:rPr>
        <w:t>9.14</w:t>
      </w:r>
      <w:r>
        <w:t>.</w:t>
      </w:r>
      <w:r>
        <w:tab/>
        <w:t>Penalty for offence when not otherwise specified</w:t>
      </w:r>
      <w:bookmarkEnd w:id="1276"/>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$5 000; and</w:t>
      </w:r>
    </w:p>
    <w:p>
      <w:pPr>
        <w:pStyle w:val="Indenta"/>
        <w:spacing w:before="120"/>
      </w:pPr>
      <w:r>
        <w:tab/>
        <w:t>(b)</w:t>
      </w:r>
      <w:r>
        <w:tab/>
        <w:t>if the offence is of a continuing nature, a further fine of $500 in respect of each day or part of a day during which the offence has continued.</w:t>
      </w:r>
    </w:p>
    <w:p>
      <w:pPr>
        <w:pStyle w:val="Heading4"/>
        <w:spacing w:before="180"/>
      </w:pPr>
      <w:bookmarkStart w:id="1277" w:name="_Toc448219430"/>
      <w:bookmarkStart w:id="1278" w:name="_Toc448224652"/>
      <w:bookmarkStart w:id="1279" w:name="_Toc451179889"/>
      <w:bookmarkStart w:id="1280" w:name="_Toc451430809"/>
      <w:bookmarkStart w:id="1281" w:name="_Toc455396759"/>
      <w:bookmarkStart w:id="1282" w:name="_Toc455397619"/>
      <w:bookmarkStart w:id="1283" w:name="_Toc456086702"/>
      <w:bookmarkStart w:id="1284" w:name="_Toc462409715"/>
      <w:r>
        <w:t>Subdivision 2 — Infringement notices</w:t>
      </w:r>
      <w:bookmarkEnd w:id="1277"/>
      <w:bookmarkEnd w:id="1278"/>
      <w:bookmarkEnd w:id="1279"/>
      <w:bookmarkEnd w:id="1280"/>
      <w:bookmarkEnd w:id="1281"/>
      <w:bookmarkEnd w:id="1282"/>
      <w:bookmarkEnd w:id="1283"/>
      <w:bookmarkEnd w:id="1284"/>
    </w:p>
    <w:p>
      <w:pPr>
        <w:pStyle w:val="Heading5"/>
        <w:spacing w:before="180"/>
      </w:pPr>
      <w:bookmarkStart w:id="1285" w:name="_Toc462409716"/>
      <w:r>
        <w:rPr>
          <w:rStyle w:val="CharSectno"/>
        </w:rPr>
        <w:t>9.15</w:t>
      </w:r>
      <w:r>
        <w:t>.</w:t>
      </w:r>
      <w:r>
        <w:tab/>
        <w:t>Terms used</w:t>
      </w:r>
      <w:bookmarkEnd w:id="1285"/>
    </w:p>
    <w:p>
      <w:pPr>
        <w:pStyle w:val="Subsection"/>
      </w:pPr>
      <w:r>
        <w:tab/>
      </w:r>
      <w:r>
        <w:tab/>
        <w:t>In this Subdivision — </w:t>
      </w:r>
    </w:p>
    <w:p>
      <w:pPr>
        <w:pStyle w:val="Defstart"/>
        <w:spacing w:before="120"/>
      </w:pPr>
      <w:r>
        <w:tab/>
      </w:r>
      <w:r>
        <w:rPr>
          <w:rStyle w:val="CharDefText"/>
        </w:rPr>
        <w:t>authorised person</w:t>
      </w:r>
      <w:r>
        <w:t xml:space="preserve"> in section 9.16, 9.17, 9.19 or 9.20 means a person appointed under section 9.10(1) by the local government to be an authorised person for the purposes of the section in which the term is used;</w:t>
      </w:r>
    </w:p>
    <w:p>
      <w:pPr>
        <w:pStyle w:val="Defstart"/>
        <w:spacing w:before="120"/>
      </w:pPr>
      <w:r>
        <w:rPr>
          <w:b/>
        </w:rPr>
        <w:tab/>
      </w:r>
      <w:r>
        <w:rPr>
          <w:rStyle w:val="CharDefText"/>
        </w:rPr>
        <w:t>local government</w:t>
      </w:r>
      <w:r>
        <w:t xml:space="preserve"> means the local government that could, or an employee of which could, prosecute for the offence concerned;</w:t>
      </w:r>
    </w:p>
    <w:p>
      <w:pPr>
        <w:pStyle w:val="Defstart"/>
        <w:spacing w:before="120"/>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its possession;</w:t>
      </w:r>
    </w:p>
    <w:p>
      <w:pPr>
        <w:pStyle w:val="Defstart"/>
        <w:spacing w:before="120"/>
      </w:pPr>
      <w:r>
        <w:rPr>
          <w:b/>
        </w:rPr>
        <w:tab/>
      </w:r>
      <w:r>
        <w:rPr>
          <w:rStyle w:val="CharDefText"/>
        </w:rPr>
        <w:t>prescribed</w:t>
      </w:r>
      <w:r>
        <w:t xml:space="preserve"> means prescribed by a local law or, if the alleged offence is against a regulation, prescribed by regulations or by a local law.</w:t>
      </w:r>
    </w:p>
    <w:p>
      <w:pPr>
        <w:pStyle w:val="Footnotesection"/>
      </w:pPr>
      <w:r>
        <w:tab/>
        <w:t>[Section 9.15 amended by No. 8 of 2012 s. 124.]</w:t>
      </w:r>
    </w:p>
    <w:p>
      <w:pPr>
        <w:pStyle w:val="Heading5"/>
        <w:keepNext w:val="0"/>
        <w:keepLines w:val="0"/>
        <w:spacing w:before="180"/>
      </w:pPr>
      <w:bookmarkStart w:id="1286" w:name="_Toc462409717"/>
      <w:r>
        <w:rPr>
          <w:rStyle w:val="CharSectno"/>
        </w:rPr>
        <w:t>9.16</w:t>
      </w:r>
      <w:r>
        <w:t>.</w:t>
      </w:r>
      <w:r>
        <w:tab/>
        <w:t>Notice, giving of to alleged offender</w:t>
      </w:r>
      <w:bookmarkEnd w:id="1286"/>
    </w:p>
    <w:p>
      <w:pPr>
        <w:pStyle w:val="Subsection"/>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(2A)</w:t>
      </w:r>
      <w:r>
        <w:tab/>
        <w:t>If a person who is given a notice under section 9.13 about an alleged offence involving a vehicle gives information in accordance with section 9.13(6) about another person who was the driver or person in charge of the vehicle at the time of the alleged offence, the period of 28 days for giving that other person an infringement notice runs from the time the information was given.</w:t>
      </w:r>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Subsection"/>
      </w:pPr>
      <w:r>
        <w:tab/>
        <w:t>(3)</w:t>
      </w:r>
      <w:r>
        <w:tab/>
        <w:t xml:space="preserve">An infringement notice given before the commencement of the </w:t>
      </w:r>
      <w:r>
        <w:rPr>
          <w:i/>
          <w:snapToGrid w:val="0"/>
        </w:rPr>
        <w:t>Local Government Amendment Act 2009</w:t>
      </w:r>
      <w:r>
        <w:t xml:space="preserve"> section 42(1) and purporting to be under this section is to be taken to have been as valid as if the amendment made by that subsection had been made before the notice was given.</w:t>
      </w:r>
    </w:p>
    <w:p>
      <w:pPr>
        <w:pStyle w:val="Footnotesection"/>
      </w:pPr>
      <w:r>
        <w:tab/>
        <w:t>[Section 9.16 amended by No. 17 of 2009 s. 42.]</w:t>
      </w:r>
    </w:p>
    <w:p>
      <w:pPr>
        <w:pStyle w:val="Heading5"/>
      </w:pPr>
      <w:bookmarkStart w:id="1287" w:name="_Toc462409718"/>
      <w:r>
        <w:rPr>
          <w:rStyle w:val="CharSectno"/>
        </w:rPr>
        <w:t>9.17</w:t>
      </w:r>
      <w:r>
        <w:t>.</w:t>
      </w:r>
      <w:r>
        <w:tab/>
        <w:t>Notice, content of</w:t>
      </w:r>
      <w:bookmarkEnd w:id="1287"/>
    </w:p>
    <w:p>
      <w:pPr>
        <w:pStyle w:val="Subsection"/>
      </w:pPr>
      <w:r>
        <w:tab/>
        <w:t>(1)</w:t>
      </w:r>
      <w:r>
        <w:tab/>
        <w:t>An infringement notice is to be in the prescribed form and is to —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Unless otherwise prescribed by regulation, the modified penalty that a local law may prescribe for an offence is not to exceed 10% of the maximum fine that could be imposed for that offence by a court.</w:t>
      </w:r>
    </w:p>
    <w:p>
      <w:pPr>
        <w:pStyle w:val="Footnotesection"/>
      </w:pPr>
      <w:r>
        <w:tab/>
        <w:t>[Section 9.17 amended by No. 1 of 1998 s. 24; No. 84 of 2004 s. 80.]</w:t>
      </w:r>
    </w:p>
    <w:p>
      <w:pPr>
        <w:pStyle w:val="Heading5"/>
      </w:pPr>
      <w:bookmarkStart w:id="1288" w:name="_Toc462409719"/>
      <w:r>
        <w:rPr>
          <w:rStyle w:val="CharSectno"/>
        </w:rPr>
        <w:t>9.18</w:t>
      </w:r>
      <w:r>
        <w:t>.</w:t>
      </w:r>
      <w:r>
        <w:tab/>
        <w:t>Notice placing onus on vehicle owner</w:t>
      </w:r>
      <w:bookmarkEnd w:id="1288"/>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pPr>
      <w:r>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1289" w:name="_Toc462409720"/>
      <w:r>
        <w:rPr>
          <w:rStyle w:val="CharSectno"/>
        </w:rPr>
        <w:t>9.19</w:t>
      </w:r>
      <w:r>
        <w:t>.</w:t>
      </w:r>
      <w:r>
        <w:tab/>
        <w:t>Extension of time</w:t>
      </w:r>
      <w:bookmarkEnd w:id="1289"/>
    </w:p>
    <w:p>
      <w:pPr>
        <w:pStyle w:val="Subsection"/>
        <w:spacing w:before="120"/>
      </w:pPr>
      <w:r>
        <w:tab/>
      </w:r>
      <w:r>
        <w:tab/>
        <w:t>An authorised person may, in a particular case, extend the period of 28 days within which the modified penalty may be paid and the extension may be allowed whether or not the period of 28 days has elapsed.</w:t>
      </w:r>
    </w:p>
    <w:p>
      <w:pPr>
        <w:pStyle w:val="Heading5"/>
        <w:spacing w:before="180"/>
      </w:pPr>
      <w:bookmarkStart w:id="1290" w:name="_Toc462409721"/>
      <w:r>
        <w:rPr>
          <w:rStyle w:val="CharSectno"/>
        </w:rPr>
        <w:t>9.20</w:t>
      </w:r>
      <w:r>
        <w:t>.</w:t>
      </w:r>
      <w:r>
        <w:tab/>
        <w:t>Withdrawal of notice</w:t>
      </w:r>
      <w:bookmarkEnd w:id="1290"/>
    </w:p>
    <w:p>
      <w:pPr>
        <w:pStyle w:val="Subsection"/>
      </w:pPr>
      <w:r>
        <w:tab/>
        <w:t>(1)</w:t>
      </w:r>
      <w:r>
        <w:tab/>
        <w:t>Within one year after the notice was given 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Where an infringement notice is withdrawn after the modified penalty has been paid, the amount is to be refunded.</w:t>
      </w:r>
    </w:p>
    <w:p>
      <w:pPr>
        <w:pStyle w:val="Heading5"/>
        <w:keepNext w:val="0"/>
        <w:spacing w:before="180"/>
      </w:pPr>
      <w:bookmarkStart w:id="1291" w:name="_Toc462409722"/>
      <w:r>
        <w:rPr>
          <w:rStyle w:val="CharSectno"/>
        </w:rPr>
        <w:t>9.21</w:t>
      </w:r>
      <w:r>
        <w:t>.</w:t>
      </w:r>
      <w:r>
        <w:tab/>
        <w:t>Benefit of paying modified penalty</w:t>
      </w:r>
      <w:bookmarkEnd w:id="1291"/>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keepNext w:val="0"/>
        <w:spacing w:before="180"/>
      </w:pPr>
      <w:bookmarkStart w:id="1292" w:name="_Toc462409723"/>
      <w:r>
        <w:rPr>
          <w:rStyle w:val="CharSectno"/>
        </w:rPr>
        <w:t>9.22</w:t>
      </w:r>
      <w:r>
        <w:t>.</w:t>
      </w:r>
      <w:r>
        <w:tab/>
        <w:t>Application of penalties collected</w:t>
      </w:r>
      <w:bookmarkEnd w:id="1292"/>
    </w:p>
    <w:p>
      <w:pPr>
        <w:pStyle w:val="Subsection"/>
        <w:spacing w:before="120"/>
      </w:pPr>
      <w:r>
        <w:tab/>
      </w:r>
      <w:r>
        <w:tab/>
        <w:t>An amount paid as a modified penalty is, subject to section 9.20(2), to be dealt with as if it were a fine imposed by a court as a penalty for an offence.</w:t>
      </w:r>
    </w:p>
    <w:p>
      <w:pPr>
        <w:pStyle w:val="Heading5"/>
      </w:pPr>
      <w:bookmarkStart w:id="1293" w:name="_Toc462409724"/>
      <w:r>
        <w:rPr>
          <w:rStyle w:val="CharSectno"/>
        </w:rPr>
        <w:t>9.23</w:t>
      </w:r>
      <w:r>
        <w:t>.</w:t>
      </w:r>
      <w:r>
        <w:tab/>
        <w:t>Restriction on appointment of authorised persons</w:t>
      </w:r>
      <w:bookmarkEnd w:id="1293"/>
    </w:p>
    <w:p>
      <w:pPr>
        <w:pStyle w:val="Subsection"/>
      </w:pPr>
      <w:r>
        <w:tab/>
      </w:r>
      <w:r>
        <w:tab/>
        <w:t>A person who is authorised to give infringement notices under section 9.16 is not eligible to be an authorised person for the purposes of section 9.17, 9.19 or 9.20.</w:t>
      </w:r>
    </w:p>
    <w:p>
      <w:pPr>
        <w:pStyle w:val="Heading4"/>
      </w:pPr>
      <w:bookmarkStart w:id="1294" w:name="_Toc448219440"/>
      <w:bookmarkStart w:id="1295" w:name="_Toc448224662"/>
      <w:bookmarkStart w:id="1296" w:name="_Toc451179899"/>
      <w:bookmarkStart w:id="1297" w:name="_Toc451430819"/>
      <w:bookmarkStart w:id="1298" w:name="_Toc455396769"/>
      <w:bookmarkStart w:id="1299" w:name="_Toc455397629"/>
      <w:bookmarkStart w:id="1300" w:name="_Toc456086712"/>
      <w:bookmarkStart w:id="1301" w:name="_Toc462409725"/>
      <w:r>
        <w:t>Subdivision 3 — General provisions about legal proceedings</w:t>
      </w:r>
      <w:bookmarkEnd w:id="1294"/>
      <w:bookmarkEnd w:id="1295"/>
      <w:bookmarkEnd w:id="1296"/>
      <w:bookmarkEnd w:id="1297"/>
      <w:bookmarkEnd w:id="1298"/>
      <w:bookmarkEnd w:id="1299"/>
      <w:bookmarkEnd w:id="1300"/>
      <w:bookmarkEnd w:id="1301"/>
    </w:p>
    <w:p>
      <w:pPr>
        <w:pStyle w:val="Heading5"/>
      </w:pPr>
      <w:bookmarkStart w:id="1302" w:name="_Toc462409726"/>
      <w:r>
        <w:rPr>
          <w:rStyle w:val="CharSectno"/>
        </w:rPr>
        <w:t>9.24</w:t>
      </w:r>
      <w:r>
        <w:t>.</w:t>
      </w:r>
      <w:r>
        <w:tab/>
        <w:t>Prosecutions, commencing</w:t>
      </w:r>
      <w:bookmarkEnd w:id="1302"/>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 or</w:t>
      </w:r>
    </w:p>
    <w:p>
      <w:pPr>
        <w:pStyle w:val="Indenta"/>
      </w:pPr>
      <w:r>
        <w:tab/>
        <w:t>(b)</w:t>
      </w:r>
      <w:r>
        <w:tab/>
        <w:t>a person who is acting in the course of his or her duties as an employee of a local government or a regional local government; or</w:t>
      </w:r>
    </w:p>
    <w:p>
      <w:pPr>
        <w:pStyle w:val="Indenta"/>
      </w:pPr>
      <w:r>
        <w:tab/>
        <w:t>(c)</w:t>
      </w:r>
      <w:r>
        <w:tab/>
        <w:t>a person who is authorised to do so by a local government or a regional local government.</w:t>
      </w:r>
    </w:p>
    <w:p>
      <w:pPr>
        <w:pStyle w:val="Subsection"/>
      </w:pPr>
      <w:r>
        <w:tab/>
        <w:t>(2)</w:t>
      </w:r>
      <w:r>
        <w:tab/>
        <w:t>A prosecution for an offence against a local law may be commenced by —</w:t>
      </w:r>
    </w:p>
    <w:p>
      <w:pPr>
        <w:pStyle w:val="Indenta"/>
      </w:pPr>
      <w:r>
        <w:tab/>
        <w:t>(a)</w:t>
      </w:r>
      <w:r>
        <w:tab/>
        <w:t>a person who is acting in the course of his or her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by No. 84 of 2004 s. 54.]</w:t>
      </w:r>
    </w:p>
    <w:p>
      <w:pPr>
        <w:pStyle w:val="Heading5"/>
      </w:pPr>
      <w:bookmarkStart w:id="1303" w:name="_Toc462409727"/>
      <w:r>
        <w:rPr>
          <w:rStyle w:val="CharSectno"/>
        </w:rPr>
        <w:t>9.25</w:t>
      </w:r>
      <w:r>
        <w:t>.</w:t>
      </w:r>
      <w:r>
        <w:tab/>
        <w:t>Prosecutions, time limit for</w:t>
      </w:r>
      <w:bookmarkEnd w:id="1303"/>
    </w:p>
    <w:p>
      <w:pPr>
        <w:pStyle w:val="Subsection"/>
      </w:pPr>
      <w:r>
        <w:tab/>
        <w:t>(1)</w:t>
      </w:r>
      <w:r>
        <w:tab/>
        <w:t>Proceedings for an offence against section 4.85, 4.86, 4.91(1), 5.65, 5.67, 5.69(4), 5.69A(4), 5.70, 5.71, 5.75, 5.76, 5.78, 5.89B, 5.89 or 5.93 may be commenced at any time.</w:t>
      </w:r>
    </w:p>
    <w:p>
      <w:pPr>
        <w:pStyle w:val="Subsection"/>
      </w:pPr>
      <w:r>
        <w:tab/>
        <w:t>(2)</w:t>
      </w:r>
      <w:r>
        <w:tab/>
        <w:t>Proceedings for any other offence against this Act may be commenced within 2 years after the offence was committed, but not later.</w:t>
      </w:r>
    </w:p>
    <w:p>
      <w:pPr>
        <w:pStyle w:val="Footnotesection"/>
      </w:pPr>
      <w:r>
        <w:tab/>
        <w:t>[Section 9.25 amended by No. 64 of 1998 s. 34(2); No. 2 of 2016 s. 39.]</w:t>
      </w:r>
    </w:p>
    <w:p>
      <w:pPr>
        <w:pStyle w:val="Heading5"/>
        <w:spacing w:before="260"/>
      </w:pPr>
      <w:bookmarkStart w:id="1304" w:name="_Toc462409728"/>
      <w:r>
        <w:rPr>
          <w:rStyle w:val="CharSectno"/>
        </w:rPr>
        <w:t>9.26</w:t>
      </w:r>
      <w:r>
        <w:t>.</w:t>
      </w:r>
      <w:r>
        <w:tab/>
        <w:t>Prosecuting accused whose name unknown</w:t>
      </w:r>
      <w:bookmarkEnd w:id="1304"/>
    </w:p>
    <w:p>
      <w:pPr>
        <w:pStyle w:val="Subsection"/>
        <w:spacing w:before="200"/>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by No. 84 of 2004 s. 80.]</w:t>
      </w:r>
    </w:p>
    <w:p>
      <w:pPr>
        <w:pStyle w:val="Heading5"/>
        <w:spacing w:before="260"/>
      </w:pPr>
      <w:bookmarkStart w:id="1305" w:name="_Toc462409729"/>
      <w:r>
        <w:rPr>
          <w:rStyle w:val="CharSectno"/>
        </w:rPr>
        <w:t>9.27</w:t>
      </w:r>
      <w:r>
        <w:t>.</w:t>
      </w:r>
      <w:r>
        <w:tab/>
        <w:t>Civil remedy not affected by proceedings for offence</w:t>
      </w:r>
      <w:bookmarkEnd w:id="1305"/>
    </w:p>
    <w:p>
      <w:pPr>
        <w:pStyle w:val="Subsection"/>
        <w:spacing w:before="200"/>
      </w:pPr>
      <w:r>
        <w:tab/>
      </w:r>
      <w:r>
        <w:tab/>
        <w:t>The liability of a person in civil proceedings is not affected by the commencement of proceedings against the person for an offence or the conviction of the person in proceedings for an offence.</w:t>
      </w:r>
    </w:p>
    <w:p>
      <w:pPr>
        <w:pStyle w:val="Heading5"/>
        <w:spacing w:before="260"/>
      </w:pPr>
      <w:bookmarkStart w:id="1306" w:name="_Toc462409730"/>
      <w:r>
        <w:rPr>
          <w:rStyle w:val="CharSectno"/>
        </w:rPr>
        <w:t>9.28</w:t>
      </w:r>
      <w:r>
        <w:t>.</w:t>
      </w:r>
      <w:r>
        <w:tab/>
        <w:t>Interests of public</w:t>
      </w:r>
      <w:bookmarkEnd w:id="1306"/>
    </w:p>
    <w:p>
      <w:pPr>
        <w:pStyle w:val="Subsection"/>
        <w:spacing w:before="200"/>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spacing w:before="200"/>
      </w:pPr>
      <w:r>
        <w:tab/>
        <w:t>(2)</w:t>
      </w:r>
      <w:r>
        <w:tab/>
        <w:t>In subsection (1) — </w:t>
      </w:r>
    </w:p>
    <w:p>
      <w:pPr>
        <w:pStyle w:val="Defstart"/>
        <w:spacing w:before="120"/>
      </w:pPr>
      <w:r>
        <w:tab/>
      </w:r>
      <w:r>
        <w:rPr>
          <w:rStyle w:val="CharDefText"/>
        </w:rPr>
        <w:t>statutory provision administered by the local government</w:t>
      </w:r>
      <w:r>
        <w:t xml:space="preserve"> means a provision of — </w:t>
      </w:r>
    </w:p>
    <w:p>
      <w:pPr>
        <w:pStyle w:val="Defpara"/>
        <w:spacing w:before="120"/>
      </w:pPr>
      <w:r>
        <w:tab/>
        <w:t>(a)</w:t>
      </w:r>
      <w:r>
        <w:tab/>
        <w:t>this Act; or</w:t>
      </w:r>
    </w:p>
    <w:p>
      <w:pPr>
        <w:pStyle w:val="Defpara"/>
        <w:spacing w:before="120"/>
      </w:pPr>
      <w:r>
        <w:tab/>
        <w:t>(b)</w:t>
      </w:r>
      <w:r>
        <w:tab/>
        <w:t>another Act conferring any function on the local government.</w:t>
      </w:r>
    </w:p>
    <w:p>
      <w:pPr>
        <w:pStyle w:val="Heading5"/>
      </w:pPr>
      <w:bookmarkStart w:id="1307" w:name="_Toc462409731"/>
      <w:r>
        <w:rPr>
          <w:rStyle w:val="CharSectno"/>
        </w:rPr>
        <w:t>9.29</w:t>
      </w:r>
      <w:r>
        <w:t>.</w:t>
      </w:r>
      <w:r>
        <w:tab/>
        <w:t>Representing local government in court</w:t>
      </w:r>
      <w:bookmarkEnd w:id="1307"/>
    </w:p>
    <w:p>
      <w:pPr>
        <w:pStyle w:val="Subsection"/>
        <w:keepNext/>
        <w:keepLines/>
      </w:pPr>
      <w:r>
        <w:tab/>
        <w:t>(1)</w:t>
      </w:r>
      <w:r>
        <w:tab/>
        <w:t>In this section — </w:t>
      </w:r>
    </w:p>
    <w:p>
      <w:pPr>
        <w:pStyle w:val="Defstart"/>
        <w:keepNext/>
        <w:keepLines/>
      </w:pPr>
      <w:r>
        <w:tab/>
      </w:r>
      <w:r>
        <w:rPr>
          <w:rStyle w:val="CharDefText"/>
        </w:rPr>
        <w:t>proceedings</w:t>
      </w:r>
      <w:r>
        <w:t xml:space="preserve"> means — </w:t>
      </w:r>
    </w:p>
    <w:p>
      <w:pPr>
        <w:pStyle w:val="Defpara"/>
      </w:pPr>
      <w:r>
        <w:tab/>
        <w:t>(a)</w:t>
      </w:r>
      <w:r>
        <w:tab/>
        <w:t xml:space="preserve">proceedings in the </w:t>
      </w:r>
      <w:smartTag w:uri="urn:schemas-microsoft-com:office:smarttags" w:element="Street">
        <w:smartTag w:uri="urn:schemas-microsoft-com:office:smarttags" w:element="address">
          <w:r>
            <w:t>Magistrates Court</w:t>
          </w:r>
        </w:smartTag>
      </w:smartTag>
      <w:r>
        <w: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by No. 55 of 2004 s. 707; No. 59 of 2004 s. 141.]</w:t>
      </w:r>
    </w:p>
    <w:p>
      <w:pPr>
        <w:pStyle w:val="Heading4"/>
      </w:pPr>
      <w:bookmarkStart w:id="1308" w:name="_Toc448219447"/>
      <w:bookmarkStart w:id="1309" w:name="_Toc448224669"/>
      <w:bookmarkStart w:id="1310" w:name="_Toc451179906"/>
      <w:bookmarkStart w:id="1311" w:name="_Toc451430826"/>
      <w:bookmarkStart w:id="1312" w:name="_Toc455396776"/>
      <w:bookmarkStart w:id="1313" w:name="_Toc455397636"/>
      <w:bookmarkStart w:id="1314" w:name="_Toc456086719"/>
      <w:bookmarkStart w:id="1315" w:name="_Toc462409732"/>
      <w:r>
        <w:t>Subdivision 4 — Evidence in legal proceedings</w:t>
      </w:r>
      <w:bookmarkEnd w:id="1308"/>
      <w:bookmarkEnd w:id="1309"/>
      <w:bookmarkEnd w:id="1310"/>
      <w:bookmarkEnd w:id="1311"/>
      <w:bookmarkEnd w:id="1312"/>
      <w:bookmarkEnd w:id="1313"/>
      <w:bookmarkEnd w:id="1314"/>
      <w:bookmarkEnd w:id="1315"/>
    </w:p>
    <w:p>
      <w:pPr>
        <w:pStyle w:val="Heading5"/>
      </w:pPr>
      <w:bookmarkStart w:id="1316" w:name="_Toc462409733"/>
      <w:r>
        <w:rPr>
          <w:rStyle w:val="CharSectno"/>
        </w:rPr>
        <w:t>9.30</w:t>
      </w:r>
      <w:r>
        <w:t>.</w:t>
      </w:r>
      <w:r>
        <w:tab/>
        <w:t>When this Subdivision applies</w:t>
      </w:r>
      <w:bookmarkEnd w:id="1316"/>
    </w:p>
    <w:p>
      <w:pPr>
        <w:pStyle w:val="Subsection"/>
      </w:pPr>
      <w:r>
        <w:tab/>
      </w:r>
      <w:r>
        <w:tab/>
        <w:t>This Subdivision applies in relation to any legal proceedings unless a provision is expressed to apply in relation to particular proceedings.</w:t>
      </w:r>
    </w:p>
    <w:p>
      <w:pPr>
        <w:pStyle w:val="Heading5"/>
      </w:pPr>
      <w:bookmarkStart w:id="1317" w:name="_Toc462409734"/>
      <w:r>
        <w:rPr>
          <w:rStyle w:val="CharSectno"/>
        </w:rPr>
        <w:t>9.31</w:t>
      </w:r>
      <w:r>
        <w:t>.</w:t>
      </w:r>
      <w:r>
        <w:tab/>
        <w:t>Terms used</w:t>
      </w:r>
      <w:bookmarkEnd w:id="1317"/>
      <w:r>
        <w:t xml:space="preserve"> </w:t>
      </w:r>
    </w:p>
    <w:p>
      <w:pPr>
        <w:pStyle w:val="Subsection"/>
        <w:keepNext/>
        <w:keepLines/>
      </w:pPr>
      <w:r>
        <w:tab/>
      </w:r>
      <w:r>
        <w:tab/>
        <w:t>In this Subdivision, unless the contrary intention appears — </w:t>
      </w:r>
    </w:p>
    <w:p>
      <w:pPr>
        <w:pStyle w:val="Defstart"/>
      </w:pPr>
      <w:r>
        <w:rPr>
          <w:b/>
        </w:rPr>
        <w:tab/>
      </w:r>
      <w:r>
        <w:rPr>
          <w:rStyle w:val="CharDefText"/>
        </w:rPr>
        <w:t>authorised employee</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t>to be a true copy, means an employee of the local government who is authorised to so certify either by the CEO, or a person acting with CEO’s authority;</w:t>
      </w:r>
    </w:p>
    <w:p>
      <w:pPr>
        <w:pStyle w:val="Defstart"/>
      </w:pPr>
      <w:r>
        <w:tab/>
      </w:r>
      <w:r>
        <w:rPr>
          <w:rStyle w:val="CharDefText"/>
        </w:rPr>
        <w:t>certified copy</w:t>
      </w:r>
      <w:r>
        <w:t xml:space="preserve"> means a copy that is certified by an authorised employee to be a true copy.</w:t>
      </w:r>
    </w:p>
    <w:p>
      <w:pPr>
        <w:pStyle w:val="Heading5"/>
      </w:pPr>
      <w:bookmarkStart w:id="1318" w:name="_Toc462409735"/>
      <w:r>
        <w:rPr>
          <w:rStyle w:val="CharSectno"/>
        </w:rPr>
        <w:t>9.32</w:t>
      </w:r>
      <w:r>
        <w:t>.</w:t>
      </w:r>
      <w:r>
        <w:tab/>
      </w:r>
      <w:r>
        <w:rPr>
          <w:i/>
        </w:rPr>
        <w:t>Evidence Act 1906</w:t>
      </w:r>
      <w:r>
        <w:t xml:space="preserve"> not excluded</w:t>
      </w:r>
      <w:bookmarkEnd w:id="1318"/>
    </w:p>
    <w:p>
      <w:pPr>
        <w:pStyle w:val="Subsection"/>
      </w:pPr>
      <w:r>
        <w:tab/>
      </w:r>
      <w:r>
        <w:tab/>
        <w:t xml:space="preserve">This Subdivision is in addition to the </w:t>
      </w:r>
      <w:r>
        <w:rPr>
          <w:i/>
        </w:rPr>
        <w:t>Evidence Act 1906</w:t>
      </w:r>
      <w:r>
        <w:t xml:space="preserve"> and not in place of it.</w:t>
      </w:r>
    </w:p>
    <w:p>
      <w:pPr>
        <w:pStyle w:val="Heading5"/>
      </w:pPr>
      <w:bookmarkStart w:id="1319" w:name="_Toc462409736"/>
      <w:r>
        <w:rPr>
          <w:rStyle w:val="CharSectno"/>
        </w:rPr>
        <w:t>9.33</w:t>
      </w:r>
      <w:r>
        <w:t>.</w:t>
      </w:r>
      <w:r>
        <w:tab/>
        <w:t>Presumptions about certificates</w:t>
      </w:r>
      <w:bookmarkEnd w:id="1319"/>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1320" w:name="_Toc462409737"/>
      <w:r>
        <w:rPr>
          <w:rStyle w:val="CharSectno"/>
        </w:rPr>
        <w:t>9.34</w:t>
      </w:r>
      <w:r>
        <w:t>.</w:t>
      </w:r>
      <w:r>
        <w:tab/>
        <w:t>Evidence of local laws</w:t>
      </w:r>
      <w:bookmarkEnd w:id="1320"/>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1321" w:name="_Toc462409738"/>
      <w:r>
        <w:rPr>
          <w:rStyle w:val="CharSectno"/>
        </w:rPr>
        <w:t>9.35</w:t>
      </w:r>
      <w:r>
        <w:t>.</w:t>
      </w:r>
      <w:r>
        <w:tab/>
        <w:t>Evidence of text adopted by local laws</w:t>
      </w:r>
      <w:bookmarkEnd w:id="1321"/>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1322" w:name="_Toc462409739"/>
      <w:r>
        <w:rPr>
          <w:rStyle w:val="CharSectno"/>
        </w:rPr>
        <w:t>9.36</w:t>
      </w:r>
      <w:r>
        <w:t>.</w:t>
      </w:r>
      <w:r>
        <w:tab/>
        <w:t xml:space="preserve">Using </w:t>
      </w:r>
      <w:r>
        <w:rPr>
          <w:i/>
        </w:rPr>
        <w:t xml:space="preserve">Gazette </w:t>
      </w:r>
      <w:r>
        <w:t>notice as evidence</w:t>
      </w:r>
      <w:bookmarkEnd w:id="1322"/>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1323" w:name="_Toc462409740"/>
      <w:r>
        <w:rPr>
          <w:rStyle w:val="CharSectno"/>
        </w:rPr>
        <w:t>9.37</w:t>
      </w:r>
      <w:r>
        <w:t>.</w:t>
      </w:r>
      <w:r>
        <w:tab/>
        <w:t>Using meeting minutes as evidence</w:t>
      </w:r>
      <w:bookmarkEnd w:id="1323"/>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r>
      <w:r>
        <w:rPr>
          <w:rStyle w:val="CharDefText"/>
        </w:rPr>
        <w:t>meeting minutes</w:t>
      </w:r>
      <w:r>
        <w:t xml:space="preserve"> means the minutes of a meeting of a council or committee in which the matter is recorded.</w:t>
      </w:r>
    </w:p>
    <w:p>
      <w:pPr>
        <w:pStyle w:val="Heading5"/>
      </w:pPr>
      <w:bookmarkStart w:id="1324" w:name="_Toc462409741"/>
      <w:r>
        <w:rPr>
          <w:rStyle w:val="CharSectno"/>
        </w:rPr>
        <w:t>9.38</w:t>
      </w:r>
      <w:r>
        <w:t>.</w:t>
      </w:r>
      <w:r>
        <w:tab/>
        <w:t>Evidence of documents coming from local government</w:t>
      </w:r>
      <w:bookmarkEnd w:id="1324"/>
    </w:p>
    <w:p>
      <w:pPr>
        <w:pStyle w:val="Subsection"/>
      </w:pPr>
      <w:r>
        <w:tab/>
      </w:r>
      <w:r>
        <w:tab/>
        <w:t>Evidence that a document has been given or written by or on behalf of a local government may be given by tendering what 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1325" w:name="_Toc462409742"/>
      <w:r>
        <w:rPr>
          <w:rStyle w:val="CharSectno"/>
        </w:rPr>
        <w:t>9.39</w:t>
      </w:r>
      <w:r>
        <w:t>.</w:t>
      </w:r>
      <w:r>
        <w:tab/>
        <w:t>Proving document given to another party</w:t>
      </w:r>
      <w:bookmarkEnd w:id="1325"/>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1326" w:name="_Toc462409743"/>
      <w:r>
        <w:rPr>
          <w:rStyle w:val="CharSectno"/>
        </w:rPr>
        <w:t>9.40</w:t>
      </w:r>
      <w:r>
        <w:t>.</w:t>
      </w:r>
      <w:r>
        <w:tab/>
        <w:t>Using copy of rate record as evidence</w:t>
      </w:r>
      <w:bookmarkEnd w:id="1326"/>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r>
      <w:r>
        <w:rPr>
          <w:rStyle w:val="CharDefText"/>
        </w:rPr>
        <w:t>rate</w:t>
      </w:r>
      <w:r>
        <w:t xml:space="preserve"> includes a service charge imposed under section 6.38.</w:t>
      </w:r>
    </w:p>
    <w:p>
      <w:pPr>
        <w:pStyle w:val="Heading5"/>
      </w:pPr>
      <w:bookmarkStart w:id="1327" w:name="_Toc462409744"/>
      <w:r>
        <w:rPr>
          <w:rStyle w:val="CharSectno"/>
        </w:rPr>
        <w:t>9.41</w:t>
      </w:r>
      <w:r>
        <w:t>.</w:t>
      </w:r>
      <w:r>
        <w:tab/>
        <w:t>Proving ownership, occupancy, and other things by certificate</w:t>
      </w:r>
      <w:bookmarkEnd w:id="1327"/>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and Transfers or an assistant registrar of deeds and transfers,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pPr>
      <w:r>
        <w:tab/>
        <w:t>(3)</w:t>
      </w:r>
      <w:r>
        <w:tab/>
        <w:t>Evidence as to whether anything — </w:t>
      </w:r>
    </w:p>
    <w:p>
      <w:pPr>
        <w:pStyle w:val="Indenta"/>
      </w:pPr>
      <w:r>
        <w:tab/>
        <w:t>(a)</w:t>
      </w:r>
      <w:r>
        <w:tab/>
        <w:t>is within a local government’s district; or</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by No. 49 of 2004 s. 74(4); No. 60 of 2006 s. 144(2)</w:t>
      </w:r>
      <w:r>
        <w:rPr>
          <w:spacing w:val="-4"/>
        </w:rPr>
        <w:t>; No. 47 of 2011 s.</w:t>
      </w:r>
      <w:r>
        <w:t> 16.]</w:t>
      </w:r>
    </w:p>
    <w:p>
      <w:pPr>
        <w:pStyle w:val="Heading5"/>
      </w:pPr>
      <w:bookmarkStart w:id="1328" w:name="_Toc462409745"/>
      <w:r>
        <w:rPr>
          <w:rStyle w:val="CharSectno"/>
        </w:rPr>
        <w:t>9.42</w:t>
      </w:r>
      <w:r>
        <w:t>.</w:t>
      </w:r>
      <w:r>
        <w:tab/>
        <w:t>Person may be alleged to be owner or occupier of land</w:t>
      </w:r>
      <w:bookmarkEnd w:id="1328"/>
    </w:p>
    <w:p>
      <w:pPr>
        <w:pStyle w:val="Subsection"/>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1329" w:name="_Toc462409746"/>
      <w:r>
        <w:rPr>
          <w:rStyle w:val="CharSectno"/>
        </w:rPr>
        <w:t>9.43</w:t>
      </w:r>
      <w:r>
        <w:t>.</w:t>
      </w:r>
      <w:r>
        <w:tab/>
        <w:t>Certificate of returning officer about election</w:t>
      </w:r>
      <w:bookmarkEnd w:id="1329"/>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keepNext w:val="0"/>
      </w:pPr>
      <w:bookmarkStart w:id="1330" w:name="_Toc462409747"/>
      <w:r>
        <w:rPr>
          <w:rStyle w:val="CharSectno"/>
        </w:rPr>
        <w:t>9.44</w:t>
      </w:r>
      <w:r>
        <w:t>.</w:t>
      </w:r>
      <w:r>
        <w:tab/>
        <w:t>Spouses and de facto</w:t>
      </w:r>
      <w:r>
        <w:rPr>
          <w:i/>
        </w:rPr>
        <w:t xml:space="preserve"> </w:t>
      </w:r>
      <w:r>
        <w:t>partners presumed to be living with one another</w:t>
      </w:r>
      <w:bookmarkEnd w:id="1330"/>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r>
        <w:tab/>
        <w:t>[(2)</w:t>
      </w:r>
      <w:r>
        <w:tab/>
        <w:t>deleted]</w:t>
      </w:r>
    </w:p>
    <w:p>
      <w:pPr>
        <w:pStyle w:val="Footnotesection"/>
      </w:pPr>
      <w:r>
        <w:tab/>
        <w:t>[Section 9.44 amended by No. 28 of 2003 s. 114.]</w:t>
      </w:r>
    </w:p>
    <w:p>
      <w:pPr>
        <w:pStyle w:val="Heading5"/>
      </w:pPr>
      <w:bookmarkStart w:id="1331" w:name="_Toc462409748"/>
      <w:r>
        <w:rPr>
          <w:rStyle w:val="CharSectno"/>
        </w:rPr>
        <w:t>9.45</w:t>
      </w:r>
      <w:r>
        <w:t>.</w:t>
      </w:r>
      <w:r>
        <w:tab/>
        <w:t>Evidence of authorisation or approval</w:t>
      </w:r>
      <w:bookmarkEnd w:id="1331"/>
    </w:p>
    <w:p>
      <w:pPr>
        <w:pStyle w:val="Subsection"/>
      </w:pPr>
      <w:r>
        <w:tab/>
      </w:r>
      <w:r>
        <w:tab/>
        <w:t>In proceedings brought under Part 8, Division 4, evidence that any authorisation or approval was given by the Departmental CEO to a person may be given by tendering a document by which the authorisation or approval purports to have been given, without proof of the signature or proof that the person signing was the Departmental CEO.</w:t>
      </w:r>
    </w:p>
    <w:p>
      <w:pPr>
        <w:pStyle w:val="Footnotesection"/>
      </w:pPr>
      <w:r>
        <w:tab/>
        <w:t>[Section 9.45 amended by No. 28 of 2006 s. 364.]</w:t>
      </w:r>
    </w:p>
    <w:p>
      <w:pPr>
        <w:pStyle w:val="Heading5"/>
      </w:pPr>
      <w:bookmarkStart w:id="1332" w:name="_Toc462409749"/>
      <w:r>
        <w:rPr>
          <w:rStyle w:val="CharSectno"/>
        </w:rPr>
        <w:t>9.46</w:t>
      </w:r>
      <w:r>
        <w:t>.</w:t>
      </w:r>
      <w:r>
        <w:tab/>
        <w:t>Things may be alleged to be property of local government</w:t>
      </w:r>
      <w:bookmarkEnd w:id="1332"/>
    </w:p>
    <w:p>
      <w:pPr>
        <w:pStyle w:val="Subsection"/>
        <w:spacing w:before="120"/>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spacing w:before="120"/>
      </w:pPr>
      <w:r>
        <w:tab/>
      </w:r>
      <w:r>
        <w:tab/>
        <w:t>may be alleged to be or have been the property of the local government, as the case requires.</w:t>
      </w:r>
    </w:p>
    <w:p>
      <w:pPr>
        <w:pStyle w:val="Subsection"/>
        <w:spacing w:before="120"/>
      </w:pPr>
      <w:r>
        <w:tab/>
        <w:t>(2)</w:t>
      </w:r>
      <w:r>
        <w:tab/>
        <w:t>The property in — </w:t>
      </w:r>
    </w:p>
    <w:p>
      <w:pPr>
        <w:pStyle w:val="Indenta"/>
        <w:spacing w:before="120"/>
      </w:pPr>
      <w:r>
        <w:tab/>
        <w:t>(a)</w:t>
      </w:r>
      <w:r>
        <w:tab/>
        <w:t>materials of, and matters and things appurtenant to, public facilities; and</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spacing w:before="120"/>
      </w:pPr>
      <w:r>
        <w:tab/>
        <w:t>(c)</w:t>
      </w:r>
      <w:r>
        <w:tab/>
        <w:t>the scrapings, soils, sand, and materials of public thoroughfares and other public places,</w:t>
      </w:r>
    </w:p>
    <w:p>
      <w:pPr>
        <w:pStyle w:val="Subsection"/>
        <w:spacing w:before="120"/>
      </w:pPr>
      <w:r>
        <w:tab/>
      </w:r>
      <w:r>
        <w:tab/>
        <w:t>that are in, or regarded under this Act as being in, a local government’s district may be alleged to be the property of the local government.</w:t>
      </w:r>
    </w:p>
    <w:p>
      <w:pPr>
        <w:pStyle w:val="Subsection"/>
        <w:spacing w:before="120"/>
      </w:pPr>
      <w:r>
        <w:tab/>
        <w:t>(3)</w:t>
      </w:r>
      <w:r>
        <w:tab/>
        <w:t>Anything alleged under this section to be the property of the local government is to be presumed to be the property of the local government unless the contrary is proved.</w:t>
      </w:r>
    </w:p>
    <w:p>
      <w:pPr>
        <w:pStyle w:val="Subsection"/>
        <w:spacing w:before="120"/>
      </w:pPr>
      <w:r>
        <w:tab/>
        <w:t>(4)</w:t>
      </w:r>
      <w:r>
        <w:tab/>
        <w:t>In subsection (2) — </w:t>
      </w:r>
    </w:p>
    <w:p>
      <w:pPr>
        <w:pStyle w:val="Defstart"/>
      </w:pPr>
      <w:r>
        <w:rPr>
          <w:b/>
        </w:rPr>
        <w:tab/>
      </w:r>
      <w:r>
        <w:rPr>
          <w:rStyle w:val="CharDefText"/>
        </w:rPr>
        <w:t>public facility</w:t>
      </w:r>
      <w:r>
        <w:t xml:space="preserve"> means a public thoroughfare, bridge, culvert, ford, ferry, wharf, jetty, drain, or other public place.</w:t>
      </w:r>
    </w:p>
    <w:p>
      <w:pPr>
        <w:pStyle w:val="Heading5"/>
        <w:keepNext w:val="0"/>
        <w:keepLines w:val="0"/>
      </w:pPr>
      <w:bookmarkStart w:id="1333" w:name="_Toc462409750"/>
      <w:r>
        <w:rPr>
          <w:rStyle w:val="CharSectno"/>
        </w:rPr>
        <w:t>9.47</w:t>
      </w:r>
      <w:r>
        <w:t>.</w:t>
      </w:r>
      <w:r>
        <w:tab/>
        <w:t>Proof of certain matters not required</w:t>
      </w:r>
      <w:bookmarkEnd w:id="1333"/>
    </w:p>
    <w:p>
      <w:pPr>
        <w:pStyle w:val="Subsection"/>
        <w:spacing w:before="120"/>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 or</w:t>
      </w:r>
    </w:p>
    <w:p>
      <w:pPr>
        <w:pStyle w:val="Indenta"/>
      </w:pPr>
      <w:r>
        <w:tab/>
        <w:t>(b)</w:t>
      </w:r>
      <w:r>
        <w:tab/>
        <w:t>the authority of a local government or any of its employees to prosecute, or the authority of an employee or other person to represent the local government in the proceedings; or</w:t>
      </w:r>
    </w:p>
    <w:p>
      <w:pPr>
        <w:pStyle w:val="Indenta"/>
      </w:pPr>
      <w:r>
        <w:tab/>
        <w:t>(c)</w:t>
      </w:r>
      <w:r>
        <w:tab/>
        <w:t>the election, appointment, or employment of the mayor or president, the CEO, or any other employee of the local government; or</w:t>
      </w:r>
    </w:p>
    <w:p>
      <w:pPr>
        <w:pStyle w:val="Indenta"/>
      </w:pPr>
      <w:r>
        <w:tab/>
        <w:t>(d)</w:t>
      </w:r>
      <w:r>
        <w:tab/>
        <w:t>the presence of a quorum of the council or a committee when a resolution was passed, an order was made, or anything else was done; or</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1334" w:name="_Toc462409751"/>
      <w:r>
        <w:rPr>
          <w:rStyle w:val="CharSectno"/>
        </w:rPr>
        <w:t>9.48</w:t>
      </w:r>
      <w:r>
        <w:t>.</w:t>
      </w:r>
      <w:r>
        <w:tab/>
        <w:t>Evidence of thoroughfare</w:t>
      </w:r>
      <w:bookmarkEnd w:id="1334"/>
    </w:p>
    <w:p>
      <w:pPr>
        <w:pStyle w:val="Subsection"/>
        <w:spacing w:before="200"/>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spacing w:before="200"/>
      </w:pPr>
      <w:r>
        <w:tab/>
        <w:t>(2)</w:t>
      </w:r>
      <w:r>
        <w:tab/>
        <w:t>In subsection (1) — </w:t>
      </w:r>
    </w:p>
    <w:p>
      <w:pPr>
        <w:pStyle w:val="Defstart"/>
      </w:pPr>
      <w:r>
        <w:rPr>
          <w:b/>
        </w:rPr>
        <w:tab/>
      </w:r>
      <w:r>
        <w:rPr>
          <w:rStyle w:val="CharDefText"/>
        </w:rPr>
        <w:t>official plan</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r>
      <w:r>
        <w:rPr>
          <w:rStyle w:val="CharDefText"/>
        </w:rPr>
        <w:t>officially certified</w:t>
      </w:r>
      <w:r>
        <w:t xml:space="preserve"> means certified by an officer who purports to be authorised to so certify.</w:t>
      </w:r>
    </w:p>
    <w:p>
      <w:pPr>
        <w:pStyle w:val="Footnotesection"/>
      </w:pPr>
      <w:r>
        <w:tab/>
        <w:t>[Section 9.48 amended by No. 49 of 2004 s. 74(1) and (4).]</w:t>
      </w:r>
    </w:p>
    <w:p>
      <w:pPr>
        <w:pStyle w:val="Heading3"/>
        <w:pageBreakBefore/>
        <w:spacing w:before="0"/>
      </w:pPr>
      <w:bookmarkStart w:id="1335" w:name="_Toc448219467"/>
      <w:bookmarkStart w:id="1336" w:name="_Toc448224689"/>
      <w:bookmarkStart w:id="1337" w:name="_Toc451179926"/>
      <w:bookmarkStart w:id="1338" w:name="_Toc451430846"/>
      <w:bookmarkStart w:id="1339" w:name="_Toc455396796"/>
      <w:bookmarkStart w:id="1340" w:name="_Toc455397656"/>
      <w:bookmarkStart w:id="1341" w:name="_Toc456086739"/>
      <w:bookmarkStart w:id="1342" w:name="_Toc462409752"/>
      <w:r>
        <w:rPr>
          <w:rStyle w:val="CharDivNo"/>
        </w:rPr>
        <w:t>Division 3</w:t>
      </w:r>
      <w:r>
        <w:t> — </w:t>
      </w:r>
      <w:r>
        <w:rPr>
          <w:rStyle w:val="CharDivText"/>
        </w:rPr>
        <w:t>Documents</w:t>
      </w:r>
      <w:bookmarkEnd w:id="1335"/>
      <w:bookmarkEnd w:id="1336"/>
      <w:bookmarkEnd w:id="1337"/>
      <w:bookmarkEnd w:id="1338"/>
      <w:bookmarkEnd w:id="1339"/>
      <w:bookmarkEnd w:id="1340"/>
      <w:bookmarkEnd w:id="1341"/>
      <w:bookmarkEnd w:id="1342"/>
    </w:p>
    <w:p>
      <w:pPr>
        <w:pStyle w:val="Heading5"/>
        <w:rPr>
          <w:snapToGrid w:val="0"/>
        </w:rPr>
      </w:pPr>
      <w:bookmarkStart w:id="1343" w:name="_Toc462409753"/>
      <w:r>
        <w:rPr>
          <w:rStyle w:val="CharSectno"/>
        </w:rPr>
        <w:t>9.49A</w:t>
      </w:r>
      <w:r>
        <w:t>.</w:t>
      </w:r>
      <w:r>
        <w:tab/>
      </w:r>
      <w:r>
        <w:rPr>
          <w:snapToGrid w:val="0"/>
        </w:rPr>
        <w:t>Execution of documents</w:t>
      </w:r>
      <w:bookmarkEnd w:id="1343"/>
    </w:p>
    <w:p>
      <w:pPr>
        <w:pStyle w:val="Subsection"/>
        <w:rPr>
          <w:snapToGrid w:val="0"/>
        </w:rPr>
      </w:pPr>
      <w:r>
        <w:tab/>
        <w:t>(1)</w:t>
      </w:r>
      <w:r>
        <w:tab/>
        <w:t>A</w:t>
      </w:r>
      <w:r>
        <w:rPr>
          <w:snapToGrid w:val="0"/>
        </w:rPr>
        <w:t xml:space="preserve"> document is duly executed by a local government if — </w:t>
      </w:r>
    </w:p>
    <w:p>
      <w:pPr>
        <w:pStyle w:val="Indenta"/>
      </w:pPr>
      <w:r>
        <w:tab/>
        <w:t>(a)</w:t>
      </w:r>
      <w:r>
        <w:tab/>
      </w:r>
      <w:r>
        <w:rPr>
          <w:snapToGrid w:val="0"/>
        </w:rPr>
        <w:t>the common seal of the local government is affixed to it in accordance with subsections (2) and (3); or</w:t>
      </w:r>
    </w:p>
    <w:p>
      <w:pPr>
        <w:pStyle w:val="Indenta"/>
      </w:pPr>
      <w:r>
        <w:tab/>
        <w:t>(b)</w:t>
      </w:r>
      <w:r>
        <w:tab/>
        <w:t>it is signed on behalf of the local government by a person or persons authorised under subsection (4) to do so.</w:t>
      </w:r>
    </w:p>
    <w:p>
      <w:pPr>
        <w:pStyle w:val="Subsection"/>
        <w:rPr>
          <w:snapToGrid w:val="0"/>
        </w:rPr>
      </w:pPr>
      <w:r>
        <w:tab/>
        <w:t>(2)</w:t>
      </w:r>
      <w:r>
        <w:tab/>
      </w:r>
      <w:r>
        <w:rPr>
          <w:snapToGrid w:val="0"/>
        </w:rPr>
        <w:t>The common seal of a local government is not to be affixed to any document except as authorised by the local government.</w:t>
      </w:r>
    </w:p>
    <w:p>
      <w:pPr>
        <w:pStyle w:val="Subsection"/>
      </w:pPr>
      <w:r>
        <w:tab/>
        <w:t>(3)</w:t>
      </w:r>
      <w:r>
        <w:tab/>
        <w:t xml:space="preserve">The common seal of the local government is to be affixed to a document in the presence of — </w:t>
      </w:r>
    </w:p>
    <w:p>
      <w:pPr>
        <w:pStyle w:val="Indenta"/>
        <w:rPr>
          <w:snapToGrid w:val="0"/>
        </w:rPr>
      </w:pPr>
      <w:r>
        <w:tab/>
        <w:t>(a)</w:t>
      </w:r>
      <w:r>
        <w:tab/>
      </w:r>
      <w:r>
        <w:rPr>
          <w:snapToGrid w:val="0"/>
        </w:rPr>
        <w:t>the mayor or president; and</w:t>
      </w:r>
    </w:p>
    <w:p>
      <w:pPr>
        <w:pStyle w:val="Indenta"/>
        <w:rPr>
          <w:snapToGrid w:val="0"/>
        </w:rPr>
      </w:pPr>
      <w:r>
        <w:tab/>
        <w:t>(b)</w:t>
      </w:r>
      <w:r>
        <w:tab/>
      </w:r>
      <w:r>
        <w:rPr>
          <w:snapToGrid w:val="0"/>
        </w:rPr>
        <w:t>the chief executive officer or a senior employee authorised by the chief executive officer,</w:t>
      </w:r>
    </w:p>
    <w:p>
      <w:pPr>
        <w:pStyle w:val="Subsection"/>
        <w:rPr>
          <w:snapToGrid w:val="0"/>
        </w:rPr>
      </w:pPr>
      <w:r>
        <w:tab/>
      </w:r>
      <w:r>
        <w:tab/>
      </w:r>
      <w:r>
        <w:rPr>
          <w:snapToGrid w:val="0"/>
        </w:rPr>
        <w:t>each of whom is to sign the document to attest that the common seal was so affixed.</w:t>
      </w:r>
    </w:p>
    <w:p>
      <w:pPr>
        <w:pStyle w:val="Subsection"/>
        <w:rPr>
          <w:snapToGrid w:val="0"/>
        </w:rPr>
      </w:pPr>
      <w:r>
        <w:tab/>
        <w:t>(4)</w:t>
      </w:r>
      <w:r>
        <w:tab/>
      </w:r>
      <w:r>
        <w:rPr>
          <w:snapToGrid w:val="0"/>
        </w:rPr>
        <w:t>A local government may, by resolution, authorise the chief executive officer, another employee or an agent of the local government to sign documents on behalf of the local government, either generally or subject to conditions or restrictions specified in the authorisation.</w:t>
      </w:r>
    </w:p>
    <w:p>
      <w:pPr>
        <w:pStyle w:val="Subsection"/>
      </w:pPr>
      <w:r>
        <w:tab/>
        <w:t>(5)</w:t>
      </w:r>
      <w:r>
        <w:tab/>
        <w:t>A document executed by a person under an authority under subsection (4) is not to be regarded as a deed unless the person executes it as a deed and is permitted to do so by the authorisation.</w:t>
      </w:r>
    </w:p>
    <w:p>
      <w:pPr>
        <w:pStyle w:val="Subsection"/>
      </w:pPr>
      <w:r>
        <w:tab/>
        <w:t>(6)</w:t>
      </w:r>
      <w:r>
        <w:tab/>
        <w:t>A document purporting to be executed in accordance with this section is to be presumed to be duly executed unless the contrary is shown.</w:t>
      </w:r>
    </w:p>
    <w:p>
      <w:pPr>
        <w:pStyle w:val="Subsection"/>
        <w:rPr>
          <w:snapToGrid w:val="0"/>
        </w:rPr>
      </w:pPr>
      <w:r>
        <w:tab/>
        <w:t>(7)</w:t>
      </w:r>
      <w:r>
        <w:tab/>
        <w:t>When a document is produced bearing a seal purporting to be the common seal of the local government, it is to be presumed that the seal is the common seal of the local government unless the contrary is shown</w:t>
      </w:r>
      <w:r>
        <w:rPr>
          <w:snapToGrid w:val="0"/>
        </w:rPr>
        <w:t>.</w:t>
      </w:r>
    </w:p>
    <w:p>
      <w:pPr>
        <w:pStyle w:val="Footnotesection"/>
        <w:spacing w:before="100"/>
        <w:ind w:left="890" w:hanging="890"/>
      </w:pPr>
      <w:r>
        <w:tab/>
        <w:t>[Section 9.49A inserted by No. 17 of 2009 s. 43.]</w:t>
      </w:r>
    </w:p>
    <w:p>
      <w:pPr>
        <w:pStyle w:val="Heading5"/>
        <w:spacing w:before="180"/>
        <w:rPr>
          <w:snapToGrid w:val="0"/>
        </w:rPr>
      </w:pPr>
      <w:bookmarkStart w:id="1344" w:name="_Toc462409754"/>
      <w:r>
        <w:rPr>
          <w:rStyle w:val="CharSectno"/>
        </w:rPr>
        <w:t>9.49B</w:t>
      </w:r>
      <w:r>
        <w:t>.</w:t>
      </w:r>
      <w:r>
        <w:tab/>
      </w:r>
      <w:r>
        <w:rPr>
          <w:snapToGrid w:val="0"/>
        </w:rPr>
        <w:t>Contract formalities</w:t>
      </w:r>
      <w:bookmarkEnd w:id="1344"/>
      <w:r>
        <w:rPr>
          <w:snapToGrid w:val="0"/>
        </w:rPr>
        <w:t xml:space="preserve"> </w:t>
      </w:r>
    </w:p>
    <w:p>
      <w:pPr>
        <w:pStyle w:val="Subsection"/>
        <w:spacing w:before="120"/>
        <w:rPr>
          <w:snapToGrid w:val="0"/>
        </w:rPr>
      </w:pPr>
      <w:r>
        <w:tab/>
        <w:t>(1)</w:t>
      </w:r>
      <w:r>
        <w:tab/>
      </w:r>
      <w:r>
        <w:rPr>
          <w:snapToGrid w:val="0"/>
        </w:rPr>
        <w:t>Insofar as the formalities of making, varying or discharging a contract are concerned, a person acting under the authority of a local government may make, vary or discharge a contract in the name of or on behalf of the local government in the same manner as if that contract was made, varied or discharged by a natural person.</w:t>
      </w:r>
    </w:p>
    <w:p>
      <w:pPr>
        <w:pStyle w:val="Subsection"/>
        <w:spacing w:before="120"/>
        <w:rPr>
          <w:snapToGrid w:val="0"/>
        </w:rPr>
      </w:pPr>
      <w:r>
        <w:tab/>
        <w:t>(2)</w:t>
      </w:r>
      <w:r>
        <w:tab/>
      </w:r>
      <w:r>
        <w:rPr>
          <w:snapToGrid w:val="0"/>
        </w:rPr>
        <w:t>The making, variation or discharge of a contract in accordance with subsection (1) is effectual in law and binds the local government concerned and other parties to the contract.</w:t>
      </w:r>
    </w:p>
    <w:p>
      <w:pPr>
        <w:pStyle w:val="Subsection"/>
        <w:spacing w:before="120"/>
        <w:rPr>
          <w:snapToGrid w:val="0"/>
        </w:rPr>
      </w:pPr>
      <w:r>
        <w:tab/>
        <w:t>(3)</w:t>
      </w:r>
      <w:r>
        <w:tab/>
      </w:r>
      <w:r>
        <w:rPr>
          <w:snapToGrid w:val="0"/>
        </w:rPr>
        <w:t>Subsection (1) does not prevent a local government from making, varying or discharging a contract under its common seal.</w:t>
      </w:r>
    </w:p>
    <w:p>
      <w:pPr>
        <w:pStyle w:val="Footnotesection"/>
        <w:spacing w:before="100"/>
        <w:ind w:left="890" w:hanging="890"/>
      </w:pPr>
      <w:r>
        <w:tab/>
        <w:t>[Section 9.49B inserted by No. 17 of 2009 s. 43.]</w:t>
      </w:r>
    </w:p>
    <w:p>
      <w:pPr>
        <w:pStyle w:val="Heading5"/>
        <w:spacing w:before="180"/>
      </w:pPr>
      <w:bookmarkStart w:id="1345" w:name="_Toc462409755"/>
      <w:r>
        <w:rPr>
          <w:rStyle w:val="CharSectno"/>
        </w:rPr>
        <w:t>9.49</w:t>
      </w:r>
      <w:r>
        <w:t>.</w:t>
      </w:r>
      <w:r>
        <w:tab/>
        <w:t>Documents, how authenticated</w:t>
      </w:r>
      <w:bookmarkEnd w:id="1345"/>
    </w:p>
    <w:p>
      <w:pPr>
        <w:pStyle w:val="Subsection"/>
        <w:spacing w:before="120"/>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spacing w:before="180"/>
      </w:pPr>
      <w:bookmarkStart w:id="1346" w:name="_Toc462409756"/>
      <w:r>
        <w:rPr>
          <w:rStyle w:val="CharSectno"/>
        </w:rPr>
        <w:t>9.50</w:t>
      </w:r>
      <w:r>
        <w:t>.</w:t>
      </w:r>
      <w:r>
        <w:tab/>
        <w:t>Giving documents to persons, generally</w:t>
      </w:r>
      <w:bookmarkEnd w:id="1346"/>
    </w:p>
    <w:p>
      <w:pPr>
        <w:pStyle w:val="Subsection"/>
        <w:spacing w:before="120"/>
      </w:pPr>
      <w:r>
        <w:tab/>
      </w:r>
      <w:r>
        <w:tab/>
        <w:t xml:space="preserve">Unless otherwise stated in this Act, a document may be given to a person in any of the ways provided for by sections 75 and 76 of the </w:t>
      </w:r>
      <w:r>
        <w:rPr>
          <w:i/>
        </w:rPr>
        <w:t>Interpretation Act 1984</w:t>
      </w:r>
      <w:r>
        <w:t>.</w:t>
      </w:r>
    </w:p>
    <w:p>
      <w:pPr>
        <w:pStyle w:val="Heading5"/>
        <w:keepNext w:val="0"/>
        <w:keepLines w:val="0"/>
        <w:spacing w:before="180"/>
      </w:pPr>
      <w:bookmarkStart w:id="1347" w:name="_Toc462409757"/>
      <w:r>
        <w:rPr>
          <w:rStyle w:val="CharSectno"/>
        </w:rPr>
        <w:t>9.51</w:t>
      </w:r>
      <w:r>
        <w:t>.</w:t>
      </w:r>
      <w:r>
        <w:tab/>
        <w:t>Giving documents to local government</w:t>
      </w:r>
      <w:bookmarkEnd w:id="1347"/>
    </w:p>
    <w:p>
      <w:pPr>
        <w:pStyle w:val="Subsection"/>
      </w:pPr>
      <w:r>
        <w:tab/>
      </w:r>
      <w:r>
        <w:tab/>
        <w:t>Unless otherwise stated in this Act, a document may be given to a local government by — </w:t>
      </w:r>
    </w:p>
    <w:p>
      <w:pPr>
        <w:pStyle w:val="Indenta"/>
      </w:pPr>
      <w:r>
        <w:tab/>
        <w:t>(a)</w:t>
      </w:r>
      <w:r>
        <w:tab/>
        <w:t>giving it personally to an employee of the local government at its office; or</w:t>
      </w:r>
    </w:p>
    <w:p>
      <w:pPr>
        <w:pStyle w:val="Indenta"/>
      </w:pPr>
      <w:r>
        <w:tab/>
        <w:t>(b)</w:t>
      </w:r>
      <w:r>
        <w:tab/>
        <w:t>sending it by post to the local government at its postal address.</w:t>
      </w:r>
    </w:p>
    <w:p>
      <w:pPr>
        <w:pStyle w:val="Heading5"/>
      </w:pPr>
      <w:bookmarkStart w:id="1348" w:name="_Toc462409758"/>
      <w:r>
        <w:rPr>
          <w:rStyle w:val="CharSectno"/>
        </w:rPr>
        <w:t>9.52</w:t>
      </w:r>
      <w:r>
        <w:t>.</w:t>
      </w:r>
      <w:r>
        <w:tab/>
        <w:t>Giving documents in difficult cases</w:t>
      </w:r>
      <w:bookmarkEnd w:id="1348"/>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1349" w:name="_Toc462409759"/>
      <w:r>
        <w:rPr>
          <w:rStyle w:val="CharSectno"/>
        </w:rPr>
        <w:t>9.53</w:t>
      </w:r>
      <w:r>
        <w:t>.</w:t>
      </w:r>
      <w:r>
        <w:tab/>
        <w:t>Other provisions about giving documents</w:t>
      </w:r>
      <w:bookmarkEnd w:id="1349"/>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1350" w:name="_Toc462409760"/>
      <w:r>
        <w:rPr>
          <w:rStyle w:val="CharSectno"/>
        </w:rPr>
        <w:t>9.54</w:t>
      </w:r>
      <w:r>
        <w:t>.</w:t>
      </w:r>
      <w:r>
        <w:tab/>
        <w:t>Defects in documents</w:t>
      </w:r>
      <w:bookmarkEnd w:id="1350"/>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1351" w:name="_Toc462409761"/>
      <w:r>
        <w:rPr>
          <w:rStyle w:val="CharSectno"/>
        </w:rPr>
        <w:t>9.55</w:t>
      </w:r>
      <w:r>
        <w:t>.</w:t>
      </w:r>
      <w:r>
        <w:tab/>
        <w:t>Effect of document on persons deriving title</w:t>
      </w:r>
      <w:bookmarkEnd w:id="1351"/>
    </w:p>
    <w:p>
      <w:pPr>
        <w:pStyle w:val="Subsection"/>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1352" w:name="_Toc448219477"/>
      <w:bookmarkStart w:id="1353" w:name="_Toc448224699"/>
      <w:bookmarkStart w:id="1354" w:name="_Toc451179936"/>
      <w:bookmarkStart w:id="1355" w:name="_Toc451430856"/>
      <w:bookmarkStart w:id="1356" w:name="_Toc455396806"/>
      <w:bookmarkStart w:id="1357" w:name="_Toc455397666"/>
      <w:bookmarkStart w:id="1358" w:name="_Toc456086749"/>
      <w:bookmarkStart w:id="1359" w:name="_Toc462409762"/>
      <w:r>
        <w:rPr>
          <w:rStyle w:val="CharDivNo"/>
        </w:rPr>
        <w:t>Division 4</w:t>
      </w:r>
      <w:r>
        <w:t> — </w:t>
      </w:r>
      <w:r>
        <w:rPr>
          <w:rStyle w:val="CharDivText"/>
        </w:rPr>
        <w:t>Protection from liability</w:t>
      </w:r>
      <w:bookmarkEnd w:id="1352"/>
      <w:bookmarkEnd w:id="1353"/>
      <w:bookmarkEnd w:id="1354"/>
      <w:bookmarkEnd w:id="1355"/>
      <w:bookmarkEnd w:id="1356"/>
      <w:bookmarkEnd w:id="1357"/>
      <w:bookmarkEnd w:id="1358"/>
      <w:bookmarkEnd w:id="1359"/>
    </w:p>
    <w:p>
      <w:pPr>
        <w:pStyle w:val="Heading5"/>
      </w:pPr>
      <w:bookmarkStart w:id="1360" w:name="_Toc462409763"/>
      <w:r>
        <w:rPr>
          <w:rStyle w:val="CharSectno"/>
        </w:rPr>
        <w:t>9.56</w:t>
      </w:r>
      <w:r>
        <w:t>.</w:t>
      </w:r>
      <w:r>
        <w:tab/>
        <w:t>Certain persons protected from liability for wrongdoing</w:t>
      </w:r>
      <w:bookmarkEnd w:id="1360"/>
    </w:p>
    <w:p>
      <w:pPr>
        <w:pStyle w:val="Subsection"/>
      </w:pPr>
      <w:r>
        <w:tab/>
        <w:t>(1)</w:t>
      </w:r>
      <w:r>
        <w:tab/>
        <w:t>A person who is — </w:t>
      </w:r>
    </w:p>
    <w:p>
      <w:pPr>
        <w:pStyle w:val="Indenta"/>
      </w:pPr>
      <w:r>
        <w:tab/>
        <w:t>(a)</w:t>
      </w:r>
      <w:r>
        <w:tab/>
        <w:t>a member of the council, or of a committee of the council, of a local government; or</w:t>
      </w:r>
    </w:p>
    <w:p>
      <w:pPr>
        <w:pStyle w:val="Indenta"/>
      </w:pPr>
      <w:r>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1361" w:name="_Toc462409764"/>
      <w:r>
        <w:rPr>
          <w:rStyle w:val="CharSectno"/>
        </w:rPr>
        <w:t>9.57</w:t>
      </w:r>
      <w:r>
        <w:t>.</w:t>
      </w:r>
      <w:r>
        <w:tab/>
        <w:t>Local government protected from certain liability</w:t>
      </w:r>
      <w:bookmarkEnd w:id="1361"/>
    </w:p>
    <w:p>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3"/>
      </w:pPr>
      <w:bookmarkStart w:id="1362" w:name="_Toc448219480"/>
      <w:bookmarkStart w:id="1363" w:name="_Toc448224702"/>
      <w:bookmarkStart w:id="1364" w:name="_Toc451179939"/>
      <w:bookmarkStart w:id="1365" w:name="_Toc451430859"/>
      <w:bookmarkStart w:id="1366" w:name="_Toc455396809"/>
      <w:bookmarkStart w:id="1367" w:name="_Toc455397669"/>
      <w:bookmarkStart w:id="1368" w:name="_Toc456086752"/>
      <w:bookmarkStart w:id="1369" w:name="_Toc462409765"/>
      <w:r>
        <w:rPr>
          <w:rStyle w:val="CharDivNo"/>
        </w:rPr>
        <w:t>Division 5</w:t>
      </w:r>
      <w:r>
        <w:t> — </w:t>
      </w:r>
      <w:r>
        <w:rPr>
          <w:rStyle w:val="CharDivText"/>
        </w:rPr>
        <w:t>Associations of local government</w:t>
      </w:r>
      <w:bookmarkEnd w:id="1362"/>
      <w:bookmarkEnd w:id="1363"/>
      <w:bookmarkEnd w:id="1364"/>
      <w:bookmarkEnd w:id="1365"/>
      <w:bookmarkEnd w:id="1366"/>
      <w:bookmarkEnd w:id="1367"/>
      <w:bookmarkEnd w:id="1368"/>
      <w:bookmarkEnd w:id="1369"/>
    </w:p>
    <w:p>
      <w:pPr>
        <w:pStyle w:val="Heading5"/>
      </w:pPr>
      <w:bookmarkStart w:id="1370" w:name="_Toc462409766"/>
      <w:r>
        <w:rPr>
          <w:rStyle w:val="CharSectno"/>
        </w:rPr>
        <w:t>9.58</w:t>
      </w:r>
      <w:r>
        <w:t>.</w:t>
      </w:r>
      <w:r>
        <w:tab/>
        <w:t>Constitution of associations of local government</w:t>
      </w:r>
      <w:bookmarkEnd w:id="1370"/>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 xml:space="preserve">lodge with the Commissioner as defined in the </w:t>
      </w:r>
      <w:r>
        <w:rPr>
          <w:i/>
          <w:iCs/>
        </w:rPr>
        <w:t>Fair Trading Act 2010</w:t>
      </w:r>
      <w:r>
        <w:t xml:space="preserve"> section 6,</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 xml:space="preserve">[Section 9.58 amended by No. 20 of 2003 s. 34; No. 49 of 2004 s. 10; No. 28 of 2006 s. 362; </w:t>
      </w:r>
      <w:r>
        <w:rPr>
          <w:spacing w:val="-4"/>
        </w:rPr>
        <w:t>No. 58 of 2010 s. 182</w:t>
      </w:r>
      <w:r>
        <w:t>.]</w:t>
      </w:r>
    </w:p>
    <w:p>
      <w:pPr>
        <w:pStyle w:val="Heading3"/>
      </w:pPr>
      <w:bookmarkStart w:id="1371" w:name="_Toc448219482"/>
      <w:bookmarkStart w:id="1372" w:name="_Toc448224704"/>
      <w:bookmarkStart w:id="1373" w:name="_Toc451179941"/>
      <w:bookmarkStart w:id="1374" w:name="_Toc451430861"/>
      <w:bookmarkStart w:id="1375" w:name="_Toc455396811"/>
      <w:bookmarkStart w:id="1376" w:name="_Toc455397671"/>
      <w:bookmarkStart w:id="1377" w:name="_Toc456086754"/>
      <w:bookmarkStart w:id="1378" w:name="_Toc462409767"/>
      <w:r>
        <w:rPr>
          <w:rStyle w:val="CharDivNo"/>
        </w:rPr>
        <w:t>Division 6</w:t>
      </w:r>
      <w:r>
        <w:t> — </w:t>
      </w:r>
      <w:r>
        <w:rPr>
          <w:rStyle w:val="CharDivText"/>
        </w:rPr>
        <w:t>Regulations, directions and orders</w:t>
      </w:r>
      <w:bookmarkEnd w:id="1371"/>
      <w:bookmarkEnd w:id="1372"/>
      <w:bookmarkEnd w:id="1373"/>
      <w:bookmarkEnd w:id="1374"/>
      <w:bookmarkEnd w:id="1375"/>
      <w:bookmarkEnd w:id="1376"/>
      <w:bookmarkEnd w:id="1377"/>
      <w:bookmarkEnd w:id="1378"/>
    </w:p>
    <w:p>
      <w:pPr>
        <w:pStyle w:val="Heading5"/>
      </w:pPr>
      <w:bookmarkStart w:id="1379" w:name="_Toc462409768"/>
      <w:r>
        <w:rPr>
          <w:rStyle w:val="CharSectno"/>
        </w:rPr>
        <w:t>9.59</w:t>
      </w:r>
      <w:r>
        <w:t>.</w:t>
      </w:r>
      <w:r>
        <w:tab/>
        <w:t>General regulations</w:t>
      </w:r>
      <w:bookmarkEnd w:id="1379"/>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 and</w:t>
      </w:r>
    </w:p>
    <w:p>
      <w:pPr>
        <w:pStyle w:val="Indenta"/>
      </w:pPr>
      <w:r>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by No. 49 of 2004 s. 66.]</w:t>
      </w:r>
    </w:p>
    <w:p>
      <w:pPr>
        <w:pStyle w:val="Heading5"/>
      </w:pPr>
      <w:bookmarkStart w:id="1380" w:name="_Toc462409769"/>
      <w:r>
        <w:rPr>
          <w:rStyle w:val="CharSectno"/>
        </w:rPr>
        <w:t>9.60</w:t>
      </w:r>
      <w:r>
        <w:t>.</w:t>
      </w:r>
      <w:r>
        <w:tab/>
        <w:t>Regulations that operate as local laws</w:t>
      </w:r>
      <w:bookmarkEnd w:id="1380"/>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1381" w:name="_Toc462409770"/>
      <w:r>
        <w:rPr>
          <w:rStyle w:val="CharSectno"/>
        </w:rPr>
        <w:t>9.61</w:t>
      </w:r>
      <w:r>
        <w:t>.</w:t>
      </w:r>
      <w:r>
        <w:tab/>
        <w:t>Provisions about regulations</w:t>
      </w:r>
      <w:bookmarkEnd w:id="1381"/>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Indenta"/>
      </w:pPr>
      <w:r>
        <w:tab/>
        <w:t>(g)</w:t>
      </w:r>
      <w:r>
        <w:tab/>
        <w:t xml:space="preserve">contain provisions that are necessary or convenient for dealing with matters concerning the transition from the </w:t>
      </w:r>
      <w:r>
        <w:rPr>
          <w:i/>
        </w:rPr>
        <w:t>Local Government (Miscellaneous Provisions) Act </w:t>
      </w:r>
      <w:r>
        <w:rPr>
          <w:i/>
          <w:iCs/>
        </w:rPr>
        <w:t>1960</w:t>
      </w:r>
      <w:r>
        <w:t xml:space="preserve"> sections 375, 377, 378, 379 and 380, before they were deleted by the </w:t>
      </w:r>
      <w:r>
        <w:rPr>
          <w:i/>
          <w:iCs/>
        </w:rPr>
        <w:t xml:space="preserve">Building Act 2011 </w:t>
      </w:r>
      <w:r>
        <w:t>section 153(2), to the provisions of this Act, including the regulations.</w:t>
      </w:r>
    </w:p>
    <w:p>
      <w:pPr>
        <w:pStyle w:val="Footnotesection"/>
      </w:pPr>
      <w:r>
        <w:tab/>
        <w:t>[Section 9.61 amended by No. 24 of 2011 s. 166(3).]</w:t>
      </w:r>
    </w:p>
    <w:p>
      <w:pPr>
        <w:pStyle w:val="Heading5"/>
      </w:pPr>
      <w:bookmarkStart w:id="1382" w:name="_Toc462409771"/>
      <w:r>
        <w:rPr>
          <w:rStyle w:val="CharSectno"/>
        </w:rPr>
        <w:t>9.62</w:t>
      </w:r>
      <w:r>
        <w:t>.</w:t>
      </w:r>
      <w:r>
        <w:tab/>
        <w:t>Governor may give directions as consequence of making order</w:t>
      </w:r>
      <w:bookmarkEnd w:id="1382"/>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1383" w:name="_Toc462409772"/>
      <w:r>
        <w:rPr>
          <w:rStyle w:val="CharSectno"/>
        </w:rPr>
        <w:t>9.63</w:t>
      </w:r>
      <w:r>
        <w:t>.</w:t>
      </w:r>
      <w:r>
        <w:tab/>
        <w:t>Minister may give directions to resolve disputes between local governments</w:t>
      </w:r>
      <w:bookmarkEnd w:id="1383"/>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1384" w:name="_Toc462409773"/>
      <w:r>
        <w:rPr>
          <w:rStyle w:val="CharSectno"/>
        </w:rPr>
        <w:t>9.64</w:t>
      </w:r>
      <w:r>
        <w:t>.</w:t>
      </w:r>
      <w:r>
        <w:tab/>
        <w:t>Governor may rectify omissions and irregularities</w:t>
      </w:r>
      <w:bookmarkEnd w:id="1384"/>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1385" w:name="_Toc462409774"/>
      <w:r>
        <w:rPr>
          <w:rStyle w:val="CharSectno"/>
        </w:rPr>
        <w:t>9.65</w:t>
      </w:r>
      <w:r>
        <w:t>.</w:t>
      </w:r>
      <w:r>
        <w:tab/>
        <w:t>Orders made by Governor or Minister</w:t>
      </w:r>
      <w:bookmarkEnd w:id="1385"/>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ageBreakBefore/>
        <w:spacing w:before="0"/>
      </w:pPr>
      <w:bookmarkStart w:id="1386" w:name="_Toc448219490"/>
      <w:bookmarkStart w:id="1387" w:name="_Toc448224712"/>
      <w:bookmarkStart w:id="1388" w:name="_Toc451179949"/>
      <w:bookmarkStart w:id="1389" w:name="_Toc451430869"/>
      <w:bookmarkStart w:id="1390" w:name="_Toc455396819"/>
      <w:bookmarkStart w:id="1391" w:name="_Toc455397679"/>
      <w:bookmarkStart w:id="1392" w:name="_Toc456086762"/>
      <w:bookmarkStart w:id="1393" w:name="_Toc462409775"/>
      <w:r>
        <w:rPr>
          <w:rStyle w:val="CharDivNo"/>
        </w:rPr>
        <w:t>Division 7</w:t>
      </w:r>
      <w:r>
        <w:t> — </w:t>
      </w:r>
      <w:r>
        <w:rPr>
          <w:rStyle w:val="CharDivText"/>
        </w:rPr>
        <w:t>Other miscellaneous provisions</w:t>
      </w:r>
      <w:bookmarkEnd w:id="1386"/>
      <w:bookmarkEnd w:id="1387"/>
      <w:bookmarkEnd w:id="1388"/>
      <w:bookmarkEnd w:id="1389"/>
      <w:bookmarkEnd w:id="1390"/>
      <w:bookmarkEnd w:id="1391"/>
      <w:bookmarkEnd w:id="1392"/>
      <w:bookmarkEnd w:id="1393"/>
    </w:p>
    <w:p>
      <w:pPr>
        <w:pStyle w:val="Heading5"/>
      </w:pPr>
      <w:bookmarkStart w:id="1394" w:name="_Toc462409776"/>
      <w:r>
        <w:rPr>
          <w:rStyle w:val="CharSectno"/>
        </w:rPr>
        <w:t>9.66</w:t>
      </w:r>
      <w:r>
        <w:t>.</w:t>
      </w:r>
      <w:r>
        <w:tab/>
        <w:t>Delegation by Minister</w:t>
      </w:r>
      <w:bookmarkEnd w:id="1394"/>
    </w:p>
    <w:p>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9.66 amended by No. 28 of 2006 s. 364.]</w:t>
      </w:r>
    </w:p>
    <w:p>
      <w:pPr>
        <w:pStyle w:val="Heading5"/>
      </w:pPr>
      <w:bookmarkStart w:id="1395" w:name="_Toc462409777"/>
      <w:r>
        <w:rPr>
          <w:rStyle w:val="CharSectno"/>
        </w:rPr>
        <w:t>9.67</w:t>
      </w:r>
      <w:r>
        <w:t>.</w:t>
      </w:r>
      <w:r>
        <w:tab/>
        <w:t>Delegation by Departmental CEO</w:t>
      </w:r>
      <w:bookmarkEnd w:id="1395"/>
    </w:p>
    <w:p>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9.67 amended by No. 28 of 2006 s. 363 and 364.]</w:t>
      </w:r>
    </w:p>
    <w:p>
      <w:pPr>
        <w:pStyle w:val="Heading5"/>
      </w:pPr>
      <w:bookmarkStart w:id="1396" w:name="_Toc462409778"/>
      <w:r>
        <w:rPr>
          <w:rStyle w:val="CharSectno"/>
        </w:rPr>
        <w:t>9.68</w:t>
      </w:r>
      <w:r>
        <w:t>.</w:t>
      </w:r>
      <w:r>
        <w:tab/>
        <w:t>Local government to be notified of disposal of land</w:t>
      </w:r>
      <w:bookmarkEnd w:id="1396"/>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pPr>
      <w:r>
        <w:tab/>
        <w:t>(b)</w:t>
      </w:r>
      <w:r>
        <w:tab/>
        <w:t>the liability of the principal or of the new owner for rates under section 6.55.</w:t>
      </w:r>
    </w:p>
    <w:p>
      <w:pPr>
        <w:pStyle w:val="Heading5"/>
      </w:pPr>
      <w:bookmarkStart w:id="1397" w:name="_Toc462409779"/>
      <w:r>
        <w:rPr>
          <w:rStyle w:val="CharSectno"/>
        </w:rPr>
        <w:t>9.69</w:t>
      </w:r>
      <w:r>
        <w:t>.</w:t>
      </w:r>
      <w:r>
        <w:tab/>
        <w:t>Land descriptions</w:t>
      </w:r>
      <w:bookmarkEnd w:id="1397"/>
    </w:p>
    <w:p>
      <w:pPr>
        <w:pStyle w:val="Subsection"/>
      </w:pPr>
      <w:r>
        <w:tab/>
        <w:t>(1)</w:t>
      </w:r>
      <w:r>
        <w:tab/>
        <w:t>In this section — </w:t>
      </w:r>
    </w:p>
    <w:p>
      <w:pPr>
        <w:pStyle w:val="Defstart"/>
      </w:pPr>
      <w:r>
        <w:rPr>
          <w:b/>
        </w:rPr>
        <w:tab/>
      </w:r>
      <w:r>
        <w:rPr>
          <w:rStyle w:val="CharDefText"/>
        </w:rPr>
        <w:t>authorised land officer</w:t>
      </w:r>
      <w:r>
        <w:t xml:space="preserve"> has the same meaning as in the </w:t>
      </w:r>
      <w:r>
        <w:rPr>
          <w:i/>
        </w:rPr>
        <w:t>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rPr>
          <w:b/>
        </w:rPr>
        <w:tab/>
      </w:r>
      <w:r>
        <w:rPr>
          <w:rStyle w:val="CharDefText"/>
        </w:rPr>
        <w:t>judicial proceedings</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deposited with the Authority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pPr>
      <w:r>
        <w:tab/>
        <w:t>(4)</w:t>
      </w:r>
      <w:r>
        <w:tab/>
        <w:t>In judicial proceedings a document certified under the hand of an authorised land officer to be a copy of all or part of an original plan or diagram deposited with the Authority is admissible in evidence for any purpose for which the original would be admissible, and is to be given the same weight as if it were the original.</w:t>
      </w:r>
    </w:p>
    <w:p>
      <w:pPr>
        <w:pStyle w:val="Footnotesection"/>
      </w:pPr>
      <w:r>
        <w:tab/>
        <w:t>[Section 9.69 amended by No. 49 of 2004 s. 74(2) and (3); No. 60 of 2006 s. 144(3).]</w:t>
      </w:r>
    </w:p>
    <w:p>
      <w:pPr>
        <w:pStyle w:val="Heading5"/>
      </w:pPr>
      <w:bookmarkStart w:id="1398" w:name="_Toc462409780"/>
      <w:r>
        <w:rPr>
          <w:rStyle w:val="CharSectno"/>
        </w:rPr>
        <w:t>9.69A</w:t>
      </w:r>
      <w:r>
        <w:t>.</w:t>
      </w:r>
      <w:r>
        <w:tab/>
        <w:t xml:space="preserve">Notification under </w:t>
      </w:r>
      <w:r>
        <w:rPr>
          <w:i/>
        </w:rPr>
        <w:t>Corruption, Crime and Misconduct Act 2003</w:t>
      </w:r>
      <w:bookmarkEnd w:id="1398"/>
    </w:p>
    <w:p>
      <w:pPr>
        <w:pStyle w:val="Subsection"/>
      </w:pPr>
      <w:r>
        <w:tab/>
      </w:r>
      <w:r>
        <w:tab/>
        <w:t xml:space="preserve">Nothing in Part 5 or Part 8 affects the duty of the Departmental CEO to notify as required by the </w:t>
      </w:r>
      <w:r>
        <w:rPr>
          <w:i/>
        </w:rPr>
        <w:t>Corruption, Crime and Misconduct Act 2003</w:t>
      </w:r>
      <w:r>
        <w:t xml:space="preserve"> section 28 or 45H.</w:t>
      </w:r>
    </w:p>
    <w:p>
      <w:pPr>
        <w:pStyle w:val="Footnotesection"/>
      </w:pPr>
      <w:r>
        <w:tab/>
        <w:t>[Section 9.69A inserted by No. 1 of 2007 s. 12; amended by No. 17 of 2009 s. 44; No. 35 of 2014 s. 35.]</w:t>
      </w:r>
    </w:p>
    <w:p>
      <w:pPr>
        <w:pStyle w:val="Heading3"/>
      </w:pPr>
      <w:bookmarkStart w:id="1399" w:name="_Toc448219496"/>
      <w:bookmarkStart w:id="1400" w:name="_Toc448224718"/>
      <w:bookmarkStart w:id="1401" w:name="_Toc451179955"/>
      <w:bookmarkStart w:id="1402" w:name="_Toc451430875"/>
      <w:bookmarkStart w:id="1403" w:name="_Toc455396825"/>
      <w:bookmarkStart w:id="1404" w:name="_Toc455397685"/>
      <w:bookmarkStart w:id="1405" w:name="_Toc456086768"/>
      <w:bookmarkStart w:id="1406" w:name="_Toc462409781"/>
      <w:r>
        <w:rPr>
          <w:rStyle w:val="CharDivNo"/>
        </w:rPr>
        <w:t>Division 8</w:t>
      </w:r>
      <w:r>
        <w:t> — </w:t>
      </w:r>
      <w:r>
        <w:rPr>
          <w:rStyle w:val="CharDivText"/>
        </w:rPr>
        <w:t>Amendments to 1960 Act and transitional provisions</w:t>
      </w:r>
      <w:bookmarkEnd w:id="1399"/>
      <w:bookmarkEnd w:id="1400"/>
      <w:bookmarkEnd w:id="1401"/>
      <w:bookmarkEnd w:id="1402"/>
      <w:bookmarkEnd w:id="1403"/>
      <w:bookmarkEnd w:id="1404"/>
      <w:bookmarkEnd w:id="1405"/>
      <w:bookmarkEnd w:id="1406"/>
    </w:p>
    <w:p>
      <w:pPr>
        <w:pStyle w:val="Ednotesection"/>
      </w:pPr>
      <w:r>
        <w:t>[</w:t>
      </w:r>
      <w:r>
        <w:rPr>
          <w:b/>
        </w:rPr>
        <w:t>9.70.</w:t>
      </w:r>
      <w:r>
        <w:tab/>
        <w:t>Omitted under the Reprints Act 1984 s. 7(4)(e) </w:t>
      </w:r>
      <w:r>
        <w:rPr>
          <w:i w:val="0"/>
          <w:vertAlign w:val="superscript"/>
        </w:rPr>
        <w:t>2</w:t>
      </w:r>
      <w:r>
        <w:t>.]</w:t>
      </w:r>
    </w:p>
    <w:p>
      <w:pPr>
        <w:pStyle w:val="Heading5"/>
      </w:pPr>
      <w:bookmarkStart w:id="1407" w:name="_Toc462409782"/>
      <w:r>
        <w:rPr>
          <w:rStyle w:val="CharSectno"/>
        </w:rPr>
        <w:t>9.71</w:t>
      </w:r>
      <w:r>
        <w:t>.</w:t>
      </w:r>
      <w:r>
        <w:tab/>
        <w:t>Transitional provisions</w:t>
      </w:r>
      <w:bookmarkEnd w:id="1407"/>
    </w:p>
    <w:p>
      <w:pPr>
        <w:pStyle w:val="Subsection"/>
        <w:spacing w:before="120"/>
      </w:pPr>
      <w:r>
        <w:tab/>
        <w:t>(1)</w:t>
      </w:r>
      <w:r>
        <w:tab/>
        <w:t>Schedule 9.3 has effect for the purpose of the transition to this Act from the provisions it amends.</w:t>
      </w:r>
    </w:p>
    <w:p>
      <w:pPr>
        <w:pStyle w:val="Subsection"/>
        <w:spacing w:before="120"/>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spacing w:before="120"/>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w:t>
      </w:r>
      <w:r>
        <w:rPr>
          <w:vertAlign w:val="superscript"/>
        </w:rPr>
        <w:t>1</w:t>
      </w:r>
      <w:r>
        <w:t>, or of subsidiary legislation made under either this Act or that Act — </w:t>
      </w:r>
    </w:p>
    <w:p>
      <w:pPr>
        <w:pStyle w:val="Indenta"/>
      </w:pPr>
      <w:r>
        <w:tab/>
        <w:t>(a)</w:t>
      </w:r>
      <w:r>
        <w:tab/>
        <w:t>do not apply; or</w:t>
      </w:r>
    </w:p>
    <w:p>
      <w:pPr>
        <w:pStyle w:val="Indenta"/>
        <w:keepNext/>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pStyle w:val="Subsection"/>
      </w:pPr>
      <w:r>
        <w:tab/>
        <w:t>(6)</w:t>
      </w:r>
      <w:r>
        <w:tab/>
        <w:t xml:space="preserve">Schedule 9.3 also has effect for the purpose of the transition to — </w:t>
      </w:r>
    </w:p>
    <w:p>
      <w:pPr>
        <w:pStyle w:val="Indenta"/>
      </w:pPr>
      <w:r>
        <w:tab/>
        <w:t>(a)</w:t>
      </w:r>
      <w:r>
        <w:tab/>
        <w:t>this Act as enacted after the coming into operation of an enactment amending it; from</w:t>
      </w:r>
    </w:p>
    <w:p>
      <w:pPr>
        <w:pStyle w:val="Indenta"/>
      </w:pPr>
      <w:r>
        <w:tab/>
        <w:t>(b)</w:t>
      </w:r>
      <w:r>
        <w:tab/>
        <w:t>this Act as enacted before the coming into operation of that enactment.</w:t>
      </w:r>
    </w:p>
    <w:p>
      <w:pPr>
        <w:pStyle w:val="Footnotesection"/>
      </w:pPr>
      <w:r>
        <w:tab/>
        <w:t>[Section 9.71 amended by No. 66 of 2006 s. 13.]</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1408" w:name="_Toc448219498"/>
      <w:bookmarkStart w:id="1409" w:name="_Toc448224720"/>
      <w:bookmarkStart w:id="1410" w:name="_Toc451179957"/>
      <w:bookmarkStart w:id="1411" w:name="_Toc451430877"/>
      <w:bookmarkStart w:id="1412" w:name="_Toc455396827"/>
      <w:bookmarkStart w:id="1413" w:name="_Toc455397687"/>
      <w:bookmarkStart w:id="1414" w:name="_Toc456086770"/>
      <w:bookmarkStart w:id="1415" w:name="_Toc462409783"/>
      <w:r>
        <w:rPr>
          <w:rStyle w:val="CharSchNo"/>
        </w:rPr>
        <w:t>Schedule 2.1</w:t>
      </w:r>
      <w:r>
        <w:rPr>
          <w:rStyle w:val="CharSDivNo"/>
        </w:rPr>
        <w:t> </w:t>
      </w:r>
      <w:r>
        <w:t>—</w:t>
      </w:r>
      <w:r>
        <w:rPr>
          <w:rStyle w:val="CharSDivText"/>
        </w:rPr>
        <w:t> </w:t>
      </w:r>
      <w:r>
        <w:rPr>
          <w:rStyle w:val="CharSchText"/>
        </w:rPr>
        <w:t>Provisions about creating, changing the boundaries of, and abolishing districts</w:t>
      </w:r>
      <w:bookmarkEnd w:id="1408"/>
      <w:bookmarkEnd w:id="1409"/>
      <w:bookmarkEnd w:id="1410"/>
      <w:bookmarkEnd w:id="1411"/>
      <w:bookmarkEnd w:id="1412"/>
      <w:bookmarkEnd w:id="1413"/>
      <w:bookmarkEnd w:id="1414"/>
      <w:bookmarkEnd w:id="1415"/>
    </w:p>
    <w:p>
      <w:pPr>
        <w:pStyle w:val="yShoulderClause"/>
      </w:pPr>
      <w:r>
        <w:t>[Section 2.1(2)]</w:t>
      </w:r>
    </w:p>
    <w:p>
      <w:pPr>
        <w:pStyle w:val="yHeading5"/>
        <w:spacing w:before="180"/>
        <w:outlineLvl w:val="0"/>
      </w:pPr>
      <w:bookmarkStart w:id="1416" w:name="_Toc462409784"/>
      <w:r>
        <w:rPr>
          <w:rStyle w:val="CharSClsNo"/>
        </w:rPr>
        <w:t>1</w:t>
      </w:r>
      <w:r>
        <w:t>.</w:t>
      </w:r>
      <w:r>
        <w:tab/>
        <w:t>Terms used</w:t>
      </w:r>
      <w:bookmarkEnd w:id="1416"/>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rStyle w:val="CharDefText"/>
        </w:rPr>
        <w:t>affected local government</w:t>
      </w:r>
      <w:r>
        <w:t xml:space="preserve"> means a local government directly affected by a proposal;</w:t>
      </w:r>
    </w:p>
    <w:p>
      <w:pPr>
        <w:pStyle w:val="yDefstart"/>
      </w:pPr>
      <w:r>
        <w:tab/>
      </w:r>
      <w:r>
        <w:rPr>
          <w:rStyle w:val="CharDefText"/>
        </w:rPr>
        <w:t>notice</w:t>
      </w:r>
      <w:r>
        <w:t xml:space="preserve"> means notice given or published in such manner as the Advisory Board considers appropriate in the circumstances;</w:t>
      </w:r>
    </w:p>
    <w:p>
      <w:pPr>
        <w:pStyle w:val="yDefstart"/>
      </w:pPr>
      <w:r>
        <w:tab/>
      </w:r>
      <w:r>
        <w:rPr>
          <w:rStyle w:val="CharDefText"/>
        </w:rPr>
        <w:t>proposal</w:t>
      </w:r>
      <w:r>
        <w:t xml:space="preserve"> means a proposal made under clause 2 that an order be made as to any or all of the matters referred to in section 2.1.</w:t>
      </w:r>
    </w:p>
    <w:p>
      <w:pPr>
        <w:pStyle w:val="yHeading5"/>
        <w:spacing w:before="180"/>
        <w:outlineLvl w:val="0"/>
      </w:pPr>
      <w:bookmarkStart w:id="1417" w:name="_Toc462409785"/>
      <w:r>
        <w:rPr>
          <w:rStyle w:val="CharSClsNo"/>
        </w:rPr>
        <w:t>2</w:t>
      </w:r>
      <w:r>
        <w:t>.</w:t>
      </w:r>
      <w:r>
        <w:tab/>
        <w:t>Making a proposal</w:t>
      </w:r>
      <w:bookmarkEnd w:id="1417"/>
    </w:p>
    <w:p>
      <w:pPr>
        <w:pStyle w:val="ySubsection"/>
        <w:spacing w:before="120"/>
      </w:pPr>
      <w:r>
        <w:tab/>
        <w:t>(1)</w:t>
      </w:r>
      <w:r>
        <w:tab/>
        <w:t>A proposal may be made to the Advisory Board by — </w:t>
      </w:r>
    </w:p>
    <w:p>
      <w:pPr>
        <w:pStyle w:val="yIndenta"/>
      </w:pPr>
      <w:r>
        <w:tab/>
        <w:t>(a)</w:t>
      </w:r>
      <w:r>
        <w:tab/>
        <w:t>the Minister; or</w:t>
      </w:r>
    </w:p>
    <w:p>
      <w:pPr>
        <w:pStyle w:val="yIndenta"/>
      </w:pPr>
      <w:r>
        <w:tab/>
        <w:t>(b)</w:t>
      </w:r>
      <w:r>
        <w:tab/>
        <w:t>an affected local government; or</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spacing w:before="120"/>
      </w:pPr>
      <w:r>
        <w:tab/>
        <w:t>(2)</w:t>
      </w:r>
      <w:r>
        <w:tab/>
        <w:t>A proposal is to — </w:t>
      </w:r>
    </w:p>
    <w:p>
      <w:pPr>
        <w:pStyle w:val="yIndenta"/>
      </w:pPr>
      <w:r>
        <w:tab/>
        <w:t>(a)</w:t>
      </w:r>
      <w:r>
        <w:tab/>
        <w:t>set out clearly the nature of the proposal, the reasons for making the proposal and the effects of the proposal on local governments; and</w:t>
      </w:r>
    </w:p>
    <w:p>
      <w:pPr>
        <w:pStyle w:val="yIndenta"/>
      </w:pPr>
      <w:r>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by No. 49 of 2004 s. 67(2).]</w:t>
      </w:r>
    </w:p>
    <w:p>
      <w:pPr>
        <w:pStyle w:val="yHeading5"/>
        <w:outlineLvl w:val="0"/>
      </w:pPr>
      <w:bookmarkStart w:id="1418" w:name="_Toc462409786"/>
      <w:r>
        <w:rPr>
          <w:rStyle w:val="CharSClsNo"/>
        </w:rPr>
        <w:t>3</w:t>
      </w:r>
      <w:r>
        <w:t>.</w:t>
      </w:r>
      <w:r>
        <w:tab/>
        <w:t>Dealing with proposals</w:t>
      </w:r>
      <w:bookmarkEnd w:id="1418"/>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the proposal is substantially similar in effect to a proposal on which the Board has made a recommendation to the Minister within the period of 2 years immediately before the proposal is made; or</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keepNext/>
      </w:pPr>
      <w:r>
        <w:tab/>
        <w:t>(4)</w:t>
      </w:r>
      <w:r>
        <w:tab/>
        <w:t>Unless it makes a recommendation under subclause (2) or (3), the Advisory Board is to formally inquire into the proposal.</w:t>
      </w:r>
    </w:p>
    <w:p>
      <w:pPr>
        <w:pStyle w:val="yFootnotesection"/>
        <w:keepLines w:val="0"/>
      </w:pPr>
      <w:r>
        <w:tab/>
        <w:t>[Clause 3 amended by No. 64 of 1998 s. 52(2); No. 49 of 2004 s. 67(3).]</w:t>
      </w:r>
    </w:p>
    <w:p>
      <w:pPr>
        <w:pStyle w:val="yHeading5"/>
        <w:outlineLvl w:val="0"/>
      </w:pPr>
      <w:bookmarkStart w:id="1419" w:name="_Toc462409787"/>
      <w:r>
        <w:rPr>
          <w:rStyle w:val="CharSClsNo"/>
        </w:rPr>
        <w:t>4</w:t>
      </w:r>
      <w:r>
        <w:t>.</w:t>
      </w:r>
      <w:r>
        <w:tab/>
        <w:t>Notice of inquiry</w:t>
      </w:r>
      <w:bookmarkEnd w:id="1419"/>
    </w:p>
    <w:p>
      <w:pPr>
        <w:pStyle w:val="ySubsection"/>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 and</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outlineLvl w:val="0"/>
      </w:pPr>
      <w:bookmarkStart w:id="1420" w:name="_Toc462409788"/>
      <w:r>
        <w:rPr>
          <w:rStyle w:val="CharSClsNo"/>
        </w:rPr>
        <w:t>5</w:t>
      </w:r>
      <w:r>
        <w:t>.</w:t>
      </w:r>
      <w:r>
        <w:tab/>
        <w:t>Conduct of inquiry</w:t>
      </w:r>
      <w:bookmarkEnd w:id="1420"/>
    </w:p>
    <w:p>
      <w:pPr>
        <w:pStyle w:val="ySubsection"/>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 and</w:t>
      </w:r>
    </w:p>
    <w:p>
      <w:pPr>
        <w:pStyle w:val="yIndenta"/>
      </w:pPr>
      <w:r>
        <w:tab/>
        <w:t>(b)</w:t>
      </w:r>
      <w:r>
        <w:tab/>
        <w:t>physical and topographic features; and</w:t>
      </w:r>
    </w:p>
    <w:p>
      <w:pPr>
        <w:pStyle w:val="yIndenta"/>
      </w:pPr>
      <w:r>
        <w:tab/>
        <w:t>(c)</w:t>
      </w:r>
      <w:r>
        <w:tab/>
        <w:t>demographic trends; and</w:t>
      </w:r>
    </w:p>
    <w:p>
      <w:pPr>
        <w:pStyle w:val="yIndenta"/>
      </w:pPr>
      <w:r>
        <w:tab/>
        <w:t>(d)</w:t>
      </w:r>
      <w:r>
        <w:tab/>
        <w:t>economic factors; and</w:t>
      </w:r>
    </w:p>
    <w:p>
      <w:pPr>
        <w:pStyle w:val="yIndenta"/>
      </w:pPr>
      <w:r>
        <w:tab/>
        <w:t>(e)</w:t>
      </w:r>
      <w:r>
        <w:tab/>
        <w:t>the history of the area; and</w:t>
      </w:r>
    </w:p>
    <w:p>
      <w:pPr>
        <w:pStyle w:val="yIndenta"/>
      </w:pPr>
      <w:r>
        <w:tab/>
        <w:t>(f)</w:t>
      </w:r>
      <w:r>
        <w:tab/>
        <w:t>transport and communication; and</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outlineLvl w:val="0"/>
      </w:pPr>
      <w:bookmarkStart w:id="1421" w:name="_Toc462409789"/>
      <w:r>
        <w:rPr>
          <w:rStyle w:val="CharSClsNo"/>
        </w:rPr>
        <w:t>6</w:t>
      </w:r>
      <w:r>
        <w:t>.</w:t>
      </w:r>
      <w:r>
        <w:tab/>
        <w:t>Recommendation by Advisory Board</w:t>
      </w:r>
      <w:bookmarkEnd w:id="1421"/>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 or</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 and</w:t>
      </w:r>
    </w:p>
    <w:p>
      <w:pPr>
        <w:pStyle w:val="yIndenta"/>
      </w:pPr>
      <w:r>
        <w:tab/>
        <w:t>(b)</w:t>
      </w:r>
      <w:r>
        <w:tab/>
        <w:t>afforded adequate opportunity for submissions to be made about the intended order; and</w:t>
      </w:r>
    </w:p>
    <w:p>
      <w:pPr>
        <w:pStyle w:val="yIndenta"/>
      </w:pPr>
      <w:r>
        <w:tab/>
        <w:t>(c)</w:t>
      </w:r>
      <w:r>
        <w:tab/>
        <w:t>considered any submissions made.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spacing w:before="160"/>
        <w:outlineLvl w:val="0"/>
      </w:pPr>
      <w:bookmarkStart w:id="1422" w:name="_Toc462409790"/>
      <w:r>
        <w:rPr>
          <w:rStyle w:val="CharSClsNo"/>
        </w:rPr>
        <w:t>7</w:t>
      </w:r>
      <w:r>
        <w:t>.</w:t>
      </w:r>
      <w:r>
        <w:tab/>
        <w:t>Minister may require poll of electors</w:t>
      </w:r>
      <w:bookmarkEnd w:id="1422"/>
    </w:p>
    <w:p>
      <w:pPr>
        <w:pStyle w:val="ySubsection"/>
        <w:spacing w:before="120"/>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spacing w:before="160"/>
        <w:outlineLvl w:val="0"/>
      </w:pPr>
      <w:bookmarkStart w:id="1423" w:name="_Toc462409791"/>
      <w:r>
        <w:rPr>
          <w:rStyle w:val="CharSClsNo"/>
        </w:rPr>
        <w:t>8</w:t>
      </w:r>
      <w:r>
        <w:t>.</w:t>
      </w:r>
      <w:r>
        <w:tab/>
        <w:t>Electors may demand poll on recommended amalgamation</w:t>
      </w:r>
      <w:bookmarkEnd w:id="1423"/>
    </w:p>
    <w:p>
      <w:pPr>
        <w:pStyle w:val="ySubsection"/>
        <w:spacing w:before="120"/>
      </w:pPr>
      <w:r>
        <w:tab/>
        <w:t>(1)</w:t>
      </w:r>
      <w:r>
        <w:tab/>
        <w:t>Where the Advisory Board recommends to the Minister the making of an order to abolish 2 or more districts (the</w:t>
      </w:r>
      <w:r>
        <w:rPr>
          <w:rStyle w:val="CharDefText"/>
        </w:rPr>
        <w:t xml:space="preserve"> districts</w:t>
      </w:r>
      <w:r>
        <w:t>) and amalgamate them into one or more districts, the Board is to give notice to affected local governments, affected electors and the other electors of districts directly affected by the recommendation about the recommendation.</w:t>
      </w:r>
    </w:p>
    <w:p>
      <w:pPr>
        <w:pStyle w:val="ySubsection"/>
        <w:spacing w:before="120"/>
      </w:pPr>
      <w:r>
        <w:tab/>
        <w:t>(2)</w:t>
      </w:r>
      <w:r>
        <w:tab/>
        <w:t>The notice to affected electors has to notify them of their right to request a poll about the recommendation under subclause (3).</w:t>
      </w:r>
    </w:p>
    <w:p>
      <w:pPr>
        <w:pStyle w:val="ySubsection"/>
        <w:spacing w:before="120"/>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spacing w:before="120"/>
      </w:pPr>
      <w:r>
        <w:tab/>
        <w:t>(4)</w:t>
      </w:r>
      <w:r>
        <w:tab/>
        <w:t>This clause does not limit the Minister’s power under clause 7 to require a recommendation to be put to a poll in any case.</w:t>
      </w:r>
    </w:p>
    <w:p>
      <w:pPr>
        <w:pStyle w:val="yFootnotesection"/>
        <w:keepLines w:val="0"/>
      </w:pPr>
      <w:r>
        <w:tab/>
        <w:t>[Clause 8 amended by No. 64 of 1998 s. 52(3).]</w:t>
      </w:r>
    </w:p>
    <w:p>
      <w:pPr>
        <w:pStyle w:val="yHeading5"/>
        <w:spacing w:before="160"/>
        <w:outlineLvl w:val="0"/>
      </w:pPr>
      <w:bookmarkStart w:id="1424" w:name="_Toc462409792"/>
      <w:r>
        <w:rPr>
          <w:rStyle w:val="CharSClsNo"/>
        </w:rPr>
        <w:t>9</w:t>
      </w:r>
      <w:r>
        <w:t>.</w:t>
      </w:r>
      <w:r>
        <w:tab/>
        <w:t>Procedure for holding poll</w:t>
      </w:r>
      <w:bookmarkEnd w:id="1424"/>
    </w:p>
    <w:p>
      <w:pPr>
        <w:pStyle w:val="ySubsection"/>
        <w:spacing w:before="120"/>
      </w:pPr>
      <w:r>
        <w:tab/>
        <w:t>(1)</w:t>
      </w:r>
      <w:r>
        <w:tab/>
        <w:t>Where, under clause 7 or 8, the Minister requires that a recommendation be put to a poll — </w:t>
      </w:r>
    </w:p>
    <w:p>
      <w:pPr>
        <w:pStyle w:val="yIndenta"/>
      </w:pPr>
      <w:r>
        <w:tab/>
        <w:t>(a)</w:t>
      </w:r>
      <w:r>
        <w:tab/>
        <w:t>the Advisory Board is to — </w:t>
      </w:r>
    </w:p>
    <w:p>
      <w:pPr>
        <w:pStyle w:val="yIndenti0"/>
      </w:pPr>
      <w:r>
        <w:tab/>
        <w:t>(i)</w:t>
      </w:r>
      <w:r>
        <w:tab/>
        <w:t>determine the question or questions to be answered by electors; and</w:t>
      </w:r>
    </w:p>
    <w:p>
      <w:pPr>
        <w:pStyle w:val="yIndenti0"/>
      </w:pPr>
      <w:r>
        <w:tab/>
        <w:t>(ii)</w:t>
      </w:r>
      <w:r>
        <w:tab/>
        <w:t>prepare a summary of the case for each way of answering the question or questions;</w:t>
      </w:r>
    </w:p>
    <w:p>
      <w:pPr>
        <w:pStyle w:val="yIndenta"/>
      </w:pPr>
      <w:r>
        <w:tab/>
      </w:r>
      <w:r>
        <w:tab/>
        <w:t>and</w:t>
      </w:r>
    </w:p>
    <w:p>
      <w:pPr>
        <w:pStyle w:val="yIndenta"/>
        <w:keepNext/>
        <w:keepLines/>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(2)</w:t>
      </w:r>
      <w:r>
        <w:tab/>
        <w:t>Before making a declaration under subclause (1)(b)(ii), the local government is to obtain the written agreement of the Electoral Commissioner.</w:t>
      </w:r>
    </w:p>
    <w:p>
      <w:pPr>
        <w:pStyle w:val="yFootnotesection"/>
      </w:pPr>
      <w:r>
        <w:tab/>
        <w:t>[Clause 9 amended by No. 49 of 2004 s. 67(4) and (5).]</w:t>
      </w:r>
    </w:p>
    <w:p>
      <w:pPr>
        <w:pStyle w:val="yHeading5"/>
        <w:spacing w:before="240"/>
        <w:outlineLvl w:val="0"/>
      </w:pPr>
      <w:bookmarkStart w:id="1425" w:name="_Toc462409793"/>
      <w:r>
        <w:rPr>
          <w:rStyle w:val="CharSClsNo"/>
        </w:rPr>
        <w:t>10</w:t>
      </w:r>
      <w:r>
        <w:t>.</w:t>
      </w:r>
      <w:r>
        <w:tab/>
        <w:t>Minister may accept or reject recommendation</w:t>
      </w:r>
      <w:bookmarkEnd w:id="1425"/>
    </w:p>
    <w:p>
      <w:pPr>
        <w:pStyle w:val="ySubsection"/>
        <w:spacing w:before="180"/>
      </w:pPr>
      <w:r>
        <w:tab/>
        <w:t>(1)</w:t>
      </w:r>
      <w:r>
        <w:tab/>
        <w:t>Subject to subclause (2), the Minister may accept or reject a recommendation of the Advisory Board made under clause 3 or 6.</w:t>
      </w:r>
    </w:p>
    <w:p>
      <w:pPr>
        <w:pStyle w:val="ySubsection"/>
        <w:spacing w:before="180"/>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spacing w:before="180"/>
      </w:pPr>
      <w:r>
        <w:tab/>
      </w:r>
      <w:r>
        <w:tab/>
        <w:t>the Minister is to reject the recommendation.</w:t>
      </w:r>
    </w:p>
    <w:p>
      <w:pPr>
        <w:pStyle w:val="ySubsection"/>
        <w:spacing w:before="180"/>
      </w:pPr>
      <w:r>
        <w:tab/>
        <w:t>(3)</w:t>
      </w:r>
      <w:r>
        <w:tab/>
        <w:t>If the recommendation is that an order be made and it is accepted, the Minister can make an appropriate recommendation to the Governor under section 2.1.</w:t>
      </w:r>
    </w:p>
    <w:p>
      <w:pPr>
        <w:pStyle w:val="yHeading5"/>
        <w:spacing w:before="180"/>
        <w:outlineLvl w:val="0"/>
      </w:pPr>
      <w:bookmarkStart w:id="1426" w:name="_Toc462409794"/>
      <w:r>
        <w:t>10A.</w:t>
      </w:r>
      <w:r>
        <w:tab/>
        <w:t>Recommendations regarding names, wards and representation</w:t>
      </w:r>
      <w:bookmarkEnd w:id="1426"/>
    </w:p>
    <w:p>
      <w:pPr>
        <w:pStyle w:val="ySubsection"/>
        <w:keepNext/>
        <w:keepLines/>
        <w:spacing w:before="180"/>
      </w:pPr>
      <w:r>
        <w:tab/>
        <w:t>(1)</w:t>
      </w:r>
      <w:r>
        <w:tab/>
        <w:t>The Advisory Board may —</w:t>
      </w:r>
    </w:p>
    <w:p>
      <w:pPr>
        <w:pStyle w:val="yIndenta"/>
      </w:pPr>
      <w:r>
        <w:tab/>
        <w:t>(a)</w:t>
      </w:r>
      <w:r>
        <w:tab/>
        <w:t>when it makes its recommendations under clause 3 or 6; or</w:t>
      </w:r>
    </w:p>
    <w:p>
      <w:pPr>
        <w:pStyle w:val="yIndenta"/>
        <w:keepNext/>
      </w:pPr>
      <w:r>
        <w:tab/>
        <w:t>(b)</w:t>
      </w:r>
      <w:r>
        <w:tab/>
        <w:t>after the Minister has accepted its recommendations under clause 10,</w:t>
      </w:r>
    </w:p>
    <w:p>
      <w:pPr>
        <w:pStyle w:val="ySubsection"/>
      </w:pPr>
      <w:r>
        <w:tab/>
      </w:r>
      <w:r>
        <w:tab/>
        <w:t>in a written report to the Minister, recommend the making of an order to do any of the things referred to in section 2.2(1), 2.3(1) or (2) or 2.18(1) or (3) that the Board considers appropriate.</w:t>
      </w:r>
    </w:p>
    <w:p>
      <w:pPr>
        <w:pStyle w:val="ySubsection"/>
        <w:spacing w:before="180"/>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by No. 64 of 1998 s. 52(4).]</w:t>
      </w:r>
    </w:p>
    <w:p>
      <w:pPr>
        <w:pStyle w:val="yHeading5"/>
        <w:spacing w:before="240"/>
        <w:outlineLvl w:val="0"/>
      </w:pPr>
      <w:bookmarkStart w:id="1427" w:name="_Toc462409795"/>
      <w:r>
        <w:rPr>
          <w:rStyle w:val="CharSClsNo"/>
        </w:rPr>
        <w:t>11</w:t>
      </w:r>
      <w:r>
        <w:t>.</w:t>
      </w:r>
      <w:r>
        <w:tab/>
        <w:t>Transitional arrangements for orders about districts</w:t>
      </w:r>
      <w:bookmarkEnd w:id="1427"/>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pPr>
      <w:r>
        <w:tab/>
        <w:t>(8)</w:t>
      </w:r>
      <w:r>
        <w:tab/>
        <w:t>The Governor may, in a particular case, by order, vary the effect of subclause (6) and regulations made in accordance with subclause (7).</w:t>
      </w:r>
    </w:p>
    <w:p>
      <w:pPr>
        <w:pStyle w:val="yFootnotesection"/>
      </w:pPr>
      <w:r>
        <w:tab/>
        <w:t>[Clause 11 amended by No. 64 of 1998 s. 52(5).]</w:t>
      </w:r>
    </w:p>
    <w:p>
      <w:pPr>
        <w:pStyle w:val="yScheduleHeading"/>
      </w:pPr>
      <w:bookmarkStart w:id="1428" w:name="_Toc448219511"/>
      <w:bookmarkStart w:id="1429" w:name="_Toc448224733"/>
      <w:bookmarkStart w:id="1430" w:name="_Toc451179970"/>
      <w:bookmarkStart w:id="1431" w:name="_Toc451430890"/>
      <w:bookmarkStart w:id="1432" w:name="_Toc455396840"/>
      <w:bookmarkStart w:id="1433" w:name="_Toc455397700"/>
      <w:bookmarkStart w:id="1434" w:name="_Toc456086783"/>
      <w:bookmarkStart w:id="1435" w:name="_Toc462409796"/>
      <w:r>
        <w:rPr>
          <w:rStyle w:val="CharSchNo"/>
        </w:rPr>
        <w:t>Schedule 2.2</w:t>
      </w:r>
      <w:r>
        <w:rPr>
          <w:rStyle w:val="CharSDivNo"/>
        </w:rPr>
        <w:t> </w:t>
      </w:r>
      <w:r>
        <w:t>—</w:t>
      </w:r>
      <w:r>
        <w:rPr>
          <w:rStyle w:val="CharSDivText"/>
        </w:rPr>
        <w:t> </w:t>
      </w:r>
      <w:r>
        <w:rPr>
          <w:rStyle w:val="CharSchText"/>
        </w:rPr>
        <w:t>Provisions about names, wards and representation</w:t>
      </w:r>
      <w:bookmarkEnd w:id="1428"/>
      <w:bookmarkEnd w:id="1429"/>
      <w:bookmarkEnd w:id="1430"/>
      <w:bookmarkEnd w:id="1431"/>
      <w:bookmarkEnd w:id="1432"/>
      <w:bookmarkEnd w:id="1433"/>
      <w:bookmarkEnd w:id="1434"/>
      <w:bookmarkEnd w:id="1435"/>
    </w:p>
    <w:p>
      <w:pPr>
        <w:pStyle w:val="yShoulderClause"/>
      </w:pPr>
      <w:r>
        <w:t>[Section 2.2(3)]</w:t>
      </w:r>
    </w:p>
    <w:p>
      <w:pPr>
        <w:pStyle w:val="yFootnoteheading"/>
      </w:pPr>
      <w:r>
        <w:tab/>
        <w:t>[Heading amended by No. 64 of 1998 s. 53.]</w:t>
      </w:r>
    </w:p>
    <w:p>
      <w:pPr>
        <w:pStyle w:val="yHeading5"/>
        <w:spacing w:before="180"/>
        <w:outlineLvl w:val="0"/>
      </w:pPr>
      <w:bookmarkStart w:id="1436" w:name="_Toc462409797"/>
      <w:r>
        <w:rPr>
          <w:rStyle w:val="CharSClsNo"/>
        </w:rPr>
        <w:t>1</w:t>
      </w:r>
      <w:r>
        <w:t>.</w:t>
      </w:r>
      <w:r>
        <w:tab/>
        <w:t>Terms used</w:t>
      </w:r>
      <w:bookmarkEnd w:id="1436"/>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submission, means electors whose eligibility as electors comes from residence, or ownership or occupation of property, in the area directly affected by the submission;</w:t>
      </w:r>
    </w:p>
    <w:p>
      <w:pPr>
        <w:pStyle w:val="yDefstart"/>
      </w:pPr>
      <w:r>
        <w:rPr>
          <w:b/>
        </w:rPr>
        <w:tab/>
      </w:r>
      <w:r>
        <w:rPr>
          <w:rStyle w:val="CharDefText"/>
        </w:rPr>
        <w:t>review</w:t>
      </w:r>
      <w:r>
        <w:t xml:space="preserve"> means a review required by clause 4(4) or 6 or authorised by clause 5(a);</w:t>
      </w:r>
    </w:p>
    <w:p>
      <w:pPr>
        <w:pStyle w:val="yDefstart"/>
      </w:pPr>
      <w:r>
        <w:rPr>
          <w:b/>
        </w:rPr>
        <w:tab/>
      </w:r>
      <w:r>
        <w:rPr>
          <w:rStyle w:val="CharDefText"/>
        </w:rPr>
        <w:t>submission</w:t>
      </w:r>
      <w:r>
        <w:t xml:space="preserve"> means a submission under clause 3 that an order be made to do any or all of the things referred to in section 2.2(1), 2.3(3) or 2.18(3).</w:t>
      </w:r>
    </w:p>
    <w:p>
      <w:pPr>
        <w:pStyle w:val="yHeading5"/>
        <w:spacing w:before="180"/>
        <w:outlineLvl w:val="0"/>
      </w:pPr>
      <w:bookmarkStart w:id="1437" w:name="_Toc462409798"/>
      <w:r>
        <w:rPr>
          <w:rStyle w:val="CharSClsNo"/>
        </w:rPr>
        <w:t>2</w:t>
      </w:r>
      <w:r>
        <w:t>.</w:t>
      </w:r>
      <w:r>
        <w:tab/>
        <w:t>Advisory Board to make recommendations relating to new district</w:t>
      </w:r>
      <w:bookmarkEnd w:id="1437"/>
    </w:p>
    <w:p>
      <w:pPr>
        <w:pStyle w:val="ySubsection"/>
        <w:spacing w:before="120"/>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spacing w:before="120"/>
      </w:pPr>
      <w:r>
        <w:tab/>
      </w:r>
      <w:r>
        <w:tab/>
        <w:t>is, in a written report to the Minister, to recommend the making of an order to do all or any of the things referred to in section 2.2(1)(a), 2.3(2) or 2.18(1).</w:t>
      </w:r>
    </w:p>
    <w:p>
      <w:pPr>
        <w:pStyle w:val="ySubsection"/>
        <w:spacing w:before="120"/>
      </w:pPr>
      <w:r>
        <w:tab/>
        <w:t>(2)</w:t>
      </w:r>
      <w:r>
        <w:tab/>
        <w:t>In making its recommendations under subclause (1) the Advisory Board is to take into account the matters referred to in clause 8(c) to (g) so far as they are applicable.</w:t>
      </w:r>
    </w:p>
    <w:p>
      <w:pPr>
        <w:pStyle w:val="yHeading5"/>
        <w:spacing w:before="180"/>
        <w:outlineLvl w:val="0"/>
      </w:pPr>
      <w:bookmarkStart w:id="1438" w:name="_Toc462409799"/>
      <w:r>
        <w:rPr>
          <w:rStyle w:val="CharSClsNo"/>
        </w:rPr>
        <w:t>3</w:t>
      </w:r>
      <w:r>
        <w:t>.</w:t>
      </w:r>
      <w:r>
        <w:tab/>
        <w:t>Who may make submissions about ward changes etc.</w:t>
      </w:r>
      <w:bookmarkEnd w:id="1438"/>
    </w:p>
    <w:p>
      <w:pPr>
        <w:pStyle w:val="ySubsection"/>
        <w:spacing w:before="120"/>
      </w:pPr>
      <w:r>
        <w:tab/>
        <w:t>(1)</w:t>
      </w:r>
      <w:r>
        <w:tab/>
        <w:t>A submission may be made to a local government by affected electors who — </w:t>
      </w:r>
    </w:p>
    <w:p>
      <w:pPr>
        <w:pStyle w:val="yIndenta"/>
      </w:pPr>
      <w:r>
        <w:tab/>
        <w:t>(a)</w:t>
      </w:r>
      <w:r>
        <w:tab/>
        <w:t>are at least 250 in number; or</w:t>
      </w:r>
    </w:p>
    <w:p>
      <w:pPr>
        <w:pStyle w:val="yIndenta"/>
      </w:pPr>
      <w:r>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Heading5"/>
        <w:outlineLvl w:val="0"/>
      </w:pPr>
      <w:bookmarkStart w:id="1439" w:name="_Toc462409800"/>
      <w:r>
        <w:rPr>
          <w:rStyle w:val="CharSClsNo"/>
        </w:rPr>
        <w:t>4</w:t>
      </w:r>
      <w:r>
        <w:t>.</w:t>
      </w:r>
      <w:r>
        <w:tab/>
        <w:t>Dealing with submissions</w:t>
      </w:r>
      <w:bookmarkEnd w:id="1439"/>
    </w:p>
    <w:p>
      <w:pPr>
        <w:pStyle w:val="ySubsection"/>
      </w:pPr>
      <w:r>
        <w:tab/>
        <w:t>(1)</w:t>
      </w:r>
      <w:r>
        <w:tab/>
        <w:t>The local government is to consider any submission made under clause 3.</w:t>
      </w:r>
    </w:p>
    <w:p>
      <w:pPr>
        <w:pStyle w:val="ySubsection"/>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by No. 49 of 2004 s. 68(2)</w:t>
      </w:r>
      <w:r>
        <w:noBreakHyphen/>
        <w:t>(4).]</w:t>
      </w:r>
    </w:p>
    <w:p>
      <w:pPr>
        <w:pStyle w:val="yHeading5"/>
        <w:outlineLvl w:val="0"/>
      </w:pPr>
      <w:bookmarkStart w:id="1440" w:name="_Toc462409801"/>
      <w:r>
        <w:rPr>
          <w:rStyle w:val="CharSClsNo"/>
        </w:rPr>
        <w:t>5</w:t>
      </w:r>
      <w:r>
        <w:t>.</w:t>
      </w:r>
      <w:r>
        <w:tab/>
        <w:t>Local government may propose ward changes or make minor proposals</w:t>
      </w:r>
      <w:bookmarkEnd w:id="1440"/>
    </w:p>
    <w:p>
      <w:pPr>
        <w:pStyle w:val="ySubsection"/>
      </w:pPr>
      <w:r>
        <w:tab/>
      </w:r>
      <w:r>
        <w:tab/>
        <w:t>A local government may, whether or not it has received a submission — </w:t>
      </w:r>
    </w:p>
    <w:p>
      <w:pPr>
        <w:pStyle w:val="yIndenta"/>
      </w:pPr>
      <w:r>
        <w:tab/>
        <w:t>(a)</w:t>
      </w:r>
      <w:r>
        <w:tab/>
        <w:t>carry out a review of whether or not an order under section 2.2, 2.3(3) or 2.18 should, in the council’s opinion, be made; or</w:t>
      </w:r>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outlineLvl w:val="0"/>
      </w:pPr>
      <w:bookmarkStart w:id="1441" w:name="_Toc462409802"/>
      <w:r>
        <w:rPr>
          <w:rStyle w:val="CharSClsNo"/>
        </w:rPr>
        <w:t>6</w:t>
      </w:r>
      <w:r>
        <w:t>.</w:t>
      </w:r>
      <w:r>
        <w:tab/>
        <w:t>Local government with wards to review periodically</w:t>
      </w:r>
      <w:bookmarkEnd w:id="1441"/>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8 years elapse between successive reviews.</w:t>
      </w:r>
    </w:p>
    <w:p>
      <w:pPr>
        <w:pStyle w:val="ySubsection"/>
      </w:pPr>
      <w:r>
        <w:tab/>
        <w:t>(2)</w:t>
      </w:r>
      <w:r>
        <w:tab/>
        <w:t xml:space="preserve">A local government the district of which is not divided into wards may carry out reviews as to — </w:t>
      </w:r>
    </w:p>
    <w:p>
      <w:pPr>
        <w:pStyle w:val="yIndenta"/>
      </w:pPr>
      <w:r>
        <w:tab/>
        <w:t>(a)</w:t>
      </w:r>
      <w:r>
        <w:tab/>
        <w:t>whether or not the district should be divided into wards; and</w:t>
      </w:r>
    </w:p>
    <w:p>
      <w:pPr>
        <w:pStyle w:val="yIndenta"/>
      </w:pPr>
      <w:r>
        <w:tab/>
        <w:t>(b)</w:t>
      </w:r>
      <w:r>
        <w:tab/>
        <w:t xml:space="preserve">if so — </w:t>
      </w:r>
    </w:p>
    <w:p>
      <w:pPr>
        <w:pStyle w:val="yIndenti0"/>
      </w:pPr>
      <w:r>
        <w:tab/>
        <w:t>(i)</w:t>
      </w:r>
      <w:r>
        <w:tab/>
        <w:t>what the ward boundaries should be; and</w:t>
      </w:r>
    </w:p>
    <w:p>
      <w:pPr>
        <w:pStyle w:val="yIndenti0"/>
      </w:pPr>
      <w:r>
        <w:tab/>
        <w:t>(ii)</w:t>
      </w:r>
      <w:r>
        <w:tab/>
        <w:t>the number of offices of councillor there should be for each ward,</w:t>
      </w:r>
    </w:p>
    <w:p>
      <w:pPr>
        <w:pStyle w:val="ySubsection"/>
      </w:pPr>
      <w:r>
        <w:tab/>
      </w:r>
      <w:r>
        <w:tab/>
        <w:t>from time to time so that not more than 8 years elapse between successive reviews.</w:t>
      </w:r>
    </w:p>
    <w:p>
      <w:pPr>
        <w:pStyle w:val="ySubsection"/>
      </w:pPr>
      <w:r>
        <w:tab/>
        <w:t>(3)</w:t>
      </w:r>
      <w:r>
        <w:tab/>
        <w:t>A local government is to carry out a review described in subclause (1) or (2) at any time if the Advisory Board requires the local government in writing to do so.</w:t>
      </w:r>
    </w:p>
    <w:p>
      <w:pPr>
        <w:pStyle w:val="yFootnotesection"/>
        <w:rPr>
          <w:i w:val="0"/>
        </w:rPr>
      </w:pPr>
      <w:r>
        <w:tab/>
        <w:t>[Clause 6 amended by No. 49 of 2004 s. 68(5) and (6).]</w:t>
      </w:r>
    </w:p>
    <w:p>
      <w:pPr>
        <w:pStyle w:val="yHeading5"/>
        <w:keepLines w:val="0"/>
        <w:outlineLvl w:val="0"/>
      </w:pPr>
      <w:bookmarkStart w:id="1442" w:name="_Toc462409803"/>
      <w:r>
        <w:rPr>
          <w:rStyle w:val="CharSClsNo"/>
        </w:rPr>
        <w:t>7</w:t>
      </w:r>
      <w:r>
        <w:t>.</w:t>
      </w:r>
      <w:r>
        <w:tab/>
        <w:t>Reviews</w:t>
      </w:r>
      <w:bookmarkEnd w:id="1442"/>
    </w:p>
    <w:p>
      <w:pPr>
        <w:pStyle w:val="ySubsection"/>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spacing w:before="180"/>
      </w:pPr>
      <w:r>
        <w:tab/>
        <w:t>(2)</w:t>
      </w:r>
      <w:r>
        <w:tab/>
        <w:t>In carrying out the review the local government is to consider submissions made to it before the day fixed by the notice.</w:t>
      </w:r>
    </w:p>
    <w:p>
      <w:pPr>
        <w:pStyle w:val="yHeading5"/>
        <w:outlineLvl w:val="0"/>
      </w:pPr>
      <w:bookmarkStart w:id="1443" w:name="_Toc462409804"/>
      <w:r>
        <w:rPr>
          <w:rStyle w:val="CharSClsNo"/>
        </w:rPr>
        <w:t>8</w:t>
      </w:r>
      <w:r>
        <w:t>.</w:t>
      </w:r>
      <w:r>
        <w:tab/>
        <w:t>Matters to be considered in respect of wards</w:t>
      </w:r>
      <w:bookmarkEnd w:id="1443"/>
    </w:p>
    <w:p>
      <w:pPr>
        <w:pStyle w:val="ySubsection"/>
      </w:pPr>
      <w:r>
        <w:tab/>
      </w:r>
      <w:r>
        <w:tab/>
        <w:t>Before a local government proposes that an order be made — </w:t>
      </w:r>
    </w:p>
    <w:p>
      <w:pPr>
        <w:pStyle w:val="yIndenta"/>
      </w:pPr>
      <w:r>
        <w:tab/>
        <w:t>(a)</w:t>
      </w:r>
      <w:r>
        <w:tab/>
        <w:t>to do any of the matters in section 2.2(1), other than discontinuing a ward system; or</w:t>
      </w:r>
    </w:p>
    <w:p>
      <w:pPr>
        <w:pStyle w:val="yIndenta"/>
      </w:pPr>
      <w:r>
        <w:tab/>
        <w:t>(b)</w:t>
      </w:r>
      <w:r>
        <w:tab/>
        <w:t>to specify or change the number of offices of councillor for a ward,</w:t>
      </w:r>
    </w:p>
    <w:p>
      <w:pPr>
        <w:pStyle w:val="ySubsection"/>
      </w:pPr>
      <w:r>
        <w:tab/>
      </w:r>
      <w:r>
        <w:tab/>
        <w:t>or proposes under clause 4(2) that a submission be rejected, its council is to have regard, where applicable, to — </w:t>
      </w:r>
    </w:p>
    <w:p>
      <w:pPr>
        <w:pStyle w:val="yIndenta"/>
      </w:pPr>
      <w:r>
        <w:tab/>
        <w:t>(c)</w:t>
      </w:r>
      <w:r>
        <w:tab/>
        <w:t>community of interests; and</w:t>
      </w:r>
    </w:p>
    <w:p>
      <w:pPr>
        <w:pStyle w:val="yIndenta"/>
      </w:pPr>
      <w:r>
        <w:tab/>
        <w:t>(d)</w:t>
      </w:r>
      <w:r>
        <w:tab/>
        <w:t>physical and topographic features; and</w:t>
      </w:r>
    </w:p>
    <w:p>
      <w:pPr>
        <w:pStyle w:val="yIndenta"/>
      </w:pPr>
      <w:r>
        <w:tab/>
        <w:t>(e)</w:t>
      </w:r>
      <w:r>
        <w:tab/>
        <w:t>demographic trends; and</w:t>
      </w:r>
    </w:p>
    <w:p>
      <w:pPr>
        <w:pStyle w:val="yIndenta"/>
        <w:keepNext/>
      </w:pPr>
      <w:r>
        <w:tab/>
        <w:t>(f)</w:t>
      </w:r>
      <w:r>
        <w:tab/>
        <w:t>economic factors; and</w:t>
      </w:r>
    </w:p>
    <w:p>
      <w:pPr>
        <w:pStyle w:val="yIndenta"/>
      </w:pPr>
      <w:r>
        <w:tab/>
        <w:t>(g)</w:t>
      </w:r>
      <w:r>
        <w:tab/>
        <w:t>the ratio of councillors to electors in the various wards.</w:t>
      </w:r>
    </w:p>
    <w:p>
      <w:pPr>
        <w:pStyle w:val="yFootnotesection"/>
      </w:pPr>
      <w:r>
        <w:tab/>
        <w:t>[Clause 8 amended by No. 49 of 2004 s. 68(7).]</w:t>
      </w:r>
    </w:p>
    <w:p>
      <w:pPr>
        <w:pStyle w:val="yHeading5"/>
        <w:outlineLvl w:val="0"/>
      </w:pPr>
      <w:bookmarkStart w:id="1444" w:name="_Toc462409805"/>
      <w:r>
        <w:rPr>
          <w:rStyle w:val="CharSClsNo"/>
        </w:rPr>
        <w:t>9</w:t>
      </w:r>
      <w:r>
        <w:t>.</w:t>
      </w:r>
      <w:r>
        <w:tab/>
        <w:t>Proposal by local government</w:t>
      </w:r>
      <w:bookmarkEnd w:id="1444"/>
    </w:p>
    <w:p>
      <w:pPr>
        <w:pStyle w:val="ySubsection"/>
      </w:pPr>
      <w:r>
        <w:tab/>
      </w:r>
      <w:r>
        <w:tab/>
        <w:t>On completing a review, the local government is to make a report in writing to the Advisory Board and may propose* to the Board the making of any order under section 2.2(1), 2.3(3) or 2.18(3) it thinks fit.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spacing w:before="240"/>
        <w:outlineLvl w:val="0"/>
      </w:pPr>
      <w:bookmarkStart w:id="1445" w:name="_Toc462409806"/>
      <w:r>
        <w:rPr>
          <w:rStyle w:val="CharSClsNo"/>
        </w:rPr>
        <w:t>10</w:t>
      </w:r>
      <w:r>
        <w:t>.</w:t>
      </w:r>
      <w:r>
        <w:tab/>
        <w:t>Recommendation by Advisory Board</w:t>
      </w:r>
      <w:bookmarkEnd w:id="1445"/>
    </w:p>
    <w:p>
      <w:pPr>
        <w:pStyle w:val="ySubsection"/>
        <w:spacing w:before="120"/>
      </w:pPr>
      <w:r>
        <w:tab/>
        <w:t>(1)</w:t>
      </w:r>
      <w:r>
        <w:tab/>
        <w:t>Where under clause 5(b) a local government proposes to the Advisory Board the making of an order under section 2.2(1), 2.3(3) or 2.18(3), and the Board is of the opinion that the proposal is — </w:t>
      </w:r>
    </w:p>
    <w:p>
      <w:pPr>
        <w:pStyle w:val="yIndenta"/>
        <w:spacing w:before="100"/>
      </w:pPr>
      <w:r>
        <w:tab/>
        <w:t>(a)</w:t>
      </w:r>
      <w:r>
        <w:tab/>
        <w:t>one of a minor nature; and</w:t>
      </w:r>
    </w:p>
    <w:p>
      <w:pPr>
        <w:pStyle w:val="yIndenta"/>
        <w:spacing w:before="100"/>
      </w:pPr>
      <w:r>
        <w:tab/>
        <w:t>(b)</w:t>
      </w:r>
      <w:r>
        <w:tab/>
        <w:t>not one about which public submissions need be invited,</w:t>
      </w:r>
    </w:p>
    <w:p>
      <w:pPr>
        <w:pStyle w:val="ySubsection"/>
        <w:spacing w:before="10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0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spacing w:before="10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spacing w:before="100"/>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spacing w:before="100"/>
      </w:pPr>
      <w:r>
        <w:tab/>
        <w:t>(b)</w:t>
      </w:r>
      <w:r>
        <w:tab/>
        <w:t>if the local government does not make a proposal as required by a notice under paragraph (a), the Board may, in a written report to the Minister, recommend* the making of any order under section 2.2(1), 2.3(3) or 2.18(3) it thinks fit that would correctly take into account those matters.</w:t>
      </w:r>
    </w:p>
    <w:p>
      <w:pPr>
        <w:pStyle w:val="MiscellaneousBody"/>
        <w:spacing w:before="100"/>
        <w:rPr>
          <w:rFonts w:ascii="Arial" w:hAnsi="Arial" w:cs="Arial"/>
          <w:i/>
          <w:snapToGrid w:val="0"/>
          <w:sz w:val="18"/>
          <w:szCs w:val="18"/>
        </w:rPr>
      </w:pPr>
      <w:r>
        <w:rPr>
          <w:rFonts w:ascii="Arial" w:hAnsi="Arial" w:cs="Arial"/>
          <w:i/>
          <w:snapToGrid w:val="0"/>
          <w:sz w:val="18"/>
          <w:szCs w:val="18"/>
        </w:rPr>
        <w:tab/>
        <w:t>* Absolute majority required.</w:t>
      </w:r>
    </w:p>
    <w:p>
      <w:pPr>
        <w:pStyle w:val="ySubsection"/>
        <w:spacing w:before="10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MiscellaneousBody"/>
        <w:spacing w:before="100"/>
        <w:rPr>
          <w:rFonts w:ascii="Arial" w:hAnsi="Arial" w:cs="Arial"/>
          <w:i/>
          <w:snapToGrid w:val="0"/>
          <w:sz w:val="18"/>
          <w:szCs w:val="18"/>
        </w:rPr>
      </w:pPr>
      <w:r>
        <w:rPr>
          <w:rFonts w:ascii="Arial" w:hAnsi="Arial" w:cs="Arial"/>
          <w:i/>
          <w:snapToGrid w:val="0"/>
          <w:sz w:val="18"/>
          <w:szCs w:val="18"/>
        </w:rPr>
        <w:tab/>
        <w:t>* Absolute majority required.</w:t>
      </w:r>
    </w:p>
    <w:p>
      <w:pPr>
        <w:pStyle w:val="yFootnotesection"/>
        <w:spacing w:before="60"/>
        <w:rPr>
          <w:i w:val="0"/>
        </w:rPr>
      </w:pPr>
      <w:r>
        <w:tab/>
        <w:t>[Clause 10 amended by No. 49 of 2004 s. 68(8).]</w:t>
      </w:r>
    </w:p>
    <w:p>
      <w:pPr>
        <w:pStyle w:val="yHeading5"/>
        <w:outlineLvl w:val="0"/>
      </w:pPr>
      <w:bookmarkStart w:id="1446" w:name="_Toc462409807"/>
      <w:r>
        <w:rPr>
          <w:rStyle w:val="CharSClsNo"/>
        </w:rPr>
        <w:t>11</w:t>
      </w:r>
      <w:r>
        <w:t>.</w:t>
      </w:r>
      <w:r>
        <w:tab/>
        <w:t>Inquiry by Advisory Board</w:t>
      </w:r>
      <w:bookmarkEnd w:id="1446"/>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outlineLvl w:val="0"/>
      </w:pPr>
      <w:bookmarkStart w:id="1447" w:name="_Toc462409808"/>
      <w:r>
        <w:rPr>
          <w:rStyle w:val="CharSClsNo"/>
        </w:rPr>
        <w:t>12</w:t>
      </w:r>
      <w:r>
        <w:t>.</w:t>
      </w:r>
      <w:r>
        <w:tab/>
        <w:t>Minister may accept or reject recommendation</w:t>
      </w:r>
      <w:bookmarkEnd w:id="1447"/>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1448" w:name="_Toc448219524"/>
      <w:bookmarkStart w:id="1449" w:name="_Toc448224746"/>
      <w:bookmarkStart w:id="1450" w:name="_Toc451179983"/>
      <w:bookmarkStart w:id="1451" w:name="_Toc451430903"/>
      <w:bookmarkStart w:id="1452" w:name="_Toc455396853"/>
      <w:bookmarkStart w:id="1453" w:name="_Toc455397713"/>
      <w:bookmarkStart w:id="1454" w:name="_Toc456086796"/>
      <w:bookmarkStart w:id="1455" w:name="_Toc462409809"/>
      <w:r>
        <w:rPr>
          <w:rStyle w:val="CharSchNo"/>
        </w:rPr>
        <w:t>Schedule 2.3</w:t>
      </w:r>
      <w:r>
        <w:t> — </w:t>
      </w:r>
      <w:r>
        <w:rPr>
          <w:rStyle w:val="CharSchText"/>
        </w:rPr>
        <w:t>When and how mayors, presidents, deputy mayors and deputy presidents are elected by the council</w:t>
      </w:r>
      <w:bookmarkEnd w:id="1448"/>
      <w:bookmarkEnd w:id="1449"/>
      <w:bookmarkEnd w:id="1450"/>
      <w:bookmarkEnd w:id="1451"/>
      <w:bookmarkEnd w:id="1452"/>
      <w:bookmarkEnd w:id="1453"/>
      <w:bookmarkEnd w:id="1454"/>
      <w:bookmarkEnd w:id="1455"/>
    </w:p>
    <w:p>
      <w:pPr>
        <w:pStyle w:val="yShoulderClause"/>
      </w:pPr>
      <w:r>
        <w:t>[Sections 2.11(1)(b) and 2.15]</w:t>
      </w:r>
    </w:p>
    <w:p>
      <w:pPr>
        <w:pStyle w:val="yHeading3"/>
        <w:outlineLvl w:val="0"/>
      </w:pPr>
      <w:bookmarkStart w:id="1456" w:name="_Toc448219525"/>
      <w:bookmarkStart w:id="1457" w:name="_Toc448224747"/>
      <w:bookmarkStart w:id="1458" w:name="_Toc451179984"/>
      <w:bookmarkStart w:id="1459" w:name="_Toc451430904"/>
      <w:bookmarkStart w:id="1460" w:name="_Toc455396854"/>
      <w:bookmarkStart w:id="1461" w:name="_Toc455397714"/>
      <w:bookmarkStart w:id="1462" w:name="_Toc456086797"/>
      <w:bookmarkStart w:id="1463" w:name="_Toc462409810"/>
      <w:r>
        <w:rPr>
          <w:rStyle w:val="CharSDivNo"/>
        </w:rPr>
        <w:t>Division 1 </w:t>
      </w:r>
      <w:r>
        <w:t>— </w:t>
      </w:r>
      <w:r>
        <w:rPr>
          <w:rStyle w:val="CharSDivText"/>
        </w:rPr>
        <w:t>Mayors and presidents</w:t>
      </w:r>
      <w:bookmarkEnd w:id="1456"/>
      <w:bookmarkEnd w:id="1457"/>
      <w:bookmarkEnd w:id="1458"/>
      <w:bookmarkEnd w:id="1459"/>
      <w:bookmarkEnd w:id="1460"/>
      <w:bookmarkEnd w:id="1461"/>
      <w:bookmarkEnd w:id="1462"/>
      <w:bookmarkEnd w:id="1463"/>
    </w:p>
    <w:p>
      <w:pPr>
        <w:pStyle w:val="yHeading5"/>
        <w:outlineLvl w:val="0"/>
      </w:pPr>
      <w:bookmarkStart w:id="1464" w:name="_Toc462409811"/>
      <w:r>
        <w:rPr>
          <w:rStyle w:val="CharSClsNo"/>
        </w:rPr>
        <w:t>1</w:t>
      </w:r>
      <w:r>
        <w:t>.</w:t>
      </w:r>
      <w:r>
        <w:tab/>
        <w:t>Terms used</w:t>
      </w:r>
      <w:bookmarkEnd w:id="1464"/>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councillor mayor or president.</w:t>
      </w:r>
    </w:p>
    <w:p>
      <w:pPr>
        <w:pStyle w:val="yHeading5"/>
        <w:outlineLvl w:val="0"/>
      </w:pPr>
      <w:bookmarkStart w:id="1465" w:name="_Toc462409812"/>
      <w:r>
        <w:rPr>
          <w:rStyle w:val="CharSClsNo"/>
        </w:rPr>
        <w:t>2</w:t>
      </w:r>
      <w:r>
        <w:t>.</w:t>
      </w:r>
      <w:r>
        <w:tab/>
        <w:t>When council elects mayor or president</w:t>
      </w:r>
      <w:bookmarkEnd w:id="1465"/>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outlineLvl w:val="0"/>
      </w:pPr>
      <w:bookmarkStart w:id="1466" w:name="_Toc462409813"/>
      <w:r>
        <w:rPr>
          <w:rStyle w:val="CharSClsNo"/>
        </w:rPr>
        <w:t>3</w:t>
      </w:r>
      <w:r>
        <w:t>.</w:t>
      </w:r>
      <w:r>
        <w:tab/>
        <w:t>CEO to preside</w:t>
      </w:r>
      <w:bookmarkEnd w:id="1466"/>
    </w:p>
    <w:p>
      <w:pPr>
        <w:pStyle w:val="ySubsection"/>
      </w:pPr>
      <w:r>
        <w:tab/>
      </w:r>
      <w:r>
        <w:tab/>
        <w:t>The CEO is to preside at the meeting until the office is filled.</w:t>
      </w:r>
    </w:p>
    <w:p>
      <w:pPr>
        <w:pStyle w:val="yHeading5"/>
        <w:outlineLvl w:val="0"/>
      </w:pPr>
      <w:bookmarkStart w:id="1467" w:name="_Toc462409814"/>
      <w:r>
        <w:rPr>
          <w:rStyle w:val="CharSClsNo"/>
        </w:rPr>
        <w:t>4</w:t>
      </w:r>
      <w:r>
        <w:t>.</w:t>
      </w:r>
      <w:r>
        <w:tab/>
        <w:t>How mayor or president is elected</w:t>
      </w:r>
      <w:bookmarkEnd w:id="1467"/>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Schedule 4.1 (which deals with determining the result of an election) as if those votes were votes cast at an election.</w:t>
      </w:r>
    </w:p>
    <w:p>
      <w:pPr>
        <w:pStyle w:val="ySubsection"/>
      </w:pPr>
      <w:r>
        <w:tab/>
        <w:t>(7)</w:t>
      </w:r>
      <w:r>
        <w:tab/>
        <w:t>As soon as is practicable after the result of the election is known, the CEO is to declare and give notice of the result in accordance with regulations, if any.</w:t>
      </w:r>
    </w:p>
    <w:p>
      <w:pPr>
        <w:pStyle w:val="yFootnotesection"/>
      </w:pPr>
      <w:r>
        <w:tab/>
        <w:t>[Clause 4 amended by No. 49 of 2004 s. 69(2)</w:t>
      </w:r>
      <w:r>
        <w:noBreakHyphen/>
        <w:t>(5); No. 66 of 2006 s. 14.]</w:t>
      </w:r>
    </w:p>
    <w:p>
      <w:pPr>
        <w:pStyle w:val="yHeading5"/>
        <w:outlineLvl w:val="0"/>
      </w:pPr>
      <w:bookmarkStart w:id="1468" w:name="_Toc462409815"/>
      <w:r>
        <w:rPr>
          <w:rStyle w:val="CharSClsNo"/>
        </w:rPr>
        <w:t>5</w:t>
      </w:r>
      <w:r>
        <w:t>.</w:t>
      </w:r>
      <w:r>
        <w:tab/>
        <w:t>Votes may be cast a second time</w:t>
      </w:r>
      <w:bookmarkEnd w:id="1468"/>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pageBreakBefore/>
        <w:spacing w:before="0"/>
        <w:outlineLvl w:val="0"/>
      </w:pPr>
      <w:bookmarkStart w:id="1469" w:name="_Toc448219531"/>
      <w:bookmarkStart w:id="1470" w:name="_Toc448224753"/>
      <w:bookmarkStart w:id="1471" w:name="_Toc451179990"/>
      <w:bookmarkStart w:id="1472" w:name="_Toc451430910"/>
      <w:bookmarkStart w:id="1473" w:name="_Toc455396860"/>
      <w:bookmarkStart w:id="1474" w:name="_Toc455397720"/>
      <w:bookmarkStart w:id="1475" w:name="_Toc456086803"/>
      <w:bookmarkStart w:id="1476" w:name="_Toc462409816"/>
      <w:r>
        <w:rPr>
          <w:rStyle w:val="CharSDivNo"/>
        </w:rPr>
        <w:t>Division 2 </w:t>
      </w:r>
      <w:r>
        <w:t>— </w:t>
      </w:r>
      <w:r>
        <w:rPr>
          <w:rStyle w:val="CharSDivText"/>
        </w:rPr>
        <w:t>Deputy mayors and deputy presidents</w:t>
      </w:r>
      <w:bookmarkEnd w:id="1469"/>
      <w:bookmarkEnd w:id="1470"/>
      <w:bookmarkEnd w:id="1471"/>
      <w:bookmarkEnd w:id="1472"/>
      <w:bookmarkEnd w:id="1473"/>
      <w:bookmarkEnd w:id="1474"/>
      <w:bookmarkEnd w:id="1475"/>
      <w:bookmarkEnd w:id="1476"/>
    </w:p>
    <w:p>
      <w:pPr>
        <w:pStyle w:val="yHeading5"/>
        <w:outlineLvl w:val="0"/>
      </w:pPr>
      <w:bookmarkStart w:id="1477" w:name="_Toc462409817"/>
      <w:r>
        <w:rPr>
          <w:rStyle w:val="CharSClsNo"/>
        </w:rPr>
        <w:t>6</w:t>
      </w:r>
      <w:r>
        <w:t>.</w:t>
      </w:r>
      <w:r>
        <w:tab/>
        <w:t>Terms used</w:t>
      </w:r>
      <w:bookmarkEnd w:id="1477"/>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deputy mayor or deputy president.</w:t>
      </w:r>
    </w:p>
    <w:p>
      <w:pPr>
        <w:pStyle w:val="yHeading5"/>
        <w:outlineLvl w:val="0"/>
      </w:pPr>
      <w:bookmarkStart w:id="1478" w:name="_Toc462409818"/>
      <w:r>
        <w:rPr>
          <w:rStyle w:val="CharSClsNo"/>
        </w:rPr>
        <w:t>7</w:t>
      </w:r>
      <w:r>
        <w:t>.</w:t>
      </w:r>
      <w:r>
        <w:tab/>
        <w:t>When council elects deputy mayor or deputy president</w:t>
      </w:r>
      <w:bookmarkEnd w:id="1478"/>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outlineLvl w:val="0"/>
      </w:pPr>
      <w:bookmarkStart w:id="1479" w:name="_Toc462409819"/>
      <w:r>
        <w:rPr>
          <w:rStyle w:val="CharSClsNo"/>
        </w:rPr>
        <w:t>8</w:t>
      </w:r>
      <w:r>
        <w:t>.</w:t>
      </w:r>
      <w:r>
        <w:tab/>
        <w:t>How deputy mayor or deputy president is elected</w:t>
      </w:r>
      <w:bookmarkEnd w:id="1479"/>
    </w:p>
    <w:p>
      <w:pPr>
        <w:pStyle w:val="ySubsection"/>
      </w:pPr>
      <w:r>
        <w:tab/>
        <w:t>(1)</w:t>
      </w:r>
      <w:r>
        <w:tab/>
        <w:t>The council is to elect a councillor (other than the mayor or president) to fill the office.</w:t>
      </w:r>
    </w:p>
    <w:p>
      <w:pPr>
        <w:pStyle w:val="ySubsection"/>
      </w:pPr>
      <w:r>
        <w:tab/>
        <w:t>(2)</w:t>
      </w:r>
      <w:r>
        <w:tab/>
        <w:t>The election is to be conducted in accordance with the procedure prescribed by the mayor or president, or if he or she is not present, by the CEO.</w:t>
      </w:r>
    </w:p>
    <w:p>
      <w:pPr>
        <w:pStyle w:val="ySubsection"/>
      </w:pPr>
      <w:r>
        <w:tab/>
        <w:t>(3)</w:t>
      </w:r>
      <w:r>
        <w:tab/>
        <w:t>Nominations for the office are to be given to the person conducting the election in writing before the meeting or during the meeting before the close of nominations.</w:t>
      </w:r>
    </w:p>
    <w:p>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pPr>
        <w:pStyle w:val="ySubsection"/>
      </w:pPr>
      <w:r>
        <w:tab/>
        <w:t>(5)</w:t>
      </w:r>
      <w:r>
        <w:tab/>
        <w:t>The council members are to vote on the matter by secret ballot as if they were electors voting at an election.</w:t>
      </w:r>
    </w:p>
    <w:p>
      <w:pPr>
        <w:pStyle w:val="ySubsection"/>
      </w:pPr>
      <w:r>
        <w:tab/>
        <w:t>(6)</w:t>
      </w:r>
      <w:r>
        <w:tab/>
        <w:t>Subject to clause 9(1) the votes cast under subclause (5) are to be counted, and the successful candidate determined, in accordance with Schedule 4.1 as if those votes were votes cast at an election.</w:t>
      </w:r>
    </w:p>
    <w:p>
      <w:pPr>
        <w:pStyle w:val="ySubsection"/>
      </w:pPr>
      <w:r>
        <w:tab/>
        <w:t>(7)</w:t>
      </w:r>
      <w:r>
        <w:tab/>
        <w:t>As soon as is practicable after the result of the election is known, the person conducting the election is to declare and give notice of the result in accordance with regulations, if any.</w:t>
      </w:r>
    </w:p>
    <w:p>
      <w:pPr>
        <w:pStyle w:val="yFootnotesection"/>
      </w:pPr>
      <w:r>
        <w:tab/>
        <w:t>[Clause 8 amended by No. 64 of 1998 s. 54(2)</w:t>
      </w:r>
      <w:r>
        <w:noBreakHyphen/>
        <w:t>(4); No. 49 of 2004 s. 69(6)</w:t>
      </w:r>
      <w:r>
        <w:noBreakHyphen/>
        <w:t>(9).]</w:t>
      </w:r>
    </w:p>
    <w:p>
      <w:pPr>
        <w:pStyle w:val="yHeading5"/>
        <w:outlineLvl w:val="0"/>
      </w:pPr>
      <w:bookmarkStart w:id="1480" w:name="_Toc462409820"/>
      <w:r>
        <w:rPr>
          <w:rStyle w:val="CharSClsNo"/>
        </w:rPr>
        <w:t>9</w:t>
      </w:r>
      <w:r>
        <w:t>.</w:t>
      </w:r>
      <w:r>
        <w:tab/>
        <w:t>Votes may be cast a second time</w:t>
      </w:r>
      <w:bookmarkEnd w:id="1480"/>
    </w:p>
    <w:p>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pPr>
        <w:pStyle w:val="ySubsection"/>
      </w:pPr>
      <w:r>
        <w:tab/>
        <w:t>(2)</w:t>
      </w:r>
      <w:r>
        <w:tab/>
        <w:t>Any nomination for the office may be withdrawn, and further nominations may be made, before or when the special meeting is held.</w:t>
      </w:r>
    </w:p>
    <w:p>
      <w:pPr>
        <w:pStyle w:val="ySubsection"/>
      </w:pPr>
      <w:r>
        <w:tab/>
        <w:t>(3)</w:t>
      </w:r>
      <w:r>
        <w:tab/>
        <w:t>When the special meeting is held the council members are to vote again on the matter by secret ballot as if they were voting at an election.</w:t>
      </w:r>
    </w:p>
    <w:p>
      <w:pPr>
        <w:pStyle w:val="ySubsection"/>
      </w:pPr>
      <w:r>
        <w:tab/>
        <w:t>(4)</w:t>
      </w:r>
      <w:r>
        <w:tab/>
        <w:t>The votes cast under subclause (3) are to be counted, and the successful candidate determined, under Schedule 4.1 as if those votes were votes cast at an election.</w:t>
      </w:r>
    </w:p>
    <w:p>
      <w:pPr>
        <w:pStyle w:val="yFootnotesection"/>
      </w:pPr>
      <w:r>
        <w:tab/>
        <w:t>[Clause 9 amended by No. 49 of 2004 s. 69(10).]</w:t>
      </w:r>
    </w:p>
    <w:p>
      <w:pPr>
        <w:pStyle w:val="yHeading3"/>
        <w:outlineLvl w:val="0"/>
      </w:pPr>
      <w:bookmarkStart w:id="1481" w:name="_Toc448219536"/>
      <w:bookmarkStart w:id="1482" w:name="_Toc448224758"/>
      <w:bookmarkStart w:id="1483" w:name="_Toc451179995"/>
      <w:bookmarkStart w:id="1484" w:name="_Toc451430915"/>
      <w:bookmarkStart w:id="1485" w:name="_Toc455396865"/>
      <w:bookmarkStart w:id="1486" w:name="_Toc455397725"/>
      <w:bookmarkStart w:id="1487" w:name="_Toc456086808"/>
      <w:bookmarkStart w:id="1488" w:name="_Toc462409821"/>
      <w:r>
        <w:rPr>
          <w:rStyle w:val="CharSDivNo"/>
        </w:rPr>
        <w:t>Division 3 </w:t>
      </w:r>
      <w:r>
        <w:t>— </w:t>
      </w:r>
      <w:r>
        <w:rPr>
          <w:rStyle w:val="CharSDivText"/>
        </w:rPr>
        <w:t>Validity of elections</w:t>
      </w:r>
      <w:bookmarkEnd w:id="1481"/>
      <w:bookmarkEnd w:id="1482"/>
      <w:bookmarkEnd w:id="1483"/>
      <w:bookmarkEnd w:id="1484"/>
      <w:bookmarkEnd w:id="1485"/>
      <w:bookmarkEnd w:id="1486"/>
      <w:bookmarkEnd w:id="1487"/>
      <w:bookmarkEnd w:id="1488"/>
    </w:p>
    <w:p>
      <w:pPr>
        <w:pStyle w:val="yFootnoteheading"/>
      </w:pPr>
      <w:r>
        <w:tab/>
        <w:t>[Heading inserted by No. 49 of 2004 s. 69(11).]</w:t>
      </w:r>
    </w:p>
    <w:p>
      <w:pPr>
        <w:pStyle w:val="yHeading5"/>
        <w:outlineLvl w:val="0"/>
      </w:pPr>
      <w:bookmarkStart w:id="1489" w:name="_Toc462409822"/>
      <w:r>
        <w:rPr>
          <w:rStyle w:val="CharSClsNo"/>
        </w:rPr>
        <w:t>10</w:t>
      </w:r>
      <w:r>
        <w:t>.</w:t>
      </w:r>
      <w:r>
        <w:tab/>
        <w:t>Term used: election</w:t>
      </w:r>
      <w:bookmarkEnd w:id="1489"/>
    </w:p>
    <w:p>
      <w:pPr>
        <w:pStyle w:val="ySubsection"/>
      </w:pPr>
      <w:r>
        <w:tab/>
      </w:r>
      <w:r>
        <w:tab/>
        <w:t xml:space="preserve">In this Division — </w:t>
      </w:r>
    </w:p>
    <w:p>
      <w:pPr>
        <w:pStyle w:val="yDefstart"/>
      </w:pPr>
      <w:r>
        <w:rPr>
          <w:b/>
        </w:rPr>
        <w:tab/>
      </w:r>
      <w:r>
        <w:rPr>
          <w:rStyle w:val="CharDefText"/>
        </w:rPr>
        <w:t>election</w:t>
      </w:r>
      <w:r>
        <w:t xml:space="preserve"> means an election under this Schedule.</w:t>
      </w:r>
    </w:p>
    <w:p>
      <w:pPr>
        <w:pStyle w:val="yFootnoteheading"/>
      </w:pPr>
      <w:r>
        <w:tab/>
        <w:t>[Clause 10 inserted by No. 49 of 2004 s. 69(11).]</w:t>
      </w:r>
    </w:p>
    <w:p>
      <w:pPr>
        <w:pStyle w:val="yHeading5"/>
        <w:outlineLvl w:val="0"/>
      </w:pPr>
      <w:bookmarkStart w:id="1490" w:name="_Toc462409823"/>
      <w:r>
        <w:rPr>
          <w:rStyle w:val="CharSClsNo"/>
        </w:rPr>
        <w:t>11</w:t>
      </w:r>
      <w:r>
        <w:t>.</w:t>
      </w:r>
      <w:r>
        <w:tab/>
        <w:t>Complaints about validity of election</w:t>
      </w:r>
      <w:bookmarkEnd w:id="1490"/>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rStyle w:val="CharDefText"/>
        </w:rPr>
        <w:t>invalidity complaint</w:t>
      </w:r>
      <w:r>
        <w:t xml:space="preserve"> is a complaint that an election is invalid, or that another person should be declared elected.</w:t>
      </w:r>
    </w:p>
    <w:p>
      <w:pPr>
        <w:pStyle w:val="yFootnoteheading"/>
      </w:pPr>
      <w:r>
        <w:tab/>
        <w:t>[Clause 11 inserted by No. 49 of 2004 s. 69(11).]</w:t>
      </w:r>
    </w:p>
    <w:p>
      <w:pPr>
        <w:pStyle w:val="yHeading5"/>
        <w:outlineLvl w:val="0"/>
      </w:pPr>
      <w:bookmarkStart w:id="1491" w:name="_Toc462409824"/>
      <w:r>
        <w:rPr>
          <w:rStyle w:val="CharSClsNo"/>
        </w:rPr>
        <w:t>12</w:t>
      </w:r>
      <w:r>
        <w:t>.</w:t>
      </w:r>
      <w:r>
        <w:tab/>
        <w:t>Complaints to go to Court of Disputed Returns</w:t>
      </w:r>
      <w:bookmarkEnd w:id="1491"/>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 and</w:t>
      </w:r>
    </w:p>
    <w:p>
      <w:pPr>
        <w:pStyle w:val="yIndenta"/>
      </w:pPr>
      <w:r>
        <w:tab/>
        <w:t>(b)</w:t>
      </w:r>
      <w:r>
        <w:tab/>
        <w:t>any office filled at the election is vacant; and</w:t>
      </w:r>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rStyle w:val="CharDefText"/>
        </w:rPr>
        <w:t>candidate A</w:t>
      </w:r>
      <w:r>
        <w:t>) ought to have been elected to an office in place of another person (</w:t>
      </w:r>
      <w:r>
        <w:rPr>
          <w:rStyle w:val="CharDefText"/>
        </w:rPr>
        <w:t>candidate B</w:t>
      </w:r>
      <w:r>
        <w:t xml:space="preserve">) — </w:t>
      </w:r>
    </w:p>
    <w:p>
      <w:pPr>
        <w:pStyle w:val="yIndenta"/>
      </w:pPr>
      <w:r>
        <w:tab/>
        <w:t>(a)</w:t>
      </w:r>
      <w:r>
        <w:tab/>
        <w:t>candidate B is not to act in that office; and</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by No. 49 of 2004 s. 69(11).]</w:t>
      </w:r>
    </w:p>
    <w:p>
      <w:pPr>
        <w:pStyle w:val="yHeading5"/>
        <w:spacing w:before="180"/>
        <w:outlineLvl w:val="0"/>
      </w:pPr>
      <w:bookmarkStart w:id="1492" w:name="_Toc462409825"/>
      <w:r>
        <w:rPr>
          <w:rStyle w:val="CharSClsNo"/>
        </w:rPr>
        <w:t>13</w:t>
      </w:r>
      <w:r>
        <w:t>.</w:t>
      </w:r>
      <w:r>
        <w:tab/>
        <w:t>No appeal</w:t>
      </w:r>
      <w:bookmarkEnd w:id="1492"/>
    </w:p>
    <w:p>
      <w:pPr>
        <w:pStyle w:val="ySubsection"/>
      </w:pPr>
      <w:r>
        <w:tab/>
      </w:r>
      <w:r>
        <w:tab/>
        <w:t>There is no appeal from a decision of a Court of Disputed Returns.</w:t>
      </w:r>
    </w:p>
    <w:p>
      <w:pPr>
        <w:pStyle w:val="yFootnoteheading"/>
      </w:pPr>
      <w:r>
        <w:tab/>
        <w:t>[Clause 13 inserted by No. 49 of 2004 s. 69(11).]</w:t>
      </w:r>
    </w:p>
    <w:p>
      <w:pPr>
        <w:pStyle w:val="yHeading5"/>
        <w:spacing w:before="180"/>
        <w:outlineLvl w:val="0"/>
      </w:pPr>
      <w:bookmarkStart w:id="1493" w:name="_Toc462409826"/>
      <w:r>
        <w:rPr>
          <w:rStyle w:val="CharSClsNo"/>
        </w:rPr>
        <w:t>14</w:t>
      </w:r>
      <w:r>
        <w:t>.</w:t>
      </w:r>
      <w:r>
        <w:tab/>
        <w:t>Certain defects do not affect election</w:t>
      </w:r>
      <w:bookmarkEnd w:id="1493"/>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by No. 49 of 2004 s. 69(11).]</w:t>
      </w:r>
    </w:p>
    <w:p>
      <w:pPr>
        <w:pStyle w:val="yHeading5"/>
        <w:spacing w:before="180"/>
        <w:outlineLvl w:val="0"/>
      </w:pPr>
      <w:bookmarkStart w:id="1494" w:name="_Toc462409827"/>
      <w:r>
        <w:rPr>
          <w:rStyle w:val="CharSClsNo"/>
        </w:rPr>
        <w:t>15</w:t>
      </w:r>
      <w:r>
        <w:t>.</w:t>
      </w:r>
      <w:r>
        <w:tab/>
        <w:t>Regulations about retention and availability of electoral papers</w:t>
      </w:r>
      <w:bookmarkEnd w:id="1494"/>
    </w:p>
    <w:p>
      <w:pPr>
        <w:pStyle w:val="ySubsection"/>
      </w:pPr>
      <w:r>
        <w:tab/>
      </w:r>
      <w:r>
        <w:tab/>
        <w:t>Regulations made under section 4.84 apply in respect of elections in so far as they are capable of being so applied.</w:t>
      </w:r>
    </w:p>
    <w:p>
      <w:pPr>
        <w:pStyle w:val="yFootnoteheading"/>
        <w:spacing w:before="80"/>
      </w:pPr>
      <w:r>
        <w:tab/>
        <w:t>[Clause 15 inserted by No. 49 of 2004 s. 69(11).]</w:t>
      </w:r>
    </w:p>
    <w:p>
      <w:pPr>
        <w:pStyle w:val="yScheduleHeading"/>
        <w:outlineLvl w:val="0"/>
      </w:pPr>
      <w:bookmarkStart w:id="1495" w:name="_Toc448219543"/>
      <w:bookmarkStart w:id="1496" w:name="_Toc448224765"/>
      <w:bookmarkStart w:id="1497" w:name="_Toc451180002"/>
      <w:bookmarkStart w:id="1498" w:name="_Toc451430922"/>
      <w:bookmarkStart w:id="1499" w:name="_Toc455396872"/>
      <w:bookmarkStart w:id="1500" w:name="_Toc455397732"/>
      <w:bookmarkStart w:id="1501" w:name="_Toc456086815"/>
      <w:bookmarkStart w:id="1502" w:name="_Toc462409828"/>
      <w:r>
        <w:rPr>
          <w:rStyle w:val="CharSchNo"/>
        </w:rPr>
        <w:t>Schedule 2.4</w:t>
      </w:r>
      <w:r>
        <w:rPr>
          <w:rStyle w:val="CharSDivNo"/>
        </w:rPr>
        <w:t> </w:t>
      </w:r>
      <w:r>
        <w:t>—</w:t>
      </w:r>
      <w:r>
        <w:rPr>
          <w:rStyle w:val="CharSDivText"/>
        </w:rPr>
        <w:t> </w:t>
      </w:r>
      <w:r>
        <w:rPr>
          <w:rStyle w:val="CharSchText"/>
        </w:rPr>
        <w:t>Provisions about commissioners</w:t>
      </w:r>
      <w:bookmarkEnd w:id="1495"/>
      <w:bookmarkEnd w:id="1496"/>
      <w:bookmarkEnd w:id="1497"/>
      <w:bookmarkEnd w:id="1498"/>
      <w:bookmarkEnd w:id="1499"/>
      <w:bookmarkEnd w:id="1500"/>
      <w:bookmarkEnd w:id="1501"/>
      <w:bookmarkEnd w:id="1502"/>
    </w:p>
    <w:p>
      <w:pPr>
        <w:pStyle w:val="yShoulderClause"/>
      </w:pPr>
      <w:r>
        <w:t>[Section 2.41]</w:t>
      </w:r>
    </w:p>
    <w:p>
      <w:pPr>
        <w:pStyle w:val="yHeading5"/>
        <w:outlineLvl w:val="0"/>
      </w:pPr>
      <w:bookmarkStart w:id="1503" w:name="_Toc462409829"/>
      <w:r>
        <w:rPr>
          <w:rStyle w:val="CharSClsNo"/>
        </w:rPr>
        <w:t>1</w:t>
      </w:r>
      <w:r>
        <w:t>.</w:t>
      </w:r>
      <w:r>
        <w:tab/>
        <w:t>Eligibility for appointment</w:t>
      </w:r>
      <w:bookmarkEnd w:id="1503"/>
    </w:p>
    <w:p>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by No. 1 of 1998 s. 25; No. 49 of 2004 s. 70.]</w:t>
      </w:r>
    </w:p>
    <w:p>
      <w:pPr>
        <w:pStyle w:val="yHeading5"/>
        <w:outlineLvl w:val="0"/>
      </w:pPr>
      <w:bookmarkStart w:id="1504" w:name="_Toc462409830"/>
      <w:r>
        <w:rPr>
          <w:rStyle w:val="CharSClsNo"/>
        </w:rPr>
        <w:t>2</w:t>
      </w:r>
      <w:r>
        <w:t>.</w:t>
      </w:r>
      <w:r>
        <w:tab/>
        <w:t>Tenure</w:t>
      </w:r>
      <w:bookmarkEnd w:id="1504"/>
    </w:p>
    <w:p>
      <w:pPr>
        <w:pStyle w:val="ySubsection"/>
      </w:pPr>
      <w:r>
        <w:tab/>
      </w:r>
      <w:r>
        <w:tab/>
        <w:t>Subject to clause 3, a commissioner holds office for the period set out in section 2.6(4), 2.36A(3), 2.37(4), 2.37A(1), 8.30 or 8.33, whichever is applicable.</w:t>
      </w:r>
    </w:p>
    <w:p>
      <w:pPr>
        <w:pStyle w:val="yFootnotesection"/>
      </w:pPr>
      <w:r>
        <w:tab/>
        <w:t>[Clause 2 amended by No. 1 of 1998 s. 6(4); No. 64 of 1998 s. 4(6).]</w:t>
      </w:r>
    </w:p>
    <w:p>
      <w:pPr>
        <w:pStyle w:val="yHeading5"/>
        <w:outlineLvl w:val="0"/>
      </w:pPr>
      <w:bookmarkStart w:id="1505" w:name="_Toc462409831"/>
      <w:r>
        <w:rPr>
          <w:rStyle w:val="CharSClsNo"/>
        </w:rPr>
        <w:t>3</w:t>
      </w:r>
      <w:r>
        <w:t>.</w:t>
      </w:r>
      <w:r>
        <w:tab/>
        <w:t>Vacancies</w:t>
      </w:r>
      <w:bookmarkEnd w:id="1505"/>
    </w:p>
    <w:p>
      <w:pPr>
        <w:pStyle w:val="ySubsection"/>
      </w:pPr>
      <w:r>
        <w:tab/>
      </w:r>
      <w:r>
        <w:tab/>
        <w:t>The office of a commissioner becomes vacant if — </w:t>
      </w:r>
    </w:p>
    <w:p>
      <w:pPr>
        <w:pStyle w:val="yIndenta"/>
      </w:pPr>
      <w:r>
        <w:tab/>
        <w:t>(a)</w:t>
      </w:r>
      <w:r>
        <w:tab/>
        <w:t>the commissioner dies; or</w:t>
      </w:r>
    </w:p>
    <w:p>
      <w:pPr>
        <w:pStyle w:val="yIndenta"/>
      </w:pPr>
      <w:r>
        <w:tab/>
        <w:t>(b)</w:t>
      </w:r>
      <w:r>
        <w:tab/>
        <w:t>the Governor receives the written resignation of the commissioner; or</w:t>
      </w:r>
    </w:p>
    <w:p>
      <w:pPr>
        <w:pStyle w:val="yIndenta"/>
      </w:pPr>
      <w:r>
        <w:tab/>
        <w:t>(c)</w:t>
      </w:r>
      <w:r>
        <w:tab/>
        <w:t>the commissioner is absent, without leave and without reasonable excuse, from 3 consecutive meetings of the joint commissioners of which he or she has had notice; or</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Heading5"/>
        <w:outlineLvl w:val="0"/>
      </w:pPr>
      <w:bookmarkStart w:id="1506" w:name="_Toc462409832"/>
      <w:r>
        <w:rPr>
          <w:rStyle w:val="CharSClsNo"/>
        </w:rPr>
        <w:t>4</w:t>
      </w:r>
      <w:r>
        <w:t>.</w:t>
      </w:r>
      <w:r>
        <w:tab/>
        <w:t>Vacancies may be filled</w:t>
      </w:r>
      <w:bookmarkEnd w:id="1506"/>
    </w:p>
    <w:p>
      <w:pPr>
        <w:pStyle w:val="ySubsection"/>
      </w:pPr>
      <w:r>
        <w:tab/>
      </w:r>
      <w:r>
        <w:tab/>
        <w:t>If the office of a commissioner becomes vacant the Governor may appoint a person to fill the vacancy.</w:t>
      </w:r>
    </w:p>
    <w:p>
      <w:pPr>
        <w:pStyle w:val="yHeading5"/>
        <w:outlineLvl w:val="0"/>
      </w:pPr>
      <w:bookmarkStart w:id="1507" w:name="_Toc462409833"/>
      <w:r>
        <w:rPr>
          <w:rStyle w:val="CharSClsNo"/>
        </w:rPr>
        <w:t>5</w:t>
      </w:r>
      <w:r>
        <w:t>.</w:t>
      </w:r>
      <w:r>
        <w:tab/>
        <w:t>Payment of commissioners</w:t>
      </w:r>
      <w:bookmarkEnd w:id="1507"/>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outlineLvl w:val="0"/>
      </w:pPr>
      <w:bookmarkStart w:id="1508" w:name="_Toc462409834"/>
      <w:r>
        <w:rPr>
          <w:rStyle w:val="CharSClsNo"/>
        </w:rPr>
        <w:t>6</w:t>
      </w:r>
      <w:r>
        <w:t>.</w:t>
      </w:r>
      <w:r>
        <w:tab/>
        <w:t>Procedure at meetings of joint commissioners</w:t>
      </w:r>
      <w:bookmarkEnd w:id="1508"/>
    </w:p>
    <w:p>
      <w:pPr>
        <w:pStyle w:val="ySubsection"/>
      </w:pPr>
      <w:r>
        <w:tab/>
        <w:t>(1)</w:t>
      </w:r>
      <w:r>
        <w:tab/>
        <w:t>At a meeting of joint commissioners — </w:t>
      </w:r>
    </w:p>
    <w:p>
      <w:pPr>
        <w:pStyle w:val="yIndenta"/>
      </w:pPr>
      <w:r>
        <w:tab/>
        <w:t>(a)</w:t>
      </w:r>
      <w:r>
        <w:tab/>
        <w:t>if 3 commissioners are appointed, 2 of them constitute a quorum; and</w:t>
      </w:r>
    </w:p>
    <w:p>
      <w:pPr>
        <w:pStyle w:val="yIndenta"/>
      </w:pPr>
      <w:r>
        <w:tab/>
        <w:t>(b)</w:t>
      </w:r>
      <w:r>
        <w:tab/>
        <w:t>if 5 commissioners are appointed, 3 of them constitute a quorum; and</w:t>
      </w:r>
    </w:p>
    <w:p>
      <w:pPr>
        <w:pStyle w:val="yIndenta"/>
      </w:pPr>
      <w:r>
        <w:tab/>
        <w:t>(c)</w:t>
      </w:r>
      <w:r>
        <w:tab/>
        <w:t>the chairperson, or in his or her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 and</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or a special majority of a council, the decision is to be made by an absolute majority of those commissioners.</w:t>
      </w:r>
    </w:p>
    <w:p>
      <w:pPr>
        <w:pStyle w:val="yFootnotesection"/>
      </w:pPr>
      <w:r>
        <w:tab/>
        <w:t>[Clause 6 amended by No. 64 of 1998 s. 55.]</w:t>
      </w:r>
    </w:p>
    <w:p>
      <w:pPr>
        <w:pStyle w:val="yScheduleHeading"/>
      </w:pPr>
      <w:bookmarkStart w:id="1509" w:name="_Toc448219550"/>
      <w:bookmarkStart w:id="1510" w:name="_Toc448224772"/>
      <w:bookmarkStart w:id="1511" w:name="_Toc451180009"/>
      <w:bookmarkStart w:id="1512" w:name="_Toc451430929"/>
      <w:bookmarkStart w:id="1513" w:name="_Toc455396879"/>
      <w:bookmarkStart w:id="1514" w:name="_Toc455397739"/>
      <w:bookmarkStart w:id="1515" w:name="_Toc456086822"/>
      <w:bookmarkStart w:id="1516" w:name="_Toc462409835"/>
      <w:r>
        <w:rPr>
          <w:rStyle w:val="CharSchNo"/>
        </w:rPr>
        <w:t>Schedule 2.5</w:t>
      </w:r>
      <w:r>
        <w:rPr>
          <w:rStyle w:val="CharSDivNo"/>
        </w:rPr>
        <w:t> </w:t>
      </w:r>
      <w:r>
        <w:t>—</w:t>
      </w:r>
      <w:r>
        <w:rPr>
          <w:rStyle w:val="CharSDivText"/>
        </w:rPr>
        <w:t> </w:t>
      </w:r>
      <w:r>
        <w:rPr>
          <w:rStyle w:val="CharSchText"/>
        </w:rPr>
        <w:t>Provisions about the Local Government Advisory Board</w:t>
      </w:r>
      <w:bookmarkEnd w:id="1509"/>
      <w:bookmarkEnd w:id="1510"/>
      <w:bookmarkEnd w:id="1511"/>
      <w:bookmarkEnd w:id="1512"/>
      <w:bookmarkEnd w:id="1513"/>
      <w:bookmarkEnd w:id="1514"/>
      <w:bookmarkEnd w:id="1515"/>
      <w:bookmarkEnd w:id="1516"/>
      <w:r>
        <w:t xml:space="preserve"> </w:t>
      </w:r>
    </w:p>
    <w:p>
      <w:pPr>
        <w:pStyle w:val="yShoulderClause"/>
      </w:pPr>
      <w:r>
        <w:t>[Section 2.44(2)]</w:t>
      </w:r>
    </w:p>
    <w:p>
      <w:pPr>
        <w:pStyle w:val="yHeading5"/>
        <w:outlineLvl w:val="0"/>
      </w:pPr>
      <w:bookmarkStart w:id="1517" w:name="_Toc462409836"/>
      <w:r>
        <w:rPr>
          <w:rStyle w:val="CharSClsNo"/>
        </w:rPr>
        <w:t>1</w:t>
      </w:r>
      <w:r>
        <w:t>.</w:t>
      </w:r>
      <w:r>
        <w:tab/>
        <w:t>Term used: member</w:t>
      </w:r>
      <w:bookmarkEnd w:id="1517"/>
    </w:p>
    <w:p>
      <w:pPr>
        <w:pStyle w:val="ySubsection"/>
      </w:pPr>
      <w:r>
        <w:tab/>
      </w:r>
      <w:r>
        <w:tab/>
        <w:t>In this Schedule, unless the contrary intention appears — </w:t>
      </w:r>
    </w:p>
    <w:p>
      <w:pPr>
        <w:pStyle w:val="yDefstart"/>
      </w:pPr>
      <w:r>
        <w:rPr>
          <w:b/>
        </w:rPr>
        <w:tab/>
      </w:r>
      <w:r>
        <w:rPr>
          <w:rStyle w:val="CharDefText"/>
        </w:rPr>
        <w:t>member</w:t>
      </w:r>
      <w:r>
        <w:t xml:space="preserve"> means a member of the Advisory Board.</w:t>
      </w:r>
    </w:p>
    <w:p>
      <w:pPr>
        <w:pStyle w:val="yHeading5"/>
        <w:outlineLvl w:val="0"/>
      </w:pPr>
      <w:bookmarkStart w:id="1518" w:name="_Toc462409837"/>
      <w:r>
        <w:rPr>
          <w:rStyle w:val="CharSClsNo"/>
        </w:rPr>
        <w:t>2</w:t>
      </w:r>
      <w:r>
        <w:t>.</w:t>
      </w:r>
      <w:r>
        <w:tab/>
        <w:t>Membership of Advisory Board</w:t>
      </w:r>
      <w:bookmarkEnd w:id="1518"/>
    </w:p>
    <w:p>
      <w:pPr>
        <w:pStyle w:val="ySubsection"/>
      </w:pPr>
      <w:r>
        <w:tab/>
      </w:r>
      <w:r>
        <w:tab/>
        <w:t>The Advisory Board consists of 5 members appointed by the Governor of whom — </w:t>
      </w:r>
    </w:p>
    <w:p>
      <w:pPr>
        <w:pStyle w:val="yIndenta"/>
      </w:pPr>
      <w:r>
        <w:tab/>
        <w:t>(a)</w:t>
      </w:r>
      <w:r>
        <w:tab/>
        <w:t>one person is nominated by the Minister; and</w:t>
      </w:r>
    </w:p>
    <w:p>
      <w:pPr>
        <w:pStyle w:val="yIndenta"/>
      </w:pPr>
      <w:r>
        <w:tab/>
        <w:t>(b)</w:t>
      </w:r>
      <w:r>
        <w:tab/>
        <w:t>2 persons are to be persons having experience as a member of a council appointed from a list submitted to the Minister by WALGA under clause 4(1); and</w:t>
      </w:r>
    </w:p>
    <w:p>
      <w:pPr>
        <w:pStyle w:val="yIndenta"/>
      </w:pPr>
      <w:r>
        <w:tab/>
        <w:t>(c)</w:t>
      </w:r>
      <w:r>
        <w:tab/>
        <w:t>one person is to be a person having experience as the chief executive officer of a local government appointed from a list submitted to the Minister by the Local Government Managers Australia WA Division under clause 4(2); and</w:t>
      </w:r>
    </w:p>
    <w:p>
      <w:pPr>
        <w:pStyle w:val="yIndenta"/>
      </w:pPr>
      <w:r>
        <w:tab/>
        <w:t>(d)</w:t>
      </w:r>
      <w:r>
        <w:tab/>
        <w:t>one person is to be an officer of the Department nominated by the Minister.</w:t>
      </w:r>
    </w:p>
    <w:p>
      <w:pPr>
        <w:pStyle w:val="yFootnotesection"/>
      </w:pPr>
      <w:r>
        <w:tab/>
        <w:t>[Clause 2 amended by No. 1 of 1998 s. 26(1); No. 49 of 2004 s. 12 and 71(2).]</w:t>
      </w:r>
    </w:p>
    <w:p>
      <w:pPr>
        <w:pStyle w:val="yHeading5"/>
        <w:outlineLvl w:val="0"/>
      </w:pPr>
      <w:bookmarkStart w:id="1519" w:name="_Toc462409838"/>
      <w:r>
        <w:rPr>
          <w:rStyle w:val="CharSClsNo"/>
        </w:rPr>
        <w:t>3</w:t>
      </w:r>
      <w:r>
        <w:t>.</w:t>
      </w:r>
      <w:r>
        <w:tab/>
        <w:t>Deputies</w:t>
      </w:r>
      <w:bookmarkEnd w:id="1519"/>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tab/>
        <w:t>(4)</w:t>
      </w:r>
      <w:r>
        <w:tab/>
        <w:t>The deputy for a member is — </w:t>
      </w:r>
    </w:p>
    <w:p>
      <w:pPr>
        <w:pStyle w:val="yIndenta"/>
      </w:pPr>
      <w:r>
        <w:tab/>
        <w:t>(a)</w:t>
      </w:r>
      <w:r>
        <w:tab/>
        <w:t>in the absence of the member from a meeting of the Advisory Board, entitled to attend the meeting in place of the member; and</w:t>
      </w:r>
    </w:p>
    <w:p>
      <w:pPr>
        <w:pStyle w:val="yIndenta"/>
      </w:pPr>
      <w:r>
        <w:tab/>
        <w:t>(aa)</w:t>
      </w:r>
      <w:r>
        <w:tab/>
        <w:t>if the member is the member appointed under clause 2(d) and is presiding at a meeting under clause 7(2), entitled to attend the meeting even though the member is also present; and</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by No. 1 of 1998 s. 26(2) and (3).]</w:t>
      </w:r>
    </w:p>
    <w:p>
      <w:pPr>
        <w:pStyle w:val="yHeading5"/>
        <w:spacing w:before="240"/>
        <w:outlineLvl w:val="0"/>
      </w:pPr>
      <w:bookmarkStart w:id="1520" w:name="_Toc462409839"/>
      <w:r>
        <w:rPr>
          <w:rStyle w:val="CharSClsNo"/>
        </w:rPr>
        <w:t>4</w:t>
      </w:r>
      <w:r>
        <w:t>.</w:t>
      </w:r>
      <w:r>
        <w:tab/>
        <w:t>Submission of lists</w:t>
      </w:r>
      <w:bookmarkEnd w:id="1520"/>
    </w:p>
    <w:p>
      <w:pPr>
        <w:pStyle w:val="ySubsection"/>
        <w:spacing w:before="18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80"/>
      </w:pPr>
      <w:r>
        <w:tab/>
        <w:t>(2)</w:t>
      </w:r>
      <w:r>
        <w:tab/>
        <w:t>Before a person is appointed as a member under clause 2(c), or as the deputy for such a member, the Minister is to invite the Local Government Managers Australia WA Division to submit a list of 6 persons eligible for appointment within 28 days of the invitation.</w:t>
      </w:r>
    </w:p>
    <w:p>
      <w:pPr>
        <w:pStyle w:val="ySubsection"/>
        <w:spacing w:before="18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 by No. 49 of 2004 s. 12 and 71(2).]</w:t>
      </w:r>
    </w:p>
    <w:p>
      <w:pPr>
        <w:pStyle w:val="yHeading5"/>
        <w:spacing w:before="180"/>
        <w:outlineLvl w:val="0"/>
      </w:pPr>
      <w:bookmarkStart w:id="1521" w:name="_Toc462409840"/>
      <w:r>
        <w:rPr>
          <w:rStyle w:val="CharSClsNo"/>
        </w:rPr>
        <w:t>5</w:t>
      </w:r>
      <w:r>
        <w:t>.</w:t>
      </w:r>
      <w:r>
        <w:tab/>
        <w:t>Term of office</w:t>
      </w:r>
      <w:bookmarkEnd w:id="1521"/>
    </w:p>
    <w:p>
      <w:pPr>
        <w:pStyle w:val="ySubsection"/>
      </w:pPr>
      <w:r>
        <w:tab/>
        <w:t>(1)</w:t>
      </w:r>
      <w:r>
        <w:tab/>
        <w:t>The term of office of a member is the period specified in the instrument of appointment and is not to exceed 4 years.</w:t>
      </w:r>
    </w:p>
    <w:p>
      <w:pPr>
        <w:pStyle w:val="ySubsection"/>
        <w:spacing w:before="100"/>
      </w:pPr>
      <w:r>
        <w:tab/>
        <w:t>(2)</w:t>
      </w:r>
      <w:r>
        <w:tab/>
        <w:t>Subclause (1) does not prevent a person who has held office as a member from being appointed for a subsequent term.</w:t>
      </w:r>
    </w:p>
    <w:p>
      <w:pPr>
        <w:pStyle w:val="yHeading5"/>
        <w:spacing w:before="180"/>
        <w:outlineLvl w:val="0"/>
      </w:pPr>
      <w:bookmarkStart w:id="1522" w:name="_Toc462409841"/>
      <w:r>
        <w:rPr>
          <w:rStyle w:val="CharSClsNo"/>
        </w:rPr>
        <w:t>6</w:t>
      </w:r>
      <w:r>
        <w:t>.</w:t>
      </w:r>
      <w:r>
        <w:tab/>
        <w:t>Vacation of office</w:t>
      </w:r>
      <w:bookmarkEnd w:id="1522"/>
    </w:p>
    <w:p>
      <w:pPr>
        <w:pStyle w:val="ySubsection"/>
        <w:spacing w:before="120"/>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spacing w:before="120"/>
      </w:pPr>
      <w:r>
        <w:tab/>
        <w:t>(2)</w:t>
      </w:r>
      <w:r>
        <w:tab/>
        <w:t>The Governor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spacing w:before="180"/>
        <w:outlineLvl w:val="0"/>
      </w:pPr>
      <w:bookmarkStart w:id="1523" w:name="_Toc462409842"/>
      <w:r>
        <w:rPr>
          <w:rStyle w:val="CharSClsNo"/>
        </w:rPr>
        <w:t>7</w:t>
      </w:r>
      <w:r>
        <w:t>.</w:t>
      </w:r>
      <w:r>
        <w:tab/>
        <w:t>Meetings</w:t>
      </w:r>
      <w:bookmarkEnd w:id="1523"/>
    </w:p>
    <w:p>
      <w:pPr>
        <w:pStyle w:val="ySubsection"/>
        <w:spacing w:before="120"/>
      </w:pPr>
      <w:r>
        <w:tab/>
        <w:t>(1)</w:t>
      </w:r>
      <w:r>
        <w:tab/>
        <w:t>The member appointed under clause 2(a) is to preside at all meetings of the Advisory Board at which he or she is present.</w:t>
      </w:r>
    </w:p>
    <w:p>
      <w:pPr>
        <w:pStyle w:val="ySubsection"/>
        <w:spacing w:before="120"/>
      </w:pPr>
      <w:r>
        <w:tab/>
        <w:t>(2)</w:t>
      </w:r>
      <w:r>
        <w:tab/>
        <w:t>If the member appointed under clause 2(a) is not present at a meeting the member appointed under clause 2(d) is to preside at the meeting.</w:t>
      </w:r>
    </w:p>
    <w:p>
      <w:pPr>
        <w:pStyle w:val="ySubsection"/>
        <w:spacing w:before="120"/>
      </w:pPr>
      <w:r>
        <w:tab/>
        <w:t>(3)</w:t>
      </w:r>
      <w:r>
        <w:tab/>
        <w:t>The quorum at a meeting is 3 one of whom must be the member appointed under clause 2(a) or the member appointed under clause 2(d).</w:t>
      </w:r>
    </w:p>
    <w:p>
      <w:pPr>
        <w:pStyle w:val="ySubsection"/>
        <w:spacing w:before="120"/>
      </w:pPr>
      <w:r>
        <w:tab/>
        <w:t>(4)</w:t>
      </w:r>
      <w:r>
        <w:tab/>
        <w:t>Subject to subclause (7), each member present at a meeting of the Advisory Board is entitled to one vote.</w:t>
      </w:r>
    </w:p>
    <w:p>
      <w:pPr>
        <w:pStyle w:val="ySubsection"/>
        <w:spacing w:before="120"/>
      </w:pPr>
      <w:r>
        <w:tab/>
        <w:t>(5)</w:t>
      </w:r>
      <w:r>
        <w:tab/>
        <w:t>Unless a question arising at a meeting is one that is required to be decided by an absolute majority, the question is to be decided by a majority of the votes of the members present and voting.</w:t>
      </w:r>
    </w:p>
    <w:p>
      <w:pPr>
        <w:pStyle w:val="ySubsection"/>
        <w:spacing w:before="120"/>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 and other procedure and practice.</w:t>
      </w:r>
    </w:p>
    <w:p>
      <w:pPr>
        <w:pStyle w:val="yFootnotesection"/>
      </w:pPr>
      <w:r>
        <w:tab/>
        <w:t>[Clause 7 amended by No. 1 of 1998 s. 26(4); No. 49 of 2004 s. 71(3); No. 17 of 2009 s. 45.]</w:t>
      </w:r>
    </w:p>
    <w:p>
      <w:pPr>
        <w:pStyle w:val="yHeading5"/>
        <w:spacing w:before="180"/>
        <w:outlineLvl w:val="0"/>
      </w:pPr>
      <w:bookmarkStart w:id="1524" w:name="_Toc462409843"/>
      <w:r>
        <w:rPr>
          <w:rStyle w:val="CharSClsNo"/>
        </w:rPr>
        <w:t>8</w:t>
      </w:r>
      <w:r>
        <w:t>.</w:t>
      </w:r>
      <w:r>
        <w:tab/>
        <w:t>Remuneration and allowances</w:t>
      </w:r>
      <w:bookmarkEnd w:id="1524"/>
    </w:p>
    <w:p>
      <w:pPr>
        <w:pStyle w:val="ySubsection"/>
      </w:pPr>
      <w:r>
        <w:tab/>
        <w:t>(1)</w:t>
      </w:r>
      <w:r>
        <w:tab/>
        <w:t>Members are entitled to such remuneration and allowances as the Minister from time to time determines on the recommendation of the Public Sector Commissioner.</w:t>
      </w:r>
    </w:p>
    <w:p>
      <w:pPr>
        <w:pStyle w:val="ySubsection"/>
      </w:pPr>
      <w:r>
        <w:tab/>
        <w:t>(2)</w:t>
      </w:r>
      <w:r>
        <w:tab/>
        <w:t>Subclause (1) does not apply to a member who is an officer of the Public Service.</w:t>
      </w:r>
    </w:p>
    <w:p>
      <w:pPr>
        <w:pStyle w:val="yFootnotesection"/>
      </w:pPr>
      <w:r>
        <w:tab/>
        <w:t>[Clause 8 amended by No. 39 of 2010 s. 89.]</w:t>
      </w:r>
    </w:p>
    <w:p>
      <w:pPr>
        <w:pStyle w:val="yHeading5"/>
        <w:spacing w:before="180"/>
        <w:outlineLvl w:val="0"/>
      </w:pPr>
      <w:bookmarkStart w:id="1525" w:name="_Toc462409844"/>
      <w:r>
        <w:rPr>
          <w:rStyle w:val="CharSClsNo"/>
        </w:rPr>
        <w:t>9</w:t>
      </w:r>
      <w:r>
        <w:t>.</w:t>
      </w:r>
      <w:r>
        <w:tab/>
        <w:t>Protection</w:t>
      </w:r>
      <w:bookmarkEnd w:id="1525"/>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spacing w:before="180"/>
        <w:outlineLvl w:val="0"/>
      </w:pPr>
      <w:bookmarkStart w:id="1526" w:name="_Toc462409845"/>
      <w:r>
        <w:rPr>
          <w:rStyle w:val="CharSClsNo"/>
        </w:rPr>
        <w:t>10</w:t>
      </w:r>
      <w:r>
        <w:t>.</w:t>
      </w:r>
      <w:r>
        <w:tab/>
        <w:t>Staff</w:t>
      </w:r>
      <w:bookmarkEnd w:id="1526"/>
    </w:p>
    <w:p>
      <w:pPr>
        <w:pStyle w:val="ySubsection"/>
      </w:pPr>
      <w:r>
        <w:tab/>
      </w:r>
      <w:r>
        <w:tab/>
        <w:t>The Departmental CEO is to make an officer of the Department available to the Advisory Board to act as its executive officer.</w:t>
      </w:r>
    </w:p>
    <w:p>
      <w:pPr>
        <w:pStyle w:val="yFootnotesection"/>
      </w:pPr>
      <w:r>
        <w:tab/>
        <w:t>[Clause 10 amended by No. 28 of 2006 s. 364.]</w:t>
      </w:r>
    </w:p>
    <w:p>
      <w:pPr>
        <w:pStyle w:val="yHeading5"/>
        <w:keepLines w:val="0"/>
        <w:spacing w:before="180"/>
        <w:outlineLvl w:val="0"/>
      </w:pPr>
      <w:bookmarkStart w:id="1527" w:name="_Toc462409846"/>
      <w:r>
        <w:rPr>
          <w:rStyle w:val="CharSClsNo"/>
        </w:rPr>
        <w:t>11</w:t>
      </w:r>
      <w:r>
        <w:t>.</w:t>
      </w:r>
      <w:r>
        <w:tab/>
        <w:t>Delegation</w:t>
      </w:r>
      <w:bookmarkEnd w:id="1527"/>
    </w:p>
    <w:p>
      <w:pPr>
        <w:pStyle w:val="ySubsection"/>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 and</w:t>
      </w:r>
    </w:p>
    <w:p>
      <w:pPr>
        <w:pStyle w:val="yIndenta"/>
      </w:pPr>
      <w:r>
        <w:tab/>
        <w:t>(b)</w:t>
      </w:r>
      <w:r>
        <w:tab/>
        <w:t>2 persons chosen from the list submitted by WALGA for the purposes of the most recent appointment of a person as a member under clause 2(b); and</w:t>
      </w:r>
    </w:p>
    <w:p>
      <w:pPr>
        <w:pStyle w:val="yIndenta"/>
      </w:pPr>
      <w:r>
        <w:tab/>
        <w:t>(c)</w:t>
      </w:r>
      <w:r>
        <w:tab/>
        <w:t>one person chosen from the list submitted by the Local Government Managers Australia WA Division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spacing w:before="160"/>
        <w:ind w:left="923" w:hanging="923"/>
      </w:pPr>
      <w:r>
        <w:tab/>
        <w:t>[(6)</w:t>
      </w:r>
      <w:r>
        <w:tab/>
        <w:t>deleted]</w:t>
      </w:r>
    </w:p>
    <w:p>
      <w:pPr>
        <w:pStyle w:val="ySubsection"/>
      </w:pPr>
      <w:r>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keepNext/>
      </w:pPr>
      <w:r>
        <w:tab/>
        <w:t>(8)</w:t>
      </w:r>
      <w:r>
        <w:tab/>
        <w:t>When a committee appointed under subclause (1) has dealt with the matter delegated to it, it is dissolved.</w:t>
      </w:r>
    </w:p>
    <w:p>
      <w:pPr>
        <w:pStyle w:val="yFootnotesection"/>
      </w:pPr>
      <w:r>
        <w:tab/>
        <w:t>[Clause 11 amended by No. 1 of 1998 s. 26(5)</w:t>
      </w:r>
      <w:r>
        <w:noBreakHyphen/>
        <w:t>(7); No. 49 of 2004 s. 12 and 71(2).]</w:t>
      </w:r>
    </w:p>
    <w:p>
      <w:pPr>
        <w:pStyle w:val="yHeading5"/>
        <w:outlineLvl w:val="0"/>
      </w:pPr>
      <w:bookmarkStart w:id="1528" w:name="_Toc462409847"/>
      <w:r>
        <w:rPr>
          <w:rStyle w:val="CharSClsNo"/>
        </w:rPr>
        <w:t>12</w:t>
      </w:r>
      <w:r>
        <w:t>.</w:t>
      </w:r>
      <w:r>
        <w:tab/>
        <w:t>Powers of inquiry</w:t>
      </w:r>
      <w:bookmarkEnd w:id="1528"/>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outlineLvl w:val="0"/>
      </w:pPr>
      <w:bookmarkStart w:id="1529" w:name="_Toc462409848"/>
      <w:r>
        <w:rPr>
          <w:rStyle w:val="CharSClsNo"/>
        </w:rPr>
        <w:t>13</w:t>
      </w:r>
      <w:r>
        <w:t>.</w:t>
      </w:r>
      <w:r>
        <w:tab/>
        <w:t>Investigations</w:t>
      </w:r>
      <w:bookmarkEnd w:id="1529"/>
    </w:p>
    <w:p>
      <w:pPr>
        <w:pStyle w:val="ySubsection"/>
      </w:pPr>
      <w:r>
        <w:tab/>
      </w:r>
      <w:r>
        <w:tab/>
        <w:t>The Advisory Board may cause such investigations to be made as it sees fit for the purposes of its inquiry into a matter.</w:t>
      </w:r>
    </w:p>
    <w:p>
      <w:pPr>
        <w:pStyle w:val="yHeading5"/>
        <w:outlineLvl w:val="0"/>
      </w:pPr>
      <w:bookmarkStart w:id="1530" w:name="_Toc462409849"/>
      <w:r>
        <w:rPr>
          <w:rStyle w:val="CharSClsNo"/>
        </w:rPr>
        <w:t>14</w:t>
      </w:r>
      <w:r>
        <w:t>.</w:t>
      </w:r>
      <w:r>
        <w:tab/>
        <w:t>Annual report</w:t>
      </w:r>
      <w:bookmarkEnd w:id="1530"/>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outlineLvl w:val="0"/>
      </w:pPr>
      <w:bookmarkStart w:id="1531" w:name="_Toc462409850"/>
      <w:r>
        <w:rPr>
          <w:rStyle w:val="CharSClsNo"/>
        </w:rPr>
        <w:t>15</w:t>
      </w:r>
      <w:r>
        <w:t>.</w:t>
      </w:r>
      <w:r>
        <w:tab/>
        <w:t>Offences</w:t>
      </w:r>
      <w:bookmarkEnd w:id="1531"/>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 or</w:t>
      </w:r>
    </w:p>
    <w:p>
      <w:pPr>
        <w:pStyle w:val="yIndenta"/>
      </w:pPr>
      <w:r>
        <w:tab/>
        <w:t>(b)</w:t>
      </w:r>
      <w:r>
        <w:tab/>
        <w:t>having been served with a summons to produce any document before the Advisory Board, fails without reasonable excuse (proof of which lies on him or her) to produce a document in obedience to the summons; or</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ScheduleHeading"/>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yScheduleHeading"/>
      </w:pPr>
      <w:bookmarkStart w:id="1533" w:name="_Toc448219566"/>
      <w:bookmarkStart w:id="1534" w:name="_Toc448224788"/>
      <w:bookmarkStart w:id="1535" w:name="_Toc451180025"/>
      <w:bookmarkStart w:id="1536" w:name="_Toc451430945"/>
      <w:bookmarkStart w:id="1537" w:name="_Toc455396895"/>
      <w:bookmarkStart w:id="1538" w:name="_Toc455397755"/>
      <w:bookmarkStart w:id="1539" w:name="_Toc456086838"/>
      <w:bookmarkStart w:id="1540" w:name="_Toc462409851"/>
      <w:r>
        <w:rPr>
          <w:rStyle w:val="CharSchNo"/>
        </w:rPr>
        <w:t>Schedule 3.1</w:t>
      </w:r>
      <w:r>
        <w:t> — </w:t>
      </w:r>
      <w:r>
        <w:rPr>
          <w:rStyle w:val="CharSchText"/>
        </w:rPr>
        <w:t>Powers under notices to owners or occupiers of land</w:t>
      </w:r>
      <w:bookmarkEnd w:id="1533"/>
      <w:bookmarkEnd w:id="1534"/>
      <w:bookmarkEnd w:id="1535"/>
      <w:bookmarkEnd w:id="1536"/>
      <w:bookmarkEnd w:id="1537"/>
      <w:bookmarkEnd w:id="1538"/>
      <w:bookmarkEnd w:id="1539"/>
      <w:bookmarkEnd w:id="1540"/>
    </w:p>
    <w:p>
      <w:pPr>
        <w:pStyle w:val="yShoulderClause"/>
      </w:pPr>
      <w:r>
        <w:t>[Section 3.25(1)]</w:t>
      </w:r>
    </w:p>
    <w:p>
      <w:pPr>
        <w:pStyle w:val="yHeading3"/>
        <w:outlineLvl w:val="0"/>
      </w:pPr>
      <w:bookmarkStart w:id="1541" w:name="_Toc448219567"/>
      <w:bookmarkStart w:id="1542" w:name="_Toc448224789"/>
      <w:bookmarkStart w:id="1543" w:name="_Toc451180026"/>
      <w:bookmarkStart w:id="1544" w:name="_Toc451430946"/>
      <w:bookmarkStart w:id="1545" w:name="_Toc455396896"/>
      <w:bookmarkStart w:id="1546" w:name="_Toc455397756"/>
      <w:bookmarkStart w:id="1547" w:name="_Toc456086839"/>
      <w:bookmarkStart w:id="1548" w:name="_Toc462409852"/>
      <w:r>
        <w:rPr>
          <w:rStyle w:val="CharSDivNo"/>
        </w:rPr>
        <w:t>Division 1</w:t>
      </w:r>
      <w:r>
        <w:t> — </w:t>
      </w:r>
      <w:r>
        <w:rPr>
          <w:rStyle w:val="CharSDivText"/>
        </w:rPr>
        <w:t>Things a notice may require to be done</w:t>
      </w:r>
      <w:bookmarkEnd w:id="1541"/>
      <w:bookmarkEnd w:id="1542"/>
      <w:bookmarkEnd w:id="1543"/>
      <w:bookmarkEnd w:id="1544"/>
      <w:bookmarkEnd w:id="1545"/>
      <w:bookmarkEnd w:id="1546"/>
      <w:bookmarkEnd w:id="1547"/>
      <w:bookmarkEnd w:id="1548"/>
    </w:p>
    <w:p>
      <w:pPr>
        <w:pStyle w:val="yMiscellaneousBody"/>
        <w:tabs>
          <w:tab w:val="left" w:pos="1080"/>
          <w:tab w:val="left" w:pos="1440"/>
        </w:tabs>
        <w:spacing w:before="120"/>
        <w:ind w:left="480" w:hanging="480"/>
      </w:pPr>
      <w:r>
        <w:t>1.</w:t>
      </w:r>
      <w:r>
        <w:tab/>
        <w:t>Prevent water from dripping or running from a building on the land onto any other land.</w:t>
      </w:r>
    </w:p>
    <w:p>
      <w:pPr>
        <w:pStyle w:val="yMiscellaneousBody"/>
        <w:tabs>
          <w:tab w:val="left" w:pos="1080"/>
          <w:tab w:val="left" w:pos="1440"/>
        </w:tabs>
        <w:spacing w:before="120"/>
        <w:ind w:left="480" w:hanging="480"/>
      </w:pPr>
      <w:r>
        <w:t>2.</w:t>
      </w:r>
      <w:r>
        <w:tab/>
        <w:t>Place in a prominent position on the land a number to indicate the address.</w:t>
      </w:r>
    </w:p>
    <w:p>
      <w:pPr>
        <w:pStyle w:val="yMiscellaneousBody"/>
        <w:tabs>
          <w:tab w:val="left" w:pos="1080"/>
          <w:tab w:val="left" w:pos="1440"/>
        </w:tabs>
        <w:spacing w:before="120"/>
        <w:ind w:left="480" w:hanging="48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MiscellaneousBody"/>
        <w:tabs>
          <w:tab w:val="left" w:pos="480"/>
          <w:tab w:val="left" w:pos="960"/>
          <w:tab w:val="left" w:pos="1440"/>
        </w:tabs>
        <w:spacing w:before="120"/>
        <w:ind w:left="960" w:hanging="960"/>
      </w:pPr>
      <w:r>
        <w:t>4.</w:t>
      </w:r>
      <w:r>
        <w:tab/>
        <w:t>(1)</w:t>
      </w:r>
      <w:r>
        <w:tab/>
        <w:t>Ensure that land that adjoins a public thoroughfare or other public place that is specified for the purposes of this item by a local law — </w:t>
      </w:r>
    </w:p>
    <w:p>
      <w:pPr>
        <w:pStyle w:val="yMiscellaneousBody"/>
        <w:tabs>
          <w:tab w:val="left" w:pos="840"/>
          <w:tab w:val="left" w:pos="1200"/>
          <w:tab w:val="left" w:pos="1680"/>
        </w:tabs>
        <w:spacing w:before="120"/>
        <w:ind w:left="480" w:hanging="480"/>
      </w:pPr>
      <w:r>
        <w:tab/>
      </w:r>
      <w:r>
        <w:tab/>
      </w:r>
      <w:r>
        <w:tab/>
        <w:t>(a)</w:t>
      </w:r>
      <w:r>
        <w:tab/>
        <w:t>is suitably enclosed to separate it from the public place; and</w:t>
      </w:r>
    </w:p>
    <w:p>
      <w:pPr>
        <w:pStyle w:val="yMiscellaneousBody"/>
        <w:tabs>
          <w:tab w:val="left" w:pos="840"/>
          <w:tab w:val="left" w:pos="1200"/>
          <w:tab w:val="left" w:pos="1680"/>
        </w:tabs>
        <w:spacing w:before="120"/>
        <w:ind w:left="1680" w:hanging="1680"/>
      </w:pPr>
      <w:r>
        <w:tab/>
      </w:r>
      <w:r>
        <w:tab/>
        <w:t>(b)</w:t>
      </w:r>
      <w:r>
        <w:tab/>
        <w:t>where applicable, is enclosed with a close fence, to the satisfaction of the local government, suitable to prevent sand or other matter coming from the land onto the public place.</w:t>
      </w:r>
    </w:p>
    <w:p>
      <w:pPr>
        <w:pStyle w:val="yMiscellaneousBody"/>
        <w:tabs>
          <w:tab w:val="left" w:pos="480"/>
          <w:tab w:val="left" w:pos="960"/>
          <w:tab w:val="left" w:pos="1440"/>
        </w:tabs>
        <w:spacing w:before="120"/>
        <w:ind w:left="960" w:hanging="960"/>
      </w:pPr>
      <w:r>
        <w:tab/>
        <w:t>(2)</w:t>
      </w:r>
      <w:r>
        <w:tab/>
        <w:t>The notice cannot be given to an occupier who is not an owner.</w:t>
      </w:r>
    </w:p>
    <w:p>
      <w:pPr>
        <w:pStyle w:val="yMiscellaneousBody"/>
        <w:tabs>
          <w:tab w:val="left" w:pos="480"/>
          <w:tab w:val="left" w:pos="960"/>
          <w:tab w:val="left" w:pos="1440"/>
        </w:tabs>
        <w:spacing w:before="120"/>
        <w:ind w:left="960" w:hanging="960"/>
      </w:pPr>
      <w:r>
        <w:t>5.</w:t>
      </w:r>
      <w:r>
        <w:tab/>
        <w:t>(1)</w:t>
      </w:r>
      <w:r>
        <w:tab/>
        <w:t>Ensure that unsightly land is enclosed, to the satisfaction of the local government, with a fence or other means suitable to prevent the land, so far as is practicable, from being unsightly.</w:t>
      </w:r>
    </w:p>
    <w:p>
      <w:pPr>
        <w:pStyle w:val="yMiscellaneousBody"/>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tab/>
      </w:r>
      <w:r>
        <w:tab/>
      </w:r>
      <w:r>
        <w:rPr>
          <w:rStyle w:val="CharDefText"/>
        </w:rPr>
        <w:t>unsightly</w:t>
      </w:r>
      <w:r>
        <w:t>, in relation to land, means having an appearance that, because of the way in which the land is used, does not conform with the general appearance of other land in the locality.</w:t>
      </w:r>
    </w:p>
    <w:p>
      <w:pPr>
        <w:pStyle w:val="yMiscellaneousBody"/>
        <w:tabs>
          <w:tab w:val="left" w:pos="480"/>
          <w:tab w:val="left" w:pos="960"/>
          <w:tab w:val="left" w:pos="1440"/>
        </w:tabs>
        <w:spacing w:before="120"/>
        <w:ind w:left="960" w:hanging="960"/>
      </w:pPr>
      <w:r>
        <w:tab/>
        <w:t>(3)</w:t>
      </w:r>
      <w:r>
        <w:tab/>
        <w:t>The notice cannot be given to an occupier who is not an owner.</w:t>
      </w:r>
    </w:p>
    <w:p>
      <w:pPr>
        <w:pStyle w:val="yMiscellaneousBody"/>
        <w:tabs>
          <w:tab w:val="left" w:pos="480"/>
          <w:tab w:val="left" w:pos="960"/>
          <w:tab w:val="left" w:pos="1440"/>
        </w:tabs>
        <w:spacing w:before="120"/>
        <w:ind w:left="960" w:hanging="960"/>
      </w:pPr>
      <w:r>
        <w:t>5A.</w:t>
      </w:r>
      <w:r>
        <w:tab/>
        <w:t>(1)</w:t>
      </w:r>
      <w:r>
        <w:tab/>
        <w:t>Ensure that overgrown vegetation, rubbish, or disused material, as specified, is removed from land that the local government considers to be untidy.</w:t>
      </w:r>
    </w:p>
    <w:p>
      <w:pPr>
        <w:pStyle w:val="yMiscellaneousBody"/>
        <w:keepNext/>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tab/>
      </w:r>
      <w:r>
        <w:tab/>
      </w:r>
      <w:r>
        <w:rPr>
          <w:rStyle w:val="CharDefText"/>
        </w:rPr>
        <w:t>disused material</w:t>
      </w:r>
      <w:r>
        <w:t xml:space="preserve"> includes disused motor vehicles, old motor vehicle bodies and old machinery.</w:t>
      </w:r>
    </w:p>
    <w:p>
      <w:pPr>
        <w:pStyle w:val="yMiscellaneousBody"/>
        <w:tabs>
          <w:tab w:val="left" w:pos="840"/>
          <w:tab w:val="left" w:pos="1080"/>
          <w:tab w:val="left" w:pos="1200"/>
          <w:tab w:val="left" w:pos="1440"/>
        </w:tabs>
        <w:spacing w:before="120"/>
        <w:ind w:left="480" w:hanging="480"/>
      </w:pPr>
      <w:r>
        <w:t>5B.</w:t>
      </w:r>
      <w:r>
        <w:tab/>
        <w:t xml:space="preserve">Ensure that graffiti that is — </w:t>
      </w:r>
    </w:p>
    <w:p>
      <w:pPr>
        <w:pStyle w:val="yMiscellaneousBody"/>
        <w:tabs>
          <w:tab w:val="left" w:pos="840"/>
          <w:tab w:val="left" w:pos="1200"/>
          <w:tab w:val="left" w:pos="1680"/>
        </w:tabs>
        <w:spacing w:before="80"/>
        <w:ind w:left="480" w:hanging="480"/>
      </w:pPr>
      <w:r>
        <w:tab/>
      </w:r>
      <w:r>
        <w:tab/>
        <w:t>(a)</w:t>
      </w:r>
      <w:r>
        <w:tab/>
        <w:t>applied with the consent of the owner or occupier; and</w:t>
      </w:r>
    </w:p>
    <w:p>
      <w:pPr>
        <w:pStyle w:val="yMiscellaneousBody"/>
        <w:tabs>
          <w:tab w:val="left" w:pos="840"/>
          <w:tab w:val="left" w:pos="1200"/>
          <w:tab w:val="left" w:pos="1680"/>
        </w:tabs>
        <w:spacing w:before="80"/>
        <w:ind w:left="480" w:hanging="480"/>
      </w:pPr>
      <w:r>
        <w:tab/>
      </w:r>
      <w:r>
        <w:tab/>
        <w:t>(b)</w:t>
      </w:r>
      <w:r>
        <w:tab/>
        <w:t xml:space="preserve">visible from a public place; and </w:t>
      </w:r>
    </w:p>
    <w:p>
      <w:pPr>
        <w:pStyle w:val="yMiscellaneousBody"/>
        <w:tabs>
          <w:tab w:val="left" w:pos="840"/>
          <w:tab w:val="left" w:pos="1200"/>
          <w:tab w:val="left" w:pos="1680"/>
        </w:tabs>
        <w:spacing w:before="80"/>
        <w:ind w:left="1680" w:hanging="1680"/>
      </w:pPr>
      <w:r>
        <w:tab/>
        <w:t>(c)</w:t>
      </w:r>
      <w:r>
        <w:tab/>
        <w:t>considered by the local government to be unsightly or offensive,</w:t>
      </w:r>
    </w:p>
    <w:p>
      <w:pPr>
        <w:pStyle w:val="yMiscellaneousBody"/>
        <w:tabs>
          <w:tab w:val="left" w:pos="840"/>
          <w:tab w:val="left" w:pos="1080"/>
          <w:tab w:val="left" w:pos="1200"/>
          <w:tab w:val="left" w:pos="1440"/>
        </w:tabs>
        <w:spacing w:before="100"/>
        <w:ind w:left="482" w:hanging="482"/>
      </w:pPr>
      <w:r>
        <w:tab/>
        <w:t>is obliterated in a manner acceptable to the local government.</w:t>
      </w:r>
    </w:p>
    <w:p>
      <w:pPr>
        <w:pStyle w:val="yMiscellaneousBody"/>
        <w:tabs>
          <w:tab w:val="left" w:pos="840"/>
          <w:tab w:val="left" w:pos="1080"/>
          <w:tab w:val="left" w:pos="1200"/>
          <w:tab w:val="left" w:pos="1440"/>
        </w:tabs>
        <w:spacing w:before="100"/>
        <w:ind w:left="482" w:hanging="482"/>
      </w:pPr>
      <w:r>
        <w:t>6.</w:t>
      </w:r>
      <w:r>
        <w:tab/>
        <w:t>Take specified measures for preventing or minimising the movement of sand, silt, clay or rocks on or from the land if, in the opinion of the local government, that movement would be likely to adversely affect other land.</w:t>
      </w:r>
    </w:p>
    <w:p>
      <w:pPr>
        <w:pStyle w:val="yMiscellaneousBody"/>
        <w:tabs>
          <w:tab w:val="left" w:pos="840"/>
          <w:tab w:val="left" w:pos="1080"/>
          <w:tab w:val="left" w:pos="1200"/>
          <w:tab w:val="left" w:pos="1440"/>
        </w:tabs>
        <w:spacing w:before="100"/>
        <w:ind w:left="482" w:hanging="482"/>
      </w:pPr>
      <w:r>
        <w:t>7.</w:t>
      </w:r>
      <w:r>
        <w:tab/>
        <w:t>Ensure that land that adjoins a public thoroughfare or other public place that is specified for the purposes of this item by a local law is not overgrown.</w:t>
      </w:r>
    </w:p>
    <w:p>
      <w:pPr>
        <w:pStyle w:val="yMiscellaneousBody"/>
        <w:tabs>
          <w:tab w:val="left" w:pos="840"/>
          <w:tab w:val="left" w:pos="1080"/>
          <w:tab w:val="left" w:pos="1200"/>
          <w:tab w:val="left" w:pos="1440"/>
        </w:tabs>
        <w:spacing w:before="100"/>
        <w:ind w:left="482" w:hanging="482"/>
      </w:pPr>
      <w:r>
        <w:t>8.</w:t>
      </w:r>
      <w:r>
        <w:tab/>
        <w:t>Remove all or part of a tree that is obstructing or otherwise prejudicially affecting a thoroughfare that is under the local government’s control or management and adjoins the land where the tree is situated.</w:t>
      </w:r>
    </w:p>
    <w:p>
      <w:pPr>
        <w:pStyle w:val="yMiscellaneousBody"/>
        <w:tabs>
          <w:tab w:val="left" w:pos="840"/>
          <w:tab w:val="left" w:pos="1080"/>
          <w:tab w:val="left" w:pos="1200"/>
          <w:tab w:val="left" w:pos="1440"/>
        </w:tabs>
        <w:spacing w:before="100"/>
        <w:ind w:left="482" w:hanging="482"/>
      </w:pPr>
      <w:r>
        <w:t>9.</w:t>
      </w:r>
      <w:r>
        <w:tab/>
        <w:t>Ensure that a tree on the land that endangers any person or thing on adjoining land is made safe.</w:t>
      </w:r>
    </w:p>
    <w:p>
      <w:pPr>
        <w:pStyle w:val="yMiscellaneousBody"/>
        <w:tabs>
          <w:tab w:val="left" w:pos="840"/>
          <w:tab w:val="left" w:pos="1080"/>
          <w:tab w:val="left" w:pos="1200"/>
          <w:tab w:val="left" w:pos="1440"/>
        </w:tabs>
        <w:spacing w:before="100"/>
        <w:ind w:left="482" w:hanging="482"/>
      </w:pPr>
      <w:r>
        <w:t>10.</w:t>
      </w:r>
      <w:r>
        <w:tab/>
        <w:t>Take specified measures for preventing or minimizing — </w:t>
      </w:r>
    </w:p>
    <w:p>
      <w:pPr>
        <w:pStyle w:val="yMiscellaneousBody"/>
        <w:tabs>
          <w:tab w:val="left" w:pos="840"/>
          <w:tab w:val="left" w:pos="1200"/>
          <w:tab w:val="left" w:pos="1680"/>
        </w:tabs>
        <w:spacing w:before="120"/>
        <w:ind w:left="480" w:hanging="480"/>
      </w:pPr>
      <w:r>
        <w:tab/>
      </w:r>
      <w:r>
        <w:tab/>
        <w:t>(a)</w:t>
      </w:r>
      <w:r>
        <w:tab/>
        <w:t xml:space="preserve">danger to the public; or </w:t>
      </w:r>
    </w:p>
    <w:p>
      <w:pPr>
        <w:pStyle w:val="yMiscellaneousBody"/>
        <w:tabs>
          <w:tab w:val="left" w:pos="840"/>
          <w:tab w:val="left" w:pos="1200"/>
          <w:tab w:val="left" w:pos="1680"/>
        </w:tabs>
        <w:spacing w:before="120"/>
        <w:ind w:left="480" w:hanging="480"/>
      </w:pPr>
      <w:r>
        <w:tab/>
      </w:r>
      <w:r>
        <w:tab/>
        <w:t>(b)</w:t>
      </w:r>
      <w:r>
        <w:tab/>
        <w:t xml:space="preserve">damage to property, </w:t>
      </w:r>
    </w:p>
    <w:p>
      <w:pPr>
        <w:pStyle w:val="yMiscellaneousBody"/>
        <w:tabs>
          <w:tab w:val="left" w:pos="840"/>
          <w:tab w:val="left" w:pos="1080"/>
          <w:tab w:val="left" w:pos="1200"/>
          <w:tab w:val="left" w:pos="1440"/>
        </w:tabs>
        <w:spacing w:before="100"/>
        <w:ind w:left="482" w:hanging="482"/>
      </w:pPr>
      <w:r>
        <w:tab/>
        <w:t>which might result from cyclonic activity.</w:t>
      </w:r>
    </w:p>
    <w:p>
      <w:pPr>
        <w:pStyle w:val="yMiscellaneousBody"/>
        <w:tabs>
          <w:tab w:val="left" w:pos="840"/>
          <w:tab w:val="left" w:pos="1080"/>
          <w:tab w:val="left" w:pos="1200"/>
          <w:tab w:val="left" w:pos="1440"/>
        </w:tabs>
        <w:spacing w:before="100"/>
        <w:ind w:left="482" w:hanging="482"/>
      </w:pPr>
      <w:r>
        <w:t>11.</w:t>
      </w:r>
      <w:r>
        <w:tab/>
        <w:t>Remove bees that are likely to endanger the safety of any person or create a serious public nuisance.</w:t>
      </w:r>
    </w:p>
    <w:p>
      <w:pPr>
        <w:pStyle w:val="yMiscellaneousBody"/>
        <w:tabs>
          <w:tab w:val="left" w:pos="840"/>
          <w:tab w:val="left" w:pos="1080"/>
          <w:tab w:val="left" w:pos="1200"/>
          <w:tab w:val="left" w:pos="1440"/>
        </w:tabs>
        <w:spacing w:before="100"/>
        <w:ind w:left="482" w:hanging="482"/>
      </w:pPr>
      <w:r>
        <w:t>12.</w:t>
      </w:r>
      <w:r>
        <w:tab/>
        <w:t>Ensure that an unsightly, dilapidated or dangerous fence or gate that separates the land from land that is local government property is modified or repaired.</w:t>
      </w:r>
    </w:p>
    <w:p>
      <w:pPr>
        <w:pStyle w:val="yMiscellaneousBody"/>
        <w:tabs>
          <w:tab w:val="left" w:pos="840"/>
          <w:tab w:val="left" w:pos="1080"/>
          <w:tab w:val="left" w:pos="1200"/>
          <w:tab w:val="left" w:pos="1440"/>
        </w:tabs>
        <w:spacing w:before="100"/>
        <w:ind w:left="482" w:hanging="482"/>
      </w:pPr>
      <w:r>
        <w:t>13.</w:t>
      </w:r>
      <w:r>
        <w:tab/>
        <w:t xml:space="preserve">Take specific measures to prevent — </w:t>
      </w:r>
    </w:p>
    <w:p>
      <w:pPr>
        <w:pStyle w:val="yMiscellaneousBody"/>
        <w:tabs>
          <w:tab w:val="left" w:pos="840"/>
          <w:tab w:val="left" w:pos="1200"/>
          <w:tab w:val="left" w:pos="1680"/>
        </w:tabs>
        <w:spacing w:before="120"/>
        <w:ind w:left="480" w:hanging="480"/>
      </w:pPr>
      <w:r>
        <w:tab/>
      </w:r>
      <w:r>
        <w:tab/>
        <w:t>(a)</w:t>
      </w:r>
      <w:r>
        <w:tab/>
        <w:t>artificial light being emitted from the land; or</w:t>
      </w:r>
    </w:p>
    <w:p>
      <w:pPr>
        <w:pStyle w:val="yMiscellaneousBody"/>
        <w:keepNext/>
        <w:tabs>
          <w:tab w:val="left" w:pos="840"/>
          <w:tab w:val="left" w:pos="1200"/>
          <w:tab w:val="left" w:pos="1680"/>
        </w:tabs>
        <w:spacing w:before="120"/>
        <w:ind w:left="1200" w:hanging="1200"/>
      </w:pPr>
      <w:r>
        <w:tab/>
        <w:t>(b)</w:t>
      </w:r>
      <w:r>
        <w:tab/>
        <w:t xml:space="preserve">natural or artificial light being reflected from something on the land, </w:t>
      </w:r>
    </w:p>
    <w:p>
      <w:pPr>
        <w:pStyle w:val="yMiscellaneousBody"/>
        <w:tabs>
          <w:tab w:val="left" w:pos="840"/>
          <w:tab w:val="left" w:pos="1080"/>
          <w:tab w:val="left" w:pos="1200"/>
          <w:tab w:val="left" w:pos="1440"/>
        </w:tabs>
        <w:spacing w:before="100"/>
        <w:ind w:left="482" w:hanging="482"/>
      </w:pPr>
      <w:r>
        <w:tab/>
        <w:t>creating a nuisance.</w:t>
      </w:r>
    </w:p>
    <w:p>
      <w:pPr>
        <w:pStyle w:val="yMiscellaneousBody"/>
        <w:tabs>
          <w:tab w:val="left" w:pos="480"/>
          <w:tab w:val="left" w:pos="960"/>
          <w:tab w:val="left" w:pos="1440"/>
        </w:tabs>
        <w:spacing w:before="100"/>
        <w:ind w:left="958" w:hanging="958"/>
      </w:pPr>
      <w:r>
        <w:t>14.</w:t>
      </w:r>
      <w:r>
        <w:tab/>
        <w:t>(1)</w:t>
      </w:r>
      <w:r>
        <w:tab/>
        <w:t>Remove or make safe anything that is obstructing or otherwise prejudicially affecting a private thoroughfare so that danger to anyone using the thoroughfare is prevented or minimised.</w:t>
      </w:r>
    </w:p>
    <w:p>
      <w:pPr>
        <w:pStyle w:val="yMiscellaneousBody"/>
        <w:tabs>
          <w:tab w:val="left" w:pos="480"/>
          <w:tab w:val="left" w:pos="960"/>
          <w:tab w:val="left" w:pos="1440"/>
        </w:tabs>
        <w:spacing w:before="120"/>
        <w:ind w:left="960" w:hanging="960"/>
      </w:pPr>
      <w:r>
        <w:tab/>
        <w:t>(2)</w:t>
      </w:r>
      <w:r>
        <w:tab/>
        <w:t>In this item</w:t>
      </w:r>
      <w:r>
        <w:rPr>
          <w:snapToGrid w:val="0"/>
        </w:rPr>
        <w:t> — </w:t>
      </w:r>
    </w:p>
    <w:p>
      <w:pPr>
        <w:pStyle w:val="yMiscellaneousBody"/>
        <w:tabs>
          <w:tab w:val="left" w:pos="480"/>
          <w:tab w:val="left" w:pos="960"/>
          <w:tab w:val="left" w:pos="1440"/>
        </w:tabs>
        <w:spacing w:before="120"/>
        <w:ind w:left="960" w:hanging="960"/>
      </w:pPr>
      <w:r>
        <w:tab/>
      </w:r>
      <w:r>
        <w:tab/>
      </w:r>
      <w:r>
        <w:rPr>
          <w:rStyle w:val="CharDefText"/>
        </w:rPr>
        <w:t>private thoroughfare</w:t>
      </w:r>
      <w:r>
        <w:t xml:space="preserve"> has the</w:t>
      </w:r>
      <w:r>
        <w:rPr>
          <w:snapToGrid w:val="0"/>
        </w:rPr>
        <w:t xml:space="preserve"> </w:t>
      </w:r>
      <w:r>
        <w:t>same meaning as in Schedule 9.1 clause 7(1).</w:t>
      </w:r>
    </w:p>
    <w:p>
      <w:pPr>
        <w:pStyle w:val="yFootnotesection"/>
      </w:pPr>
      <w:r>
        <w:tab/>
        <w:t>[Division 1 amended in Gazette 29 Apr 1997 p. 2144; amended by No. 49 of 2004 s. 72; No. 17 of 2009 s. 46.]</w:t>
      </w:r>
    </w:p>
    <w:p>
      <w:pPr>
        <w:pStyle w:val="yHeading3"/>
        <w:outlineLvl w:val="0"/>
      </w:pPr>
      <w:bookmarkStart w:id="1549" w:name="_Toc448219568"/>
      <w:bookmarkStart w:id="1550" w:name="_Toc448224790"/>
      <w:bookmarkStart w:id="1551" w:name="_Toc451180027"/>
      <w:bookmarkStart w:id="1552" w:name="_Toc451430947"/>
      <w:bookmarkStart w:id="1553" w:name="_Toc455396897"/>
      <w:bookmarkStart w:id="1554" w:name="_Toc455397757"/>
      <w:bookmarkStart w:id="1555" w:name="_Toc456086840"/>
      <w:bookmarkStart w:id="1556" w:name="_Toc462409853"/>
      <w:r>
        <w:rPr>
          <w:rStyle w:val="CharSDivNo"/>
        </w:rPr>
        <w:t>Division 2</w:t>
      </w:r>
      <w:r>
        <w:t> — </w:t>
      </w:r>
      <w:r>
        <w:rPr>
          <w:rStyle w:val="CharSDivText"/>
        </w:rPr>
        <w:t>Provisions contraventions of which may lead to a notice requiring things to be done</w:t>
      </w:r>
      <w:bookmarkEnd w:id="1549"/>
      <w:bookmarkEnd w:id="1550"/>
      <w:bookmarkEnd w:id="1551"/>
      <w:bookmarkEnd w:id="1552"/>
      <w:bookmarkEnd w:id="1553"/>
      <w:bookmarkEnd w:id="1554"/>
      <w:bookmarkEnd w:id="1555"/>
      <w:bookmarkEnd w:id="1556"/>
    </w:p>
    <w:p>
      <w:pPr>
        <w:pStyle w:val="yMiscellaneousBody"/>
        <w:tabs>
          <w:tab w:val="left" w:pos="840"/>
          <w:tab w:val="left" w:pos="1080"/>
          <w:tab w:val="left" w:pos="1200"/>
          <w:tab w:val="left" w:pos="1440"/>
        </w:tabs>
        <w:spacing w:before="120"/>
        <w:ind w:left="480" w:hanging="480"/>
      </w:pPr>
      <w:r>
        <w:t>1.</w:t>
      </w:r>
      <w:r>
        <w:tab/>
        <w:t>Regulations under Schedule 9.1, clause 3 (Obstructing or encroaching on public thoroughfare).</w:t>
      </w:r>
    </w:p>
    <w:p>
      <w:pPr>
        <w:pStyle w:val="yMiscellaneousBody"/>
        <w:tabs>
          <w:tab w:val="left" w:pos="840"/>
          <w:tab w:val="left" w:pos="1080"/>
          <w:tab w:val="left" w:pos="1200"/>
          <w:tab w:val="left" w:pos="1440"/>
        </w:tabs>
        <w:spacing w:before="120"/>
        <w:ind w:left="480" w:hanging="480"/>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MiscellaneousBody"/>
        <w:tabs>
          <w:tab w:val="left" w:pos="840"/>
          <w:tab w:val="left" w:pos="1080"/>
          <w:tab w:val="left" w:pos="1200"/>
          <w:tab w:val="left" w:pos="1440"/>
        </w:tabs>
        <w:spacing w:before="120"/>
        <w:ind w:left="480" w:hanging="480"/>
      </w:pPr>
      <w:r>
        <w:t>2.</w:t>
      </w:r>
      <w:r>
        <w:tab/>
        <w:t>Regulations under Schedule 9.1, clause 6 (Dangerous excavation in or near public thoroughfare).</w:t>
      </w:r>
    </w:p>
    <w:p>
      <w:pPr>
        <w:pStyle w:val="yMiscellaneousBody"/>
        <w:tabs>
          <w:tab w:val="left" w:pos="840"/>
          <w:tab w:val="left" w:pos="1080"/>
          <w:tab w:val="left" w:pos="1200"/>
          <w:tab w:val="left" w:pos="1440"/>
        </w:tabs>
        <w:spacing w:before="120"/>
        <w:ind w:left="480" w:hanging="480"/>
      </w:pPr>
      <w:r>
        <w:t>2A.</w:t>
      </w:r>
      <w:r>
        <w:tab/>
        <w:t>Regulations under Schedule 9.1, clause 7(2) (Crossings from public thoroughfares to private land or to private thoroughfares) that — </w:t>
      </w:r>
    </w:p>
    <w:p>
      <w:pPr>
        <w:pStyle w:val="yMiscellaneousBody"/>
        <w:tabs>
          <w:tab w:val="left" w:pos="360"/>
          <w:tab w:val="left" w:pos="840"/>
          <w:tab w:val="left" w:pos="1200"/>
          <w:tab w:val="left" w:pos="1440"/>
        </w:tabs>
        <w:spacing w:before="120"/>
      </w:pPr>
      <w:r>
        <w:tab/>
      </w:r>
      <w:r>
        <w:tab/>
        <w:t>(a)</w:t>
      </w:r>
      <w:r>
        <w:tab/>
        <w:t>prohibit a person from constructing a crossing; or</w:t>
      </w:r>
    </w:p>
    <w:p>
      <w:pPr>
        <w:pStyle w:val="yMiscellaneousBody"/>
        <w:tabs>
          <w:tab w:val="left" w:pos="360"/>
          <w:tab w:val="left" w:pos="840"/>
          <w:tab w:val="left" w:pos="1200"/>
          <w:tab w:val="left" w:pos="1440"/>
        </w:tabs>
        <w:spacing w:before="120"/>
        <w:ind w:left="1200" w:hanging="1200"/>
      </w:pPr>
      <w:r>
        <w:tab/>
      </w:r>
      <w:r>
        <w:tab/>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MiscellaneousBody"/>
        <w:tabs>
          <w:tab w:val="left" w:pos="840"/>
          <w:tab w:val="left" w:pos="1080"/>
          <w:tab w:val="left" w:pos="1200"/>
          <w:tab w:val="left" w:pos="1440"/>
        </w:tabs>
        <w:spacing w:before="120"/>
        <w:ind w:left="480" w:hanging="480"/>
      </w:pPr>
      <w:r>
        <w:t>3.</w:t>
      </w:r>
      <w:r>
        <w:tab/>
        <w:t>Regulations under Schedule 9.1, clause 8(1) (Constructing private works on, over, or under public places).</w:t>
      </w:r>
    </w:p>
    <w:p>
      <w:pPr>
        <w:pStyle w:val="yMiscellaneousBody"/>
        <w:tabs>
          <w:tab w:val="left" w:pos="840"/>
          <w:tab w:val="left" w:pos="1080"/>
          <w:tab w:val="left" w:pos="1200"/>
          <w:tab w:val="left" w:pos="1440"/>
        </w:tabs>
        <w:spacing w:before="120"/>
        <w:ind w:left="480" w:hanging="480"/>
      </w:pPr>
      <w:r>
        <w:t>4.</w:t>
      </w:r>
      <w:r>
        <w:tab/>
        <w:t>Regulations under Schedule 9.1, clause 9 (Protection of watercourses, drains, tunnels and bridges).</w:t>
      </w:r>
    </w:p>
    <w:p>
      <w:pPr>
        <w:pStyle w:val="yMiscellaneousBody"/>
        <w:tabs>
          <w:tab w:val="left" w:pos="840"/>
          <w:tab w:val="left" w:pos="1080"/>
          <w:tab w:val="left" w:pos="1200"/>
          <w:tab w:val="left" w:pos="1440"/>
        </w:tabs>
        <w:spacing w:before="120"/>
        <w:ind w:left="480" w:hanging="480"/>
      </w:pPr>
      <w:r>
        <w:t>5.</w:t>
      </w:r>
      <w:r>
        <w:tab/>
        <w:t>Regulations under Schedule 9.1, clause 10 (Protection of thoroughfares from water damage).</w:t>
      </w:r>
    </w:p>
    <w:p>
      <w:pPr>
        <w:pStyle w:val="yMiscellaneousBody"/>
        <w:tabs>
          <w:tab w:val="left" w:pos="840"/>
          <w:tab w:val="left" w:pos="1080"/>
          <w:tab w:val="left" w:pos="1200"/>
          <w:tab w:val="left" w:pos="1440"/>
        </w:tabs>
        <w:spacing w:before="120"/>
        <w:ind w:left="480" w:hanging="480"/>
      </w:pPr>
      <w:r>
        <w:t>6.</w:t>
      </w:r>
      <w:r>
        <w:tab/>
        <w:t>Regulations under Schedule 9.1, clause 12 (Wind erosion and sand drifts).</w:t>
      </w:r>
    </w:p>
    <w:p>
      <w:pPr>
        <w:pStyle w:val="yFootnotesection"/>
      </w:pPr>
      <w:r>
        <w:tab/>
        <w:t>[Division 2 amended in Gazette 24 Jun 1996 p. 2862.]</w:t>
      </w:r>
    </w:p>
    <w:p>
      <w:pPr>
        <w:pStyle w:val="yScheduleHeading"/>
      </w:pPr>
      <w:bookmarkStart w:id="1557" w:name="_Toc448219569"/>
      <w:bookmarkStart w:id="1558" w:name="_Toc448224791"/>
      <w:bookmarkStart w:id="1559" w:name="_Toc451180028"/>
      <w:bookmarkStart w:id="1560" w:name="_Toc451430948"/>
      <w:bookmarkStart w:id="1561" w:name="_Toc455396898"/>
      <w:bookmarkStart w:id="1562" w:name="_Toc455397758"/>
      <w:bookmarkStart w:id="1563" w:name="_Toc456086841"/>
      <w:bookmarkStart w:id="1564" w:name="_Toc462409854"/>
      <w:r>
        <w:rPr>
          <w:rStyle w:val="CharSchNo"/>
        </w:rPr>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1557"/>
      <w:bookmarkEnd w:id="1558"/>
      <w:bookmarkEnd w:id="1559"/>
      <w:bookmarkEnd w:id="1560"/>
      <w:bookmarkEnd w:id="1561"/>
      <w:bookmarkEnd w:id="1562"/>
      <w:bookmarkEnd w:id="1563"/>
      <w:bookmarkEnd w:id="1564"/>
    </w:p>
    <w:p>
      <w:pPr>
        <w:pStyle w:val="yShoulderClause"/>
      </w:pPr>
      <w:r>
        <w:t>[Section 3.27(1)]</w:t>
      </w:r>
    </w:p>
    <w:p>
      <w:pPr>
        <w:pStyle w:val="yMiscellaneousBody"/>
        <w:tabs>
          <w:tab w:val="left" w:pos="840"/>
          <w:tab w:val="left" w:pos="1080"/>
          <w:tab w:val="left" w:pos="1200"/>
          <w:tab w:val="left" w:pos="1440"/>
        </w:tabs>
        <w:spacing w:before="120"/>
        <w:ind w:left="480" w:hanging="480"/>
      </w:pPr>
      <w:r>
        <w:t>1.</w:t>
      </w:r>
      <w:r>
        <w:tab/>
        <w:t>Carry out works for the drainage of land.</w:t>
      </w:r>
    </w:p>
    <w:p>
      <w:pPr>
        <w:pStyle w:val="yMiscellaneousBody"/>
        <w:tabs>
          <w:tab w:val="left" w:pos="840"/>
          <w:tab w:val="left" w:pos="1080"/>
          <w:tab w:val="left" w:pos="1200"/>
          <w:tab w:val="left" w:pos="1440"/>
        </w:tabs>
        <w:spacing w:before="120"/>
        <w:ind w:left="480" w:hanging="480"/>
      </w:pPr>
      <w:r>
        <w:t>2.</w:t>
      </w:r>
      <w:r>
        <w:tab/>
        <w:t>Do earthworks or other works on land for preventing or reducing flooding.</w:t>
      </w:r>
    </w:p>
    <w:p>
      <w:pPr>
        <w:pStyle w:val="yMiscellaneousBody"/>
        <w:tabs>
          <w:tab w:val="left" w:pos="840"/>
          <w:tab w:val="left" w:pos="1080"/>
          <w:tab w:val="left" w:pos="1200"/>
          <w:tab w:val="left" w:pos="1440"/>
        </w:tabs>
        <w:spacing w:before="120"/>
        <w:ind w:left="480" w:hanging="480"/>
      </w:pPr>
      <w:r>
        <w:t>3.</w:t>
      </w:r>
      <w:r>
        <w:tab/>
        <w:t>Take from land any native growing or dead timber, earth, stone, sand, or gravel that, in its opinion, the local government requires for making or repairing a thoroughfare, bridge, culvert, fence, or gate.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5.</w:t>
      </w:r>
      <w:r>
        <w:tab/>
        <w:t>Make a temporary thoroughfare through land for use by the public as a detour while work is being done on a public thoroughfare.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6.</w:t>
      </w:r>
      <w:r>
        <w:tab/>
        <w:t>Place on land signs to indicate the names of public thoroughfares.</w:t>
      </w:r>
    </w:p>
    <w:p>
      <w:pPr>
        <w:pStyle w:val="yMiscellaneousBody"/>
        <w:tabs>
          <w:tab w:val="left" w:pos="840"/>
          <w:tab w:val="left" w:pos="1080"/>
          <w:tab w:val="left" w:pos="1200"/>
          <w:tab w:val="left" w:pos="1440"/>
        </w:tabs>
        <w:spacing w:before="120"/>
        <w:ind w:left="480" w:hanging="480"/>
      </w:pPr>
      <w:r>
        <w:t>7.</w:t>
      </w:r>
      <w:r>
        <w:tab/>
        <w:t>Make safe a tree that presents serious and immediate danger, without having given the owner the notice otherwise required by regulations.</w:t>
      </w:r>
    </w:p>
    <w:p>
      <w:pPr>
        <w:pStyle w:val="yMiscellaneousBody"/>
        <w:tabs>
          <w:tab w:val="left" w:pos="840"/>
          <w:tab w:val="left" w:pos="1080"/>
          <w:tab w:val="left" w:pos="1200"/>
          <w:tab w:val="left" w:pos="1440"/>
        </w:tabs>
        <w:spacing w:before="120"/>
        <w:ind w:left="480" w:hanging="480"/>
      </w:pPr>
      <w:r>
        <w:t>8.</w:t>
      </w:r>
      <w:r>
        <w:tab/>
        <w:t>Obliterate graffiti that is visible from a public place and that has been applied without the consent of the owner or occupier.</w:t>
      </w:r>
    </w:p>
    <w:p>
      <w:pPr>
        <w:pStyle w:val="yFootnotesection"/>
      </w:pPr>
      <w:r>
        <w:tab/>
        <w:t>[Schedule 3.2 amended by No. 17 of 2009 s. 47.]</w:t>
      </w:r>
    </w:p>
    <w:p>
      <w:pPr>
        <w:pStyle w:val="yScheduleHeading"/>
      </w:pPr>
      <w:bookmarkStart w:id="1565" w:name="_Toc448219570"/>
      <w:bookmarkStart w:id="1566" w:name="_Toc448224792"/>
      <w:bookmarkStart w:id="1567" w:name="_Toc451180029"/>
      <w:bookmarkStart w:id="1568" w:name="_Toc451430949"/>
      <w:bookmarkStart w:id="1569" w:name="_Toc455396899"/>
      <w:bookmarkStart w:id="1570" w:name="_Toc455397759"/>
      <w:bookmarkStart w:id="1571" w:name="_Toc456086842"/>
      <w:bookmarkStart w:id="1572" w:name="_Toc462409855"/>
      <w:r>
        <w:rPr>
          <w:rStyle w:val="CharSchNo"/>
        </w:rPr>
        <w:t>Schedule 4.1</w:t>
      </w:r>
      <w:r>
        <w:rPr>
          <w:rStyle w:val="CharSDivNo"/>
        </w:rPr>
        <w:t> </w:t>
      </w:r>
      <w:r>
        <w:t>—</w:t>
      </w:r>
      <w:r>
        <w:rPr>
          <w:rStyle w:val="CharSDivText"/>
        </w:rPr>
        <w:t> </w:t>
      </w:r>
      <w:r>
        <w:rPr>
          <w:rStyle w:val="CharSchText"/>
        </w:rPr>
        <w:t>How to count votes and ascertain the result of an election</w:t>
      </w:r>
      <w:bookmarkEnd w:id="1565"/>
      <w:bookmarkEnd w:id="1566"/>
      <w:bookmarkEnd w:id="1567"/>
      <w:bookmarkEnd w:id="1568"/>
      <w:bookmarkEnd w:id="1569"/>
      <w:bookmarkEnd w:id="1570"/>
      <w:bookmarkEnd w:id="1571"/>
      <w:bookmarkEnd w:id="1572"/>
    </w:p>
    <w:p>
      <w:pPr>
        <w:pStyle w:val="yShoulderClause"/>
      </w:pPr>
      <w:r>
        <w:t>[s. 4.74]</w:t>
      </w:r>
    </w:p>
    <w:p>
      <w:pPr>
        <w:pStyle w:val="yFootnoteheading"/>
      </w:pPr>
      <w:r>
        <w:tab/>
        <w:t>[Heading inserted by No. 15 of 2009 s. 5.]</w:t>
      </w:r>
    </w:p>
    <w:p>
      <w:pPr>
        <w:pStyle w:val="yMiscellaneousBody"/>
        <w:tabs>
          <w:tab w:val="left" w:pos="840"/>
          <w:tab w:val="left" w:pos="1080"/>
          <w:tab w:val="left" w:pos="1200"/>
          <w:tab w:val="left" w:pos="1440"/>
        </w:tabs>
        <w:spacing w:before="120"/>
        <w:ind w:left="480" w:hanging="480"/>
      </w:pPr>
      <w:r>
        <w:t>1.</w:t>
      </w:r>
      <w:r>
        <w:tab/>
        <w:t>The number of votes given for each candidate is to be ascertained.</w:t>
      </w:r>
    </w:p>
    <w:p>
      <w:pPr>
        <w:pStyle w:val="yMiscellaneousBody"/>
        <w:tabs>
          <w:tab w:val="left" w:pos="840"/>
          <w:tab w:val="left" w:pos="1080"/>
          <w:tab w:val="left" w:pos="1200"/>
          <w:tab w:val="left" w:pos="1440"/>
        </w:tabs>
        <w:spacing w:before="120"/>
        <w:ind w:left="480" w:hanging="480"/>
      </w:pPr>
      <w:r>
        <w:t>2.</w:t>
      </w:r>
      <w:r>
        <w:tab/>
        <w:t>If the election is to fill the office of mayor or president,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3.</w:t>
      </w:r>
      <w:r>
        <w:tab/>
        <w:t>If the election is to fill one office of councillor,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4.</w:t>
      </w:r>
      <w:r>
        <w:tab/>
        <w:t xml:space="preserve">If the election is to fill 2 or more offices of councillor, the candidates elected are — </w:t>
      </w:r>
    </w:p>
    <w:p>
      <w:pPr>
        <w:pStyle w:val="yMiscellaneousBody"/>
        <w:tabs>
          <w:tab w:val="left" w:pos="840"/>
          <w:tab w:val="left" w:pos="1200"/>
          <w:tab w:val="left" w:pos="1560"/>
        </w:tabs>
        <w:spacing w:before="120"/>
        <w:ind w:left="480" w:hanging="480"/>
      </w:pPr>
      <w:r>
        <w:tab/>
      </w:r>
      <w:r>
        <w:tab/>
        <w:t>(a)</w:t>
      </w:r>
      <w:r>
        <w:tab/>
        <w:t>the candidate who receives the greatest number of votes; and</w:t>
      </w:r>
    </w:p>
    <w:p>
      <w:pPr>
        <w:pStyle w:val="yMiscellaneousBody"/>
        <w:tabs>
          <w:tab w:val="left" w:pos="840"/>
          <w:tab w:val="left" w:pos="1080"/>
          <w:tab w:val="left" w:pos="1200"/>
          <w:tab w:val="left" w:pos="1440"/>
          <w:tab w:val="left" w:pos="1560"/>
        </w:tabs>
        <w:spacing w:before="120"/>
        <w:ind w:left="480" w:hanging="480"/>
      </w:pPr>
      <w:r>
        <w:tab/>
      </w:r>
      <w:r>
        <w:tab/>
        <w:t>(b)</w:t>
      </w:r>
      <w:r>
        <w:tab/>
        <w:t>the candidate who receives the next highest number of votes; and</w:t>
      </w:r>
    </w:p>
    <w:p>
      <w:pPr>
        <w:pStyle w:val="yMiscellaneousBody"/>
        <w:tabs>
          <w:tab w:val="left" w:pos="840"/>
          <w:tab w:val="left" w:pos="1080"/>
          <w:tab w:val="left" w:pos="1200"/>
          <w:tab w:val="left" w:pos="1440"/>
          <w:tab w:val="left" w:pos="1560"/>
        </w:tabs>
        <w:spacing w:before="120"/>
        <w:ind w:left="480" w:hanging="480"/>
      </w:pPr>
      <w:r>
        <w:tab/>
      </w:r>
      <w:r>
        <w:tab/>
        <w:t>(c)</w:t>
      </w:r>
      <w:r>
        <w:tab/>
        <w:t>the candidate who receives the next highest number of votes,</w:t>
      </w:r>
    </w:p>
    <w:p>
      <w:pPr>
        <w:pStyle w:val="yMiscellaneousBody"/>
        <w:tabs>
          <w:tab w:val="left" w:pos="840"/>
          <w:tab w:val="left" w:pos="1080"/>
          <w:tab w:val="left" w:pos="1200"/>
          <w:tab w:val="left" w:pos="1440"/>
        </w:tabs>
        <w:spacing w:before="120"/>
        <w:ind w:left="480" w:hanging="480"/>
      </w:pPr>
      <w:r>
        <w:tab/>
        <w:t>and so on up to the number of offices to be filled.</w:t>
      </w:r>
    </w:p>
    <w:p>
      <w:pPr>
        <w:pStyle w:val="yMiscellaneousBody"/>
        <w:tabs>
          <w:tab w:val="left" w:pos="840"/>
          <w:tab w:val="left" w:pos="1080"/>
          <w:tab w:val="left" w:pos="1200"/>
          <w:tab w:val="left" w:pos="1440"/>
        </w:tabs>
        <w:spacing w:before="120"/>
        <w:ind w:left="480" w:hanging="480"/>
      </w:pPr>
      <w:r>
        <w:t>5.</w:t>
      </w:r>
      <w:r>
        <w:tab/>
        <w:t>If 2 or more candidates receive the same number of votes so that clause 2, 3 or 4 cannot be applied, the returning officer is to draw lots in accordance with regulations to determine which candidate is elected.</w:t>
      </w:r>
    </w:p>
    <w:p>
      <w:pPr>
        <w:pStyle w:val="yFootnotesection"/>
      </w:pPr>
      <w:r>
        <w:tab/>
        <w:t>[Schedule 4.1 inserted by No. 15 of 2009 s. 5.]</w:t>
      </w:r>
    </w:p>
    <w:p>
      <w:pPr>
        <w:pStyle w:val="yScheduleHeading"/>
      </w:pPr>
      <w:bookmarkStart w:id="1573" w:name="_Toc448219571"/>
      <w:bookmarkStart w:id="1574" w:name="_Toc448224793"/>
      <w:bookmarkStart w:id="1575" w:name="_Toc451180030"/>
      <w:bookmarkStart w:id="1576" w:name="_Toc451430950"/>
      <w:bookmarkStart w:id="1577" w:name="_Toc455396900"/>
      <w:bookmarkStart w:id="1578" w:name="_Toc455397760"/>
      <w:bookmarkStart w:id="1579" w:name="_Toc456086843"/>
      <w:bookmarkStart w:id="1580" w:name="_Toc462409856"/>
      <w:r>
        <w:rPr>
          <w:rStyle w:val="CharSchNo"/>
        </w:rPr>
        <w:t>Schedule 4.2</w:t>
      </w:r>
      <w:r>
        <w:t> — </w:t>
      </w:r>
      <w:r>
        <w:rPr>
          <w:rStyle w:val="CharSchText"/>
        </w:rPr>
        <w:t>Order of retirement from office of councillors</w:t>
      </w:r>
      <w:bookmarkEnd w:id="1573"/>
      <w:bookmarkEnd w:id="1574"/>
      <w:bookmarkEnd w:id="1575"/>
      <w:bookmarkEnd w:id="1576"/>
      <w:bookmarkEnd w:id="1577"/>
      <w:bookmarkEnd w:id="1578"/>
      <w:bookmarkEnd w:id="1579"/>
      <w:bookmarkEnd w:id="1580"/>
    </w:p>
    <w:p>
      <w:pPr>
        <w:pStyle w:val="yShoulderClause"/>
      </w:pPr>
      <w:r>
        <w:t>[Section 4.78(2)]</w:t>
      </w:r>
    </w:p>
    <w:p>
      <w:pPr>
        <w:pStyle w:val="yMiscellaneousBody"/>
        <w:tabs>
          <w:tab w:val="left" w:pos="840"/>
          <w:tab w:val="left" w:pos="1080"/>
          <w:tab w:val="left" w:pos="1200"/>
          <w:tab w:val="left" w:pos="1440"/>
        </w:tabs>
        <w:spacing w:before="120"/>
        <w:ind w:left="480" w:hanging="480"/>
      </w:pPr>
      <w:r>
        <w:t>1.</w:t>
      </w:r>
      <w:r>
        <w:tab/>
        <w:t>As near as practicable to ½ of the total number of councillors as the returning officer determines are to retire every 2 years.</w:t>
      </w:r>
    </w:p>
    <w:p>
      <w:pPr>
        <w:pStyle w:val="yMiscellaneousBody"/>
        <w:tabs>
          <w:tab w:val="left" w:pos="840"/>
          <w:tab w:val="left" w:pos="1080"/>
          <w:tab w:val="left" w:pos="1200"/>
          <w:tab w:val="left" w:pos="1440"/>
        </w:tabs>
        <w:spacing w:before="120"/>
        <w:ind w:left="480" w:hanging="480"/>
      </w:pPr>
      <w:r>
        <w:t>2.</w:t>
      </w:r>
      <w:r>
        <w:tab/>
        <w:t>Unless clause 3 applies, if the district is divided into wards, as near as practicable to ½ of the councillors representing each ward as the returning officer determines are to retire every 2 years in an election year.</w:t>
      </w:r>
    </w:p>
    <w:p>
      <w:pPr>
        <w:pStyle w:val="yMiscellaneousBody"/>
        <w:tabs>
          <w:tab w:val="left" w:pos="840"/>
          <w:tab w:val="left" w:pos="1080"/>
          <w:tab w:val="left" w:pos="1200"/>
          <w:tab w:val="left" w:pos="1440"/>
        </w:tabs>
        <w:spacing w:before="120"/>
        <w:ind w:left="480" w:hanging="480"/>
      </w:pPr>
      <w:r>
        <w:t>3.</w:t>
      </w:r>
      <w:r>
        <w:tab/>
        <w:t>If it is not practicable for any reason for clause 2 to operate consistently with clause 1, clause 1 prevails to the extent of any inconsistency between them.</w:t>
      </w:r>
    </w:p>
    <w:p>
      <w:pPr>
        <w:pStyle w:val="yMiscellaneousBody"/>
        <w:tabs>
          <w:tab w:val="left" w:pos="840"/>
          <w:tab w:val="left" w:pos="1080"/>
          <w:tab w:val="left" w:pos="1200"/>
          <w:tab w:val="left" w:pos="1440"/>
        </w:tabs>
        <w:spacing w:before="120"/>
        <w:ind w:left="480" w:hanging="480"/>
      </w:pPr>
      <w:r>
        <w:t>4.</w:t>
      </w:r>
      <w:r>
        <w:tab/>
        <w:t>Councillors are only to retire in an election year.</w:t>
      </w:r>
    </w:p>
    <w:p>
      <w:pPr>
        <w:pStyle w:val="yMiscellaneousBody"/>
        <w:tabs>
          <w:tab w:val="left" w:pos="840"/>
          <w:tab w:val="left" w:pos="1080"/>
          <w:tab w:val="left" w:pos="1200"/>
          <w:tab w:val="left" w:pos="1440"/>
        </w:tabs>
        <w:spacing w:before="120"/>
        <w:ind w:left="480" w:hanging="48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MiscellaneousBody"/>
        <w:tabs>
          <w:tab w:val="left" w:pos="840"/>
          <w:tab w:val="left" w:pos="1080"/>
          <w:tab w:val="left" w:pos="1200"/>
          <w:tab w:val="left" w:pos="1440"/>
        </w:tabs>
        <w:spacing w:before="120"/>
        <w:ind w:left="480" w:hanging="480"/>
      </w:pPr>
      <w:r>
        <w:t>6.</w:t>
      </w:r>
      <w:r>
        <w:tab/>
        <w:t>If the district is not divided into wards, the retirement from office of councillors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7.</w:t>
      </w:r>
      <w:r>
        <w:tab/>
        <w:t>If the district is divided into wards, the retirement of councillors representing each ward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8.</w:t>
      </w:r>
      <w:r>
        <w:tab/>
        <w:t>If it is necessary to determine the order of retirement as between councillors representing different wards, the councillor who receives the highest percentage of votes cast on his or her election is to retire last and — </w:t>
      </w:r>
    </w:p>
    <w:p>
      <w:pPr>
        <w:pStyle w:val="yIndenta"/>
      </w:pPr>
      <w:r>
        <w:tab/>
        <w:t>(a)</w:t>
      </w:r>
      <w:r>
        <w:tab/>
        <w:t>where a councillor has been elected unopposed he or she is to be regarded as having received 100% of the votes cast; and</w:t>
      </w:r>
    </w:p>
    <w:p>
      <w:pPr>
        <w:pStyle w:val="yIndenta"/>
      </w:pPr>
      <w:r>
        <w:tab/>
        <w:t>(b)</w:t>
      </w:r>
      <w:r>
        <w:tab/>
        <w:t>where 2 or more councillors have an equality of the percentage of votes cast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9.</w:t>
      </w:r>
      <w:r>
        <w:tab/>
        <w:t>If a question arises as to the order of retirement of persons occupying the office of councillor, the order of retirement as between a person appointed under section 4.57(3) and another person or other persons — </w:t>
      </w:r>
    </w:p>
    <w:p>
      <w:pPr>
        <w:pStyle w:val="yIndenta"/>
      </w:pPr>
      <w:r>
        <w:tab/>
        <w:t>(a)</w:t>
      </w:r>
      <w:r>
        <w:tab/>
        <w:t>so appointed to the office of councillor on the same day, is that determined on the drawing of lots by the returning officer; or</w:t>
      </w:r>
    </w:p>
    <w:p>
      <w:pPr>
        <w:pStyle w:val="yIndenta"/>
      </w:pPr>
      <w:r>
        <w:tab/>
        <w:t>(b)</w:t>
      </w:r>
      <w:r>
        <w:tab/>
        <w:t>so appointed to the office of councillor on different days, is in inverse order of the date of appointment; or</w:t>
      </w:r>
    </w:p>
    <w:p>
      <w:pPr>
        <w:pStyle w:val="yIndenta"/>
      </w:pPr>
      <w:r>
        <w:tab/>
        <w:t>(c)</w:t>
      </w:r>
      <w:r>
        <w:tab/>
        <w:t>elected to the office of councillor, is such that persons so elected retire after persons so appointed.</w:t>
      </w:r>
    </w:p>
    <w:p>
      <w:pPr>
        <w:pStyle w:val="yFootnotesection"/>
      </w:pPr>
      <w:r>
        <w:tab/>
        <w:t>[Schedule 4.2 amended by No. 9 of 2007 s. 6; No. 15 of 2009 s. 6.]</w:t>
      </w:r>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yScheduleHeading"/>
        <w:outlineLvl w:val="0"/>
      </w:pPr>
      <w:bookmarkStart w:id="1581" w:name="_Toc448219572"/>
      <w:bookmarkStart w:id="1582" w:name="_Toc448224794"/>
      <w:bookmarkStart w:id="1583" w:name="_Toc451180031"/>
      <w:bookmarkStart w:id="1584" w:name="_Toc451430951"/>
      <w:bookmarkStart w:id="1585" w:name="_Toc455396901"/>
      <w:bookmarkStart w:id="1586" w:name="_Toc455397761"/>
      <w:bookmarkStart w:id="1587" w:name="_Toc456086844"/>
      <w:bookmarkStart w:id="1588" w:name="_Toc462409857"/>
      <w:r>
        <w:rPr>
          <w:rStyle w:val="CharSchNo"/>
        </w:rPr>
        <w:t>Schedule 5.1</w:t>
      </w:r>
      <w:r>
        <w:rPr>
          <w:rStyle w:val="CharSDivNo"/>
        </w:rPr>
        <w:t> </w:t>
      </w:r>
      <w:r>
        <w:t>—</w:t>
      </w:r>
      <w:r>
        <w:rPr>
          <w:rStyle w:val="CharSDivText"/>
        </w:rPr>
        <w:t> </w:t>
      </w:r>
      <w:r>
        <w:rPr>
          <w:rStyle w:val="CharSchText"/>
        </w:rPr>
        <w:t>Provisions about standards panels</w:t>
      </w:r>
      <w:bookmarkEnd w:id="1581"/>
      <w:bookmarkEnd w:id="1582"/>
      <w:bookmarkEnd w:id="1583"/>
      <w:bookmarkEnd w:id="1584"/>
      <w:bookmarkEnd w:id="1585"/>
      <w:bookmarkEnd w:id="1586"/>
      <w:bookmarkEnd w:id="1587"/>
      <w:bookmarkEnd w:id="1588"/>
    </w:p>
    <w:p>
      <w:pPr>
        <w:pStyle w:val="yShoulderClause"/>
      </w:pPr>
      <w:r>
        <w:t>[Section 5.122]</w:t>
      </w:r>
    </w:p>
    <w:p>
      <w:pPr>
        <w:pStyle w:val="yFootnoteheading"/>
      </w:pPr>
      <w:r>
        <w:tab/>
        <w:t>[Heading inserted by No. 1 of 2007 s. 13.]</w:t>
      </w:r>
    </w:p>
    <w:p>
      <w:pPr>
        <w:pStyle w:val="yHeading5"/>
        <w:outlineLvl w:val="0"/>
      </w:pPr>
      <w:bookmarkStart w:id="1589" w:name="_Toc462409858"/>
      <w:r>
        <w:rPr>
          <w:rStyle w:val="CharSClsNo"/>
        </w:rPr>
        <w:t>1</w:t>
      </w:r>
      <w:r>
        <w:t>.</w:t>
      </w:r>
      <w:r>
        <w:tab/>
        <w:t>Term used: member</w:t>
      </w:r>
      <w:bookmarkEnd w:id="1589"/>
    </w:p>
    <w:p>
      <w:pPr>
        <w:pStyle w:val="ySubsection"/>
      </w:pPr>
      <w:r>
        <w:tab/>
      </w:r>
      <w:r>
        <w:tab/>
        <w:t>In this Schedule, unless the contrary intention appears — </w:t>
      </w:r>
    </w:p>
    <w:p>
      <w:pPr>
        <w:pStyle w:val="yDefstart"/>
      </w:pPr>
      <w:r>
        <w:rPr>
          <w:b/>
        </w:rPr>
        <w:tab/>
      </w:r>
      <w:r>
        <w:rPr>
          <w:rStyle w:val="CharDefText"/>
        </w:rPr>
        <w:t>member</w:t>
      </w:r>
      <w:r>
        <w:t xml:space="preserve"> means a member of a standards panel.</w:t>
      </w:r>
    </w:p>
    <w:p>
      <w:pPr>
        <w:pStyle w:val="yFootnotesection"/>
      </w:pPr>
      <w:r>
        <w:tab/>
        <w:t>[Clause 1 inserted by No. 1 of 2007 s. 13.]</w:t>
      </w:r>
    </w:p>
    <w:p>
      <w:pPr>
        <w:pStyle w:val="yHeading5"/>
        <w:outlineLvl w:val="0"/>
      </w:pPr>
      <w:bookmarkStart w:id="1590" w:name="_Toc462409859"/>
      <w:r>
        <w:rPr>
          <w:rStyle w:val="CharSClsNo"/>
        </w:rPr>
        <w:t>2</w:t>
      </w:r>
      <w:r>
        <w:t>.</w:t>
      </w:r>
      <w:r>
        <w:tab/>
        <w:t>Membership of standards panel</w:t>
      </w:r>
      <w:bookmarkEnd w:id="1590"/>
    </w:p>
    <w:p>
      <w:pPr>
        <w:pStyle w:val="ySubsection"/>
      </w:pPr>
      <w:r>
        <w:tab/>
      </w:r>
      <w:r>
        <w:tab/>
        <w:t>A standards panel consists of 3 members appointed by the Minister of whom — </w:t>
      </w:r>
    </w:p>
    <w:p>
      <w:pPr>
        <w:pStyle w:val="yIndenta"/>
      </w:pPr>
      <w:r>
        <w:tab/>
        <w:t>(a)</w:t>
      </w:r>
      <w:r>
        <w:tab/>
        <w:t>one person is to be an officer of the Department; and</w:t>
      </w:r>
    </w:p>
    <w:p>
      <w:pPr>
        <w:pStyle w:val="yIndenta"/>
      </w:pPr>
      <w:r>
        <w:tab/>
        <w:t>(b)</w:t>
      </w:r>
      <w:r>
        <w:tab/>
        <w:t>one person is to be a person who has experience as a member of a council; and</w:t>
      </w:r>
    </w:p>
    <w:p>
      <w:pPr>
        <w:pStyle w:val="yIndenta"/>
      </w:pPr>
      <w:r>
        <w:tab/>
        <w:t>(c)</w:t>
      </w:r>
      <w:r>
        <w:tab/>
        <w:t>one person is to be a person having relevant legal knowledge.</w:t>
      </w:r>
    </w:p>
    <w:p>
      <w:pPr>
        <w:pStyle w:val="yFootnotesection"/>
      </w:pPr>
      <w:r>
        <w:tab/>
        <w:t>[Clause 2 inserted by No. 1 of 2007 s. 13.]</w:t>
      </w:r>
    </w:p>
    <w:p>
      <w:pPr>
        <w:pStyle w:val="yHeading5"/>
        <w:outlineLvl w:val="0"/>
      </w:pPr>
      <w:bookmarkStart w:id="1591" w:name="_Toc462409860"/>
      <w:r>
        <w:rPr>
          <w:rStyle w:val="CharSClsNo"/>
        </w:rPr>
        <w:t>3</w:t>
      </w:r>
      <w:r>
        <w:t>.</w:t>
      </w:r>
      <w:r>
        <w:tab/>
        <w:t>Deputies</w:t>
      </w:r>
      <w:bookmarkEnd w:id="1591"/>
    </w:p>
    <w:p>
      <w:pPr>
        <w:pStyle w:val="ySubsection"/>
      </w:pPr>
      <w:r>
        <w:tab/>
        <w:t>(1)</w:t>
      </w:r>
      <w:r>
        <w:tab/>
        <w:t>The Minister may appoint a deputy for any member.</w:t>
      </w:r>
    </w:p>
    <w:p>
      <w:pPr>
        <w:pStyle w:val="ySubsection"/>
      </w:pPr>
      <w:r>
        <w:tab/>
        <w:t>(2)</w:t>
      </w:r>
      <w:r>
        <w:tab/>
        <w:t>A person is not eligible to be appointed as the deputy for a member unless that person is eligible to be appointed to the office of that member.</w:t>
      </w:r>
    </w:p>
    <w:p>
      <w:pPr>
        <w:pStyle w:val="ySubsection"/>
      </w:pPr>
      <w:r>
        <w:tab/>
        <w:t>(3)</w:t>
      </w:r>
      <w:r>
        <w:tab/>
        <w:t>The deputy for a member is — </w:t>
      </w:r>
    </w:p>
    <w:p>
      <w:pPr>
        <w:pStyle w:val="yIndenta"/>
      </w:pPr>
      <w:r>
        <w:tab/>
        <w:t>(a)</w:t>
      </w:r>
      <w:r>
        <w:tab/>
        <w:t>in the absence of the member from a meeting of the standards panel, entitled to attend the meeting in place of the member; and</w:t>
      </w:r>
    </w:p>
    <w:p>
      <w:pPr>
        <w:pStyle w:val="yIndenta"/>
      </w:pPr>
      <w:r>
        <w:tab/>
        <w:t>(b)</w:t>
      </w:r>
      <w:r>
        <w:tab/>
        <w:t>where the member is disqualified from acting as a member on a matter arising at a meeting of a standards panel, entitled to act in the place of the member; and</w:t>
      </w:r>
    </w:p>
    <w:p>
      <w:pPr>
        <w:pStyle w:val="yIndenta"/>
        <w:keepNext/>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inserted by No. 1 of 2007 s. 13.]</w:t>
      </w:r>
    </w:p>
    <w:p>
      <w:pPr>
        <w:pStyle w:val="yHeading5"/>
        <w:outlineLvl w:val="0"/>
      </w:pPr>
      <w:bookmarkStart w:id="1592" w:name="_Toc462409861"/>
      <w:r>
        <w:rPr>
          <w:rStyle w:val="CharSClsNo"/>
        </w:rPr>
        <w:t>4</w:t>
      </w:r>
      <w:r>
        <w:t>.</w:t>
      </w:r>
      <w:r>
        <w:tab/>
        <w:t>Submission of lists</w:t>
      </w:r>
      <w:bookmarkEnd w:id="1592"/>
    </w:p>
    <w:p>
      <w:pPr>
        <w:pStyle w:val="ySubsection"/>
      </w:pPr>
      <w:r>
        <w:tab/>
        <w:t>(1)</w:t>
      </w:r>
      <w:r>
        <w:tab/>
        <w:t>Before a person is appointed as, or as the deputy for, a member under clause 2(b) the Minister is to invite WALGA to submit, within 28 days of the invitation, a list of 9 persons eligible for appointment.</w:t>
      </w:r>
    </w:p>
    <w:p>
      <w:pPr>
        <w:pStyle w:val="ySubsection"/>
      </w:pPr>
      <w:r>
        <w:tab/>
        <w:t>(2)</w:t>
      </w:r>
      <w:r>
        <w:tab/>
        <w:t>The person appointed is to be one of the persons named on the list submitted under subclause (1) but if a list is not submitted in writing in accordance with the invitation of the Minister, the Minister may appoint any person who would have been eligible for inclusion on the list.</w:t>
      </w:r>
    </w:p>
    <w:p>
      <w:pPr>
        <w:pStyle w:val="yFootnotesection"/>
      </w:pPr>
      <w:r>
        <w:tab/>
        <w:t>[Clause 4 inserted by No. 1 of 2007 s. 13.]</w:t>
      </w:r>
    </w:p>
    <w:p>
      <w:pPr>
        <w:pStyle w:val="yHeading5"/>
        <w:outlineLvl w:val="0"/>
      </w:pPr>
      <w:bookmarkStart w:id="1593" w:name="_Toc462409862"/>
      <w:r>
        <w:rPr>
          <w:rStyle w:val="CharSClsNo"/>
        </w:rPr>
        <w:t>5</w:t>
      </w:r>
      <w:r>
        <w:t>.</w:t>
      </w:r>
      <w:r>
        <w:tab/>
        <w:t>Term of office</w:t>
      </w:r>
      <w:bookmarkEnd w:id="1593"/>
    </w:p>
    <w:p>
      <w:pPr>
        <w:pStyle w:val="ySubsection"/>
      </w:pPr>
      <w:r>
        <w:tab/>
        <w:t>(1)</w:t>
      </w:r>
      <w:r>
        <w:tab/>
        <w:t>The term of office of a member is the period specified in the instrument of appointment and is not to exceed 4 years.</w:t>
      </w:r>
    </w:p>
    <w:p>
      <w:pPr>
        <w:pStyle w:val="ySubsection"/>
      </w:pPr>
      <w:r>
        <w:tab/>
        <w:t>(2)</w:t>
      </w:r>
      <w:r>
        <w:tab/>
        <w:t>Subclause (1) does not prevent a person who has held office as a member of a standards panel from being appointed for a subsequent term to the same or a different standards panel.</w:t>
      </w:r>
    </w:p>
    <w:p>
      <w:pPr>
        <w:pStyle w:val="yFootnotesection"/>
      </w:pPr>
      <w:r>
        <w:tab/>
        <w:t>[Clause 5 inserted by No. 1 of 2007 s. 13.]</w:t>
      </w:r>
    </w:p>
    <w:p>
      <w:pPr>
        <w:pStyle w:val="yHeading5"/>
        <w:outlineLvl w:val="0"/>
      </w:pPr>
      <w:bookmarkStart w:id="1594" w:name="_Toc462409863"/>
      <w:r>
        <w:rPr>
          <w:rStyle w:val="CharSClsNo"/>
        </w:rPr>
        <w:t>6</w:t>
      </w:r>
      <w:r>
        <w:t>.</w:t>
      </w:r>
      <w:r>
        <w:tab/>
        <w:t>Vacation of office</w:t>
      </w:r>
      <w:bookmarkEnd w:id="1594"/>
    </w:p>
    <w:p>
      <w:pPr>
        <w:pStyle w:val="ySubsection"/>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 xml:space="preserve">is removed </w:t>
      </w:r>
      <w:r>
        <w:t>from</w:t>
      </w:r>
      <w:r>
        <w:rPr>
          <w:spacing w:val="-2"/>
        </w:rPr>
        <w:t xml:space="preserve"> office under subclause (2).</w:t>
      </w:r>
    </w:p>
    <w:p>
      <w:pPr>
        <w:pStyle w:val="ySubsection"/>
        <w:keepNext/>
        <w:keepLines/>
      </w:pPr>
      <w:r>
        <w:tab/>
        <w:t>(2)</w:t>
      </w:r>
      <w:r>
        <w:tab/>
        <w:t>The Minister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2(a), the person ceasing to be an officer of the Department; or</w:t>
      </w:r>
    </w:p>
    <w:p>
      <w:pPr>
        <w:pStyle w:val="yIndenta"/>
      </w:pPr>
      <w:r>
        <w:tab/>
        <w:t>(e)</w:t>
      </w:r>
      <w:r>
        <w:tab/>
        <w:t>any other cause for which it appears to the Minister that the person should be removed from office.</w:t>
      </w:r>
    </w:p>
    <w:p>
      <w:pPr>
        <w:pStyle w:val="yFootnotesection"/>
      </w:pPr>
      <w:r>
        <w:tab/>
        <w:t>[Clause 6 inserted by No. 1 of 2007 s. 13.]</w:t>
      </w:r>
    </w:p>
    <w:p>
      <w:pPr>
        <w:pStyle w:val="yHeading5"/>
        <w:spacing w:before="180"/>
        <w:outlineLvl w:val="0"/>
      </w:pPr>
      <w:bookmarkStart w:id="1595" w:name="_Toc462409864"/>
      <w:r>
        <w:rPr>
          <w:rStyle w:val="CharSClsNo"/>
        </w:rPr>
        <w:t>7</w:t>
      </w:r>
      <w:r>
        <w:t>.</w:t>
      </w:r>
      <w:r>
        <w:tab/>
        <w:t>Dissolution of standards panel</w:t>
      </w:r>
      <w:bookmarkEnd w:id="1595"/>
    </w:p>
    <w:p>
      <w:pPr>
        <w:pStyle w:val="ySubsection"/>
        <w:spacing w:before="120"/>
      </w:pPr>
      <w:r>
        <w:tab/>
      </w:r>
      <w:r>
        <w:tab/>
        <w:t>The Minister may dissolve a standards panel established under section 5.122(2) if that standards panel has finally dealt with all complaints allocated to it.</w:t>
      </w:r>
    </w:p>
    <w:p>
      <w:pPr>
        <w:pStyle w:val="yFootnotesection"/>
      </w:pPr>
      <w:r>
        <w:tab/>
        <w:t>[Clause 7 inserted by No. 1 of 2007 s. 13.]</w:t>
      </w:r>
    </w:p>
    <w:p>
      <w:pPr>
        <w:pStyle w:val="yHeading5"/>
        <w:spacing w:before="180"/>
        <w:outlineLvl w:val="0"/>
      </w:pPr>
      <w:bookmarkStart w:id="1596" w:name="_Toc462409865"/>
      <w:r>
        <w:rPr>
          <w:rStyle w:val="CharSClsNo"/>
        </w:rPr>
        <w:t>8</w:t>
      </w:r>
      <w:r>
        <w:t>.</w:t>
      </w:r>
      <w:r>
        <w:tab/>
        <w:t>Meetings</w:t>
      </w:r>
      <w:bookmarkEnd w:id="1596"/>
    </w:p>
    <w:p>
      <w:pPr>
        <w:pStyle w:val="ySubsection"/>
        <w:spacing w:before="120"/>
      </w:pPr>
      <w:r>
        <w:tab/>
        <w:t>(1)</w:t>
      </w:r>
      <w:r>
        <w:tab/>
        <w:t>The member appointed under clause 2(a) is to preside at all meetings of the standards panel at which the member is present.</w:t>
      </w:r>
    </w:p>
    <w:p>
      <w:pPr>
        <w:pStyle w:val="ySubsection"/>
        <w:spacing w:before="120"/>
      </w:pPr>
      <w:r>
        <w:tab/>
        <w:t>(2)</w:t>
      </w:r>
      <w:r>
        <w:tab/>
        <w:t>If the member appointed under clause 2(a) is not present at a meeting the member appointed under clause 2(c) is to preside at the meeting.</w:t>
      </w:r>
    </w:p>
    <w:p>
      <w:pPr>
        <w:pStyle w:val="ySubsection"/>
        <w:spacing w:before="120"/>
      </w:pPr>
      <w:r>
        <w:tab/>
        <w:t>(3)</w:t>
      </w:r>
      <w:r>
        <w:tab/>
        <w:t>The quorum at a meeting is 3.</w:t>
      </w:r>
    </w:p>
    <w:p>
      <w:pPr>
        <w:pStyle w:val="ySubsection"/>
        <w:spacing w:before="120"/>
      </w:pPr>
      <w:r>
        <w:tab/>
        <w:t>(4)</w:t>
      </w:r>
      <w:r>
        <w:tab/>
        <w:t>Subject to subclause (7), each member present at a meeting of a standards panel is entitled to one vote.</w:t>
      </w:r>
    </w:p>
    <w:p>
      <w:pPr>
        <w:pStyle w:val="ySubsection"/>
        <w:spacing w:before="120"/>
      </w:pPr>
      <w:r>
        <w:tab/>
        <w:t>(5)</w:t>
      </w:r>
      <w:r>
        <w:tab/>
        <w:t>A question arising at a meeting is to be decided by a majority of the votes.</w:t>
      </w:r>
    </w:p>
    <w:p>
      <w:pPr>
        <w:pStyle w:val="ySubsection"/>
        <w:spacing w:before="120"/>
      </w:pPr>
      <w:r>
        <w:tab/>
        <w:t>(6)</w:t>
      </w:r>
      <w:r>
        <w:tab/>
        <w:t>Each member is to have regard to the general interests of local government in the State.</w:t>
      </w:r>
    </w:p>
    <w:p>
      <w:pPr>
        <w:pStyle w:val="ySubsection"/>
        <w:spacing w:before="120"/>
      </w:pPr>
      <w:r>
        <w:tab/>
        <w:t>(7)</w:t>
      </w:r>
      <w:r>
        <w:tab/>
        <w:t>Subject to any order under subclause (8), a member is disqualified from acting where the matter being considered or inquired into by a standards panel is a matter relating to a local government of which the member was or is a council member, a committee member or an employee.</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a standards panel to properly function.</w:t>
      </w:r>
    </w:p>
    <w:p>
      <w:pPr>
        <w:pStyle w:val="ySubsection"/>
      </w:pPr>
      <w:r>
        <w:tab/>
        <w:t>(10)</w:t>
      </w:r>
      <w:r>
        <w:tab/>
        <w:t>To the extent that it is not prescribed by regulations a standards panel may determine its own meeting procedure, and other procedure and practice.</w:t>
      </w:r>
    </w:p>
    <w:p>
      <w:pPr>
        <w:pStyle w:val="yFootnotesection"/>
      </w:pPr>
      <w:r>
        <w:tab/>
        <w:t>[Clause 8 inserted by No. 1 of 2007 s. 13.]</w:t>
      </w:r>
    </w:p>
    <w:p>
      <w:pPr>
        <w:pStyle w:val="yHeading5"/>
        <w:outlineLvl w:val="0"/>
      </w:pPr>
      <w:bookmarkStart w:id="1597" w:name="_Toc462409866"/>
      <w:r>
        <w:rPr>
          <w:rStyle w:val="CharSClsNo"/>
        </w:rPr>
        <w:t>9</w:t>
      </w:r>
      <w:r>
        <w:t>.</w:t>
      </w:r>
      <w:r>
        <w:tab/>
        <w:t>Remuneration and allowances</w:t>
      </w:r>
      <w:bookmarkEnd w:id="1597"/>
    </w:p>
    <w:p>
      <w:pPr>
        <w:pStyle w:val="ySubsection"/>
      </w:pPr>
      <w:r>
        <w:tab/>
        <w:t>(1)</w:t>
      </w:r>
      <w:r>
        <w:tab/>
        <w:t>Members are entitled to any remuneration and allowances that the Minister from time to time determines on the recommendation of the Public Sector Commissioner.</w:t>
      </w:r>
    </w:p>
    <w:p>
      <w:pPr>
        <w:pStyle w:val="ySubsection"/>
      </w:pPr>
      <w:r>
        <w:tab/>
        <w:t>(2)</w:t>
      </w:r>
      <w:r>
        <w:tab/>
        <w:t>Subclause (1) does not apply to a member who is an officer of the Public Service.</w:t>
      </w:r>
    </w:p>
    <w:p>
      <w:pPr>
        <w:pStyle w:val="ySubsection"/>
      </w:pPr>
      <w:r>
        <w:tab/>
        <w:t>(3)</w:t>
      </w:r>
      <w:r>
        <w:tab/>
        <w:t xml:space="preserve">To the extent that a member’s remuneration and allowances relate to a particular complaint, they are to be paid by the local government of the council member who is the subject of that complaint. </w:t>
      </w:r>
    </w:p>
    <w:p>
      <w:pPr>
        <w:pStyle w:val="ySubsection"/>
      </w:pPr>
      <w:r>
        <w:tab/>
        <w:t>(4)</w:t>
      </w:r>
      <w:r>
        <w:tab/>
        <w:t>If the remuneration and allowances for members of a standards panel relate to 2 or more complaints dealt with by that standards panel on the same occasion, liability for payment is to be apportioned between the relevant local governments as the standards panel determines.</w:t>
      </w:r>
    </w:p>
    <w:p>
      <w:pPr>
        <w:pStyle w:val="yFootnotesection"/>
      </w:pPr>
      <w:r>
        <w:tab/>
        <w:t>[Clause 9 inserted by No. 1 of 2007 s. 13; amended by No. 39 of 2010 s. 89.]</w:t>
      </w:r>
    </w:p>
    <w:p>
      <w:pPr>
        <w:pStyle w:val="yHeading5"/>
        <w:outlineLvl w:val="0"/>
      </w:pPr>
      <w:bookmarkStart w:id="1598" w:name="_Toc462409867"/>
      <w:r>
        <w:rPr>
          <w:rStyle w:val="CharSClsNo"/>
        </w:rPr>
        <w:t>10</w:t>
      </w:r>
      <w:r>
        <w:t>.</w:t>
      </w:r>
      <w:r>
        <w:tab/>
        <w:t>Protection</w:t>
      </w:r>
      <w:bookmarkEnd w:id="1598"/>
      <w:r>
        <w:t xml:space="preserve"> </w:t>
      </w:r>
    </w:p>
    <w:p>
      <w:pPr>
        <w:pStyle w:val="ySubsection"/>
      </w:pPr>
      <w:r>
        <w:tab/>
      </w:r>
      <w:r>
        <w:tab/>
        <w:t>No liability attaches to a member for any act or omission by the member or on the member’s part by a standards panel that occurred in good faith and in the performance of the member’s or the panel’s functions under this Act.</w:t>
      </w:r>
    </w:p>
    <w:p>
      <w:pPr>
        <w:pStyle w:val="yFootnotesection"/>
      </w:pPr>
      <w:r>
        <w:tab/>
        <w:t>[Clause 10 inserted by No. 1 of 2007 s. 13.]</w:t>
      </w:r>
    </w:p>
    <w:p>
      <w:pPr>
        <w:pStyle w:val="yHeading5"/>
        <w:outlineLvl w:val="0"/>
      </w:pPr>
      <w:bookmarkStart w:id="1599" w:name="_Toc462409868"/>
      <w:r>
        <w:rPr>
          <w:rStyle w:val="CharSClsNo"/>
        </w:rPr>
        <w:t>11</w:t>
      </w:r>
      <w:r>
        <w:t>.</w:t>
      </w:r>
      <w:r>
        <w:tab/>
        <w:t>Annual report</w:t>
      </w:r>
      <w:bookmarkEnd w:id="1599"/>
    </w:p>
    <w:p>
      <w:pPr>
        <w:pStyle w:val="ySubsection"/>
      </w:pPr>
      <w:r>
        <w:tab/>
        <w:t>(1)</w:t>
      </w:r>
      <w:r>
        <w:tab/>
        <w:t>By 31 August in each year, the primary standards panel is to prepare and provide to the Minister a report on the complaints dealt with by all standards panels during the previous financial year.</w:t>
      </w:r>
    </w:p>
    <w:p>
      <w:pPr>
        <w:pStyle w:val="ySubsection"/>
      </w:pPr>
      <w:r>
        <w:tab/>
        <w:t>(2)</w:t>
      </w:r>
      <w:r>
        <w:tab/>
        <w:t>The annual report must not include information that identifies or enables the identification of a council member against whom a complaint was made if the complaint was not dealt with under section 5.110(6)(b) or (c).</w:t>
      </w:r>
    </w:p>
    <w:p>
      <w:pPr>
        <w:pStyle w:val="ySubsection"/>
      </w:pPr>
      <w:r>
        <w:tab/>
        <w:t>(3)</w:t>
      </w:r>
      <w:r>
        <w:tab/>
        <w:t>The primary standards panel may apply to the Minister before 31 August for an extension of time in which to lodge the annual report and the Minister may grant an extension on such terms as the Minister thinks fit.</w:t>
      </w:r>
    </w:p>
    <w:p>
      <w:pPr>
        <w:pStyle w:val="ySubsection"/>
      </w:pPr>
      <w:r>
        <w:tab/>
        <w:t>(4)</w:t>
      </w:r>
      <w:r>
        <w:tab/>
        <w:t>As soon as practicable after receiving the annual report, the Minister is to cause a copy of it to be laid before each House of Parliament.</w:t>
      </w:r>
    </w:p>
    <w:p>
      <w:pPr>
        <w:pStyle w:val="yFootnotesection"/>
      </w:pPr>
      <w:r>
        <w:tab/>
        <w:t>[Clause 11 inserted by No. 1 of 2007 s. 13.]</w:t>
      </w:r>
    </w:p>
    <w:p>
      <w:pPr>
        <w:pStyle w:val="yScheduleHeading"/>
      </w:pPr>
      <w:bookmarkStart w:id="1600" w:name="_Toc448219584"/>
      <w:bookmarkStart w:id="1601" w:name="_Toc448224806"/>
      <w:bookmarkStart w:id="1602" w:name="_Toc451180043"/>
      <w:bookmarkStart w:id="1603" w:name="_Toc451430963"/>
      <w:bookmarkStart w:id="1604" w:name="_Toc455396913"/>
      <w:bookmarkStart w:id="1605" w:name="_Toc455397773"/>
      <w:bookmarkStart w:id="1606" w:name="_Toc456086856"/>
      <w:bookmarkStart w:id="1607" w:name="_Toc462409869"/>
      <w:r>
        <w:rPr>
          <w:rStyle w:val="CharSchNo"/>
        </w:rPr>
        <w:t>Schedule 6.1</w:t>
      </w:r>
      <w:r>
        <w:t> — </w:t>
      </w:r>
      <w:r>
        <w:rPr>
          <w:rStyle w:val="CharSchText"/>
        </w:rPr>
        <w:t>Provisions relating to the phasing in of valuations</w:t>
      </w:r>
      <w:bookmarkEnd w:id="1600"/>
      <w:bookmarkEnd w:id="1601"/>
      <w:bookmarkEnd w:id="1602"/>
      <w:bookmarkEnd w:id="1603"/>
      <w:bookmarkEnd w:id="1604"/>
      <w:bookmarkEnd w:id="1605"/>
      <w:bookmarkEnd w:id="1606"/>
      <w:bookmarkEnd w:id="1607"/>
    </w:p>
    <w:p>
      <w:pPr>
        <w:pStyle w:val="yShoulderClause"/>
      </w:pPr>
      <w:r>
        <w:t>[Section 6.31]</w:t>
      </w:r>
    </w:p>
    <w:p>
      <w:pPr>
        <w:pStyle w:val="yHeading5"/>
        <w:outlineLvl w:val="0"/>
      </w:pPr>
      <w:bookmarkStart w:id="1608" w:name="_Toc462409870"/>
      <w:r>
        <w:rPr>
          <w:rStyle w:val="CharSClsNo"/>
        </w:rPr>
        <w:t>1</w:t>
      </w:r>
      <w:r>
        <w:t>.</w:t>
      </w:r>
      <w:r>
        <w:tab/>
        <w:t>Phasing in of certain valuations</w:t>
      </w:r>
      <w:bookmarkEnd w:id="1608"/>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 and</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rStyle w:val="CharDefText"/>
        </w:rPr>
        <w:t>former valuation</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r>
      <w:r>
        <w:rPr>
          <w:rStyle w:val="CharDefText"/>
        </w:rPr>
        <w:t>new valuation</w:t>
      </w:r>
      <w:r>
        <w:t> — </w:t>
      </w:r>
    </w:p>
    <w:p>
      <w:pPr>
        <w:pStyle w:val="yDefpara"/>
      </w:pPr>
      <w:r>
        <w:tab/>
        <w:t>(a)</w:t>
      </w:r>
      <w:r>
        <w:tab/>
        <w:t>means the valuation determined or assessed for the purposes of the general valuation to which the phasing in applies; or</w:t>
      </w:r>
    </w:p>
    <w:p>
      <w:pPr>
        <w:pStyle w:val="yDefpara"/>
      </w:pPr>
      <w:r>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outlineLvl w:val="0"/>
      </w:pPr>
      <w:bookmarkStart w:id="1609" w:name="_Toc462409871"/>
      <w:r>
        <w:rPr>
          <w:rStyle w:val="CharSClsNo"/>
        </w:rPr>
        <w:t>2</w:t>
      </w:r>
      <w:r>
        <w:t>.</w:t>
      </w:r>
      <w:r>
        <w:tab/>
        <w:t>Phasing in of rating based on gross rental values</w:t>
      </w:r>
      <w:bookmarkEnd w:id="1609"/>
    </w:p>
    <w:p>
      <w:pPr>
        <w:pStyle w:val="ySubsection"/>
      </w:pPr>
      <w:r>
        <w:tab/>
        <w:t>(1)</w:t>
      </w:r>
      <w:r>
        <w:tab/>
        <w:t>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 and</w:t>
      </w:r>
    </w:p>
    <w:p>
      <w:pPr>
        <w:pStyle w:val="yIndenta"/>
      </w:pPr>
      <w:r>
        <w:tab/>
        <w:t>(b)</w:t>
      </w:r>
      <w:r>
        <w:tab/>
        <w:t>when imposing a general rate on the land in the second year, rating the land on the first</w:t>
      </w:r>
      <w:r>
        <w:noBreakHyphen/>
        <w:t>mentioned basis in order to yield </w:t>
      </w:r>
      <w:r>
        <w:rPr>
          <w:vertAlign w:val="superscript"/>
        </w:rPr>
        <w:t>2</w:t>
      </w:r>
      <w:r>
        <w:t>/</w:t>
      </w:r>
      <w:r>
        <w:rPr>
          <w:vertAlign w:val="subscript"/>
        </w:rPr>
        <w:t>3</w:t>
      </w:r>
      <w:r>
        <w:t xml:space="preserve"> of the estimated revenue from the rate and rating the same land on the second</w:t>
      </w:r>
      <w:r>
        <w:noBreakHyphen/>
        <w:t>mentioned basis in order to yield </w:t>
      </w:r>
      <w:r>
        <w:rPr>
          <w:vertAlign w:val="superscript"/>
        </w:rPr>
        <w:t>1</w:t>
      </w:r>
      <w:r>
        <w:t>/</w:t>
      </w:r>
      <w:r>
        <w:rPr>
          <w:vertAlign w:val="subscript"/>
        </w:rPr>
        <w:t>3</w:t>
      </w:r>
      <w:r>
        <w:t>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r>
      <w:r>
        <w:rPr>
          <w:rStyle w:val="CharDefText"/>
        </w:rPr>
        <w:t>original valuations</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1610" w:name="_Toc448219587"/>
      <w:bookmarkStart w:id="1611" w:name="_Toc448224809"/>
      <w:bookmarkStart w:id="1612" w:name="_Toc451180046"/>
      <w:bookmarkStart w:id="1613" w:name="_Toc451430966"/>
      <w:bookmarkStart w:id="1614" w:name="_Toc455396916"/>
      <w:bookmarkStart w:id="1615" w:name="_Toc455397776"/>
      <w:bookmarkStart w:id="1616" w:name="_Toc456086859"/>
      <w:bookmarkStart w:id="1617" w:name="_Toc462409872"/>
      <w:r>
        <w:rPr>
          <w:rStyle w:val="CharSchNo"/>
        </w:rPr>
        <w:t>Schedule 6.2</w:t>
      </w:r>
      <w:r>
        <w:t> — </w:t>
      </w:r>
      <w:r>
        <w:rPr>
          <w:rStyle w:val="CharSchText"/>
        </w:rPr>
        <w:t>Provisions relating to lease of land where rates or service charges unpaid</w:t>
      </w:r>
      <w:bookmarkEnd w:id="1610"/>
      <w:bookmarkEnd w:id="1611"/>
      <w:bookmarkEnd w:id="1612"/>
      <w:bookmarkEnd w:id="1613"/>
      <w:bookmarkEnd w:id="1614"/>
      <w:bookmarkEnd w:id="1615"/>
      <w:bookmarkEnd w:id="1616"/>
      <w:bookmarkEnd w:id="1617"/>
      <w:r>
        <w:t xml:space="preserve"> </w:t>
      </w:r>
    </w:p>
    <w:p>
      <w:pPr>
        <w:pStyle w:val="yShoulderClause"/>
      </w:pPr>
      <w:r>
        <w:t>[Section 6.65]</w:t>
      </w:r>
    </w:p>
    <w:p>
      <w:pPr>
        <w:pStyle w:val="yHeading5"/>
        <w:outlineLvl w:val="0"/>
      </w:pPr>
      <w:bookmarkStart w:id="1618" w:name="_Toc462409873"/>
      <w:r>
        <w:rPr>
          <w:rStyle w:val="CharSClsNo"/>
        </w:rPr>
        <w:t>1</w:t>
      </w:r>
      <w:r>
        <w:t>.</w:t>
      </w:r>
      <w:r>
        <w:tab/>
        <w:t>Form of lease</w:t>
      </w:r>
      <w:bookmarkEnd w:id="1618"/>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When the lease is of land which is subject to the provisions of the </w:t>
      </w:r>
      <w:r>
        <w:rPr>
          <w:i/>
        </w:rPr>
        <w:t>Transfer of Land Act 1893</w:t>
      </w:r>
      <w:r>
        <w:t> — </w:t>
      </w:r>
    </w:p>
    <w:p>
      <w:pPr>
        <w:pStyle w:val="yIndenta"/>
      </w:pPr>
      <w:r>
        <w:tab/>
        <w:t>(a)</w:t>
      </w:r>
      <w:r>
        <w:tab/>
        <w:t>where the term of the lease exceeds 3 years, the Registrar of Titles, upon the production of the lease, is to register it; and</w:t>
      </w:r>
    </w:p>
    <w:p>
      <w:pPr>
        <w:pStyle w:val="yIndenta"/>
      </w:pPr>
      <w:r>
        <w:tab/>
        <w:t>(b)</w:t>
      </w:r>
      <w:r>
        <w:tab/>
        <w:t>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1 amended by No. 81 of 1996 s. 153(1).]</w:t>
      </w:r>
    </w:p>
    <w:p>
      <w:pPr>
        <w:pStyle w:val="yHeading5"/>
        <w:outlineLvl w:val="0"/>
      </w:pPr>
      <w:bookmarkStart w:id="1619" w:name="_Toc462409874"/>
      <w:r>
        <w:rPr>
          <w:rStyle w:val="CharSClsNo"/>
        </w:rPr>
        <w:t>2</w:t>
      </w:r>
      <w:r>
        <w:t>.</w:t>
      </w:r>
      <w:r>
        <w:tab/>
        <w:t>Application of rent received</w:t>
      </w:r>
      <w:bookmarkEnd w:id="1619"/>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 and</w:t>
      </w:r>
    </w:p>
    <w:p>
      <w:pPr>
        <w:pStyle w:val="yIndenta"/>
      </w:pPr>
      <w:r>
        <w:tab/>
        <w:t>(b)</w:t>
      </w:r>
      <w:r>
        <w:tab/>
        <w:t>secondly — in payment of unpaid rates or service charges, for the time being due to or imposed by the local government in respect of the land; and</w:t>
      </w:r>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1620" w:name="_Toc448219590"/>
      <w:bookmarkStart w:id="1621" w:name="_Toc448224812"/>
      <w:bookmarkStart w:id="1622" w:name="_Toc451180049"/>
      <w:bookmarkStart w:id="1623" w:name="_Toc451430969"/>
      <w:bookmarkStart w:id="1624" w:name="_Toc455396919"/>
      <w:bookmarkStart w:id="1625" w:name="_Toc455397779"/>
      <w:bookmarkStart w:id="1626" w:name="_Toc456086862"/>
      <w:bookmarkStart w:id="1627" w:name="_Toc462409875"/>
      <w:r>
        <w:rPr>
          <w:rStyle w:val="CharSchNo"/>
        </w:rPr>
        <w:t>Schedule 6.3</w:t>
      </w:r>
      <w:r>
        <w:t> — </w:t>
      </w:r>
      <w:r>
        <w:rPr>
          <w:rStyle w:val="CharSchText"/>
        </w:rPr>
        <w:t>Provisions relating to sale or transfer of land where rates or service charges unpaid</w:t>
      </w:r>
      <w:bookmarkEnd w:id="1620"/>
      <w:bookmarkEnd w:id="1621"/>
      <w:bookmarkEnd w:id="1622"/>
      <w:bookmarkEnd w:id="1623"/>
      <w:bookmarkEnd w:id="1624"/>
      <w:bookmarkEnd w:id="1625"/>
      <w:bookmarkEnd w:id="1626"/>
      <w:bookmarkEnd w:id="1627"/>
      <w:r>
        <w:t xml:space="preserve"> </w:t>
      </w:r>
    </w:p>
    <w:p>
      <w:pPr>
        <w:pStyle w:val="yShoulderClause"/>
      </w:pPr>
      <w:r>
        <w:t>[Section 6.68(3)]</w:t>
      </w:r>
    </w:p>
    <w:p>
      <w:pPr>
        <w:pStyle w:val="yHeading5"/>
        <w:spacing w:before="180"/>
        <w:outlineLvl w:val="0"/>
      </w:pPr>
      <w:bookmarkStart w:id="1628" w:name="_Toc462409876"/>
      <w:r>
        <w:rPr>
          <w:rStyle w:val="CharSClsNo"/>
        </w:rPr>
        <w:t>1</w:t>
      </w:r>
      <w:r>
        <w:t>.</w:t>
      </w:r>
      <w:r>
        <w:tab/>
        <w:t>Conditions for exercise of power of sale of land</w:t>
      </w:r>
      <w:bookmarkEnd w:id="1628"/>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under the </w:t>
      </w:r>
      <w:r>
        <w:rPr>
          <w:i/>
        </w:rPr>
        <w:t>Registration of Deeds Act 1856</w:t>
      </w:r>
      <w:r>
        <w:t xml:space="preserve"> relating to the land or by being advertised under subclause (3); and</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posted on the official notice board of the local government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 and</w:t>
      </w:r>
    </w:p>
    <w:p>
      <w:pPr>
        <w:pStyle w:val="yIndenta"/>
      </w:pPr>
      <w:r>
        <w:tab/>
        <w:t>(b)</w:t>
      </w:r>
      <w:r>
        <w:tab/>
        <w:t>to specify the land in respect of which the rates or service charges are owing; and</w:t>
      </w:r>
    </w:p>
    <w:p>
      <w:pPr>
        <w:pStyle w:val="yIndenta"/>
      </w:pPr>
      <w:r>
        <w:tab/>
        <w:t>(c)</w:t>
      </w:r>
      <w:r>
        <w:tab/>
        <w:t>to specify the total amounts owing in respect of rates or service charges of which payment is required; and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spacing w:before="120"/>
      </w:pPr>
      <w:r>
        <w:tab/>
        <w:t>(3)</w:t>
      </w:r>
      <w:r>
        <w:tab/>
        <w:t xml:space="preserve">If in the case of a person required by this clause to be served, no sufficient address appears in a register kept under the </w:t>
      </w:r>
      <w:r>
        <w:rPr>
          <w:i/>
        </w:rPr>
        <w:t>Transfer of Land Act 1893</w:t>
      </w:r>
      <w:r>
        <w:t xml:space="preserve"> or in a memorial or record kept under the </w:t>
      </w:r>
      <w:r>
        <w:rPr>
          <w:i/>
        </w:rPr>
        <w:t>Registration of Deeds Act 1856</w:t>
      </w:r>
      <w:r>
        <w:t>,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by No. 81 of 1996 s. 153(1); No. 60 of 2006 s. 144(4).]</w:t>
      </w:r>
    </w:p>
    <w:p>
      <w:pPr>
        <w:pStyle w:val="yHeading5"/>
        <w:spacing w:before="180"/>
        <w:outlineLvl w:val="0"/>
      </w:pPr>
      <w:bookmarkStart w:id="1629" w:name="_Toc462409877"/>
      <w:r>
        <w:rPr>
          <w:rStyle w:val="CharSClsNo"/>
        </w:rPr>
        <w:t>2</w:t>
      </w:r>
      <w:r>
        <w:t>.</w:t>
      </w:r>
      <w:r>
        <w:tab/>
        <w:t>Advertisement for sale</w:t>
      </w:r>
      <w:bookmarkEnd w:id="1629"/>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and Transfers, as the case requires, who is to register the memorial and endorse or note the title and land register or record, in respect of each piece of land comprised in the memorial.</w:t>
      </w:r>
    </w:p>
    <w:p>
      <w:pPr>
        <w:pStyle w:val="ySubsection"/>
      </w:pPr>
      <w:r>
        <w:tab/>
        <w:t>(4)</w:t>
      </w:r>
      <w:r>
        <w:tab/>
        <w:t>When the memorial is registered the Registrar of Titles, or the Registrar of Deeds and Transfers, as the case requires, is prohibited from registering and from accepting for registration an instrument affecting the land without the consent of the local government, until the land ceases under section 6.69 or clause 7 to be bound by this subclause but that prohibition does not extend beyond 12 months from the day on which the memorial is so delivered.</w:t>
      </w:r>
    </w:p>
    <w:p>
      <w:pPr>
        <w:pStyle w:val="yFootnotesection"/>
        <w:spacing w:before="80"/>
      </w:pPr>
      <w:r>
        <w:tab/>
        <w:t>[Clause 2 amended by No. 47 of 2011 s. 16.]</w:t>
      </w:r>
    </w:p>
    <w:p>
      <w:pPr>
        <w:pStyle w:val="yHeading5"/>
        <w:outlineLvl w:val="0"/>
      </w:pPr>
      <w:bookmarkStart w:id="1630" w:name="_Toc462409878"/>
      <w:r>
        <w:rPr>
          <w:rStyle w:val="CharSClsNo"/>
        </w:rPr>
        <w:t>3</w:t>
      </w:r>
      <w:r>
        <w:t>.</w:t>
      </w:r>
      <w:r>
        <w:tab/>
        <w:t>Power of sale</w:t>
      </w:r>
      <w:bookmarkEnd w:id="1630"/>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 and</w:t>
      </w:r>
    </w:p>
    <w:p>
      <w:pPr>
        <w:pStyle w:val="yIndenta"/>
      </w:pPr>
      <w:r>
        <w:tab/>
        <w:t>(b)</w:t>
      </w:r>
      <w:r>
        <w:tab/>
        <w:t>power to vary a contract of sale by agreement with the other party to the contract, and to buy in at auction; and</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outlineLvl w:val="0"/>
      </w:pPr>
      <w:bookmarkStart w:id="1631" w:name="_Toc462409879"/>
      <w:r>
        <w:rPr>
          <w:rStyle w:val="CharSClsNo"/>
        </w:rPr>
        <w:t>4</w:t>
      </w:r>
      <w:r>
        <w:t>.</w:t>
      </w:r>
      <w:r>
        <w:tab/>
        <w:t>Power of local government to transfer or convey land</w:t>
      </w:r>
      <w:bookmarkEnd w:id="1631"/>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tab/>
        <w:t>(2)</w:t>
      </w:r>
      <w:r>
        <w:tab/>
        <w:t>The Registrar of Titles or the Registrar of Deeds and Transfers may register a transfer or conveyance of land by a local government under this clause if the transfer is in the approved form and the conveyance is acceptable to the Registrar of Deeds and Transfers.</w:t>
      </w:r>
    </w:p>
    <w:p>
      <w:pPr>
        <w:pStyle w:val="ySubsection"/>
      </w:pPr>
      <w:r>
        <w:tab/>
        <w:t>(3)</w:t>
      </w:r>
      <w:r>
        <w:tab/>
        <w:t xml:space="preserve">Where the land sold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4 amended by No. 81 of 1996 s. 153(1)</w:t>
      </w:r>
      <w:r>
        <w:rPr>
          <w:spacing w:val="-4"/>
        </w:rPr>
        <w:t>; No. 47 of 2011 s.</w:t>
      </w:r>
      <w:r>
        <w:t> 16.]</w:t>
      </w:r>
    </w:p>
    <w:p>
      <w:pPr>
        <w:pStyle w:val="yHeading5"/>
        <w:outlineLvl w:val="0"/>
      </w:pPr>
      <w:bookmarkStart w:id="1632" w:name="_Toc462409880"/>
      <w:r>
        <w:rPr>
          <w:rStyle w:val="CharSClsNo"/>
        </w:rPr>
        <w:t>5</w:t>
      </w:r>
      <w:r>
        <w:t>.</w:t>
      </w:r>
      <w:r>
        <w:tab/>
        <w:t>Application of purchase money</w:t>
      </w:r>
      <w:bookmarkEnd w:id="1632"/>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 and</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 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 and</w:t>
      </w:r>
    </w:p>
    <w:p>
      <w:pPr>
        <w:pStyle w:val="yIndenta"/>
      </w:pPr>
      <w:r>
        <w:tab/>
        <w:t>(c)</w:t>
      </w:r>
      <w:r>
        <w:tab/>
        <w:t>thirdly — in payment of the vendor’s costs and expenses of and incidental to conferring upon the purchaser a title to the land; and</w:t>
      </w:r>
    </w:p>
    <w:p>
      <w:pPr>
        <w:pStyle w:val="yIndenta"/>
      </w:pPr>
      <w:r>
        <w:tab/>
        <w:t>(d)</w:t>
      </w:r>
      <w:r>
        <w:tab/>
        <w:t>fourthly — in or towards the discharge of a charge, if any, on the land under a written law relating to the construction of drains and fittings to connect the land with a sewer; and</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spacing w:before="100"/>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 and</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pPr>
      <w:r>
        <w:tab/>
        <w:t>(III)</w:t>
      </w:r>
      <w:r>
        <w:tab/>
        <w:t>at the expiration of 6 years after the money is so paid into the Supreme Court, proceedings have not been commenced or are not pending and the Court has not made an order to the contrary the money is to be paid into the Consolidated Account.</w:t>
      </w:r>
    </w:p>
    <w:p>
      <w:pPr>
        <w:pStyle w:val="yFootnotesection"/>
      </w:pPr>
      <w:r>
        <w:tab/>
        <w:t>[Clause 5 amended by No. 77 of 2006 s. 4.]</w:t>
      </w:r>
    </w:p>
    <w:p>
      <w:pPr>
        <w:pStyle w:val="yHeading5"/>
        <w:outlineLvl w:val="0"/>
      </w:pPr>
      <w:bookmarkStart w:id="1633" w:name="_Toc462409881"/>
      <w:r>
        <w:rPr>
          <w:rStyle w:val="CharSClsNo"/>
        </w:rPr>
        <w:t>6</w:t>
      </w:r>
      <w:r>
        <w:t>.</w:t>
      </w:r>
      <w:r>
        <w:tab/>
        <w:t>Receipt by local government sufficient discharge</w:t>
      </w:r>
      <w:bookmarkEnd w:id="1633"/>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outlineLvl w:val="0"/>
      </w:pPr>
      <w:bookmarkStart w:id="1634" w:name="_Toc462409882"/>
      <w:r>
        <w:rPr>
          <w:rStyle w:val="CharSClsNo"/>
        </w:rPr>
        <w:t>7</w:t>
      </w:r>
      <w:r>
        <w:t>.</w:t>
      </w:r>
      <w:r>
        <w:tab/>
        <w:t>If sale not completed within 12 months after commencement, proceedings lapse</w:t>
      </w:r>
      <w:bookmarkEnd w:id="1634"/>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outlineLvl w:val="0"/>
      </w:pPr>
      <w:bookmarkStart w:id="1635" w:name="_Toc462409883"/>
      <w:r>
        <w:rPr>
          <w:rStyle w:val="CharSClsNo"/>
        </w:rPr>
        <w:t>8</w:t>
      </w:r>
      <w:r>
        <w:t>.</w:t>
      </w:r>
      <w:r>
        <w:tab/>
        <w:t>Transfer of land to Crown or local government under s. 6.71</w:t>
      </w:r>
      <w:bookmarkEnd w:id="1635"/>
    </w:p>
    <w:p>
      <w:pPr>
        <w:pStyle w:val="ySubsection"/>
      </w:pPr>
      <w:r>
        <w:tab/>
        <w:t>(1)</w:t>
      </w:r>
      <w:r>
        <w:tab/>
        <w:t>The Registrar of Titles or the Registrar of Deeds and Transfers may register a transfer or conveyance of land by a local government under section 6.71, or by the Minister under section 6.74(3), if the transfer is in the approved form or the conveyance is acceptable to the Registrar of Deeds and Transfers.</w:t>
      </w:r>
    </w:p>
    <w:p>
      <w:pPr>
        <w:pStyle w:val="ySubsection"/>
      </w:pPr>
      <w:r>
        <w:tab/>
        <w:t>(2)</w:t>
      </w:r>
      <w:r>
        <w:tab/>
        <w:t xml:space="preserve">Where the land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Subsection"/>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the registration of the transfer or conveyance pursuant to the power referred to in section 6.64(1)(d) vests in a local government an indefeasible estate in fee simple in 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 xml:space="preserve">Duty under the </w:t>
      </w:r>
      <w:r>
        <w:rPr>
          <w:i/>
          <w:iCs/>
        </w:rPr>
        <w:t>Duties Act 2008</w:t>
      </w:r>
      <w:r>
        <w:t xml:space="preserve"> is not chargeable on the transfer or conveyance.</w:t>
      </w:r>
    </w:p>
    <w:p>
      <w:pPr>
        <w:pStyle w:val="ySubsection"/>
      </w:pPr>
      <w:r>
        <w:tab/>
        <w:t>(6)</w:t>
      </w:r>
      <w:r>
        <w:tab/>
        <w:t>The procedure for the exercise of the powers referred to in sections 6.71, 6.74 and 6.75 is to be as prescribed.</w:t>
      </w:r>
    </w:p>
    <w:p>
      <w:pPr>
        <w:pStyle w:val="yFootnotesection"/>
      </w:pPr>
      <w:r>
        <w:tab/>
        <w:t>[Clause 8 amended by No. 81 of 1996 s. 153(1); No. 49 of 2004 s. 64(2) and (3); No. 12 of 2008 Sch. 1 cl. 21</w:t>
      </w:r>
      <w:r>
        <w:rPr>
          <w:spacing w:val="-4"/>
        </w:rPr>
        <w:t>; No. 47 of 2011 s.</w:t>
      </w:r>
      <w:r>
        <w:t> 16.]</w:t>
      </w:r>
    </w:p>
    <w:p>
      <w:pPr>
        <w:pStyle w:val="yScheduleHeading"/>
        <w:outlineLvl w:val="0"/>
      </w:pPr>
      <w:bookmarkStart w:id="1636" w:name="_Toc448219599"/>
      <w:bookmarkStart w:id="1637" w:name="_Toc448224821"/>
      <w:bookmarkStart w:id="1638" w:name="_Toc451180058"/>
      <w:bookmarkStart w:id="1639" w:name="_Toc451430978"/>
      <w:bookmarkStart w:id="1640" w:name="_Toc455396928"/>
      <w:bookmarkStart w:id="1641" w:name="_Toc455397788"/>
      <w:bookmarkStart w:id="1642" w:name="_Toc456086871"/>
      <w:bookmarkStart w:id="1643" w:name="_Toc462409884"/>
      <w:r>
        <w:rPr>
          <w:rStyle w:val="CharSchNo"/>
        </w:rPr>
        <w:t>Schedule 8.1</w:t>
      </w:r>
      <w:r>
        <w:t> — </w:t>
      </w:r>
      <w:r>
        <w:rPr>
          <w:rStyle w:val="CharSchText"/>
        </w:rPr>
        <w:t>Provisions about Inquiry Panels</w:t>
      </w:r>
      <w:bookmarkEnd w:id="1636"/>
      <w:bookmarkEnd w:id="1637"/>
      <w:bookmarkEnd w:id="1638"/>
      <w:bookmarkEnd w:id="1639"/>
      <w:bookmarkEnd w:id="1640"/>
      <w:bookmarkEnd w:id="1641"/>
      <w:bookmarkEnd w:id="1642"/>
      <w:bookmarkEnd w:id="1643"/>
    </w:p>
    <w:p>
      <w:pPr>
        <w:pStyle w:val="yShoulderClause"/>
      </w:pPr>
      <w:r>
        <w:t>[Section 8.16(2)]</w:t>
      </w:r>
    </w:p>
    <w:p>
      <w:pPr>
        <w:pStyle w:val="yHeading5"/>
        <w:outlineLvl w:val="0"/>
      </w:pPr>
      <w:bookmarkStart w:id="1644" w:name="_Toc462409885"/>
      <w:r>
        <w:rPr>
          <w:rStyle w:val="CharSClsNo"/>
        </w:rPr>
        <w:t>1</w:t>
      </w:r>
      <w:r>
        <w:t>.</w:t>
      </w:r>
      <w:r>
        <w:tab/>
        <w:t>Constitution of Inquiry Panel</w:t>
      </w:r>
      <w:bookmarkEnd w:id="1644"/>
    </w:p>
    <w:p>
      <w:pPr>
        <w:pStyle w:val="ySubsection"/>
        <w:spacing w:before="180"/>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 and</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80"/>
      </w:pPr>
      <w:r>
        <w:tab/>
        <w:t>(1a)</w:t>
      </w:r>
      <w:r>
        <w:tab/>
        <w:t>If an Inquiry Panel consists of one person, that person is to be a legal practitioner who the Minister and WALGA agree should be appointed.</w:t>
      </w:r>
    </w:p>
    <w:p>
      <w:pPr>
        <w:pStyle w:val="ySubsection"/>
        <w:spacing w:before="18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80"/>
      </w:pPr>
      <w:r>
        <w:tab/>
        <w:t>(3)</w:t>
      </w:r>
      <w:r>
        <w:tab/>
        <w:t>Before a person is appointed under subclause (1)(c), the Minister is to invite WALGA to submit a list of 3 persons eligible for appointment within 28 days of the invitation.</w:t>
      </w:r>
    </w:p>
    <w:p>
      <w:pPr>
        <w:pStyle w:val="ySubsection"/>
        <w:spacing w:before="18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r>
        <w:tab/>
        <w:t>[Clause 1 amended by No. 64 of 1998 s. 44(2)(a)</w:t>
      </w:r>
      <w:r>
        <w:noBreakHyphen/>
        <w:t>(c); No. 49 of 2004 s. 12.]</w:t>
      </w:r>
    </w:p>
    <w:p>
      <w:pPr>
        <w:pStyle w:val="yHeading5"/>
        <w:outlineLvl w:val="0"/>
      </w:pPr>
      <w:bookmarkStart w:id="1645" w:name="_Toc462409886"/>
      <w:r>
        <w:rPr>
          <w:rStyle w:val="CharSClsNo"/>
        </w:rPr>
        <w:t>2</w:t>
      </w:r>
      <w:r>
        <w:t>.</w:t>
      </w:r>
      <w:r>
        <w:tab/>
        <w:t>Term of appointment</w:t>
      </w:r>
      <w:bookmarkEnd w:id="1645"/>
    </w:p>
    <w:p>
      <w:pPr>
        <w:pStyle w:val="ySubsection"/>
        <w:keepNext/>
        <w:keepLines/>
        <w:spacing w:before="100"/>
      </w:pPr>
      <w:r>
        <w:tab/>
        <w:t>(1)</w:t>
      </w:r>
      <w:r>
        <w:tab/>
        <w:t>A member of an Inquiry Panel holds office for the duration of the inquiry unless — </w:t>
      </w:r>
    </w:p>
    <w:p>
      <w:pPr>
        <w:pStyle w:val="yIndenta"/>
      </w:pPr>
      <w:r>
        <w:tab/>
        <w:t>(a)</w:t>
      </w:r>
      <w:r>
        <w:tab/>
        <w:t>he or she dies; or</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r>
        <w:tab/>
        <w:t>[Clause 2 amended by No. 49 of 2004 s. 12.]</w:t>
      </w:r>
    </w:p>
    <w:p>
      <w:pPr>
        <w:pStyle w:val="yHeading5"/>
        <w:outlineLvl w:val="0"/>
      </w:pPr>
      <w:bookmarkStart w:id="1646" w:name="_Toc462409887"/>
      <w:r>
        <w:rPr>
          <w:rStyle w:val="CharSClsNo"/>
        </w:rPr>
        <w:t>3</w:t>
      </w:r>
      <w:r>
        <w:t>.</w:t>
      </w:r>
      <w:r>
        <w:tab/>
        <w:t>Procedures and remuneration</w:t>
      </w:r>
      <w:bookmarkEnd w:id="1646"/>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[Clause 3 amended by No. 64 of 1998 s. 44(2)(d).]</w:t>
      </w:r>
    </w:p>
    <w:p>
      <w:pPr>
        <w:pStyle w:val="yScheduleHeading"/>
      </w:pPr>
      <w:bookmarkStart w:id="1647" w:name="_Toc448219603"/>
      <w:bookmarkStart w:id="1648" w:name="_Toc448224825"/>
      <w:bookmarkStart w:id="1649" w:name="_Toc451180062"/>
      <w:bookmarkStart w:id="1650" w:name="_Toc451430982"/>
      <w:bookmarkStart w:id="1651" w:name="_Toc455396932"/>
      <w:bookmarkStart w:id="1652" w:name="_Toc455397792"/>
      <w:bookmarkStart w:id="1653" w:name="_Toc456086875"/>
      <w:bookmarkStart w:id="1654" w:name="_Toc462409888"/>
      <w:r>
        <w:rPr>
          <w:rStyle w:val="CharSchNo"/>
        </w:rPr>
        <w:t>Schedule 9.1</w:t>
      </w:r>
      <w:r>
        <w:t> — </w:t>
      </w:r>
      <w:r>
        <w:rPr>
          <w:rStyle w:val="CharSchText"/>
        </w:rPr>
        <w:t>Certain matters for which Governor may make regulations</w:t>
      </w:r>
      <w:bookmarkEnd w:id="1647"/>
      <w:bookmarkEnd w:id="1648"/>
      <w:bookmarkEnd w:id="1649"/>
      <w:bookmarkEnd w:id="1650"/>
      <w:bookmarkEnd w:id="1651"/>
      <w:bookmarkEnd w:id="1652"/>
      <w:bookmarkEnd w:id="1653"/>
      <w:bookmarkEnd w:id="1654"/>
    </w:p>
    <w:p>
      <w:pPr>
        <w:pStyle w:val="yShoulderClause"/>
      </w:pPr>
      <w:r>
        <w:t>[Section 9.60(2)]</w:t>
      </w:r>
    </w:p>
    <w:p>
      <w:pPr>
        <w:pStyle w:val="yHeading5"/>
        <w:outlineLvl w:val="0"/>
      </w:pPr>
      <w:bookmarkStart w:id="1655" w:name="_Toc462409889"/>
      <w:r>
        <w:rPr>
          <w:rStyle w:val="CharSClsNo"/>
        </w:rPr>
        <w:t>1</w:t>
      </w:r>
      <w:r>
        <w:t>.</w:t>
      </w:r>
      <w:r>
        <w:tab/>
        <w:t>Parking for disabled</w:t>
      </w:r>
      <w:bookmarkEnd w:id="1655"/>
    </w:p>
    <w:p>
      <w:pPr>
        <w:pStyle w:val="ySubsection"/>
      </w:pPr>
      <w:r>
        <w:tab/>
        <w:t>(1)</w:t>
      </w:r>
      <w:r>
        <w:tab/>
        <w:t>In this clause — </w:t>
      </w:r>
    </w:p>
    <w:p>
      <w:pPr>
        <w:pStyle w:val="yDefstart"/>
      </w:pPr>
      <w:r>
        <w:rPr>
          <w:b/>
        </w:rPr>
        <w:tab/>
      </w:r>
      <w:r>
        <w:rPr>
          <w:rStyle w:val="CharDefText"/>
        </w:rPr>
        <w:t>park</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r>
      <w:r>
        <w:rPr>
          <w:rStyle w:val="CharDefText"/>
        </w:rPr>
        <w:t>parking facilities</w:t>
      </w:r>
      <w:r>
        <w:t xml:space="preserve"> includes land, buildings, shelters, spaces, signs, notices, and other facilities for the parking of vehicles by members of the public, generally, with or without charge;</w:t>
      </w:r>
    </w:p>
    <w:p>
      <w:pPr>
        <w:pStyle w:val="yDefstart"/>
      </w:pPr>
      <w:r>
        <w:rPr>
          <w:b/>
        </w:rPr>
        <w:tab/>
      </w:r>
      <w:r>
        <w:rPr>
          <w:rStyle w:val="CharDefText"/>
        </w:rPr>
        <w:t>parking region</w:t>
      </w:r>
      <w:r>
        <w:t xml:space="preserve"> means a place where a local law to control parking applies;</w:t>
      </w:r>
    </w:p>
    <w:p>
      <w:pPr>
        <w:pStyle w:val="yDefstart"/>
      </w:pPr>
      <w:r>
        <w:rPr>
          <w:b/>
        </w:rPr>
        <w:tab/>
      </w:r>
      <w:r>
        <w:rPr>
          <w:rStyle w:val="CharDefText"/>
        </w:rPr>
        <w:t>stand</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by No. 16 of 1999 s. 7(3).]</w:t>
      </w:r>
    </w:p>
    <w:p>
      <w:pPr>
        <w:pStyle w:val="yHeading5"/>
        <w:outlineLvl w:val="0"/>
      </w:pPr>
      <w:bookmarkStart w:id="1656" w:name="_Toc462409890"/>
      <w:r>
        <w:rPr>
          <w:rStyle w:val="CharSClsNo"/>
        </w:rPr>
        <w:t>2</w:t>
      </w:r>
      <w:r>
        <w:t>.</w:t>
      </w:r>
      <w:r>
        <w:tab/>
        <w:t>Disturbing local government land or anything on it</w:t>
      </w:r>
      <w:bookmarkEnd w:id="1656"/>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outlineLvl w:val="0"/>
      </w:pPr>
      <w:bookmarkStart w:id="1657" w:name="_Toc462409891"/>
      <w:r>
        <w:rPr>
          <w:rStyle w:val="CharSClsNo"/>
        </w:rPr>
        <w:t>3</w:t>
      </w:r>
      <w:r>
        <w:t>.</w:t>
      </w:r>
      <w:r>
        <w:tab/>
        <w:t>Obstructing or encroaching on public thoroughfare</w:t>
      </w:r>
      <w:bookmarkEnd w:id="1657"/>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outlineLvl w:val="0"/>
      </w:pPr>
      <w:bookmarkStart w:id="1658" w:name="_Toc462409892"/>
      <w:r>
        <w:rPr>
          <w:rStyle w:val="CharSClsNo"/>
        </w:rPr>
        <w:t>4</w:t>
      </w:r>
      <w:r>
        <w:t>.</w:t>
      </w:r>
      <w:r>
        <w:tab/>
        <w:t>Separating land from public thoroughfare</w:t>
      </w:r>
      <w:bookmarkEnd w:id="1658"/>
    </w:p>
    <w:p>
      <w:pPr>
        <w:pStyle w:val="ySubsection"/>
      </w:pPr>
      <w:r>
        <w:tab/>
      </w:r>
      <w:r>
        <w:tab/>
        <w:t>Regulations may require the owner or occupier of land to keep in good repair any fence or gate that separates the land from a public thoroughfare.</w:t>
      </w:r>
    </w:p>
    <w:p>
      <w:pPr>
        <w:pStyle w:val="yHeading5"/>
        <w:outlineLvl w:val="0"/>
      </w:pPr>
      <w:bookmarkStart w:id="1659" w:name="_Toc462409893"/>
      <w:r>
        <w:rPr>
          <w:rStyle w:val="CharSClsNo"/>
        </w:rPr>
        <w:t>5</w:t>
      </w:r>
      <w:r>
        <w:t>.</w:t>
      </w:r>
      <w:r>
        <w:tab/>
        <w:t>Gates across public thoroughfares</w:t>
      </w:r>
      <w:bookmarkEnd w:id="1659"/>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outlineLvl w:val="0"/>
      </w:pPr>
      <w:bookmarkStart w:id="1660" w:name="_Toc462409894"/>
      <w:r>
        <w:rPr>
          <w:rStyle w:val="CharSClsNo"/>
        </w:rPr>
        <w:t>6</w:t>
      </w:r>
      <w:r>
        <w:t>.</w:t>
      </w:r>
      <w:r>
        <w:tab/>
        <w:t>Dangerous excavation in or near public thoroughfare</w:t>
      </w:r>
      <w:bookmarkEnd w:id="1660"/>
    </w:p>
    <w:p>
      <w:pPr>
        <w:pStyle w:val="ySubsection"/>
      </w:pPr>
      <w:r>
        <w:tab/>
      </w:r>
      <w:r>
        <w:tab/>
        <w:t>Regulations may be made about dangerous excavations in public thoroughfares or land adjoining public thoroughfares.</w:t>
      </w:r>
    </w:p>
    <w:p>
      <w:pPr>
        <w:pStyle w:val="yHeading5"/>
        <w:outlineLvl w:val="0"/>
      </w:pPr>
      <w:bookmarkStart w:id="1661" w:name="_Toc462409895"/>
      <w:r>
        <w:rPr>
          <w:rStyle w:val="CharSClsNo"/>
        </w:rPr>
        <w:t>7</w:t>
      </w:r>
      <w:r>
        <w:t>.</w:t>
      </w:r>
      <w:r>
        <w:tab/>
        <w:t>Crossing from public thoroughfare to private land or private thoroughfare</w:t>
      </w:r>
      <w:bookmarkEnd w:id="1661"/>
    </w:p>
    <w:p>
      <w:pPr>
        <w:pStyle w:val="ySubsection"/>
      </w:pPr>
      <w:r>
        <w:tab/>
        <w:t>(1)</w:t>
      </w:r>
      <w:r>
        <w:tab/>
        <w:t>In this clause — </w:t>
      </w:r>
    </w:p>
    <w:p>
      <w:pPr>
        <w:pStyle w:val="yDefstart"/>
      </w:pPr>
      <w:r>
        <w:rPr>
          <w:b/>
        </w:rPr>
        <w:tab/>
      </w:r>
      <w:r>
        <w:rPr>
          <w:rStyle w:val="CharDefText"/>
        </w:rPr>
        <w:t>private land</w:t>
      </w:r>
      <w:r>
        <w:t xml:space="preserve"> means land that is neither vacant Crown land nor local government land;</w:t>
      </w:r>
    </w:p>
    <w:p>
      <w:pPr>
        <w:pStyle w:val="yDefstart"/>
      </w:pPr>
      <w:r>
        <w:rPr>
          <w:b/>
        </w:rPr>
        <w:tab/>
      </w:r>
      <w:r>
        <w:rPr>
          <w:rStyle w:val="CharDefText"/>
        </w:rPr>
        <w:t>private thoroughfare</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outlineLvl w:val="0"/>
      </w:pPr>
      <w:bookmarkStart w:id="1662" w:name="_Toc462409896"/>
      <w:r>
        <w:rPr>
          <w:rStyle w:val="CharSClsNo"/>
        </w:rPr>
        <w:t>8</w:t>
      </w:r>
      <w:r>
        <w:t>.</w:t>
      </w:r>
      <w:r>
        <w:tab/>
        <w:t>Private works on, over, or under public places</w:t>
      </w:r>
      <w:bookmarkEnd w:id="1662"/>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outlineLvl w:val="0"/>
      </w:pPr>
      <w:bookmarkStart w:id="1663" w:name="_Toc462409897"/>
      <w:r>
        <w:rPr>
          <w:rStyle w:val="CharSClsNo"/>
        </w:rPr>
        <w:t>9</w:t>
      </w:r>
      <w:r>
        <w:t>.</w:t>
      </w:r>
      <w:r>
        <w:tab/>
        <w:t>Protection of watercourses, drains, tunnels and bridges</w:t>
      </w:r>
      <w:bookmarkEnd w:id="1663"/>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outlineLvl w:val="0"/>
      </w:pPr>
      <w:bookmarkStart w:id="1664" w:name="_Toc462409898"/>
      <w:r>
        <w:rPr>
          <w:rStyle w:val="CharSClsNo"/>
        </w:rPr>
        <w:t>10</w:t>
      </w:r>
      <w:r>
        <w:t>.</w:t>
      </w:r>
      <w:r>
        <w:tab/>
        <w:t>Protection of thoroughfares from water damage</w:t>
      </w:r>
      <w:bookmarkEnd w:id="1664"/>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outlineLvl w:val="0"/>
      </w:pPr>
      <w:bookmarkStart w:id="1665" w:name="_Toc462409899"/>
      <w:r>
        <w:rPr>
          <w:rStyle w:val="CharSClsNo"/>
        </w:rPr>
        <w:t>11</w:t>
      </w:r>
      <w:r>
        <w:t>.</w:t>
      </w:r>
      <w:r>
        <w:tab/>
        <w:t>Works required for supply of gas or water</w:t>
      </w:r>
      <w:bookmarkEnd w:id="1665"/>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spacing w:before="80"/>
      </w:pPr>
      <w:r>
        <w:tab/>
        <w:t>[Clause 11 amended by No. 1 of 1998 s. 27.]</w:t>
      </w:r>
    </w:p>
    <w:p>
      <w:pPr>
        <w:pStyle w:val="yHeading5"/>
        <w:outlineLvl w:val="0"/>
      </w:pPr>
      <w:bookmarkStart w:id="1666" w:name="_Toc462409900"/>
      <w:r>
        <w:rPr>
          <w:rStyle w:val="CharSClsNo"/>
        </w:rPr>
        <w:t>12</w:t>
      </w:r>
      <w:r>
        <w:t>.</w:t>
      </w:r>
      <w:r>
        <w:tab/>
        <w:t>Wind erosion and sand drifts</w:t>
      </w:r>
      <w:bookmarkEnd w:id="1666"/>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by No. 1 of 1998 s. 27; No. 55 of 2004 s. 708.]</w:t>
      </w:r>
    </w:p>
    <w:p>
      <w:pPr>
        <w:pStyle w:val="yEdnoteschedule"/>
      </w:pPr>
      <w:r>
        <w:t>[Schedule 9.2, as amended by No. 11 of 2007 s. 13, omitted under the Reprints Act 1984 s. 7(4)(e).]</w:t>
      </w:r>
    </w:p>
    <w:p>
      <w:pPr>
        <w:pStyle w:val="yScheduleHeading"/>
        <w:outlineLvl w:val="0"/>
      </w:pPr>
      <w:bookmarkStart w:id="1667" w:name="_Toc448219616"/>
      <w:bookmarkStart w:id="1668" w:name="_Toc448224838"/>
      <w:bookmarkStart w:id="1669" w:name="_Toc451180075"/>
      <w:bookmarkStart w:id="1670" w:name="_Toc451430995"/>
      <w:bookmarkStart w:id="1671" w:name="_Toc455396945"/>
      <w:bookmarkStart w:id="1672" w:name="_Toc455397805"/>
      <w:bookmarkStart w:id="1673" w:name="_Toc456086888"/>
      <w:bookmarkStart w:id="1674" w:name="_Toc462409901"/>
      <w:r>
        <w:rPr>
          <w:rStyle w:val="CharSchNo"/>
        </w:rPr>
        <w:t>Schedule 9.3</w:t>
      </w:r>
      <w:r>
        <w:t> </w:t>
      </w:r>
      <w:r>
        <w:rPr>
          <w:snapToGrid/>
          <w:sz w:val="24"/>
        </w:rPr>
        <w:t>— </w:t>
      </w:r>
      <w:r>
        <w:rPr>
          <w:rStyle w:val="CharSchText"/>
        </w:rPr>
        <w:t>Transitional provisions</w:t>
      </w:r>
      <w:bookmarkEnd w:id="1667"/>
      <w:bookmarkEnd w:id="1668"/>
      <w:bookmarkEnd w:id="1669"/>
      <w:bookmarkEnd w:id="1670"/>
      <w:bookmarkEnd w:id="1671"/>
      <w:bookmarkEnd w:id="1672"/>
      <w:bookmarkEnd w:id="1673"/>
      <w:bookmarkEnd w:id="1674"/>
    </w:p>
    <w:p>
      <w:pPr>
        <w:pStyle w:val="yShoulderClause"/>
      </w:pPr>
      <w:r>
        <w:rPr>
          <w:szCs w:val="22"/>
        </w:rPr>
        <w:t>[Section 9.71]</w:t>
      </w:r>
    </w:p>
    <w:p>
      <w:pPr>
        <w:pStyle w:val="yFootnoteheading"/>
        <w:spacing w:after="60"/>
      </w:pPr>
      <w:r>
        <w:tab/>
        <w:t>[Heading amended by No. 2 of 2012 s. 25.]</w:t>
      </w:r>
    </w:p>
    <w:p>
      <w:pPr>
        <w:pStyle w:val="yHeading3"/>
        <w:outlineLvl w:val="0"/>
      </w:pPr>
      <w:bookmarkStart w:id="1675" w:name="_Toc448219617"/>
      <w:bookmarkStart w:id="1676" w:name="_Toc448224839"/>
      <w:bookmarkStart w:id="1677" w:name="_Toc451180076"/>
      <w:bookmarkStart w:id="1678" w:name="_Toc451430996"/>
      <w:bookmarkStart w:id="1679" w:name="_Toc455396946"/>
      <w:bookmarkStart w:id="1680" w:name="_Toc455397806"/>
      <w:bookmarkStart w:id="1681" w:name="_Toc456086889"/>
      <w:bookmarkStart w:id="1682" w:name="_Toc462409902"/>
      <w:r>
        <w:rPr>
          <w:rStyle w:val="CharSDivNo"/>
        </w:rPr>
        <w:t>Division 1</w:t>
      </w:r>
      <w:r>
        <w:t> — </w:t>
      </w:r>
      <w:r>
        <w:rPr>
          <w:rStyle w:val="CharSDivText"/>
        </w:rPr>
        <w:t>Provisions for</w:t>
      </w:r>
      <w:r>
        <w:rPr>
          <w:rStyle w:val="CharSDivText"/>
          <w:i/>
        </w:rPr>
        <w:t xml:space="preserve"> Local Government Act 1995</w:t>
      </w:r>
      <w:bookmarkEnd w:id="1675"/>
      <w:bookmarkEnd w:id="1676"/>
      <w:bookmarkEnd w:id="1677"/>
      <w:bookmarkEnd w:id="1678"/>
      <w:bookmarkEnd w:id="1679"/>
      <w:bookmarkEnd w:id="1680"/>
      <w:bookmarkEnd w:id="1681"/>
      <w:bookmarkEnd w:id="1682"/>
    </w:p>
    <w:p>
      <w:pPr>
        <w:pStyle w:val="yFootnoteheading"/>
        <w:spacing w:after="60"/>
      </w:pPr>
      <w:r>
        <w:tab/>
        <w:t>[Heading inserted by No. 2 of 2012 s. 26.]</w:t>
      </w:r>
    </w:p>
    <w:p>
      <w:pPr>
        <w:pStyle w:val="yHeading4"/>
      </w:pPr>
      <w:bookmarkStart w:id="1683" w:name="_Toc448219618"/>
      <w:bookmarkStart w:id="1684" w:name="_Toc448224840"/>
      <w:bookmarkStart w:id="1685" w:name="_Toc451180077"/>
      <w:bookmarkStart w:id="1686" w:name="_Toc451430997"/>
      <w:bookmarkStart w:id="1687" w:name="_Toc455396947"/>
      <w:bookmarkStart w:id="1688" w:name="_Toc455397807"/>
      <w:bookmarkStart w:id="1689" w:name="_Toc456086890"/>
      <w:bookmarkStart w:id="1690" w:name="_Toc462409903"/>
      <w:r>
        <w:t>Subdivision 1</w:t>
      </w:r>
      <w:r>
        <w:rPr>
          <w:b w:val="0"/>
        </w:rPr>
        <w:t> </w:t>
      </w:r>
      <w:r>
        <w:t>— Preliminary</w:t>
      </w:r>
      <w:bookmarkEnd w:id="1683"/>
      <w:bookmarkEnd w:id="1684"/>
      <w:bookmarkEnd w:id="1685"/>
      <w:bookmarkEnd w:id="1686"/>
      <w:bookmarkEnd w:id="1687"/>
      <w:bookmarkEnd w:id="1688"/>
      <w:bookmarkEnd w:id="1689"/>
      <w:bookmarkEnd w:id="1690"/>
    </w:p>
    <w:p>
      <w:pPr>
        <w:pStyle w:val="yFootnoteheading"/>
        <w:spacing w:after="60"/>
      </w:pPr>
      <w:r>
        <w:tab/>
        <w:t>[Heading inserted by No. 2 of 2012 s. 26.]</w:t>
      </w:r>
    </w:p>
    <w:p>
      <w:pPr>
        <w:pStyle w:val="yHeading5"/>
        <w:outlineLvl w:val="0"/>
      </w:pPr>
      <w:bookmarkStart w:id="1691" w:name="_Toc462409904"/>
      <w:r>
        <w:rPr>
          <w:rStyle w:val="CharSClsNo"/>
        </w:rPr>
        <w:t>1</w:t>
      </w:r>
      <w:r>
        <w:t>.</w:t>
      </w:r>
      <w:r>
        <w:tab/>
        <w:t>Terms used</w:t>
      </w:r>
      <w:bookmarkEnd w:id="1691"/>
    </w:p>
    <w:p>
      <w:pPr>
        <w:pStyle w:val="ySubsection"/>
      </w:pPr>
      <w:r>
        <w:tab/>
      </w:r>
      <w:r>
        <w:tab/>
        <w:t>In this Schedule unless the contrary intention appears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continuing authority</w:t>
      </w:r>
      <w:r>
        <w:t xml:space="preserve"> means a former municipality that, on the commencement day, continues in existence as a local government;</w:t>
      </w:r>
    </w:p>
    <w:p>
      <w:pPr>
        <w:pStyle w:val="yDefstart"/>
      </w:pPr>
      <w:r>
        <w:rPr>
          <w:b/>
        </w:rPr>
        <w:tab/>
      </w:r>
      <w:r>
        <w:rPr>
          <w:rStyle w:val="CharDefText"/>
        </w:rPr>
        <w:t>designated employee</w:t>
      </w:r>
      <w:r>
        <w:t xml:space="preserve"> has the meaning given by section 5.74;</w:t>
      </w:r>
    </w:p>
    <w:p>
      <w:pPr>
        <w:pStyle w:val="yDefstart"/>
      </w:pPr>
      <w:r>
        <w:rPr>
          <w:b/>
        </w:rPr>
        <w:tab/>
      </w:r>
      <w:r>
        <w:rPr>
          <w:rStyle w:val="CharDefText"/>
        </w:rPr>
        <w:t>former district</w:t>
      </w:r>
      <w:r>
        <w:t xml:space="preserve"> means a district that existed under the former provisions immediately before the commencement day;</w:t>
      </w:r>
    </w:p>
    <w:p>
      <w:pPr>
        <w:pStyle w:val="yDefstart"/>
      </w:pPr>
      <w:r>
        <w:rPr>
          <w:b/>
        </w:rPr>
        <w:tab/>
      </w:r>
      <w:r>
        <w:rPr>
          <w:rStyle w:val="CharDefText"/>
        </w:rPr>
        <w:t>former municipality</w:t>
      </w:r>
      <w:r>
        <w:t xml:space="preserve"> means a municipality that, under the former provisions, was constituted by the inhabitants of a former district immediately before the commencement day;</w:t>
      </w:r>
    </w:p>
    <w:p>
      <w:pPr>
        <w:pStyle w:val="yDefstart"/>
      </w:pPr>
      <w:r>
        <w:rPr>
          <w:b/>
        </w:rPr>
        <w:tab/>
      </w:r>
      <w:r>
        <w:rPr>
          <w:rStyle w:val="CharDefText"/>
        </w:rPr>
        <w:t>former provisions</w:t>
      </w:r>
      <w:r>
        <w:t xml:space="preserve"> means the </w:t>
      </w:r>
      <w:r>
        <w:rPr>
          <w:i/>
        </w:rPr>
        <w:t xml:space="preserve">Local Government Act 1960 </w:t>
      </w:r>
      <w:r>
        <w:rPr>
          <w:vertAlign w:val="superscript"/>
        </w:rPr>
        <w:t>4</w:t>
      </w:r>
      <w:r>
        <w:t xml:space="preserve"> as in force before the commencement day;</w:t>
      </w:r>
    </w:p>
    <w:p>
      <w:pPr>
        <w:pStyle w:val="yDefstart"/>
      </w:pPr>
      <w:r>
        <w:rPr>
          <w:b/>
        </w:rPr>
        <w:tab/>
      </w:r>
      <w:r>
        <w:rPr>
          <w:rStyle w:val="CharDefText"/>
        </w:rPr>
        <w:t>senior employee</w:t>
      </w:r>
      <w:r>
        <w:t xml:space="preserve"> means an employee designated as a senior employee under section 5.37.</w:t>
      </w:r>
    </w:p>
    <w:p>
      <w:pPr>
        <w:pStyle w:val="yHeading5"/>
        <w:outlineLvl w:val="0"/>
      </w:pPr>
      <w:bookmarkStart w:id="1692" w:name="_Toc462409905"/>
      <w:r>
        <w:rPr>
          <w:rStyle w:val="CharSClsNo"/>
        </w:rPr>
        <w:t>2</w:t>
      </w:r>
      <w:r>
        <w:t>.</w:t>
      </w:r>
      <w:r>
        <w:tab/>
      </w:r>
      <w:r>
        <w:rPr>
          <w:i/>
          <w:iCs/>
        </w:rPr>
        <w:t>Interpretation Act 1984</w:t>
      </w:r>
      <w:r>
        <w:t xml:space="preserve"> applies</w:t>
      </w:r>
      <w:bookmarkEnd w:id="1692"/>
    </w:p>
    <w:p>
      <w:pPr>
        <w:pStyle w:val="ySubsection"/>
      </w:pPr>
      <w:r>
        <w:tab/>
      </w:r>
      <w:r>
        <w:tab/>
        <w:t xml:space="preserve">This Schedule does not limit the operation of the </w:t>
      </w:r>
      <w:r>
        <w:rPr>
          <w:i/>
        </w:rPr>
        <w:t>Interpretation Act 1984</w:t>
      </w:r>
      <w:r>
        <w:t>.</w:t>
      </w:r>
    </w:p>
    <w:p>
      <w:pPr>
        <w:pStyle w:val="yHeading5"/>
        <w:outlineLvl w:val="0"/>
      </w:pPr>
      <w:bookmarkStart w:id="1693" w:name="_Toc462409906"/>
      <w:r>
        <w:rPr>
          <w:rStyle w:val="CharSClsNo"/>
        </w:rPr>
        <w:t>3</w:t>
      </w:r>
      <w:r>
        <w:t>.</w:t>
      </w:r>
      <w:r>
        <w:tab/>
        <w:t>Construction of references in written laws</w:t>
      </w:r>
      <w:bookmarkEnd w:id="1693"/>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4"/>
      </w:pPr>
      <w:bookmarkStart w:id="1694" w:name="_Toc448219622"/>
      <w:bookmarkStart w:id="1695" w:name="_Toc448224844"/>
      <w:bookmarkStart w:id="1696" w:name="_Toc451180081"/>
      <w:bookmarkStart w:id="1697" w:name="_Toc451431001"/>
      <w:bookmarkStart w:id="1698" w:name="_Toc455396951"/>
      <w:bookmarkStart w:id="1699" w:name="_Toc455397811"/>
      <w:bookmarkStart w:id="1700" w:name="_Toc456086894"/>
      <w:bookmarkStart w:id="1701" w:name="_Toc462409907"/>
      <w:r>
        <w:t>Subdivision 2</w:t>
      </w:r>
      <w:r>
        <w:rPr>
          <w:b w:val="0"/>
        </w:rPr>
        <w:t> </w:t>
      </w:r>
      <w:r>
        <w:t>— Continuation of constitutional arrangements, membership and appointments</w:t>
      </w:r>
      <w:bookmarkEnd w:id="1694"/>
      <w:bookmarkEnd w:id="1695"/>
      <w:bookmarkEnd w:id="1696"/>
      <w:bookmarkEnd w:id="1697"/>
      <w:bookmarkEnd w:id="1698"/>
      <w:bookmarkEnd w:id="1699"/>
      <w:bookmarkEnd w:id="1700"/>
      <w:bookmarkEnd w:id="1701"/>
    </w:p>
    <w:p>
      <w:pPr>
        <w:pStyle w:val="yFootnoteheading"/>
        <w:spacing w:after="60"/>
      </w:pPr>
      <w:r>
        <w:tab/>
        <w:t>[Heading inserted by No. 2 of 2012 s. 27.]</w:t>
      </w:r>
    </w:p>
    <w:p>
      <w:pPr>
        <w:pStyle w:val="yHeading5"/>
        <w:outlineLvl w:val="0"/>
      </w:pPr>
      <w:bookmarkStart w:id="1702" w:name="_Toc462409908"/>
      <w:r>
        <w:rPr>
          <w:rStyle w:val="CharSClsNo"/>
        </w:rPr>
        <w:t>4</w:t>
      </w:r>
      <w:r>
        <w:t>.</w:t>
      </w:r>
      <w:r>
        <w:tab/>
        <w:t>Former districts continue as districts</w:t>
      </w:r>
      <w:bookmarkEnd w:id="1702"/>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The former district becomes a city, town or shire under this Act according to which of those the former municipality was under the former provisions even if it does not meet the relevant requirements under section 2.4.</w:t>
      </w:r>
    </w:p>
    <w:p>
      <w:pPr>
        <w:pStyle w:val="yHeading5"/>
        <w:keepLines w:val="0"/>
        <w:spacing w:before="180"/>
        <w:outlineLvl w:val="0"/>
      </w:pPr>
      <w:bookmarkStart w:id="1703" w:name="_Toc462409909"/>
      <w:r>
        <w:rPr>
          <w:rStyle w:val="CharSClsNo"/>
        </w:rPr>
        <w:t>5</w:t>
      </w:r>
      <w:r>
        <w:t>.</w:t>
      </w:r>
      <w:r>
        <w:tab/>
        <w:t>Former municipalities continue as local governments</w:t>
      </w:r>
      <w:bookmarkEnd w:id="1703"/>
    </w:p>
    <w:p>
      <w:pPr>
        <w:pStyle w:val="ySubsection"/>
        <w:spacing w:before="120"/>
      </w:pPr>
      <w:r>
        <w:tab/>
      </w:r>
      <w:r>
        <w:tab/>
        <w:t>The local government of a former district that becomes a district under this Act is a continuation of, and the same legal entity as, the former municipality, and has the same name.</w:t>
      </w:r>
    </w:p>
    <w:p>
      <w:pPr>
        <w:pStyle w:val="yHeading5"/>
        <w:spacing w:before="180"/>
        <w:outlineLvl w:val="0"/>
      </w:pPr>
      <w:bookmarkStart w:id="1704" w:name="_Toc462409910"/>
      <w:r>
        <w:rPr>
          <w:rStyle w:val="CharSClsNo"/>
        </w:rPr>
        <w:t>6</w:t>
      </w:r>
      <w:r>
        <w:t>.</w:t>
      </w:r>
      <w:r>
        <w:tab/>
        <w:t>Former councils continue as previously constituted</w:t>
      </w:r>
      <w:bookmarkEnd w:id="1704"/>
    </w:p>
    <w:p>
      <w:pPr>
        <w:pStyle w:val="ySubsection"/>
        <w:spacing w:before="120"/>
      </w:pPr>
      <w:r>
        <w:tab/>
        <w:t>(1)</w:t>
      </w:r>
      <w:r>
        <w:tab/>
        <w:t>On and after the commencement day, the council of a continuing authority continues as if it had been constituted, and its members had been elected, under this Act.</w:t>
      </w:r>
    </w:p>
    <w:p>
      <w:pPr>
        <w:pStyle w:val="ySubsection"/>
        <w:spacing w:before="120"/>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spacing w:before="120"/>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spacing w:before="120"/>
      </w:pPr>
      <w:r>
        <w:tab/>
        <w:t>(4)</w:t>
      </w:r>
      <w:r>
        <w:tab/>
        <w:t>The Advisory Board can make a recommendation under subclause (3) whether or not the continuing authority has made a proposal to it under Schedule 2.2.</w:t>
      </w:r>
    </w:p>
    <w:p>
      <w:pPr>
        <w:pStyle w:val="ySubsection"/>
        <w:spacing w:before="120"/>
      </w:pPr>
      <w:r>
        <w:tab/>
        <w:t>(5)</w:t>
      </w:r>
      <w:r>
        <w:tab/>
        <w:t>For the purposes of deciding on any recommendation it is to make under subclause (3), the Advisory Board may carry out any inquiry it thinks necessary.</w:t>
      </w:r>
    </w:p>
    <w:p>
      <w:pPr>
        <w:pStyle w:val="ySubsection"/>
        <w:spacing w:before="120"/>
      </w:pPr>
      <w:r>
        <w:tab/>
        <w:t>(6)</w:t>
      </w:r>
      <w:r>
        <w:tab/>
        <w:t>The Advisory Board may recover the amount of the costs connected with an inquiry under subclause (5) from the continuing authority as if it were for a debt due.</w:t>
      </w:r>
    </w:p>
    <w:p>
      <w:pPr>
        <w:pStyle w:val="yHeading5"/>
        <w:spacing w:before="180"/>
        <w:outlineLvl w:val="0"/>
      </w:pPr>
      <w:bookmarkStart w:id="1705" w:name="_Toc462409911"/>
      <w:r>
        <w:rPr>
          <w:rStyle w:val="CharSClsNo"/>
        </w:rPr>
        <w:t>7</w:t>
      </w:r>
      <w:r>
        <w:t>.</w:t>
      </w:r>
      <w:r>
        <w:tab/>
        <w:t>Wards and representation</w:t>
      </w:r>
      <w:bookmarkEnd w:id="1705"/>
    </w:p>
    <w:p>
      <w:pPr>
        <w:pStyle w:val="ySubsection"/>
      </w:pPr>
      <w:r>
        <w:tab/>
        <w:t>(1)</w:t>
      </w:r>
      <w:r>
        <w:tab/>
        <w:t>If, immediately before the commencement day, a former district had a ward system under the former provisions that system (including the 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spacing w:before="180"/>
        <w:outlineLvl w:val="0"/>
      </w:pPr>
      <w:bookmarkStart w:id="1706" w:name="_Toc462409912"/>
      <w:r>
        <w:rPr>
          <w:rStyle w:val="CharSClsNo"/>
        </w:rPr>
        <w:t>8</w:t>
      </w:r>
      <w:r>
        <w:t>.</w:t>
      </w:r>
      <w:r>
        <w:tab/>
        <w:t>Former method of electing mayor or president continued</w:t>
      </w:r>
      <w:bookmarkEnd w:id="1706"/>
    </w:p>
    <w:p>
      <w:pPr>
        <w:pStyle w:val="ySubsection"/>
        <w:spacing w:before="120"/>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spacing w:before="180"/>
        <w:outlineLvl w:val="0"/>
      </w:pPr>
      <w:bookmarkStart w:id="1707" w:name="_Toc462409913"/>
      <w:r>
        <w:rPr>
          <w:rStyle w:val="CharSClsNo"/>
        </w:rPr>
        <w:t>9</w:t>
      </w:r>
      <w:r>
        <w:t>.</w:t>
      </w:r>
      <w:r>
        <w:tab/>
        <w:t>Commissioners continued</w:t>
      </w:r>
      <w:bookmarkEnd w:id="1707"/>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spacing w:before="180"/>
        <w:outlineLvl w:val="0"/>
      </w:pPr>
      <w:bookmarkStart w:id="1708" w:name="_Toc462409914"/>
      <w:r>
        <w:rPr>
          <w:rStyle w:val="CharSClsNo"/>
        </w:rPr>
        <w:t>10</w:t>
      </w:r>
      <w:r>
        <w:t>.</w:t>
      </w:r>
      <w:r>
        <w:tab/>
        <w:t>Regional councils continued</w:t>
      </w:r>
      <w:bookmarkEnd w:id="1708"/>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 and</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keepNext w:val="0"/>
        <w:keepLines w:val="0"/>
        <w:spacing w:before="180"/>
        <w:outlineLvl w:val="0"/>
      </w:pPr>
      <w:bookmarkStart w:id="1709" w:name="_Toc462409915"/>
      <w:r>
        <w:rPr>
          <w:rStyle w:val="CharSClsNo"/>
        </w:rPr>
        <w:t>11</w:t>
      </w:r>
      <w:r>
        <w:t>.</w:t>
      </w:r>
      <w:r>
        <w:tab/>
        <w:t>Local Government Associations continued</w:t>
      </w:r>
      <w:bookmarkEnd w:id="1709"/>
    </w:p>
    <w:p>
      <w:pPr>
        <w:pStyle w:val="ySubsection"/>
        <w:spacing w:before="120"/>
      </w:pPr>
      <w:r>
        <w:tab/>
      </w:r>
      <w:r>
        <w:tab/>
        <w:t>The associations constituted by Part 9, Division 5, are the same legal entities as the associations that were constituted under Part XXX of the former provisions.</w:t>
      </w:r>
    </w:p>
    <w:p>
      <w:pPr>
        <w:pStyle w:val="yHeading4"/>
      </w:pPr>
      <w:bookmarkStart w:id="1710" w:name="_Toc448219631"/>
      <w:bookmarkStart w:id="1711" w:name="_Toc448224853"/>
      <w:bookmarkStart w:id="1712" w:name="_Toc451180090"/>
      <w:bookmarkStart w:id="1713" w:name="_Toc451431010"/>
      <w:bookmarkStart w:id="1714" w:name="_Toc455396960"/>
      <w:bookmarkStart w:id="1715" w:name="_Toc455397820"/>
      <w:bookmarkStart w:id="1716" w:name="_Toc456086903"/>
      <w:bookmarkStart w:id="1717" w:name="_Toc462409916"/>
      <w:r>
        <w:t>Subdivision 3</w:t>
      </w:r>
      <w:r>
        <w:rPr>
          <w:b w:val="0"/>
        </w:rPr>
        <w:t> </w:t>
      </w:r>
      <w:r>
        <w:t>— Electoral matters</w:t>
      </w:r>
      <w:bookmarkEnd w:id="1710"/>
      <w:bookmarkEnd w:id="1711"/>
      <w:bookmarkEnd w:id="1712"/>
      <w:bookmarkEnd w:id="1713"/>
      <w:bookmarkEnd w:id="1714"/>
      <w:bookmarkEnd w:id="1715"/>
      <w:bookmarkEnd w:id="1716"/>
      <w:bookmarkEnd w:id="1717"/>
    </w:p>
    <w:p>
      <w:pPr>
        <w:pStyle w:val="yFootnoteheading"/>
        <w:spacing w:after="60"/>
      </w:pPr>
      <w:r>
        <w:tab/>
        <w:t>[Heading inserted by No. 2 of 2012 s. 28.]</w:t>
      </w:r>
    </w:p>
    <w:p>
      <w:pPr>
        <w:pStyle w:val="yHeading5"/>
        <w:outlineLvl w:val="0"/>
      </w:pPr>
      <w:bookmarkStart w:id="1718" w:name="_Toc462409917"/>
      <w:r>
        <w:rPr>
          <w:rStyle w:val="CharSClsNo"/>
        </w:rPr>
        <w:t>12</w:t>
      </w:r>
      <w:r>
        <w:t>.</w:t>
      </w:r>
      <w:r>
        <w:tab/>
        <w:t>Enrolment of certain electors may continue</w:t>
      </w:r>
      <w:bookmarkEnd w:id="1718"/>
    </w:p>
    <w:p>
      <w:pPr>
        <w:pStyle w:val="ySubsection"/>
        <w:keepNext/>
      </w:pPr>
      <w:r>
        <w:tab/>
        <w:t>(1)</w:t>
      </w:r>
      <w:r>
        <w:tab/>
        <w:t>In this clause — </w:t>
      </w:r>
    </w:p>
    <w:p>
      <w:pPr>
        <w:pStyle w:val="yDefstart"/>
      </w:pPr>
      <w:r>
        <w:rPr>
          <w:b/>
        </w:rPr>
        <w:tab/>
      </w:r>
      <w:r>
        <w:rPr>
          <w:rStyle w:val="CharDefText"/>
        </w:rPr>
        <w:t>existing roll</w:t>
      </w:r>
      <w:r>
        <w:t xml:space="preserve"> means an owners and occupiers roll prepared in respect of a district or ward under section 43 of the former provisions and not superseded by another owners and occupiers roll prepared under that section.</w:t>
      </w:r>
    </w:p>
    <w:p>
      <w:pPr>
        <w:pStyle w:val="ySubsection"/>
      </w:pPr>
      <w:r>
        <w:tab/>
        <w:t>(2)</w:t>
      </w:r>
      <w:r>
        <w:tab/>
        <w:t>Despite section 4.30(1)(a) if a person who is not enrolled as an elector for the Legislative Assembly or the House of Representatives — </w:t>
      </w:r>
    </w:p>
    <w:p>
      <w:pPr>
        <w:pStyle w:val="yIndenta"/>
      </w:pPr>
      <w:r>
        <w:tab/>
        <w:t>(a)</w:t>
      </w:r>
      <w:r>
        <w:tab/>
        <w:t>owns or occupies rateable property within a district or ward (the</w:t>
      </w:r>
      <w:r>
        <w:rPr>
          <w:rStyle w:val="CharDefText"/>
        </w:rPr>
        <w:t xml:space="preserve"> electorate</w:t>
      </w:r>
      <w:r>
        <w:t>); and</w:t>
      </w:r>
    </w:p>
    <w:p>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pPr>
        <w:pStyle w:val="yIndenta"/>
      </w:pPr>
      <w:r>
        <w:tab/>
        <w:t>(c)</w:t>
      </w:r>
      <w:r>
        <w:tab/>
        <w:t>has owned or occupied rateable property within the district continuously since that existing roll was prepared,</w:t>
      </w:r>
    </w:p>
    <w:p>
      <w:pPr>
        <w:pStyle w:val="ySubsection"/>
      </w:pPr>
      <w:r>
        <w:tab/>
      </w:r>
      <w:r>
        <w:tab/>
        <w:t>the person is to be regarded for the purposes of this Act as being eligible under section 4.30(1)(a) and (b) to be enrolled to vote at elections for the electorate.</w:t>
      </w:r>
    </w:p>
    <w:p>
      <w:pPr>
        <w:pStyle w:val="ySubsection"/>
      </w:pPr>
      <w:r>
        <w:tab/>
        <w:t>(3)</w:t>
      </w:r>
      <w:r>
        <w:tab/>
        <w:t>The CEO of a continuing authority is to ensure that copies of the existing roll or existing rolls relating to the former municipality are retained on a permanent basis after the commencement of this Act.</w:t>
      </w:r>
    </w:p>
    <w:p>
      <w:pPr>
        <w:pStyle w:val="yHeading5"/>
        <w:outlineLvl w:val="0"/>
      </w:pPr>
      <w:bookmarkStart w:id="1719" w:name="_Toc462409918"/>
      <w:r>
        <w:rPr>
          <w:rStyle w:val="CharSClsNo"/>
        </w:rPr>
        <w:t>13</w:t>
      </w:r>
      <w:r>
        <w:t>.</w:t>
      </w:r>
      <w:r>
        <w:tab/>
        <w:t>Existing provisions continue for elections before 1997 ordinary elections</w:t>
      </w:r>
      <w:bookmarkEnd w:id="1719"/>
    </w:p>
    <w:p>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outlineLvl w:val="0"/>
      </w:pPr>
      <w:bookmarkStart w:id="1720" w:name="_Toc462409919"/>
      <w:r>
        <w:rPr>
          <w:rStyle w:val="CharSClsNo"/>
        </w:rPr>
        <w:t>14</w:t>
      </w:r>
      <w:r>
        <w:t>.</w:t>
      </w:r>
      <w:r>
        <w:tab/>
        <w:t>Transition from annual to biennial election system</w:t>
      </w:r>
      <w:bookmarkEnd w:id="1720"/>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 and</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keepNext/>
      </w:pPr>
      <w:r>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 and</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by No. 57 of 1997 s. 81(2) and (3).]</w:t>
      </w:r>
    </w:p>
    <w:p>
      <w:pPr>
        <w:pStyle w:val="yHeading5"/>
        <w:outlineLvl w:val="0"/>
      </w:pPr>
      <w:bookmarkStart w:id="1721" w:name="_Toc462409920"/>
      <w:r>
        <w:rPr>
          <w:rStyle w:val="CharSClsNo"/>
        </w:rPr>
        <w:t>14A</w:t>
      </w:r>
      <w:r>
        <w:t>.</w:t>
      </w:r>
      <w:r>
        <w:tab/>
        <w:t>Transition to October elections</w:t>
      </w:r>
      <w:bookmarkEnd w:id="1721"/>
    </w:p>
    <w:p>
      <w:pPr>
        <w:pStyle w:val="ySubsection"/>
      </w:pPr>
      <w:r>
        <w:tab/>
        <w:t>(1)</w:t>
      </w:r>
      <w:r>
        <w:tab/>
        <w:t xml:space="preserve">In this clause — </w:t>
      </w:r>
    </w:p>
    <w:p>
      <w:pPr>
        <w:pStyle w:val="yDefstart"/>
      </w:pPr>
      <w:r>
        <w:tab/>
      </w:r>
      <w:r>
        <w:rPr>
          <w:rStyle w:val="CharDefText"/>
        </w:rPr>
        <w:t>amending Act</w:t>
      </w:r>
      <w:r>
        <w:t xml:space="preserve"> means the </w:t>
      </w:r>
      <w:r>
        <w:rPr>
          <w:i/>
        </w:rPr>
        <w:t>Local Government Amendment Act 2006</w:t>
      </w:r>
      <w:r>
        <w:t>;</w:t>
      </w:r>
    </w:p>
    <w:p>
      <w:pPr>
        <w:pStyle w:val="yDefstart"/>
      </w:pPr>
      <w:r>
        <w:tab/>
      </w:r>
      <w:r>
        <w:rPr>
          <w:rStyle w:val="CharDefText"/>
        </w:rPr>
        <w:t>new ordinary election day provisions</w:t>
      </w:r>
      <w:r>
        <w:t xml:space="preserve"> means section 4.7 as amended by section 6 of the amending Act.</w:t>
      </w:r>
    </w:p>
    <w:p>
      <w:pPr>
        <w:pStyle w:val="ySubsection"/>
      </w:pPr>
      <w:r>
        <w:tab/>
        <w:t>(2)</w:t>
      </w:r>
      <w:r>
        <w:tab/>
        <w:t xml:space="preserve">If by operation of — </w:t>
      </w:r>
    </w:p>
    <w:p>
      <w:pPr>
        <w:pStyle w:val="yIndenta"/>
      </w:pPr>
      <w:r>
        <w:tab/>
        <w:t>(a)</w:t>
      </w:r>
      <w:r>
        <w:tab/>
        <w:t>item 3, 8, 9 or 10 of the Table to section 2.28; and</w:t>
      </w:r>
    </w:p>
    <w:p>
      <w:pPr>
        <w:pStyle w:val="yIndenta"/>
      </w:pPr>
      <w:r>
        <w:tab/>
        <w:t>(b)</w:t>
      </w:r>
      <w:r>
        <w:tab/>
        <w:t>a determination made by the returning officer under section 4.78 before the coming into operation of section 6 of the amending Act,</w:t>
      </w:r>
    </w:p>
    <w:p>
      <w:pPr>
        <w:pStyle w:val="ySubsection"/>
      </w:pPr>
      <w:r>
        <w:tab/>
      </w:r>
      <w:r>
        <w:tab/>
        <w:t>the term of office of a councillor would end on the first Saturday in May in a year, that term of office is to end on the third Saturday in October in that year (but note section 2.30).</w:t>
      </w:r>
    </w:p>
    <w:p>
      <w:pPr>
        <w:pStyle w:val="ySubsection"/>
      </w:pPr>
      <w:r>
        <w:tab/>
        <w:t>(3)</w:t>
      </w:r>
      <w:r>
        <w:tab/>
        <w:t>Despite section 3.64(e), the establishment agreement for a regional local government may be amended under section 3.65 in consequence of the new ordinary election day provisions even though the amendments result in the current chairman and deputy chairman of the regional local government holding office for terms exceeding 2 years.</w:t>
      </w:r>
    </w:p>
    <w:p>
      <w:pPr>
        <w:pStyle w:val="yFootnotesection"/>
        <w:keepLines w:val="0"/>
      </w:pPr>
      <w:r>
        <w:tab/>
        <w:t>[Clause 14A inserted by No. 66 of 2006 s. 15.]</w:t>
      </w:r>
    </w:p>
    <w:p>
      <w:pPr>
        <w:pStyle w:val="yHeading4"/>
        <w:pageBreakBefore/>
        <w:spacing w:before="0"/>
      </w:pPr>
      <w:bookmarkStart w:id="1722" w:name="_Toc448219636"/>
      <w:bookmarkStart w:id="1723" w:name="_Toc448224858"/>
      <w:bookmarkStart w:id="1724" w:name="_Toc451180095"/>
      <w:bookmarkStart w:id="1725" w:name="_Toc451431015"/>
      <w:bookmarkStart w:id="1726" w:name="_Toc455396965"/>
      <w:bookmarkStart w:id="1727" w:name="_Toc455397825"/>
      <w:bookmarkStart w:id="1728" w:name="_Toc456086908"/>
      <w:bookmarkStart w:id="1729" w:name="_Toc462409921"/>
      <w:r>
        <w:t>Subdivision 4</w:t>
      </w:r>
      <w:r>
        <w:rPr>
          <w:b w:val="0"/>
        </w:rPr>
        <w:t> </w:t>
      </w:r>
      <w:r>
        <w:t>— Administration</w:t>
      </w:r>
      <w:bookmarkEnd w:id="1722"/>
      <w:bookmarkEnd w:id="1723"/>
      <w:bookmarkEnd w:id="1724"/>
      <w:bookmarkEnd w:id="1725"/>
      <w:bookmarkEnd w:id="1726"/>
      <w:bookmarkEnd w:id="1727"/>
      <w:bookmarkEnd w:id="1728"/>
      <w:bookmarkEnd w:id="1729"/>
    </w:p>
    <w:p>
      <w:pPr>
        <w:pStyle w:val="yFootnoteheading"/>
        <w:spacing w:after="60"/>
      </w:pPr>
      <w:r>
        <w:tab/>
        <w:t>[Heading inserted by No. 2 of 2012 s. 29.]</w:t>
      </w:r>
    </w:p>
    <w:p>
      <w:pPr>
        <w:pStyle w:val="yHeading5"/>
        <w:spacing w:before="180"/>
        <w:outlineLvl w:val="0"/>
      </w:pPr>
      <w:bookmarkStart w:id="1730" w:name="_Toc462409922"/>
      <w:r>
        <w:rPr>
          <w:rStyle w:val="CharSClsNo"/>
        </w:rPr>
        <w:t>15</w:t>
      </w:r>
      <w:r>
        <w:t>.</w:t>
      </w:r>
      <w:r>
        <w:tab/>
        <w:t>Employees</w:t>
      </w:r>
      <w:bookmarkEnd w:id="1730"/>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spacing w:before="180"/>
        <w:outlineLvl w:val="0"/>
      </w:pPr>
      <w:bookmarkStart w:id="1731" w:name="_Toc462409923"/>
      <w:r>
        <w:rPr>
          <w:rStyle w:val="CharSClsNo"/>
        </w:rPr>
        <w:t>16</w:t>
      </w:r>
      <w:r>
        <w:t>.</w:t>
      </w:r>
      <w:r>
        <w:tab/>
        <w:t>Superannuation schemes: transitional and savings</w:t>
      </w:r>
      <w:bookmarkEnd w:id="1731"/>
    </w:p>
    <w:p>
      <w:pPr>
        <w:pStyle w:val="ySubsection"/>
      </w:pPr>
      <w:r>
        <w:tab/>
        <w:t>(1)</w:t>
      </w:r>
      <w:r>
        <w:tab/>
        <w:t>Despite the repeal of Part VIA (</w:t>
      </w:r>
      <w:r>
        <w:rPr>
          <w:b/>
          <w:bCs/>
        </w:rPr>
        <w:t>Employee Superannuation</w:t>
      </w:r>
      <w:r>
        <w:t>) of the former provisions, the provisions of that Part </w:t>
      </w:r>
      <w:r>
        <w:rPr>
          <w:vertAlign w:val="superscript"/>
        </w:rPr>
        <w:t>8</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spacing w:before="180"/>
        <w:outlineLvl w:val="0"/>
      </w:pPr>
      <w:bookmarkStart w:id="1732" w:name="_Toc462409924"/>
      <w:r>
        <w:rPr>
          <w:rStyle w:val="CharSClsNo"/>
        </w:rPr>
        <w:t>17</w:t>
      </w:r>
      <w:r>
        <w:t>.</w:t>
      </w:r>
      <w:r>
        <w:tab/>
        <w:t>Long service benefits:  transitional and savings</w:t>
      </w:r>
      <w:bookmarkEnd w:id="1732"/>
    </w:p>
    <w:p>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outlineLvl w:val="0"/>
      </w:pPr>
      <w:bookmarkStart w:id="1733" w:name="_Toc462409925"/>
      <w:r>
        <w:rPr>
          <w:rStyle w:val="CharSClsNo"/>
        </w:rPr>
        <w:t>18</w:t>
      </w:r>
      <w:r>
        <w:t>.</w:t>
      </w:r>
      <w:r>
        <w:tab/>
        <w:t>Committees continue until first ordinary elections</w:t>
      </w:r>
      <w:bookmarkEnd w:id="1733"/>
    </w:p>
    <w:p>
      <w:pPr>
        <w:pStyle w:val="ySubsection"/>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pPr>
      <w:r>
        <w:tab/>
        <w:t>(2)</w:t>
      </w:r>
      <w:r>
        <w:tab/>
        <w:t>A committee to which subclause (1) applies is dissolved on 3 May 1997.</w:t>
      </w:r>
    </w:p>
    <w:p>
      <w:pPr>
        <w:pStyle w:val="ySubsection"/>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spacing w:before="180"/>
        <w:outlineLvl w:val="0"/>
      </w:pPr>
      <w:bookmarkStart w:id="1734" w:name="_Toc462409926"/>
      <w:r>
        <w:rPr>
          <w:rStyle w:val="CharSClsNo"/>
        </w:rPr>
        <w:t>19</w:t>
      </w:r>
      <w:r>
        <w:t>.</w:t>
      </w:r>
      <w:r>
        <w:tab/>
        <w:t>Delegations continue for up to a year</w:t>
      </w:r>
      <w:bookmarkEnd w:id="1734"/>
    </w:p>
    <w:p>
      <w:pPr>
        <w:pStyle w:val="ySubsection"/>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keepNext/>
      </w:pPr>
      <w:r>
        <w:tab/>
        <w:t>(b)</w:t>
      </w:r>
      <w:r>
        <w:tab/>
        <w:t xml:space="preserve">the expiration of one year from the commencement day, </w:t>
      </w:r>
    </w:p>
    <w:p>
      <w:pPr>
        <w:pStyle w:val="ySubsection"/>
        <w:spacing w:before="120"/>
      </w:pPr>
      <w:r>
        <w:tab/>
      </w:r>
      <w:r>
        <w:tab/>
        <w:t>whichever happens first.</w:t>
      </w:r>
    </w:p>
    <w:p>
      <w:pPr>
        <w:pStyle w:val="yHeading5"/>
        <w:spacing w:before="200"/>
        <w:outlineLvl w:val="0"/>
      </w:pPr>
      <w:bookmarkStart w:id="1735" w:name="_Toc462409927"/>
      <w:r>
        <w:rPr>
          <w:rStyle w:val="CharSClsNo"/>
        </w:rPr>
        <w:t>20</w:t>
      </w:r>
      <w:r>
        <w:t>.</w:t>
      </w:r>
      <w:r>
        <w:tab/>
        <w:t>First annual report</w:t>
      </w:r>
      <w:bookmarkEnd w:id="1735"/>
    </w:p>
    <w:p>
      <w:pPr>
        <w:pStyle w:val="ySubsection"/>
        <w:spacing w:before="120"/>
      </w:pPr>
      <w:r>
        <w:tab/>
      </w:r>
      <w:r>
        <w:tab/>
        <w:t>A continuing authority is to prepare its first annual report under section 5.53 in relation to the financial year that ends on 30 June next following the commencement day.</w:t>
      </w:r>
    </w:p>
    <w:p>
      <w:pPr>
        <w:pStyle w:val="yHeading5"/>
        <w:keepNext w:val="0"/>
        <w:keepLines w:val="0"/>
        <w:spacing w:before="200"/>
        <w:outlineLvl w:val="0"/>
      </w:pPr>
      <w:bookmarkStart w:id="1736" w:name="_Toc462409928"/>
      <w:r>
        <w:rPr>
          <w:rStyle w:val="CharSClsNo"/>
        </w:rPr>
        <w:t>21</w:t>
      </w:r>
      <w:r>
        <w:t>.</w:t>
      </w:r>
      <w:r>
        <w:tab/>
        <w:t>First plan for principal activities</w:t>
      </w:r>
      <w:bookmarkEnd w:id="1736"/>
    </w:p>
    <w:p>
      <w:pPr>
        <w:pStyle w:val="ySubsection"/>
        <w:spacing w:before="120"/>
      </w:pPr>
      <w:r>
        <w:tab/>
      </w:r>
      <w:r>
        <w:tab/>
        <w:t>A continuing authority is to prepare its first plan for principal activities under section 5.56 for the period that begins on 1 July next following the commencement day.</w:t>
      </w:r>
    </w:p>
    <w:p>
      <w:pPr>
        <w:pStyle w:val="yHeading5"/>
        <w:spacing w:before="200"/>
        <w:outlineLvl w:val="0"/>
      </w:pPr>
      <w:bookmarkStart w:id="1737" w:name="_Toc462409929"/>
      <w:r>
        <w:rPr>
          <w:rStyle w:val="CharSClsNo"/>
        </w:rPr>
        <w:t>22</w:t>
      </w:r>
      <w:r>
        <w:t>.</w:t>
      </w:r>
      <w:r>
        <w:tab/>
        <w:t>First code of conduct</w:t>
      </w:r>
      <w:bookmarkEnd w:id="1737"/>
    </w:p>
    <w:p>
      <w:pPr>
        <w:pStyle w:val="ySubsection"/>
      </w:pPr>
      <w:r>
        <w:tab/>
      </w:r>
      <w:r>
        <w:tab/>
        <w:t>A continuing authority is to prepare or adopt its first code of conduct within one year of the commencement day.</w:t>
      </w:r>
    </w:p>
    <w:p>
      <w:pPr>
        <w:pStyle w:val="yHeading5"/>
        <w:spacing w:before="180"/>
        <w:outlineLvl w:val="0"/>
      </w:pPr>
      <w:bookmarkStart w:id="1738" w:name="_Toc462409930"/>
      <w:r>
        <w:rPr>
          <w:rStyle w:val="CharSClsNo"/>
        </w:rPr>
        <w:t>23</w:t>
      </w:r>
      <w:r>
        <w:t>.</w:t>
      </w:r>
      <w:r>
        <w:tab/>
        <w:t>First declaration by certain designated employees</w:t>
      </w:r>
      <w:bookmarkEnd w:id="1738"/>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spacing w:before="180"/>
        <w:outlineLvl w:val="0"/>
      </w:pPr>
      <w:bookmarkStart w:id="1739" w:name="_Toc462409931"/>
      <w:r>
        <w:rPr>
          <w:rStyle w:val="CharSClsNo"/>
        </w:rPr>
        <w:t>24</w:t>
      </w:r>
      <w:r>
        <w:t>.</w:t>
      </w:r>
      <w:r>
        <w:tab/>
        <w:t>Previous records to be kept by continuing authorities</w:t>
      </w:r>
      <w:bookmarkEnd w:id="1739"/>
    </w:p>
    <w:p>
      <w:pPr>
        <w:pStyle w:val="ySubsection"/>
        <w:spacing w:before="120"/>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4"/>
        <w:spacing w:before="220"/>
      </w:pPr>
      <w:bookmarkStart w:id="1740" w:name="_Toc448219647"/>
      <w:bookmarkStart w:id="1741" w:name="_Toc448224869"/>
      <w:bookmarkStart w:id="1742" w:name="_Toc451180106"/>
      <w:bookmarkStart w:id="1743" w:name="_Toc451431026"/>
      <w:bookmarkStart w:id="1744" w:name="_Toc455396976"/>
      <w:bookmarkStart w:id="1745" w:name="_Toc455397836"/>
      <w:bookmarkStart w:id="1746" w:name="_Toc456086919"/>
      <w:bookmarkStart w:id="1747" w:name="_Toc462409932"/>
      <w:r>
        <w:t>Subdivision 5</w:t>
      </w:r>
      <w:r>
        <w:rPr>
          <w:b w:val="0"/>
        </w:rPr>
        <w:t> </w:t>
      </w:r>
      <w:r>
        <w:t>— Financial management and audit</w:t>
      </w:r>
      <w:bookmarkEnd w:id="1740"/>
      <w:bookmarkEnd w:id="1741"/>
      <w:bookmarkEnd w:id="1742"/>
      <w:bookmarkEnd w:id="1743"/>
      <w:bookmarkEnd w:id="1744"/>
      <w:bookmarkEnd w:id="1745"/>
      <w:bookmarkEnd w:id="1746"/>
      <w:bookmarkEnd w:id="1747"/>
    </w:p>
    <w:p>
      <w:pPr>
        <w:pStyle w:val="yFootnoteheading"/>
        <w:spacing w:before="100"/>
      </w:pPr>
      <w:r>
        <w:tab/>
        <w:t>[Heading inserted by No. 2 of 2012 s. 30.]</w:t>
      </w:r>
    </w:p>
    <w:p>
      <w:pPr>
        <w:pStyle w:val="yHeading5"/>
        <w:spacing w:before="180"/>
        <w:outlineLvl w:val="0"/>
      </w:pPr>
      <w:bookmarkStart w:id="1748" w:name="_Toc462409933"/>
      <w:r>
        <w:rPr>
          <w:rStyle w:val="CharSClsNo"/>
        </w:rPr>
        <w:t>25</w:t>
      </w:r>
      <w:r>
        <w:t>.</w:t>
      </w:r>
      <w:r>
        <w:tab/>
        <w:t>Rateable land exemptions</w:t>
      </w:r>
      <w:bookmarkEnd w:id="1748"/>
    </w:p>
    <w:p>
      <w:pPr>
        <w:pStyle w:val="ySubsection"/>
        <w:spacing w:before="120"/>
      </w:pPr>
      <w:r>
        <w:tab/>
      </w:r>
      <w:r>
        <w:tab/>
        <w:t>If a notice published by a continuing authority under section 532(3d) of the former provisions is in force immediately before the commencement day — </w:t>
      </w:r>
    </w:p>
    <w:p>
      <w:pPr>
        <w:pStyle w:val="yIndenta"/>
        <w:spacing w:before="60"/>
      </w:pPr>
      <w:r>
        <w:tab/>
        <w:t>(a)</w:t>
      </w:r>
      <w:r>
        <w:tab/>
        <w:t xml:space="preserve">that notice continues to have effect after the commencement day according to its terms; and </w:t>
      </w:r>
    </w:p>
    <w:p>
      <w:pPr>
        <w:pStyle w:val="yIndenta"/>
      </w:pPr>
      <w:r>
        <w:tab/>
        <w:t>(b)</w:t>
      </w:r>
      <w:r>
        <w:tab/>
        <w:t>section 532(3e) and (3f) of the former provisions continue to apply to that notice while the notice is in effect as if the reference in section 532(3f)(a) to subsection (3)(c) were a reference to section 6.26(2)(g).</w:t>
      </w:r>
    </w:p>
    <w:p>
      <w:pPr>
        <w:pStyle w:val="yHeading5"/>
        <w:outlineLvl w:val="0"/>
      </w:pPr>
      <w:bookmarkStart w:id="1749" w:name="_Toc462409934"/>
      <w:r>
        <w:rPr>
          <w:rStyle w:val="CharSClsNo"/>
        </w:rPr>
        <w:t>26</w:t>
      </w:r>
      <w:r>
        <w:t>.</w:t>
      </w:r>
      <w:r>
        <w:tab/>
        <w:t>Land declared to be exempt from payment of rates</w:t>
      </w:r>
      <w:bookmarkEnd w:id="1749"/>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 (as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outlineLvl w:val="0"/>
      </w:pPr>
      <w:bookmarkStart w:id="1750" w:name="_Toc462409935"/>
      <w:r>
        <w:rPr>
          <w:rStyle w:val="CharSClsNo"/>
        </w:rPr>
        <w:t>27</w:t>
      </w:r>
      <w:r>
        <w:t>.</w:t>
      </w:r>
      <w:r>
        <w:tab/>
        <w:t>Basis of rates</w:t>
      </w:r>
      <w:bookmarkEnd w:id="1750"/>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by No. 57 of 1997 s. 81(4).]</w:t>
      </w:r>
    </w:p>
    <w:p>
      <w:pPr>
        <w:pStyle w:val="yHeading5"/>
        <w:outlineLvl w:val="0"/>
      </w:pPr>
      <w:bookmarkStart w:id="1751" w:name="_Toc462409936"/>
      <w:r>
        <w:rPr>
          <w:rStyle w:val="CharSClsNo"/>
        </w:rPr>
        <w:t>28</w:t>
      </w:r>
      <w:r>
        <w:t>.</w:t>
      </w:r>
      <w:r>
        <w:tab/>
        <w:t>Recovery of rates</w:t>
      </w:r>
      <w:bookmarkEnd w:id="1751"/>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outlineLvl w:val="0"/>
      </w:pPr>
      <w:bookmarkStart w:id="1752" w:name="_Toc462409937"/>
      <w:r>
        <w:rPr>
          <w:rStyle w:val="CharSClsNo"/>
        </w:rPr>
        <w:t>29</w:t>
      </w:r>
      <w:r>
        <w:t>.</w:t>
      </w:r>
      <w:r>
        <w:tab/>
        <w:t>Continuation of debentures issued</w:t>
      </w:r>
      <w:bookmarkEnd w:id="1752"/>
    </w:p>
    <w:p>
      <w:pPr>
        <w:pStyle w:val="ySubsection"/>
        <w:spacing w:before="120"/>
      </w:pPr>
      <w:r>
        <w:tab/>
      </w:r>
      <w:r>
        <w:tab/>
        <w:t>If a continuing authority has — </w:t>
      </w:r>
    </w:p>
    <w:p>
      <w:pPr>
        <w:pStyle w:val="yIndenta"/>
      </w:pPr>
      <w:r>
        <w:tab/>
        <w:t>(a)</w:t>
      </w:r>
      <w:r>
        <w:tab/>
        <w:t>issued a debenture under Part XXVI of the former provisions; and</w:t>
      </w:r>
    </w:p>
    <w:p>
      <w:pPr>
        <w:pStyle w:val="yIndenta"/>
        <w:keepNext/>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outlineLvl w:val="0"/>
      </w:pPr>
      <w:bookmarkStart w:id="1753" w:name="_Toc462409938"/>
      <w:r>
        <w:rPr>
          <w:rStyle w:val="CharSClsNo"/>
        </w:rPr>
        <w:t>30</w:t>
      </w:r>
      <w:r>
        <w:t>.</w:t>
      </w:r>
      <w:r>
        <w:tab/>
        <w:t>Reserve accounts</w:t>
      </w:r>
      <w:bookmarkEnd w:id="1753"/>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outlineLvl w:val="0"/>
      </w:pPr>
      <w:bookmarkStart w:id="1754" w:name="_Toc462409939"/>
      <w:r>
        <w:rPr>
          <w:rStyle w:val="CharSClsNo"/>
        </w:rPr>
        <w:t>31</w:t>
      </w:r>
      <w:r>
        <w:t>.</w:t>
      </w:r>
      <w:r>
        <w:tab/>
        <w:t>Borrowing: loan polls</w:t>
      </w:r>
      <w:bookmarkEnd w:id="1754"/>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Heading5"/>
        <w:spacing w:before="180"/>
        <w:outlineLvl w:val="0"/>
      </w:pPr>
      <w:bookmarkStart w:id="1755" w:name="_Toc462409940"/>
      <w:r>
        <w:rPr>
          <w:rStyle w:val="CharSClsNo"/>
        </w:rPr>
        <w:t>32</w:t>
      </w:r>
      <w:r>
        <w:t>.</w:t>
      </w:r>
      <w:r>
        <w:tab/>
        <w:t>Auditors’ appointments</w:t>
      </w:r>
      <w:bookmarkEnd w:id="1755"/>
    </w:p>
    <w:p>
      <w:pPr>
        <w:pStyle w:val="ySubsection"/>
        <w:spacing w:before="140"/>
      </w:pPr>
      <w:r>
        <w:tab/>
      </w:r>
      <w:r>
        <w:tab/>
        <w:t>A person who was an auditor of a continuing authority immediately before the commencement day is to be regarded as having been appointed by the continuing authority under Part 7 and the provisions of that Part relating to the term of office of the auditor and the circumstances in which the appointment ceases to have effect apply to that appointment.</w:t>
      </w:r>
    </w:p>
    <w:p>
      <w:pPr>
        <w:pStyle w:val="yHeading4"/>
      </w:pPr>
      <w:bookmarkStart w:id="1756" w:name="_Toc448219656"/>
      <w:bookmarkStart w:id="1757" w:name="_Toc448224878"/>
      <w:bookmarkStart w:id="1758" w:name="_Toc451180115"/>
      <w:bookmarkStart w:id="1759" w:name="_Toc451431035"/>
      <w:bookmarkStart w:id="1760" w:name="_Toc455396985"/>
      <w:bookmarkStart w:id="1761" w:name="_Toc455397845"/>
      <w:bookmarkStart w:id="1762" w:name="_Toc456086928"/>
      <w:bookmarkStart w:id="1763" w:name="_Toc462409941"/>
      <w:r>
        <w:t>Subdivision 6</w:t>
      </w:r>
      <w:r>
        <w:rPr>
          <w:b w:val="0"/>
        </w:rPr>
        <w:t> </w:t>
      </w:r>
      <w:r>
        <w:t>— Former by-laws, uniform general by-laws and regulations</w:t>
      </w:r>
      <w:bookmarkEnd w:id="1756"/>
      <w:bookmarkEnd w:id="1757"/>
      <w:bookmarkEnd w:id="1758"/>
      <w:bookmarkEnd w:id="1759"/>
      <w:bookmarkEnd w:id="1760"/>
      <w:bookmarkEnd w:id="1761"/>
      <w:bookmarkEnd w:id="1762"/>
      <w:bookmarkEnd w:id="1763"/>
    </w:p>
    <w:p>
      <w:pPr>
        <w:pStyle w:val="yFootnoteheading"/>
        <w:spacing w:after="60"/>
      </w:pPr>
      <w:r>
        <w:tab/>
        <w:t>[Heading inserted by No. 2 of 2012 s. 31.]</w:t>
      </w:r>
    </w:p>
    <w:p>
      <w:pPr>
        <w:pStyle w:val="yHeading5"/>
        <w:spacing w:before="180"/>
        <w:outlineLvl w:val="0"/>
      </w:pPr>
      <w:bookmarkStart w:id="1764" w:name="_Toc462409942"/>
      <w:r>
        <w:rPr>
          <w:rStyle w:val="CharSClsNo"/>
        </w:rPr>
        <w:t>33</w:t>
      </w:r>
      <w:r>
        <w:t>.</w:t>
      </w:r>
      <w:r>
        <w:tab/>
        <w:t>Former by</w:t>
      </w:r>
      <w:r>
        <w:noBreakHyphen/>
        <w:t>laws continued</w:t>
      </w:r>
      <w:bookmarkEnd w:id="1764"/>
    </w:p>
    <w:p>
      <w:pPr>
        <w:pStyle w:val="ySubsection"/>
        <w:spacing w:before="140"/>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spacing w:before="140"/>
      </w:pPr>
      <w:r>
        <w:tab/>
        <w:t>(2)</w:t>
      </w:r>
      <w:r>
        <w:tab/>
        <w:t>Without limiting Part 3, Division 2, Subdivision 2, any provision relating to the exercise of the former power to make by</w:t>
      </w:r>
      <w:r>
        <w:noBreakHyphen/>
        <w:t>laws applies to the exercise of the power to make local laws.</w:t>
      </w:r>
    </w:p>
    <w:p>
      <w:pPr>
        <w:pStyle w:val="ySubsection"/>
        <w:spacing w:before="140"/>
      </w:pPr>
      <w:r>
        <w:tab/>
        <w:t>(3)</w:t>
      </w:r>
      <w:r>
        <w:tab/>
        <w:t>On the commencement day a by</w:t>
      </w:r>
      <w:r>
        <w:noBreakHyphen/>
        <w:t>law of a continuing authority under another Act (other than the former provisions) becomes a local law of the continuing authority under that other Act.</w:t>
      </w:r>
    </w:p>
    <w:p>
      <w:pPr>
        <w:pStyle w:val="ySubsection"/>
        <w:spacing w:before="140"/>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spacing w:before="140"/>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by No. 14 of 1996 s. 4; No. 49 of 2004 s. 73(2).]</w:t>
      </w:r>
    </w:p>
    <w:p>
      <w:pPr>
        <w:pStyle w:val="yHeading5"/>
        <w:outlineLvl w:val="0"/>
      </w:pPr>
      <w:bookmarkStart w:id="1765" w:name="_Toc462409943"/>
      <w:r>
        <w:rPr>
          <w:rStyle w:val="CharSClsNo"/>
        </w:rPr>
        <w:t>34</w:t>
      </w:r>
      <w:r>
        <w:t>.</w:t>
      </w:r>
      <w:r>
        <w:tab/>
        <w:t>First periodic review as a local law</w:t>
      </w:r>
      <w:bookmarkEnd w:id="1765"/>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outlineLvl w:val="0"/>
      </w:pPr>
      <w:bookmarkStart w:id="1766" w:name="_Toc462409944"/>
      <w:r>
        <w:rPr>
          <w:rStyle w:val="CharSClsNo"/>
        </w:rPr>
        <w:t>35</w:t>
      </w:r>
      <w:r>
        <w:t>.</w:t>
      </w:r>
      <w:r>
        <w:tab/>
        <w:t>Former uniform general by</w:t>
      </w:r>
      <w:r>
        <w:noBreakHyphen/>
        <w:t>laws continued</w:t>
      </w:r>
      <w:bookmarkEnd w:id="1766"/>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outlineLvl w:val="0"/>
      </w:pPr>
      <w:bookmarkStart w:id="1767" w:name="_Toc462409945"/>
      <w:r>
        <w:rPr>
          <w:rStyle w:val="CharSClsNo"/>
        </w:rPr>
        <w:t>36</w:t>
      </w:r>
      <w:r>
        <w:t>.</w:t>
      </w:r>
      <w:r>
        <w:tab/>
        <w:t>Former regulations continued</w:t>
      </w:r>
      <w:bookmarkEnd w:id="1767"/>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4"/>
      </w:pPr>
      <w:bookmarkStart w:id="1768" w:name="_Toc448219661"/>
      <w:bookmarkStart w:id="1769" w:name="_Toc448224883"/>
      <w:bookmarkStart w:id="1770" w:name="_Toc451180120"/>
      <w:bookmarkStart w:id="1771" w:name="_Toc451431040"/>
      <w:bookmarkStart w:id="1772" w:name="_Toc455396990"/>
      <w:bookmarkStart w:id="1773" w:name="_Toc455397850"/>
      <w:bookmarkStart w:id="1774" w:name="_Toc456086933"/>
      <w:bookmarkStart w:id="1775" w:name="_Toc462409946"/>
      <w:r>
        <w:t>Subdivision 7</w:t>
      </w:r>
      <w:r>
        <w:rPr>
          <w:b w:val="0"/>
        </w:rPr>
        <w:t> </w:t>
      </w:r>
      <w:r>
        <w:t>— </w:t>
      </w:r>
      <w:r>
        <w:rPr>
          <w:rStyle w:val="CharSDivText"/>
        </w:rPr>
        <w:t>Miscellaneous</w:t>
      </w:r>
      <w:bookmarkEnd w:id="1768"/>
      <w:bookmarkEnd w:id="1769"/>
      <w:bookmarkEnd w:id="1770"/>
      <w:bookmarkEnd w:id="1771"/>
      <w:bookmarkEnd w:id="1772"/>
      <w:bookmarkEnd w:id="1773"/>
      <w:bookmarkEnd w:id="1774"/>
      <w:bookmarkEnd w:id="1775"/>
    </w:p>
    <w:p>
      <w:pPr>
        <w:pStyle w:val="yFootnoteheading"/>
        <w:spacing w:after="60"/>
      </w:pPr>
      <w:r>
        <w:tab/>
        <w:t>[Heading inserted by No. 2 of 2012 s. 32.]</w:t>
      </w:r>
    </w:p>
    <w:p>
      <w:pPr>
        <w:pStyle w:val="yHeading5"/>
        <w:outlineLvl w:val="0"/>
      </w:pPr>
      <w:bookmarkStart w:id="1776" w:name="_Toc462409947"/>
      <w:r>
        <w:rPr>
          <w:rStyle w:val="CharSClsNo"/>
        </w:rPr>
        <w:t>37</w:t>
      </w:r>
      <w:r>
        <w:t>.</w:t>
      </w:r>
      <w:r>
        <w:tab/>
        <w:t>Townsites</w:t>
      </w:r>
      <w:bookmarkEnd w:id="1776"/>
    </w:p>
    <w:p>
      <w:pPr>
        <w:pStyle w:val="ySubsection"/>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outlineLvl w:val="0"/>
      </w:pPr>
      <w:bookmarkStart w:id="1777" w:name="_Toc462409948"/>
      <w:r>
        <w:rPr>
          <w:rStyle w:val="CharSClsNo"/>
        </w:rPr>
        <w:t>38</w:t>
      </w:r>
      <w:r>
        <w:t>.</w:t>
      </w:r>
      <w:r>
        <w:tab/>
        <w:t>Gates across thoroughfares in cities or towns</w:t>
      </w:r>
      <w:bookmarkEnd w:id="1777"/>
    </w:p>
    <w:p>
      <w:pPr>
        <w:pStyle w:val="ySubsection"/>
      </w:pPr>
      <w:r>
        <w:tab/>
        <w:t>(1)</w:t>
      </w:r>
      <w:r>
        <w:tab/>
        <w:t>A licence under section 333 of the former provisions continues in force after the repeal of that section if it would have done so had that section not been repealed, and that section (in subclause (2) called the</w:t>
      </w:r>
      <w:r>
        <w:rPr>
          <w:rStyle w:val="CharDefText"/>
        </w:rPr>
        <w:t xml:space="preserve"> former section</w:t>
      </w:r>
      <w:r>
        <w:t>) continues in operation after its repeal for the purposes of the cancellation of such a licence.</w:t>
      </w:r>
    </w:p>
    <w:p>
      <w:pPr>
        <w:pStyle w:val="ySubsection"/>
      </w:pPr>
      <w:r>
        <w:tab/>
        <w:t>(2)</w:t>
      </w:r>
      <w:r>
        <w:tab/>
        <w:t>Section 9.65(1) applies to an order under the former section cancelling the order under which the licence was granted.</w:t>
      </w:r>
    </w:p>
    <w:p>
      <w:pPr>
        <w:pStyle w:val="yHeading5"/>
        <w:keepLines w:val="0"/>
        <w:outlineLvl w:val="0"/>
      </w:pPr>
      <w:bookmarkStart w:id="1778" w:name="_Toc462409949"/>
      <w:r>
        <w:rPr>
          <w:rStyle w:val="CharSClsNo"/>
        </w:rPr>
        <w:t>39</w:t>
      </w:r>
      <w:r>
        <w:t>.</w:t>
      </w:r>
      <w:r>
        <w:tab/>
        <w:t xml:space="preserve">Deferments under </w:t>
      </w:r>
      <w:r>
        <w:rPr>
          <w:i/>
          <w:iCs/>
        </w:rPr>
        <w:t>Rates and Charges (Rebates and Deferments) Act 1992</w:t>
      </w:r>
      <w:bookmarkEnd w:id="1778"/>
    </w:p>
    <w:p>
      <w:pPr>
        <w:pStyle w:val="ySubsection"/>
        <w:rPr>
          <w:spacing w:val="-2"/>
        </w:rPr>
      </w:pPr>
      <w:r>
        <w:tab/>
      </w:r>
      <w:r>
        <w:tab/>
        <w:t xml:space="preserve">The </w:t>
      </w:r>
      <w:r>
        <w:rPr>
          <w:i/>
        </w:rPr>
        <w:t>Rates and Charges (Rebates and Deferments) Act 1992</w:t>
      </w:r>
      <w:r>
        <w:t xml:space="preserve"> continues to apply to the payment of an amount that had been deferred under the </w:t>
      </w:r>
      <w:r>
        <w:rPr>
          <w:spacing w:val="-2"/>
        </w:rPr>
        <w:t>former provisions if, under those provisions, it applied to that payment.</w:t>
      </w:r>
    </w:p>
    <w:p>
      <w:pPr>
        <w:pStyle w:val="yHeading5"/>
        <w:outlineLvl w:val="0"/>
      </w:pPr>
      <w:bookmarkStart w:id="1779" w:name="_Toc462409950"/>
      <w:r>
        <w:rPr>
          <w:rStyle w:val="CharSClsNo"/>
        </w:rPr>
        <w:t>40</w:t>
      </w:r>
      <w:r>
        <w:t>.</w:t>
      </w:r>
      <w:r>
        <w:tab/>
        <w:t>Commercial enterprises</w:t>
      </w:r>
      <w:bookmarkEnd w:id="1779"/>
    </w:p>
    <w:p>
      <w:pPr>
        <w:pStyle w:val="ySubsection"/>
        <w:keepNext/>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outlineLvl w:val="0"/>
      </w:pPr>
      <w:bookmarkStart w:id="1780" w:name="_Toc462409951"/>
      <w:r>
        <w:rPr>
          <w:rStyle w:val="CharSClsNo"/>
        </w:rPr>
        <w:t>41</w:t>
      </w:r>
      <w:r>
        <w:t>.</w:t>
      </w:r>
      <w:r>
        <w:tab/>
        <w:t>Evidence in proceedings under former provisions</w:t>
      </w:r>
      <w:bookmarkEnd w:id="1780"/>
    </w:p>
    <w:p>
      <w:pPr>
        <w:pStyle w:val="ySubsection"/>
        <w:spacing w:before="120"/>
      </w:pPr>
      <w:r>
        <w:tab/>
      </w:r>
      <w:r>
        <w:tab/>
        <w:t>The provisions in Part XXVIII, Division 1, Subdivision B of the former provisions continue to apply in relation to legal and other proceedings about matters that arose under the former provisions before the commencement day.</w:t>
      </w:r>
    </w:p>
    <w:p>
      <w:pPr>
        <w:pStyle w:val="yHeading3"/>
        <w:rPr>
          <w:i/>
        </w:rPr>
      </w:pPr>
      <w:bookmarkStart w:id="1781" w:name="_Toc448219667"/>
      <w:bookmarkStart w:id="1782" w:name="_Toc448224889"/>
      <w:bookmarkStart w:id="1783" w:name="_Toc451180126"/>
      <w:bookmarkStart w:id="1784" w:name="_Toc451431046"/>
      <w:bookmarkStart w:id="1785" w:name="_Toc455396996"/>
      <w:bookmarkStart w:id="1786" w:name="_Toc455397856"/>
      <w:bookmarkStart w:id="1787" w:name="_Toc456086939"/>
      <w:bookmarkStart w:id="1788" w:name="_Toc462409952"/>
      <w:r>
        <w:rPr>
          <w:rStyle w:val="CharSDivNo"/>
        </w:rPr>
        <w:t>Division 2</w:t>
      </w:r>
      <w:r>
        <w:rPr>
          <w:b w:val="0"/>
        </w:rPr>
        <w:t> — </w:t>
      </w:r>
      <w:r>
        <w:rPr>
          <w:rStyle w:val="CharSDivText"/>
        </w:rPr>
        <w:t xml:space="preserve">Provisions for the </w:t>
      </w:r>
      <w:r>
        <w:rPr>
          <w:rStyle w:val="CharSDivText"/>
          <w:i/>
        </w:rPr>
        <w:t>Local Government Amendment Act 2012</w:t>
      </w:r>
      <w:bookmarkEnd w:id="1781"/>
      <w:bookmarkEnd w:id="1782"/>
      <w:bookmarkEnd w:id="1783"/>
      <w:bookmarkEnd w:id="1784"/>
      <w:bookmarkEnd w:id="1785"/>
      <w:bookmarkEnd w:id="1786"/>
      <w:bookmarkEnd w:id="1787"/>
      <w:bookmarkEnd w:id="1788"/>
    </w:p>
    <w:p>
      <w:pPr>
        <w:pStyle w:val="yFootnoteheading"/>
        <w:spacing w:after="60"/>
      </w:pPr>
      <w:r>
        <w:tab/>
        <w:t>[Heading inserted by No. 2 of 2012 s. 33.]</w:t>
      </w:r>
    </w:p>
    <w:p>
      <w:pPr>
        <w:pStyle w:val="yHeading5"/>
      </w:pPr>
      <w:bookmarkStart w:id="1789" w:name="_Toc462409953"/>
      <w:r>
        <w:rPr>
          <w:rStyle w:val="CharSClsNo"/>
        </w:rPr>
        <w:t>42</w:t>
      </w:r>
      <w:r>
        <w:t>.</w:t>
      </w:r>
      <w:r>
        <w:tab/>
        <w:t>Term used: amending Act</w:t>
      </w:r>
      <w:bookmarkEnd w:id="1789"/>
    </w:p>
    <w:p>
      <w:pPr>
        <w:pStyle w:val="ySubsection"/>
      </w:pPr>
      <w:r>
        <w:tab/>
      </w:r>
      <w:r>
        <w:tab/>
        <w:t xml:space="preserve">In this Division — </w:t>
      </w:r>
    </w:p>
    <w:p>
      <w:pPr>
        <w:pStyle w:val="yDefstart"/>
        <w:rPr>
          <w:b/>
        </w:rPr>
      </w:pPr>
      <w:r>
        <w:tab/>
      </w:r>
      <w:r>
        <w:rPr>
          <w:rStyle w:val="CharDefText"/>
        </w:rPr>
        <w:t>amending Act</w:t>
      </w:r>
      <w:r>
        <w:t xml:space="preserve"> means the </w:t>
      </w:r>
      <w:r>
        <w:rPr>
          <w:i/>
        </w:rPr>
        <w:t>Local Government Amendment Act 2012</w:t>
      </w:r>
      <w:r>
        <w:rPr>
          <w:b/>
        </w:rPr>
        <w:t>.</w:t>
      </w:r>
    </w:p>
    <w:p>
      <w:pPr>
        <w:pStyle w:val="yFootnotesection"/>
      </w:pPr>
      <w:r>
        <w:tab/>
        <w:t>[Clause 42 inserted by No. 2 of 2012 s. 33.]</w:t>
      </w:r>
    </w:p>
    <w:p>
      <w:pPr>
        <w:pStyle w:val="yHeading5"/>
      </w:pPr>
      <w:bookmarkStart w:id="1790" w:name="_Toc462409954"/>
      <w:r>
        <w:rPr>
          <w:rStyle w:val="CharSClsNo"/>
        </w:rPr>
        <w:t>43</w:t>
      </w:r>
      <w:r>
        <w:t>.</w:t>
      </w:r>
      <w:r>
        <w:tab/>
        <w:t>Saving provisions for CEOs</w:t>
      </w:r>
      <w:bookmarkEnd w:id="1790"/>
    </w:p>
    <w:p>
      <w:pPr>
        <w:pStyle w:val="ySubsection"/>
      </w:pPr>
      <w:r>
        <w:tab/>
        <w:t>(1)</w:t>
      </w:r>
      <w:r>
        <w:tab/>
        <w:t xml:space="preserve">In this clause — </w:t>
      </w:r>
    </w:p>
    <w:p>
      <w:pPr>
        <w:pStyle w:val="yDefstart"/>
      </w:pPr>
      <w:r>
        <w:tab/>
      </w:r>
      <w:r>
        <w:rPr>
          <w:rStyle w:val="CharDefText"/>
        </w:rPr>
        <w:t>preserved CEO</w:t>
      </w:r>
      <w:r>
        <w:t>, in relation to a local government, means a person who is employed, other than in an acting or temporary capacity, as the CEO of the local government on 19 October 2011.</w:t>
      </w:r>
    </w:p>
    <w:p>
      <w:pPr>
        <w:pStyle w:val="ySubsection"/>
      </w:pPr>
      <w:r>
        <w:tab/>
        <w:t>(2)</w:t>
      </w:r>
      <w:r>
        <w:tab/>
        <w:t xml:space="preserve">Section 5.39(7) does not apply in respect of — </w:t>
      </w:r>
    </w:p>
    <w:p>
      <w:pPr>
        <w:pStyle w:val="yIndenta"/>
      </w:pPr>
      <w:r>
        <w:tab/>
        <w:t>(a)</w:t>
      </w:r>
      <w:r>
        <w:tab/>
        <w:t xml:space="preserve">a CEO for such time as that person is employed under a contract of employment — </w:t>
      </w:r>
    </w:p>
    <w:p>
      <w:pPr>
        <w:pStyle w:val="yIndenti0"/>
      </w:pPr>
      <w:r>
        <w:tab/>
        <w:t>(i)</w:t>
      </w:r>
      <w:r>
        <w:tab/>
        <w:t>that was entered into or renewed before section 13 of the amending Act came into operation; or</w:t>
      </w:r>
    </w:p>
    <w:p>
      <w:pPr>
        <w:pStyle w:val="yIndenti0"/>
      </w:pPr>
      <w:r>
        <w:tab/>
        <w:t>(ii)</w:t>
      </w:r>
      <w:r>
        <w:tab/>
        <w:t>for a position that was advertised before section 13 of the amending Act came into operation;</w:t>
      </w:r>
    </w:p>
    <w:p>
      <w:pPr>
        <w:pStyle w:val="yIndenti0"/>
      </w:pPr>
      <w:r>
        <w:tab/>
        <w:t>or</w:t>
      </w:r>
    </w:p>
    <w:p>
      <w:pPr>
        <w:pStyle w:val="yIndenta"/>
        <w:keepNext/>
      </w:pPr>
      <w:r>
        <w:tab/>
        <w:t>(b)</w:t>
      </w:r>
      <w:r>
        <w:tab/>
        <w:t xml:space="preserve">a preserved CEO of a local government if — </w:t>
      </w:r>
    </w:p>
    <w:p>
      <w:pPr>
        <w:pStyle w:val="yIndenti0"/>
      </w:pPr>
      <w:r>
        <w:tab/>
        <w:t>(i)</w:t>
      </w:r>
      <w:r>
        <w:tab/>
        <w:t xml:space="preserve">the remuneration paid or provided to the CEO on 19 October 2011 under a contract of employment was more than the amount recommended by the Salaries and Allowances Tribunal under the </w:t>
      </w:r>
      <w:r>
        <w:rPr>
          <w:i/>
        </w:rPr>
        <w:t>Salaries and Allowances Act 1975</w:t>
      </w:r>
      <w:r>
        <w:t xml:space="preserve"> section 7A to be paid or provided to the CEO at that time; and</w:t>
      </w:r>
    </w:p>
    <w:p>
      <w:pPr>
        <w:pStyle w:val="yIndenti0"/>
      </w:pPr>
      <w:r>
        <w:tab/>
        <w:t>(ii)</w:t>
      </w:r>
      <w:r>
        <w:tab/>
        <w:t>the CEO continues to be employed as the CEO of that local government.</w:t>
      </w:r>
    </w:p>
    <w:p>
      <w:pPr>
        <w:pStyle w:val="ySubsection"/>
      </w:pPr>
      <w:r>
        <w:tab/>
        <w:t>(3)</w:t>
      </w:r>
      <w:r>
        <w:tab/>
        <w:t>Section 5.39(8) does not apply to a local government that is renewing a contract of employment with its preserved CEO in the circumstances set out in subsection (2)(b).</w:t>
      </w:r>
    </w:p>
    <w:p>
      <w:pPr>
        <w:pStyle w:val="ySubsection"/>
      </w:pPr>
      <w:r>
        <w:tab/>
        <w:t>(4)</w:t>
      </w:r>
      <w:r>
        <w:tab/>
        <w:t xml:space="preserve">Before a local government renews a contract with its preserved CEO in circumstances set out in subsection (2)(b), the local government must take into account any determination by the Salaries and Allowances Tribunal under the </w:t>
      </w:r>
      <w:r>
        <w:rPr>
          <w:i/>
        </w:rPr>
        <w:t>Salaries and Allowances Act 1975</w:t>
      </w:r>
      <w:r>
        <w:t xml:space="preserve"> section 7A as to the remuneration to be paid or provided to a CEO of a local government that is of a comparable size and location.</w:t>
      </w:r>
    </w:p>
    <w:p>
      <w:pPr>
        <w:pStyle w:val="yFootnotesection"/>
      </w:pPr>
      <w:r>
        <w:tab/>
        <w:t>[Clause 43 inserted by No. 2 of 2012 s. 33.]</w:t>
      </w:r>
    </w:p>
    <w:p>
      <w:pPr>
        <w:pStyle w:val="yHeading5"/>
      </w:pPr>
      <w:bookmarkStart w:id="1791" w:name="_Toc462409955"/>
      <w:r>
        <w:rPr>
          <w:rStyle w:val="CharSClsNo"/>
        </w:rPr>
        <w:t>44</w:t>
      </w:r>
      <w:r>
        <w:t>.</w:t>
      </w:r>
      <w:r>
        <w:tab/>
        <w:t>Section 6.14(1) does not apply to existing investments</w:t>
      </w:r>
      <w:bookmarkEnd w:id="1791"/>
    </w:p>
    <w:p>
      <w:pPr>
        <w:pStyle w:val="ySubsection"/>
      </w:pPr>
      <w:r>
        <w:tab/>
      </w:r>
      <w:r>
        <w:tab/>
        <w:t xml:space="preserve">Section 6.14(1) as in force immediately before the coming into operation of section 19(1) of the amending Act (the </w:t>
      </w:r>
      <w:r>
        <w:rPr>
          <w:rStyle w:val="CharDefText"/>
        </w:rPr>
        <w:t>amending provision</w:t>
      </w:r>
      <w:r>
        <w:t>) continues to operate in respect of any investment made under section 6.14(1) before the coming into operation of the amending provision but does not operate so as to allow any reinvestment under that provision.</w:t>
      </w:r>
    </w:p>
    <w:p>
      <w:pPr>
        <w:pStyle w:val="yFootnotesection"/>
      </w:pPr>
      <w:r>
        <w:tab/>
        <w:t>[Clause 44 inserted by No. 2 of 2012 s. 33.]</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pacing w:before="240"/>
        <w:sectPr>
          <w:headerReference w:type="even" r:id="rId30"/>
          <w:headerReference w:type="default" r:id="rId31"/>
          <w:pgSz w:w="11907" w:h="16840" w:code="9"/>
          <w:pgMar w:top="2376" w:right="2405" w:bottom="3542" w:left="2405" w:header="706" w:footer="3380" w:gutter="0"/>
          <w:cols w:space="720"/>
          <w:noEndnote/>
          <w:docGrid w:linePitch="326"/>
        </w:sectPr>
      </w:pPr>
    </w:p>
    <w:p>
      <w:pPr>
        <w:pStyle w:val="nHeading2"/>
        <w:outlineLvl w:val="0"/>
      </w:pPr>
      <w:bookmarkStart w:id="1792" w:name="_Toc448219671"/>
      <w:bookmarkStart w:id="1793" w:name="_Toc448224893"/>
      <w:bookmarkStart w:id="1794" w:name="_Toc451180130"/>
      <w:bookmarkStart w:id="1795" w:name="_Toc451431050"/>
      <w:bookmarkStart w:id="1796" w:name="_Toc455397000"/>
      <w:bookmarkStart w:id="1797" w:name="_Toc455397860"/>
      <w:bookmarkStart w:id="1798" w:name="_Toc456086943"/>
      <w:bookmarkStart w:id="1799" w:name="_Toc462409956"/>
      <w:r>
        <w:t>Notes</w:t>
      </w:r>
      <w:bookmarkEnd w:id="1792"/>
      <w:bookmarkEnd w:id="1793"/>
      <w:bookmarkEnd w:id="1794"/>
      <w:bookmarkEnd w:id="1795"/>
      <w:bookmarkEnd w:id="1796"/>
      <w:bookmarkEnd w:id="1797"/>
      <w:bookmarkEnd w:id="1798"/>
      <w:bookmarkEnd w:id="1799"/>
    </w:p>
    <w:p>
      <w:pPr>
        <w:pStyle w:val="nSubsection"/>
      </w:pPr>
      <w:r>
        <w:rPr>
          <w:vertAlign w:val="superscript"/>
        </w:rPr>
        <w:t>1</w:t>
      </w:r>
      <w:r>
        <w:tab/>
        <w:t>This is a compilation of the</w:t>
      </w:r>
      <w:r>
        <w:rPr>
          <w:i/>
        </w:rPr>
        <w:t xml:space="preserve"> Local Government Act 1995</w:t>
      </w:r>
      <w:r>
        <w:t xml:space="preserve"> and includes the amendments made by the other written laws referred to in the following table </w:t>
      </w:r>
      <w:r>
        <w:rPr>
          <w:vertAlign w:val="superscript"/>
        </w:rPr>
        <w:t>1a, </w:t>
      </w:r>
      <w:r>
        <w:rPr>
          <w:snapToGrid w:val="0"/>
          <w:vertAlign w:val="superscript"/>
        </w:rPr>
        <w:t>9, 10</w:t>
      </w:r>
      <w:r>
        <w:t>.  The table also contains information about any reprint.</w:t>
      </w:r>
    </w:p>
    <w:p>
      <w:pPr>
        <w:pStyle w:val="nHeading3"/>
      </w:pPr>
      <w:bookmarkStart w:id="1800" w:name="_Toc462409957"/>
      <w:r>
        <w:t>Compilation table</w:t>
      </w:r>
      <w:bookmarkEnd w:id="1800"/>
    </w:p>
    <w:tbl>
      <w:tblPr>
        <w:tblW w:w="0" w:type="auto"/>
        <w:tblInd w:w="28" w:type="dxa"/>
        <w:tblLayout w:type="fixed"/>
        <w:tblCellMar>
          <w:left w:w="56" w:type="dxa"/>
          <w:right w:w="56" w:type="dxa"/>
        </w:tblCellMar>
        <w:tblLook w:val="0000" w:firstRow="0" w:lastRow="0" w:firstColumn="0" w:lastColumn="0" w:noHBand="0" w:noVBand="0"/>
      </w:tblPr>
      <w:tblGrid>
        <w:gridCol w:w="14"/>
        <w:gridCol w:w="14"/>
        <w:gridCol w:w="2410"/>
        <w:gridCol w:w="964"/>
        <w:gridCol w:w="14"/>
        <w:gridCol w:w="14"/>
        <w:gridCol w:w="1106"/>
        <w:gridCol w:w="14"/>
        <w:gridCol w:w="14"/>
        <w:gridCol w:w="2524"/>
        <w:gridCol w:w="13"/>
        <w:gridCol w:w="16"/>
      </w:tblGrid>
      <w:tr>
        <w:trPr>
          <w:gridAfter w:val="2"/>
          <w:wAfter w:w="29" w:type="dxa"/>
          <w:cantSplit/>
          <w:tblHeader/>
        </w:trPr>
        <w:tc>
          <w:tcPr>
            <w:tcW w:w="2438" w:type="dxa"/>
            <w:gridSpan w:val="3"/>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96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3"/>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gridSpan w:val="3"/>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2"/>
          <w:wAfter w:w="29" w:type="dxa"/>
          <w:cantSplit/>
        </w:trPr>
        <w:tc>
          <w:tcPr>
            <w:tcW w:w="2438" w:type="dxa"/>
            <w:gridSpan w:val="3"/>
          </w:tcPr>
          <w:p>
            <w:pPr>
              <w:pStyle w:val="nTable"/>
              <w:spacing w:after="40"/>
              <w:ind w:right="170"/>
            </w:pPr>
            <w:r>
              <w:rPr>
                <w:i/>
              </w:rPr>
              <w:t>Local Government Act 1995</w:t>
            </w:r>
          </w:p>
        </w:tc>
        <w:tc>
          <w:tcPr>
            <w:tcW w:w="964" w:type="dxa"/>
          </w:tcPr>
          <w:p>
            <w:pPr>
              <w:pStyle w:val="nTable"/>
              <w:spacing w:after="40"/>
            </w:pPr>
            <w:r>
              <w:t>74 of 1995</w:t>
            </w:r>
          </w:p>
        </w:tc>
        <w:tc>
          <w:tcPr>
            <w:tcW w:w="1134" w:type="dxa"/>
            <w:gridSpan w:val="3"/>
          </w:tcPr>
          <w:p>
            <w:pPr>
              <w:pStyle w:val="nTable"/>
              <w:spacing w:after="40"/>
            </w:pPr>
            <w:r>
              <w:t>9 Jan 1996</w:t>
            </w:r>
          </w:p>
        </w:tc>
        <w:tc>
          <w:tcPr>
            <w:tcW w:w="2552" w:type="dxa"/>
            <w:gridSpan w:val="3"/>
          </w:tcPr>
          <w:p>
            <w:pPr>
              <w:pStyle w:val="nTable"/>
              <w:spacing w:after="40"/>
            </w:pPr>
            <w:r>
              <w:t>1 Jul 1996 (see s. 1.2)</w:t>
            </w:r>
          </w:p>
        </w:tc>
      </w:tr>
      <w:tr>
        <w:trPr>
          <w:gridAfter w:val="2"/>
          <w:wAfter w:w="29" w:type="dxa"/>
          <w:cantSplit/>
        </w:trPr>
        <w:tc>
          <w:tcPr>
            <w:tcW w:w="4536" w:type="dxa"/>
            <w:gridSpan w:val="7"/>
          </w:tcPr>
          <w:p>
            <w:pPr>
              <w:pStyle w:val="nTable"/>
              <w:spacing w:after="40"/>
              <w:ind w:right="170"/>
            </w:pPr>
            <w:r>
              <w:rPr>
                <w:i/>
              </w:rPr>
              <w:t xml:space="preserve">Local Government Act (Schedule 3.1) Amendment Regulations 1996 </w:t>
            </w:r>
            <w:r>
              <w:t xml:space="preserve">published in </w:t>
            </w:r>
            <w:r>
              <w:rPr>
                <w:i/>
              </w:rPr>
              <w:t>Gazette</w:t>
            </w:r>
            <w:r>
              <w:t xml:space="preserve"> 24 Jun 1996 p. 2861</w:t>
            </w:r>
            <w:r>
              <w:noBreakHyphen/>
              <w:t>2</w:t>
            </w:r>
          </w:p>
        </w:tc>
        <w:tc>
          <w:tcPr>
            <w:tcW w:w="2552" w:type="dxa"/>
            <w:gridSpan w:val="3"/>
          </w:tcPr>
          <w:p>
            <w:pPr>
              <w:pStyle w:val="nTable"/>
              <w:spacing w:after="40"/>
            </w:pPr>
            <w:r>
              <w:t>1 Jul 1996 (see r. 2) </w:t>
            </w:r>
          </w:p>
        </w:tc>
      </w:tr>
      <w:tr>
        <w:trPr>
          <w:gridAfter w:val="2"/>
          <w:wAfter w:w="29" w:type="dxa"/>
          <w:cantSplit/>
        </w:trPr>
        <w:tc>
          <w:tcPr>
            <w:tcW w:w="2438" w:type="dxa"/>
            <w:gridSpan w:val="3"/>
          </w:tcPr>
          <w:p>
            <w:pPr>
              <w:pStyle w:val="nTable"/>
              <w:spacing w:after="40"/>
              <w:ind w:right="170"/>
            </w:pPr>
            <w:r>
              <w:rPr>
                <w:i/>
              </w:rPr>
              <w:t xml:space="preserve">Local Government (Consequential Amendments) Act 1996 </w:t>
            </w:r>
            <w:r>
              <w:t>s. 4 </w:t>
            </w:r>
            <w:r>
              <w:rPr>
                <w:vertAlign w:val="superscript"/>
              </w:rPr>
              <w:t>11</w:t>
            </w:r>
          </w:p>
        </w:tc>
        <w:tc>
          <w:tcPr>
            <w:tcW w:w="964" w:type="dxa"/>
          </w:tcPr>
          <w:p>
            <w:pPr>
              <w:pStyle w:val="nTable"/>
              <w:spacing w:after="40"/>
            </w:pPr>
            <w:r>
              <w:t>14 of 1996</w:t>
            </w:r>
          </w:p>
        </w:tc>
        <w:tc>
          <w:tcPr>
            <w:tcW w:w="1134" w:type="dxa"/>
            <w:gridSpan w:val="3"/>
          </w:tcPr>
          <w:p>
            <w:pPr>
              <w:pStyle w:val="nTable"/>
              <w:spacing w:after="40"/>
            </w:pPr>
            <w:r>
              <w:t>28 Jun 1996</w:t>
            </w:r>
          </w:p>
        </w:tc>
        <w:tc>
          <w:tcPr>
            <w:tcW w:w="2552" w:type="dxa"/>
            <w:gridSpan w:val="3"/>
          </w:tcPr>
          <w:p>
            <w:pPr>
              <w:pStyle w:val="nTable"/>
              <w:spacing w:after="40"/>
            </w:pPr>
            <w:r>
              <w:t>1 Jul 1996 (see s. 2)</w:t>
            </w:r>
          </w:p>
        </w:tc>
      </w:tr>
      <w:tr>
        <w:trPr>
          <w:gridAfter w:val="2"/>
          <w:wAfter w:w="29" w:type="dxa"/>
          <w:cantSplit/>
        </w:trPr>
        <w:tc>
          <w:tcPr>
            <w:tcW w:w="4536" w:type="dxa"/>
            <w:gridSpan w:val="7"/>
          </w:tcPr>
          <w:p>
            <w:pPr>
              <w:pStyle w:val="nTable"/>
              <w:spacing w:after="40"/>
            </w:pPr>
            <w:r>
              <w:rPr>
                <w:i/>
              </w:rPr>
              <w:t xml:space="preserve">Local Government Act (Schedule 3.1) Amendment Regulations (No. 2) 1996 </w:t>
            </w:r>
            <w:r>
              <w:t xml:space="preserve">published in </w:t>
            </w:r>
            <w:r>
              <w:rPr>
                <w:i/>
              </w:rPr>
              <w:t>Gazette</w:t>
            </w:r>
            <w:r>
              <w:t xml:space="preserve"> 25 Oct 1996 p. 5647</w:t>
            </w:r>
          </w:p>
        </w:tc>
        <w:tc>
          <w:tcPr>
            <w:tcW w:w="2552" w:type="dxa"/>
            <w:gridSpan w:val="3"/>
          </w:tcPr>
          <w:p>
            <w:pPr>
              <w:pStyle w:val="nTable"/>
              <w:spacing w:after="40"/>
            </w:pPr>
            <w:r>
              <w:t>25 Oct 1996 </w:t>
            </w:r>
          </w:p>
        </w:tc>
      </w:tr>
      <w:tr>
        <w:trPr>
          <w:gridAfter w:val="2"/>
          <w:wAfter w:w="29" w:type="dxa"/>
          <w:cantSplit/>
        </w:trPr>
        <w:tc>
          <w:tcPr>
            <w:tcW w:w="2438" w:type="dxa"/>
            <w:gridSpan w:val="3"/>
          </w:tcPr>
          <w:p>
            <w:pPr>
              <w:pStyle w:val="nTable"/>
              <w:spacing w:after="40"/>
              <w:ind w:right="170"/>
            </w:pPr>
            <w:r>
              <w:rPr>
                <w:i/>
              </w:rPr>
              <w:t xml:space="preserve">Transfer of Land Amendment Act 1996 </w:t>
            </w:r>
            <w:r>
              <w:t>s. 153(1)</w:t>
            </w:r>
          </w:p>
        </w:tc>
        <w:tc>
          <w:tcPr>
            <w:tcW w:w="964" w:type="dxa"/>
          </w:tcPr>
          <w:p>
            <w:pPr>
              <w:pStyle w:val="nTable"/>
              <w:spacing w:after="40"/>
            </w:pPr>
            <w:r>
              <w:t>81 of 1996</w:t>
            </w:r>
          </w:p>
        </w:tc>
        <w:tc>
          <w:tcPr>
            <w:tcW w:w="1134" w:type="dxa"/>
            <w:gridSpan w:val="3"/>
          </w:tcPr>
          <w:p>
            <w:pPr>
              <w:pStyle w:val="nTable"/>
              <w:spacing w:after="40"/>
            </w:pPr>
            <w:r>
              <w:t>14 Nov 1996</w:t>
            </w:r>
          </w:p>
        </w:tc>
        <w:tc>
          <w:tcPr>
            <w:tcW w:w="2552" w:type="dxa"/>
            <w:gridSpan w:val="3"/>
          </w:tcPr>
          <w:p>
            <w:pPr>
              <w:pStyle w:val="nTable"/>
              <w:spacing w:after="40"/>
            </w:pPr>
            <w:r>
              <w:t>14 Nov 1996 (see s. 2(1))</w:t>
            </w:r>
          </w:p>
        </w:tc>
      </w:tr>
      <w:tr>
        <w:trPr>
          <w:gridAfter w:val="2"/>
          <w:wAfter w:w="29" w:type="dxa"/>
          <w:cantSplit/>
        </w:trPr>
        <w:tc>
          <w:tcPr>
            <w:tcW w:w="4536" w:type="dxa"/>
            <w:gridSpan w:val="7"/>
          </w:tcPr>
          <w:p>
            <w:pPr>
              <w:pStyle w:val="nTable"/>
              <w:spacing w:after="40"/>
            </w:pPr>
            <w:r>
              <w:rPr>
                <w:i/>
              </w:rPr>
              <w:t>Local Government Act (Schedule 3.1) Amendment Regulations 1997 </w:t>
            </w:r>
            <w:r>
              <w:t xml:space="preserve">published in </w:t>
            </w:r>
            <w:r>
              <w:rPr>
                <w:i/>
              </w:rPr>
              <w:t>Gazette</w:t>
            </w:r>
            <w:r>
              <w:t xml:space="preserve"> 29 Apr 1997 p. 2144</w:t>
            </w:r>
          </w:p>
        </w:tc>
        <w:tc>
          <w:tcPr>
            <w:tcW w:w="2552" w:type="dxa"/>
            <w:gridSpan w:val="3"/>
          </w:tcPr>
          <w:p>
            <w:pPr>
              <w:pStyle w:val="nTable"/>
              <w:spacing w:after="40"/>
            </w:pPr>
            <w:r>
              <w:t>29 Apr 1997</w:t>
            </w:r>
          </w:p>
        </w:tc>
      </w:tr>
      <w:tr>
        <w:trPr>
          <w:gridAfter w:val="2"/>
          <w:wAfter w:w="29" w:type="dxa"/>
          <w:cantSplit/>
        </w:trPr>
        <w:tc>
          <w:tcPr>
            <w:tcW w:w="2438" w:type="dxa"/>
            <w:gridSpan w:val="3"/>
          </w:tcPr>
          <w:p>
            <w:pPr>
              <w:pStyle w:val="nTable"/>
              <w:spacing w:after="40"/>
              <w:ind w:right="170"/>
            </w:pPr>
            <w:r>
              <w:rPr>
                <w:i/>
              </w:rPr>
              <w:t xml:space="preserve">Statutes (Repeals and Minor Amendments) Act 1997 </w:t>
            </w:r>
            <w:r>
              <w:t>s. 81</w:t>
            </w:r>
          </w:p>
        </w:tc>
        <w:tc>
          <w:tcPr>
            <w:tcW w:w="964" w:type="dxa"/>
          </w:tcPr>
          <w:p>
            <w:pPr>
              <w:pStyle w:val="nTable"/>
              <w:spacing w:after="40"/>
            </w:pPr>
            <w:r>
              <w:t>57 of 1997</w:t>
            </w:r>
          </w:p>
        </w:tc>
        <w:tc>
          <w:tcPr>
            <w:tcW w:w="1134" w:type="dxa"/>
            <w:gridSpan w:val="3"/>
          </w:tcPr>
          <w:p>
            <w:pPr>
              <w:pStyle w:val="nTable"/>
              <w:spacing w:after="40"/>
            </w:pPr>
            <w:r>
              <w:t>15 Dec 1997</w:t>
            </w:r>
          </w:p>
        </w:tc>
        <w:tc>
          <w:tcPr>
            <w:tcW w:w="2552" w:type="dxa"/>
            <w:gridSpan w:val="3"/>
          </w:tcPr>
          <w:p>
            <w:pPr>
              <w:pStyle w:val="nTable"/>
              <w:spacing w:after="40"/>
            </w:pPr>
            <w:r>
              <w:t>15 Dec 1997 (see s. 2(1))</w:t>
            </w:r>
          </w:p>
        </w:tc>
      </w:tr>
      <w:tr>
        <w:trPr>
          <w:gridAfter w:val="2"/>
          <w:wAfter w:w="29" w:type="dxa"/>
          <w:cantSplit/>
        </w:trPr>
        <w:tc>
          <w:tcPr>
            <w:tcW w:w="2438" w:type="dxa"/>
            <w:gridSpan w:val="3"/>
          </w:tcPr>
          <w:p>
            <w:pPr>
              <w:pStyle w:val="nTable"/>
              <w:spacing w:after="40"/>
              <w:ind w:right="170"/>
            </w:pPr>
            <w:r>
              <w:rPr>
                <w:i/>
              </w:rPr>
              <w:t>Local Government Amendment Act 1998 </w:t>
            </w:r>
            <w:r>
              <w:rPr>
                <w:vertAlign w:val="superscript"/>
              </w:rPr>
              <w:t>12, 13</w:t>
            </w:r>
          </w:p>
        </w:tc>
        <w:tc>
          <w:tcPr>
            <w:tcW w:w="964" w:type="dxa"/>
          </w:tcPr>
          <w:p>
            <w:pPr>
              <w:pStyle w:val="nTable"/>
              <w:spacing w:after="40"/>
            </w:pPr>
            <w:r>
              <w:t>1 of 1998</w:t>
            </w:r>
          </w:p>
        </w:tc>
        <w:tc>
          <w:tcPr>
            <w:tcW w:w="1134" w:type="dxa"/>
            <w:gridSpan w:val="3"/>
          </w:tcPr>
          <w:p>
            <w:pPr>
              <w:pStyle w:val="nTable"/>
              <w:spacing w:after="40"/>
            </w:pPr>
            <w:r>
              <w:t>26 Mar 1998</w:t>
            </w:r>
          </w:p>
        </w:tc>
        <w:tc>
          <w:tcPr>
            <w:tcW w:w="2552" w:type="dxa"/>
            <w:gridSpan w:val="3"/>
          </w:tcPr>
          <w:p>
            <w:pPr>
              <w:pStyle w:val="nTable"/>
              <w:spacing w:after="40"/>
            </w:pPr>
            <w:r>
              <w:t xml:space="preserve">Act other than s. 21: 26 Mar 1998 (see s. 2(1)); </w:t>
            </w:r>
            <w:r>
              <w:br/>
              <w:t>s. 21: 1 Jul 1998 (see s. 2(2))</w:t>
            </w:r>
          </w:p>
        </w:tc>
      </w:tr>
      <w:tr>
        <w:trPr>
          <w:gridAfter w:val="2"/>
          <w:wAfter w:w="29" w:type="dxa"/>
          <w:cantSplit/>
        </w:trPr>
        <w:tc>
          <w:tcPr>
            <w:tcW w:w="2438" w:type="dxa"/>
            <w:gridSpan w:val="3"/>
          </w:tcPr>
          <w:p>
            <w:pPr>
              <w:pStyle w:val="nTable"/>
              <w:spacing w:after="40"/>
              <w:ind w:right="170"/>
            </w:pPr>
            <w:r>
              <w:rPr>
                <w:i/>
              </w:rPr>
              <w:t>Local Government Amendment Act (No. 2) 1998</w:t>
            </w:r>
            <w:r>
              <w:t> </w:t>
            </w:r>
            <w:r>
              <w:rPr>
                <w:vertAlign w:val="superscript"/>
              </w:rPr>
              <w:t>14, 15</w:t>
            </w:r>
          </w:p>
        </w:tc>
        <w:tc>
          <w:tcPr>
            <w:tcW w:w="964" w:type="dxa"/>
          </w:tcPr>
          <w:p>
            <w:pPr>
              <w:pStyle w:val="nTable"/>
              <w:spacing w:after="40"/>
            </w:pPr>
            <w:r>
              <w:t>64 of 1998</w:t>
            </w:r>
          </w:p>
        </w:tc>
        <w:tc>
          <w:tcPr>
            <w:tcW w:w="1134" w:type="dxa"/>
            <w:gridSpan w:val="3"/>
          </w:tcPr>
          <w:p>
            <w:pPr>
              <w:pStyle w:val="nTable"/>
              <w:spacing w:after="40"/>
            </w:pPr>
            <w:r>
              <w:t>12 Jan 1999</w:t>
            </w:r>
          </w:p>
        </w:tc>
        <w:tc>
          <w:tcPr>
            <w:tcW w:w="2552" w:type="dxa"/>
            <w:gridSpan w:val="3"/>
          </w:tcPr>
          <w:p>
            <w:pPr>
              <w:pStyle w:val="nTable"/>
              <w:spacing w:after="40"/>
            </w:pPr>
            <w:r>
              <w:t>12 Jan 1999 (see s. 2)</w:t>
            </w:r>
          </w:p>
        </w:tc>
      </w:tr>
      <w:tr>
        <w:trPr>
          <w:gridAfter w:val="2"/>
          <w:wAfter w:w="29" w:type="dxa"/>
          <w:cantSplit/>
        </w:trPr>
        <w:tc>
          <w:tcPr>
            <w:tcW w:w="2438" w:type="dxa"/>
            <w:gridSpan w:val="3"/>
          </w:tcPr>
          <w:p>
            <w:pPr>
              <w:pStyle w:val="nTable"/>
              <w:spacing w:after="40"/>
              <w:ind w:right="170"/>
              <w:rPr>
                <w:i/>
              </w:rPr>
            </w:pPr>
            <w:smartTag w:uri="urn:schemas-microsoft-com:office:smarttags" w:element="place">
              <w:smartTag w:uri="urn:schemas-microsoft-com:office:smarttags" w:element="City">
                <w:r>
                  <w:rPr>
                    <w:i/>
                  </w:rPr>
                  <w:t>Perth</w:t>
                </w:r>
              </w:smartTag>
            </w:smartTag>
            <w:r>
              <w:rPr>
                <w:i/>
              </w:rPr>
              <w:t xml:space="preserve"> Parking Management (Consequential Provisions) Act 1999 </w:t>
            </w:r>
            <w:r>
              <w:t>s. 7(3) </w:t>
            </w:r>
            <w:r>
              <w:rPr>
                <w:vertAlign w:val="superscript"/>
              </w:rPr>
              <w:t>16</w:t>
            </w:r>
          </w:p>
        </w:tc>
        <w:tc>
          <w:tcPr>
            <w:tcW w:w="964" w:type="dxa"/>
          </w:tcPr>
          <w:p>
            <w:pPr>
              <w:pStyle w:val="nTable"/>
              <w:spacing w:after="40"/>
            </w:pPr>
            <w:r>
              <w:t>16 of 1999</w:t>
            </w:r>
          </w:p>
        </w:tc>
        <w:tc>
          <w:tcPr>
            <w:tcW w:w="1134" w:type="dxa"/>
            <w:gridSpan w:val="3"/>
          </w:tcPr>
          <w:p>
            <w:pPr>
              <w:pStyle w:val="nTable"/>
              <w:spacing w:after="40"/>
            </w:pPr>
            <w:r>
              <w:t>19 May 1999</w:t>
            </w:r>
          </w:p>
        </w:tc>
        <w:tc>
          <w:tcPr>
            <w:tcW w:w="2552" w:type="dxa"/>
            <w:gridSpan w:val="3"/>
          </w:tcPr>
          <w:p>
            <w:pPr>
              <w:pStyle w:val="nTable"/>
              <w:spacing w:after="40"/>
            </w:pPr>
            <w:r>
              <w:t xml:space="preserve">7 Aug 1999 (see s. 2 and </w:t>
            </w:r>
            <w:r>
              <w:rPr>
                <w:i/>
              </w:rPr>
              <w:t>Gazette</w:t>
            </w:r>
            <w:r>
              <w:t xml:space="preserve"> 6 Aug 1999 p. 3727)</w:t>
            </w:r>
          </w:p>
        </w:tc>
      </w:tr>
      <w:tr>
        <w:trPr>
          <w:gridAfter w:val="2"/>
          <w:wAfter w:w="29" w:type="dxa"/>
          <w:cantSplit/>
        </w:trPr>
        <w:tc>
          <w:tcPr>
            <w:tcW w:w="2438" w:type="dxa"/>
            <w:gridSpan w:val="3"/>
          </w:tcPr>
          <w:p>
            <w:pPr>
              <w:pStyle w:val="nTable"/>
              <w:spacing w:after="40"/>
              <w:ind w:right="170"/>
              <w:rPr>
                <w:i/>
              </w:rPr>
            </w:pPr>
            <w:r>
              <w:rPr>
                <w:i/>
              </w:rPr>
              <w:t xml:space="preserve">Acts Amendment and Repeal (Financial Sector Reform) Act 1999 </w:t>
            </w:r>
            <w:r>
              <w:t>s. 92</w:t>
            </w:r>
            <w:r>
              <w:rPr>
                <w:i/>
              </w:rPr>
              <w:t xml:space="preserve"> </w:t>
            </w:r>
          </w:p>
        </w:tc>
        <w:tc>
          <w:tcPr>
            <w:tcW w:w="964" w:type="dxa"/>
          </w:tcPr>
          <w:p>
            <w:pPr>
              <w:pStyle w:val="nTable"/>
              <w:spacing w:after="40"/>
            </w:pPr>
            <w:r>
              <w:t>26 of 1999</w:t>
            </w:r>
          </w:p>
        </w:tc>
        <w:tc>
          <w:tcPr>
            <w:tcW w:w="1134" w:type="dxa"/>
            <w:gridSpan w:val="3"/>
          </w:tcPr>
          <w:p>
            <w:pPr>
              <w:pStyle w:val="nTable"/>
              <w:spacing w:after="40"/>
            </w:pPr>
            <w:r>
              <w:t xml:space="preserve">29 Jun 1999 </w:t>
            </w:r>
          </w:p>
        </w:tc>
        <w:tc>
          <w:tcPr>
            <w:tcW w:w="2552" w:type="dxa"/>
            <w:gridSpan w:val="3"/>
          </w:tcPr>
          <w:p>
            <w:pPr>
              <w:pStyle w:val="nTable"/>
              <w:spacing w:after="40"/>
            </w:pPr>
            <w:r>
              <w:t xml:space="preserve">1 Jul 1999 (see s. 2(1) and </w:t>
            </w:r>
            <w:r>
              <w:rPr>
                <w:i/>
              </w:rPr>
              <w:t xml:space="preserve">Gazette </w:t>
            </w:r>
            <w:r>
              <w:t>30 Jun 1999 p. 2905)</w:t>
            </w:r>
          </w:p>
        </w:tc>
      </w:tr>
      <w:tr>
        <w:trPr>
          <w:gridAfter w:val="2"/>
          <w:wAfter w:w="29" w:type="dxa"/>
          <w:cantSplit/>
        </w:trPr>
        <w:tc>
          <w:tcPr>
            <w:tcW w:w="2438" w:type="dxa"/>
            <w:gridSpan w:val="3"/>
          </w:tcPr>
          <w:p>
            <w:pPr>
              <w:pStyle w:val="nTable"/>
              <w:spacing w:after="40"/>
              <w:ind w:right="170"/>
              <w:rPr>
                <w:i/>
              </w:rPr>
            </w:pPr>
            <w:r>
              <w:rPr>
                <w:i/>
              </w:rPr>
              <w:t xml:space="preserve">School Education Act 1999 </w:t>
            </w:r>
            <w:r>
              <w:t>s. 247</w:t>
            </w:r>
          </w:p>
        </w:tc>
        <w:tc>
          <w:tcPr>
            <w:tcW w:w="964" w:type="dxa"/>
          </w:tcPr>
          <w:p>
            <w:pPr>
              <w:pStyle w:val="nTable"/>
              <w:spacing w:after="40"/>
            </w:pPr>
            <w:r>
              <w:t>36 of 1999</w:t>
            </w:r>
          </w:p>
        </w:tc>
        <w:tc>
          <w:tcPr>
            <w:tcW w:w="1134" w:type="dxa"/>
            <w:gridSpan w:val="3"/>
          </w:tcPr>
          <w:p>
            <w:pPr>
              <w:pStyle w:val="nTable"/>
              <w:spacing w:after="40"/>
            </w:pPr>
            <w:r>
              <w:t>2 Nov 1999</w:t>
            </w:r>
          </w:p>
        </w:tc>
        <w:tc>
          <w:tcPr>
            <w:tcW w:w="2552" w:type="dxa"/>
            <w:gridSpan w:val="3"/>
          </w:tcPr>
          <w:p>
            <w:pPr>
              <w:pStyle w:val="nTable"/>
              <w:spacing w:after="40"/>
            </w:pPr>
            <w:r>
              <w:t xml:space="preserve">1 Jan 2001 (see s. 2 and </w:t>
            </w:r>
            <w:r>
              <w:rPr>
                <w:i/>
              </w:rPr>
              <w:t>Gazette</w:t>
            </w:r>
            <w:r>
              <w:t xml:space="preserve"> 29 Dec 2000 p. 7904)</w:t>
            </w:r>
          </w:p>
        </w:tc>
      </w:tr>
      <w:tr>
        <w:trPr>
          <w:gridAfter w:val="2"/>
          <w:wAfter w:w="29" w:type="dxa"/>
          <w:cantSplit/>
        </w:trPr>
        <w:tc>
          <w:tcPr>
            <w:tcW w:w="2438" w:type="dxa"/>
            <w:gridSpan w:val="3"/>
          </w:tcPr>
          <w:p>
            <w:pPr>
              <w:pStyle w:val="nTable"/>
              <w:spacing w:after="40"/>
              <w:ind w:right="170"/>
            </w:pPr>
            <w:r>
              <w:rPr>
                <w:i/>
              </w:rPr>
              <w:t xml:space="preserve">Disability Services Amendment Act 1999 </w:t>
            </w:r>
            <w:r>
              <w:t>s. 28(3)</w:t>
            </w:r>
          </w:p>
        </w:tc>
        <w:tc>
          <w:tcPr>
            <w:tcW w:w="964" w:type="dxa"/>
          </w:tcPr>
          <w:p>
            <w:pPr>
              <w:pStyle w:val="nTable"/>
              <w:spacing w:after="40"/>
            </w:pPr>
            <w:r>
              <w:t>44 of 1999</w:t>
            </w:r>
          </w:p>
        </w:tc>
        <w:tc>
          <w:tcPr>
            <w:tcW w:w="1134" w:type="dxa"/>
            <w:gridSpan w:val="3"/>
          </w:tcPr>
          <w:p>
            <w:pPr>
              <w:pStyle w:val="nTable"/>
              <w:spacing w:after="40"/>
            </w:pPr>
            <w:r>
              <w:t>25 Nov 1999</w:t>
            </w:r>
          </w:p>
        </w:tc>
        <w:tc>
          <w:tcPr>
            <w:tcW w:w="2552" w:type="dxa"/>
            <w:gridSpan w:val="3"/>
          </w:tcPr>
          <w:p>
            <w:pPr>
              <w:pStyle w:val="nTable"/>
              <w:spacing w:after="40"/>
            </w:pPr>
            <w:r>
              <w:t>25 Nov 1999 (see s. 2)</w:t>
            </w:r>
          </w:p>
        </w:tc>
      </w:tr>
      <w:tr>
        <w:trPr>
          <w:gridAfter w:val="2"/>
          <w:wAfter w:w="29" w:type="dxa"/>
          <w:cantSplit/>
        </w:trPr>
        <w:tc>
          <w:tcPr>
            <w:tcW w:w="7088" w:type="dxa"/>
            <w:gridSpan w:val="10"/>
          </w:tcPr>
          <w:p>
            <w:pPr>
              <w:pStyle w:val="nTable"/>
              <w:spacing w:after="40"/>
            </w:pPr>
            <w:r>
              <w:rPr>
                <w:b/>
              </w:rPr>
              <w:t xml:space="preserve">Reprint of the </w:t>
            </w:r>
            <w:r>
              <w:rPr>
                <w:b/>
                <w:i/>
              </w:rPr>
              <w:t>Local Government Act 1995</w:t>
            </w:r>
            <w:r>
              <w:rPr>
                <w:b/>
              </w:rPr>
              <w:t xml:space="preserve"> as at 18 Feb 2000</w:t>
            </w:r>
            <w:r>
              <w:t xml:space="preserve"> (includes amendments listed above except those in the </w:t>
            </w:r>
            <w:r>
              <w:rPr>
                <w:i/>
              </w:rPr>
              <w:t>School Education Act 1999</w:t>
            </w:r>
            <w:r>
              <w:t>)</w:t>
            </w:r>
          </w:p>
        </w:tc>
      </w:tr>
      <w:tr>
        <w:trPr>
          <w:gridAfter w:val="2"/>
          <w:wAfter w:w="29" w:type="dxa"/>
          <w:cantSplit/>
        </w:trPr>
        <w:tc>
          <w:tcPr>
            <w:tcW w:w="2438" w:type="dxa"/>
            <w:gridSpan w:val="3"/>
          </w:tcPr>
          <w:p>
            <w:pPr>
              <w:pStyle w:val="nTable"/>
              <w:spacing w:after="40"/>
              <w:ind w:right="170"/>
            </w:pPr>
            <w:r>
              <w:rPr>
                <w:i/>
              </w:rPr>
              <w:t xml:space="preserve">Statutes (Repeals and Minor Amendments) Act 2000 </w:t>
            </w:r>
            <w:r>
              <w:t>s. 22</w:t>
            </w:r>
          </w:p>
        </w:tc>
        <w:tc>
          <w:tcPr>
            <w:tcW w:w="964" w:type="dxa"/>
          </w:tcPr>
          <w:p>
            <w:pPr>
              <w:pStyle w:val="nTable"/>
              <w:spacing w:after="40"/>
            </w:pPr>
            <w:r>
              <w:t>24 of 2000</w:t>
            </w:r>
          </w:p>
        </w:tc>
        <w:tc>
          <w:tcPr>
            <w:tcW w:w="1134" w:type="dxa"/>
            <w:gridSpan w:val="3"/>
          </w:tcPr>
          <w:p>
            <w:pPr>
              <w:pStyle w:val="nTable"/>
              <w:spacing w:after="40"/>
            </w:pPr>
            <w:r>
              <w:t>4 Jul 2000</w:t>
            </w:r>
          </w:p>
        </w:tc>
        <w:tc>
          <w:tcPr>
            <w:tcW w:w="2552" w:type="dxa"/>
            <w:gridSpan w:val="3"/>
          </w:tcPr>
          <w:p>
            <w:pPr>
              <w:pStyle w:val="nTable"/>
              <w:spacing w:after="40"/>
            </w:pPr>
            <w:r>
              <w:t>4 Jul 2000 (see s. 2)</w:t>
            </w:r>
          </w:p>
        </w:tc>
      </w:tr>
      <w:tr>
        <w:trPr>
          <w:gridAfter w:val="2"/>
          <w:wAfter w:w="29" w:type="dxa"/>
          <w:cantSplit/>
        </w:trPr>
        <w:tc>
          <w:tcPr>
            <w:tcW w:w="2438" w:type="dxa"/>
            <w:gridSpan w:val="3"/>
          </w:tcPr>
          <w:p>
            <w:pPr>
              <w:pStyle w:val="nTable"/>
              <w:spacing w:after="40"/>
              <w:rPr>
                <w:i/>
              </w:rPr>
            </w:pPr>
            <w:r>
              <w:rPr>
                <w:i/>
              </w:rPr>
              <w:t xml:space="preserve">Corporations (Consequential Amendments) Act 2001 </w:t>
            </w:r>
            <w:r>
              <w:t>Pt. 36</w:t>
            </w:r>
          </w:p>
        </w:tc>
        <w:tc>
          <w:tcPr>
            <w:tcW w:w="964" w:type="dxa"/>
          </w:tcPr>
          <w:p>
            <w:pPr>
              <w:pStyle w:val="nTable"/>
              <w:spacing w:after="40"/>
            </w:pPr>
            <w:r>
              <w:t>10 of 2001</w:t>
            </w:r>
          </w:p>
        </w:tc>
        <w:tc>
          <w:tcPr>
            <w:tcW w:w="1134" w:type="dxa"/>
            <w:gridSpan w:val="3"/>
          </w:tcPr>
          <w:p>
            <w:pPr>
              <w:pStyle w:val="nTable"/>
              <w:spacing w:after="40"/>
            </w:pPr>
            <w:r>
              <w:t>28 Jun 2001</w:t>
            </w:r>
          </w:p>
        </w:tc>
        <w:tc>
          <w:tcPr>
            <w:tcW w:w="2552" w:type="dxa"/>
            <w:gridSpan w:val="3"/>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After w:val="2"/>
          <w:wAfter w:w="29" w:type="dxa"/>
        </w:trPr>
        <w:tc>
          <w:tcPr>
            <w:tcW w:w="2438" w:type="dxa"/>
            <w:gridSpan w:val="3"/>
          </w:tcPr>
          <w:p>
            <w:pPr>
              <w:pStyle w:val="nTable"/>
              <w:spacing w:after="40"/>
            </w:pPr>
            <w:r>
              <w:rPr>
                <w:i/>
              </w:rPr>
              <w:t>Road Traffic Amendment (Vehicle Licensing) Act 2001</w:t>
            </w:r>
            <w:r>
              <w:t xml:space="preserve"> Pt. 3 Div. 3</w:t>
            </w:r>
          </w:p>
        </w:tc>
        <w:tc>
          <w:tcPr>
            <w:tcW w:w="964" w:type="dxa"/>
          </w:tcPr>
          <w:p>
            <w:pPr>
              <w:pStyle w:val="nTable"/>
              <w:spacing w:after="40"/>
            </w:pPr>
            <w:r>
              <w:t>28 of 2001</w:t>
            </w:r>
          </w:p>
        </w:tc>
        <w:tc>
          <w:tcPr>
            <w:tcW w:w="1134" w:type="dxa"/>
            <w:gridSpan w:val="3"/>
          </w:tcPr>
          <w:p>
            <w:pPr>
              <w:pStyle w:val="nTable"/>
              <w:spacing w:after="40"/>
            </w:pPr>
            <w:r>
              <w:t>21 Dec 2001</w:t>
            </w:r>
          </w:p>
        </w:tc>
        <w:tc>
          <w:tcPr>
            <w:tcW w:w="2552" w:type="dxa"/>
            <w:gridSpan w:val="3"/>
          </w:tcPr>
          <w:p>
            <w:pPr>
              <w:pStyle w:val="nTable"/>
              <w:spacing w:after="40"/>
            </w:pPr>
            <w:r>
              <w:t xml:space="preserve">4 Dec 2006 (see s. 2 and </w:t>
            </w:r>
            <w:r>
              <w:rPr>
                <w:i/>
              </w:rPr>
              <w:t>Gazette</w:t>
            </w:r>
            <w:r>
              <w:t xml:space="preserve"> 28 Nov 2006 p. 4889)</w:t>
            </w:r>
          </w:p>
        </w:tc>
      </w:tr>
      <w:tr>
        <w:trPr>
          <w:gridAfter w:val="2"/>
          <w:wAfter w:w="29" w:type="dxa"/>
          <w:cantSplit/>
        </w:trPr>
        <w:tc>
          <w:tcPr>
            <w:tcW w:w="2438" w:type="dxa"/>
            <w:gridSpan w:val="3"/>
          </w:tcPr>
          <w:p>
            <w:pPr>
              <w:pStyle w:val="nTable"/>
              <w:spacing w:after="40"/>
              <w:rPr>
                <w:i/>
              </w:rPr>
            </w:pPr>
            <w:r>
              <w:rPr>
                <w:i/>
              </w:rPr>
              <w:t>Corporations (Consequential Amendments) Act (No. 2) 2003</w:t>
            </w:r>
            <w:r>
              <w:t xml:space="preserve"> Pt. 14</w:t>
            </w:r>
          </w:p>
        </w:tc>
        <w:tc>
          <w:tcPr>
            <w:tcW w:w="964" w:type="dxa"/>
          </w:tcPr>
          <w:p>
            <w:pPr>
              <w:pStyle w:val="nTable"/>
              <w:spacing w:after="40"/>
            </w:pPr>
            <w:r>
              <w:t>20 of 2003</w:t>
            </w:r>
          </w:p>
        </w:tc>
        <w:tc>
          <w:tcPr>
            <w:tcW w:w="1134" w:type="dxa"/>
            <w:gridSpan w:val="3"/>
          </w:tcPr>
          <w:p>
            <w:pPr>
              <w:pStyle w:val="nTable"/>
              <w:spacing w:after="40"/>
            </w:pPr>
            <w:r>
              <w:t>23 Apr 2003</w:t>
            </w:r>
          </w:p>
        </w:tc>
        <w:tc>
          <w:tcPr>
            <w:tcW w:w="2552" w:type="dxa"/>
            <w:gridSpan w:val="3"/>
          </w:tcPr>
          <w:p>
            <w:pPr>
              <w:pStyle w:val="nTable"/>
              <w:spacing w:after="40"/>
            </w:pPr>
            <w:r>
              <w:t xml:space="preserve">15 Jul 2001 (see s. 2(1) and Cwlth </w:t>
            </w:r>
            <w:r>
              <w:rPr>
                <w:i/>
              </w:rPr>
              <w:t>Gazette</w:t>
            </w:r>
            <w:r>
              <w:t xml:space="preserve"> 13 Jul 2001 No. S285)</w:t>
            </w:r>
          </w:p>
        </w:tc>
      </w:tr>
      <w:tr>
        <w:trPr>
          <w:gridAfter w:val="2"/>
          <w:wAfter w:w="29" w:type="dxa"/>
          <w:cantSplit/>
        </w:trPr>
        <w:tc>
          <w:tcPr>
            <w:tcW w:w="2438" w:type="dxa"/>
            <w:gridSpan w:val="3"/>
          </w:tcPr>
          <w:p>
            <w:pPr>
              <w:pStyle w:val="nTable"/>
              <w:spacing w:after="40"/>
            </w:pPr>
            <w:r>
              <w:rPr>
                <w:i/>
              </w:rPr>
              <w:t>Corporations (Consequential Amendments) Act (No. 3) 2003</w:t>
            </w:r>
            <w:r>
              <w:t xml:space="preserve"> Pt. 7</w:t>
            </w:r>
            <w:r>
              <w:rPr>
                <w:vertAlign w:val="superscript"/>
              </w:rPr>
              <w:t> 17</w:t>
            </w:r>
          </w:p>
        </w:tc>
        <w:tc>
          <w:tcPr>
            <w:tcW w:w="964" w:type="dxa"/>
          </w:tcPr>
          <w:p>
            <w:pPr>
              <w:pStyle w:val="nTable"/>
              <w:spacing w:after="40"/>
            </w:pPr>
            <w:r>
              <w:t>21 of 2003</w:t>
            </w:r>
          </w:p>
        </w:tc>
        <w:tc>
          <w:tcPr>
            <w:tcW w:w="1134" w:type="dxa"/>
            <w:gridSpan w:val="3"/>
          </w:tcPr>
          <w:p>
            <w:pPr>
              <w:pStyle w:val="nTable"/>
              <w:spacing w:after="40"/>
            </w:pPr>
            <w:r>
              <w:t>23 Apr 2003</w:t>
            </w:r>
          </w:p>
        </w:tc>
        <w:tc>
          <w:tcPr>
            <w:tcW w:w="2552" w:type="dxa"/>
            <w:gridSpan w:val="3"/>
          </w:tcPr>
          <w:p>
            <w:pPr>
              <w:pStyle w:val="nTable"/>
              <w:spacing w:after="40"/>
            </w:pPr>
            <w:r>
              <w:t xml:space="preserve">11 Mar 2002 (see s. 2 and Cwlth </w:t>
            </w:r>
            <w:r>
              <w:rPr>
                <w:i/>
              </w:rPr>
              <w:t>Gazette</w:t>
            </w:r>
            <w:r>
              <w:t xml:space="preserve"> 24 Oct 2001 No. GN42)</w:t>
            </w:r>
          </w:p>
        </w:tc>
      </w:tr>
      <w:tr>
        <w:trPr>
          <w:gridAfter w:val="2"/>
          <w:wAfter w:w="29" w:type="dxa"/>
          <w:cantSplit/>
        </w:trPr>
        <w:tc>
          <w:tcPr>
            <w:tcW w:w="2438" w:type="dxa"/>
            <w:gridSpan w:val="3"/>
          </w:tcPr>
          <w:p>
            <w:pPr>
              <w:pStyle w:val="nTable"/>
              <w:spacing w:after="40"/>
            </w:pPr>
            <w:r>
              <w:rPr>
                <w:i/>
              </w:rPr>
              <w:t>Acts Amendment (Equality of Status) Act 2003</w:t>
            </w:r>
            <w:r>
              <w:t xml:space="preserve"> Pt. 38</w:t>
            </w:r>
          </w:p>
        </w:tc>
        <w:tc>
          <w:tcPr>
            <w:tcW w:w="964" w:type="dxa"/>
          </w:tcPr>
          <w:p>
            <w:pPr>
              <w:pStyle w:val="nTable"/>
              <w:spacing w:after="40"/>
            </w:pPr>
            <w:r>
              <w:t>28 of 2003</w:t>
            </w:r>
          </w:p>
        </w:tc>
        <w:tc>
          <w:tcPr>
            <w:tcW w:w="1134" w:type="dxa"/>
            <w:gridSpan w:val="3"/>
          </w:tcPr>
          <w:p>
            <w:pPr>
              <w:pStyle w:val="nTable"/>
              <w:spacing w:after="40"/>
            </w:pPr>
            <w:r>
              <w:t>22 May 2003</w:t>
            </w:r>
          </w:p>
        </w:tc>
        <w:tc>
          <w:tcPr>
            <w:tcW w:w="2552" w:type="dxa"/>
            <w:gridSpan w:val="3"/>
          </w:tcPr>
          <w:p>
            <w:pPr>
              <w:pStyle w:val="nTable"/>
              <w:spacing w:after="40"/>
            </w:pPr>
            <w:r>
              <w:t xml:space="preserve">1 Jul 2003 (see s. 2 and </w:t>
            </w:r>
            <w:r>
              <w:rPr>
                <w:i/>
              </w:rPr>
              <w:t xml:space="preserve">Gazette </w:t>
            </w:r>
            <w:r>
              <w:t>30 Jun 2003 p. 2579)</w:t>
            </w:r>
          </w:p>
        </w:tc>
      </w:tr>
      <w:tr>
        <w:trPr>
          <w:gridAfter w:val="2"/>
          <w:wAfter w:w="29" w:type="dxa"/>
          <w:cantSplit/>
        </w:trPr>
        <w:tc>
          <w:tcPr>
            <w:tcW w:w="2438" w:type="dxa"/>
            <w:gridSpan w:val="3"/>
          </w:tcPr>
          <w:p>
            <w:pPr>
              <w:pStyle w:val="nTable"/>
              <w:spacing w:after="40"/>
            </w:pPr>
            <w:r>
              <w:rPr>
                <w:i/>
              </w:rPr>
              <w:t>Statutes (Repeals and Minor Amendments) Act 2003</w:t>
            </w:r>
            <w:r>
              <w:t xml:space="preserve"> s. 79</w:t>
            </w:r>
          </w:p>
        </w:tc>
        <w:tc>
          <w:tcPr>
            <w:tcW w:w="964" w:type="dxa"/>
          </w:tcPr>
          <w:p>
            <w:pPr>
              <w:pStyle w:val="nTable"/>
              <w:spacing w:after="40"/>
            </w:pPr>
            <w:r>
              <w:t>74 of 2003</w:t>
            </w:r>
          </w:p>
        </w:tc>
        <w:tc>
          <w:tcPr>
            <w:tcW w:w="1134" w:type="dxa"/>
            <w:gridSpan w:val="3"/>
          </w:tcPr>
          <w:p>
            <w:pPr>
              <w:pStyle w:val="nTable"/>
              <w:spacing w:after="40"/>
            </w:pPr>
            <w:r>
              <w:t>15 Dec 2003</w:t>
            </w:r>
          </w:p>
        </w:tc>
        <w:tc>
          <w:tcPr>
            <w:tcW w:w="2552" w:type="dxa"/>
            <w:gridSpan w:val="3"/>
          </w:tcPr>
          <w:p>
            <w:pPr>
              <w:pStyle w:val="nTable"/>
              <w:spacing w:after="40"/>
            </w:pPr>
            <w:r>
              <w:rPr>
                <w:spacing w:val="-2"/>
              </w:rPr>
              <w:t>15 Dec 2003 (see s. 2)</w:t>
            </w:r>
          </w:p>
        </w:tc>
      </w:tr>
      <w:tr>
        <w:trPr>
          <w:gridAfter w:val="2"/>
          <w:wAfter w:w="29" w:type="dxa"/>
          <w:cantSplit/>
        </w:trPr>
        <w:tc>
          <w:tcPr>
            <w:tcW w:w="7088" w:type="dxa"/>
            <w:gridSpan w:val="10"/>
          </w:tcPr>
          <w:p>
            <w:pPr>
              <w:pStyle w:val="nTable"/>
              <w:spacing w:after="40"/>
            </w:pPr>
            <w:r>
              <w:rPr>
                <w:b/>
              </w:rPr>
              <w:t xml:space="preserve">Reprint 2: The </w:t>
            </w:r>
            <w:r>
              <w:rPr>
                <w:b/>
                <w:i/>
              </w:rPr>
              <w:t>Local Government Act 1995</w:t>
            </w:r>
            <w:r>
              <w:rPr>
                <w:b/>
              </w:rPr>
              <w:t xml:space="preserve"> as at 2 Apr 2004</w:t>
            </w:r>
            <w:r>
              <w:t xml:space="preserve"> (includes amendments listed above except those in the </w:t>
            </w:r>
            <w:r>
              <w:rPr>
                <w:i/>
              </w:rPr>
              <w:t>Road Traffic Amendment (Vehicle Licensing) Act 2001</w:t>
            </w:r>
            <w:r>
              <w:t xml:space="preserve">) (correction in </w:t>
            </w:r>
            <w:r>
              <w:rPr>
                <w:i/>
              </w:rPr>
              <w:t>Gazette</w:t>
            </w:r>
            <w:r>
              <w:t xml:space="preserve"> 1 Oct 2004 p. 4283)</w:t>
            </w:r>
          </w:p>
        </w:tc>
      </w:tr>
      <w:tr>
        <w:trPr>
          <w:gridAfter w:val="2"/>
          <w:wAfter w:w="29" w:type="dxa"/>
          <w:cantSplit/>
        </w:trPr>
        <w:tc>
          <w:tcPr>
            <w:tcW w:w="2438" w:type="dxa"/>
            <w:gridSpan w:val="3"/>
          </w:tcPr>
          <w:p>
            <w:pPr>
              <w:pStyle w:val="nTable"/>
              <w:spacing w:after="40"/>
              <w:ind w:right="113"/>
              <w:rPr>
                <w:i/>
              </w:rPr>
            </w:pPr>
            <w:r>
              <w:rPr>
                <w:i/>
                <w:snapToGrid w:val="0"/>
              </w:rPr>
              <w:t>Workers’ Compensation Reform Act 2004</w:t>
            </w:r>
            <w:r>
              <w:rPr>
                <w:snapToGrid w:val="0"/>
              </w:rPr>
              <w:t xml:space="preserve"> s. 165</w:t>
            </w:r>
          </w:p>
        </w:tc>
        <w:tc>
          <w:tcPr>
            <w:tcW w:w="964" w:type="dxa"/>
          </w:tcPr>
          <w:p>
            <w:pPr>
              <w:pStyle w:val="nTable"/>
              <w:spacing w:after="40"/>
            </w:pPr>
            <w:r>
              <w:rPr>
                <w:snapToGrid w:val="0"/>
              </w:rPr>
              <w:t>42 of 2004</w:t>
            </w:r>
          </w:p>
        </w:tc>
        <w:tc>
          <w:tcPr>
            <w:tcW w:w="1134" w:type="dxa"/>
            <w:gridSpan w:val="3"/>
          </w:tcPr>
          <w:p>
            <w:pPr>
              <w:pStyle w:val="nTable"/>
              <w:spacing w:after="40"/>
            </w:pPr>
            <w:r>
              <w:t>9 Nov 2004</w:t>
            </w:r>
          </w:p>
        </w:tc>
        <w:tc>
          <w:tcPr>
            <w:tcW w:w="2552" w:type="dxa"/>
            <w:gridSpan w:val="3"/>
          </w:tcPr>
          <w:p>
            <w:pPr>
              <w:pStyle w:val="nTable"/>
              <w:spacing w:after="40"/>
              <w:rPr>
                <w:spacing w:val="-2"/>
              </w:rPr>
            </w:pPr>
            <w:r>
              <w:rPr>
                <w:snapToGrid w:val="0"/>
                <w:spacing w:val="-2"/>
              </w:rPr>
              <w:t xml:space="preserve">4 Jan 2005 (see s. 2 and </w:t>
            </w:r>
            <w:r>
              <w:rPr>
                <w:i/>
                <w:snapToGrid w:val="0"/>
                <w:spacing w:val="-2"/>
              </w:rPr>
              <w:t>Gazette</w:t>
            </w:r>
            <w:r>
              <w:rPr>
                <w:snapToGrid w:val="0"/>
                <w:spacing w:val="-2"/>
              </w:rPr>
              <w:t xml:space="preserve"> 31 Dec 2004 p. 7131)</w:t>
            </w:r>
          </w:p>
        </w:tc>
      </w:tr>
      <w:tr>
        <w:trPr>
          <w:gridAfter w:val="2"/>
          <w:wAfter w:w="29" w:type="dxa"/>
          <w:cantSplit/>
        </w:trPr>
        <w:tc>
          <w:tcPr>
            <w:tcW w:w="2438" w:type="dxa"/>
            <w:gridSpan w:val="3"/>
          </w:tcPr>
          <w:p>
            <w:pPr>
              <w:pStyle w:val="nTable"/>
              <w:spacing w:after="40"/>
              <w:ind w:right="24"/>
            </w:pPr>
            <w:r>
              <w:rPr>
                <w:i/>
                <w:snapToGrid w:val="0"/>
              </w:rPr>
              <w:t>Local Government Amendment Act 2004</w:t>
            </w:r>
            <w:r>
              <w:rPr>
                <w:snapToGrid w:val="0"/>
                <w:vertAlign w:val="superscript"/>
              </w:rPr>
              <w:t> 18-23</w:t>
            </w:r>
          </w:p>
        </w:tc>
        <w:tc>
          <w:tcPr>
            <w:tcW w:w="964" w:type="dxa"/>
          </w:tcPr>
          <w:p>
            <w:pPr>
              <w:pStyle w:val="nTable"/>
              <w:spacing w:after="40"/>
            </w:pPr>
            <w:r>
              <w:t>49 of 2004 (as amended by No. 8 of 2009 s. 88; No. 17 of 2009 s. 48)</w:t>
            </w:r>
          </w:p>
        </w:tc>
        <w:tc>
          <w:tcPr>
            <w:tcW w:w="1134" w:type="dxa"/>
            <w:gridSpan w:val="3"/>
          </w:tcPr>
          <w:p>
            <w:pPr>
              <w:pStyle w:val="nTable"/>
              <w:spacing w:after="40"/>
            </w:pPr>
            <w:r>
              <w:t>12 Nov 2004</w:t>
            </w:r>
          </w:p>
        </w:tc>
        <w:tc>
          <w:tcPr>
            <w:tcW w:w="2552" w:type="dxa"/>
            <w:gridSpan w:val="3"/>
          </w:tcPr>
          <w:p>
            <w:pPr>
              <w:pStyle w:val="nTable"/>
              <w:spacing w:after="40"/>
            </w:pPr>
            <w:r>
              <w:t>s. 1 and 2: 12 Nov 2004;</w:t>
            </w:r>
            <w:r>
              <w:br/>
              <w:t>s. 17, 30</w:t>
            </w:r>
            <w:r>
              <w:noBreakHyphen/>
              <w:t>37, 38(1) and (2) and 39</w:t>
            </w:r>
            <w:r>
              <w:noBreakHyphen/>
              <w:t xml:space="preserve">41: 22 Jan 2005 (see s. 2 and </w:t>
            </w:r>
            <w:r>
              <w:rPr>
                <w:i/>
              </w:rPr>
              <w:t>Gazette</w:t>
            </w:r>
            <w:r>
              <w:t xml:space="preserve"> 21 Jan 2005 p. 257);</w:t>
            </w:r>
            <w:r>
              <w:br/>
              <w:t>s. 10</w:t>
            </w:r>
            <w:r>
              <w:noBreakHyphen/>
              <w:t>15, 18, 21, 22, 42, 46(3), 47, 48, 53, 55</w:t>
            </w:r>
            <w:r>
              <w:noBreakHyphen/>
              <w:t>58, 61</w:t>
            </w:r>
            <w:r>
              <w:noBreakHyphen/>
              <w:t xml:space="preserve">64, 67, 68, 70, 71, 73 and 74: 1 Apr 2005 (see s. 2 and </w:t>
            </w:r>
            <w:r>
              <w:rPr>
                <w:i/>
              </w:rPr>
              <w:t>Gazette</w:t>
            </w:r>
            <w:r>
              <w:t xml:space="preserve"> 31 Mar 2005 p. 1029);</w:t>
            </w:r>
            <w:r>
              <w:br/>
              <w:t>s. 4</w:t>
            </w:r>
            <w:r>
              <w:noBreakHyphen/>
              <w:t>9, 16(4), 19(1), 23</w:t>
            </w:r>
            <w:r>
              <w:noBreakHyphen/>
              <w:t>29, 43</w:t>
            </w:r>
            <w:r>
              <w:noBreakHyphen/>
              <w:t>45, 46(1), (2) and (4), 49</w:t>
            </w:r>
            <w:r>
              <w:noBreakHyphen/>
              <w:t xml:space="preserve">52, 54, 65, 66, 69 and 72: 7 May 2005 (see s. 2 and </w:t>
            </w:r>
            <w:r>
              <w:rPr>
                <w:i/>
              </w:rPr>
              <w:t>Gazette</w:t>
            </w:r>
            <w:r>
              <w:t xml:space="preserve"> 31 Mar 2005 p. 1029 and 29 Apr 2005 p. 1771);</w:t>
            </w:r>
            <w:r>
              <w:br/>
              <w:t xml:space="preserve">Proclamation published 31 Mar 2005 p. 1029 revoked to the extent that the proclamation applies to s. 16(1), (2), (3) and (5) and s. 19(2) (see </w:t>
            </w:r>
            <w:r>
              <w:rPr>
                <w:i/>
              </w:rPr>
              <w:t>Gazette</w:t>
            </w:r>
            <w:r>
              <w:t xml:space="preserve"> 29 Apr 2005 p. 1771);</w:t>
            </w:r>
            <w:r>
              <w:br/>
              <w:t xml:space="preserve">s. 59 and 60: 1 Jul 2005 (see s. 2 and </w:t>
            </w:r>
            <w:r>
              <w:rPr>
                <w:i/>
              </w:rPr>
              <w:t>Gazette</w:t>
            </w:r>
            <w:r>
              <w:t xml:space="preserve"> 31 Mar 2005 p. 1029)</w:t>
            </w:r>
          </w:p>
        </w:tc>
      </w:tr>
      <w:tr>
        <w:trPr>
          <w:gridAfter w:val="2"/>
          <w:wAfter w:w="29" w:type="dxa"/>
          <w:cantSplit/>
        </w:trPr>
        <w:tc>
          <w:tcPr>
            <w:tcW w:w="2438" w:type="dxa"/>
            <w:gridSpan w:val="3"/>
          </w:tcPr>
          <w:p>
            <w:pPr>
              <w:pStyle w:val="nTable"/>
              <w:spacing w:after="40"/>
              <w:ind w:right="113"/>
              <w:rPr>
                <w:i/>
                <w:snapToGrid w:val="0"/>
                <w:vertAlign w:val="superscript"/>
              </w:rPr>
            </w:pPr>
            <w:r>
              <w:rPr>
                <w:i/>
                <w:snapToGrid w:val="0"/>
              </w:rPr>
              <w:t>Courts Legislation Amendment and Repeal Act 2004</w:t>
            </w:r>
            <w:r>
              <w:rPr>
                <w:snapToGrid w:val="0"/>
              </w:rPr>
              <w:t xml:space="preserve"> s. 141 </w:t>
            </w:r>
            <w:r>
              <w:rPr>
                <w:snapToGrid w:val="0"/>
                <w:vertAlign w:val="superscript"/>
              </w:rPr>
              <w:t>24</w:t>
            </w:r>
          </w:p>
        </w:tc>
        <w:tc>
          <w:tcPr>
            <w:tcW w:w="964" w:type="dxa"/>
          </w:tcPr>
          <w:p>
            <w:pPr>
              <w:pStyle w:val="nTable"/>
              <w:spacing w:after="40"/>
            </w:pPr>
            <w:r>
              <w:rPr>
                <w:snapToGrid w:val="0"/>
              </w:rPr>
              <w:t>59 of 2004 (as amended by No. 2 of 2008 s. 77(13))</w:t>
            </w:r>
          </w:p>
        </w:tc>
        <w:tc>
          <w:tcPr>
            <w:tcW w:w="1134" w:type="dxa"/>
            <w:gridSpan w:val="3"/>
          </w:tcPr>
          <w:p>
            <w:pPr>
              <w:pStyle w:val="nTable"/>
              <w:spacing w:after="40"/>
            </w:pPr>
            <w:r>
              <w:t>23 Nov 2004</w:t>
            </w:r>
          </w:p>
        </w:tc>
        <w:tc>
          <w:tcPr>
            <w:tcW w:w="2552" w:type="dxa"/>
            <w:gridSpan w:val="3"/>
          </w:tcPr>
          <w:p>
            <w:pPr>
              <w:pStyle w:val="nTable"/>
              <w:spacing w:after="40"/>
            </w:pPr>
            <w:r>
              <w:rPr>
                <w:snapToGrid w:val="0"/>
              </w:rPr>
              <w:t xml:space="preserve">1 May 2005 (see s. 2 and </w:t>
            </w:r>
            <w:r>
              <w:rPr>
                <w:i/>
                <w:snapToGrid w:val="0"/>
              </w:rPr>
              <w:t xml:space="preserve">Gazette </w:t>
            </w:r>
            <w:r>
              <w:rPr>
                <w:snapToGrid w:val="0"/>
              </w:rPr>
              <w:t xml:space="preserve">31 Dec 2004 p. 7128) </w:t>
            </w:r>
          </w:p>
        </w:tc>
      </w:tr>
      <w:tr>
        <w:trPr>
          <w:gridBefore w:val="2"/>
          <w:wBefore w:w="28" w:type="dxa"/>
          <w:cantSplit/>
        </w:trPr>
        <w:tc>
          <w:tcPr>
            <w:tcW w:w="2410" w:type="dxa"/>
          </w:tcPr>
          <w:p>
            <w:pPr>
              <w:pStyle w:val="nTable"/>
              <w:spacing w:after="40"/>
              <w:ind w:left="-28"/>
              <w:rPr>
                <w:vertAlign w:val="superscript"/>
              </w:rPr>
            </w:pPr>
            <w:r>
              <w:rPr>
                <w:i/>
                <w:snapToGrid w:val="0"/>
              </w:rPr>
              <w:t>State Administrative Tribunal (Conferral of Jurisdiction) Amendment and Repeal Act 2004</w:t>
            </w:r>
            <w:r>
              <w:rPr>
                <w:snapToGrid w:val="0"/>
              </w:rPr>
              <w:t xml:space="preserve"> Pt. 2 Div. 76</w:t>
            </w:r>
            <w:r>
              <w:rPr>
                <w:snapToGrid w:val="0"/>
                <w:vertAlign w:val="superscript"/>
              </w:rPr>
              <w:t> 25, 26</w:t>
            </w:r>
          </w:p>
        </w:tc>
        <w:tc>
          <w:tcPr>
            <w:tcW w:w="992" w:type="dxa"/>
            <w:gridSpan w:val="3"/>
          </w:tcPr>
          <w:p>
            <w:pPr>
              <w:pStyle w:val="nTable"/>
              <w:spacing w:after="40"/>
            </w:pPr>
            <w:r>
              <w:t>55 of 2004</w:t>
            </w:r>
          </w:p>
        </w:tc>
        <w:tc>
          <w:tcPr>
            <w:tcW w:w="1134" w:type="dxa"/>
            <w:gridSpan w:val="3"/>
          </w:tcPr>
          <w:p>
            <w:pPr>
              <w:pStyle w:val="nTable"/>
              <w:spacing w:after="40"/>
            </w:pPr>
            <w:r>
              <w:t>24 Nov 2004</w:t>
            </w:r>
          </w:p>
        </w:tc>
        <w:tc>
          <w:tcPr>
            <w:tcW w:w="2553" w:type="dxa"/>
            <w:gridSpan w:val="3"/>
          </w:tcPr>
          <w:p>
            <w:pPr>
              <w:pStyle w:val="nTable"/>
              <w:spacing w:after="40"/>
            </w:pPr>
            <w:r>
              <w:t xml:space="preserve">1 Jan 2005 (see s. 2 and </w:t>
            </w:r>
            <w:r>
              <w:rPr>
                <w:i/>
              </w:rPr>
              <w:t>Gazette</w:t>
            </w:r>
            <w:r>
              <w:t xml:space="preserve"> 31 Dec 2004 p. 7130)</w:t>
            </w:r>
          </w:p>
        </w:tc>
      </w:tr>
      <w:tr>
        <w:trPr>
          <w:gridBefore w:val="2"/>
          <w:wBefore w:w="28" w:type="dxa"/>
          <w:cantSplit/>
        </w:trPr>
        <w:tc>
          <w:tcPr>
            <w:tcW w:w="2410" w:type="dxa"/>
          </w:tcPr>
          <w:p>
            <w:pPr>
              <w:pStyle w:val="nTable"/>
              <w:spacing w:after="40"/>
              <w:ind w:left="-28"/>
              <w:rPr>
                <w:i/>
                <w:snapToGrid w:val="0"/>
              </w:rPr>
            </w:pPr>
            <w:r>
              <w:rPr>
                <w:i/>
                <w:snapToGrid w:val="0"/>
              </w:rPr>
              <w:t>Criminal Procedure and Appeals (Consequential and Other Provisions) Act 2004</w:t>
            </w:r>
            <w:r>
              <w:rPr>
                <w:snapToGrid w:val="0"/>
              </w:rPr>
              <w:t xml:space="preserve"> Pt. 11 and s. 80</w:t>
            </w:r>
          </w:p>
        </w:tc>
        <w:tc>
          <w:tcPr>
            <w:tcW w:w="992" w:type="dxa"/>
            <w:gridSpan w:val="3"/>
          </w:tcPr>
          <w:p>
            <w:pPr>
              <w:pStyle w:val="nTable"/>
              <w:spacing w:after="40"/>
            </w:pPr>
            <w:r>
              <w:rPr>
                <w:snapToGrid w:val="0"/>
              </w:rPr>
              <w:t>84 of 2004</w:t>
            </w:r>
          </w:p>
        </w:tc>
        <w:tc>
          <w:tcPr>
            <w:tcW w:w="1134" w:type="dxa"/>
            <w:gridSpan w:val="3"/>
          </w:tcPr>
          <w:p>
            <w:pPr>
              <w:pStyle w:val="nTable"/>
              <w:spacing w:after="40"/>
            </w:pPr>
            <w:r>
              <w:t>16 Dec 2004</w:t>
            </w:r>
          </w:p>
        </w:tc>
        <w:tc>
          <w:tcPr>
            <w:tcW w:w="2553" w:type="dxa"/>
            <w:gridSpan w:val="3"/>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gridBefore w:val="2"/>
          <w:wBefore w:w="28" w:type="dxa"/>
          <w:cantSplit/>
        </w:trPr>
        <w:tc>
          <w:tcPr>
            <w:tcW w:w="7089" w:type="dxa"/>
            <w:gridSpan w:val="10"/>
          </w:tcPr>
          <w:p>
            <w:pPr>
              <w:pStyle w:val="nTable"/>
              <w:spacing w:after="40"/>
              <w:rPr>
                <w:snapToGrid w:val="0"/>
              </w:rPr>
            </w:pPr>
            <w:r>
              <w:rPr>
                <w:b/>
                <w:snapToGrid w:val="0"/>
              </w:rPr>
              <w:t xml:space="preserve">Reprint 3: The </w:t>
            </w:r>
            <w:r>
              <w:rPr>
                <w:b/>
                <w:i/>
                <w:snapToGrid w:val="0"/>
              </w:rPr>
              <w:t>Local Government Act 1995</w:t>
            </w:r>
            <w:r>
              <w:rPr>
                <w:b/>
                <w:snapToGrid w:val="0"/>
              </w:rPr>
              <w:t xml:space="preserve"> as at 5 Aug 2005</w:t>
            </w:r>
            <w:r>
              <w:rPr>
                <w:snapToGrid w:val="0"/>
              </w:rPr>
              <w:t xml:space="preserve"> (includes amendments listed above</w:t>
            </w:r>
            <w:r>
              <w:t xml:space="preserve"> except those in the </w:t>
            </w:r>
            <w:r>
              <w:rPr>
                <w:i/>
              </w:rPr>
              <w:t>Road Traffic Amendment (Vehicle Licensing) Act 2001</w:t>
            </w:r>
            <w:r>
              <w:rPr>
                <w:snapToGrid w:val="0"/>
              </w:rPr>
              <w:t>)</w:t>
            </w:r>
          </w:p>
        </w:tc>
      </w:tr>
      <w:tr>
        <w:trPr>
          <w:gridBefore w:val="2"/>
          <w:wBefore w:w="28" w:type="dxa"/>
          <w:cantSplit/>
        </w:trPr>
        <w:tc>
          <w:tcPr>
            <w:tcW w:w="2410" w:type="dxa"/>
          </w:tcPr>
          <w:p>
            <w:pPr>
              <w:pStyle w:val="nTable"/>
              <w:spacing w:after="40"/>
              <w:ind w:left="-28"/>
              <w:rPr>
                <w:i/>
                <w:snapToGrid w:val="0"/>
              </w:rPr>
            </w:pPr>
            <w:r>
              <w:rPr>
                <w:i/>
              </w:rPr>
              <w:t>Oaths, Affidavits and Statutory Declarations (Consequential Provisions) Act 2005</w:t>
            </w:r>
            <w:r>
              <w:t xml:space="preserve"> Pt. 14</w:t>
            </w:r>
          </w:p>
        </w:tc>
        <w:tc>
          <w:tcPr>
            <w:tcW w:w="992" w:type="dxa"/>
            <w:gridSpan w:val="3"/>
          </w:tcPr>
          <w:p>
            <w:pPr>
              <w:pStyle w:val="nTable"/>
              <w:spacing w:after="40"/>
            </w:pPr>
            <w:r>
              <w:t>24 of 2005</w:t>
            </w:r>
          </w:p>
        </w:tc>
        <w:tc>
          <w:tcPr>
            <w:tcW w:w="1134" w:type="dxa"/>
            <w:gridSpan w:val="3"/>
          </w:tcPr>
          <w:p>
            <w:pPr>
              <w:pStyle w:val="nTable"/>
              <w:spacing w:after="40"/>
            </w:pPr>
            <w:r>
              <w:t>2 Dec 2005</w:t>
            </w:r>
          </w:p>
        </w:tc>
        <w:tc>
          <w:tcPr>
            <w:tcW w:w="2553" w:type="dxa"/>
            <w:gridSpan w:val="3"/>
          </w:tcPr>
          <w:p>
            <w:pPr>
              <w:pStyle w:val="nTable"/>
              <w:spacing w:after="40"/>
            </w:pPr>
            <w:r>
              <w:t xml:space="preserve">1 Jan 2006 (see s. 2(1) and </w:t>
            </w:r>
            <w:r>
              <w:rPr>
                <w:i/>
              </w:rPr>
              <w:t>Gazette</w:t>
            </w:r>
            <w:r>
              <w:t xml:space="preserve"> 23 Dec 2005 p. 6244)</w:t>
            </w:r>
          </w:p>
        </w:tc>
      </w:tr>
      <w:tr>
        <w:trPr>
          <w:gridBefore w:val="2"/>
          <w:wBefore w:w="28" w:type="dxa"/>
          <w:cantSplit/>
        </w:trPr>
        <w:tc>
          <w:tcPr>
            <w:tcW w:w="2410" w:type="dxa"/>
          </w:tcPr>
          <w:p>
            <w:pPr>
              <w:pStyle w:val="nTable"/>
              <w:spacing w:after="40"/>
              <w:ind w:left="-28"/>
              <w:rPr>
                <w:i/>
              </w:rPr>
            </w:pPr>
            <w:r>
              <w:rPr>
                <w:i/>
                <w:snapToGrid w:val="0"/>
              </w:rPr>
              <w:t>Planning and Development (Consequential and Transitional Provisions) Act 2005</w:t>
            </w:r>
            <w:r>
              <w:t xml:space="preserve"> s. 15</w:t>
            </w:r>
          </w:p>
        </w:tc>
        <w:tc>
          <w:tcPr>
            <w:tcW w:w="992" w:type="dxa"/>
            <w:gridSpan w:val="3"/>
          </w:tcPr>
          <w:p>
            <w:pPr>
              <w:pStyle w:val="nTable"/>
              <w:spacing w:after="40"/>
            </w:pPr>
            <w:r>
              <w:rPr>
                <w:snapToGrid w:val="0"/>
              </w:rPr>
              <w:t>38 of 2005</w:t>
            </w:r>
          </w:p>
        </w:tc>
        <w:tc>
          <w:tcPr>
            <w:tcW w:w="1134" w:type="dxa"/>
            <w:gridSpan w:val="3"/>
          </w:tcPr>
          <w:p>
            <w:pPr>
              <w:pStyle w:val="nTable"/>
              <w:spacing w:after="40"/>
            </w:pPr>
            <w:r>
              <w:t>12 Dec 2005</w:t>
            </w:r>
          </w:p>
        </w:tc>
        <w:tc>
          <w:tcPr>
            <w:tcW w:w="2553" w:type="dxa"/>
            <w:gridSpan w:val="3"/>
          </w:tcPr>
          <w:p>
            <w:pPr>
              <w:pStyle w:val="nTable"/>
              <w:spacing w:after="40"/>
            </w:pPr>
            <w:r>
              <w:t xml:space="preserve">9 Apr 2006 (see s. 2 and </w:t>
            </w:r>
            <w:r>
              <w:rPr>
                <w:i/>
              </w:rPr>
              <w:t>Gazette</w:t>
            </w:r>
            <w:r>
              <w:t xml:space="preserve"> 21 Mar 2006 p. 1078)</w:t>
            </w:r>
          </w:p>
        </w:tc>
      </w:tr>
      <w:tr>
        <w:trPr>
          <w:gridBefore w:val="2"/>
          <w:wBefore w:w="28" w:type="dxa"/>
          <w:cantSplit/>
        </w:trPr>
        <w:tc>
          <w:tcPr>
            <w:tcW w:w="2410" w:type="dxa"/>
          </w:tcPr>
          <w:p>
            <w:pPr>
              <w:pStyle w:val="nTable"/>
              <w:spacing w:after="40"/>
              <w:ind w:left="-28"/>
              <w:rPr>
                <w:snapToGrid w:val="0"/>
              </w:rPr>
            </w:pPr>
            <w:r>
              <w:rPr>
                <w:i/>
                <w:snapToGrid w:val="0"/>
              </w:rPr>
              <w:t>Machinery of Government (Miscellaneous Amendments) Act 2006</w:t>
            </w:r>
            <w:r>
              <w:rPr>
                <w:snapToGrid w:val="0"/>
              </w:rPr>
              <w:t xml:space="preserve"> Pt. 12 Div. 3</w:t>
            </w:r>
            <w:r>
              <w:rPr>
                <w:snapToGrid w:val="0"/>
                <w:vertAlign w:val="superscript"/>
              </w:rPr>
              <w:t> 27</w:t>
            </w:r>
          </w:p>
        </w:tc>
        <w:tc>
          <w:tcPr>
            <w:tcW w:w="992" w:type="dxa"/>
            <w:gridSpan w:val="3"/>
          </w:tcPr>
          <w:p>
            <w:pPr>
              <w:pStyle w:val="nTable"/>
              <w:spacing w:after="40"/>
              <w:rPr>
                <w:snapToGrid w:val="0"/>
              </w:rPr>
            </w:pPr>
            <w:r>
              <w:rPr>
                <w:snapToGrid w:val="0"/>
              </w:rPr>
              <w:t>28 of 2006</w:t>
            </w:r>
          </w:p>
        </w:tc>
        <w:tc>
          <w:tcPr>
            <w:tcW w:w="1134" w:type="dxa"/>
            <w:gridSpan w:val="3"/>
          </w:tcPr>
          <w:p>
            <w:pPr>
              <w:pStyle w:val="nTable"/>
              <w:spacing w:after="40"/>
            </w:pPr>
            <w:r>
              <w:t>26 Jun 2006</w:t>
            </w:r>
          </w:p>
        </w:tc>
        <w:tc>
          <w:tcPr>
            <w:tcW w:w="2553" w:type="dxa"/>
            <w:gridSpan w:val="3"/>
          </w:tcPr>
          <w:p>
            <w:pPr>
              <w:pStyle w:val="nTable"/>
              <w:spacing w:after="40"/>
            </w:pPr>
            <w:r>
              <w:t xml:space="preserve">1 Jul 2006 (see s. 2 and </w:t>
            </w:r>
            <w:r>
              <w:rPr>
                <w:i/>
              </w:rPr>
              <w:t>Gazette</w:t>
            </w:r>
            <w:r>
              <w:t xml:space="preserve"> 27 Jun 2006 p. 2347)</w:t>
            </w:r>
          </w:p>
        </w:tc>
      </w:tr>
      <w:tr>
        <w:trPr>
          <w:gridBefore w:val="2"/>
          <w:wBefore w:w="28" w:type="dxa"/>
          <w:cantSplit/>
        </w:trPr>
        <w:tc>
          <w:tcPr>
            <w:tcW w:w="2410" w:type="dxa"/>
          </w:tcPr>
          <w:p>
            <w:pPr>
              <w:pStyle w:val="nTable"/>
              <w:spacing w:after="40"/>
              <w:ind w:left="-28"/>
              <w:rPr>
                <w:i/>
                <w:snapToGrid w:val="0"/>
              </w:rPr>
            </w:pPr>
            <w:r>
              <w:rPr>
                <w:i/>
                <w:snapToGrid w:val="0"/>
              </w:rPr>
              <w:t>Land Information Authority Act 2006</w:t>
            </w:r>
            <w:r>
              <w:rPr>
                <w:snapToGrid w:val="0"/>
              </w:rPr>
              <w:t xml:space="preserve"> s. 144</w:t>
            </w:r>
          </w:p>
        </w:tc>
        <w:tc>
          <w:tcPr>
            <w:tcW w:w="992" w:type="dxa"/>
            <w:gridSpan w:val="3"/>
          </w:tcPr>
          <w:p>
            <w:pPr>
              <w:pStyle w:val="nTable"/>
              <w:spacing w:after="40"/>
              <w:rPr>
                <w:snapToGrid w:val="0"/>
              </w:rPr>
            </w:pPr>
            <w:r>
              <w:rPr>
                <w:snapToGrid w:val="0"/>
              </w:rPr>
              <w:t>60 of 2006</w:t>
            </w:r>
          </w:p>
        </w:tc>
        <w:tc>
          <w:tcPr>
            <w:tcW w:w="1134" w:type="dxa"/>
            <w:gridSpan w:val="3"/>
          </w:tcPr>
          <w:p>
            <w:pPr>
              <w:pStyle w:val="nTable"/>
              <w:spacing w:after="40"/>
            </w:pPr>
            <w:r>
              <w:rPr>
                <w:snapToGrid w:val="0"/>
              </w:rPr>
              <w:t>16 Nov 2006</w:t>
            </w:r>
          </w:p>
        </w:tc>
        <w:tc>
          <w:tcPr>
            <w:tcW w:w="2553" w:type="dxa"/>
            <w:gridSpan w:val="3"/>
          </w:tcPr>
          <w:p>
            <w:pPr>
              <w:pStyle w:val="nTable"/>
              <w:spacing w:after="40"/>
            </w:pPr>
            <w:r>
              <w:t xml:space="preserve">1 Jan 2007 (see s. 2(1) and </w:t>
            </w:r>
            <w:r>
              <w:rPr>
                <w:i/>
              </w:rPr>
              <w:t xml:space="preserve">Gazette </w:t>
            </w:r>
            <w:r>
              <w:t>8 Dec 2006 p. 5369)</w:t>
            </w:r>
          </w:p>
        </w:tc>
      </w:tr>
      <w:tr>
        <w:trPr>
          <w:gridBefore w:val="2"/>
          <w:wBefore w:w="28" w:type="dxa"/>
          <w:cantSplit/>
        </w:trPr>
        <w:tc>
          <w:tcPr>
            <w:tcW w:w="2410" w:type="dxa"/>
          </w:tcPr>
          <w:p>
            <w:pPr>
              <w:pStyle w:val="nTable"/>
              <w:spacing w:after="40"/>
              <w:ind w:left="-28"/>
              <w:rPr>
                <w:snapToGrid w:val="0"/>
              </w:rPr>
            </w:pPr>
            <w:r>
              <w:rPr>
                <w:i/>
                <w:snapToGrid w:val="0"/>
              </w:rPr>
              <w:t>Local Government Amendment Act 2006</w:t>
            </w:r>
          </w:p>
        </w:tc>
        <w:tc>
          <w:tcPr>
            <w:tcW w:w="992" w:type="dxa"/>
            <w:gridSpan w:val="3"/>
          </w:tcPr>
          <w:p>
            <w:pPr>
              <w:pStyle w:val="nTable"/>
              <w:spacing w:after="40"/>
              <w:rPr>
                <w:snapToGrid w:val="0"/>
              </w:rPr>
            </w:pPr>
            <w:r>
              <w:rPr>
                <w:snapToGrid w:val="0"/>
              </w:rPr>
              <w:t>66 of 2006</w:t>
            </w:r>
          </w:p>
        </w:tc>
        <w:tc>
          <w:tcPr>
            <w:tcW w:w="1134" w:type="dxa"/>
            <w:gridSpan w:val="3"/>
          </w:tcPr>
          <w:p>
            <w:pPr>
              <w:pStyle w:val="nTable"/>
              <w:spacing w:after="40"/>
            </w:pPr>
            <w:r>
              <w:t>8 Dec 2006</w:t>
            </w:r>
          </w:p>
        </w:tc>
        <w:tc>
          <w:tcPr>
            <w:tcW w:w="2553" w:type="dxa"/>
            <w:gridSpan w:val="3"/>
          </w:tcPr>
          <w:p>
            <w:pPr>
              <w:pStyle w:val="nTable"/>
              <w:spacing w:after="40"/>
            </w:pPr>
            <w:r>
              <w:t>Act other than s. 14: 9 Dec 2006 (see s. 2(1));</w:t>
            </w:r>
            <w:r>
              <w:br/>
              <w:t xml:space="preserve">s. 14: 6 Sep 2007 (see s. 2(2) and </w:t>
            </w:r>
            <w:r>
              <w:rPr>
                <w:i/>
                <w:iCs/>
              </w:rPr>
              <w:t>Gazette</w:t>
            </w:r>
            <w:r>
              <w:t xml:space="preserve"> 21 Aug 2007 p. 4173)</w:t>
            </w:r>
          </w:p>
        </w:tc>
      </w:tr>
      <w:tr>
        <w:trPr>
          <w:gridBefore w:val="2"/>
          <w:wBefore w:w="28" w:type="dxa"/>
          <w:cantSplit/>
        </w:trPr>
        <w:tc>
          <w:tcPr>
            <w:tcW w:w="2410" w:type="dxa"/>
          </w:tcPr>
          <w:p>
            <w:pPr>
              <w:pStyle w:val="nTable"/>
              <w:spacing w:after="40"/>
              <w:ind w:left="-28"/>
              <w:rPr>
                <w:i/>
                <w:snapToGrid w:val="0"/>
              </w:rPr>
            </w:pPr>
            <w:r>
              <w:rPr>
                <w:i/>
                <w:snapToGrid w:val="0"/>
              </w:rPr>
              <w:t xml:space="preserve">Financial Legislation Amendment and Repeal Act 2006 </w:t>
            </w:r>
            <w:r>
              <w:rPr>
                <w:snapToGrid w:val="0"/>
              </w:rPr>
              <w:t>s. 4 and Sch. 1 cl. 102</w:t>
            </w:r>
          </w:p>
        </w:tc>
        <w:tc>
          <w:tcPr>
            <w:tcW w:w="992" w:type="dxa"/>
            <w:gridSpan w:val="3"/>
          </w:tcPr>
          <w:p>
            <w:pPr>
              <w:pStyle w:val="nTable"/>
              <w:spacing w:after="40"/>
              <w:rPr>
                <w:snapToGrid w:val="0"/>
              </w:rPr>
            </w:pPr>
            <w:r>
              <w:rPr>
                <w:snapToGrid w:val="0"/>
              </w:rPr>
              <w:t xml:space="preserve">77 of 2006 </w:t>
            </w:r>
          </w:p>
        </w:tc>
        <w:tc>
          <w:tcPr>
            <w:tcW w:w="1134" w:type="dxa"/>
            <w:gridSpan w:val="3"/>
          </w:tcPr>
          <w:p>
            <w:pPr>
              <w:pStyle w:val="nTable"/>
              <w:spacing w:after="40"/>
            </w:pPr>
            <w:r>
              <w:rPr>
                <w:snapToGrid w:val="0"/>
              </w:rPr>
              <w:t>21 Dec 2006</w:t>
            </w:r>
          </w:p>
        </w:tc>
        <w:tc>
          <w:tcPr>
            <w:tcW w:w="2553" w:type="dxa"/>
            <w:gridSpan w:val="3"/>
          </w:tcPr>
          <w:p>
            <w:pPr>
              <w:pStyle w:val="nTable"/>
              <w:spacing w:after="40"/>
            </w:pPr>
            <w:r>
              <w:rPr>
                <w:snapToGrid w:val="0"/>
              </w:rPr>
              <w:t xml:space="preserve">1 Feb 2007 (see s. 2(1) and </w:t>
            </w:r>
            <w:r>
              <w:rPr>
                <w:i/>
                <w:snapToGrid w:val="0"/>
              </w:rPr>
              <w:t>Gazette</w:t>
            </w:r>
            <w:r>
              <w:rPr>
                <w:snapToGrid w:val="0"/>
              </w:rPr>
              <w:t xml:space="preserve"> 19 Jan 2007 p. 137)</w:t>
            </w:r>
          </w:p>
        </w:tc>
      </w:tr>
      <w:tr>
        <w:trPr>
          <w:gridBefore w:val="2"/>
          <w:wBefore w:w="28" w:type="dxa"/>
          <w:cantSplit/>
        </w:trPr>
        <w:tc>
          <w:tcPr>
            <w:tcW w:w="2410" w:type="dxa"/>
          </w:tcPr>
          <w:p>
            <w:pPr>
              <w:pStyle w:val="nTable"/>
              <w:spacing w:after="40"/>
              <w:ind w:left="-28"/>
              <w:rPr>
                <w:i/>
                <w:snapToGrid w:val="0"/>
              </w:rPr>
            </w:pPr>
            <w:r>
              <w:rPr>
                <w:i/>
                <w:snapToGrid w:val="0"/>
              </w:rPr>
              <w:t>Local Government (Official Conduct) Amendment Act 2007</w:t>
            </w:r>
          </w:p>
        </w:tc>
        <w:tc>
          <w:tcPr>
            <w:tcW w:w="992" w:type="dxa"/>
            <w:gridSpan w:val="3"/>
          </w:tcPr>
          <w:p>
            <w:pPr>
              <w:pStyle w:val="nTable"/>
              <w:spacing w:after="40"/>
              <w:rPr>
                <w:snapToGrid w:val="0"/>
              </w:rPr>
            </w:pPr>
            <w:r>
              <w:rPr>
                <w:snapToGrid w:val="0"/>
              </w:rPr>
              <w:t>1 of 2007</w:t>
            </w:r>
          </w:p>
        </w:tc>
        <w:tc>
          <w:tcPr>
            <w:tcW w:w="1134" w:type="dxa"/>
            <w:gridSpan w:val="3"/>
          </w:tcPr>
          <w:p>
            <w:pPr>
              <w:pStyle w:val="nTable"/>
              <w:spacing w:after="40"/>
              <w:rPr>
                <w:snapToGrid w:val="0"/>
              </w:rPr>
            </w:pPr>
            <w:r>
              <w:rPr>
                <w:snapToGrid w:val="0"/>
              </w:rPr>
              <w:t>28 Mar 2007</w:t>
            </w:r>
          </w:p>
        </w:tc>
        <w:tc>
          <w:tcPr>
            <w:tcW w:w="2553" w:type="dxa"/>
            <w:gridSpan w:val="3"/>
          </w:tcPr>
          <w:p>
            <w:pPr>
              <w:pStyle w:val="nTable"/>
              <w:spacing w:after="40"/>
              <w:rPr>
                <w:snapToGrid w:val="0"/>
              </w:rPr>
            </w:pPr>
            <w:r>
              <w:rPr>
                <w:snapToGrid w:val="0"/>
              </w:rPr>
              <w:t>s. 1 and 2: 28 Mar 2007;</w:t>
            </w:r>
            <w:r>
              <w:rPr>
                <w:snapToGrid w:val="0"/>
              </w:rPr>
              <w:br/>
              <w:t xml:space="preserve">Act other than s. 1 and 2: 21 Oct 2007 (see s. 2 and </w:t>
            </w:r>
            <w:r>
              <w:rPr>
                <w:i/>
                <w:iCs/>
                <w:snapToGrid w:val="0"/>
              </w:rPr>
              <w:t>Gazette</w:t>
            </w:r>
            <w:r>
              <w:rPr>
                <w:snapToGrid w:val="0"/>
              </w:rPr>
              <w:t xml:space="preserve"> 21 Aug 2007 p. 4173)</w:t>
            </w:r>
          </w:p>
        </w:tc>
      </w:tr>
      <w:tr>
        <w:trPr>
          <w:gridBefore w:val="2"/>
          <w:wBefore w:w="28" w:type="dxa"/>
          <w:cantSplit/>
        </w:trPr>
        <w:tc>
          <w:tcPr>
            <w:tcW w:w="2410" w:type="dxa"/>
          </w:tcPr>
          <w:p>
            <w:pPr>
              <w:pStyle w:val="nTable"/>
              <w:spacing w:after="40"/>
              <w:ind w:left="-28"/>
              <w:rPr>
                <w:i/>
                <w:snapToGrid w:val="0"/>
              </w:rPr>
            </w:pPr>
            <w:r>
              <w:rPr>
                <w:i/>
                <w:snapToGrid w:val="0"/>
              </w:rPr>
              <w:t>Local Government Amendment Act 2007</w:t>
            </w:r>
          </w:p>
        </w:tc>
        <w:tc>
          <w:tcPr>
            <w:tcW w:w="992" w:type="dxa"/>
            <w:gridSpan w:val="3"/>
          </w:tcPr>
          <w:p>
            <w:pPr>
              <w:pStyle w:val="nTable"/>
              <w:spacing w:after="40"/>
              <w:rPr>
                <w:snapToGrid w:val="0"/>
              </w:rPr>
            </w:pPr>
            <w:r>
              <w:rPr>
                <w:snapToGrid w:val="0"/>
              </w:rPr>
              <w:t>9 of 2007</w:t>
            </w:r>
          </w:p>
        </w:tc>
        <w:tc>
          <w:tcPr>
            <w:tcW w:w="1134" w:type="dxa"/>
            <w:gridSpan w:val="3"/>
          </w:tcPr>
          <w:p>
            <w:pPr>
              <w:pStyle w:val="nTable"/>
              <w:spacing w:after="40"/>
              <w:rPr>
                <w:snapToGrid w:val="0"/>
              </w:rPr>
            </w:pPr>
            <w:r>
              <w:rPr>
                <w:snapToGrid w:val="0"/>
              </w:rPr>
              <w:t>25 Jun 2007</w:t>
            </w:r>
          </w:p>
        </w:tc>
        <w:tc>
          <w:tcPr>
            <w:tcW w:w="2553" w:type="dxa"/>
            <w:gridSpan w:val="3"/>
          </w:tcPr>
          <w:p>
            <w:pPr>
              <w:pStyle w:val="nTable"/>
              <w:spacing w:after="40"/>
              <w:rPr>
                <w:snapToGrid w:val="0"/>
              </w:rPr>
            </w:pPr>
            <w:r>
              <w:rPr>
                <w:snapToGrid w:val="0"/>
              </w:rPr>
              <w:t>s. 1 and 2: 25 Jun 2007;</w:t>
            </w:r>
            <w:r>
              <w:rPr>
                <w:snapToGrid w:val="0"/>
              </w:rPr>
              <w:br/>
              <w:t xml:space="preserve">Act other than s. 1 and 2: 6 Sep 2007 (see s. 2 and </w:t>
            </w:r>
            <w:r>
              <w:rPr>
                <w:i/>
                <w:iCs/>
                <w:snapToGrid w:val="0"/>
              </w:rPr>
              <w:t>Gazette</w:t>
            </w:r>
            <w:r>
              <w:rPr>
                <w:snapToGrid w:val="0"/>
              </w:rPr>
              <w:t xml:space="preserve"> 3 Aug 2007 p. 3989)</w:t>
            </w:r>
          </w:p>
        </w:tc>
      </w:tr>
      <w:tr>
        <w:trPr>
          <w:gridBefore w:val="2"/>
          <w:wBefore w:w="28" w:type="dxa"/>
          <w:cantSplit/>
        </w:trPr>
        <w:tc>
          <w:tcPr>
            <w:tcW w:w="2410" w:type="dxa"/>
          </w:tcPr>
          <w:p>
            <w:pPr>
              <w:pStyle w:val="nTable"/>
              <w:spacing w:after="40"/>
              <w:rPr>
                <w:snapToGrid w:val="0"/>
                <w:vertAlign w:val="superscript"/>
              </w:rPr>
            </w:pPr>
            <w:r>
              <w:rPr>
                <w:i/>
              </w:rPr>
              <w:t>Local Government (Miscellaneous Provisions) Amendment Act 2007</w:t>
            </w:r>
            <w:r>
              <w:t xml:space="preserve"> s. 13</w:t>
            </w:r>
          </w:p>
        </w:tc>
        <w:tc>
          <w:tcPr>
            <w:tcW w:w="992" w:type="dxa"/>
            <w:gridSpan w:val="3"/>
          </w:tcPr>
          <w:p>
            <w:pPr>
              <w:pStyle w:val="nTable"/>
              <w:spacing w:after="40"/>
              <w:rPr>
                <w:snapToGrid w:val="0"/>
              </w:rPr>
            </w:pPr>
            <w:r>
              <w:rPr>
                <w:snapToGrid w:val="0"/>
              </w:rPr>
              <w:t>11 of 2007</w:t>
            </w:r>
          </w:p>
        </w:tc>
        <w:tc>
          <w:tcPr>
            <w:tcW w:w="1134" w:type="dxa"/>
            <w:gridSpan w:val="3"/>
          </w:tcPr>
          <w:p>
            <w:pPr>
              <w:pStyle w:val="nTable"/>
              <w:spacing w:after="40"/>
              <w:rPr>
                <w:snapToGrid w:val="0"/>
              </w:rPr>
            </w:pPr>
            <w:r>
              <w:rPr>
                <w:snapToGrid w:val="0"/>
              </w:rPr>
              <w:t>29 Jun 2007</w:t>
            </w:r>
          </w:p>
        </w:tc>
        <w:tc>
          <w:tcPr>
            <w:tcW w:w="2553" w:type="dxa"/>
            <w:gridSpan w:val="3"/>
          </w:tcPr>
          <w:p>
            <w:pPr>
              <w:pStyle w:val="nTable"/>
              <w:spacing w:after="40"/>
              <w:rPr>
                <w:snapToGrid w:val="0"/>
              </w:rPr>
            </w:pPr>
            <w:r>
              <w:rPr>
                <w:snapToGrid w:val="0"/>
              </w:rPr>
              <w:t xml:space="preserve">1 Jul 2008 (see s. 2 and </w:t>
            </w:r>
            <w:r>
              <w:rPr>
                <w:i/>
                <w:iCs/>
                <w:snapToGrid w:val="0"/>
              </w:rPr>
              <w:t>Gazette</w:t>
            </w:r>
            <w:r>
              <w:rPr>
                <w:snapToGrid w:val="0"/>
              </w:rPr>
              <w:t xml:space="preserve"> 6 Jun 2008 p. 2179)</w:t>
            </w:r>
          </w:p>
        </w:tc>
      </w:tr>
      <w:tr>
        <w:trPr>
          <w:gridBefore w:val="2"/>
          <w:wBefore w:w="28" w:type="dxa"/>
          <w:cantSplit/>
        </w:trPr>
        <w:tc>
          <w:tcPr>
            <w:tcW w:w="2410" w:type="dxa"/>
          </w:tcPr>
          <w:p>
            <w:pPr>
              <w:pStyle w:val="nTable"/>
              <w:spacing w:after="40"/>
              <w:rPr>
                <w:i/>
              </w:rPr>
            </w:pPr>
            <w:r>
              <w:rPr>
                <w:i/>
              </w:rPr>
              <w:t>Petroleum Amendment Act 2007</w:t>
            </w:r>
            <w:r>
              <w:rPr>
                <w:iCs/>
              </w:rPr>
              <w:t xml:space="preserve"> s. 99</w:t>
            </w:r>
          </w:p>
        </w:tc>
        <w:tc>
          <w:tcPr>
            <w:tcW w:w="992" w:type="dxa"/>
            <w:gridSpan w:val="3"/>
          </w:tcPr>
          <w:p>
            <w:pPr>
              <w:pStyle w:val="nTable"/>
              <w:spacing w:after="40"/>
              <w:rPr>
                <w:snapToGrid w:val="0"/>
              </w:rPr>
            </w:pPr>
            <w:r>
              <w:rPr>
                <w:snapToGrid w:val="0"/>
              </w:rPr>
              <w:t>35 of 2007</w:t>
            </w:r>
          </w:p>
        </w:tc>
        <w:tc>
          <w:tcPr>
            <w:tcW w:w="1134" w:type="dxa"/>
            <w:gridSpan w:val="3"/>
          </w:tcPr>
          <w:p>
            <w:pPr>
              <w:pStyle w:val="nTable"/>
              <w:spacing w:after="40"/>
              <w:rPr>
                <w:snapToGrid w:val="0"/>
              </w:rPr>
            </w:pPr>
            <w:r>
              <w:t>21 Dec 2007</w:t>
            </w:r>
          </w:p>
        </w:tc>
        <w:tc>
          <w:tcPr>
            <w:tcW w:w="2553" w:type="dxa"/>
            <w:gridSpan w:val="3"/>
          </w:tcPr>
          <w:p>
            <w:pPr>
              <w:pStyle w:val="nTable"/>
              <w:spacing w:after="40"/>
              <w:rPr>
                <w:snapToGrid w:val="0"/>
              </w:rPr>
            </w:pPr>
            <w:r>
              <w:rPr>
                <w:snapToGrid w:val="0"/>
              </w:rPr>
              <w:t xml:space="preserve">31 Oct 2009 (see s. 2(b) and </w:t>
            </w:r>
            <w:r>
              <w:rPr>
                <w:i/>
                <w:iCs/>
                <w:snapToGrid w:val="0"/>
              </w:rPr>
              <w:t>Gazette</w:t>
            </w:r>
            <w:r>
              <w:rPr>
                <w:snapToGrid w:val="0"/>
              </w:rPr>
              <w:t xml:space="preserve"> 30 Oct 2009 p. 4305)</w:t>
            </w:r>
          </w:p>
        </w:tc>
      </w:tr>
      <w:tr>
        <w:trPr>
          <w:gridBefore w:val="2"/>
          <w:wBefore w:w="28" w:type="dxa"/>
          <w:cantSplit/>
        </w:trPr>
        <w:tc>
          <w:tcPr>
            <w:tcW w:w="7089" w:type="dxa"/>
            <w:gridSpan w:val="10"/>
          </w:tcPr>
          <w:p>
            <w:pPr>
              <w:pStyle w:val="nTable"/>
              <w:spacing w:after="40"/>
              <w:rPr>
                <w:snapToGrid w:val="0"/>
              </w:rPr>
            </w:pPr>
            <w:r>
              <w:rPr>
                <w:b/>
                <w:snapToGrid w:val="0"/>
              </w:rPr>
              <w:t xml:space="preserve">Reprint 4: The </w:t>
            </w:r>
            <w:r>
              <w:rPr>
                <w:b/>
                <w:i/>
                <w:snapToGrid w:val="0"/>
              </w:rPr>
              <w:t>Local Government Act 1995</w:t>
            </w:r>
            <w:r>
              <w:rPr>
                <w:b/>
                <w:snapToGrid w:val="0"/>
              </w:rPr>
              <w:t xml:space="preserve"> as at 18 Jan 2008</w:t>
            </w:r>
            <w:r>
              <w:rPr>
                <w:snapToGrid w:val="0"/>
              </w:rPr>
              <w:t xml:space="preserve"> (includes amendments listed above, except those in the </w:t>
            </w:r>
            <w:r>
              <w:rPr>
                <w:i/>
                <w:iCs/>
                <w:snapToGrid w:val="0"/>
              </w:rPr>
              <w:t>Local Government (Miscellaneous Provisions) Amendment Act 2007</w:t>
            </w:r>
            <w:r>
              <w:rPr>
                <w:snapToGrid w:val="0"/>
              </w:rPr>
              <w:t xml:space="preserve"> and the </w:t>
            </w:r>
            <w:r>
              <w:rPr>
                <w:i/>
              </w:rPr>
              <w:t>Petroleum Amendment Act 2007</w:t>
            </w:r>
            <w:r>
              <w:rPr>
                <w:snapToGrid w:val="0"/>
              </w:rPr>
              <w:t>)</w:t>
            </w:r>
          </w:p>
        </w:tc>
      </w:tr>
      <w:tr>
        <w:trPr>
          <w:gridBefore w:val="2"/>
          <w:wBefore w:w="28" w:type="dxa"/>
          <w:cantSplit/>
        </w:trPr>
        <w:tc>
          <w:tcPr>
            <w:tcW w:w="2410" w:type="dxa"/>
          </w:tcPr>
          <w:p>
            <w:pPr>
              <w:pStyle w:val="nTable"/>
              <w:spacing w:after="40"/>
              <w:rPr>
                <w:iCs/>
                <w:vertAlign w:val="superscript"/>
              </w:rPr>
            </w:pPr>
            <w:r>
              <w:rPr>
                <w:i/>
              </w:rPr>
              <w:t>Duties Legislation Amendment Act 2008</w:t>
            </w:r>
            <w:r>
              <w:rPr>
                <w:iCs/>
              </w:rPr>
              <w:t xml:space="preserve"> Sch. 1 cl. 21</w:t>
            </w:r>
          </w:p>
        </w:tc>
        <w:tc>
          <w:tcPr>
            <w:tcW w:w="992" w:type="dxa"/>
            <w:gridSpan w:val="3"/>
          </w:tcPr>
          <w:p>
            <w:pPr>
              <w:pStyle w:val="nTable"/>
              <w:spacing w:after="40"/>
            </w:pPr>
            <w:r>
              <w:t>12 of 2008</w:t>
            </w:r>
          </w:p>
        </w:tc>
        <w:tc>
          <w:tcPr>
            <w:tcW w:w="1134" w:type="dxa"/>
            <w:gridSpan w:val="3"/>
          </w:tcPr>
          <w:p>
            <w:pPr>
              <w:pStyle w:val="nTable"/>
              <w:spacing w:after="40"/>
            </w:pPr>
            <w:r>
              <w:t>14 Apr 2008</w:t>
            </w:r>
          </w:p>
        </w:tc>
        <w:tc>
          <w:tcPr>
            <w:tcW w:w="2553" w:type="dxa"/>
            <w:gridSpan w:val="3"/>
          </w:tcPr>
          <w:p>
            <w:pPr>
              <w:pStyle w:val="nTable"/>
              <w:spacing w:after="40"/>
            </w:pPr>
            <w:r>
              <w:t>1 Jul 2008 (see s. 2(d))</w:t>
            </w:r>
          </w:p>
        </w:tc>
      </w:tr>
      <w:tr>
        <w:trPr>
          <w:gridBefore w:val="1"/>
          <w:gridAfter w:val="1"/>
          <w:wBefore w:w="14" w:type="dxa"/>
          <w:wAfter w:w="16" w:type="dxa"/>
          <w:cantSplit/>
        </w:trPr>
        <w:tc>
          <w:tcPr>
            <w:tcW w:w="2424" w:type="dxa"/>
            <w:gridSpan w:val="2"/>
          </w:tcPr>
          <w:p>
            <w:pPr>
              <w:pStyle w:val="nTable"/>
              <w:spacing w:after="40"/>
              <w:ind w:right="113"/>
              <w:rPr>
                <w:iCs/>
              </w:rPr>
            </w:pPr>
            <w:r>
              <w:rPr>
                <w:i/>
              </w:rPr>
              <w:t>Statutes (Repeals and Miscellaneous Amendments) Act 2009</w:t>
            </w:r>
            <w:r>
              <w:rPr>
                <w:iCs/>
              </w:rPr>
              <w:t xml:space="preserve"> s. 87</w:t>
            </w:r>
          </w:p>
        </w:tc>
        <w:tc>
          <w:tcPr>
            <w:tcW w:w="978" w:type="dxa"/>
            <w:gridSpan w:val="2"/>
          </w:tcPr>
          <w:p>
            <w:pPr>
              <w:pStyle w:val="nTable"/>
              <w:spacing w:after="40"/>
            </w:pPr>
            <w:r>
              <w:t xml:space="preserve">8 of 2009 </w:t>
            </w:r>
          </w:p>
        </w:tc>
        <w:tc>
          <w:tcPr>
            <w:tcW w:w="1134" w:type="dxa"/>
            <w:gridSpan w:val="3"/>
          </w:tcPr>
          <w:p>
            <w:pPr>
              <w:pStyle w:val="nTable"/>
              <w:spacing w:after="40"/>
            </w:pPr>
            <w:r>
              <w:t>21 May 2009</w:t>
            </w:r>
          </w:p>
        </w:tc>
        <w:tc>
          <w:tcPr>
            <w:tcW w:w="2551" w:type="dxa"/>
            <w:gridSpan w:val="3"/>
          </w:tcPr>
          <w:p>
            <w:pPr>
              <w:pStyle w:val="nTable"/>
              <w:spacing w:after="40"/>
            </w:pPr>
            <w:r>
              <w:t>22 May 2009 (see s. 2(b))</w:t>
            </w:r>
          </w:p>
        </w:tc>
      </w:tr>
      <w:tr>
        <w:trPr>
          <w:gridBefore w:val="1"/>
          <w:gridAfter w:val="1"/>
          <w:wBefore w:w="14" w:type="dxa"/>
          <w:wAfter w:w="16" w:type="dxa"/>
          <w:cantSplit/>
        </w:trPr>
        <w:tc>
          <w:tcPr>
            <w:tcW w:w="2424" w:type="dxa"/>
            <w:gridSpan w:val="2"/>
          </w:tcPr>
          <w:p>
            <w:pPr>
              <w:pStyle w:val="nTable"/>
              <w:spacing w:after="40"/>
              <w:ind w:right="113"/>
              <w:rPr>
                <w:i/>
              </w:rPr>
            </w:pPr>
            <w:r>
              <w:rPr>
                <w:i/>
              </w:rPr>
              <w:t>Local Government Amendment (Elections) Act 2009</w:t>
            </w:r>
          </w:p>
        </w:tc>
        <w:tc>
          <w:tcPr>
            <w:tcW w:w="978" w:type="dxa"/>
            <w:gridSpan w:val="2"/>
          </w:tcPr>
          <w:p>
            <w:pPr>
              <w:pStyle w:val="nTable"/>
              <w:spacing w:after="40"/>
            </w:pPr>
            <w:r>
              <w:t>15 of 2009</w:t>
            </w:r>
          </w:p>
        </w:tc>
        <w:tc>
          <w:tcPr>
            <w:tcW w:w="1134" w:type="dxa"/>
            <w:gridSpan w:val="3"/>
          </w:tcPr>
          <w:p>
            <w:pPr>
              <w:pStyle w:val="nTable"/>
              <w:spacing w:after="40"/>
            </w:pPr>
            <w:r>
              <w:t>17 Aug 2009</w:t>
            </w:r>
          </w:p>
        </w:tc>
        <w:tc>
          <w:tcPr>
            <w:tcW w:w="2551" w:type="dxa"/>
            <w:gridSpan w:val="3"/>
          </w:tcPr>
          <w:p>
            <w:pPr>
              <w:pStyle w:val="nTable"/>
              <w:spacing w:after="40"/>
            </w:pPr>
            <w:r>
              <w:t>s. 1 and 2: 17 Aug 2009 (see s. 2(a));</w:t>
            </w:r>
            <w:r>
              <w:br/>
              <w:t xml:space="preserve">Act other than s. 1 and 2: 29 Aug 2009 (see s. 2(b) and </w:t>
            </w:r>
            <w:r>
              <w:rPr>
                <w:i/>
                <w:iCs/>
              </w:rPr>
              <w:t>Gazette</w:t>
            </w:r>
            <w:r>
              <w:t xml:space="preserve"> 28 Aug 2009 p. 3347)</w:t>
            </w:r>
          </w:p>
        </w:tc>
      </w:tr>
      <w:tr>
        <w:trPr>
          <w:gridBefore w:val="1"/>
          <w:gridAfter w:val="1"/>
          <w:wBefore w:w="14" w:type="dxa"/>
          <w:wAfter w:w="16" w:type="dxa"/>
          <w:cantSplit/>
        </w:trPr>
        <w:tc>
          <w:tcPr>
            <w:tcW w:w="2424" w:type="dxa"/>
            <w:gridSpan w:val="2"/>
          </w:tcPr>
          <w:p>
            <w:pPr>
              <w:pStyle w:val="nTable"/>
              <w:spacing w:after="40"/>
              <w:ind w:right="113"/>
            </w:pPr>
            <w:r>
              <w:rPr>
                <w:i/>
              </w:rPr>
              <w:t>Local Government Amendment Act 2009</w:t>
            </w:r>
          </w:p>
        </w:tc>
        <w:tc>
          <w:tcPr>
            <w:tcW w:w="978" w:type="dxa"/>
            <w:gridSpan w:val="2"/>
          </w:tcPr>
          <w:p>
            <w:pPr>
              <w:pStyle w:val="nTable"/>
              <w:spacing w:after="40"/>
            </w:pPr>
            <w:r>
              <w:t>17 of 2009</w:t>
            </w:r>
          </w:p>
        </w:tc>
        <w:tc>
          <w:tcPr>
            <w:tcW w:w="1134" w:type="dxa"/>
            <w:gridSpan w:val="3"/>
          </w:tcPr>
          <w:p>
            <w:pPr>
              <w:pStyle w:val="nTable"/>
              <w:spacing w:after="40"/>
            </w:pPr>
            <w:r>
              <w:t>16 Sep 2009</w:t>
            </w:r>
          </w:p>
        </w:tc>
        <w:tc>
          <w:tcPr>
            <w:tcW w:w="2551" w:type="dxa"/>
            <w:gridSpan w:val="3"/>
          </w:tcPr>
          <w:p>
            <w:pPr>
              <w:pStyle w:val="nTable"/>
              <w:spacing w:after="40"/>
            </w:pPr>
            <w:r>
              <w:t>s. 1 and 2: 16 Sep 2009 (see s. 2(a));</w:t>
            </w:r>
            <w:r>
              <w:br/>
              <w:t xml:space="preserve">Act other than s. 1, 2 and 34: 21 Nov 2009 (see s. 2(b) and </w:t>
            </w:r>
            <w:r>
              <w:rPr>
                <w:i/>
                <w:iCs/>
              </w:rPr>
              <w:t>Gazette</w:t>
            </w:r>
            <w:r>
              <w:t xml:space="preserve"> 20 Nov 2009 p. 4649);</w:t>
            </w:r>
            <w:r>
              <w:br/>
              <w:t xml:space="preserve">s. 34: 4 May 2011 (see s. 2(b) and </w:t>
            </w:r>
            <w:r>
              <w:rPr>
                <w:i/>
              </w:rPr>
              <w:t>Gazette</w:t>
            </w:r>
            <w:r>
              <w:t xml:space="preserve"> 3 May 2011 p. 1577)</w:t>
            </w:r>
          </w:p>
        </w:tc>
      </w:tr>
      <w:tr>
        <w:trPr>
          <w:gridBefore w:val="1"/>
          <w:gridAfter w:val="1"/>
          <w:wBefore w:w="14" w:type="dxa"/>
          <w:wAfter w:w="16" w:type="dxa"/>
          <w:cantSplit/>
        </w:trPr>
        <w:tc>
          <w:tcPr>
            <w:tcW w:w="2424" w:type="dxa"/>
            <w:gridSpan w:val="2"/>
          </w:tcPr>
          <w:p>
            <w:pPr>
              <w:pStyle w:val="nTable"/>
              <w:spacing w:after="40"/>
              <w:ind w:right="113"/>
              <w:rPr>
                <w:i/>
              </w:rPr>
            </w:pPr>
            <w:r>
              <w:rPr>
                <w:i/>
                <w:snapToGrid w:val="0"/>
              </w:rPr>
              <w:t>Co</w:t>
            </w:r>
            <w:r>
              <w:rPr>
                <w:i/>
                <w:snapToGrid w:val="0"/>
              </w:rPr>
              <w:noBreakHyphen/>
              <w:t>operatives Act 2009</w:t>
            </w:r>
            <w:r>
              <w:rPr>
                <w:iCs/>
                <w:snapToGrid w:val="0"/>
              </w:rPr>
              <w:t xml:space="preserve"> s. 506 and 516</w:t>
            </w:r>
          </w:p>
        </w:tc>
        <w:tc>
          <w:tcPr>
            <w:tcW w:w="978" w:type="dxa"/>
            <w:gridSpan w:val="2"/>
          </w:tcPr>
          <w:p>
            <w:pPr>
              <w:pStyle w:val="nTable"/>
              <w:spacing w:after="40"/>
            </w:pPr>
            <w:r>
              <w:t>24 of 2009</w:t>
            </w:r>
          </w:p>
        </w:tc>
        <w:tc>
          <w:tcPr>
            <w:tcW w:w="1134" w:type="dxa"/>
            <w:gridSpan w:val="3"/>
          </w:tcPr>
          <w:p>
            <w:pPr>
              <w:pStyle w:val="nTable"/>
              <w:spacing w:after="40"/>
            </w:pPr>
            <w:r>
              <w:t>22 Oct 2009</w:t>
            </w:r>
          </w:p>
        </w:tc>
        <w:tc>
          <w:tcPr>
            <w:tcW w:w="2551" w:type="dxa"/>
            <w:gridSpan w:val="3"/>
          </w:tcPr>
          <w:p>
            <w:pPr>
              <w:pStyle w:val="nTable"/>
              <w:spacing w:after="40"/>
            </w:pPr>
            <w:r>
              <w:t xml:space="preserve">s. 506: 16 May 2011 (see s. 2(d) and </w:t>
            </w:r>
            <w:r>
              <w:rPr>
                <w:i/>
              </w:rPr>
              <w:t>Gazette</w:t>
            </w:r>
            <w:r>
              <w:t xml:space="preserve"> 24 Jun 2011 p. 2516);</w:t>
            </w:r>
            <w:r>
              <w:br/>
              <w:t xml:space="preserve">s. 516: 1 Sep 2012 (see s. 2(c) and </w:t>
            </w:r>
            <w:r>
              <w:rPr>
                <w:i/>
              </w:rPr>
              <w:t>Gazette</w:t>
            </w:r>
            <w:r>
              <w:t xml:space="preserve"> 13 Aug 2010 p. 3975)</w:t>
            </w:r>
          </w:p>
        </w:tc>
      </w:tr>
      <w:tr>
        <w:trPr>
          <w:gridBefore w:val="1"/>
          <w:gridAfter w:val="1"/>
          <w:wBefore w:w="14" w:type="dxa"/>
          <w:wAfter w:w="16" w:type="dxa"/>
          <w:cantSplit/>
        </w:trPr>
        <w:tc>
          <w:tcPr>
            <w:tcW w:w="7087" w:type="dxa"/>
            <w:gridSpan w:val="10"/>
          </w:tcPr>
          <w:p>
            <w:pPr>
              <w:pStyle w:val="nTable"/>
              <w:spacing w:after="40"/>
            </w:pPr>
            <w:r>
              <w:rPr>
                <w:b/>
                <w:snapToGrid w:val="0"/>
              </w:rPr>
              <w:t xml:space="preserve">Reprint 5: The </w:t>
            </w:r>
            <w:r>
              <w:rPr>
                <w:b/>
                <w:i/>
                <w:snapToGrid w:val="0"/>
              </w:rPr>
              <w:t>Local Government Act 1995</w:t>
            </w:r>
            <w:r>
              <w:rPr>
                <w:b/>
                <w:snapToGrid w:val="0"/>
              </w:rPr>
              <w:t xml:space="preserve"> as at 5 Feb 2010 </w:t>
            </w:r>
            <w:r>
              <w:rPr>
                <w:snapToGrid w:val="0"/>
              </w:rPr>
              <w:t xml:space="preserve">(includes amendments listed above </w:t>
            </w:r>
            <w:r>
              <w:t xml:space="preserve">except those in the </w:t>
            </w:r>
            <w:r>
              <w:rPr>
                <w:i/>
              </w:rPr>
              <w:t>Local Government Amendment Act 2009</w:t>
            </w:r>
            <w:r>
              <w:t xml:space="preserve"> s. 34 and the </w:t>
            </w:r>
            <w:r>
              <w:rPr>
                <w:i/>
              </w:rPr>
              <w:t>Co</w:t>
            </w:r>
            <w:r>
              <w:rPr>
                <w:i/>
              </w:rPr>
              <w:noBreakHyphen/>
              <w:t>operatives Act 2009</w:t>
            </w:r>
            <w:r>
              <w:rPr>
                <w:snapToGrid w:val="0"/>
              </w:rPr>
              <w:t>)</w:t>
            </w:r>
          </w:p>
        </w:tc>
      </w:tr>
      <w:tr>
        <w:trPr>
          <w:gridBefore w:val="1"/>
          <w:gridAfter w:val="1"/>
          <w:wBefore w:w="14" w:type="dxa"/>
          <w:wAfter w:w="16" w:type="dxa"/>
          <w:cantSplit/>
        </w:trPr>
        <w:tc>
          <w:tcPr>
            <w:tcW w:w="2424" w:type="dxa"/>
            <w:gridSpan w:val="2"/>
          </w:tcPr>
          <w:p>
            <w:pPr>
              <w:pStyle w:val="nTable"/>
              <w:spacing w:after="40"/>
              <w:ind w:right="113"/>
            </w:pPr>
            <w:r>
              <w:rPr>
                <w:i/>
                <w:snapToGrid w:val="0"/>
              </w:rPr>
              <w:t>Standardisation of Formatting Act 2010</w:t>
            </w:r>
            <w:r>
              <w:rPr>
                <w:iCs/>
                <w:snapToGrid w:val="0"/>
              </w:rPr>
              <w:t xml:space="preserve"> s. 44(2) and 51</w:t>
            </w:r>
          </w:p>
        </w:tc>
        <w:tc>
          <w:tcPr>
            <w:tcW w:w="978" w:type="dxa"/>
            <w:gridSpan w:val="2"/>
          </w:tcPr>
          <w:p>
            <w:pPr>
              <w:pStyle w:val="nTable"/>
              <w:spacing w:after="40"/>
            </w:pPr>
            <w:r>
              <w:rPr>
                <w:snapToGrid w:val="0"/>
              </w:rPr>
              <w:t>19 of 2010</w:t>
            </w:r>
          </w:p>
        </w:tc>
        <w:tc>
          <w:tcPr>
            <w:tcW w:w="1134" w:type="dxa"/>
            <w:gridSpan w:val="3"/>
          </w:tcPr>
          <w:p>
            <w:pPr>
              <w:pStyle w:val="nTable"/>
              <w:spacing w:after="40"/>
            </w:pPr>
            <w:r>
              <w:rPr>
                <w:snapToGrid w:val="0"/>
              </w:rPr>
              <w:t>28 Jun 2010</w:t>
            </w:r>
          </w:p>
        </w:tc>
        <w:tc>
          <w:tcPr>
            <w:tcW w:w="2551" w:type="dxa"/>
            <w:gridSpan w:val="3"/>
          </w:tcPr>
          <w:p>
            <w:pPr>
              <w:pStyle w:val="nTable"/>
              <w:spacing w:after="40"/>
            </w:pPr>
            <w:r>
              <w:rPr>
                <w:snapToGrid w:val="0"/>
              </w:rPr>
              <w:t xml:space="preserve">11 Sep 2010 (see s. 2(b) and </w:t>
            </w:r>
            <w:r>
              <w:rPr>
                <w:i/>
                <w:iCs/>
                <w:snapToGrid w:val="0"/>
              </w:rPr>
              <w:t>Gazette</w:t>
            </w:r>
            <w:r>
              <w:rPr>
                <w:snapToGrid w:val="0"/>
              </w:rPr>
              <w:t xml:space="preserve"> 10 Sep 2010 p. 4341)</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424" w:type="dxa"/>
            <w:gridSpan w:val="2"/>
            <w:tcBorders>
              <w:top w:val="nil"/>
              <w:bottom w:val="nil"/>
            </w:tcBorders>
          </w:tcPr>
          <w:p>
            <w:pPr>
              <w:pStyle w:val="nTable"/>
              <w:spacing w:after="40"/>
              <w:ind w:right="113"/>
            </w:pPr>
            <w:r>
              <w:rPr>
                <w:i/>
                <w:snapToGrid w:val="0"/>
              </w:rPr>
              <w:t>Approvals and Related Reforms (No. 4) (Planning) Act 2010</w:t>
            </w:r>
            <w:r>
              <w:t xml:space="preserve"> s. 34 and Pt. 5 Div 2</w:t>
            </w:r>
          </w:p>
        </w:tc>
        <w:tc>
          <w:tcPr>
            <w:tcW w:w="978" w:type="dxa"/>
            <w:gridSpan w:val="2"/>
            <w:tcBorders>
              <w:top w:val="nil"/>
              <w:bottom w:val="nil"/>
            </w:tcBorders>
          </w:tcPr>
          <w:p>
            <w:pPr>
              <w:pStyle w:val="nTable"/>
              <w:spacing w:after="40"/>
              <w:rPr>
                <w:snapToGrid w:val="0"/>
              </w:rPr>
            </w:pPr>
            <w:r>
              <w:rPr>
                <w:snapToGrid w:val="0"/>
              </w:rPr>
              <w:t>28 of 2010</w:t>
            </w:r>
          </w:p>
        </w:tc>
        <w:tc>
          <w:tcPr>
            <w:tcW w:w="1134" w:type="dxa"/>
            <w:gridSpan w:val="3"/>
            <w:tcBorders>
              <w:top w:val="nil"/>
              <w:bottom w:val="nil"/>
            </w:tcBorders>
          </w:tcPr>
          <w:p>
            <w:pPr>
              <w:pStyle w:val="nTable"/>
              <w:spacing w:after="40"/>
              <w:rPr>
                <w:snapToGrid w:val="0"/>
              </w:rPr>
            </w:pPr>
            <w:r>
              <w:rPr>
                <w:snapToGrid w:val="0"/>
              </w:rPr>
              <w:t>19 Aug 2010</w:t>
            </w:r>
          </w:p>
        </w:tc>
        <w:tc>
          <w:tcPr>
            <w:tcW w:w="2551" w:type="dxa"/>
            <w:gridSpan w:val="3"/>
            <w:tcBorders>
              <w:top w:val="nil"/>
              <w:bottom w:val="nil"/>
            </w:tcBorders>
          </w:tcPr>
          <w:p>
            <w:pPr>
              <w:pStyle w:val="nTable"/>
              <w:spacing w:after="40"/>
              <w:rPr>
                <w:snapToGrid w:val="0"/>
              </w:rPr>
            </w:pPr>
            <w:r>
              <w:rPr>
                <w:snapToGrid w:val="0"/>
              </w:rPr>
              <w:t xml:space="preserve">22 Nov 2010 (see s. 2(b) and </w:t>
            </w:r>
            <w:r>
              <w:rPr>
                <w:i/>
                <w:iCs/>
                <w:snapToGrid w:val="0"/>
              </w:rPr>
              <w:t>Gazette</w:t>
            </w:r>
            <w:r>
              <w:rPr>
                <w:snapToGrid w:val="0"/>
              </w:rPr>
              <w:t xml:space="preserve"> 19 Nov 2010 p. 5709)</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424" w:type="dxa"/>
            <w:gridSpan w:val="2"/>
            <w:tcBorders>
              <w:top w:val="nil"/>
              <w:bottom w:val="nil"/>
            </w:tcBorders>
          </w:tcPr>
          <w:p>
            <w:pPr>
              <w:pStyle w:val="nTable"/>
              <w:spacing w:after="40"/>
              <w:ind w:right="113"/>
              <w:rPr>
                <w:iCs/>
                <w:snapToGrid w:val="0"/>
              </w:rPr>
            </w:pPr>
            <w:r>
              <w:rPr>
                <w:i/>
                <w:iCs/>
                <w:snapToGrid w:val="0"/>
              </w:rPr>
              <w:t>Public Sector Reform Act 2010</w:t>
            </w:r>
            <w:r>
              <w:rPr>
                <w:iCs/>
                <w:snapToGrid w:val="0"/>
              </w:rPr>
              <w:t xml:space="preserve"> s. 89</w:t>
            </w:r>
          </w:p>
        </w:tc>
        <w:tc>
          <w:tcPr>
            <w:tcW w:w="978" w:type="dxa"/>
            <w:gridSpan w:val="2"/>
            <w:tcBorders>
              <w:top w:val="nil"/>
              <w:bottom w:val="nil"/>
            </w:tcBorders>
          </w:tcPr>
          <w:p>
            <w:pPr>
              <w:pStyle w:val="nTable"/>
              <w:spacing w:after="40"/>
              <w:rPr>
                <w:snapToGrid w:val="0"/>
              </w:rPr>
            </w:pPr>
            <w:r>
              <w:rPr>
                <w:snapToGrid w:val="0"/>
              </w:rPr>
              <w:t>39 of 2010</w:t>
            </w:r>
          </w:p>
        </w:tc>
        <w:tc>
          <w:tcPr>
            <w:tcW w:w="1134" w:type="dxa"/>
            <w:gridSpan w:val="3"/>
            <w:tcBorders>
              <w:top w:val="nil"/>
              <w:bottom w:val="nil"/>
            </w:tcBorders>
          </w:tcPr>
          <w:p>
            <w:pPr>
              <w:pStyle w:val="nTable"/>
              <w:spacing w:after="40"/>
              <w:rPr>
                <w:snapToGrid w:val="0"/>
              </w:rPr>
            </w:pPr>
            <w:r>
              <w:rPr>
                <w:snapToGrid w:val="0"/>
              </w:rPr>
              <w:t>1 Oct 2010</w:t>
            </w:r>
          </w:p>
        </w:tc>
        <w:tc>
          <w:tcPr>
            <w:tcW w:w="2551" w:type="dxa"/>
            <w:gridSpan w:val="3"/>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424" w:type="dxa"/>
            <w:gridSpan w:val="2"/>
            <w:tcBorders>
              <w:top w:val="nil"/>
              <w:bottom w:val="nil"/>
            </w:tcBorders>
          </w:tcPr>
          <w:p>
            <w:pPr>
              <w:pStyle w:val="nTable"/>
              <w:spacing w:after="40"/>
              <w:ind w:right="113"/>
              <w:rPr>
                <w:i/>
                <w:iCs/>
                <w:snapToGrid w:val="0"/>
              </w:rPr>
            </w:pPr>
            <w:r>
              <w:rPr>
                <w:i/>
                <w:noProof/>
                <w:snapToGrid w:val="0"/>
              </w:rPr>
              <w:t>Acts Amendment (Fair Trading) Act 2010</w:t>
            </w:r>
            <w:r>
              <w:rPr>
                <w:iCs/>
                <w:noProof/>
                <w:snapToGrid w:val="0"/>
              </w:rPr>
              <w:t xml:space="preserve"> s. 182</w:t>
            </w:r>
          </w:p>
        </w:tc>
        <w:tc>
          <w:tcPr>
            <w:tcW w:w="978" w:type="dxa"/>
            <w:gridSpan w:val="2"/>
            <w:tcBorders>
              <w:top w:val="nil"/>
              <w:bottom w:val="nil"/>
            </w:tcBorders>
          </w:tcPr>
          <w:p>
            <w:pPr>
              <w:pStyle w:val="nTable"/>
              <w:spacing w:after="40"/>
              <w:rPr>
                <w:snapToGrid w:val="0"/>
              </w:rPr>
            </w:pPr>
            <w:r>
              <w:t>58 of 2010</w:t>
            </w:r>
          </w:p>
        </w:tc>
        <w:tc>
          <w:tcPr>
            <w:tcW w:w="1134" w:type="dxa"/>
            <w:gridSpan w:val="3"/>
            <w:tcBorders>
              <w:top w:val="nil"/>
              <w:bottom w:val="nil"/>
            </w:tcBorders>
          </w:tcPr>
          <w:p>
            <w:pPr>
              <w:pStyle w:val="nTable"/>
              <w:spacing w:after="40"/>
              <w:rPr>
                <w:snapToGrid w:val="0"/>
              </w:rPr>
            </w:pPr>
            <w:r>
              <w:t>8 Dec 2010</w:t>
            </w:r>
          </w:p>
        </w:tc>
        <w:tc>
          <w:tcPr>
            <w:tcW w:w="2551" w:type="dxa"/>
            <w:gridSpan w:val="3"/>
            <w:tcBorders>
              <w:top w:val="nil"/>
              <w:bottom w:val="nil"/>
            </w:tcBorders>
          </w:tcPr>
          <w:p>
            <w:pPr>
              <w:pStyle w:val="nTable"/>
              <w:spacing w:after="40"/>
              <w:rPr>
                <w:snapToGrid w:val="0"/>
              </w:rPr>
            </w:pPr>
            <w:r>
              <w:t xml:space="preserve">1 Jan 2011 (see s. 2(c) and </w:t>
            </w:r>
            <w:r>
              <w:rPr>
                <w:i/>
                <w:iCs/>
              </w:rPr>
              <w:t>Gazette</w:t>
            </w:r>
            <w:r>
              <w:t xml:space="preserve"> 24 Dec 2010 p. 6805)</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424" w:type="dxa"/>
            <w:gridSpan w:val="2"/>
            <w:tcBorders>
              <w:top w:val="nil"/>
              <w:bottom w:val="nil"/>
            </w:tcBorders>
          </w:tcPr>
          <w:p>
            <w:pPr>
              <w:pStyle w:val="nTable"/>
              <w:spacing w:after="40"/>
              <w:ind w:right="113"/>
              <w:rPr>
                <w:i/>
                <w:noProof/>
                <w:snapToGrid w:val="0"/>
              </w:rPr>
            </w:pPr>
            <w:r>
              <w:rPr>
                <w:i/>
                <w:snapToGrid w:val="0"/>
              </w:rPr>
              <w:t>Building Act 2011</w:t>
            </w:r>
            <w:r>
              <w:rPr>
                <w:snapToGrid w:val="0"/>
              </w:rPr>
              <w:t xml:space="preserve"> s. 166</w:t>
            </w:r>
          </w:p>
        </w:tc>
        <w:tc>
          <w:tcPr>
            <w:tcW w:w="978" w:type="dxa"/>
            <w:gridSpan w:val="2"/>
            <w:tcBorders>
              <w:top w:val="nil"/>
              <w:bottom w:val="nil"/>
            </w:tcBorders>
          </w:tcPr>
          <w:p>
            <w:pPr>
              <w:pStyle w:val="nTable"/>
              <w:spacing w:after="40"/>
            </w:pPr>
            <w:r>
              <w:rPr>
                <w:snapToGrid w:val="0"/>
              </w:rPr>
              <w:t>24 of 2011</w:t>
            </w:r>
          </w:p>
        </w:tc>
        <w:tc>
          <w:tcPr>
            <w:tcW w:w="1134" w:type="dxa"/>
            <w:gridSpan w:val="3"/>
            <w:tcBorders>
              <w:top w:val="nil"/>
              <w:bottom w:val="nil"/>
            </w:tcBorders>
          </w:tcPr>
          <w:p>
            <w:pPr>
              <w:pStyle w:val="nTable"/>
              <w:spacing w:after="40"/>
            </w:pPr>
            <w:r>
              <w:rPr>
                <w:snapToGrid w:val="0"/>
              </w:rPr>
              <w:t>11 Jul 2011</w:t>
            </w:r>
          </w:p>
        </w:tc>
        <w:tc>
          <w:tcPr>
            <w:tcW w:w="2551" w:type="dxa"/>
            <w:gridSpan w:val="3"/>
            <w:tcBorders>
              <w:top w:val="nil"/>
              <w:bottom w:val="nil"/>
            </w:tcBorders>
          </w:tcPr>
          <w:p>
            <w:pPr>
              <w:pStyle w:val="nTable"/>
              <w:spacing w:after="40"/>
            </w:pPr>
            <w:r>
              <w:rPr>
                <w:snapToGrid w:val="0"/>
              </w:rPr>
              <w:t xml:space="preserve">2 Apr 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424" w:type="dxa"/>
            <w:gridSpan w:val="2"/>
            <w:tcBorders>
              <w:top w:val="nil"/>
              <w:bottom w:val="nil"/>
            </w:tcBorders>
          </w:tcPr>
          <w:p>
            <w:pPr>
              <w:pStyle w:val="nTable"/>
              <w:spacing w:after="40"/>
              <w:ind w:right="113"/>
              <w:rPr>
                <w:noProof/>
                <w:snapToGrid w:val="0"/>
              </w:rPr>
            </w:pPr>
            <w:r>
              <w:rPr>
                <w:i/>
                <w:noProof/>
                <w:snapToGrid w:val="0"/>
              </w:rPr>
              <w:t>Statutes (Repeals and Minor Amendments) Act 2011</w:t>
            </w:r>
            <w:r>
              <w:rPr>
                <w:noProof/>
                <w:snapToGrid w:val="0"/>
              </w:rPr>
              <w:t xml:space="preserve"> s. 16</w:t>
            </w:r>
          </w:p>
        </w:tc>
        <w:tc>
          <w:tcPr>
            <w:tcW w:w="978" w:type="dxa"/>
            <w:gridSpan w:val="2"/>
            <w:tcBorders>
              <w:top w:val="nil"/>
              <w:bottom w:val="nil"/>
            </w:tcBorders>
          </w:tcPr>
          <w:p>
            <w:pPr>
              <w:pStyle w:val="nTable"/>
              <w:spacing w:after="40"/>
            </w:pPr>
            <w:r>
              <w:rPr>
                <w:snapToGrid w:val="0"/>
              </w:rPr>
              <w:t>47 of 2011</w:t>
            </w:r>
          </w:p>
        </w:tc>
        <w:tc>
          <w:tcPr>
            <w:tcW w:w="1134" w:type="dxa"/>
            <w:gridSpan w:val="3"/>
            <w:tcBorders>
              <w:top w:val="nil"/>
              <w:bottom w:val="nil"/>
            </w:tcBorders>
          </w:tcPr>
          <w:p>
            <w:pPr>
              <w:pStyle w:val="nTable"/>
              <w:spacing w:after="40"/>
            </w:pPr>
            <w:r>
              <w:rPr>
                <w:snapToGrid w:val="0"/>
              </w:rPr>
              <w:t>25 Oct 2011</w:t>
            </w:r>
          </w:p>
        </w:tc>
        <w:tc>
          <w:tcPr>
            <w:tcW w:w="2551" w:type="dxa"/>
            <w:gridSpan w:val="3"/>
            <w:tcBorders>
              <w:top w:val="nil"/>
              <w:bottom w:val="nil"/>
            </w:tcBorders>
          </w:tcPr>
          <w:p>
            <w:pPr>
              <w:pStyle w:val="nTable"/>
              <w:spacing w:after="40"/>
            </w:pPr>
            <w:r>
              <w:rPr>
                <w:snapToGrid w:val="0"/>
              </w:rPr>
              <w:t>26 Oct 2011 (see s. 2(b))</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424" w:type="dxa"/>
            <w:gridSpan w:val="2"/>
            <w:tcBorders>
              <w:top w:val="nil"/>
              <w:bottom w:val="nil"/>
            </w:tcBorders>
          </w:tcPr>
          <w:p>
            <w:pPr>
              <w:pStyle w:val="nTable"/>
              <w:spacing w:after="40"/>
              <w:ind w:right="113"/>
              <w:rPr>
                <w:i/>
                <w:noProof/>
                <w:snapToGrid w:val="0"/>
              </w:rPr>
            </w:pPr>
            <w:r>
              <w:rPr>
                <w:i/>
                <w:snapToGrid w:val="0"/>
              </w:rPr>
              <w:t xml:space="preserve">Local Government Amendment Act 2012 </w:t>
            </w:r>
            <w:r>
              <w:rPr>
                <w:snapToGrid w:val="0"/>
              </w:rPr>
              <w:t>Pt. 2</w:t>
            </w:r>
          </w:p>
        </w:tc>
        <w:tc>
          <w:tcPr>
            <w:tcW w:w="978" w:type="dxa"/>
            <w:gridSpan w:val="2"/>
            <w:tcBorders>
              <w:top w:val="nil"/>
              <w:bottom w:val="nil"/>
            </w:tcBorders>
          </w:tcPr>
          <w:p>
            <w:pPr>
              <w:pStyle w:val="nTable"/>
              <w:spacing w:after="40"/>
              <w:rPr>
                <w:snapToGrid w:val="0"/>
              </w:rPr>
            </w:pPr>
            <w:r>
              <w:rPr>
                <w:snapToGrid w:val="0"/>
              </w:rPr>
              <w:t>2 of 2012</w:t>
            </w:r>
          </w:p>
        </w:tc>
        <w:tc>
          <w:tcPr>
            <w:tcW w:w="1134" w:type="dxa"/>
            <w:gridSpan w:val="3"/>
            <w:tcBorders>
              <w:top w:val="nil"/>
              <w:bottom w:val="nil"/>
            </w:tcBorders>
          </w:tcPr>
          <w:p>
            <w:pPr>
              <w:pStyle w:val="nTable"/>
              <w:spacing w:after="40"/>
              <w:rPr>
                <w:snapToGrid w:val="0"/>
              </w:rPr>
            </w:pPr>
            <w:r>
              <w:rPr>
                <w:snapToGrid w:val="0"/>
              </w:rPr>
              <w:t>4 Apr 2012</w:t>
            </w:r>
          </w:p>
        </w:tc>
        <w:tc>
          <w:tcPr>
            <w:tcW w:w="2551" w:type="dxa"/>
            <w:gridSpan w:val="3"/>
            <w:tcBorders>
              <w:top w:val="nil"/>
              <w:bottom w:val="nil"/>
            </w:tcBorders>
          </w:tcPr>
          <w:p>
            <w:pPr>
              <w:pStyle w:val="nTable"/>
              <w:spacing w:after="40"/>
              <w:rPr>
                <w:snapToGrid w:val="0"/>
              </w:rPr>
            </w:pPr>
            <w:r>
              <w:rPr>
                <w:snapToGrid w:val="0"/>
              </w:rPr>
              <w:t xml:space="preserve">Pt. 2 other than s. 13-18: 21 Apr 2012 (see s. 2(b) and </w:t>
            </w:r>
            <w:r>
              <w:rPr>
                <w:i/>
                <w:snapToGrid w:val="0"/>
              </w:rPr>
              <w:t>Gazette</w:t>
            </w:r>
            <w:r>
              <w:rPr>
                <w:snapToGrid w:val="0"/>
              </w:rPr>
              <w:t xml:space="preserve"> 20 Apr 2012 p. 1695);</w:t>
            </w:r>
            <w:r>
              <w:rPr>
                <w:snapToGrid w:val="0"/>
              </w:rPr>
              <w:br/>
              <w:t xml:space="preserve">s. 13: </w:t>
            </w:r>
            <w:r>
              <w:t xml:space="preserve">1 Jul 2012 (see s. 2(b) and </w:t>
            </w:r>
            <w:r>
              <w:rPr>
                <w:i/>
              </w:rPr>
              <w:t xml:space="preserve">Gazette </w:t>
            </w:r>
            <w:r>
              <w:t>20 Apr 2012 p. 1695);</w:t>
            </w:r>
            <w:r>
              <w:br/>
              <w:t>s. 14</w:t>
            </w:r>
            <w:r>
              <w:noBreakHyphen/>
              <w:t xml:space="preserve">18: 1 Jul 2013 (see s. 2(b) and </w:t>
            </w:r>
            <w:r>
              <w:rPr>
                <w:i/>
              </w:rPr>
              <w:t>Gazette</w:t>
            </w:r>
            <w:r>
              <w:t xml:space="preserve"> 8 Feb 2013 p. 863)</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424" w:type="dxa"/>
            <w:gridSpan w:val="2"/>
            <w:tcBorders>
              <w:top w:val="nil"/>
              <w:bottom w:val="nil"/>
            </w:tcBorders>
          </w:tcPr>
          <w:p>
            <w:pPr>
              <w:pStyle w:val="nTable"/>
              <w:spacing w:after="40"/>
              <w:ind w:right="113"/>
              <w:rPr>
                <w:i/>
                <w:snapToGrid w:val="0"/>
              </w:rPr>
            </w:pPr>
            <w:r>
              <w:rPr>
                <w:i/>
                <w:snapToGrid w:val="0"/>
              </w:rPr>
              <w:t xml:space="preserve">Road Traffic Legislation Amendment Act 2012 </w:t>
            </w:r>
            <w:r>
              <w:rPr>
                <w:snapToGrid w:val="0"/>
              </w:rPr>
              <w:t>Pt. 4 Div. 29</w:t>
            </w:r>
          </w:p>
        </w:tc>
        <w:tc>
          <w:tcPr>
            <w:tcW w:w="978" w:type="dxa"/>
            <w:gridSpan w:val="2"/>
            <w:tcBorders>
              <w:top w:val="nil"/>
              <w:bottom w:val="nil"/>
            </w:tcBorders>
          </w:tcPr>
          <w:p>
            <w:pPr>
              <w:pStyle w:val="nTable"/>
              <w:spacing w:after="40"/>
              <w:rPr>
                <w:snapToGrid w:val="0"/>
              </w:rPr>
            </w:pPr>
            <w:r>
              <w:rPr>
                <w:snapToGrid w:val="0"/>
              </w:rPr>
              <w:t>8 of 2012</w:t>
            </w:r>
          </w:p>
        </w:tc>
        <w:tc>
          <w:tcPr>
            <w:tcW w:w="1134" w:type="dxa"/>
            <w:gridSpan w:val="3"/>
            <w:tcBorders>
              <w:top w:val="nil"/>
              <w:bottom w:val="nil"/>
            </w:tcBorders>
          </w:tcPr>
          <w:p>
            <w:pPr>
              <w:pStyle w:val="nTable"/>
              <w:spacing w:after="40"/>
              <w:rPr>
                <w:snapToGrid w:val="0"/>
              </w:rPr>
            </w:pPr>
            <w:r>
              <w:t>21 May 2012</w:t>
            </w:r>
          </w:p>
        </w:tc>
        <w:tc>
          <w:tcPr>
            <w:tcW w:w="2551" w:type="dxa"/>
            <w:gridSpan w:val="3"/>
            <w:tcBorders>
              <w:top w:val="nil"/>
              <w:bottom w:val="nil"/>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7087" w:type="dxa"/>
            <w:gridSpan w:val="10"/>
            <w:tcBorders>
              <w:top w:val="nil"/>
              <w:bottom w:val="nil"/>
            </w:tcBorders>
            <w:shd w:val="clear" w:color="auto" w:fill="auto"/>
          </w:tcPr>
          <w:p>
            <w:pPr>
              <w:pStyle w:val="nTable"/>
              <w:spacing w:after="40"/>
              <w:rPr>
                <w:snapToGrid w:val="0"/>
              </w:rPr>
            </w:pPr>
            <w:r>
              <w:rPr>
                <w:b/>
                <w:snapToGrid w:val="0"/>
              </w:rPr>
              <w:t xml:space="preserve">Reprint 6: The </w:t>
            </w:r>
            <w:r>
              <w:rPr>
                <w:b/>
                <w:i/>
                <w:snapToGrid w:val="0"/>
              </w:rPr>
              <w:t>Local Government Act 1995</w:t>
            </w:r>
            <w:r>
              <w:rPr>
                <w:b/>
                <w:snapToGrid w:val="0"/>
              </w:rPr>
              <w:t xml:space="preserve"> as at 3 Aug 2012 </w:t>
            </w:r>
            <w:r>
              <w:rPr>
                <w:snapToGrid w:val="0"/>
              </w:rPr>
              <w:t>(includes amendments listed above</w:t>
            </w:r>
            <w:r>
              <w:t xml:space="preserve"> except those in the </w:t>
            </w:r>
            <w:r>
              <w:rPr>
                <w:i/>
              </w:rPr>
              <w:t>Co</w:t>
            </w:r>
            <w:r>
              <w:rPr>
                <w:i/>
              </w:rPr>
              <w:noBreakHyphen/>
              <w:t>operatives Act 2009</w:t>
            </w:r>
            <w:r>
              <w:t xml:space="preserve"> s. 516, </w:t>
            </w:r>
            <w:r>
              <w:rPr>
                <w:i/>
                <w:snapToGrid w:val="0"/>
              </w:rPr>
              <w:t>Local Government Amendment Act 2012</w:t>
            </w:r>
            <w:r>
              <w:rPr>
                <w:snapToGrid w:val="0"/>
              </w:rPr>
              <w:t xml:space="preserve"> s. 14</w:t>
            </w:r>
            <w:r>
              <w:rPr>
                <w:snapToGrid w:val="0"/>
              </w:rPr>
              <w:noBreakHyphen/>
              <w:t xml:space="preserve">18 </w:t>
            </w:r>
            <w:r>
              <w:t xml:space="preserve">(correction in </w:t>
            </w:r>
            <w:r>
              <w:rPr>
                <w:i/>
              </w:rPr>
              <w:t>Gazette</w:t>
            </w:r>
            <w:r>
              <w:t xml:space="preserve"> 7 Sep 2012 p. 4329 and 28 Mar 2013 p. 1317) and the </w:t>
            </w:r>
            <w:r>
              <w:rPr>
                <w:i/>
              </w:rPr>
              <w:t>Road Traffic Legislation Amendment Act 2012</w:t>
            </w:r>
            <w:r>
              <w:t xml:space="preserve"> Pt. 4 Div. 29)</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424" w:type="dxa"/>
            <w:gridSpan w:val="2"/>
            <w:tcBorders>
              <w:top w:val="nil"/>
              <w:bottom w:val="nil"/>
            </w:tcBorders>
          </w:tcPr>
          <w:p>
            <w:pPr>
              <w:pStyle w:val="nTable"/>
              <w:spacing w:after="40"/>
              <w:ind w:right="113"/>
              <w:rPr>
                <w:i/>
                <w:noProof/>
                <w:snapToGrid w:val="0"/>
              </w:rPr>
            </w:pPr>
            <w:r>
              <w:rPr>
                <w:i/>
                <w:snapToGrid w:val="0"/>
              </w:rPr>
              <w:t>Commercial Arbitration Act 2012</w:t>
            </w:r>
            <w:r>
              <w:rPr>
                <w:snapToGrid w:val="0"/>
              </w:rPr>
              <w:t xml:space="preserve"> s. 45 it. 12</w:t>
            </w:r>
          </w:p>
        </w:tc>
        <w:tc>
          <w:tcPr>
            <w:tcW w:w="978" w:type="dxa"/>
            <w:gridSpan w:val="2"/>
            <w:tcBorders>
              <w:top w:val="nil"/>
              <w:bottom w:val="nil"/>
            </w:tcBorders>
          </w:tcPr>
          <w:p>
            <w:pPr>
              <w:pStyle w:val="nTable"/>
              <w:spacing w:after="40"/>
              <w:rPr>
                <w:snapToGrid w:val="0"/>
              </w:rPr>
            </w:pPr>
            <w:r>
              <w:rPr>
                <w:snapToGrid w:val="0"/>
              </w:rPr>
              <w:t>23 of 2012</w:t>
            </w:r>
          </w:p>
        </w:tc>
        <w:tc>
          <w:tcPr>
            <w:tcW w:w="1134" w:type="dxa"/>
            <w:gridSpan w:val="3"/>
            <w:tcBorders>
              <w:top w:val="nil"/>
              <w:bottom w:val="nil"/>
            </w:tcBorders>
          </w:tcPr>
          <w:p>
            <w:pPr>
              <w:pStyle w:val="nTable"/>
              <w:spacing w:after="40"/>
              <w:rPr>
                <w:snapToGrid w:val="0"/>
              </w:rPr>
            </w:pPr>
            <w:r>
              <w:rPr>
                <w:snapToGrid w:val="0"/>
              </w:rPr>
              <w:t>29 Aug 2012</w:t>
            </w:r>
          </w:p>
        </w:tc>
        <w:tc>
          <w:tcPr>
            <w:tcW w:w="2551" w:type="dxa"/>
            <w:gridSpan w:val="3"/>
            <w:tcBorders>
              <w:top w:val="nil"/>
              <w:bottom w:val="nil"/>
            </w:tcBorders>
          </w:tcPr>
          <w:p>
            <w:pPr>
              <w:pStyle w:val="nTable"/>
              <w:spacing w:after="40"/>
              <w:rPr>
                <w:snapToGrid w:val="0"/>
              </w:rPr>
            </w:pPr>
            <w:r>
              <w:rPr>
                <w:snapToGrid w:val="0"/>
              </w:rPr>
              <w:t xml:space="preserve">7 Aug 2013 (see s. 1B(b) and </w:t>
            </w:r>
            <w:r>
              <w:rPr>
                <w:i/>
                <w:snapToGrid w:val="0"/>
              </w:rPr>
              <w:t>Gazette</w:t>
            </w:r>
            <w:r>
              <w:rPr>
                <w:snapToGrid w:val="0"/>
              </w:rPr>
              <w:t xml:space="preserve"> 6 Aug 2013 p. 3677)</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424" w:type="dxa"/>
            <w:gridSpan w:val="2"/>
            <w:tcBorders>
              <w:top w:val="nil"/>
              <w:bottom w:val="nil"/>
            </w:tcBorders>
          </w:tcPr>
          <w:p>
            <w:pPr>
              <w:pStyle w:val="nTable"/>
              <w:spacing w:after="40"/>
              <w:ind w:right="113"/>
              <w:rPr>
                <w:i/>
                <w:snapToGrid w:val="0"/>
              </w:rPr>
            </w:pPr>
            <w:r>
              <w:rPr>
                <w:i/>
                <w:snapToGrid w:val="0"/>
              </w:rPr>
              <w:t>Corruption and Crime Commission Amendment (Misconduct) Act 2014</w:t>
            </w:r>
            <w:r>
              <w:rPr>
                <w:snapToGrid w:val="0"/>
              </w:rPr>
              <w:t xml:space="preserve"> s. 35</w:t>
            </w:r>
          </w:p>
        </w:tc>
        <w:tc>
          <w:tcPr>
            <w:tcW w:w="978" w:type="dxa"/>
            <w:gridSpan w:val="2"/>
            <w:tcBorders>
              <w:top w:val="nil"/>
              <w:bottom w:val="nil"/>
            </w:tcBorders>
          </w:tcPr>
          <w:p>
            <w:pPr>
              <w:pStyle w:val="nTable"/>
              <w:spacing w:after="40"/>
              <w:rPr>
                <w:snapToGrid w:val="0"/>
              </w:rPr>
            </w:pPr>
            <w:r>
              <w:rPr>
                <w:snapToGrid w:val="0"/>
              </w:rPr>
              <w:t>35 of 2014</w:t>
            </w:r>
          </w:p>
        </w:tc>
        <w:tc>
          <w:tcPr>
            <w:tcW w:w="1134" w:type="dxa"/>
            <w:gridSpan w:val="3"/>
            <w:tcBorders>
              <w:top w:val="nil"/>
              <w:bottom w:val="nil"/>
            </w:tcBorders>
          </w:tcPr>
          <w:p>
            <w:pPr>
              <w:pStyle w:val="nTable"/>
              <w:spacing w:after="40"/>
              <w:rPr>
                <w:snapToGrid w:val="0"/>
              </w:rPr>
            </w:pPr>
            <w:r>
              <w:t>9 Dec 2014</w:t>
            </w:r>
          </w:p>
        </w:tc>
        <w:tc>
          <w:tcPr>
            <w:tcW w:w="2551" w:type="dxa"/>
            <w:gridSpan w:val="3"/>
            <w:tcBorders>
              <w:top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424" w:type="dxa"/>
            <w:gridSpan w:val="2"/>
            <w:tcBorders>
              <w:top w:val="nil"/>
              <w:bottom w:val="nil"/>
            </w:tcBorders>
          </w:tcPr>
          <w:p>
            <w:pPr>
              <w:pStyle w:val="nTable"/>
              <w:spacing w:after="40"/>
              <w:ind w:right="113"/>
              <w:rPr>
                <w:i/>
                <w:snapToGrid w:val="0"/>
              </w:rPr>
            </w:pPr>
            <w:r>
              <w:rPr>
                <w:i/>
                <w:noProof/>
              </w:rPr>
              <w:t xml:space="preserve">Associations Incorporation Act 2015 </w:t>
            </w:r>
            <w:r>
              <w:rPr>
                <w:noProof/>
              </w:rPr>
              <w:t>s. 223</w:t>
            </w:r>
          </w:p>
        </w:tc>
        <w:tc>
          <w:tcPr>
            <w:tcW w:w="978" w:type="dxa"/>
            <w:gridSpan w:val="2"/>
            <w:tcBorders>
              <w:top w:val="nil"/>
              <w:bottom w:val="nil"/>
            </w:tcBorders>
          </w:tcPr>
          <w:p>
            <w:pPr>
              <w:pStyle w:val="nTable"/>
              <w:spacing w:after="40"/>
              <w:rPr>
                <w:snapToGrid w:val="0"/>
              </w:rPr>
            </w:pPr>
            <w:r>
              <w:t>30 of 2015</w:t>
            </w:r>
          </w:p>
        </w:tc>
        <w:tc>
          <w:tcPr>
            <w:tcW w:w="1134" w:type="dxa"/>
            <w:gridSpan w:val="3"/>
            <w:tcBorders>
              <w:top w:val="nil"/>
              <w:bottom w:val="nil"/>
            </w:tcBorders>
          </w:tcPr>
          <w:p>
            <w:pPr>
              <w:pStyle w:val="nTable"/>
              <w:spacing w:after="40"/>
            </w:pPr>
            <w:r>
              <w:t>2 Nov 2015</w:t>
            </w:r>
          </w:p>
        </w:tc>
        <w:tc>
          <w:tcPr>
            <w:tcW w:w="2551" w:type="dxa"/>
            <w:gridSpan w:val="3"/>
            <w:tcBorders>
              <w:top w:val="nil"/>
              <w:bottom w:val="nil"/>
            </w:tcBorders>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424" w:type="dxa"/>
            <w:gridSpan w:val="2"/>
            <w:tcBorders>
              <w:top w:val="nil"/>
              <w:bottom w:val="nil"/>
            </w:tcBorders>
          </w:tcPr>
          <w:p>
            <w:pPr>
              <w:pStyle w:val="nTable"/>
              <w:spacing w:after="40"/>
              <w:ind w:right="113"/>
              <w:rPr>
                <w:i/>
                <w:snapToGrid w:val="0"/>
              </w:rPr>
            </w:pPr>
            <w:r>
              <w:rPr>
                <w:i/>
                <w:snapToGrid w:val="0"/>
              </w:rPr>
              <w:t>City of Perth Act 2016</w:t>
            </w:r>
            <w:r>
              <w:rPr>
                <w:snapToGrid w:val="0"/>
              </w:rPr>
              <w:t xml:space="preserve"> Pt. 4 Div. 4</w:t>
            </w:r>
          </w:p>
        </w:tc>
        <w:tc>
          <w:tcPr>
            <w:tcW w:w="978" w:type="dxa"/>
            <w:gridSpan w:val="2"/>
            <w:tcBorders>
              <w:top w:val="nil"/>
              <w:bottom w:val="nil"/>
            </w:tcBorders>
          </w:tcPr>
          <w:p>
            <w:pPr>
              <w:pStyle w:val="nTable"/>
              <w:spacing w:after="40"/>
              <w:rPr>
                <w:snapToGrid w:val="0"/>
              </w:rPr>
            </w:pPr>
            <w:r>
              <w:rPr>
                <w:snapToGrid w:val="0"/>
              </w:rPr>
              <w:t>2 of 2016</w:t>
            </w:r>
          </w:p>
        </w:tc>
        <w:tc>
          <w:tcPr>
            <w:tcW w:w="1134" w:type="dxa"/>
            <w:gridSpan w:val="3"/>
            <w:tcBorders>
              <w:top w:val="nil"/>
              <w:bottom w:val="nil"/>
            </w:tcBorders>
          </w:tcPr>
          <w:p>
            <w:pPr>
              <w:pStyle w:val="nTable"/>
              <w:spacing w:after="40"/>
            </w:pPr>
            <w:r>
              <w:t>3 Mar 2016</w:t>
            </w:r>
          </w:p>
        </w:tc>
        <w:tc>
          <w:tcPr>
            <w:tcW w:w="2551" w:type="dxa"/>
            <w:gridSpan w:val="3"/>
            <w:tcBorders>
              <w:top w:val="nil"/>
              <w:bottom w:val="nil"/>
            </w:tcBorders>
          </w:tcPr>
          <w:p>
            <w:pPr>
              <w:pStyle w:val="nTable"/>
              <w:spacing w:after="40"/>
              <w:rPr>
                <w:snapToGrid w:val="0"/>
              </w:rPr>
            </w:pPr>
            <w:r>
              <w:rPr>
                <w:snapToGrid w:val="0"/>
              </w:rPr>
              <w:t>4 Mar 2016 (see s. 2(b))</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7087" w:type="dxa"/>
            <w:gridSpan w:val="10"/>
            <w:tcBorders>
              <w:top w:val="nil"/>
              <w:bottom w:val="single" w:sz="4" w:space="0" w:color="auto"/>
            </w:tcBorders>
          </w:tcPr>
          <w:p>
            <w:pPr>
              <w:pStyle w:val="nTable"/>
              <w:spacing w:after="40"/>
              <w:rPr>
                <w:snapToGrid w:val="0"/>
              </w:rPr>
            </w:pPr>
            <w:r>
              <w:rPr>
                <w:b/>
                <w:snapToGrid w:val="0"/>
              </w:rPr>
              <w:t xml:space="preserve">Reprint 7: The </w:t>
            </w:r>
            <w:r>
              <w:rPr>
                <w:b/>
                <w:i/>
                <w:noProof/>
                <w:snapToGrid w:val="0"/>
              </w:rPr>
              <w:t>Local Government Act 1995</w:t>
            </w:r>
            <w:r>
              <w:rPr>
                <w:b/>
                <w:snapToGrid w:val="0"/>
              </w:rPr>
              <w:t xml:space="preserve"> as at 13 May 2016</w:t>
            </w:r>
            <w:r>
              <w:rPr>
                <w:snapToGrid w:val="0"/>
              </w:rPr>
              <w:t xml:space="preserve"> (includes amendments listed above except those in the </w:t>
            </w:r>
            <w:r>
              <w:rPr>
                <w:i/>
                <w:snapToGrid w:val="0"/>
              </w:rPr>
              <w:t>Associations Incorporation Act 2015</w:t>
            </w:r>
            <w:r>
              <w:rPr>
                <w:snapToGrid w:val="0"/>
              </w:rPr>
              <w:t>)</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801" w:name="_Toc462409958"/>
      <w:r>
        <w:t>Provisions that have not come into operation</w:t>
      </w:r>
      <w:bookmarkEnd w:id="180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9"/>
        <w:gridCol w:w="2542"/>
        <w:gridCol w:w="10"/>
      </w:tblGrid>
      <w:tr>
        <w:trPr>
          <w:tblHeader/>
        </w:trPr>
        <w:tc>
          <w:tcPr>
            <w:tcW w:w="2273"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10" w:type="dxa"/>
          <w:cantSplit/>
        </w:trPr>
        <w:tc>
          <w:tcPr>
            <w:tcW w:w="2273" w:type="dxa"/>
          </w:tcPr>
          <w:p>
            <w:pPr>
              <w:pStyle w:val="nTable"/>
              <w:spacing w:after="40"/>
              <w:rPr>
                <w:vertAlign w:val="superscript"/>
              </w:rPr>
            </w:pPr>
            <w:r>
              <w:rPr>
                <w:i/>
                <w:snapToGrid w:val="0"/>
              </w:rPr>
              <w:t xml:space="preserve">Graffiti Vandalism Act 2016 </w:t>
            </w:r>
            <w:r>
              <w:rPr>
                <w:snapToGrid w:val="0"/>
              </w:rPr>
              <w:t>Pt. 6 Div. 2 </w:t>
            </w:r>
            <w:r>
              <w:rPr>
                <w:snapToGrid w:val="0"/>
                <w:vertAlign w:val="superscript"/>
              </w:rPr>
              <w:t>28</w:t>
            </w:r>
          </w:p>
        </w:tc>
        <w:tc>
          <w:tcPr>
            <w:tcW w:w="1129" w:type="dxa"/>
          </w:tcPr>
          <w:p>
            <w:pPr>
              <w:pStyle w:val="nTable"/>
              <w:spacing w:after="40"/>
            </w:pPr>
            <w:r>
              <w:t>16 of 2016</w:t>
            </w:r>
          </w:p>
        </w:tc>
        <w:tc>
          <w:tcPr>
            <w:tcW w:w="1139" w:type="dxa"/>
          </w:tcPr>
          <w:p>
            <w:pPr>
              <w:pStyle w:val="nTable"/>
              <w:spacing w:after="40"/>
            </w:pPr>
            <w:r>
              <w:t>11 Jul 2016</w:t>
            </w:r>
          </w:p>
        </w:tc>
        <w:tc>
          <w:tcPr>
            <w:tcW w:w="2542" w:type="dxa"/>
          </w:tcPr>
          <w:p>
            <w:pPr>
              <w:pStyle w:val="nTable"/>
              <w:spacing w:after="40"/>
              <w:rPr>
                <w:snapToGrid w:val="0"/>
              </w:rPr>
            </w:pPr>
            <w:r>
              <w:rPr>
                <w:snapToGrid w:val="0"/>
              </w:rPr>
              <w:t>To be proclaimed (see s. 2(b))</w:t>
            </w:r>
          </w:p>
        </w:tc>
      </w:tr>
      <w:tr>
        <w:tblPrEx>
          <w:tblCellMar>
            <w:left w:w="57" w:type="dxa"/>
            <w:right w:w="57" w:type="dxa"/>
          </w:tblCellMar>
        </w:tblPrEx>
        <w:trPr>
          <w:gridAfter w:val="1"/>
          <w:wAfter w:w="10" w:type="dxa"/>
        </w:trPr>
        <w:tc>
          <w:tcPr>
            <w:tcW w:w="2273" w:type="dxa"/>
            <w:tcBorders>
              <w:top w:val="nil"/>
              <w:bottom w:val="nil"/>
            </w:tcBorders>
          </w:tcPr>
          <w:p>
            <w:pPr>
              <w:pStyle w:val="nTable"/>
              <w:spacing w:after="40"/>
              <w:ind w:right="113"/>
              <w:rPr>
                <w:i/>
                <w:snapToGrid w:val="0"/>
              </w:rPr>
            </w:pPr>
            <w:r>
              <w:rPr>
                <w:i/>
                <w:snapToGrid w:val="0"/>
              </w:rPr>
              <w:t>Public Health (Consequential Provisions) Act 2016</w:t>
            </w:r>
            <w:r>
              <w:rPr>
                <w:snapToGrid w:val="0"/>
              </w:rPr>
              <w:t xml:space="preserve"> Pt. 3 Div. 18 </w:t>
            </w:r>
            <w:r>
              <w:rPr>
                <w:snapToGrid w:val="0"/>
                <w:vertAlign w:val="superscript"/>
              </w:rPr>
              <w:t>29</w:t>
            </w:r>
          </w:p>
        </w:tc>
        <w:tc>
          <w:tcPr>
            <w:tcW w:w="1134" w:type="dxa"/>
            <w:tcBorders>
              <w:top w:val="nil"/>
              <w:bottom w:val="nil"/>
            </w:tcBorders>
          </w:tcPr>
          <w:p>
            <w:pPr>
              <w:pStyle w:val="nTable"/>
              <w:spacing w:after="40"/>
              <w:ind w:right="113"/>
              <w:rPr>
                <w:snapToGrid w:val="0"/>
              </w:rPr>
            </w:pPr>
            <w:r>
              <w:rPr>
                <w:snapToGrid w:val="0"/>
              </w:rPr>
              <w:t>19 of 2016</w:t>
            </w:r>
          </w:p>
        </w:tc>
        <w:tc>
          <w:tcPr>
            <w:tcW w:w="1134" w:type="dxa"/>
            <w:tcBorders>
              <w:top w:val="nil"/>
              <w:bottom w:val="nil"/>
            </w:tcBorders>
          </w:tcPr>
          <w:p>
            <w:pPr>
              <w:pStyle w:val="nTable"/>
              <w:spacing w:after="40"/>
              <w:ind w:right="113"/>
              <w:rPr>
                <w:snapToGrid w:val="0"/>
              </w:rPr>
            </w:pPr>
            <w:r>
              <w:rPr>
                <w:snapToGrid w:val="0"/>
              </w:rPr>
              <w:t>25 Jul 2016</w:t>
            </w:r>
          </w:p>
        </w:tc>
        <w:tc>
          <w:tcPr>
            <w:tcW w:w="2542" w:type="dxa"/>
            <w:tcBorders>
              <w:top w:val="nil"/>
              <w:bottom w:val="nil"/>
            </w:tcBorders>
          </w:tcPr>
          <w:p>
            <w:pPr>
              <w:pStyle w:val="nTable"/>
              <w:spacing w:after="40"/>
              <w:ind w:right="113"/>
              <w:rPr>
                <w:snapToGrid w:val="0"/>
              </w:rPr>
            </w:pPr>
            <w:r>
              <w:rPr>
                <w:snapToGrid w:val="0"/>
              </w:rPr>
              <w:t>To be proclaimed (see s. 2(1)(c))</w:t>
            </w:r>
          </w:p>
        </w:tc>
      </w:tr>
      <w:tr>
        <w:tblPrEx>
          <w:tblCellMar>
            <w:left w:w="57" w:type="dxa"/>
            <w:right w:w="57" w:type="dxa"/>
          </w:tblCellMar>
        </w:tblPrEx>
        <w:trPr>
          <w:gridAfter w:val="1"/>
          <w:wAfter w:w="10" w:type="dxa"/>
        </w:trPr>
        <w:tc>
          <w:tcPr>
            <w:tcW w:w="2273" w:type="dxa"/>
            <w:tcBorders>
              <w:top w:val="nil"/>
              <w:bottom w:val="single" w:sz="4" w:space="0" w:color="auto"/>
            </w:tcBorders>
          </w:tcPr>
          <w:p>
            <w:pPr>
              <w:pStyle w:val="nTable"/>
              <w:spacing w:after="40"/>
              <w:ind w:right="113"/>
              <w:rPr>
                <w:snapToGrid w:val="0"/>
              </w:rPr>
            </w:pPr>
            <w:r>
              <w:rPr>
                <w:i/>
                <w:snapToGrid w:val="0"/>
              </w:rPr>
              <w:t>Local Government Legislation Amendment Act 2016</w:t>
            </w:r>
            <w:r>
              <w:rPr>
                <w:snapToGrid w:val="0"/>
              </w:rPr>
              <w:t xml:space="preserve"> Pt. 2 </w:t>
            </w:r>
            <w:r>
              <w:rPr>
                <w:snapToGrid w:val="0"/>
                <w:vertAlign w:val="superscript"/>
              </w:rPr>
              <w:t>39</w:t>
            </w:r>
          </w:p>
        </w:tc>
        <w:tc>
          <w:tcPr>
            <w:tcW w:w="1134" w:type="dxa"/>
            <w:tcBorders>
              <w:top w:val="nil"/>
              <w:bottom w:val="single" w:sz="4" w:space="0" w:color="auto"/>
            </w:tcBorders>
          </w:tcPr>
          <w:p>
            <w:pPr>
              <w:pStyle w:val="nTable"/>
              <w:spacing w:after="40"/>
              <w:ind w:right="113"/>
              <w:rPr>
                <w:snapToGrid w:val="0"/>
              </w:rPr>
            </w:pPr>
            <w:r>
              <w:rPr>
                <w:snapToGrid w:val="0"/>
              </w:rPr>
              <w:t>26 of 2016</w:t>
            </w:r>
          </w:p>
        </w:tc>
        <w:tc>
          <w:tcPr>
            <w:tcW w:w="1134" w:type="dxa"/>
            <w:tcBorders>
              <w:top w:val="nil"/>
              <w:bottom w:val="single" w:sz="4" w:space="0" w:color="auto"/>
            </w:tcBorders>
          </w:tcPr>
          <w:p>
            <w:pPr>
              <w:pStyle w:val="nTable"/>
              <w:spacing w:after="40"/>
              <w:ind w:right="113"/>
              <w:rPr>
                <w:snapToGrid w:val="0"/>
              </w:rPr>
            </w:pPr>
            <w:r>
              <w:rPr>
                <w:snapToGrid w:val="0"/>
              </w:rPr>
              <w:t>21 Sep 2016</w:t>
            </w:r>
          </w:p>
        </w:tc>
        <w:tc>
          <w:tcPr>
            <w:tcW w:w="2542" w:type="dxa"/>
            <w:tcBorders>
              <w:top w:val="nil"/>
              <w:bottom w:val="single" w:sz="4" w:space="0" w:color="auto"/>
            </w:tcBorders>
          </w:tcPr>
          <w:p>
            <w:pPr>
              <w:pStyle w:val="nTable"/>
              <w:spacing w:after="40"/>
              <w:ind w:right="113"/>
              <w:rPr>
                <w:snapToGrid w:val="0"/>
              </w:rPr>
            </w:pPr>
            <w:r>
              <w:rPr>
                <w:snapToGrid w:val="0"/>
              </w:rPr>
              <w:t>To be proclaimed (see s. 2(b))</w:t>
            </w:r>
          </w:p>
        </w:tc>
      </w:tr>
    </w:tbl>
    <w:p>
      <w:pPr>
        <w:pStyle w:val="nSubsection"/>
        <w:rPr>
          <w:vertAlign w:val="superscript"/>
        </w:rPr>
      </w:pPr>
    </w:p>
    <w:p>
      <w:pPr>
        <w:pStyle w:val="nSubsection"/>
      </w:pPr>
      <w:r>
        <w:rPr>
          <w:vertAlign w:val="superscript"/>
        </w:rPr>
        <w:t>2</w:t>
      </w:r>
      <w:r>
        <w:tab/>
        <w:t xml:space="preserve">The provisions in this Act amending the </w:t>
      </w:r>
      <w:r>
        <w:rPr>
          <w:i/>
          <w:iCs/>
        </w:rPr>
        <w:t>Local Government Act 1960</w:t>
      </w:r>
      <w:r>
        <w:t xml:space="preserve"> have been omitted under the </w:t>
      </w:r>
      <w:r>
        <w:rPr>
          <w:i/>
          <w:iCs/>
        </w:rPr>
        <w:t xml:space="preserve">Reprints Act 1984 </w:t>
      </w:r>
      <w:r>
        <w:t>s. 7(4)(e).</w:t>
      </w:r>
    </w:p>
    <w:p>
      <w:pPr>
        <w:pStyle w:val="nSubsection"/>
      </w:pPr>
      <w:r>
        <w:rPr>
          <w:vertAlign w:val="superscript"/>
        </w:rPr>
        <w:t>3</w:t>
      </w:r>
      <w:r>
        <w:tab/>
        <w:t>Repealed by the</w:t>
      </w:r>
      <w:r>
        <w:rPr>
          <w:i/>
        </w:rPr>
        <w:t xml:space="preserve"> Mining Act 1978.</w:t>
      </w:r>
    </w:p>
    <w:p>
      <w:pPr>
        <w:pStyle w:val="nSubsection"/>
      </w:pPr>
      <w:r>
        <w:rPr>
          <w:vertAlign w:val="superscript"/>
        </w:rPr>
        <w:t>4</w:t>
      </w:r>
      <w:r>
        <w:tab/>
        <w:t xml:space="preserve">The short title of the </w:t>
      </w:r>
      <w:r>
        <w:rPr>
          <w:i/>
        </w:rPr>
        <w:t xml:space="preserve">Local Government Act 1960 </w:t>
      </w:r>
      <w:r>
        <w:t xml:space="preserve">was amended to the </w:t>
      </w:r>
      <w:r>
        <w:rPr>
          <w:i/>
        </w:rPr>
        <w:t xml:space="preserve">Local Government (Miscellaneous Provisions) Act 1960 </w:t>
      </w:r>
      <w:r>
        <w:t>by Sch. 9.2 cl. 2 of this Act. That provision has now been omitted.</w:t>
      </w:r>
    </w:p>
    <w:p>
      <w:pPr>
        <w:pStyle w:val="BodyText"/>
        <w:spacing w:before="80" w:after="0"/>
        <w:ind w:left="454" w:hanging="454"/>
        <w:rPr>
          <w:sz w:val="20"/>
        </w:rPr>
      </w:pPr>
      <w:r>
        <w:rPr>
          <w:sz w:val="20"/>
          <w:vertAlign w:val="superscript"/>
        </w:rPr>
        <w:t>5</w:t>
      </w:r>
      <w:r>
        <w:tab/>
      </w:r>
      <w:r>
        <w:rPr>
          <w:sz w:val="20"/>
        </w:rPr>
        <w:t xml:space="preserve">Under the </w:t>
      </w:r>
      <w:r>
        <w:rPr>
          <w:i/>
          <w:sz w:val="20"/>
        </w:rPr>
        <w:t>Land Administration Act 1997</w:t>
      </w:r>
      <w:r>
        <w:rPr>
          <w:sz w:val="20"/>
        </w:rPr>
        <w:t xml:space="preserve"> s. 281(3) a reference in a written law to the </w:t>
      </w:r>
      <w:r>
        <w:rPr>
          <w:i/>
          <w:sz w:val="20"/>
        </w:rPr>
        <w:t>Land Act 1933</w:t>
      </w:r>
      <w:r>
        <w:rPr>
          <w:sz w:val="20"/>
        </w:rPr>
        <w:t xml:space="preserve"> is, unless the contrary intention appears, to be read and construed as if that reference were a reference to the </w:t>
      </w:r>
      <w:r>
        <w:rPr>
          <w:i/>
          <w:sz w:val="20"/>
        </w:rPr>
        <w:t>Land Administration Act 1997</w:t>
      </w:r>
      <w:r>
        <w:rPr>
          <w:sz w:val="20"/>
        </w:rPr>
        <w:t>.</w:t>
      </w:r>
    </w:p>
    <w:p>
      <w:pPr>
        <w:pStyle w:val="nSubsection"/>
        <w:rPr>
          <w:snapToGrid w:val="0"/>
        </w:rPr>
      </w:pPr>
      <w:r>
        <w:rPr>
          <w:snapToGrid w:val="0"/>
          <w:vertAlign w:val="superscript"/>
        </w:rPr>
        <w:t>6</w:t>
      </w:r>
      <w:r>
        <w:rPr>
          <w:snapToGrid w:val="0"/>
        </w:rPr>
        <w:tab/>
        <w:t xml:space="preserve">There is no s. 4.31(1)(c) because this provision was amended and renumbered by the </w:t>
      </w:r>
      <w:r>
        <w:rPr>
          <w:i/>
          <w:snapToGrid w:val="0"/>
        </w:rPr>
        <w:t>Standardisation of Formatting Act 2010</w:t>
      </w:r>
      <w:r>
        <w:rPr>
          <w:snapToGrid w:val="0"/>
        </w:rPr>
        <w:t xml:space="preserve"> s. 51 Table item 42.</w:t>
      </w:r>
    </w:p>
    <w:p>
      <w:pPr>
        <w:pStyle w:val="BodyText"/>
        <w:spacing w:before="80" w:after="0"/>
        <w:ind w:left="454" w:hanging="454"/>
        <w:rPr>
          <w:i/>
          <w:iCs/>
          <w:sz w:val="20"/>
          <w:vertAlign w:val="superscript"/>
        </w:rPr>
      </w:pPr>
      <w:r>
        <w:rPr>
          <w:sz w:val="20"/>
          <w:vertAlign w:val="superscript"/>
        </w:rPr>
        <w:t>7</w:t>
      </w:r>
      <w:r>
        <w:rPr>
          <w:sz w:val="20"/>
          <w:vertAlign w:val="superscript"/>
        </w:rPr>
        <w:tab/>
      </w:r>
      <w:r>
        <w:rPr>
          <w:i/>
          <w:iCs/>
          <w:sz w:val="20"/>
        </w:rPr>
        <w:t xml:space="preserve">The Criminal Code </w:t>
      </w:r>
      <w:r>
        <w:rPr>
          <w:sz w:val="20"/>
        </w:rPr>
        <w:t xml:space="preserve">s. 348 and 349 were deleted by the </w:t>
      </w:r>
      <w:r>
        <w:rPr>
          <w:i/>
          <w:iCs/>
          <w:sz w:val="20"/>
        </w:rPr>
        <w:t>Defamation Act 2005</w:t>
      </w:r>
      <w:r>
        <w:rPr>
          <w:sz w:val="20"/>
        </w:rPr>
        <w:t xml:space="preserve"> s. 47</w:t>
      </w:r>
      <w:r>
        <w:rPr>
          <w:i/>
          <w:iCs/>
          <w:sz w:val="20"/>
        </w:rPr>
        <w:t>.</w:t>
      </w:r>
    </w:p>
    <w:p>
      <w:pPr>
        <w:pStyle w:val="nSubsection"/>
        <w:rPr>
          <w:snapToGrid w:val="0"/>
        </w:rPr>
      </w:pPr>
      <w:r>
        <w:rPr>
          <w:vertAlign w:val="superscript"/>
        </w:rPr>
        <w:t>8</w:t>
      </w:r>
      <w:r>
        <w:tab/>
        <w:t xml:space="preserve">The provisions of the </w:t>
      </w:r>
      <w:r>
        <w:rPr>
          <w:i/>
        </w:rPr>
        <w:t>Local Government Act 1960</w:t>
      </w:r>
      <w:r>
        <w:t xml:space="preserve"> Pt. VIA as continued by Sch. 9.3 cl. 16 of this Act and amended by the </w:t>
      </w:r>
      <w:r>
        <w:rPr>
          <w:i/>
        </w:rPr>
        <w:t>Local Government (Amendment of Part VIA – Employee Superannuation) Regulations 2006</w:t>
      </w:r>
      <w:r>
        <w:t xml:space="preserve"> r. 4 and 5 (published in </w:t>
      </w:r>
      <w:r>
        <w:rPr>
          <w:i/>
        </w:rPr>
        <w:t>Gazette</w:t>
      </w:r>
      <w:r>
        <w:t xml:space="preserve"> 26 May 2006 p. 1877</w:t>
      </w:r>
      <w:r>
        <w:noBreakHyphen/>
        <w:t>8) read</w:t>
      </w:r>
      <w:r>
        <w:rPr>
          <w:snapToGrid w:val="0"/>
        </w:rPr>
        <w:t xml:space="preserve"> as follows:</w:t>
      </w:r>
    </w:p>
    <w:p>
      <w:pPr>
        <w:pStyle w:val="BlankOpen"/>
        <w:rPr>
          <w:snapToGrid w:val="0"/>
          <w:sz w:val="20"/>
          <w:szCs w:val="20"/>
        </w:rPr>
      </w:pPr>
    </w:p>
    <w:p>
      <w:pPr>
        <w:pStyle w:val="nzHeading2"/>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tab/>
      </w:r>
      <w:r>
        <w:rPr>
          <w:rStyle w:val="CharDefText"/>
        </w:rPr>
        <w:t xml:space="preserve">City of </w:t>
      </w:r>
      <w:smartTag w:uri="urn:schemas-microsoft-com:office:smarttags" w:element="place">
        <w:smartTag w:uri="urn:schemas-microsoft-com:office:smarttags" w:element="City">
          <w:r>
            <w:rPr>
              <w:rStyle w:val="CharDefText"/>
            </w:rPr>
            <w:t>Perth</w:t>
          </w:r>
        </w:smartTag>
      </w:smartTag>
      <w:r>
        <w:rPr>
          <w:rStyle w:val="CharDefText"/>
        </w:rPr>
        <w:t xml:space="preserve"> scheme</w:t>
      </w:r>
      <w:r>
        <w:t xml:space="preserve"> means the superannuation scheme established under section 170C;</w:t>
      </w:r>
    </w:p>
    <w:p>
      <w:pPr>
        <w:pStyle w:val="nzDefstart"/>
      </w:pPr>
      <w:r>
        <w:tab/>
      </w:r>
      <w:r>
        <w:rPr>
          <w:rStyle w:val="CharDefText"/>
        </w:rPr>
        <w:t>dependant</w:t>
      </w:r>
      <w:r>
        <w:t xml:space="preserve"> has the same definition as in section 10 of the SIS Act;</w:t>
      </w:r>
    </w:p>
    <w:p>
      <w:pPr>
        <w:pStyle w:val="nzDefstart"/>
      </w:pPr>
      <w:r>
        <w:tab/>
      </w:r>
      <w:r>
        <w:rPr>
          <w:rStyle w:val="CharDefText"/>
        </w:rPr>
        <w:t>employee</w:t>
      </w:r>
      <w:r>
        <w:t xml:space="preserve"> and </w:t>
      </w:r>
      <w:r>
        <w:rPr>
          <w:rStyle w:val="CharDefText"/>
        </w:rPr>
        <w:t>employer</w:t>
      </w:r>
      <w:r>
        <w:t xml:space="preserve"> have the same definitions as in section 10 of the SIS Act;</w:t>
      </w:r>
    </w:p>
    <w:p>
      <w:pPr>
        <w:pStyle w:val="nzDefstart"/>
      </w:pPr>
      <w:r>
        <w:rPr>
          <w:b/>
        </w:rPr>
        <w:tab/>
      </w:r>
      <w:r>
        <w:rPr>
          <w:rStyle w:val="CharDefText"/>
        </w:rPr>
        <w:t>industry scheme</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nzDefstart"/>
      </w:pPr>
      <w:r>
        <w:tab/>
      </w:r>
      <w:r>
        <w:rPr>
          <w:rStyle w:val="CharDefText"/>
        </w:rPr>
        <w:t>municipality</w:t>
      </w:r>
      <w:r>
        <w:t xml:space="preserve"> includes a regional council;</w:t>
      </w:r>
    </w:p>
    <w:p>
      <w:pPr>
        <w:pStyle w:val="nzDefstart"/>
      </w:pPr>
      <w:r>
        <w:tab/>
      </w:r>
      <w:r>
        <w:rPr>
          <w:rStyle w:val="CharDefText"/>
        </w:rPr>
        <w:t>SIS Act</w:t>
      </w:r>
      <w:r>
        <w:t xml:space="preserve"> means the </w:t>
      </w:r>
      <w:r>
        <w:rPr>
          <w:i/>
        </w:rPr>
        <w:t>Superannuation Industry (Supervision) Act 1993</w:t>
      </w:r>
      <w:r>
        <w:t xml:space="preserve"> (Cwlth) as amended from time to time.</w:t>
      </w:r>
    </w:p>
    <w:p>
      <w:pPr>
        <w:pStyle w:val="nzSubsection"/>
        <w:rPr>
          <w:snapToGrid w:val="0"/>
        </w:rPr>
      </w:pPr>
      <w:r>
        <w:rPr>
          <w:snapToGrid w:val="0"/>
        </w:rPr>
        <w:tab/>
        <w:t>(2)</w:t>
      </w:r>
      <w:r>
        <w:rPr>
          <w:snapToGrid w:val="0"/>
        </w:rPr>
        <w:tab/>
        <w:t xml:space="preserve">A reference in this Part to the City of </w:t>
      </w:r>
      <w:smartTag w:uri="urn:schemas-microsoft-com:office:smarttags" w:element="place">
        <w:smartTag w:uri="urn:schemas-microsoft-com:office:smarttags" w:element="City">
          <w:r>
            <w:rPr>
              <w:snapToGrid w:val="0"/>
            </w:rPr>
            <w:t>Perth</w:t>
          </w:r>
        </w:smartTag>
      </w:smartTag>
      <w:r>
        <w:rPr>
          <w:snapToGrid w:val="0"/>
        </w:rPr>
        <w:t xml:space="preserve"> scheme is a reference to the scheme as it is amended from time to time.</w:t>
      </w:r>
    </w:p>
    <w:p>
      <w:pPr>
        <w:pStyle w:val="nzSubsection"/>
        <w:rPr>
          <w:snapToGrid w:val="0"/>
        </w:rPr>
      </w:pPr>
      <w:r>
        <w:rPr>
          <w:snapToGrid w:val="0"/>
        </w:rPr>
        <w:tab/>
        <w:t>(3)</w:t>
      </w:r>
      <w:r>
        <w:rPr>
          <w:snapToGrid w:val="0"/>
        </w:rPr>
        <w:tab/>
        <w:t>A reference in this Part to the industry scheme is a reference to the scheme as it is amended from time to time.</w:t>
      </w:r>
    </w:p>
    <w:p>
      <w:pPr>
        <w:pStyle w:val="nzEdnotesection"/>
        <w:keepNext w:val="0"/>
        <w:keepLines w:val="0"/>
        <w:ind w:left="1440" w:hanging="1440"/>
      </w:pPr>
      <w:r>
        <w:rPr>
          <w:snapToGrid w:val="0"/>
        </w:rPr>
        <w:tab/>
      </w:r>
      <w:r>
        <w:t>[Section 170A amended in Gazette 26 May 2006 p. 1877.]</w:t>
      </w:r>
    </w:p>
    <w:p>
      <w:pPr>
        <w:pStyle w:val="nzHeading5"/>
        <w:rPr>
          <w:snapToGrid w:val="0"/>
        </w:rPr>
      </w:pPr>
      <w:r>
        <w:rPr>
          <w:snapToGrid w:val="0"/>
        </w:rPr>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pPr>
        <w:pStyle w:val="nzSubsection"/>
        <w:rPr>
          <w:snapToGrid w:val="0"/>
        </w:rPr>
      </w:pPr>
      <w:r>
        <w:rPr>
          <w:snapToGrid w:val="0"/>
        </w:rPr>
        <w:tab/>
        <w:t>(3)</w:t>
      </w:r>
      <w:r>
        <w:rPr>
          <w:snapToGrid w:val="0"/>
        </w:rPr>
        <w:tab/>
        <w:t xml:space="preserve">Subsections (1) and (2) do not apply in respect of an employee if under section 170D, or the </w:t>
      </w:r>
      <w:r>
        <w:rPr>
          <w:i/>
          <w:snapToGrid w:val="0"/>
        </w:rPr>
        <w:t xml:space="preserve">City of Perth Act 2016 </w:t>
      </w:r>
      <w:r>
        <w:rPr>
          <w:snapToGrid w:val="0"/>
        </w:rPr>
        <w:t xml:space="preserve">section 23, a municipality has to participate in and comply with the City of </w:t>
      </w:r>
      <w:smartTag w:uri="urn:schemas-microsoft-com:office:smarttags" w:element="place">
        <w:smartTag w:uri="urn:schemas-microsoft-com:office:smarttags" w:element="City">
          <w:r>
            <w:rPr>
              <w:snapToGrid w:val="0"/>
            </w:rPr>
            <w:t>Perth</w:t>
          </w:r>
        </w:smartTag>
      </w:smartTag>
      <w:r>
        <w:rPr>
          <w:snapToGrid w:val="0"/>
        </w:rPr>
        <w:t xml:space="preserve"> scheme in respect of that employee.</w:t>
      </w:r>
    </w:p>
    <w:p>
      <w:pPr>
        <w:pStyle w:val="nzSubsection"/>
        <w:rPr>
          <w:snapToGrid w:val="0"/>
        </w:rPr>
      </w:pPr>
      <w:r>
        <w:rPr>
          <w:snapToGrid w:val="0"/>
        </w:rPr>
        <w:tab/>
        <w:t>(4)</w:t>
      </w:r>
      <w:r>
        <w:rPr>
          <w:snapToGrid w:val="0"/>
        </w:rPr>
        <w:tab/>
        <w:t xml:space="preserve">Subsections (1) and (2) apply to the City of </w:t>
      </w:r>
      <w:smartTag w:uri="urn:schemas-microsoft-com:office:smarttags" w:element="City">
        <w:r>
          <w:rPr>
            <w:snapToGrid w:val="0"/>
          </w:rPr>
          <w:t>Perth</w:t>
        </w:r>
      </w:smartTag>
      <w:r>
        <w:rPr>
          <w:snapToGrid w:val="0"/>
        </w:rPr>
        <w:t xml:space="preserve"> only in respect of those of its employees who are not members of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pPr>
      <w:r>
        <w:tab/>
        <w:t>(5)</w:t>
      </w:r>
      <w:r>
        <w:tab/>
        <w:t xml:space="preserve">If, in respect of an employee for any period — </w:t>
      </w:r>
    </w:p>
    <w:p>
      <w:pPr>
        <w:pStyle w:val="nzIndenta"/>
      </w:pPr>
      <w:r>
        <w:tab/>
        <w:t>(a)</w:t>
      </w:r>
      <w:r>
        <w:tab/>
        <w:t>there is a chosen fund for the employee throughout the period; and</w:t>
      </w:r>
    </w:p>
    <w:p>
      <w:pPr>
        <w:pStyle w:val="nzIndenta"/>
      </w:pPr>
      <w:r>
        <w:tab/>
        <w:t>(b)</w:t>
      </w:r>
      <w:r>
        <w:tab/>
        <w:t>the chosen fund is not the industry scheme; and</w:t>
      </w:r>
    </w:p>
    <w:p>
      <w:pPr>
        <w:pStyle w:val="nzIndenta"/>
      </w:pPr>
      <w:r>
        <w:tab/>
        <w:t>(c)</w:t>
      </w:r>
      <w:r>
        <w:tab/>
        <w:t>the municipality makes the minimum SG contributions for the employee for that period to the chosen fund,</w:t>
      </w:r>
    </w:p>
    <w:p>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nzSubsection"/>
      </w:pPr>
      <w:r>
        <w:tab/>
        <w:t>(6)</w:t>
      </w:r>
      <w:r>
        <w:tab/>
        <w:t xml:space="preserve">In subsection (5) — </w:t>
      </w:r>
    </w:p>
    <w:p>
      <w:pPr>
        <w:pStyle w:val="nzIndenta"/>
      </w:pPr>
      <w:r>
        <w:tab/>
        <w:t>(a)</w:t>
      </w:r>
      <w:r>
        <w:tab/>
        <w:t>the following terms have the same meanings as they have in the</w:t>
      </w:r>
      <w:r>
        <w:rPr>
          <w:iCs/>
        </w:rPr>
        <w:t xml:space="preserve"> </w:t>
      </w:r>
      <w:r>
        <w:rPr>
          <w:i/>
        </w:rPr>
        <w:t>Superannuation Guarantee (Administration) Act 1992</w:t>
      </w:r>
      <w:r>
        <w:t xml:space="preserve"> (Cwlth) — </w:t>
      </w:r>
    </w:p>
    <w:p>
      <w:pPr>
        <w:pStyle w:val="nzIndenti"/>
      </w:pPr>
      <w:r>
        <w:tab/>
        <w:t>(i)</w:t>
      </w:r>
      <w:r>
        <w:tab/>
        <w:t xml:space="preserve">chosen fund for the employer; </w:t>
      </w:r>
    </w:p>
    <w:p>
      <w:pPr>
        <w:pStyle w:val="nzIndenti"/>
      </w:pPr>
      <w:r>
        <w:tab/>
        <w:t>(ii)</w:t>
      </w:r>
      <w:r>
        <w:tab/>
        <w:t>individual superannuation guarantee shortfall;</w:t>
      </w:r>
    </w:p>
    <w:p>
      <w:pPr>
        <w:pStyle w:val="nzIndenta"/>
      </w:pPr>
      <w:r>
        <w:tab/>
      </w:r>
      <w:r>
        <w:tab/>
        <w:t>and</w:t>
      </w:r>
    </w:p>
    <w:p>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pPr>
        <w:pStyle w:val="nzEdnotesection"/>
        <w:keepNext w:val="0"/>
        <w:keepLines w:val="0"/>
        <w:tabs>
          <w:tab w:val="clear" w:pos="1446"/>
          <w:tab w:val="left" w:pos="1440"/>
        </w:tabs>
        <w:ind w:left="1440" w:hanging="1440"/>
      </w:pPr>
      <w:r>
        <w:tab/>
        <w:t>[Section 170B amended in Gazette 26 May 2006 p. 1878; No. 2 of 2016 s. 31.]</w:t>
      </w:r>
    </w:p>
    <w:p>
      <w:pPr>
        <w:pStyle w:val="nzHeading5"/>
        <w:rPr>
          <w:snapToGrid w:val="0"/>
        </w:rPr>
      </w:pPr>
      <w:r>
        <w:rPr>
          <w:snapToGrid w:val="0"/>
        </w:rPr>
        <w:t>170C.</w:t>
      </w:r>
      <w:r>
        <w:rPr>
          <w:snapToGrid w:val="0"/>
        </w:rPr>
        <w:tab/>
        <w:t xml:space="preserve">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w:t>
      </w:r>
      <w:r>
        <w:t xml:space="preserve">the </w:t>
      </w:r>
      <w:r>
        <w:rPr>
          <w:i/>
        </w:rPr>
        <w:t>City of Perth Act 2016</w:t>
      </w:r>
      <w:r>
        <w:t xml:space="preserve"> section 23, </w:t>
      </w:r>
      <w:r>
        <w:rPr>
          <w:snapToGrid w:val="0"/>
        </w:rPr>
        <w:t>are required to participate in and comply with the scheme.</w:t>
      </w:r>
    </w:p>
    <w:p>
      <w:pPr>
        <w:pStyle w:val="nzSubsection"/>
        <w:rPr>
          <w:snapToGrid w:val="0"/>
        </w:rPr>
      </w:pPr>
      <w:r>
        <w:rPr>
          <w:snapToGrid w:val="0"/>
        </w:rPr>
        <w:tab/>
        <w:t>(2)</w:t>
      </w:r>
      <w:r>
        <w:rPr>
          <w:snapToGrid w:val="0"/>
        </w:rPr>
        <w:tab/>
        <w:t xml:space="preserve">The City of </w:t>
      </w:r>
      <w:smartTag w:uri="urn:schemas-microsoft-com:office:smarttags" w:element="City">
        <w:r>
          <w:rPr>
            <w:snapToGrid w:val="0"/>
          </w:rPr>
          <w:t>Perth</w:t>
        </w:r>
      </w:smartTag>
      <w:r>
        <w:rPr>
          <w:snapToGrid w:val="0"/>
        </w:rPr>
        <w:t xml:space="preserve"> shall participate in and comply with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(3)</w:t>
      </w:r>
      <w:r>
        <w:rPr>
          <w:snapToGrid w:val="0"/>
        </w:rPr>
        <w:tab/>
        <w:t xml:space="preserve">The City of </w:t>
      </w:r>
      <w:smartTag w:uri="urn:schemas-microsoft-com:office:smarttags" w:element="City">
        <w:r>
          <w:rPr>
            <w:snapToGrid w:val="0"/>
          </w:rPr>
          <w:t>Perth</w:t>
        </w:r>
      </w:smartTag>
      <w:r>
        <w:rPr>
          <w:snapToGrid w:val="0"/>
        </w:rPr>
        <w:t xml:space="preserve"> shall exercise such powers and discharge such obligations as are necessary to give effect to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(4)</w:t>
      </w:r>
      <w:r>
        <w:rPr>
          <w:snapToGrid w:val="0"/>
        </w:rPr>
        <w:tab/>
        <w:t xml:space="preserve">A person who becomes an employee of the City of </w:t>
      </w:r>
      <w:smartTag w:uri="urn:schemas-microsoft-com:office:smarttags" w:element="City">
        <w:r>
          <w:rPr>
            <w:snapToGrid w:val="0"/>
          </w:rPr>
          <w:t>Perth</w:t>
        </w:r>
      </w:smartTag>
      <w:r>
        <w:rPr>
          <w:snapToGrid w:val="0"/>
        </w:rPr>
        <w:t xml:space="preserve"> shall be a member of and subject to the City of </w:t>
      </w:r>
      <w:smartTag w:uri="urn:schemas-microsoft-com:office:smarttags" w:element="place">
        <w:smartTag w:uri="urn:schemas-microsoft-com:office:smarttags" w:element="City">
          <w:r>
            <w:rPr>
              <w:snapToGrid w:val="0"/>
            </w:rPr>
            <w:t>Perth</w:t>
          </w:r>
        </w:smartTag>
      </w:smartTag>
      <w:r>
        <w:rPr>
          <w:snapToGrid w:val="0"/>
        </w:rPr>
        <w:t xml:space="preserve"> scheme unless he or she elects to be a member of the industry scheme.</w:t>
      </w:r>
    </w:p>
    <w:p>
      <w:pPr>
        <w:pStyle w:val="nzEdnotesection"/>
        <w:tabs>
          <w:tab w:val="clear" w:pos="1446"/>
          <w:tab w:val="left" w:pos="1440"/>
        </w:tabs>
        <w:ind w:left="1440" w:hanging="1440"/>
      </w:pPr>
      <w:r>
        <w:tab/>
        <w:t>[Section 170C amended by No. 2 of 2016 s. 32.]</w:t>
      </w:r>
    </w:p>
    <w:p>
      <w:pPr>
        <w:pStyle w:val="nzHeading5"/>
        <w:rPr>
          <w:snapToGrid w:val="0"/>
        </w:rPr>
      </w:pPr>
      <w:r>
        <w:rPr>
          <w:snapToGrid w:val="0"/>
        </w:rPr>
        <w:t>170D.</w:t>
      </w:r>
      <w:r>
        <w:rPr>
          <w:snapToGrid w:val="0"/>
        </w:rPr>
        <w:tab/>
        <w:t xml:space="preserve">City of </w:t>
      </w:r>
      <w:smartTag w:uri="urn:schemas-microsoft-com:office:smarttags" w:element="place">
        <w:smartTag w:uri="urn:schemas-microsoft-com:office:smarttags" w:element="City">
          <w:r>
            <w:rPr>
              <w:snapToGrid w:val="0"/>
            </w:rPr>
            <w:t>Perth</w:t>
          </w:r>
        </w:smartTag>
      </w:smartTag>
      <w:r>
        <w:rPr>
          <w:snapToGrid w:val="0"/>
        </w:rPr>
        <w:t xml:space="preserve">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 xml:space="preserve">is a member of the City of </w:t>
      </w:r>
      <w:smartTag w:uri="urn:schemas-microsoft-com:office:smarttags" w:element="place">
        <w:smartTag w:uri="urn:schemas-microsoft-com:office:smarttags" w:element="City">
          <w:r>
            <w:rPr>
              <w:snapToGrid w:val="0"/>
            </w:rPr>
            <w:t>Perth</w:t>
          </w:r>
        </w:smartTag>
      </w:smartTag>
      <w:r>
        <w:rPr>
          <w:snapToGrid w:val="0"/>
        </w:rPr>
        <w:t xml:space="preserve"> scheme; and</w:t>
      </w:r>
    </w:p>
    <w:p>
      <w:pPr>
        <w:pStyle w:val="nzIndenta"/>
        <w:rPr>
          <w:snapToGrid w:val="0"/>
        </w:rPr>
      </w:pPr>
      <w:r>
        <w:rPr>
          <w:snapToGrid w:val="0"/>
        </w:rPr>
        <w:tab/>
        <w:t>(b)</w:t>
      </w:r>
      <w:r>
        <w:rPr>
          <w:snapToGrid w:val="0"/>
        </w:rPr>
        <w:tab/>
        <w:t xml:space="preserve">becomes an employee of a regional council of which the City of </w:t>
      </w:r>
      <w:smartTag w:uri="urn:schemas-microsoft-com:office:smarttags" w:element="place">
        <w:smartTag w:uri="urn:schemas-microsoft-com:office:smarttags" w:element="City">
          <w:r>
            <w:rPr>
              <w:snapToGrid w:val="0"/>
            </w:rPr>
            <w:t>Perth</w:t>
          </w:r>
        </w:smartTag>
      </w:smartTag>
      <w:r>
        <w:rPr>
          <w:snapToGrid w:val="0"/>
        </w:rPr>
        <w:t xml:space="preserve"> is a constituent municipality,</w:t>
      </w:r>
    </w:p>
    <w:p>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 xml:space="preserve">A person referred to in subsection (1) does not cease to be a member of the City of </w:t>
      </w:r>
      <w:smartTag w:uri="urn:schemas-microsoft-com:office:smarttags" w:element="City">
        <w:r>
          <w:rPr>
            <w:snapToGrid w:val="0"/>
          </w:rPr>
          <w:t>Perth</w:t>
        </w:r>
      </w:smartTag>
      <w:r>
        <w:rPr>
          <w:snapToGrid w:val="0"/>
        </w:rPr>
        <w:t xml:space="preserve"> scheme by reason only of ceasing to be an employee of the City of </w:t>
      </w:r>
      <w:smartTag w:uri="urn:schemas-microsoft-com:office:smarttags" w:element="place">
        <w:smartTag w:uri="urn:schemas-microsoft-com:office:smarttags" w:element="City">
          <w:r>
            <w:rPr>
              <w:snapToGrid w:val="0"/>
            </w:rPr>
            <w:t>Perth</w:t>
          </w:r>
        </w:smartTag>
      </w:smartTag>
      <w:r>
        <w:rPr>
          <w:snapToGrid w:val="0"/>
        </w:rPr>
        <w:t>.</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 xml:space="preserve">Nothing in this Part prevents a municipality from participating, in respect of an employee of the municipality, in a superannuation scheme in addition to either the industry scheme or the City of </w:t>
      </w:r>
      <w:smartTag w:uri="urn:schemas-microsoft-com:office:smarttags" w:element="place">
        <w:smartTag w:uri="urn:schemas-microsoft-com:office:smarttags" w:element="City">
          <w:r>
            <w:rPr>
              <w:snapToGrid w:val="0"/>
            </w:rPr>
            <w:t>Perth</w:t>
          </w:r>
        </w:smartTag>
      </w:smartTag>
      <w:r>
        <w:rPr>
          <w:snapToGrid w:val="0"/>
        </w:rPr>
        <w:t xml:space="preserve"> scheme (as the case may be) if the municipality and the employee agree to participate in that other scheme.</w:t>
      </w:r>
    </w:p>
    <w:p>
      <w:pPr>
        <w:pStyle w:val="BlankClose"/>
        <w:rPr>
          <w:snapToGrid w:val="0"/>
        </w:rPr>
      </w:pPr>
    </w:p>
    <w:p>
      <w:pPr>
        <w:pStyle w:val="nSubsection"/>
        <w:keepNext/>
      </w:pPr>
      <w:r>
        <w:rPr>
          <w:vertAlign w:val="superscript"/>
        </w:rPr>
        <w:t>9</w:t>
      </w:r>
      <w:r>
        <w:tab/>
        <w:t xml:space="preserve">The </w:t>
      </w:r>
      <w:r>
        <w:rPr>
          <w:i/>
        </w:rPr>
        <w:t>Local Government Act 1995</w:t>
      </w:r>
      <w:r>
        <w:t xml:space="preserve"> is affected by the </w:t>
      </w:r>
      <w:r>
        <w:rPr>
          <w:i/>
        </w:rPr>
        <w:t>Dampier to Bunbury</w:t>
      </w:r>
      <w:r>
        <w:rPr>
          <w:i/>
          <w:iCs/>
        </w:rPr>
        <w:t xml:space="preserve"> </w:t>
      </w:r>
      <w:r>
        <w:rPr>
          <w:i/>
        </w:rPr>
        <w:t>Pipeline Act 1997</w:t>
      </w:r>
      <w:r>
        <w:t xml:space="preserve"> Sch. 4 cl. 36, which reads as follows:</w:t>
      </w:r>
    </w:p>
    <w:p>
      <w:pPr>
        <w:pStyle w:val="BlankOpen"/>
        <w:rPr>
          <w:snapToGrid w:val="0"/>
        </w:rPr>
      </w:pP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r>
      <w:r>
        <w:rPr>
          <w:rStyle w:val="CharDefText"/>
        </w:rPr>
        <w:t>DBNGP corridor</w:t>
      </w:r>
      <w:r>
        <w:t xml:space="preserve"> and </w:t>
      </w:r>
      <w:r>
        <w:rPr>
          <w:rStyle w:val="CharDefText"/>
        </w:rPr>
        <w:t>DBNGP Land Access Minister</w:t>
      </w:r>
      <w:r>
        <w:t xml:space="preserve"> have the meanings given by section 27 of this Act;</w:t>
      </w:r>
    </w:p>
    <w:p>
      <w:pPr>
        <w:pStyle w:val="nzDefstart"/>
      </w:pPr>
      <w:r>
        <w:rPr>
          <w:b/>
        </w:rPr>
        <w:tab/>
      </w:r>
      <w:r>
        <w:rPr>
          <w:rStyle w:val="CharDefText"/>
        </w:rPr>
        <w:t>rates</w:t>
      </w:r>
      <w:r>
        <w:t xml:space="preserve"> means rates under the </w:t>
      </w:r>
      <w:r>
        <w:rPr>
          <w:i/>
        </w:rPr>
        <w:t>Local Government Act 1995</w:t>
      </w:r>
      <w:r>
        <w:t>;</w:t>
      </w:r>
    </w:p>
    <w:p>
      <w:pPr>
        <w:pStyle w:val="nzDefstart"/>
      </w:pPr>
      <w:r>
        <w:rPr>
          <w:b/>
        </w:rPr>
        <w:tab/>
      </w:r>
      <w:r>
        <w:rPr>
          <w:rStyle w:val="CharDefText"/>
        </w:rPr>
        <w:t>utilized corridor land</w:t>
      </w:r>
      <w:r>
        <w:t xml:space="preserve"> means land in the DBNGP corridor in respect of which rights under section 34 of this Act are held, regardless of whether rights are held by one holder or several holders.</w:t>
      </w:r>
    </w:p>
    <w:p>
      <w:pPr>
        <w:pStyle w:val="BlankClose"/>
        <w:rPr>
          <w:sz w:val="20"/>
          <w:szCs w:val="20"/>
        </w:rPr>
      </w:pPr>
    </w:p>
    <w:p>
      <w:pPr>
        <w:pStyle w:val="nSubsection"/>
        <w:keepNext/>
        <w:spacing w:before="120"/>
      </w:pPr>
      <w:r>
        <w:rPr>
          <w:vertAlign w:val="superscript"/>
        </w:rPr>
        <w:t>10</w:t>
      </w:r>
      <w:r>
        <w:tab/>
        <w:t xml:space="preserve">The </w:t>
      </w:r>
      <w:r>
        <w:rPr>
          <w:i/>
        </w:rPr>
        <w:t>Local Government Act 1995</w:t>
      </w:r>
      <w:r>
        <w:t xml:space="preserve"> is affected by the </w:t>
      </w:r>
      <w:r>
        <w:rPr>
          <w:i/>
        </w:rPr>
        <w:t>Gas Corporation (Business Disposal) Act 1999</w:t>
      </w:r>
      <w:r>
        <w:t xml:space="preserve"> s. 67, which reads as follows:</w:t>
      </w:r>
    </w:p>
    <w:p>
      <w:pPr>
        <w:pStyle w:val="BlankOpen"/>
        <w:rPr>
          <w:sz w:val="20"/>
          <w:szCs w:val="20"/>
        </w:rPr>
      </w:pPr>
    </w:p>
    <w:p>
      <w:pPr>
        <w:pStyle w:val="nzHeading5"/>
        <w:spacing w:before="80"/>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BlankClose"/>
        <w:rPr>
          <w:sz w:val="16"/>
          <w:szCs w:val="16"/>
        </w:rPr>
      </w:pPr>
    </w:p>
    <w:p>
      <w:pPr>
        <w:pStyle w:val="nSubsection"/>
      </w:pPr>
      <w:r>
        <w:rPr>
          <w:vertAlign w:val="superscript"/>
        </w:rPr>
        <w:t>11</w:t>
      </w:r>
      <w:r>
        <w:tab/>
        <w:t xml:space="preserve">The </w:t>
      </w:r>
      <w:r>
        <w:rPr>
          <w:i/>
        </w:rPr>
        <w:t>Local Government (Consequential Amendments) Act 1996</w:t>
      </w:r>
      <w:r>
        <w:t xml:space="preserve"> s. 7 and 8 read as follows:</w:t>
      </w:r>
    </w:p>
    <w:p>
      <w:pPr>
        <w:pStyle w:val="BlankOpen"/>
        <w:keepNext w:val="0"/>
        <w:keepLines w:val="0"/>
        <w:rPr>
          <w:sz w:val="16"/>
          <w:szCs w:val="16"/>
        </w:rPr>
      </w:pPr>
    </w:p>
    <w:p>
      <w:pPr>
        <w:pStyle w:val="nzHeading5"/>
        <w:keepNext w:val="0"/>
        <w:keepLines w:val="0"/>
        <w:spacing w:before="80"/>
      </w:pPr>
      <w:r>
        <w:t>7.</w:t>
      </w:r>
      <w:r>
        <w:tab/>
        <w:t>Transitional matters relating to by</w:t>
      </w:r>
      <w:r>
        <w:noBreakHyphen/>
        <w:t>laws</w:t>
      </w:r>
    </w:p>
    <w:p>
      <w:pPr>
        <w:pStyle w:val="nzSubsection"/>
      </w:pPr>
      <w:r>
        <w:tab/>
        <w:t>(1)</w:t>
      </w:r>
      <w:r>
        <w:tab/>
        <w:t xml:space="preserve">If, when this Act comes into operation — </w:t>
      </w:r>
    </w:p>
    <w:p>
      <w:pPr>
        <w:pStyle w:val="nzIndenta"/>
      </w:pPr>
      <w:r>
        <w:tab/>
        <w:t>(a)</w:t>
      </w:r>
      <w:r>
        <w:tab/>
        <w:t>a local government has resolved to make a by</w:t>
      </w:r>
      <w:r>
        <w:noBreakHyphen/>
        <w:t xml:space="preserve">law under the </w:t>
      </w:r>
      <w:r>
        <w:rPr>
          <w:i/>
        </w:rPr>
        <w:t>Bush Fires Act 1954</w:t>
      </w:r>
      <w:r>
        <w:t xml:space="preserve">, the </w:t>
      </w:r>
      <w:r>
        <w:rPr>
          <w:i/>
        </w:rPr>
        <w:t xml:space="preserve">City of </w:t>
      </w:r>
      <w:smartTag w:uri="urn:schemas-microsoft-com:office:smarttags" w:element="place">
        <w:smartTag w:uri="urn:schemas-microsoft-com:office:smarttags" w:element="City">
          <w:r>
            <w:rPr>
              <w:i/>
            </w:rPr>
            <w:t>Perth Parking Facilities Act</w:t>
          </w:r>
        </w:smartTag>
      </w:smartTag>
      <w:r>
        <w:rPr>
          <w:i/>
        </w:rPr>
        <w: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spacing w:before="60"/>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spacing w:before="60"/>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spacing w:before="60"/>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pPr>
      <w:r>
        <w:tab/>
        <w:t>(b)</w:t>
      </w:r>
      <w:r>
        <w:tab/>
        <w:t>a notice of intention to submit the by</w:t>
      </w:r>
      <w:r>
        <w:noBreakHyphen/>
        <w:t>law for confirmation or approval by the Governor has not been published,</w:t>
      </w:r>
    </w:p>
    <w:p>
      <w:pPr>
        <w:pStyle w:val="nzSubsection"/>
        <w:spacing w:before="60"/>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BlankClose"/>
      </w:pPr>
    </w:p>
    <w:p>
      <w:pPr>
        <w:pStyle w:val="nSubsection"/>
      </w:pPr>
      <w:r>
        <w:rPr>
          <w:vertAlign w:val="superscript"/>
        </w:rPr>
        <w:t>12</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Subsection"/>
        <w:rPr>
          <w:snapToGrid w:val="0"/>
        </w:rPr>
      </w:pPr>
      <w:r>
        <w:rPr>
          <w:snapToGrid w:val="0"/>
          <w:vertAlign w:val="superscript"/>
        </w:rPr>
        <w:t>13</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Subsection"/>
        <w:keepNext/>
        <w:keepLines/>
      </w:pPr>
      <w:r>
        <w:rPr>
          <w:vertAlign w:val="superscript"/>
        </w:rPr>
        <w:t>14</w:t>
      </w:r>
      <w:r>
        <w:tab/>
        <w:t xml:space="preserve">The </w:t>
      </w:r>
      <w:r>
        <w:rPr>
          <w:i/>
        </w:rPr>
        <w:t xml:space="preserve">Local Government Amendment Act (No. 2) 1998 </w:t>
      </w:r>
      <w:r>
        <w:t>s. 14(3) reads as follows:</w:t>
      </w:r>
    </w:p>
    <w:p>
      <w:pPr>
        <w:pStyle w:val="BlankOpen"/>
      </w:pP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BlankClose"/>
      </w:pPr>
    </w:p>
    <w:p>
      <w:pPr>
        <w:pStyle w:val="nSubsection"/>
        <w:ind w:hanging="569"/>
      </w:pPr>
      <w:r>
        <w:rPr>
          <w:vertAlign w:val="superscript"/>
        </w:rPr>
        <w:t>15</w:t>
      </w:r>
      <w:r>
        <w:tab/>
        <w:t xml:space="preserve">The </w:t>
      </w:r>
      <w:r>
        <w:rPr>
          <w:i/>
        </w:rPr>
        <w:t xml:space="preserve">Local Government Amendment Act (No. 2) 1998 </w:t>
      </w:r>
      <w:r>
        <w:t>s. 56 is a transitional provision that is of no further effect.</w:t>
      </w:r>
    </w:p>
    <w:p>
      <w:pPr>
        <w:pStyle w:val="nSubsection"/>
        <w:ind w:hanging="569"/>
      </w:pPr>
      <w:r>
        <w:rPr>
          <w:vertAlign w:val="superscript"/>
        </w:rPr>
        <w:t>16</w:t>
      </w:r>
      <w:r>
        <w:tab/>
        <w:t xml:space="preserve">The </w:t>
      </w:r>
      <w:smartTag w:uri="urn:schemas-microsoft-com:office:smarttags" w:element="place">
        <w:smartTag w:uri="urn:schemas-microsoft-com:office:smarttags" w:element="City">
          <w:r>
            <w:rPr>
              <w:i/>
              <w:iCs/>
            </w:rPr>
            <w:t>Perth</w:t>
          </w:r>
        </w:smartTag>
      </w:smartTag>
      <w:r>
        <w:rPr>
          <w:i/>
          <w:iCs/>
        </w:rPr>
        <w:t xml:space="preserve"> Parking Management (Consequential Provisions) Act 1999</w:t>
      </w:r>
      <w:r>
        <w:t xml:space="preserve"> s. 5(2) is a transitional provision that is of no further effect.</w:t>
      </w:r>
    </w:p>
    <w:p>
      <w:pPr>
        <w:pStyle w:val="nSubsection"/>
        <w:keepNext/>
        <w:ind w:hanging="569"/>
      </w:pPr>
      <w:r>
        <w:rPr>
          <w:vertAlign w:val="superscript"/>
        </w:rPr>
        <w:t>17</w:t>
      </w:r>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rPr>
          <w:rStyle w:val="CharSectno"/>
        </w:rPr>
      </w:pPr>
      <w:r>
        <w:rPr>
          <w:rStyle w:val="CharSectno"/>
        </w:rPr>
        <w:t>3.</w:t>
      </w:r>
      <w:r>
        <w:rPr>
          <w:rStyle w:val="CharSectno"/>
        </w:rPr>
        <w:tab/>
        <w:t>Interpretation</w:t>
      </w:r>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keepNext/>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BlankClose"/>
        <w:rPr>
          <w:snapToGrid w:val="0"/>
          <w:sz w:val="20"/>
          <w:szCs w:val="20"/>
        </w:rPr>
      </w:pPr>
    </w:p>
    <w:p>
      <w:pPr>
        <w:pStyle w:val="nSubsection"/>
        <w:keepNext/>
        <w:keepLines/>
        <w:rPr>
          <w:snapToGrid w:val="0"/>
        </w:rPr>
      </w:pPr>
      <w:r>
        <w:rPr>
          <w:snapToGrid w:val="0"/>
          <w:vertAlign w:val="superscript"/>
        </w:rPr>
        <w:t>18</w:t>
      </w:r>
      <w:r>
        <w:rPr>
          <w:snapToGrid w:val="0"/>
        </w:rPr>
        <w:tab/>
        <w:t xml:space="preserve">The </w:t>
      </w:r>
      <w:r>
        <w:rPr>
          <w:i/>
          <w:snapToGrid w:val="0"/>
        </w:rPr>
        <w:t>Local Government Amendment Act 2004</w:t>
      </w:r>
      <w:r>
        <w:rPr>
          <w:snapToGrid w:val="0"/>
        </w:rPr>
        <w:t xml:space="preserve"> s. 30(2) reads as follows:</w:t>
      </w:r>
    </w:p>
    <w:p>
      <w:pPr>
        <w:pStyle w:val="BlankOpen"/>
        <w:rPr>
          <w:snapToGrid w:val="0"/>
        </w:rPr>
      </w:pP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BlankClose"/>
        <w:rPr>
          <w:snapToGrid w:val="0"/>
          <w:sz w:val="20"/>
          <w:szCs w:val="20"/>
        </w:rPr>
      </w:pPr>
    </w:p>
    <w:p>
      <w:pPr>
        <w:pStyle w:val="nSubsection"/>
        <w:spacing w:before="60"/>
        <w:rPr>
          <w:snapToGrid w:val="0"/>
        </w:rPr>
      </w:pPr>
      <w:r>
        <w:rPr>
          <w:vertAlign w:val="superscript"/>
        </w:rPr>
        <w:t>19</w:t>
      </w:r>
      <w:r>
        <w:tab/>
        <w:t xml:space="preserve">The </w:t>
      </w:r>
      <w:r>
        <w:rPr>
          <w:i/>
          <w:snapToGrid w:val="0"/>
        </w:rPr>
        <w:t xml:space="preserve">Local Government Amendment Act 2004 </w:t>
      </w:r>
      <w:r>
        <w:rPr>
          <w:snapToGrid w:val="0"/>
        </w:rPr>
        <w:t>s. 67(6) reads as follows:</w:t>
      </w:r>
    </w:p>
    <w:p>
      <w:pPr>
        <w:pStyle w:val="BlankOpen"/>
        <w:rPr>
          <w:sz w:val="20"/>
          <w:szCs w:val="20"/>
        </w:rPr>
      </w:pP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BlankClose"/>
        <w:rPr>
          <w:sz w:val="20"/>
          <w:szCs w:val="20"/>
        </w:rPr>
      </w:pPr>
      <w:r>
        <w:t xml:space="preserve">    </w:t>
      </w:r>
    </w:p>
    <w:p>
      <w:pPr>
        <w:pStyle w:val="nSubsection"/>
        <w:rPr>
          <w:rStyle w:val="CharSchNo"/>
        </w:rPr>
      </w:pPr>
      <w:r>
        <w:rPr>
          <w:vertAlign w:val="superscript"/>
        </w:rPr>
        <w:t>20</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BlankOpen"/>
        <w:rPr>
          <w:rStyle w:val="CharSchNo"/>
          <w:sz w:val="20"/>
          <w:szCs w:val="20"/>
        </w:rPr>
      </w:pPr>
    </w:p>
    <w:p>
      <w:pPr>
        <w:pStyle w:val="nzHeading5"/>
        <w:spacing w:before="0"/>
      </w:pPr>
      <w:r>
        <w:rPr>
          <w:rStyle w:val="CharSectno"/>
        </w:rPr>
        <w:t>14</w:t>
      </w:r>
      <w:r>
        <w:t>.</w:t>
      </w:r>
      <w:r>
        <w:tab/>
        <w:t>Transitional and validation provisions — Schedule 2</w:t>
      </w:r>
    </w:p>
    <w:p>
      <w:pPr>
        <w:pStyle w:val="nzSubsection"/>
      </w:pPr>
      <w:r>
        <w:tab/>
      </w:r>
      <w:r>
        <w:tab/>
        <w:t>Schedule 2 has effect.</w:t>
      </w:r>
    </w:p>
    <w:p>
      <w:pPr>
        <w:pStyle w:val="BlankClose"/>
        <w:rPr>
          <w:rStyle w:val="CharSchNo"/>
          <w:sz w:val="20"/>
          <w:szCs w:val="20"/>
        </w:rPr>
      </w:pPr>
    </w:p>
    <w:p>
      <w:pPr>
        <w:pStyle w:val="nzSubsection"/>
        <w:keepNext/>
        <w:keepLines/>
        <w:rPr>
          <w:rStyle w:val="CharSchNo"/>
        </w:rPr>
      </w:pPr>
      <w:r>
        <w:rPr>
          <w:rStyle w:val="CharSchNo"/>
        </w:rPr>
        <w:t>Schedule 2 reads as follows:</w:t>
      </w:r>
    </w:p>
    <w:p>
      <w:pPr>
        <w:pStyle w:val="BlankOpen"/>
        <w:rPr>
          <w:rStyle w:val="CharSchNo"/>
          <w:sz w:val="20"/>
          <w:szCs w:val="20"/>
        </w:rPr>
      </w:pPr>
    </w:p>
    <w:p>
      <w:pPr>
        <w:pStyle w:val="nzHeading2"/>
        <w:keepLines/>
        <w:spacing w:before="0"/>
        <w:ind w:left="1077" w:right="856"/>
      </w:pPr>
      <w:r>
        <w:rPr>
          <w:rStyle w:val="CharSchNo"/>
        </w:rPr>
        <w:t>Schedule 2</w:t>
      </w:r>
      <w:r>
        <w:t> — </w:t>
      </w:r>
      <w:r>
        <w:rPr>
          <w:rStyle w:val="CharSchText"/>
        </w:rPr>
        <w:t>Transitional and validation provisions — WALGA</w:t>
      </w:r>
    </w:p>
    <w:p>
      <w:pPr>
        <w:pStyle w:val="nzMiscellaneousBody"/>
        <w:keepNext/>
        <w:keepLines/>
        <w:jc w:val="right"/>
      </w:pPr>
      <w:r>
        <w:t>[s. 14]</w:t>
      </w:r>
    </w:p>
    <w:p>
      <w:pPr>
        <w:pStyle w:val="nzHeading5"/>
        <w:spacing w:before="0"/>
      </w:pPr>
      <w:r>
        <w:t>1.</w:t>
      </w:r>
      <w:r>
        <w:tab/>
        <w:t>Interpretation</w:t>
      </w:r>
    </w:p>
    <w:p>
      <w:pPr>
        <w:pStyle w:val="nzSubsection"/>
        <w:spacing w:before="60"/>
      </w:pPr>
      <w:r>
        <w:tab/>
      </w:r>
      <w:r>
        <w:tab/>
        <w:t xml:space="preserve">In this Schedule — </w:t>
      </w:r>
    </w:p>
    <w:p>
      <w:pPr>
        <w:pStyle w:val="nzDefstart"/>
      </w:pPr>
      <w:r>
        <w:rPr>
          <w:b/>
        </w:rPr>
        <w:tab/>
      </w:r>
      <w:r>
        <w:rPr>
          <w:rStyle w:val="CharDefText"/>
        </w:rPr>
        <w:t>anything done</w:t>
      </w:r>
      <w:r>
        <w:t xml:space="preserve"> means anything done, or omitted, or purported to be done or omitted;</w:t>
      </w:r>
    </w:p>
    <w:p>
      <w:pPr>
        <w:pStyle w:val="nzDefstart"/>
      </w:pPr>
      <w:r>
        <w:rPr>
          <w:b/>
        </w:rPr>
        <w:tab/>
      </w:r>
      <w:r>
        <w:rPr>
          <w:rStyle w:val="CharDefText"/>
        </w:rPr>
        <w:t>commencement</w:t>
      </w:r>
      <w:r>
        <w:t xml:space="preserve"> means the commencement of section 10;</w:t>
      </w:r>
    </w:p>
    <w:p>
      <w:pPr>
        <w:pStyle w:val="nzDefstart"/>
      </w:pPr>
      <w:r>
        <w:rPr>
          <w:b/>
        </w:rPr>
        <w:tab/>
      </w:r>
      <w:r>
        <w:rPr>
          <w:rStyle w:val="CharDefText"/>
        </w:rPr>
        <w:t>body previously constituted under section 9.58</w:t>
      </w:r>
      <w:r>
        <w:t xml:space="preserve"> means a body constituted under section 9.58 of the </w:t>
      </w:r>
      <w:r>
        <w:rPr>
          <w:i/>
        </w:rPr>
        <w:t>Local Government Act 1995</w:t>
      </w:r>
      <w:r>
        <w:t xml:space="preserve"> before the commencement;</w:t>
      </w:r>
    </w:p>
    <w:p>
      <w:pPr>
        <w:pStyle w:val="nzDefstart"/>
      </w:pPr>
      <w:r>
        <w:rPr>
          <w:b/>
        </w:rPr>
        <w:tab/>
      </w:r>
      <w:r>
        <w:rPr>
          <w:rStyle w:val="CharDefText"/>
        </w:rPr>
        <w:t>WALGA</w:t>
      </w:r>
      <w:r>
        <w:t xml:space="preserve"> means the Western Australian Local Government Association constituted under section 9.58 of the </w:t>
      </w:r>
      <w:r>
        <w:rPr>
          <w:i/>
        </w:rPr>
        <w:t>Local Government Act 1995</w:t>
      </w:r>
      <w:r>
        <w:t xml:space="preserve"> after the commencement.</w:t>
      </w:r>
    </w:p>
    <w:p>
      <w:pPr>
        <w:pStyle w:val="nzHeading5"/>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keepNext/>
      </w:pPr>
      <w:r>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keepNext/>
        <w:keepLines/>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BlankClose"/>
        <w:rPr>
          <w:snapToGrid w:val="0"/>
        </w:rPr>
      </w:pPr>
    </w:p>
    <w:p>
      <w:pPr>
        <w:pStyle w:val="nSubsection"/>
        <w:keepNext/>
        <w:rPr>
          <w:snapToGrid w:val="0"/>
        </w:rPr>
      </w:pPr>
      <w:r>
        <w:rPr>
          <w:vertAlign w:val="superscript"/>
        </w:rPr>
        <w:t>21</w:t>
      </w:r>
      <w:r>
        <w:tab/>
        <w:t xml:space="preserve">The </w:t>
      </w:r>
      <w:r>
        <w:rPr>
          <w:i/>
          <w:snapToGrid w:val="0"/>
        </w:rPr>
        <w:t xml:space="preserve">Local Government Amendment Act 2004 </w:t>
      </w:r>
      <w:r>
        <w:rPr>
          <w:snapToGrid w:val="0"/>
        </w:rPr>
        <w:t>s. 73(3) reads as follows:</w:t>
      </w:r>
    </w:p>
    <w:p>
      <w:pPr>
        <w:pStyle w:val="BlankOpen"/>
        <w:rPr>
          <w:snapToGrid w:val="0"/>
        </w:rPr>
      </w:pP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BlankClose"/>
        <w:rPr>
          <w:snapToGrid w:val="0"/>
          <w:sz w:val="16"/>
          <w:szCs w:val="16"/>
        </w:rPr>
      </w:pPr>
    </w:p>
    <w:p>
      <w:pPr>
        <w:pStyle w:val="nSubsection"/>
        <w:rPr>
          <w:snapToGrid w:val="0"/>
        </w:rPr>
      </w:pPr>
      <w:r>
        <w:rPr>
          <w:vertAlign w:val="superscript"/>
        </w:rPr>
        <w:t>22</w:t>
      </w:r>
      <w:r>
        <w:tab/>
        <w:t xml:space="preserve">The </w:t>
      </w:r>
      <w:r>
        <w:rPr>
          <w:i/>
          <w:snapToGrid w:val="0"/>
        </w:rPr>
        <w:t xml:space="preserve">Local Government Amendment Act 2004 </w:t>
      </w:r>
      <w:r>
        <w:rPr>
          <w:snapToGrid w:val="0"/>
        </w:rPr>
        <w:t xml:space="preserve">s. 16(1)-(3) and (5) had not come into operation when they were deleted by the </w:t>
      </w:r>
      <w:r>
        <w:rPr>
          <w:i/>
          <w:iCs/>
          <w:snapToGrid w:val="0"/>
        </w:rPr>
        <w:t xml:space="preserve">Statutes (Repeals and Miscellaneous Amendments) Act 2009 </w:t>
      </w:r>
      <w:r>
        <w:rPr>
          <w:snapToGrid w:val="0"/>
        </w:rPr>
        <w:t xml:space="preserve">s. 88. </w:t>
      </w:r>
    </w:p>
    <w:p>
      <w:pPr>
        <w:pStyle w:val="nSubsection"/>
        <w:rPr>
          <w:snapToGrid w:val="0"/>
        </w:rPr>
      </w:pPr>
      <w:r>
        <w:rPr>
          <w:vertAlign w:val="superscript"/>
        </w:rPr>
        <w:t>23</w:t>
      </w:r>
      <w:r>
        <w:rPr>
          <w:vertAlign w:val="superscript"/>
        </w:rPr>
        <w:tab/>
      </w:r>
      <w:r>
        <w:rPr>
          <w:snapToGrid w:val="0"/>
        </w:rPr>
        <w:t xml:space="preserve">The </w:t>
      </w:r>
      <w:r>
        <w:rPr>
          <w:i/>
          <w:snapToGrid w:val="0"/>
        </w:rPr>
        <w:t>Local Government Amendment Act 2004</w:t>
      </w:r>
      <w:r>
        <w:rPr>
          <w:snapToGrid w:val="0"/>
        </w:rPr>
        <w:t xml:space="preserve"> </w:t>
      </w:r>
      <w:r>
        <w:t>s. 19(2), 20 and</w:t>
      </w:r>
      <w:r>
        <w:rPr>
          <w:snapToGrid w:val="0"/>
        </w:rPr>
        <w:t xml:space="preserve"> 38(3) had not come into operation when they were deleted by the </w:t>
      </w:r>
      <w:r>
        <w:rPr>
          <w:i/>
          <w:iCs/>
          <w:snapToGrid w:val="0"/>
        </w:rPr>
        <w:t>Local Government Amendment Act 2009</w:t>
      </w:r>
      <w:r>
        <w:rPr>
          <w:snapToGrid w:val="0"/>
        </w:rPr>
        <w:t xml:space="preserve"> s. 48.</w:t>
      </w:r>
    </w:p>
    <w:p>
      <w:pPr>
        <w:pStyle w:val="nSubsection"/>
        <w:rPr>
          <w:snapToGrid w:val="0"/>
        </w:rPr>
      </w:pPr>
      <w:r>
        <w:rPr>
          <w:snapToGrid w:val="0"/>
          <w:vertAlign w:val="superscript"/>
        </w:rPr>
        <w:t>24</w:t>
      </w:r>
      <w:r>
        <w:rPr>
          <w:snapToGrid w:val="0"/>
        </w:rPr>
        <w:tab/>
        <w:t xml:space="preserve">The </w:t>
      </w:r>
      <w:r>
        <w:rPr>
          <w:i/>
          <w:snapToGrid w:val="0"/>
        </w:rPr>
        <w:t>Courts Legislation Amendment and Repeal Act 2004</w:t>
      </w:r>
      <w:r>
        <w:rPr>
          <w:snapToGrid w:val="0"/>
        </w:rPr>
        <w:t xml:space="preserve"> Sch. 2 cl. 28 was deleted by the </w:t>
      </w:r>
      <w:r>
        <w:rPr>
          <w:i/>
          <w:iCs/>
          <w:snapToGrid w:val="0"/>
        </w:rPr>
        <w:t>Criminal Law and Evidence Amendment Act 2008</w:t>
      </w:r>
      <w:r>
        <w:rPr>
          <w:snapToGrid w:val="0"/>
        </w:rPr>
        <w:t xml:space="preserve"> s. 77(13).</w:t>
      </w:r>
    </w:p>
    <w:p>
      <w:pPr>
        <w:pStyle w:val="nSubsection"/>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pPr>
      <w:r>
        <w:rPr>
          <w:vertAlign w:val="superscript"/>
        </w:rPr>
        <w:t>26</w:t>
      </w:r>
      <w:r>
        <w:tab/>
        <w:t xml:space="preserve">The </w:t>
      </w:r>
      <w:r>
        <w:rPr>
          <w:i/>
        </w:rPr>
        <w:t>State Administrative Tribunal Regulations 2004</w:t>
      </w:r>
      <w:r>
        <w:t xml:space="preserve"> r. 56 reads as follows:</w:t>
      </w:r>
    </w:p>
    <w:p>
      <w:pPr>
        <w:pStyle w:val="BlankOpen"/>
        <w:rPr>
          <w:sz w:val="16"/>
          <w:szCs w:val="16"/>
        </w:rPr>
      </w:pPr>
    </w:p>
    <w:p>
      <w:pPr>
        <w:pStyle w:val="nzHeading5"/>
        <w:spacing w:before="80"/>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r>
      <w:r>
        <w:rPr>
          <w:rStyle w:val="CharDefText"/>
        </w:rPr>
        <w:t>the LG Act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nSubsection"/>
        <w:rPr>
          <w:snapToGrid w:val="0"/>
        </w:rPr>
      </w:pPr>
      <w:r>
        <w:rPr>
          <w:snapToGrid w:val="0"/>
          <w:vertAlign w:val="superscript"/>
        </w:rPr>
        <w:t>27</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pPr>
        <w:pStyle w:val="nSubsection"/>
        <w:keepNext/>
        <w:keepLines/>
        <w:spacing w:before="40"/>
      </w:pPr>
      <w:r>
        <w:rPr>
          <w:vertAlign w:val="superscript"/>
        </w:rPr>
        <w:t>28</w:t>
      </w:r>
      <w:r>
        <w:tab/>
      </w:r>
      <w:r>
        <w:rPr>
          <w:snapToGrid w:val="0"/>
        </w:rPr>
        <w:t xml:space="preserve">On the date as at which this compilation was prepared, the </w:t>
      </w:r>
      <w:r>
        <w:rPr>
          <w:i/>
          <w:noProof/>
        </w:rPr>
        <w:t>Graffiti Vandalism Act 2016</w:t>
      </w:r>
      <w:r>
        <w:rPr>
          <w:noProof/>
        </w:rPr>
        <w:t xml:space="preserve"> Pt. 6 Div. 2</w:t>
      </w:r>
      <w:r>
        <w:rPr>
          <w:snapToGrid w:val="0"/>
        </w:rPr>
        <w:t xml:space="preserve"> had not come into operation. It reads as follows:</w:t>
      </w:r>
    </w:p>
    <w:p>
      <w:pPr>
        <w:pStyle w:val="BlankOpen"/>
        <w:rPr>
          <w:snapToGrid w:val="0"/>
        </w:rPr>
      </w:pPr>
    </w:p>
    <w:p>
      <w:pPr>
        <w:pStyle w:val="nzHeading2"/>
      </w:pPr>
      <w:bookmarkStart w:id="1802" w:name="_Toc425950514"/>
      <w:bookmarkStart w:id="1803" w:name="_Toc425950572"/>
      <w:bookmarkStart w:id="1804" w:name="_Toc425950630"/>
      <w:bookmarkStart w:id="1805" w:name="_Toc426013839"/>
      <w:bookmarkStart w:id="1806" w:name="_Toc427055864"/>
      <w:bookmarkStart w:id="1807" w:name="_Toc427064568"/>
      <w:bookmarkStart w:id="1808" w:name="_Toc427072074"/>
      <w:bookmarkStart w:id="1809" w:name="_Toc455143625"/>
      <w:bookmarkStart w:id="1810" w:name="_Toc425950520"/>
      <w:bookmarkStart w:id="1811" w:name="_Toc425950578"/>
      <w:bookmarkStart w:id="1812" w:name="_Toc425950636"/>
      <w:bookmarkStart w:id="1813" w:name="_Toc426013845"/>
      <w:bookmarkStart w:id="1814" w:name="_Toc427055870"/>
      <w:bookmarkStart w:id="1815" w:name="_Toc427064574"/>
      <w:bookmarkStart w:id="1816" w:name="_Toc427072080"/>
      <w:bookmarkStart w:id="1817" w:name="_Toc455143631"/>
      <w:r>
        <w:rPr>
          <w:rStyle w:val="CharPartNo"/>
        </w:rPr>
        <w:t>Part 6</w:t>
      </w:r>
      <w:r>
        <w:t> — </w:t>
      </w:r>
      <w:r>
        <w:rPr>
          <w:rStyle w:val="CharPartText"/>
        </w:rPr>
        <w:t>Consequential amendments</w:t>
      </w:r>
      <w:bookmarkEnd w:id="1802"/>
      <w:bookmarkEnd w:id="1803"/>
      <w:bookmarkEnd w:id="1804"/>
      <w:bookmarkEnd w:id="1805"/>
      <w:bookmarkEnd w:id="1806"/>
      <w:bookmarkEnd w:id="1807"/>
      <w:bookmarkEnd w:id="1808"/>
      <w:bookmarkEnd w:id="1809"/>
    </w:p>
    <w:p>
      <w:pPr>
        <w:pStyle w:val="nzHeading3"/>
      </w:pPr>
      <w:r>
        <w:rPr>
          <w:rStyle w:val="CharDivNo"/>
        </w:rPr>
        <w:t>Division 2</w:t>
      </w:r>
      <w:r>
        <w:t> — </w:t>
      </w:r>
      <w:r>
        <w:rPr>
          <w:rStyle w:val="CharDivText"/>
          <w:i/>
        </w:rPr>
        <w:t>Local Government Act 1995</w:t>
      </w:r>
      <w:r>
        <w:rPr>
          <w:rStyle w:val="CharDivText"/>
        </w:rPr>
        <w:t xml:space="preserve"> amended</w:t>
      </w:r>
      <w:bookmarkEnd w:id="1810"/>
      <w:bookmarkEnd w:id="1811"/>
      <w:bookmarkEnd w:id="1812"/>
      <w:bookmarkEnd w:id="1813"/>
      <w:bookmarkEnd w:id="1814"/>
      <w:bookmarkEnd w:id="1815"/>
      <w:bookmarkEnd w:id="1816"/>
      <w:bookmarkEnd w:id="1817"/>
    </w:p>
    <w:p>
      <w:pPr>
        <w:pStyle w:val="nzHeading5"/>
      </w:pPr>
      <w:bookmarkStart w:id="1818" w:name="_Toc455143632"/>
      <w:r>
        <w:rPr>
          <w:rStyle w:val="CharSectno"/>
        </w:rPr>
        <w:t>40</w:t>
      </w:r>
      <w:r>
        <w:t>.</w:t>
      </w:r>
      <w:r>
        <w:tab/>
        <w:t>Act amended</w:t>
      </w:r>
      <w:bookmarkEnd w:id="1818"/>
    </w:p>
    <w:p>
      <w:pPr>
        <w:pStyle w:val="nzSubsection"/>
      </w:pPr>
      <w:r>
        <w:tab/>
      </w:r>
      <w:r>
        <w:tab/>
        <w:t xml:space="preserve">This Division amends the </w:t>
      </w:r>
      <w:r>
        <w:rPr>
          <w:i/>
        </w:rPr>
        <w:t>Local Government Act 1995</w:t>
      </w:r>
      <w:r>
        <w:t>.</w:t>
      </w:r>
    </w:p>
    <w:p>
      <w:pPr>
        <w:pStyle w:val="nzHeading5"/>
      </w:pPr>
      <w:bookmarkStart w:id="1819" w:name="_Toc455143633"/>
      <w:r>
        <w:rPr>
          <w:rStyle w:val="CharSectno"/>
        </w:rPr>
        <w:t>41</w:t>
      </w:r>
      <w:r>
        <w:t>.</w:t>
      </w:r>
      <w:r>
        <w:tab/>
        <w:t>Schedule 3.1 amended</w:t>
      </w:r>
      <w:bookmarkEnd w:id="1819"/>
    </w:p>
    <w:p>
      <w:pPr>
        <w:pStyle w:val="nzSubsection"/>
      </w:pPr>
      <w:r>
        <w:tab/>
      </w:r>
      <w:r>
        <w:tab/>
        <w:t>In Schedule 3.1 Division 1 delete item 5B.</w:t>
      </w:r>
    </w:p>
    <w:p>
      <w:pPr>
        <w:pStyle w:val="nzHeading5"/>
      </w:pPr>
      <w:bookmarkStart w:id="1820" w:name="_Toc455143634"/>
      <w:r>
        <w:rPr>
          <w:rStyle w:val="CharSectno"/>
        </w:rPr>
        <w:t>42</w:t>
      </w:r>
      <w:r>
        <w:t>.</w:t>
      </w:r>
      <w:r>
        <w:tab/>
        <w:t>Schedule 3.2 amended</w:t>
      </w:r>
      <w:bookmarkEnd w:id="1820"/>
    </w:p>
    <w:p>
      <w:pPr>
        <w:pStyle w:val="nzSubsection"/>
      </w:pPr>
      <w:r>
        <w:tab/>
      </w:r>
      <w:r>
        <w:tab/>
        <w:t>In Schedule 3.2 delete item 8.</w:t>
      </w:r>
    </w:p>
    <w:p>
      <w:pPr>
        <w:pStyle w:val="BlankClose"/>
      </w:pPr>
    </w:p>
    <w:p>
      <w:pPr>
        <w:pStyle w:val="BlankClose"/>
      </w:pPr>
    </w:p>
    <w:p>
      <w:pPr>
        <w:pStyle w:val="nSubsection"/>
        <w:keepNext/>
        <w:keepLines/>
        <w:spacing w:before="120"/>
      </w:pPr>
      <w:r>
        <w:rPr>
          <w:vertAlign w:val="superscript"/>
        </w:rPr>
        <w:t>29</w:t>
      </w:r>
      <w:r>
        <w:tab/>
      </w:r>
      <w:r>
        <w:rPr>
          <w:snapToGrid w:val="0"/>
        </w:rPr>
        <w:t xml:space="preserve">On the date as at which this compilation was prepared, the </w:t>
      </w:r>
      <w:r>
        <w:rPr>
          <w:i/>
          <w:noProof/>
        </w:rPr>
        <w:t>Public Health (Consequential Provisions) Act 2016</w:t>
      </w:r>
      <w:r>
        <w:rPr>
          <w:noProof/>
        </w:rPr>
        <w:t xml:space="preserve"> Pt. 3 Div. 18</w:t>
      </w:r>
      <w:r>
        <w:rPr>
          <w:snapToGrid w:val="0"/>
        </w:rPr>
        <w:t xml:space="preserve"> had not come into operation. It reads as follows:</w:t>
      </w:r>
    </w:p>
    <w:p>
      <w:pPr>
        <w:pStyle w:val="BlankOpen"/>
      </w:pPr>
    </w:p>
    <w:p>
      <w:pPr>
        <w:pStyle w:val="nzHeading2"/>
      </w:pPr>
      <w:bookmarkStart w:id="1821" w:name="_Toc403555103"/>
      <w:bookmarkStart w:id="1822" w:name="_Toc403555597"/>
      <w:bookmarkStart w:id="1823" w:name="_Toc403557229"/>
      <w:bookmarkStart w:id="1824" w:name="_Toc403557723"/>
      <w:bookmarkStart w:id="1825" w:name="_Toc403559951"/>
      <w:bookmarkStart w:id="1826" w:name="_Toc404175115"/>
      <w:bookmarkStart w:id="1827" w:name="_Toc404179420"/>
      <w:bookmarkStart w:id="1828" w:name="_Toc404181430"/>
      <w:bookmarkStart w:id="1829" w:name="_Toc404253698"/>
      <w:bookmarkStart w:id="1830" w:name="_Toc436300702"/>
      <w:bookmarkStart w:id="1831" w:name="_Toc436303685"/>
      <w:bookmarkStart w:id="1832" w:name="_Toc436304181"/>
      <w:bookmarkStart w:id="1833" w:name="_Toc436661057"/>
      <w:bookmarkStart w:id="1834" w:name="_Toc455465868"/>
      <w:bookmarkStart w:id="1835" w:name="_Toc455475126"/>
      <w:bookmarkStart w:id="1836" w:name="_Toc455475608"/>
      <w:bookmarkStart w:id="1837" w:name="_Toc455749690"/>
      <w:bookmarkStart w:id="1838" w:name="_Toc456087351"/>
      <w:bookmarkStart w:id="1839" w:name="_Toc457226561"/>
      <w:r>
        <w:rPr>
          <w:rStyle w:val="CharPartNo"/>
        </w:rPr>
        <w:t>Part 3</w:t>
      </w:r>
      <w:r>
        <w:t> — </w:t>
      </w:r>
      <w:r>
        <w:rPr>
          <w:rStyle w:val="CharPartText"/>
        </w:rPr>
        <w:t>Amendments to other Acts and repeals</w:t>
      </w:r>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p>
    <w:p>
      <w:pPr>
        <w:pStyle w:val="nzHeading3"/>
        <w:rPr>
          <w:rStyle w:val="CharDivText"/>
        </w:rPr>
      </w:pPr>
      <w:bookmarkStart w:id="1840" w:name="_Toc403555189"/>
      <w:bookmarkStart w:id="1841" w:name="_Toc403555683"/>
      <w:bookmarkStart w:id="1842" w:name="_Toc403557315"/>
      <w:bookmarkStart w:id="1843" w:name="_Toc403557809"/>
      <w:bookmarkStart w:id="1844" w:name="_Toc403560037"/>
      <w:bookmarkStart w:id="1845" w:name="_Toc404175201"/>
      <w:bookmarkStart w:id="1846" w:name="_Toc404179506"/>
      <w:bookmarkStart w:id="1847" w:name="_Toc404181516"/>
      <w:bookmarkStart w:id="1848" w:name="_Toc404253784"/>
      <w:bookmarkStart w:id="1849" w:name="_Toc436300788"/>
      <w:bookmarkStart w:id="1850" w:name="_Toc436303771"/>
      <w:bookmarkStart w:id="1851" w:name="_Toc436304267"/>
      <w:bookmarkStart w:id="1852" w:name="_Toc436661143"/>
      <w:bookmarkStart w:id="1853" w:name="_Toc455465954"/>
      <w:bookmarkStart w:id="1854" w:name="_Toc455475210"/>
      <w:bookmarkStart w:id="1855" w:name="_Toc455475692"/>
      <w:bookmarkStart w:id="1856" w:name="_Toc455749774"/>
      <w:bookmarkStart w:id="1857" w:name="_Toc456087435"/>
      <w:bookmarkStart w:id="1858" w:name="_Toc457226645"/>
      <w:r>
        <w:rPr>
          <w:rStyle w:val="CharDivNo"/>
        </w:rPr>
        <w:t>Division 18</w:t>
      </w:r>
      <w:r>
        <w:t> — </w:t>
      </w:r>
      <w:r>
        <w:rPr>
          <w:rStyle w:val="CharDivText"/>
          <w:i/>
        </w:rPr>
        <w:t>Local Government Act 1995</w:t>
      </w:r>
      <w:r>
        <w:rPr>
          <w:rStyle w:val="CharDivText"/>
        </w:rPr>
        <w:t xml:space="preserve"> amended</w:t>
      </w:r>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p>
    <w:p>
      <w:pPr>
        <w:pStyle w:val="nzHeading5"/>
      </w:pPr>
      <w:bookmarkStart w:id="1859" w:name="_Toc456087436"/>
      <w:bookmarkStart w:id="1860" w:name="_Toc457226646"/>
      <w:r>
        <w:rPr>
          <w:rStyle w:val="CharSectno"/>
        </w:rPr>
        <w:t>165</w:t>
      </w:r>
      <w:r>
        <w:t>.</w:t>
      </w:r>
      <w:r>
        <w:tab/>
        <w:t>Act amended</w:t>
      </w:r>
      <w:bookmarkEnd w:id="1859"/>
      <w:bookmarkEnd w:id="1860"/>
    </w:p>
    <w:p>
      <w:pPr>
        <w:pStyle w:val="nzSubsection"/>
      </w:pPr>
      <w:r>
        <w:tab/>
      </w:r>
      <w:r>
        <w:tab/>
        <w:t xml:space="preserve">This Division amends the </w:t>
      </w:r>
      <w:r>
        <w:rPr>
          <w:i/>
        </w:rPr>
        <w:t>Local Government Act 1995</w:t>
      </w:r>
      <w:r>
        <w:t>.</w:t>
      </w:r>
    </w:p>
    <w:p>
      <w:pPr>
        <w:pStyle w:val="nzHeading5"/>
      </w:pPr>
      <w:bookmarkStart w:id="1861" w:name="_Toc456087437"/>
      <w:bookmarkStart w:id="1862" w:name="_Toc457226647"/>
      <w:r>
        <w:rPr>
          <w:rStyle w:val="CharSectno"/>
        </w:rPr>
        <w:t>166</w:t>
      </w:r>
      <w:r>
        <w:t>.</w:t>
      </w:r>
      <w:r>
        <w:tab/>
        <w:t>Section 3.5 amended</w:t>
      </w:r>
      <w:bookmarkEnd w:id="1861"/>
      <w:bookmarkEnd w:id="1862"/>
    </w:p>
    <w:p>
      <w:pPr>
        <w:pStyle w:val="nzSubsection"/>
      </w:pPr>
      <w:r>
        <w:tab/>
      </w:r>
      <w:r>
        <w:tab/>
        <w:t>After section 3.5(4A) insert:</w:t>
      </w:r>
    </w:p>
    <w:p>
      <w:pPr>
        <w:pStyle w:val="BlankOpen"/>
      </w:pPr>
    </w:p>
    <w:p>
      <w:pPr>
        <w:pStyle w:val="nzSubsection"/>
      </w:pPr>
      <w:r>
        <w:tab/>
        <w:t>(4B)</w:t>
      </w:r>
      <w:r>
        <w:tab/>
        <w:t xml:space="preserve">Nothing in the </w:t>
      </w:r>
      <w:r>
        <w:rPr>
          <w:i/>
        </w:rPr>
        <w:t>Health (Miscellaneous Provisions) Act 1911</w:t>
      </w:r>
      <w:r>
        <w:t xml:space="preserve"> or the </w:t>
      </w:r>
      <w:r>
        <w:rPr>
          <w:i/>
        </w:rPr>
        <w:t>Public Health Act 2016</w:t>
      </w:r>
      <w:r>
        <w:t xml:space="preserve"> prevents a local government from making local laws under this Act about matters relating to public health (as defined in the </w:t>
      </w:r>
      <w:r>
        <w:rPr>
          <w:i/>
        </w:rPr>
        <w:t>Public Health Act 2016</w:t>
      </w:r>
      <w:r>
        <w:t xml:space="preserve"> section 4(1)).</w:t>
      </w:r>
    </w:p>
    <w:p>
      <w:pPr>
        <w:pStyle w:val="BlankClose"/>
      </w:pPr>
    </w:p>
    <w:p>
      <w:pPr>
        <w:pStyle w:val="BlankClose"/>
      </w:pPr>
    </w:p>
    <w:p>
      <w:pPr>
        <w:pStyle w:val="nSubsection"/>
        <w:keepNext/>
        <w:keepLines/>
        <w:spacing w:before="120"/>
      </w:pPr>
      <w:r>
        <w:rPr>
          <w:vertAlign w:val="superscript"/>
        </w:rPr>
        <w:t>30</w:t>
      </w:r>
      <w:r>
        <w:tab/>
      </w:r>
      <w:r>
        <w:rPr>
          <w:snapToGrid w:val="0"/>
        </w:rPr>
        <w:t xml:space="preserve">On the date as at which this compilation was prepared, the </w:t>
      </w:r>
      <w:r>
        <w:rPr>
          <w:i/>
          <w:snapToGrid w:val="0"/>
        </w:rPr>
        <w:t>Local Government Legislation Amendment Act 2016</w:t>
      </w:r>
      <w:r>
        <w:rPr>
          <w:noProof/>
        </w:rPr>
        <w:t xml:space="preserve"> Pt. 2 </w:t>
      </w:r>
      <w:r>
        <w:rPr>
          <w:snapToGrid w:val="0"/>
        </w:rPr>
        <w:t>had not come into operation. It reads as follows:</w:t>
      </w:r>
    </w:p>
    <w:p>
      <w:pPr>
        <w:pStyle w:val="BlankOpen"/>
        <w:rPr>
          <w:snapToGrid w:val="0"/>
        </w:rPr>
      </w:pPr>
    </w:p>
    <w:p>
      <w:pPr>
        <w:pStyle w:val="nzHeading2"/>
        <w:rPr>
          <w:rStyle w:val="CharPartText"/>
        </w:rPr>
      </w:pPr>
      <w:bookmarkStart w:id="1863" w:name="_Toc404165533"/>
      <w:bookmarkStart w:id="1864" w:name="_Toc404165686"/>
      <w:bookmarkStart w:id="1865" w:name="_Toc404165839"/>
      <w:bookmarkStart w:id="1866" w:name="_Toc404171338"/>
      <w:bookmarkStart w:id="1867" w:name="_Toc404172105"/>
      <w:bookmarkStart w:id="1868" w:name="_Toc404260269"/>
      <w:bookmarkStart w:id="1869" w:name="_Toc404260422"/>
      <w:bookmarkStart w:id="1870" w:name="_Toc404261239"/>
      <w:bookmarkStart w:id="1871" w:name="_Toc404317187"/>
      <w:bookmarkStart w:id="1872" w:name="_Toc451258276"/>
      <w:bookmarkStart w:id="1873" w:name="_Toc451258429"/>
      <w:bookmarkStart w:id="1874" w:name="_Toc451258582"/>
      <w:bookmarkStart w:id="1875" w:name="_Toc451259599"/>
      <w:bookmarkStart w:id="1876" w:name="_Toc451259935"/>
      <w:bookmarkStart w:id="1877" w:name="_Toc451260088"/>
      <w:bookmarkStart w:id="1878" w:name="_Toc451261380"/>
      <w:bookmarkStart w:id="1879" w:name="_Toc451331816"/>
      <w:bookmarkStart w:id="1880" w:name="_Toc461700726"/>
      <w:bookmarkStart w:id="1881" w:name="_Toc461700876"/>
      <w:bookmarkStart w:id="1882" w:name="_Toc461701026"/>
      <w:bookmarkStart w:id="1883" w:name="_Toc461786133"/>
      <w:bookmarkStart w:id="1884" w:name="_Toc461786408"/>
      <w:bookmarkStart w:id="1885" w:name="_Toc461786598"/>
      <w:bookmarkStart w:id="1886" w:name="_Toc461799175"/>
      <w:bookmarkStart w:id="1887" w:name="_Toc462241239"/>
      <w:r>
        <w:rPr>
          <w:rStyle w:val="CharPartNo"/>
        </w:rPr>
        <w:t>Part 2</w:t>
      </w:r>
      <w:r>
        <w:t> — </w:t>
      </w:r>
      <w:r>
        <w:rPr>
          <w:rStyle w:val="CharPartText"/>
          <w:i/>
        </w:rPr>
        <w:t>Local Government Act 1995</w:t>
      </w:r>
      <w:r>
        <w:rPr>
          <w:rStyle w:val="CharPartText"/>
        </w:rPr>
        <w:t xml:space="preserve"> amended</w:t>
      </w:r>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p>
    <w:p>
      <w:pPr>
        <w:pStyle w:val="nzHeading5"/>
        <w:rPr>
          <w:snapToGrid w:val="0"/>
        </w:rPr>
      </w:pPr>
      <w:bookmarkStart w:id="1888" w:name="_Toc461799176"/>
      <w:bookmarkStart w:id="1889" w:name="_Toc462241240"/>
      <w:r>
        <w:rPr>
          <w:rStyle w:val="CharSectno"/>
        </w:rPr>
        <w:t>3</w:t>
      </w:r>
      <w:r>
        <w:rPr>
          <w:snapToGrid w:val="0"/>
        </w:rPr>
        <w:t>.</w:t>
      </w:r>
      <w:r>
        <w:rPr>
          <w:snapToGrid w:val="0"/>
        </w:rPr>
        <w:tab/>
        <w:t>Act amended</w:t>
      </w:r>
      <w:bookmarkEnd w:id="1888"/>
      <w:bookmarkEnd w:id="1889"/>
    </w:p>
    <w:p>
      <w:pPr>
        <w:pStyle w:val="nzSubsection"/>
      </w:pPr>
      <w:r>
        <w:tab/>
      </w:r>
      <w:r>
        <w:tab/>
        <w:t xml:space="preserve">This Part amends the </w:t>
      </w:r>
      <w:r>
        <w:rPr>
          <w:i/>
        </w:rPr>
        <w:t>Local Government Act 1995</w:t>
      </w:r>
      <w:r>
        <w:t>.</w:t>
      </w:r>
    </w:p>
    <w:p>
      <w:pPr>
        <w:pStyle w:val="nzHeading5"/>
      </w:pPr>
      <w:bookmarkStart w:id="1890" w:name="_Toc461799177"/>
      <w:bookmarkStart w:id="1891" w:name="_Toc462241241"/>
      <w:r>
        <w:rPr>
          <w:rStyle w:val="CharSectno"/>
        </w:rPr>
        <w:t>4</w:t>
      </w:r>
      <w:r>
        <w:t>.</w:t>
      </w:r>
      <w:r>
        <w:tab/>
        <w:t>Section 1.4 amended</w:t>
      </w:r>
      <w:bookmarkEnd w:id="1890"/>
      <w:bookmarkEnd w:id="1891"/>
    </w:p>
    <w:p>
      <w:pPr>
        <w:pStyle w:val="nzSubsection"/>
      </w:pPr>
      <w:r>
        <w:tab/>
      </w:r>
      <w:r>
        <w:tab/>
        <w:t>In section 1.4 insert in alphabetical order:</w:t>
      </w:r>
    </w:p>
    <w:p>
      <w:pPr>
        <w:pStyle w:val="BlankOpen"/>
      </w:pPr>
    </w:p>
    <w:p>
      <w:pPr>
        <w:pStyle w:val="nzDefstart"/>
      </w:pPr>
      <w:r>
        <w:tab/>
      </w:r>
      <w:r>
        <w:rPr>
          <w:rStyle w:val="CharDefText"/>
        </w:rPr>
        <w:t>regional local government</w:t>
      </w:r>
      <w:r>
        <w:t xml:space="preserve"> means a regional local government established under section 3.61;</w:t>
      </w:r>
    </w:p>
    <w:p>
      <w:pPr>
        <w:pStyle w:val="nzDefstart"/>
      </w:pPr>
      <w:r>
        <w:tab/>
      </w:r>
      <w:r>
        <w:rPr>
          <w:rStyle w:val="CharDefText"/>
        </w:rPr>
        <w:t>regional subsidiary</w:t>
      </w:r>
      <w:r>
        <w:t xml:space="preserve"> means a regional subsidiary established under section 3.69;</w:t>
      </w:r>
    </w:p>
    <w:p>
      <w:pPr>
        <w:pStyle w:val="BlankClose"/>
      </w:pPr>
    </w:p>
    <w:p>
      <w:pPr>
        <w:pStyle w:val="nzHeading5"/>
      </w:pPr>
      <w:bookmarkStart w:id="1892" w:name="_Toc461799178"/>
      <w:bookmarkStart w:id="1893" w:name="_Toc462241242"/>
      <w:r>
        <w:rPr>
          <w:rStyle w:val="CharSectno"/>
        </w:rPr>
        <w:t>5</w:t>
      </w:r>
      <w:r>
        <w:t>.</w:t>
      </w:r>
      <w:r>
        <w:tab/>
        <w:t>Section 3.12 amended</w:t>
      </w:r>
      <w:bookmarkEnd w:id="1892"/>
      <w:bookmarkEnd w:id="1893"/>
    </w:p>
    <w:p>
      <w:pPr>
        <w:pStyle w:val="nzSubsection"/>
      </w:pPr>
      <w:r>
        <w:tab/>
      </w:r>
      <w:r>
        <w:tab/>
        <w:t>After section 3.12(1) insert:</w:t>
      </w:r>
    </w:p>
    <w:p>
      <w:pPr>
        <w:pStyle w:val="BlankOpen"/>
      </w:pPr>
    </w:p>
    <w:p>
      <w:pPr>
        <w:pStyle w:val="nzSubsection"/>
      </w:pPr>
      <w:r>
        <w:tab/>
        <w:t>(2A)</w:t>
      </w:r>
      <w:r>
        <w:tab/>
        <w:t>Despite subsection (1), a failure to follow the procedure described in this section does not invalidate a local law if there has been substantial compliance with the procedure.</w:t>
      </w:r>
    </w:p>
    <w:p>
      <w:pPr>
        <w:pStyle w:val="BlankClose"/>
      </w:pPr>
    </w:p>
    <w:p>
      <w:pPr>
        <w:pStyle w:val="nzHeading5"/>
      </w:pPr>
      <w:bookmarkStart w:id="1894" w:name="_Toc461799179"/>
      <w:bookmarkStart w:id="1895" w:name="_Toc462241243"/>
      <w:r>
        <w:rPr>
          <w:rStyle w:val="CharSectno"/>
        </w:rPr>
        <w:t>6</w:t>
      </w:r>
      <w:r>
        <w:t>.</w:t>
      </w:r>
      <w:r>
        <w:tab/>
        <w:t>Section 3.60 amended</w:t>
      </w:r>
      <w:bookmarkEnd w:id="1894"/>
      <w:bookmarkEnd w:id="1895"/>
    </w:p>
    <w:p>
      <w:pPr>
        <w:pStyle w:val="nzSubsection"/>
      </w:pPr>
      <w:r>
        <w:tab/>
      </w:r>
      <w:r>
        <w:tab/>
        <w:t>In section 3.60 before “unless” insert:</w:t>
      </w:r>
    </w:p>
    <w:p>
      <w:pPr>
        <w:pStyle w:val="BlankOpen"/>
      </w:pPr>
    </w:p>
    <w:p>
      <w:pPr>
        <w:pStyle w:val="nzSubsection"/>
      </w:pPr>
      <w:r>
        <w:tab/>
      </w:r>
      <w:r>
        <w:tab/>
        <w:t>or regional subsidiary</w:t>
      </w:r>
    </w:p>
    <w:p>
      <w:pPr>
        <w:pStyle w:val="BlankClose"/>
      </w:pPr>
    </w:p>
    <w:p>
      <w:pPr>
        <w:pStyle w:val="nzHeading5"/>
      </w:pPr>
      <w:bookmarkStart w:id="1896" w:name="_Toc461799180"/>
      <w:bookmarkStart w:id="1897" w:name="_Toc462241244"/>
      <w:r>
        <w:rPr>
          <w:rStyle w:val="CharSectno"/>
        </w:rPr>
        <w:t>7</w:t>
      </w:r>
      <w:r>
        <w:t>.</w:t>
      </w:r>
      <w:r>
        <w:tab/>
        <w:t>Part 3 Division 4 heading amended</w:t>
      </w:r>
      <w:bookmarkEnd w:id="1896"/>
      <w:bookmarkEnd w:id="1897"/>
    </w:p>
    <w:p>
      <w:pPr>
        <w:pStyle w:val="nzSubsection"/>
      </w:pPr>
      <w:r>
        <w:tab/>
      </w:r>
      <w:r>
        <w:tab/>
        <w:t>In the heading to Part 3 Division 4 after “</w:t>
      </w:r>
      <w:r>
        <w:rPr>
          <w:b/>
          <w:bCs/>
          <w:sz w:val="26"/>
        </w:rPr>
        <w:t>governments</w:t>
      </w:r>
      <w:r>
        <w:t>” insert:</w:t>
      </w:r>
    </w:p>
    <w:p>
      <w:pPr>
        <w:pStyle w:val="BlankOpen"/>
      </w:pPr>
    </w:p>
    <w:p>
      <w:pPr>
        <w:pStyle w:val="nzSubsection"/>
      </w:pPr>
      <w:r>
        <w:tab/>
      </w:r>
      <w:r>
        <w:tab/>
      </w:r>
      <w:r>
        <w:rPr>
          <w:b/>
          <w:sz w:val="26"/>
        </w:rPr>
        <w:t>and regional subsidiaries</w:t>
      </w:r>
    </w:p>
    <w:p>
      <w:pPr>
        <w:pStyle w:val="BlankClose"/>
      </w:pPr>
    </w:p>
    <w:p>
      <w:pPr>
        <w:pStyle w:val="nzHeading5"/>
      </w:pPr>
      <w:bookmarkStart w:id="1898" w:name="_Toc461799181"/>
      <w:bookmarkStart w:id="1899" w:name="_Toc462241245"/>
      <w:r>
        <w:rPr>
          <w:rStyle w:val="CharSectno"/>
        </w:rPr>
        <w:t>8</w:t>
      </w:r>
      <w:r>
        <w:t>.</w:t>
      </w:r>
      <w:r>
        <w:tab/>
        <w:t>Section 3.68 amended</w:t>
      </w:r>
      <w:bookmarkEnd w:id="1898"/>
      <w:bookmarkEnd w:id="1899"/>
    </w:p>
    <w:p>
      <w:pPr>
        <w:pStyle w:val="nzSubsection"/>
      </w:pPr>
      <w:r>
        <w:tab/>
      </w:r>
      <w:r>
        <w:tab/>
        <w:t>In section 3.68 delete “this Division” and insert:</w:t>
      </w:r>
    </w:p>
    <w:p>
      <w:pPr>
        <w:pStyle w:val="BlankOpen"/>
      </w:pPr>
    </w:p>
    <w:p>
      <w:pPr>
        <w:pStyle w:val="nzSubsection"/>
      </w:pPr>
      <w:r>
        <w:tab/>
      </w:r>
      <w:r>
        <w:tab/>
        <w:t>sections 3.61 to 3.67</w:t>
      </w:r>
    </w:p>
    <w:p>
      <w:pPr>
        <w:pStyle w:val="BlankClose"/>
      </w:pPr>
    </w:p>
    <w:p>
      <w:pPr>
        <w:pStyle w:val="nzHeading5"/>
      </w:pPr>
      <w:bookmarkStart w:id="1900" w:name="_Toc461799182"/>
      <w:bookmarkStart w:id="1901" w:name="_Toc462241246"/>
      <w:r>
        <w:rPr>
          <w:rStyle w:val="CharSectno"/>
        </w:rPr>
        <w:t>9</w:t>
      </w:r>
      <w:r>
        <w:t>.</w:t>
      </w:r>
      <w:r>
        <w:tab/>
        <w:t>Sections 3.69 to 3.72 inserted</w:t>
      </w:r>
      <w:bookmarkEnd w:id="1900"/>
      <w:bookmarkEnd w:id="1901"/>
    </w:p>
    <w:p>
      <w:pPr>
        <w:pStyle w:val="nzSubsection"/>
      </w:pPr>
      <w:r>
        <w:tab/>
      </w:r>
      <w:r>
        <w:tab/>
        <w:t>At the end of Part 3 Division 4 insert:</w:t>
      </w:r>
    </w:p>
    <w:p>
      <w:pPr>
        <w:pStyle w:val="BlankOpen"/>
      </w:pPr>
    </w:p>
    <w:p>
      <w:pPr>
        <w:pStyle w:val="nzHeading5"/>
      </w:pPr>
      <w:bookmarkStart w:id="1902" w:name="_Toc461799183"/>
      <w:bookmarkStart w:id="1903" w:name="_Toc462241247"/>
      <w:r>
        <w:t>3.69.</w:t>
      </w:r>
      <w:r>
        <w:tab/>
        <w:t>Regional subsidiaries</w:t>
      </w:r>
      <w:bookmarkEnd w:id="1902"/>
      <w:bookmarkEnd w:id="1903"/>
    </w:p>
    <w:p>
      <w:pPr>
        <w:pStyle w:val="nzSubsection"/>
      </w:pPr>
      <w:r>
        <w:tab/>
        <w:t>(1)</w:t>
      </w:r>
      <w:r>
        <w:tab/>
        <w:t xml:space="preserve">Two or more local governments making arrangements under which they are to provide a service or carry on an activity jointly may, with the Minister’s approval and in accordance with the regulations, form a subsidiary body (called a </w:t>
      </w:r>
      <w:r>
        <w:rPr>
          <w:rStyle w:val="CharDefText"/>
        </w:rPr>
        <w:t>regional subsidiary</w:t>
      </w:r>
      <w:r>
        <w:t>) to provide that service or carry on that activity.</w:t>
      </w:r>
    </w:p>
    <w:p>
      <w:pPr>
        <w:pStyle w:val="nzSubsection"/>
      </w:pPr>
      <w:r>
        <w:tab/>
        <w:t>(2)</w:t>
      </w:r>
      <w:r>
        <w:tab/>
        <w:t xml:space="preserve">If the Minister approves the formation of a regional subsidiary, the Minister must, by notice in the </w:t>
      </w:r>
      <w:r>
        <w:rPr>
          <w:i/>
        </w:rPr>
        <w:t>Gazette</w:t>
      </w:r>
      <w:r>
        <w:t xml:space="preserve">, declare that the regional subsidiary is established — </w:t>
      </w:r>
    </w:p>
    <w:p>
      <w:pPr>
        <w:pStyle w:val="nzIndenta"/>
      </w:pPr>
      <w:r>
        <w:tab/>
        <w:t>(a)</w:t>
      </w:r>
      <w:r>
        <w:tab/>
        <w:t>on the date set out in the notice; and</w:t>
      </w:r>
    </w:p>
    <w:p>
      <w:pPr>
        <w:pStyle w:val="nzIndenta"/>
      </w:pPr>
      <w:r>
        <w:tab/>
        <w:t>(b)</w:t>
      </w:r>
      <w:r>
        <w:tab/>
        <w:t>under the name set out in the notice.</w:t>
      </w:r>
    </w:p>
    <w:p>
      <w:pPr>
        <w:pStyle w:val="nzSubsection"/>
      </w:pPr>
      <w:r>
        <w:tab/>
        <w:t>(3)</w:t>
      </w:r>
      <w:r>
        <w:tab/>
        <w:t xml:space="preserve">A regional subsidiary — </w:t>
      </w:r>
    </w:p>
    <w:p>
      <w:pPr>
        <w:pStyle w:val="nzIndenta"/>
      </w:pPr>
      <w:r>
        <w:tab/>
        <w:t>(a)</w:t>
      </w:r>
      <w:r>
        <w:tab/>
        <w:t>is a body corporate with perpetual succession and a common seal; and</w:t>
      </w:r>
    </w:p>
    <w:p>
      <w:pPr>
        <w:pStyle w:val="nzIndenta"/>
      </w:pPr>
      <w:r>
        <w:tab/>
        <w:t>(b)</w:t>
      </w:r>
      <w:r>
        <w:tab/>
        <w:t>is to have a governing body consisting of members appointed in accordance with the regional subsidiary’s charter (as approved by the Minister in accordance with section 3.70(3)).</w:t>
      </w:r>
    </w:p>
    <w:p>
      <w:pPr>
        <w:pStyle w:val="nzSubsection"/>
      </w:pPr>
      <w:r>
        <w:tab/>
        <w:t>(4)</w:t>
      </w:r>
      <w:r>
        <w:tab/>
        <w:t>Without limiting subsection (3)(b), a governing body may consist of or include members who are not council members or employees.</w:t>
      </w:r>
    </w:p>
    <w:p>
      <w:pPr>
        <w:pStyle w:val="nzHeading5"/>
      </w:pPr>
      <w:bookmarkStart w:id="1904" w:name="_Toc461799184"/>
      <w:bookmarkStart w:id="1905" w:name="_Toc462241248"/>
      <w:r>
        <w:t>3.70.</w:t>
      </w:r>
      <w:r>
        <w:tab/>
        <w:t>Regional subsidiaries to have charter</w:t>
      </w:r>
      <w:bookmarkEnd w:id="1904"/>
      <w:bookmarkEnd w:id="1905"/>
    </w:p>
    <w:p>
      <w:pPr>
        <w:pStyle w:val="nzSubsection"/>
      </w:pPr>
      <w:r>
        <w:tab/>
        <w:t>(1)</w:t>
      </w:r>
      <w:r>
        <w:tab/>
        <w:t xml:space="preserve">Local governments proposing to form a regional subsidiary must prepare a charter addressing the following matters — </w:t>
      </w:r>
    </w:p>
    <w:p>
      <w:pPr>
        <w:pStyle w:val="nzIndenta"/>
      </w:pPr>
      <w:r>
        <w:tab/>
        <w:t>(a)</w:t>
      </w:r>
      <w:r>
        <w:tab/>
        <w:t>the establishment and powers and duties of the regional subsidiary;</w:t>
      </w:r>
    </w:p>
    <w:p>
      <w:pPr>
        <w:pStyle w:val="nzIndenta"/>
      </w:pPr>
      <w:r>
        <w:tab/>
        <w:t>(b)</w:t>
      </w:r>
      <w:r>
        <w:tab/>
        <w:t>the process for selecting and appointing members of the regional subsidiary’s governing body;</w:t>
      </w:r>
    </w:p>
    <w:p>
      <w:pPr>
        <w:pStyle w:val="nzIndenta"/>
      </w:pPr>
      <w:r>
        <w:tab/>
        <w:t>(c)</w:t>
      </w:r>
      <w:r>
        <w:tab/>
        <w:t>the qualifications that members of the regional subsidiary’s governing body must have;</w:t>
      </w:r>
    </w:p>
    <w:p>
      <w:pPr>
        <w:pStyle w:val="nzIndenta"/>
      </w:pPr>
      <w:r>
        <w:tab/>
        <w:t>(d)</w:t>
      </w:r>
      <w:r>
        <w:tab/>
        <w:t>the administration of the regional subsidiary, including the membership and procedures of its governing body, and the fees, allowances and expenses to be paid or reimbursed to the members of its governing body;</w:t>
      </w:r>
    </w:p>
    <w:p>
      <w:pPr>
        <w:pStyle w:val="nzIndenta"/>
      </w:pPr>
      <w:r>
        <w:tab/>
        <w:t>(e)</w:t>
      </w:r>
      <w:r>
        <w:tab/>
        <w:t>the financial management, planning, auditing and reporting to be undertaken by the regional subsidiary;</w:t>
      </w:r>
    </w:p>
    <w:p>
      <w:pPr>
        <w:pStyle w:val="nzIndenta"/>
      </w:pPr>
      <w:r>
        <w:tab/>
        <w:t>(f)</w:t>
      </w:r>
      <w:r>
        <w:tab/>
        <w:t>the process for amending the charter;</w:t>
      </w:r>
    </w:p>
    <w:p>
      <w:pPr>
        <w:pStyle w:val="nzIndenta"/>
      </w:pPr>
      <w:r>
        <w:tab/>
        <w:t>(g)</w:t>
      </w:r>
      <w:r>
        <w:tab/>
        <w:t>the winding up of the regional subsidiary;</w:t>
      </w:r>
    </w:p>
    <w:p>
      <w:pPr>
        <w:pStyle w:val="nzIndenta"/>
      </w:pPr>
      <w:r>
        <w:tab/>
        <w:t>(h)</w:t>
      </w:r>
      <w:r>
        <w:tab/>
        <w:t>any other matters required by the regulations to be dealt with in a charter.</w:t>
      </w:r>
    </w:p>
    <w:p>
      <w:pPr>
        <w:pStyle w:val="nzSubsection"/>
      </w:pPr>
      <w:r>
        <w:tab/>
        <w:t>(2)</w:t>
      </w:r>
      <w:r>
        <w:tab/>
        <w:t>The local governments must forward the charter to the Minister when applying for approval for the formation of the regional subsidiary.</w:t>
      </w:r>
    </w:p>
    <w:p>
      <w:pPr>
        <w:pStyle w:val="nzSubsection"/>
      </w:pPr>
      <w:r>
        <w:tab/>
        <w:t>(3)</w:t>
      </w:r>
      <w:r>
        <w:tab/>
        <w:t>A charter, and an amendment to a charter, are of no effect unless approved by the Minister.</w:t>
      </w:r>
    </w:p>
    <w:p>
      <w:pPr>
        <w:pStyle w:val="nzHeading5"/>
      </w:pPr>
      <w:bookmarkStart w:id="1906" w:name="_Toc461799185"/>
      <w:bookmarkStart w:id="1907" w:name="_Toc462241249"/>
      <w:r>
        <w:t>3.71.</w:t>
      </w:r>
      <w:r>
        <w:tab/>
        <w:t>Regulations about regional subsidiaries</w:t>
      </w:r>
      <w:bookmarkEnd w:id="1906"/>
      <w:bookmarkEnd w:id="1907"/>
    </w:p>
    <w:p>
      <w:pPr>
        <w:pStyle w:val="nzSubsection"/>
      </w:pPr>
      <w:r>
        <w:tab/>
      </w:r>
      <w:r>
        <w:tab/>
        <w:t xml:space="preserve">Regulations may — </w:t>
      </w:r>
    </w:p>
    <w:p>
      <w:pPr>
        <w:pStyle w:val="nzIndenta"/>
      </w:pPr>
      <w:r>
        <w:tab/>
        <w:t>(a)</w:t>
      </w:r>
      <w:r>
        <w:tab/>
        <w:t>regulate the procedure for applying to the Minister for approval for the formation of a regional subsidiary; and</w:t>
      </w:r>
    </w:p>
    <w:p>
      <w:pPr>
        <w:pStyle w:val="nzIndenta"/>
      </w:pPr>
      <w:r>
        <w:tab/>
        <w:t>(b)</w:t>
      </w:r>
      <w:r>
        <w:tab/>
        <w:t>require the local governments proposing to form a regional subsidiary to consult with the community in their districts in accordance with the regulations; and</w:t>
      </w:r>
    </w:p>
    <w:p>
      <w:pPr>
        <w:pStyle w:val="nzIndenta"/>
      </w:pPr>
      <w:r>
        <w:tab/>
        <w:t>(c)</w:t>
      </w:r>
      <w:r>
        <w:tab/>
        <w:t>provide that a specified provision of this Act applies in relation to a regional subsidiary subject to any prescribed or necessary modifications; and</w:t>
      </w:r>
    </w:p>
    <w:p>
      <w:pPr>
        <w:pStyle w:val="nzIndenta"/>
      </w:pPr>
      <w:r>
        <w:tab/>
        <w:t>(d)</w:t>
      </w:r>
      <w:r>
        <w:tab/>
        <w:t>provide for or regulate any other matter that is necessary or convenient to be provided for or regulated in respect of a regional subsidiary.</w:t>
      </w:r>
    </w:p>
    <w:p>
      <w:pPr>
        <w:pStyle w:val="nzHeading5"/>
      </w:pPr>
      <w:bookmarkStart w:id="1908" w:name="_Toc461799186"/>
      <w:bookmarkStart w:id="1909" w:name="_Toc462241250"/>
      <w:r>
        <w:t>3.72.</w:t>
      </w:r>
      <w:r>
        <w:tab/>
        <w:t>Other provisions and arrangements not affected</w:t>
      </w:r>
      <w:bookmarkEnd w:id="1908"/>
      <w:bookmarkEnd w:id="1909"/>
    </w:p>
    <w:p>
      <w:pPr>
        <w:pStyle w:val="nzSubsection"/>
      </w:pPr>
      <w:r>
        <w:tab/>
        <w:t>(1)</w:t>
      </w:r>
      <w:r>
        <w:tab/>
        <w:t>Section 3.69 has effect in addition to the provisions of this Division relating to regional local governments, and does not derogate from those provisions.</w:t>
      </w:r>
    </w:p>
    <w:p>
      <w:pPr>
        <w:pStyle w:val="nzSubsection"/>
      </w:pPr>
      <w:r>
        <w:tab/>
        <w:t>(2)</w:t>
      </w:r>
      <w:r>
        <w:tab/>
        <w:t xml:space="preserve">Nothing in section 3.69 prevents local governments from making arrangements under which — </w:t>
      </w:r>
    </w:p>
    <w:p>
      <w:pPr>
        <w:pStyle w:val="nzIndenta"/>
      </w:pPr>
      <w:r>
        <w:tab/>
        <w:t>(a)</w:t>
      </w:r>
      <w:r>
        <w:tab/>
        <w:t>a local government provides a service or carries on an activity for another local government; or</w:t>
      </w:r>
    </w:p>
    <w:p>
      <w:pPr>
        <w:pStyle w:val="nzIndenta"/>
      </w:pPr>
      <w:r>
        <w:tab/>
        <w:t>(b)</w:t>
      </w:r>
      <w:r>
        <w:tab/>
        <w:t>local governments provide a service or carry on an activity jointly without forming a regional subsidiary.</w:t>
      </w:r>
    </w:p>
    <w:p>
      <w:pPr>
        <w:pStyle w:val="BlankClose"/>
      </w:pPr>
    </w:p>
    <w:p>
      <w:pPr>
        <w:pStyle w:val="nzHeading5"/>
      </w:pPr>
      <w:bookmarkStart w:id="1910" w:name="_Toc461799187"/>
      <w:bookmarkStart w:id="1911" w:name="_Toc462241251"/>
      <w:r>
        <w:rPr>
          <w:rStyle w:val="CharSectno"/>
        </w:rPr>
        <w:t>10</w:t>
      </w:r>
      <w:r>
        <w:t>.</w:t>
      </w:r>
      <w:r>
        <w:tab/>
        <w:t>Section 4.88 amended</w:t>
      </w:r>
      <w:bookmarkEnd w:id="1910"/>
      <w:bookmarkEnd w:id="1911"/>
    </w:p>
    <w:p>
      <w:pPr>
        <w:pStyle w:val="nzSubsection"/>
      </w:pPr>
      <w:r>
        <w:tab/>
        <w:t>(1)</w:t>
      </w:r>
      <w:r>
        <w:tab/>
        <w:t>Delete section 4.88(1) and insert:</w:t>
      </w:r>
    </w:p>
    <w:p>
      <w:pPr>
        <w:pStyle w:val="BlankOpen"/>
      </w:pPr>
    </w:p>
    <w:p>
      <w:pPr>
        <w:pStyle w:val="nzSubsection"/>
      </w:pPr>
      <w:r>
        <w:tab/>
        <w:t>(1)</w:t>
      </w:r>
      <w:r>
        <w:tab/>
        <w:t>A person must not, during the relevant period in relation to an election —</w:t>
      </w:r>
    </w:p>
    <w:p>
      <w:pPr>
        <w:pStyle w:val="nzIndenta"/>
      </w:pPr>
      <w:r>
        <w:tab/>
        <w:t>(a)</w:t>
      </w:r>
      <w:r>
        <w:tab/>
        <w:t>print, publish or distribute deceptive material; or</w:t>
      </w:r>
    </w:p>
    <w:p>
      <w:pPr>
        <w:pStyle w:val="nzIndenta"/>
      </w:pPr>
      <w:r>
        <w:tab/>
        <w:t>(b)</w:t>
      </w:r>
      <w:r>
        <w:tab/>
        <w:t>cause deceptive material to be printed, published or distributed.</w:t>
      </w:r>
    </w:p>
    <w:p>
      <w:pPr>
        <w:pStyle w:val="nzPenstart"/>
      </w:pPr>
      <w:r>
        <w:tab/>
        <w:t>Penalty: a fine of $5 000 or imprisonment for one year.</w:t>
      </w:r>
    </w:p>
    <w:p>
      <w:pPr>
        <w:pStyle w:val="BlankClose"/>
      </w:pPr>
    </w:p>
    <w:p>
      <w:pPr>
        <w:pStyle w:val="nzSubsection"/>
      </w:pPr>
      <w:r>
        <w:tab/>
        <w:t>(2)</w:t>
      </w:r>
      <w:r>
        <w:tab/>
        <w:t>In section 4.88(2) delete “subsection (1)(a)” and insert:</w:t>
      </w:r>
    </w:p>
    <w:p>
      <w:pPr>
        <w:pStyle w:val="BlankOpen"/>
      </w:pPr>
    </w:p>
    <w:p>
      <w:pPr>
        <w:pStyle w:val="nzSubsection"/>
      </w:pPr>
      <w:r>
        <w:tab/>
      </w:r>
      <w:r>
        <w:tab/>
        <w:t>subsection (1)</w:t>
      </w:r>
    </w:p>
    <w:p>
      <w:pPr>
        <w:pStyle w:val="BlankClose"/>
      </w:pPr>
    </w:p>
    <w:p>
      <w:pPr>
        <w:pStyle w:val="nzSubsection"/>
      </w:pPr>
      <w:r>
        <w:tab/>
        <w:t>(3)</w:t>
      </w:r>
      <w:r>
        <w:tab/>
        <w:t>Delete section 4.88(3).</w:t>
      </w:r>
    </w:p>
    <w:p>
      <w:pPr>
        <w:pStyle w:val="NotesPerm"/>
        <w:tabs>
          <w:tab w:val="clear" w:pos="879"/>
          <w:tab w:val="left" w:pos="851"/>
        </w:tabs>
        <w:ind w:left="1418" w:hanging="1418"/>
      </w:pPr>
      <w:r>
        <w:tab/>
        <w:t>Note:</w:t>
      </w:r>
      <w:r>
        <w:tab/>
        <w:t>The heading to amended section 4.88 is to read:</w:t>
      </w:r>
    </w:p>
    <w:p>
      <w:pPr>
        <w:pStyle w:val="NotesPerm"/>
        <w:tabs>
          <w:tab w:val="clear" w:pos="879"/>
          <w:tab w:val="left" w:pos="851"/>
        </w:tabs>
        <w:ind w:left="1418" w:hanging="1418"/>
        <w:rPr>
          <w:b/>
        </w:rPr>
      </w:pPr>
      <w:r>
        <w:tab/>
      </w:r>
      <w:r>
        <w:tab/>
      </w:r>
      <w:r>
        <w:rPr>
          <w:b/>
        </w:rPr>
        <w:t>Offence to print, publish or distribute misleading or deceptive material</w:t>
      </w:r>
    </w:p>
    <w:p>
      <w:pPr>
        <w:pStyle w:val="nzHeading5"/>
      </w:pPr>
      <w:bookmarkStart w:id="1912" w:name="_Toc461799188"/>
      <w:bookmarkStart w:id="1913" w:name="_Toc462241252"/>
      <w:r>
        <w:rPr>
          <w:rStyle w:val="CharSectno"/>
        </w:rPr>
        <w:t>11</w:t>
      </w:r>
      <w:r>
        <w:t>.</w:t>
      </w:r>
      <w:r>
        <w:tab/>
        <w:t>Section 5.49 amended</w:t>
      </w:r>
      <w:bookmarkEnd w:id="1912"/>
      <w:bookmarkEnd w:id="1913"/>
    </w:p>
    <w:p>
      <w:pPr>
        <w:pStyle w:val="nzSubsection"/>
      </w:pPr>
      <w:r>
        <w:tab/>
      </w:r>
      <w:r>
        <w:tab/>
        <w:t xml:space="preserve">In section 5.49(1) in the definition of </w:t>
      </w:r>
      <w:r>
        <w:rPr>
          <w:rStyle w:val="CharDefText"/>
        </w:rPr>
        <w:t>eligible body</w:t>
      </w:r>
      <w:r>
        <w:t xml:space="preserve"> after paragraph (b) insert:</w:t>
      </w:r>
    </w:p>
    <w:p>
      <w:pPr>
        <w:pStyle w:val="BlankOpen"/>
      </w:pPr>
    </w:p>
    <w:p>
      <w:pPr>
        <w:pStyle w:val="nzDefpara"/>
      </w:pPr>
      <w:r>
        <w:tab/>
        <w:t>(ca)</w:t>
      </w:r>
      <w:r>
        <w:tab/>
        <w:t>a regional subsidiary; or</w:t>
      </w:r>
    </w:p>
    <w:p>
      <w:pPr>
        <w:pStyle w:val="BlankClose"/>
      </w:pPr>
    </w:p>
    <w:p>
      <w:pPr>
        <w:pStyle w:val="nzHeading5"/>
      </w:pPr>
      <w:bookmarkStart w:id="1914" w:name="_Toc461799189"/>
      <w:bookmarkStart w:id="1915" w:name="_Toc462241253"/>
      <w:r>
        <w:rPr>
          <w:rStyle w:val="CharSectno"/>
        </w:rPr>
        <w:t>12</w:t>
      </w:r>
      <w:r>
        <w:t>.</w:t>
      </w:r>
      <w:r>
        <w:tab/>
        <w:t>Section 5.63 amended</w:t>
      </w:r>
      <w:bookmarkEnd w:id="1914"/>
      <w:bookmarkEnd w:id="1915"/>
    </w:p>
    <w:p>
      <w:pPr>
        <w:pStyle w:val="nzSubsection"/>
      </w:pPr>
      <w:r>
        <w:tab/>
      </w:r>
      <w:r>
        <w:tab/>
        <w:t>Delete section 5.63(1)(c) and insert:</w:t>
      </w:r>
    </w:p>
    <w:p>
      <w:pPr>
        <w:pStyle w:val="BlankOpen"/>
      </w:pPr>
    </w:p>
    <w:p>
      <w:pPr>
        <w:pStyle w:val="nzIndenta"/>
      </w:pPr>
      <w:r>
        <w:tab/>
        <w:t>(c)</w:t>
      </w:r>
      <w:r>
        <w:tab/>
        <w:t xml:space="preserve">an interest relating to — </w:t>
      </w:r>
    </w:p>
    <w:p>
      <w:pPr>
        <w:pStyle w:val="nzIndenti"/>
      </w:pPr>
      <w:r>
        <w:tab/>
        <w:t>(i)</w:t>
      </w:r>
      <w:r>
        <w:tab/>
        <w:t>a fee, reimbursement of an expense or an allowance to which section 5.98, 5.98A, 5.99, 5.99A, 5.100 or 5.101(2) refers; or</w:t>
      </w:r>
    </w:p>
    <w:p>
      <w:pPr>
        <w:pStyle w:val="nzIndenti"/>
      </w:pPr>
      <w:r>
        <w:tab/>
        <w:t>(ii)</w:t>
      </w:r>
      <w:r>
        <w:tab/>
        <w:t>a gift permitted by section 5.100A; or</w:t>
      </w:r>
    </w:p>
    <w:p>
      <w:pPr>
        <w:pStyle w:val="nzIndenti"/>
      </w:pPr>
      <w:r>
        <w:tab/>
        <w:t>(iii)</w:t>
      </w:r>
      <w:r>
        <w:tab/>
        <w:t>reimbursement of an expense that is the subject of regulations made under section 5.101A;</w:t>
      </w:r>
    </w:p>
    <w:p>
      <w:pPr>
        <w:pStyle w:val="nzIndenta"/>
      </w:pPr>
      <w:r>
        <w:tab/>
      </w:r>
      <w:r>
        <w:tab/>
        <w:t>or</w:t>
      </w:r>
    </w:p>
    <w:p>
      <w:pPr>
        <w:pStyle w:val="BlankClose"/>
      </w:pPr>
    </w:p>
    <w:p>
      <w:pPr>
        <w:pStyle w:val="nzHeading5"/>
      </w:pPr>
      <w:bookmarkStart w:id="1916" w:name="_Toc461799190"/>
      <w:bookmarkStart w:id="1917" w:name="_Toc462241254"/>
      <w:r>
        <w:rPr>
          <w:rStyle w:val="CharSectno"/>
        </w:rPr>
        <w:t>13</w:t>
      </w:r>
      <w:r>
        <w:t>.</w:t>
      </w:r>
      <w:r>
        <w:tab/>
        <w:t>Section 5.99A amended</w:t>
      </w:r>
      <w:bookmarkEnd w:id="1916"/>
      <w:bookmarkEnd w:id="1917"/>
    </w:p>
    <w:p>
      <w:pPr>
        <w:pStyle w:val="nzSubsection"/>
      </w:pPr>
      <w:r>
        <w:tab/>
        <w:t>(1)</w:t>
      </w:r>
      <w:r>
        <w:tab/>
        <w:t>In section 5.99A:</w:t>
      </w:r>
    </w:p>
    <w:p>
      <w:pPr>
        <w:pStyle w:val="nzIndenta"/>
      </w:pPr>
      <w:r>
        <w:tab/>
        <w:t>(a)</w:t>
      </w:r>
      <w:r>
        <w:tab/>
        <w:t>delete “A local government” and insert:</w:t>
      </w:r>
    </w:p>
    <w:p>
      <w:pPr>
        <w:pStyle w:val="BlankOpen"/>
      </w:pPr>
    </w:p>
    <w:p>
      <w:pPr>
        <w:pStyle w:val="nzSubsection"/>
      </w:pPr>
      <w:r>
        <w:tab/>
        <w:t>(1)</w:t>
      </w:r>
      <w:r>
        <w:tab/>
        <w:t>A local government</w:t>
      </w:r>
    </w:p>
    <w:p>
      <w:pPr>
        <w:pStyle w:val="BlankClose"/>
        <w:keepNext/>
      </w:pPr>
    </w:p>
    <w:p>
      <w:pPr>
        <w:pStyle w:val="nzIndenta"/>
      </w:pPr>
      <w:r>
        <w:tab/>
        <w:t>(b)</w:t>
      </w:r>
      <w:r>
        <w:tab/>
        <w:t>after “pay all” insert:</w:t>
      </w:r>
    </w:p>
    <w:p>
      <w:pPr>
        <w:pStyle w:val="BlankOpen"/>
      </w:pPr>
    </w:p>
    <w:p>
      <w:pPr>
        <w:pStyle w:val="nzIndenta"/>
      </w:pPr>
      <w:r>
        <w:tab/>
      </w:r>
      <w:r>
        <w:tab/>
        <w:t>eligible</w:t>
      </w:r>
    </w:p>
    <w:p>
      <w:pPr>
        <w:pStyle w:val="BlankClose"/>
      </w:pPr>
    </w:p>
    <w:p>
      <w:pPr>
        <w:pStyle w:val="nzSubsection"/>
      </w:pPr>
      <w:r>
        <w:tab/>
        <w:t>(2)</w:t>
      </w:r>
      <w:r>
        <w:tab/>
        <w:t>At the end of section 5.99A insert:</w:t>
      </w:r>
    </w:p>
    <w:p>
      <w:pPr>
        <w:pStyle w:val="BlankOpen"/>
      </w:pPr>
    </w:p>
    <w:p>
      <w:pPr>
        <w:pStyle w:val="nzSubsection"/>
      </w:pPr>
      <w:r>
        <w:tab/>
        <w:t>(2)</w:t>
      </w:r>
      <w:r>
        <w:tab/>
        <w:t xml:space="preserve">For the purposes of subsection (1), a council member is eligible to be paid an annual allowance under subsection (1) for a type of expense only in the following cases — </w:t>
      </w:r>
    </w:p>
    <w:p>
      <w:pPr>
        <w:pStyle w:val="nzIndenta"/>
      </w:pPr>
      <w:r>
        <w:tab/>
        <w:t>(a)</w:t>
      </w:r>
      <w:r>
        <w:tab/>
        <w:t>in the case of an annual allowance that is paid in advance, if it is reasonably likely that the council member will incur expenses of that type during the period to which the allowance relates;</w:t>
      </w:r>
    </w:p>
    <w:p>
      <w:pPr>
        <w:pStyle w:val="nzIndenta"/>
      </w:pPr>
      <w:r>
        <w:tab/>
        <w:t>(b)</w:t>
      </w:r>
      <w:r>
        <w:tab/>
        <w:t>in the case of an annual allowance that is not paid in advance, if the council member has incurred expenses of that type during the period to which the allowance relates.</w:t>
      </w:r>
    </w:p>
    <w:p>
      <w:pPr>
        <w:pStyle w:val="BlankClose"/>
      </w:pPr>
    </w:p>
    <w:p>
      <w:pPr>
        <w:pStyle w:val="nzHeading5"/>
      </w:pPr>
      <w:bookmarkStart w:id="1918" w:name="_Toc461799191"/>
      <w:bookmarkStart w:id="1919" w:name="_Toc462241255"/>
      <w:r>
        <w:rPr>
          <w:rStyle w:val="CharSectno"/>
        </w:rPr>
        <w:t>14</w:t>
      </w:r>
      <w:r>
        <w:t>.</w:t>
      </w:r>
      <w:r>
        <w:tab/>
        <w:t>Sections 5.102AA to 5.102AC inserted</w:t>
      </w:r>
      <w:bookmarkEnd w:id="1918"/>
      <w:bookmarkEnd w:id="1919"/>
    </w:p>
    <w:p>
      <w:pPr>
        <w:pStyle w:val="nzSubsection"/>
      </w:pPr>
      <w:r>
        <w:tab/>
      </w:r>
      <w:r>
        <w:tab/>
        <w:t>At the end of Part 5 Division 8 insert:</w:t>
      </w:r>
    </w:p>
    <w:p>
      <w:pPr>
        <w:pStyle w:val="BlankOpen"/>
      </w:pPr>
    </w:p>
    <w:p>
      <w:pPr>
        <w:pStyle w:val="nzHeading5"/>
      </w:pPr>
      <w:bookmarkStart w:id="1920" w:name="_Toc461799192"/>
      <w:bookmarkStart w:id="1921" w:name="_Toc462241256"/>
      <w:r>
        <w:t>5.102AA.</w:t>
      </w:r>
      <w:r>
        <w:tab/>
        <w:t>Apportionment of annual payments</w:t>
      </w:r>
      <w:bookmarkEnd w:id="1920"/>
      <w:bookmarkEnd w:id="1921"/>
    </w:p>
    <w:p>
      <w:pPr>
        <w:pStyle w:val="nzSubsection"/>
      </w:pPr>
      <w:r>
        <w:tab/>
      </w:r>
      <w:r>
        <w:tab/>
        <w:t xml:space="preserve">A determination made by the Salaries and Allowances Tribunal under the </w:t>
      </w:r>
      <w:r>
        <w:rPr>
          <w:i/>
        </w:rPr>
        <w:t xml:space="preserve">Salaries and Allowances Act 1975 </w:t>
      </w:r>
      <w:r>
        <w:t>section 7B may provide for the payment of a proportion of an annual allowance or annual fee payable under this Division if a person holds the office to which the allowance or fee relates for only part of a year.</w:t>
      </w:r>
    </w:p>
    <w:p>
      <w:pPr>
        <w:pStyle w:val="nzHeading5"/>
      </w:pPr>
      <w:bookmarkStart w:id="1922" w:name="_Toc461799193"/>
      <w:bookmarkStart w:id="1923" w:name="_Toc462241257"/>
      <w:r>
        <w:t>5.102AB.</w:t>
      </w:r>
      <w:r>
        <w:tab/>
        <w:t>Repayment of advance annual payments if recipient ceases to hold office</w:t>
      </w:r>
      <w:bookmarkEnd w:id="1922"/>
      <w:bookmarkEnd w:id="1923"/>
    </w:p>
    <w:p>
      <w:pPr>
        <w:pStyle w:val="nzSubsection"/>
      </w:pPr>
      <w:r>
        <w:tab/>
        <w:t>(1)</w:t>
      </w:r>
      <w:r>
        <w:tab/>
        <w:t xml:space="preserve">This section applies if — </w:t>
      </w:r>
    </w:p>
    <w:p>
      <w:pPr>
        <w:pStyle w:val="nzIndenta"/>
      </w:pPr>
      <w:r>
        <w:tab/>
        <w:t>(a)</w:t>
      </w:r>
      <w:r>
        <w:tab/>
        <w:t>a local government pays an annual allowance or annual fee under this Division to a person in advance (either wholly or in part); and</w:t>
      </w:r>
    </w:p>
    <w:p>
      <w:pPr>
        <w:pStyle w:val="nzIndenta"/>
      </w:pPr>
      <w:r>
        <w:tab/>
        <w:t>(b)</w:t>
      </w:r>
      <w:r>
        <w:tab/>
        <w:t>the person ceases to hold the office to which the allowance or fee relates before the end of the period to which the advance payment relates.</w:t>
      </w:r>
    </w:p>
    <w:p>
      <w:pPr>
        <w:pStyle w:val="nzSubsection"/>
      </w:pPr>
      <w:r>
        <w:tab/>
        <w:t>(2)</w:t>
      </w:r>
      <w:r>
        <w:tab/>
        <w:t xml:space="preserve">Regulations may be made — </w:t>
      </w:r>
    </w:p>
    <w:p>
      <w:pPr>
        <w:pStyle w:val="nzIndenta"/>
      </w:pPr>
      <w:r>
        <w:tab/>
        <w:t>(a)</w:t>
      </w:r>
      <w:r>
        <w:tab/>
        <w:t>requiring the repayment to a local government, to the extent determined in accordance with the regulations, of an advance payment of an annual allowance or annual fee in the circumstances to which this section applies; and</w:t>
      </w:r>
    </w:p>
    <w:p>
      <w:pPr>
        <w:pStyle w:val="nzIndenta"/>
      </w:pPr>
      <w:r>
        <w:tab/>
        <w:t>(b)</w:t>
      </w:r>
      <w:r>
        <w:tab/>
        <w:t>providing for a local government to recover any amount repayable if it is not repaid.</w:t>
      </w:r>
    </w:p>
    <w:p>
      <w:pPr>
        <w:pStyle w:val="nzHeading5"/>
      </w:pPr>
      <w:bookmarkStart w:id="1924" w:name="_Toc461799194"/>
      <w:bookmarkStart w:id="1925" w:name="_Toc462241258"/>
      <w:r>
        <w:t>5.102AC.</w:t>
      </w:r>
      <w:r>
        <w:tab/>
        <w:t>Application of this Division to regional local governments</w:t>
      </w:r>
      <w:bookmarkEnd w:id="1924"/>
      <w:bookmarkEnd w:id="1925"/>
    </w:p>
    <w:p>
      <w:pPr>
        <w:pStyle w:val="nzSubsection"/>
      </w:pPr>
      <w:r>
        <w:tab/>
        <w:t>(1)</w:t>
      </w:r>
      <w:r>
        <w:tab/>
        <w:t>This Division applies, and is to be taken to have always applied, in accordance with section 3.66(1) and (5) to and in relation to regional local governments, members and deputy members of the councils of regional local governments and chairmen and deputy chairmen of regional local governments.</w:t>
      </w:r>
    </w:p>
    <w:p>
      <w:pPr>
        <w:pStyle w:val="nzSubsection"/>
      </w:pPr>
      <w:r>
        <w:tab/>
        <w:t>(2)</w:t>
      </w:r>
      <w:r>
        <w:tab/>
        <w:t>This section does not limit section 3.66.</w:t>
      </w:r>
    </w:p>
    <w:p>
      <w:pPr>
        <w:pStyle w:val="BlankClose"/>
      </w:pPr>
    </w:p>
    <w:p>
      <w:pPr>
        <w:pStyle w:val="nzHeading5"/>
      </w:pPr>
      <w:bookmarkStart w:id="1926" w:name="_Toc461799195"/>
      <w:bookmarkStart w:id="1927" w:name="_Toc462241259"/>
      <w:r>
        <w:rPr>
          <w:rStyle w:val="CharSectno"/>
        </w:rPr>
        <w:t>15</w:t>
      </w:r>
      <w:r>
        <w:t>.</w:t>
      </w:r>
      <w:r>
        <w:tab/>
        <w:t>Section 5.110A inserted</w:t>
      </w:r>
      <w:bookmarkEnd w:id="1926"/>
      <w:bookmarkEnd w:id="1927"/>
    </w:p>
    <w:p>
      <w:pPr>
        <w:pStyle w:val="nzSubsection"/>
      </w:pPr>
      <w:r>
        <w:tab/>
      </w:r>
      <w:r>
        <w:tab/>
        <w:t>After section 5.109 insert:</w:t>
      </w:r>
    </w:p>
    <w:p>
      <w:pPr>
        <w:pStyle w:val="BlankOpen"/>
      </w:pPr>
    </w:p>
    <w:p>
      <w:pPr>
        <w:pStyle w:val="nzHeading5"/>
      </w:pPr>
      <w:bookmarkStart w:id="1928" w:name="_Toc461799196"/>
      <w:bookmarkStart w:id="1929" w:name="_Toc462241260"/>
      <w:r>
        <w:t>5.110A.</w:t>
      </w:r>
      <w:r>
        <w:tab/>
        <w:t>Withdrawal of complaint of minor breach</w:t>
      </w:r>
      <w:bookmarkEnd w:id="1928"/>
      <w:bookmarkEnd w:id="1929"/>
    </w:p>
    <w:p>
      <w:pPr>
        <w:pStyle w:val="nzSubsection"/>
      </w:pPr>
      <w:r>
        <w:tab/>
        <w:t>(1)</w:t>
      </w:r>
      <w:r>
        <w:tab/>
        <w:t xml:space="preserve">This section applies to the following complaints — </w:t>
      </w:r>
    </w:p>
    <w:p>
      <w:pPr>
        <w:pStyle w:val="nzIndenta"/>
      </w:pPr>
      <w:r>
        <w:tab/>
        <w:t>(a)</w:t>
      </w:r>
      <w:r>
        <w:tab/>
        <w:t>a complaint made under section 5.107, other than a complaint that, under section 5.115, the complaints officer has sent to the Departmental CEO;</w:t>
      </w:r>
    </w:p>
    <w:p>
      <w:pPr>
        <w:pStyle w:val="nzIndenta"/>
      </w:pPr>
      <w:r>
        <w:tab/>
        <w:t>(b)</w:t>
      </w:r>
      <w:r>
        <w:tab/>
        <w:t>a complaint made under section 5.114 that, under section 5.108, the Departmental CEO has sent to the complaints officer;</w:t>
      </w:r>
    </w:p>
    <w:p>
      <w:pPr>
        <w:pStyle w:val="nzIndenta"/>
      </w:pPr>
      <w:r>
        <w:tab/>
        <w:t>(c)</w:t>
      </w:r>
      <w:r>
        <w:tab/>
        <w:t>a complaint made under section 5.109.</w:t>
      </w:r>
    </w:p>
    <w:p>
      <w:pPr>
        <w:pStyle w:val="nzSubsection"/>
      </w:pPr>
      <w:r>
        <w:tab/>
        <w:t>(2)</w:t>
      </w:r>
      <w:r>
        <w:tab/>
        <w:t>A person who has made a complaint to which this section applies can withdraw the complaint at any time before a standards panel does either of the things that it is required to do under section 5.110(2) in relation to the complaint.</w:t>
      </w:r>
    </w:p>
    <w:p>
      <w:pPr>
        <w:pStyle w:val="nzSubsection"/>
      </w:pPr>
      <w:r>
        <w:tab/>
        <w:t>(3)</w:t>
      </w:r>
      <w:r>
        <w:tab/>
        <w:t xml:space="preserve">A withdrawal of a complaint — </w:t>
      </w:r>
    </w:p>
    <w:p>
      <w:pPr>
        <w:pStyle w:val="nzIndenta"/>
      </w:pPr>
      <w:r>
        <w:tab/>
        <w:t>(a)</w:t>
      </w:r>
      <w:r>
        <w:tab/>
        <w:t>must be in writing; and</w:t>
      </w:r>
    </w:p>
    <w:p>
      <w:pPr>
        <w:pStyle w:val="nzIndenta"/>
      </w:pPr>
      <w:r>
        <w:tab/>
        <w:t>(b)</w:t>
      </w:r>
      <w:r>
        <w:tab/>
        <w:t>must be sent to the member of the primary standards panel who is appointed under Schedule 5.1 clause 2(a).</w:t>
      </w:r>
    </w:p>
    <w:p>
      <w:pPr>
        <w:pStyle w:val="nzSubsection"/>
      </w:pPr>
      <w:r>
        <w:tab/>
        <w:t>(4)</w:t>
      </w:r>
      <w:r>
        <w:tab/>
        <w:t xml:space="preserve">If a complaint is withdrawn — </w:t>
      </w:r>
    </w:p>
    <w:p>
      <w:pPr>
        <w:pStyle w:val="nzIndenta"/>
      </w:pPr>
      <w:r>
        <w:tab/>
        <w:t>(a)</w:t>
      </w:r>
      <w:r>
        <w:tab/>
        <w:t xml:space="preserve">the member of the primary standards panel who is appointed under Schedule 5.1 clause 2(a) must, as soon as practicable after receiving the withdrawal — </w:t>
      </w:r>
    </w:p>
    <w:p>
      <w:pPr>
        <w:pStyle w:val="nzIndenti"/>
      </w:pPr>
      <w:r>
        <w:tab/>
        <w:t>(i)</w:t>
      </w:r>
      <w:r>
        <w:tab/>
        <w:t>give to the person who made the complaint an acknowledgment in writing that the withdrawal of the complaint has been received; and</w:t>
      </w:r>
    </w:p>
    <w:p>
      <w:pPr>
        <w:pStyle w:val="nzIndenti"/>
      </w:pPr>
      <w:r>
        <w:tab/>
        <w:t>(ii)</w:t>
      </w:r>
      <w:r>
        <w:tab/>
        <w:t>notify the council member about whom the complaint was made and the complaints officer that the complaint has been withdrawn;</w:t>
      </w:r>
    </w:p>
    <w:p>
      <w:pPr>
        <w:pStyle w:val="nzIndenta"/>
      </w:pPr>
      <w:r>
        <w:tab/>
      </w:r>
      <w:r>
        <w:tab/>
        <w:t>and</w:t>
      </w:r>
    </w:p>
    <w:p>
      <w:pPr>
        <w:pStyle w:val="nzIndenta"/>
      </w:pPr>
      <w:r>
        <w:tab/>
        <w:t>(b)</w:t>
      </w:r>
      <w:r>
        <w:tab/>
        <w:t>neither the member of the primary standards panel who is appointed under Schedule 5.1 clause 2(a) nor a standards panel is to take any action or, as the case requires, any further action under section 5.110 in relation to the complaint; and</w:t>
      </w:r>
    </w:p>
    <w:p>
      <w:pPr>
        <w:pStyle w:val="nzIndenta"/>
      </w:pPr>
      <w:r>
        <w:tab/>
        <w:t>(c)</w:t>
      </w:r>
      <w:r>
        <w:tab/>
        <w:t>a further complaint about the matter that is the subject of the withdrawn complaint cannot be made (whether by the original complainant or anyone else) unless the member of the primary standards panel who is appointed under Schedule 5.1 clause 2(a) is satisfied that it is appropriate to do so in the circumstances.</w:t>
      </w:r>
    </w:p>
    <w:p>
      <w:pPr>
        <w:pStyle w:val="nzSubsection"/>
      </w:pPr>
      <w:r>
        <w:tab/>
        <w:t>(5)</w:t>
      </w:r>
      <w:r>
        <w:tab/>
        <w:t>Without limiting subsection (2), a complaint cannot be withdrawn if, under section 5.111, a standards panel has sent the complaint to the Departmental CEO, even if the Departmental CEO subsequently decides not to make an allegation under section 5.112(2).</w:t>
      </w:r>
    </w:p>
    <w:p>
      <w:pPr>
        <w:pStyle w:val="nzSubsection"/>
      </w:pPr>
      <w:r>
        <w:tab/>
        <w:t>(6)</w:t>
      </w:r>
      <w:r>
        <w:tab/>
        <w:t xml:space="preserve">Despite subsection (4) — </w:t>
      </w:r>
    </w:p>
    <w:p>
      <w:pPr>
        <w:pStyle w:val="nzIndenta"/>
      </w:pPr>
      <w:r>
        <w:tab/>
        <w:t>(a)</w:t>
      </w:r>
      <w:r>
        <w:tab/>
        <w:t>even though a complaint has been withdrawn, a standards panel can deal with the complaint as if it had not been withdrawn if the member of the primary standards panel who is appointed under Schedule 5.1 clause 2(a) is satisfied that it is appropriate to do so in the circumstances; and</w:t>
      </w:r>
    </w:p>
    <w:p>
      <w:pPr>
        <w:pStyle w:val="nzIndenta"/>
      </w:pPr>
      <w:r>
        <w:tab/>
        <w:t>(b)</w:t>
      </w:r>
      <w:r>
        <w:tab/>
        <w:t>if paragraph (a) applies, the member of the primary standards panel who is appointed under Schedule 5.1 clause 2(a) must notify the parties and the complaints officer that a standards panel is to deal with the complaint.</w:t>
      </w:r>
    </w:p>
    <w:p>
      <w:pPr>
        <w:pStyle w:val="BlankClose"/>
      </w:pPr>
    </w:p>
    <w:p>
      <w:pPr>
        <w:pStyle w:val="nzHeading5"/>
      </w:pPr>
      <w:bookmarkStart w:id="1930" w:name="_Toc461799197"/>
      <w:bookmarkStart w:id="1931" w:name="_Toc462241261"/>
      <w:r>
        <w:rPr>
          <w:rStyle w:val="CharSectno"/>
        </w:rPr>
        <w:t>16</w:t>
      </w:r>
      <w:r>
        <w:t>.</w:t>
      </w:r>
      <w:r>
        <w:tab/>
        <w:t>Section 5.110 amended</w:t>
      </w:r>
      <w:bookmarkEnd w:id="1930"/>
      <w:bookmarkEnd w:id="1931"/>
    </w:p>
    <w:p>
      <w:pPr>
        <w:pStyle w:val="nzSubsection"/>
      </w:pPr>
      <w:r>
        <w:tab/>
        <w:t>(1)</w:t>
      </w:r>
      <w:r>
        <w:tab/>
        <w:t>After section 5.110(2) insert:</w:t>
      </w:r>
    </w:p>
    <w:p>
      <w:pPr>
        <w:pStyle w:val="BlankOpen"/>
      </w:pPr>
    </w:p>
    <w:p>
      <w:pPr>
        <w:pStyle w:val="nzSubsection"/>
      </w:pPr>
      <w:r>
        <w:tab/>
        <w:t>(3A)</w:t>
      </w:r>
      <w:r>
        <w:tab/>
        <w:t>However, a standards panel can at any stage of its proceedings refuse to deal with a complaint if the standards panel is satisfied that the complaint is frivolous, trivial, vexatious, misconceived or without substance.</w:t>
      </w:r>
    </w:p>
    <w:p>
      <w:pPr>
        <w:pStyle w:val="BlankClose"/>
      </w:pPr>
    </w:p>
    <w:p>
      <w:pPr>
        <w:pStyle w:val="nzSubsection"/>
      </w:pPr>
      <w:r>
        <w:tab/>
        <w:t>(2)</w:t>
      </w:r>
      <w:r>
        <w:tab/>
        <w:t>Delete section 5.110(4) and insert:</w:t>
      </w:r>
    </w:p>
    <w:p>
      <w:pPr>
        <w:pStyle w:val="BlankOpen"/>
      </w:pPr>
    </w:p>
    <w:p>
      <w:pPr>
        <w:pStyle w:val="nzSubsection"/>
      </w:pPr>
      <w:r>
        <w:rPr>
          <w:szCs w:val="24"/>
        </w:rPr>
        <w:tab/>
        <w:t>(4)</w:t>
      </w:r>
      <w:r>
        <w:rPr>
          <w:szCs w:val="24"/>
        </w:rPr>
        <w:tab/>
        <w:t xml:space="preserve">A standards panel must give each party written notice of the reasons for — </w:t>
      </w:r>
    </w:p>
    <w:p>
      <w:pPr>
        <w:pStyle w:val="nzIndenta"/>
      </w:pPr>
      <w:r>
        <w:rPr>
          <w:szCs w:val="24"/>
        </w:rPr>
        <w:tab/>
        <w:t>(a)</w:t>
      </w:r>
      <w:r>
        <w:rPr>
          <w:szCs w:val="24"/>
        </w:rPr>
        <w:tab/>
        <w:t>any finding it makes under subsection (2); or</w:t>
      </w:r>
    </w:p>
    <w:p>
      <w:pPr>
        <w:pStyle w:val="nzIndenta"/>
      </w:pPr>
      <w:r>
        <w:tab/>
        <w:t>(b)</w:t>
      </w:r>
      <w:r>
        <w:tab/>
        <w:t>any refusal under subsection (3A) to deal with a complaint.</w:t>
      </w:r>
    </w:p>
    <w:p>
      <w:pPr>
        <w:pStyle w:val="BlankClose"/>
      </w:pPr>
    </w:p>
    <w:p>
      <w:pPr>
        <w:pStyle w:val="nzHeading5"/>
      </w:pPr>
      <w:bookmarkStart w:id="1932" w:name="_Toc461799198"/>
      <w:bookmarkStart w:id="1933" w:name="_Toc462241262"/>
      <w:r>
        <w:rPr>
          <w:rStyle w:val="CharSectno"/>
        </w:rPr>
        <w:t>17</w:t>
      </w:r>
      <w:r>
        <w:t>.</w:t>
      </w:r>
      <w:r>
        <w:tab/>
        <w:t>Section 6.23 amended</w:t>
      </w:r>
      <w:bookmarkEnd w:id="1932"/>
      <w:bookmarkEnd w:id="1933"/>
    </w:p>
    <w:p>
      <w:pPr>
        <w:pStyle w:val="nzSubsection"/>
      </w:pPr>
      <w:r>
        <w:tab/>
      </w:r>
      <w:r>
        <w:tab/>
        <w:t>After section 6.23(3) insert:</w:t>
      </w:r>
    </w:p>
    <w:p>
      <w:pPr>
        <w:pStyle w:val="BlankOpen"/>
      </w:pPr>
    </w:p>
    <w:p>
      <w:pPr>
        <w:pStyle w:val="nzSubsection"/>
      </w:pPr>
      <w:r>
        <w:tab/>
        <w:t>(4)</w:t>
      </w:r>
      <w:r>
        <w:tab/>
        <w:t xml:space="preserve">In relation to a regional subsidiary, a receiver is entitled to receive whichever of the following over which security has been given in a particular case — </w:t>
      </w:r>
    </w:p>
    <w:p>
      <w:pPr>
        <w:pStyle w:val="nzIndenta"/>
      </w:pPr>
      <w:r>
        <w:tab/>
        <w:t>(a)</w:t>
      </w:r>
      <w:r>
        <w:tab/>
        <w:t>the financial contributions of the participants to the regional subsidiary’s funds as set out or provided for in the regional subsidiary’s charter;</w:t>
      </w:r>
    </w:p>
    <w:p>
      <w:pPr>
        <w:pStyle w:val="nzIndenta"/>
      </w:pPr>
      <w:r>
        <w:tab/>
        <w:t>(b)</w:t>
      </w:r>
      <w:r>
        <w:tab/>
        <w:t>Government grants that were not given to the regional subsidiary for a specific purpose;</w:t>
      </w:r>
    </w:p>
    <w:p>
      <w:pPr>
        <w:pStyle w:val="nzIndenta"/>
      </w:pPr>
      <w:r>
        <w:tab/>
        <w:t>(c)</w:t>
      </w:r>
      <w:r>
        <w:tab/>
        <w:t>the general funds of a participant to the extent that those funds secure financial accommodation extended to the regional subsidiary.</w:t>
      </w:r>
    </w:p>
    <w:p>
      <w:pPr>
        <w:pStyle w:val="BlankClose"/>
      </w:pPr>
    </w:p>
    <w:p>
      <w:pPr>
        <w:pStyle w:val="nzHeading5"/>
      </w:pPr>
      <w:bookmarkStart w:id="1934" w:name="_Toc461799199"/>
      <w:bookmarkStart w:id="1935" w:name="_Toc462241263"/>
      <w:r>
        <w:rPr>
          <w:rStyle w:val="CharSectno"/>
        </w:rPr>
        <w:t>18</w:t>
      </w:r>
      <w:r>
        <w:t>.</w:t>
      </w:r>
      <w:r>
        <w:tab/>
        <w:t>Section 9.15 amended</w:t>
      </w:r>
      <w:bookmarkEnd w:id="1934"/>
      <w:bookmarkEnd w:id="1935"/>
    </w:p>
    <w:p>
      <w:pPr>
        <w:pStyle w:val="nzSubsection"/>
      </w:pPr>
      <w:r>
        <w:tab/>
      </w:r>
      <w:r>
        <w:tab/>
        <w:t xml:space="preserve">In section 9.15 delete the definition of </w:t>
      </w:r>
      <w:r>
        <w:rPr>
          <w:rStyle w:val="CharDefText"/>
        </w:rPr>
        <w:t>authorised person</w:t>
      </w:r>
      <w:r>
        <w:t xml:space="preserve"> and insert:</w:t>
      </w:r>
    </w:p>
    <w:p>
      <w:pPr>
        <w:pStyle w:val="BlankOpen"/>
      </w:pPr>
    </w:p>
    <w:p>
      <w:pPr>
        <w:pStyle w:val="nzDefstart"/>
      </w:pPr>
      <w:r>
        <w:tab/>
      </w:r>
      <w:r>
        <w:rPr>
          <w:rStyle w:val="CharDefText"/>
        </w:rPr>
        <w:t>authorised person</w:t>
      </w:r>
      <w:r>
        <w:t xml:space="preserve"> means a person appointed under section 9.10(1) by the local government to be an authorised person for the purposes of section 9.16;</w:t>
      </w:r>
    </w:p>
    <w:p>
      <w:pPr>
        <w:pStyle w:val="BlankClose"/>
      </w:pPr>
    </w:p>
    <w:p>
      <w:pPr>
        <w:pStyle w:val="nzHeading5"/>
      </w:pPr>
      <w:bookmarkStart w:id="1936" w:name="_Toc461799200"/>
      <w:bookmarkStart w:id="1937" w:name="_Toc462241264"/>
      <w:r>
        <w:rPr>
          <w:rStyle w:val="CharSectno"/>
        </w:rPr>
        <w:t>19</w:t>
      </w:r>
      <w:r>
        <w:t>.</w:t>
      </w:r>
      <w:r>
        <w:tab/>
        <w:t>Section 9.17 amended</w:t>
      </w:r>
      <w:bookmarkEnd w:id="1936"/>
      <w:bookmarkEnd w:id="1937"/>
    </w:p>
    <w:p>
      <w:pPr>
        <w:pStyle w:val="nzSubsection"/>
      </w:pPr>
      <w:r>
        <w:tab/>
      </w:r>
      <w:r>
        <w:tab/>
        <w:t>In section 9.17(1):</w:t>
      </w:r>
    </w:p>
    <w:p>
      <w:pPr>
        <w:pStyle w:val="nzIndenta"/>
      </w:pPr>
      <w:r>
        <w:tab/>
        <w:t>(a)</w:t>
      </w:r>
      <w:r>
        <w:tab/>
        <w:t>in paragraph (b) delete “an authorised person” and insert:</w:t>
      </w:r>
    </w:p>
    <w:p>
      <w:pPr>
        <w:pStyle w:val="BlankOpen"/>
      </w:pPr>
    </w:p>
    <w:p>
      <w:pPr>
        <w:pStyle w:val="nzIndenta"/>
      </w:pPr>
      <w:r>
        <w:tab/>
      </w:r>
      <w:r>
        <w:tab/>
        <w:t>the CEO of the local government</w:t>
      </w:r>
    </w:p>
    <w:p>
      <w:pPr>
        <w:pStyle w:val="BlankClose"/>
      </w:pPr>
    </w:p>
    <w:p>
      <w:pPr>
        <w:pStyle w:val="nzIndenta"/>
      </w:pPr>
      <w:r>
        <w:tab/>
        <w:t>(b)</w:t>
      </w:r>
      <w:r>
        <w:tab/>
        <w:t>delete paragraph (c) and insert:</w:t>
      </w:r>
    </w:p>
    <w:p>
      <w:pPr>
        <w:pStyle w:val="BlankOpen"/>
      </w:pPr>
    </w:p>
    <w:p>
      <w:pPr>
        <w:pStyle w:val="nzIndenta"/>
      </w:pPr>
      <w:r>
        <w:tab/>
        <w:t>(c)</w:t>
      </w:r>
      <w:r>
        <w:tab/>
        <w:t>inform the alleged offender how and where the money may be paid.</w:t>
      </w:r>
    </w:p>
    <w:p>
      <w:pPr>
        <w:pStyle w:val="BlankClose"/>
      </w:pPr>
    </w:p>
    <w:p>
      <w:pPr>
        <w:pStyle w:val="nzHeading5"/>
      </w:pPr>
      <w:bookmarkStart w:id="1938" w:name="_Toc461799201"/>
      <w:bookmarkStart w:id="1939" w:name="_Toc462241265"/>
      <w:r>
        <w:rPr>
          <w:rStyle w:val="CharSectno"/>
        </w:rPr>
        <w:t>20</w:t>
      </w:r>
      <w:r>
        <w:t>.</w:t>
      </w:r>
      <w:r>
        <w:tab/>
        <w:t>Section 9.19 amended</w:t>
      </w:r>
      <w:bookmarkEnd w:id="1938"/>
      <w:bookmarkEnd w:id="1939"/>
    </w:p>
    <w:p>
      <w:pPr>
        <w:pStyle w:val="nzSubsection"/>
      </w:pPr>
      <w:r>
        <w:tab/>
      </w:r>
      <w:r>
        <w:tab/>
        <w:t>In section 9.19 delete “An authorised person” and insert:</w:t>
      </w:r>
    </w:p>
    <w:p>
      <w:pPr>
        <w:pStyle w:val="BlankOpen"/>
      </w:pPr>
    </w:p>
    <w:p>
      <w:pPr>
        <w:pStyle w:val="nzSubsection"/>
      </w:pPr>
      <w:r>
        <w:tab/>
      </w:r>
      <w:r>
        <w:tab/>
        <w:t>The CEO of a local government</w:t>
      </w:r>
    </w:p>
    <w:p>
      <w:pPr>
        <w:pStyle w:val="BlankClose"/>
      </w:pPr>
    </w:p>
    <w:p>
      <w:pPr>
        <w:pStyle w:val="nzHeading5"/>
      </w:pPr>
      <w:bookmarkStart w:id="1940" w:name="_Toc461799202"/>
      <w:bookmarkStart w:id="1941" w:name="_Toc462241266"/>
      <w:r>
        <w:rPr>
          <w:rStyle w:val="CharSectno"/>
        </w:rPr>
        <w:t>21</w:t>
      </w:r>
      <w:r>
        <w:t>.</w:t>
      </w:r>
      <w:r>
        <w:tab/>
        <w:t>Section 9.20 amended</w:t>
      </w:r>
      <w:bookmarkEnd w:id="1940"/>
      <w:bookmarkEnd w:id="1941"/>
    </w:p>
    <w:p>
      <w:pPr>
        <w:pStyle w:val="nzSubsection"/>
      </w:pPr>
      <w:r>
        <w:tab/>
      </w:r>
      <w:r>
        <w:tab/>
        <w:t>In section 9.20(1) delete “an authorised person” and insert:</w:t>
      </w:r>
    </w:p>
    <w:p>
      <w:pPr>
        <w:pStyle w:val="BlankOpen"/>
      </w:pPr>
    </w:p>
    <w:p>
      <w:pPr>
        <w:pStyle w:val="nzSubsection"/>
      </w:pPr>
      <w:r>
        <w:tab/>
      </w:r>
      <w:r>
        <w:tab/>
        <w:t>the CEO of the local government</w:t>
      </w:r>
    </w:p>
    <w:p>
      <w:pPr>
        <w:pStyle w:val="BlankClose"/>
      </w:pPr>
    </w:p>
    <w:p>
      <w:pPr>
        <w:pStyle w:val="nzHeading5"/>
      </w:pPr>
      <w:bookmarkStart w:id="1942" w:name="_Toc461799203"/>
      <w:bookmarkStart w:id="1943" w:name="_Toc462241267"/>
      <w:r>
        <w:rPr>
          <w:rStyle w:val="CharSectno"/>
        </w:rPr>
        <w:t>22</w:t>
      </w:r>
      <w:r>
        <w:t>.</w:t>
      </w:r>
      <w:r>
        <w:tab/>
        <w:t>Section 9.23 deleted</w:t>
      </w:r>
      <w:bookmarkEnd w:id="1942"/>
      <w:bookmarkEnd w:id="1943"/>
    </w:p>
    <w:p>
      <w:pPr>
        <w:pStyle w:val="nzSubsection"/>
      </w:pPr>
      <w:r>
        <w:tab/>
      </w:r>
      <w:r>
        <w:tab/>
        <w:t>Delete section 9.23.</w:t>
      </w:r>
    </w:p>
    <w:p>
      <w:pPr>
        <w:pStyle w:val="nzHeading5"/>
      </w:pPr>
      <w:bookmarkStart w:id="1944" w:name="_Toc461799204"/>
      <w:bookmarkStart w:id="1945" w:name="_Toc462241268"/>
      <w:r>
        <w:rPr>
          <w:rStyle w:val="CharSectno"/>
        </w:rPr>
        <w:t>23</w:t>
      </w:r>
      <w:r>
        <w:t>.</w:t>
      </w:r>
      <w:r>
        <w:tab/>
        <w:t>Schedule 2.1 clause 11 amended</w:t>
      </w:r>
      <w:bookmarkEnd w:id="1944"/>
      <w:bookmarkEnd w:id="1945"/>
    </w:p>
    <w:p>
      <w:pPr>
        <w:pStyle w:val="nzSubsection"/>
      </w:pPr>
      <w:r>
        <w:tab/>
      </w:r>
      <w:r>
        <w:tab/>
        <w:t>After Schedule 2.1 clause 11(4) insert:</w:t>
      </w:r>
    </w:p>
    <w:p>
      <w:pPr>
        <w:pStyle w:val="BlankOpen"/>
      </w:pPr>
    </w:p>
    <w:p>
      <w:pPr>
        <w:pStyle w:val="nzSubsection"/>
      </w:pPr>
      <w:r>
        <w:tab/>
        <w:t>(5A)</w:t>
      </w:r>
      <w:r>
        <w:tab/>
        <w:t xml:space="preserve">The value of compensation required to be made under subclause (4)(a) to a person whose contract of employment with a local government is terminated or varied is not to exceed in total — </w:t>
      </w:r>
    </w:p>
    <w:p>
      <w:pPr>
        <w:pStyle w:val="nzIndenta"/>
      </w:pPr>
      <w:r>
        <w:tab/>
        <w:t>(a)</w:t>
      </w:r>
      <w:r>
        <w:tab/>
        <w:t xml:space="preserve">in the case of a person whose contract of employment is terminated — </w:t>
      </w:r>
    </w:p>
    <w:p>
      <w:pPr>
        <w:pStyle w:val="nzIndenti"/>
      </w:pPr>
      <w:r>
        <w:tab/>
        <w:t>(i)</w:t>
      </w:r>
      <w:r>
        <w:tab/>
        <w:t>if the person’s employment is governed by a written contract in accordance with section 5.39, the maximum amount of money to which the person is entitled, under that contract, if the contract is terminated before the expiry date; or</w:t>
      </w:r>
    </w:p>
    <w:p>
      <w:pPr>
        <w:pStyle w:val="nzIndenti"/>
      </w:pPr>
      <w:r>
        <w:tab/>
        <w:t>(ii)</w:t>
      </w:r>
      <w:r>
        <w:tab/>
        <w:t>in any other case, the value of the person’s final annual remuneration, as calculated in accordance with regulations made for the purposes of section 5.50(3);</w:t>
      </w:r>
    </w:p>
    <w:p>
      <w:pPr>
        <w:pStyle w:val="nzIndenta"/>
      </w:pPr>
      <w:r>
        <w:tab/>
      </w:r>
      <w:r>
        <w:tab/>
        <w:t>or</w:t>
      </w:r>
    </w:p>
    <w:p>
      <w:pPr>
        <w:pStyle w:val="nzIndenta"/>
      </w:pPr>
      <w:r>
        <w:tab/>
        <w:t>(b)</w:t>
      </w:r>
      <w:r>
        <w:tab/>
        <w:t xml:space="preserve">in the case of a person whose contract of employment is varied, the lesser of — </w:t>
      </w:r>
    </w:p>
    <w:p>
      <w:pPr>
        <w:pStyle w:val="nzIndenti"/>
      </w:pPr>
      <w:r>
        <w:tab/>
        <w:t>(i)</w:t>
      </w:r>
      <w:r>
        <w:tab/>
        <w:t>the amount that the person would have been entitled to if the person’s contract of employment had been terminated before the expiry date; or</w:t>
      </w:r>
    </w:p>
    <w:p>
      <w:pPr>
        <w:pStyle w:val="nzIndenti"/>
      </w:pPr>
      <w:r>
        <w:tab/>
        <w:t>(ii)</w:t>
      </w:r>
      <w:r>
        <w:tab/>
        <w:t>the value of the person’s annual remuneration for the year ending on the date of the variation, calculated in accordance with regulations made for the purposes of section 5.50(3) as if the person’s contract of employment had terminated on that date.</w:t>
      </w:r>
    </w:p>
    <w:p>
      <w:pPr>
        <w:pStyle w:val="nzSubsection"/>
      </w:pPr>
      <w:r>
        <w:tab/>
        <w:t>(5B)</w:t>
      </w:r>
      <w:r>
        <w:tab/>
        <w:t>For the purposes of subclause (5A), the total value of the compensation required to be made to a person includes all amounts to which the person is entitled under a contract of employment or award relating to the person as an employee of the local government.</w:t>
      </w:r>
    </w:p>
    <w:p>
      <w:pPr>
        <w:pStyle w:val="BlankClose"/>
      </w:pPr>
    </w:p>
    <w:p>
      <w:pPr>
        <w:pStyle w:val="nzHeading5"/>
      </w:pPr>
      <w:bookmarkStart w:id="1946" w:name="_Toc461799205"/>
      <w:bookmarkStart w:id="1947" w:name="_Toc462241269"/>
      <w:r>
        <w:rPr>
          <w:rStyle w:val="CharSectno"/>
        </w:rPr>
        <w:t>24</w:t>
      </w:r>
      <w:r>
        <w:t>.</w:t>
      </w:r>
      <w:r>
        <w:tab/>
        <w:t>Schedule 2.1 clause 12 inserted</w:t>
      </w:r>
      <w:bookmarkEnd w:id="1946"/>
      <w:bookmarkEnd w:id="1947"/>
    </w:p>
    <w:p>
      <w:pPr>
        <w:pStyle w:val="nzSubsection"/>
      </w:pPr>
      <w:r>
        <w:tab/>
      </w:r>
      <w:r>
        <w:tab/>
        <w:t>After Schedule 2.1 clause 11 insert:</w:t>
      </w:r>
    </w:p>
    <w:p>
      <w:pPr>
        <w:pStyle w:val="BlankOpen"/>
      </w:pPr>
    </w:p>
    <w:p>
      <w:pPr>
        <w:pStyle w:val="nzHeading5"/>
      </w:pPr>
      <w:bookmarkStart w:id="1948" w:name="_Toc461799206"/>
      <w:bookmarkStart w:id="1949" w:name="_Toc462241270"/>
      <w:r>
        <w:t>12.</w:t>
      </w:r>
      <w:r>
        <w:tab/>
        <w:t>Registration of documents</w:t>
      </w:r>
      <w:bookmarkEnd w:id="1948"/>
      <w:bookmarkEnd w:id="1949"/>
    </w:p>
    <w:p>
      <w:pPr>
        <w:pStyle w:val="nzSubsection"/>
      </w:pPr>
      <w:r>
        <w:tab/>
        <w:t>(1)</w:t>
      </w:r>
      <w:r>
        <w:tab/>
        <w:t xml:space="preserve">In this clause — </w:t>
      </w:r>
    </w:p>
    <w:p>
      <w:pPr>
        <w:pStyle w:val="nzDefstart"/>
      </w:pPr>
      <w:r>
        <w:tab/>
      </w:r>
      <w:r>
        <w:rPr>
          <w:rStyle w:val="CharDefText"/>
        </w:rPr>
        <w:t>relevant official</w:t>
      </w:r>
      <w:r>
        <w:t xml:space="preserve"> means — </w:t>
      </w:r>
    </w:p>
    <w:p>
      <w:pPr>
        <w:pStyle w:val="nzDefpara"/>
      </w:pPr>
      <w:r>
        <w:tab/>
        <w:t>(a)</w:t>
      </w:r>
      <w:r>
        <w:tab/>
        <w:t xml:space="preserve">the Registrar of Titles under the </w:t>
      </w:r>
      <w:r>
        <w:rPr>
          <w:i/>
        </w:rPr>
        <w:t>Transfer of Land Act 1893</w:t>
      </w:r>
      <w:r>
        <w:t>; or</w:t>
      </w:r>
    </w:p>
    <w:p>
      <w:pPr>
        <w:pStyle w:val="nzDefpara"/>
      </w:pPr>
      <w:r>
        <w:tab/>
        <w:t>(b)</w:t>
      </w:r>
      <w:r>
        <w:tab/>
        <w:t xml:space="preserve">the Registrar of Deeds and Transfers under the </w:t>
      </w:r>
      <w:r>
        <w:rPr>
          <w:i/>
        </w:rPr>
        <w:t>Registration of Deeds Act 1856</w:t>
      </w:r>
      <w:r>
        <w:t>; or</w:t>
      </w:r>
    </w:p>
    <w:p>
      <w:pPr>
        <w:pStyle w:val="nzDefpara"/>
      </w:pPr>
      <w:r>
        <w:tab/>
        <w:t>(c)</w:t>
      </w:r>
      <w:r>
        <w:tab/>
        <w:t xml:space="preserve">the Minister administering the </w:t>
      </w:r>
      <w:r>
        <w:rPr>
          <w:i/>
        </w:rPr>
        <w:t>Land Administration Act 1997</w:t>
      </w:r>
      <w:r>
        <w:t>; or</w:t>
      </w:r>
    </w:p>
    <w:p>
      <w:pPr>
        <w:pStyle w:val="nzDefpara"/>
      </w:pPr>
      <w:r>
        <w:tab/>
        <w:t>(d)</w:t>
      </w:r>
      <w:r>
        <w:tab/>
        <w:t>any other person authorised by a written law to record and give effect to the registration of documents relating to transactions affecting any estate or interest in land or any other property.</w:t>
      </w:r>
    </w:p>
    <w:p>
      <w:pPr>
        <w:pStyle w:val="nzSubsection"/>
      </w:pPr>
      <w:r>
        <w:tab/>
        <w:t>(2)</w:t>
      </w:r>
      <w:r>
        <w:tab/>
        <w:t xml:space="preserve">The relevant officials are — </w:t>
      </w:r>
    </w:p>
    <w:p>
      <w:pPr>
        <w:pStyle w:val="nzIndenta"/>
      </w:pPr>
      <w:r>
        <w:tab/>
        <w:t>(a)</w:t>
      </w:r>
      <w:r>
        <w:tab/>
        <w:t>to take notice of an order of the kind referred to in clause 11(3) relating to property, rights and liabilities; and</w:t>
      </w:r>
    </w:p>
    <w:p>
      <w:pPr>
        <w:pStyle w:val="nzIndenta"/>
      </w:pPr>
      <w:r>
        <w:tab/>
        <w:t>(b)</w:t>
      </w:r>
      <w:r>
        <w:tab/>
        <w:t>to record and register in the appropriate manner the documents necessary to show the effect of the order as it relates to those matters.</w:t>
      </w:r>
    </w:p>
    <w:p>
      <w:pPr>
        <w:pStyle w:val="BlankClose"/>
      </w:pPr>
    </w:p>
    <w:p>
      <w:pPr>
        <w:pStyle w:val="nzHeading5"/>
      </w:pPr>
      <w:bookmarkStart w:id="1950" w:name="_Toc461799207"/>
      <w:bookmarkStart w:id="1951" w:name="_Toc462241271"/>
      <w:r>
        <w:rPr>
          <w:rStyle w:val="CharSectno"/>
        </w:rPr>
        <w:t>25</w:t>
      </w:r>
      <w:r>
        <w:t>.</w:t>
      </w:r>
      <w:r>
        <w:tab/>
        <w:t>Schedule 9.3 Division 3 inserted</w:t>
      </w:r>
      <w:bookmarkEnd w:id="1950"/>
      <w:bookmarkEnd w:id="1951"/>
    </w:p>
    <w:p>
      <w:pPr>
        <w:pStyle w:val="nzSubsection"/>
      </w:pPr>
      <w:r>
        <w:tab/>
      </w:r>
      <w:r>
        <w:tab/>
        <w:t>At the end of Schedule 9.3 insert:</w:t>
      </w:r>
    </w:p>
    <w:p>
      <w:pPr>
        <w:pStyle w:val="BlankOpen"/>
      </w:pPr>
    </w:p>
    <w:p>
      <w:pPr>
        <w:pStyle w:val="nzHeading3"/>
      </w:pPr>
      <w:bookmarkStart w:id="1952" w:name="_Toc404165566"/>
      <w:bookmarkStart w:id="1953" w:name="_Toc404165719"/>
      <w:bookmarkStart w:id="1954" w:name="_Toc404165872"/>
      <w:bookmarkStart w:id="1955" w:name="_Toc404171371"/>
      <w:bookmarkStart w:id="1956" w:name="_Toc404172138"/>
      <w:bookmarkStart w:id="1957" w:name="_Toc404260302"/>
      <w:bookmarkStart w:id="1958" w:name="_Toc404260455"/>
      <w:bookmarkStart w:id="1959" w:name="_Toc404261272"/>
      <w:bookmarkStart w:id="1960" w:name="_Toc404317220"/>
      <w:bookmarkStart w:id="1961" w:name="_Toc451258309"/>
      <w:bookmarkStart w:id="1962" w:name="_Toc451258462"/>
      <w:bookmarkStart w:id="1963" w:name="_Toc451258615"/>
      <w:bookmarkStart w:id="1964" w:name="_Toc451259632"/>
      <w:bookmarkStart w:id="1965" w:name="_Toc451259968"/>
      <w:bookmarkStart w:id="1966" w:name="_Toc451260121"/>
      <w:bookmarkStart w:id="1967" w:name="_Toc451261413"/>
      <w:bookmarkStart w:id="1968" w:name="_Toc451331849"/>
      <w:bookmarkStart w:id="1969" w:name="_Toc461700759"/>
      <w:bookmarkStart w:id="1970" w:name="_Toc461700909"/>
      <w:bookmarkStart w:id="1971" w:name="_Toc461701059"/>
      <w:bookmarkStart w:id="1972" w:name="_Toc461786166"/>
      <w:bookmarkStart w:id="1973" w:name="_Toc461786441"/>
      <w:bookmarkStart w:id="1974" w:name="_Toc461786631"/>
      <w:bookmarkStart w:id="1975" w:name="_Toc461799208"/>
      <w:bookmarkStart w:id="1976" w:name="_Toc462241272"/>
      <w:r>
        <w:t>Division 3</w:t>
      </w:r>
      <w:r>
        <w:rPr>
          <w:b w:val="0"/>
        </w:rPr>
        <w:t> — </w:t>
      </w:r>
      <w:r>
        <w:t xml:space="preserve">Provisions for </w:t>
      </w:r>
      <w:r>
        <w:rPr>
          <w:i/>
        </w:rPr>
        <w:t>Local Government Legislation Amendment Act 2016</w:t>
      </w:r>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p>
    <w:p>
      <w:pPr>
        <w:pStyle w:val="nzHeading5"/>
      </w:pPr>
      <w:bookmarkStart w:id="1977" w:name="_Toc461799209"/>
      <w:bookmarkStart w:id="1978" w:name="_Toc462241273"/>
      <w:r>
        <w:t>45.</w:t>
      </w:r>
      <w:r>
        <w:tab/>
        <w:t>Term used: amending Act</w:t>
      </w:r>
      <w:bookmarkEnd w:id="1977"/>
      <w:bookmarkEnd w:id="1978"/>
    </w:p>
    <w:p>
      <w:pPr>
        <w:pStyle w:val="nzSubsection"/>
      </w:pPr>
      <w:r>
        <w:tab/>
      </w:r>
      <w:r>
        <w:tab/>
        <w:t xml:space="preserve">In this Division — </w:t>
      </w:r>
    </w:p>
    <w:p>
      <w:pPr>
        <w:pStyle w:val="nzDefstart"/>
      </w:pPr>
      <w:r>
        <w:tab/>
      </w:r>
      <w:r>
        <w:rPr>
          <w:rStyle w:val="CharDefText"/>
        </w:rPr>
        <w:t>amending Act</w:t>
      </w:r>
      <w:r>
        <w:t xml:space="preserve"> means the </w:t>
      </w:r>
      <w:r>
        <w:rPr>
          <w:i/>
        </w:rPr>
        <w:t>Local Government Legislation Amendment Act 2016</w:t>
      </w:r>
      <w:r>
        <w:t>.</w:t>
      </w:r>
    </w:p>
    <w:p>
      <w:pPr>
        <w:pStyle w:val="nzHeading5"/>
      </w:pPr>
      <w:bookmarkStart w:id="1979" w:name="_Toc461799210"/>
      <w:bookmarkStart w:id="1980" w:name="_Toc462241274"/>
      <w:r>
        <w:t>46.</w:t>
      </w:r>
      <w:r>
        <w:tab/>
        <w:t>Part 5 Division 9: complaints</w:t>
      </w:r>
      <w:bookmarkEnd w:id="1979"/>
      <w:bookmarkEnd w:id="1980"/>
    </w:p>
    <w:p>
      <w:pPr>
        <w:pStyle w:val="nzSubsection"/>
      </w:pPr>
      <w:r>
        <w:tab/>
      </w:r>
      <w:r>
        <w:tab/>
        <w:t>Sections 5.110A and 5.110 (as amended by the amending Act) apply to and in relation to a complaint whether made before or after the amending Act section 15 comes into operation.</w:t>
      </w:r>
    </w:p>
    <w:p>
      <w:pPr>
        <w:pStyle w:val="nzHeading5"/>
      </w:pPr>
      <w:bookmarkStart w:id="1981" w:name="_Toc461799211"/>
      <w:bookmarkStart w:id="1982" w:name="_Toc462241275"/>
      <w:r>
        <w:t>47.</w:t>
      </w:r>
      <w:r>
        <w:tab/>
        <w:t>Part 9 Division 2 Subdivision 2</w:t>
      </w:r>
      <w:bookmarkEnd w:id="1981"/>
      <w:bookmarkEnd w:id="1982"/>
    </w:p>
    <w:p>
      <w:pPr>
        <w:pStyle w:val="nzSubsection"/>
      </w:pPr>
      <w:r>
        <w:tab/>
        <w:t>(1)</w:t>
      </w:r>
      <w:r>
        <w:tab/>
        <w:t>An infringement notice given under section 9.16 before the amending Act section 19 comes into operation is not invalid, and is to be taken never to have been invalid, just because the notice provided that the amount of the modified penalty may be paid to an authorised person at a particular place and did not state who are authorised persons for the purposes of receiving payment of modified penalties.</w:t>
      </w:r>
    </w:p>
    <w:p>
      <w:pPr>
        <w:pStyle w:val="nzSubsection"/>
      </w:pPr>
      <w:r>
        <w:tab/>
        <w:t>(2)</w:t>
      </w:r>
      <w:r>
        <w:tab/>
        <w:t>Any extension of time for payment given under section 9.19 before the amending Act section 20 comes into operation is to be taken to have been given by the CEO of the relevant local government.</w:t>
      </w:r>
    </w:p>
    <w:p>
      <w:pPr>
        <w:pStyle w:val="nzSubsection"/>
      </w:pPr>
      <w:r>
        <w:tab/>
        <w:t>(3)</w:t>
      </w:r>
      <w:r>
        <w:tab/>
        <w:t>Any withdrawal of an infringement notice before the amending Act section 21 comes into operation is to be taken to have been done by the CEO of the relevant local government.</w:t>
      </w:r>
    </w:p>
    <w:p>
      <w:pPr>
        <w:pStyle w:val="nzHeading5"/>
      </w:pPr>
      <w:bookmarkStart w:id="1983" w:name="_Toc461799212"/>
      <w:bookmarkStart w:id="1984" w:name="_Toc462241276"/>
      <w:r>
        <w:t>48.</w:t>
      </w:r>
      <w:r>
        <w:tab/>
        <w:t>Schedule 2.1: transitional arrangements</w:t>
      </w:r>
      <w:bookmarkEnd w:id="1983"/>
      <w:bookmarkEnd w:id="1984"/>
    </w:p>
    <w:p>
      <w:pPr>
        <w:pStyle w:val="nzSubsection"/>
      </w:pPr>
      <w:r>
        <w:tab/>
      </w:r>
      <w:r>
        <w:tab/>
        <w:t>Schedule 2.1 clause 11(5A) and (5B) apply to and in relation to the termination or variation of a contract of employment whether entered into before or after the amending Act section 23 comes into operation.</w:t>
      </w:r>
    </w:p>
    <w:p>
      <w:pPr>
        <w:pStyle w:val="BlankClose"/>
        <w:rPr>
          <w:snapToGrid w:val="0"/>
        </w:rPr>
      </w:pPr>
    </w:p>
    <w:p>
      <w:pPr>
        <w:rPr>
          <w:snapToGrid w:val="0"/>
        </w:rPr>
      </w:pPr>
    </w:p>
    <w:p>
      <w:pPr>
        <w:rPr>
          <w:snapToGrid w:val="0"/>
        </w:rPr>
        <w:sectPr>
          <w:headerReference w:type="even" r:id="rId32"/>
          <w:headerReference w:type="default" r:id="rId33"/>
          <w:pgSz w:w="11907" w:h="16840" w:code="9"/>
          <w:pgMar w:top="2376" w:right="2404" w:bottom="3544" w:left="2404" w:header="720" w:footer="3380" w:gutter="0"/>
          <w:cols w:space="720"/>
          <w:noEndnote/>
          <w:docGrid w:linePitch="326"/>
        </w:sectPr>
      </w:pPr>
    </w:p>
    <w:p>
      <w:pPr>
        <w:pStyle w:val="nHeading2"/>
        <w:rPr>
          <w:sz w:val="28"/>
        </w:rPr>
      </w:pPr>
      <w:bookmarkStart w:id="1986" w:name="_Toc462409959"/>
      <w:r>
        <w:rPr>
          <w:sz w:val="28"/>
        </w:rPr>
        <w:t>Defined terms</w:t>
      </w:r>
      <w:bookmarkEnd w:id="198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rPr>
          <w:snapToGrid w:val="0"/>
        </w:rPr>
      </w:pPr>
      <w:r>
        <w:rPr>
          <w:snapToGrid w:val="0"/>
        </w:rPr>
        <w:t>75% majority</w:t>
      </w:r>
      <w:r>
        <w:rPr>
          <w:snapToGrid w:val="0"/>
        </w:rPr>
        <w:tab/>
        <w:t>1</w:t>
      </w:r>
    </w:p>
    <w:p>
      <w:pPr>
        <w:pStyle w:val="DefinedTerms"/>
        <w:rPr>
          <w:snapToGrid w:val="0"/>
        </w:rPr>
      </w:pPr>
      <w:r>
        <w:rPr>
          <w:snapToGrid w:val="0"/>
        </w:rPr>
        <w:t>abandoned vehicle wreck</w:t>
      </w:r>
      <w:r>
        <w:rPr>
          <w:snapToGrid w:val="0"/>
        </w:rPr>
        <w:tab/>
        <w:t>3(5)</w:t>
      </w:r>
    </w:p>
    <w:p>
      <w:pPr>
        <w:pStyle w:val="DefinedTerms"/>
        <w:rPr>
          <w:snapToGrid w:val="0"/>
        </w:rPr>
      </w:pPr>
      <w:r>
        <w:rPr>
          <w:snapToGrid w:val="0"/>
        </w:rPr>
        <w:t>absent vote</w:t>
      </w:r>
      <w:r>
        <w:rPr>
          <w:snapToGrid w:val="0"/>
        </w:rPr>
        <w:tab/>
        <w:t>4</w:t>
      </w:r>
    </w:p>
    <w:p>
      <w:pPr>
        <w:pStyle w:val="DefinedTerms"/>
        <w:rPr>
          <w:snapToGrid w:val="0"/>
        </w:rPr>
      </w:pPr>
      <w:r>
        <w:rPr>
          <w:snapToGrid w:val="0"/>
        </w:rPr>
        <w:t>absolute majority</w:t>
      </w:r>
      <w:r>
        <w:rPr>
          <w:snapToGrid w:val="0"/>
        </w:rPr>
        <w:tab/>
        <w:t>1</w:t>
      </w:r>
    </w:p>
    <w:p>
      <w:pPr>
        <w:pStyle w:val="DefinedTerms"/>
        <w:rPr>
          <w:snapToGrid w:val="0"/>
        </w:rPr>
      </w:pPr>
      <w:r>
        <w:rPr>
          <w:snapToGrid w:val="0"/>
        </w:rPr>
        <w:t>Absolute majority required</w:t>
      </w:r>
      <w:r>
        <w:rPr>
          <w:snapToGrid w:val="0"/>
        </w:rPr>
        <w:tab/>
        <w:t>1</w:t>
      </w:r>
    </w:p>
    <w:p>
      <w:pPr>
        <w:pStyle w:val="DefinedTerms"/>
        <w:rPr>
          <w:snapToGrid w:val="0"/>
        </w:rPr>
      </w:pPr>
      <w:r>
        <w:rPr>
          <w:snapToGrid w:val="0"/>
        </w:rPr>
        <w:t>acquire</w:t>
      </w:r>
      <w:r>
        <w:rPr>
          <w:snapToGrid w:val="0"/>
        </w:rPr>
        <w:tab/>
        <w:t>3(1)</w:t>
      </w:r>
    </w:p>
    <w:p>
      <w:pPr>
        <w:pStyle w:val="DefinedTerms"/>
        <w:rPr>
          <w:snapToGrid w:val="0"/>
        </w:rPr>
      </w:pPr>
      <w:r>
        <w:rPr>
          <w:snapToGrid w:val="0"/>
        </w:rPr>
        <w:t>additional purpose</w:t>
      </w:r>
      <w:r>
        <w:rPr>
          <w:snapToGrid w:val="0"/>
        </w:rPr>
        <w:tab/>
        <w:t>6(1a)</w:t>
      </w:r>
    </w:p>
    <w:p>
      <w:pPr>
        <w:pStyle w:val="DefinedTerms"/>
        <w:rPr>
          <w:snapToGrid w:val="0"/>
        </w:rPr>
      </w:pPr>
      <w:r>
        <w:rPr>
          <w:snapToGrid w:val="0"/>
        </w:rPr>
        <w:t>address</w:t>
      </w:r>
      <w:r>
        <w:rPr>
          <w:snapToGrid w:val="0"/>
        </w:rPr>
        <w:tab/>
        <w:t>5(1)</w:t>
      </w:r>
    </w:p>
    <w:p>
      <w:pPr>
        <w:pStyle w:val="DefinedTerms"/>
        <w:rPr>
          <w:snapToGrid w:val="0"/>
        </w:rPr>
      </w:pPr>
      <w:r>
        <w:rPr>
          <w:snapToGrid w:val="0"/>
        </w:rPr>
        <w:t>Advisory Board</w:t>
      </w:r>
      <w:r>
        <w:rPr>
          <w:snapToGrid w:val="0"/>
        </w:rPr>
        <w:tab/>
        <w:t>1</w:t>
      </w:r>
    </w:p>
    <w:p>
      <w:pPr>
        <w:pStyle w:val="DefinedTerms"/>
        <w:rPr>
          <w:snapToGrid w:val="0"/>
        </w:rPr>
      </w:pPr>
      <w:r>
        <w:rPr>
          <w:snapToGrid w:val="0"/>
        </w:rPr>
        <w:t>affected electors</w:t>
      </w:r>
      <w:r>
        <w:rPr>
          <w:snapToGrid w:val="0"/>
        </w:rPr>
        <w:tab/>
        <w:t>Sch. 2.1 cl. 1, Sch. 2.2 cl. 1</w:t>
      </w:r>
    </w:p>
    <w:p>
      <w:pPr>
        <w:pStyle w:val="DefinedTerms"/>
        <w:rPr>
          <w:snapToGrid w:val="0"/>
        </w:rPr>
      </w:pPr>
      <w:r>
        <w:rPr>
          <w:snapToGrid w:val="0"/>
        </w:rPr>
        <w:t>affected local government</w:t>
      </w:r>
      <w:r>
        <w:rPr>
          <w:snapToGrid w:val="0"/>
        </w:rPr>
        <w:tab/>
        <w:t>Sch. 2.1 cl. 1</w:t>
      </w:r>
    </w:p>
    <w:p>
      <w:pPr>
        <w:pStyle w:val="DefinedTerms"/>
        <w:rPr>
          <w:snapToGrid w:val="0"/>
        </w:rPr>
      </w:pPr>
      <w:r>
        <w:rPr>
          <w:snapToGrid w:val="0"/>
        </w:rPr>
        <w:t>affected person</w:t>
      </w:r>
      <w:r>
        <w:rPr>
          <w:snapToGrid w:val="0"/>
        </w:rPr>
        <w:tab/>
        <w:t>9</w:t>
      </w:r>
    </w:p>
    <w:p>
      <w:pPr>
        <w:pStyle w:val="DefinedTerms"/>
        <w:rPr>
          <w:snapToGrid w:val="0"/>
        </w:rPr>
      </w:pPr>
      <w:r>
        <w:rPr>
          <w:snapToGrid w:val="0"/>
        </w:rPr>
        <w:t>alleged offender</w:t>
      </w:r>
      <w:r>
        <w:rPr>
          <w:snapToGrid w:val="0"/>
        </w:rPr>
        <w:tab/>
        <w:t>3</w:t>
      </w:r>
    </w:p>
    <w:p>
      <w:pPr>
        <w:pStyle w:val="DefinedTerms"/>
        <w:rPr>
          <w:snapToGrid w:val="0"/>
        </w:rPr>
      </w:pPr>
      <w:r>
        <w:rPr>
          <w:snapToGrid w:val="0"/>
        </w:rPr>
        <w:t>amending Act</w:t>
      </w:r>
      <w:r>
        <w:rPr>
          <w:snapToGrid w:val="0"/>
        </w:rPr>
        <w:tab/>
        <w:t>Sch. 9.3 cl. 14A(1), Sch. 9.3 cl. 42</w:t>
      </w:r>
    </w:p>
    <w:p>
      <w:pPr>
        <w:pStyle w:val="DefinedTerms"/>
        <w:rPr>
          <w:snapToGrid w:val="0"/>
        </w:rPr>
      </w:pPr>
      <w:r>
        <w:rPr>
          <w:snapToGrid w:val="0"/>
        </w:rPr>
        <w:t>amending provision</w:t>
      </w:r>
      <w:r>
        <w:rPr>
          <w:snapToGrid w:val="0"/>
        </w:rPr>
        <w:tab/>
        <w:t>Sch. 9.3 cl. 44</w:t>
      </w:r>
    </w:p>
    <w:p>
      <w:pPr>
        <w:pStyle w:val="DefinedTerms"/>
        <w:rPr>
          <w:snapToGrid w:val="0"/>
        </w:rPr>
      </w:pPr>
      <w:r>
        <w:rPr>
          <w:snapToGrid w:val="0"/>
        </w:rPr>
        <w:t>amount misapplied</w:t>
      </w:r>
      <w:r>
        <w:rPr>
          <w:snapToGrid w:val="0"/>
        </w:rPr>
        <w:tab/>
        <w:t>8(3)</w:t>
      </w:r>
    </w:p>
    <w:p>
      <w:pPr>
        <w:pStyle w:val="DefinedTerms"/>
        <w:rPr>
          <w:snapToGrid w:val="0"/>
        </w:rPr>
      </w:pPr>
      <w:r>
        <w:rPr>
          <w:snapToGrid w:val="0"/>
        </w:rPr>
        <w:t>an authorised person</w:t>
      </w:r>
      <w:r>
        <w:rPr>
          <w:snapToGrid w:val="0"/>
        </w:rPr>
        <w:tab/>
        <w:t>8(6), 8(6)</w:t>
      </w:r>
    </w:p>
    <w:p>
      <w:pPr>
        <w:pStyle w:val="DefinedTerms"/>
        <w:rPr>
          <w:snapToGrid w:val="0"/>
        </w:rPr>
      </w:pPr>
      <w:r>
        <w:rPr>
          <w:snapToGrid w:val="0"/>
        </w:rPr>
        <w:t>annual budget</w:t>
      </w:r>
      <w:r>
        <w:rPr>
          <w:snapToGrid w:val="0"/>
        </w:rPr>
        <w:tab/>
        <w:t>6</w:t>
      </w:r>
    </w:p>
    <w:p>
      <w:pPr>
        <w:pStyle w:val="DefinedTerms"/>
        <w:rPr>
          <w:snapToGrid w:val="0"/>
        </w:rPr>
      </w:pPr>
      <w:r>
        <w:rPr>
          <w:snapToGrid w:val="0"/>
        </w:rPr>
        <w:t>annual return</w:t>
      </w:r>
      <w:r>
        <w:rPr>
          <w:snapToGrid w:val="0"/>
        </w:rPr>
        <w:tab/>
        <w:t>5(1)</w:t>
      </w:r>
    </w:p>
    <w:p>
      <w:pPr>
        <w:pStyle w:val="DefinedTerms"/>
        <w:rPr>
          <w:snapToGrid w:val="0"/>
        </w:rPr>
      </w:pPr>
      <w:r>
        <w:rPr>
          <w:snapToGrid w:val="0"/>
        </w:rPr>
        <w:t>approved auditor</w:t>
      </w:r>
      <w:r>
        <w:rPr>
          <w:snapToGrid w:val="0"/>
        </w:rPr>
        <w:tab/>
        <w:t>7</w:t>
      </w:r>
    </w:p>
    <w:p>
      <w:pPr>
        <w:pStyle w:val="DefinedTerms"/>
        <w:rPr>
          <w:snapToGrid w:val="0"/>
        </w:rPr>
      </w:pPr>
      <w:r>
        <w:rPr>
          <w:snapToGrid w:val="0"/>
        </w:rPr>
        <w:t>arrangement</w:t>
      </w:r>
      <w:r>
        <w:rPr>
          <w:snapToGrid w:val="0"/>
        </w:rPr>
        <w:tab/>
        <w:t>5(1)</w:t>
      </w:r>
    </w:p>
    <w:p>
      <w:pPr>
        <w:pStyle w:val="DefinedTerms"/>
        <w:rPr>
          <w:snapToGrid w:val="0"/>
        </w:rPr>
      </w:pPr>
      <w:r>
        <w:rPr>
          <w:snapToGrid w:val="0"/>
        </w:rPr>
        <w:t>audit committee</w:t>
      </w:r>
      <w:r>
        <w:rPr>
          <w:snapToGrid w:val="0"/>
        </w:rPr>
        <w:tab/>
        <w:t>7</w:t>
      </w:r>
    </w:p>
    <w:p>
      <w:pPr>
        <w:pStyle w:val="DefinedTerms"/>
        <w:rPr>
          <w:snapToGrid w:val="0"/>
        </w:rPr>
      </w:pPr>
      <w:r>
        <w:rPr>
          <w:snapToGrid w:val="0"/>
        </w:rPr>
        <w:t>auditor</w:t>
      </w:r>
      <w:r>
        <w:rPr>
          <w:snapToGrid w:val="0"/>
        </w:rPr>
        <w:tab/>
        <w:t>1</w:t>
      </w:r>
    </w:p>
    <w:p>
      <w:pPr>
        <w:pStyle w:val="DefinedTerms"/>
        <w:rPr>
          <w:snapToGrid w:val="0"/>
        </w:rPr>
      </w:pPr>
      <w:r>
        <w:rPr>
          <w:snapToGrid w:val="0"/>
        </w:rPr>
        <w:t>authorisation</w:t>
      </w:r>
      <w:r>
        <w:rPr>
          <w:snapToGrid w:val="0"/>
        </w:rPr>
        <w:tab/>
        <w:t>9</w:t>
      </w:r>
    </w:p>
    <w:p>
      <w:pPr>
        <w:pStyle w:val="DefinedTerms"/>
        <w:rPr>
          <w:snapToGrid w:val="0"/>
        </w:rPr>
      </w:pPr>
      <w:r>
        <w:rPr>
          <w:snapToGrid w:val="0"/>
        </w:rPr>
        <w:t>authorised employee</w:t>
      </w:r>
      <w:r>
        <w:rPr>
          <w:snapToGrid w:val="0"/>
        </w:rPr>
        <w:tab/>
        <w:t>9</w:t>
      </w:r>
    </w:p>
    <w:p>
      <w:pPr>
        <w:pStyle w:val="DefinedTerms"/>
        <w:rPr>
          <w:snapToGrid w:val="0"/>
        </w:rPr>
      </w:pPr>
      <w:r>
        <w:rPr>
          <w:snapToGrid w:val="0"/>
        </w:rPr>
        <w:t>authorised land officer</w:t>
      </w:r>
      <w:r>
        <w:rPr>
          <w:snapToGrid w:val="0"/>
        </w:rPr>
        <w:tab/>
        <w:t>9(1)</w:t>
      </w:r>
    </w:p>
    <w:p>
      <w:pPr>
        <w:pStyle w:val="DefinedTerms"/>
        <w:rPr>
          <w:snapToGrid w:val="0"/>
        </w:rPr>
      </w:pPr>
      <w:r>
        <w:rPr>
          <w:snapToGrid w:val="0"/>
        </w:rPr>
        <w:t>authorised person</w:t>
      </w:r>
      <w:r>
        <w:rPr>
          <w:snapToGrid w:val="0"/>
        </w:rPr>
        <w:tab/>
        <w:t>8, 8(3), 9(1), 9</w:t>
      </w:r>
    </w:p>
    <w:p>
      <w:pPr>
        <w:pStyle w:val="DefinedTerms"/>
        <w:rPr>
          <w:snapToGrid w:val="0"/>
        </w:rPr>
      </w:pPr>
      <w:r>
        <w:rPr>
          <w:snapToGrid w:val="0"/>
        </w:rPr>
        <w:t>Authority</w:t>
      </w:r>
      <w:r>
        <w:rPr>
          <w:snapToGrid w:val="0"/>
        </w:rPr>
        <w:tab/>
        <w:t>9(1)</w:t>
      </w:r>
    </w:p>
    <w:p>
      <w:pPr>
        <w:pStyle w:val="DefinedTerms"/>
        <w:rPr>
          <w:snapToGrid w:val="0"/>
        </w:rPr>
      </w:pPr>
      <w:r>
        <w:rPr>
          <w:snapToGrid w:val="0"/>
        </w:rPr>
        <w:t>breach</w:t>
      </w:r>
      <w:r>
        <w:rPr>
          <w:snapToGrid w:val="0"/>
        </w:rPr>
        <w:tab/>
        <w:t>5</w:t>
      </w:r>
    </w:p>
    <w:p>
      <w:pPr>
        <w:pStyle w:val="DefinedTerms"/>
        <w:rPr>
          <w:snapToGrid w:val="0"/>
        </w:rPr>
      </w:pPr>
      <w:r>
        <w:rPr>
          <w:snapToGrid w:val="0"/>
        </w:rPr>
        <w:t>budget deficiency</w:t>
      </w:r>
      <w:r>
        <w:rPr>
          <w:snapToGrid w:val="0"/>
        </w:rPr>
        <w:tab/>
        <w:t>6</w:t>
      </w:r>
    </w:p>
    <w:p>
      <w:pPr>
        <w:pStyle w:val="DefinedTerms"/>
        <w:rPr>
          <w:snapToGrid w:val="0"/>
        </w:rPr>
      </w:pPr>
      <w:r>
        <w:rPr>
          <w:snapToGrid w:val="0"/>
        </w:rPr>
        <w:t>campaign period</w:t>
      </w:r>
      <w:r>
        <w:rPr>
          <w:snapToGrid w:val="0"/>
        </w:rPr>
        <w:tab/>
        <w:t>5(3)</w:t>
      </w:r>
    </w:p>
    <w:p>
      <w:pPr>
        <w:pStyle w:val="DefinedTerms"/>
        <w:rPr>
          <w:snapToGrid w:val="0"/>
        </w:rPr>
      </w:pPr>
      <w:r>
        <w:rPr>
          <w:snapToGrid w:val="0"/>
        </w:rPr>
        <w:t>candidate A</w:t>
      </w:r>
      <w:r>
        <w:rPr>
          <w:snapToGrid w:val="0"/>
        </w:rPr>
        <w:tab/>
        <w:t>4(4), Sch. 2.3 cl. 12(4)</w:t>
      </w:r>
    </w:p>
    <w:p>
      <w:pPr>
        <w:pStyle w:val="DefinedTerms"/>
        <w:rPr>
          <w:snapToGrid w:val="0"/>
        </w:rPr>
      </w:pPr>
      <w:r>
        <w:rPr>
          <w:snapToGrid w:val="0"/>
        </w:rPr>
        <w:t>candidate B</w:t>
      </w:r>
      <w:r>
        <w:rPr>
          <w:snapToGrid w:val="0"/>
        </w:rPr>
        <w:tab/>
        <w:t>Sch. 2.3 cl. 12(4)</w:t>
      </w:r>
    </w:p>
    <w:p>
      <w:pPr>
        <w:pStyle w:val="DefinedTerms"/>
        <w:rPr>
          <w:snapToGrid w:val="0"/>
        </w:rPr>
      </w:pPr>
      <w:r>
        <w:rPr>
          <w:snapToGrid w:val="0"/>
        </w:rPr>
        <w:t>candidate B</w:t>
      </w:r>
      <w:r>
        <w:rPr>
          <w:snapToGrid w:val="0"/>
        </w:rPr>
        <w:tab/>
        <w:t>4(4)</w:t>
      </w:r>
    </w:p>
    <w:p>
      <w:pPr>
        <w:pStyle w:val="DefinedTerms"/>
        <w:rPr>
          <w:snapToGrid w:val="0"/>
        </w:rPr>
      </w:pPr>
      <w:r>
        <w:rPr>
          <w:snapToGrid w:val="0"/>
        </w:rPr>
        <w:t>CEO</w:t>
      </w:r>
      <w:r>
        <w:rPr>
          <w:snapToGrid w:val="0"/>
        </w:rPr>
        <w:tab/>
        <w:t>1</w:t>
      </w:r>
    </w:p>
    <w:p>
      <w:pPr>
        <w:pStyle w:val="DefinedTerms"/>
        <w:rPr>
          <w:snapToGrid w:val="0"/>
        </w:rPr>
      </w:pPr>
      <w:r>
        <w:rPr>
          <w:snapToGrid w:val="0"/>
        </w:rPr>
        <w:t>certified copy</w:t>
      </w:r>
      <w:r>
        <w:rPr>
          <w:snapToGrid w:val="0"/>
        </w:rPr>
        <w:tab/>
        <w:t>9</w:t>
      </w:r>
    </w:p>
    <w:p>
      <w:pPr>
        <w:pStyle w:val="DefinedTerms"/>
        <w:rPr>
          <w:snapToGrid w:val="0"/>
        </w:rPr>
      </w:pPr>
      <w:r>
        <w:rPr>
          <w:snapToGrid w:val="0"/>
        </w:rPr>
        <w:t>close of enrolments</w:t>
      </w:r>
      <w:r>
        <w:rPr>
          <w:snapToGrid w:val="0"/>
        </w:rPr>
        <w:tab/>
        <w:t>4(1)</w:t>
      </w:r>
    </w:p>
    <w:p>
      <w:pPr>
        <w:pStyle w:val="DefinedTerms"/>
        <w:rPr>
          <w:snapToGrid w:val="0"/>
        </w:rPr>
      </w:pPr>
      <w:r>
        <w:rPr>
          <w:snapToGrid w:val="0"/>
        </w:rPr>
        <w:t>close of nominations</w:t>
      </w:r>
      <w:r>
        <w:rPr>
          <w:snapToGrid w:val="0"/>
        </w:rPr>
        <w:tab/>
        <w:t>4</w:t>
      </w:r>
    </w:p>
    <w:p>
      <w:pPr>
        <w:pStyle w:val="DefinedTerms"/>
        <w:rPr>
          <w:snapToGrid w:val="0"/>
        </w:rPr>
      </w:pPr>
      <w:r>
        <w:rPr>
          <w:snapToGrid w:val="0"/>
        </w:rPr>
        <w:t>commencement day</w:t>
      </w:r>
      <w:r>
        <w:rPr>
          <w:snapToGrid w:val="0"/>
        </w:rPr>
        <w:tab/>
        <w:t>Sch. 9.3 cl. 1</w:t>
      </w:r>
    </w:p>
    <w:p>
      <w:pPr>
        <w:pStyle w:val="DefinedTerms"/>
        <w:rPr>
          <w:snapToGrid w:val="0"/>
        </w:rPr>
      </w:pPr>
      <w:r>
        <w:rPr>
          <w:snapToGrid w:val="0"/>
        </w:rPr>
        <w:t>commissioner</w:t>
      </w:r>
      <w:r>
        <w:rPr>
          <w:snapToGrid w:val="0"/>
        </w:rPr>
        <w:tab/>
        <w:t>1</w:t>
      </w:r>
    </w:p>
    <w:p>
      <w:pPr>
        <w:pStyle w:val="DefinedTerms"/>
        <w:rPr>
          <w:snapToGrid w:val="0"/>
        </w:rPr>
      </w:pPr>
      <w:r>
        <w:rPr>
          <w:snapToGrid w:val="0"/>
        </w:rPr>
        <w:t>committee</w:t>
      </w:r>
      <w:r>
        <w:rPr>
          <w:snapToGrid w:val="0"/>
        </w:rPr>
        <w:tab/>
        <w:t>5</w:t>
      </w:r>
    </w:p>
    <w:p>
      <w:pPr>
        <w:pStyle w:val="DefinedTerms"/>
        <w:rPr>
          <w:snapToGrid w:val="0"/>
        </w:rPr>
      </w:pPr>
      <w:r>
        <w:rPr>
          <w:snapToGrid w:val="0"/>
        </w:rPr>
        <w:t>committee meeting</w:t>
      </w:r>
      <w:r>
        <w:rPr>
          <w:snapToGrid w:val="0"/>
        </w:rPr>
        <w:tab/>
        <w:t>5(7)</w:t>
      </w:r>
    </w:p>
    <w:p>
      <w:pPr>
        <w:pStyle w:val="DefinedTerms"/>
        <w:rPr>
          <w:snapToGrid w:val="0"/>
        </w:rPr>
      </w:pPr>
      <w:r>
        <w:rPr>
          <w:snapToGrid w:val="0"/>
        </w:rPr>
        <w:t>complaints officer</w:t>
      </w:r>
      <w:r>
        <w:rPr>
          <w:snapToGrid w:val="0"/>
        </w:rPr>
        <w:tab/>
        <w:t>5</w:t>
      </w:r>
    </w:p>
    <w:p>
      <w:pPr>
        <w:pStyle w:val="DefinedTerms"/>
        <w:rPr>
          <w:snapToGrid w:val="0"/>
        </w:rPr>
      </w:pPr>
      <w:r>
        <w:rPr>
          <w:snapToGrid w:val="0"/>
        </w:rPr>
        <w:t>conditions</w:t>
      </w:r>
      <w:r>
        <w:rPr>
          <w:snapToGrid w:val="0"/>
        </w:rPr>
        <w:tab/>
        <w:t>5(5)</w:t>
      </w:r>
    </w:p>
    <w:p>
      <w:pPr>
        <w:pStyle w:val="DefinedTerms"/>
        <w:rPr>
          <w:snapToGrid w:val="0"/>
        </w:rPr>
      </w:pPr>
      <w:r>
        <w:rPr>
          <w:snapToGrid w:val="0"/>
        </w:rPr>
        <w:t>continuing authority</w:t>
      </w:r>
      <w:r>
        <w:rPr>
          <w:snapToGrid w:val="0"/>
        </w:rPr>
        <w:tab/>
        <w:t>Sch. 9.3 cl. 1</w:t>
      </w:r>
    </w:p>
    <w:p>
      <w:pPr>
        <w:pStyle w:val="DefinedTerms"/>
        <w:rPr>
          <w:snapToGrid w:val="0"/>
        </w:rPr>
      </w:pPr>
      <w:r>
        <w:rPr>
          <w:snapToGrid w:val="0"/>
        </w:rPr>
        <w:t>contravention that can lead to impounding</w:t>
      </w:r>
      <w:r>
        <w:rPr>
          <w:snapToGrid w:val="0"/>
        </w:rPr>
        <w:tab/>
        <w:t>3</w:t>
      </w:r>
    </w:p>
    <w:p>
      <w:pPr>
        <w:pStyle w:val="DefinedTerms"/>
        <w:rPr>
          <w:snapToGrid w:val="0"/>
        </w:rPr>
      </w:pPr>
      <w:r>
        <w:rPr>
          <w:snapToGrid w:val="0"/>
        </w:rPr>
        <w:t>corporation</w:t>
      </w:r>
      <w:r>
        <w:rPr>
          <w:snapToGrid w:val="0"/>
        </w:rPr>
        <w:tab/>
        <w:t>5(1)</w:t>
      </w:r>
    </w:p>
    <w:p>
      <w:pPr>
        <w:pStyle w:val="DefinedTerms"/>
        <w:rPr>
          <w:snapToGrid w:val="0"/>
        </w:rPr>
      </w:pPr>
      <w:r>
        <w:rPr>
          <w:snapToGrid w:val="0"/>
        </w:rPr>
        <w:t>council</w:t>
      </w:r>
      <w:r>
        <w:rPr>
          <w:snapToGrid w:val="0"/>
        </w:rPr>
        <w:tab/>
        <w:t>1</w:t>
      </w:r>
    </w:p>
    <w:p>
      <w:pPr>
        <w:pStyle w:val="DefinedTerms"/>
        <w:rPr>
          <w:snapToGrid w:val="0"/>
        </w:rPr>
      </w:pPr>
      <w:r>
        <w:rPr>
          <w:snapToGrid w:val="0"/>
        </w:rPr>
        <w:t>councillor</w:t>
      </w:r>
      <w:r>
        <w:rPr>
          <w:snapToGrid w:val="0"/>
        </w:rPr>
        <w:tab/>
        <w:t>1</w:t>
      </w:r>
    </w:p>
    <w:p>
      <w:pPr>
        <w:pStyle w:val="DefinedTerms"/>
        <w:rPr>
          <w:snapToGrid w:val="0"/>
        </w:rPr>
      </w:pPr>
      <w:r>
        <w:rPr>
          <w:snapToGrid w:val="0"/>
        </w:rPr>
        <w:t>councillor mayor or president</w:t>
      </w:r>
      <w:r>
        <w:rPr>
          <w:snapToGrid w:val="0"/>
        </w:rPr>
        <w:tab/>
        <w:t>1</w:t>
      </w:r>
    </w:p>
    <w:p>
      <w:pPr>
        <w:pStyle w:val="DefinedTerms"/>
        <w:rPr>
          <w:snapToGrid w:val="0"/>
        </w:rPr>
      </w:pPr>
      <w:r>
        <w:rPr>
          <w:snapToGrid w:val="0"/>
        </w:rPr>
        <w:t>court</w:t>
      </w:r>
      <w:r>
        <w:rPr>
          <w:snapToGrid w:val="0"/>
        </w:rPr>
        <w:tab/>
        <w:t>3(5)</w:t>
      </w:r>
    </w:p>
    <w:p>
      <w:pPr>
        <w:pStyle w:val="DefinedTerms"/>
        <w:rPr>
          <w:snapToGrid w:val="0"/>
        </w:rPr>
      </w:pPr>
      <w:r>
        <w:rPr>
          <w:snapToGrid w:val="0"/>
        </w:rPr>
        <w:t>Crown lands</w:t>
      </w:r>
      <w:r>
        <w:rPr>
          <w:snapToGrid w:val="0"/>
        </w:rPr>
        <w:tab/>
        <w:t>1</w:t>
      </w:r>
    </w:p>
    <w:p>
      <w:pPr>
        <w:pStyle w:val="DefinedTerms"/>
        <w:rPr>
          <w:snapToGrid w:val="0"/>
        </w:rPr>
      </w:pPr>
      <w:r>
        <w:rPr>
          <w:snapToGrid w:val="0"/>
        </w:rPr>
        <w:t>Crown lease</w:t>
      </w:r>
      <w:r>
        <w:rPr>
          <w:snapToGrid w:val="0"/>
        </w:rPr>
        <w:tab/>
        <w:t>1</w:t>
      </w:r>
    </w:p>
    <w:p>
      <w:pPr>
        <w:pStyle w:val="DefinedTerms"/>
        <w:rPr>
          <w:snapToGrid w:val="0"/>
        </w:rPr>
      </w:pPr>
      <w:r>
        <w:rPr>
          <w:snapToGrid w:val="0"/>
        </w:rPr>
        <w:t>Crown lessee</w:t>
      </w:r>
      <w:r>
        <w:rPr>
          <w:snapToGrid w:val="0"/>
        </w:rPr>
        <w:tab/>
        <w:t>1</w:t>
      </w:r>
    </w:p>
    <w:p>
      <w:pPr>
        <w:pStyle w:val="DefinedTerms"/>
        <w:rPr>
          <w:snapToGrid w:val="0"/>
        </w:rPr>
      </w:pPr>
      <w:r>
        <w:rPr>
          <w:snapToGrid w:val="0"/>
        </w:rPr>
        <w:t>debt</w:t>
      </w:r>
      <w:r>
        <w:rPr>
          <w:snapToGrid w:val="0"/>
        </w:rPr>
        <w:tab/>
        <w:t>5(3)</w:t>
      </w:r>
    </w:p>
    <w:p>
      <w:pPr>
        <w:pStyle w:val="DefinedTerms"/>
        <w:rPr>
          <w:snapToGrid w:val="0"/>
        </w:rPr>
      </w:pPr>
      <w:r>
        <w:rPr>
          <w:snapToGrid w:val="0"/>
        </w:rPr>
        <w:t>deceptive material</w:t>
      </w:r>
      <w:r>
        <w:rPr>
          <w:snapToGrid w:val="0"/>
        </w:rPr>
        <w:tab/>
        <w:t>4(4)</w:t>
      </w:r>
    </w:p>
    <w:p>
      <w:pPr>
        <w:pStyle w:val="DefinedTerms"/>
        <w:rPr>
          <w:snapToGrid w:val="0"/>
        </w:rPr>
      </w:pPr>
      <w:r>
        <w:rPr>
          <w:snapToGrid w:val="0"/>
        </w:rPr>
        <w:t>decision</w:t>
      </w:r>
      <w:r>
        <w:rPr>
          <w:snapToGrid w:val="0"/>
        </w:rPr>
        <w:tab/>
        <w:t>5(2), 9</w:t>
      </w:r>
    </w:p>
    <w:p>
      <w:pPr>
        <w:pStyle w:val="DefinedTerms"/>
        <w:rPr>
          <w:snapToGrid w:val="0"/>
        </w:rPr>
      </w:pPr>
      <w:r>
        <w:rPr>
          <w:snapToGrid w:val="0"/>
        </w:rPr>
        <w:t>Department</w:t>
      </w:r>
      <w:r>
        <w:rPr>
          <w:snapToGrid w:val="0"/>
        </w:rPr>
        <w:tab/>
        <w:t>1</w:t>
      </w:r>
    </w:p>
    <w:p>
      <w:pPr>
        <w:pStyle w:val="DefinedTerms"/>
        <w:rPr>
          <w:snapToGrid w:val="0"/>
        </w:rPr>
      </w:pPr>
      <w:r>
        <w:rPr>
          <w:snapToGrid w:val="0"/>
        </w:rPr>
        <w:t>Departmental CEO</w:t>
      </w:r>
      <w:r>
        <w:rPr>
          <w:snapToGrid w:val="0"/>
        </w:rPr>
        <w:tab/>
        <w:t>1</w:t>
      </w:r>
    </w:p>
    <w:p>
      <w:pPr>
        <w:pStyle w:val="DefinedTerms"/>
        <w:rPr>
          <w:snapToGrid w:val="0"/>
        </w:rPr>
      </w:pPr>
      <w:r>
        <w:rPr>
          <w:snapToGrid w:val="0"/>
        </w:rPr>
        <w:t>designated employee</w:t>
      </w:r>
      <w:r>
        <w:rPr>
          <w:snapToGrid w:val="0"/>
        </w:rPr>
        <w:tab/>
        <w:t>5(1), Sch. 9.3 cl. 1</w:t>
      </w:r>
    </w:p>
    <w:p>
      <w:pPr>
        <w:pStyle w:val="DefinedTerms"/>
        <w:rPr>
          <w:snapToGrid w:val="0"/>
        </w:rPr>
      </w:pPr>
      <w:r>
        <w:rPr>
          <w:snapToGrid w:val="0"/>
        </w:rPr>
        <w:t>details</w:t>
      </w:r>
      <w:r>
        <w:rPr>
          <w:snapToGrid w:val="0"/>
        </w:rPr>
        <w:tab/>
        <w:t>4(3)</w:t>
      </w:r>
    </w:p>
    <w:p>
      <w:pPr>
        <w:pStyle w:val="DefinedTerms"/>
        <w:rPr>
          <w:snapToGrid w:val="0"/>
        </w:rPr>
      </w:pPr>
      <w:r>
        <w:rPr>
          <w:snapToGrid w:val="0"/>
        </w:rPr>
        <w:t>determined</w:t>
      </w:r>
      <w:r>
        <w:rPr>
          <w:snapToGrid w:val="0"/>
        </w:rPr>
        <w:tab/>
        <w:t>5(1A)</w:t>
      </w:r>
    </w:p>
    <w:p>
      <w:pPr>
        <w:pStyle w:val="DefinedTerms"/>
        <w:rPr>
          <w:snapToGrid w:val="0"/>
        </w:rPr>
      </w:pPr>
      <w:r>
        <w:rPr>
          <w:snapToGrid w:val="0"/>
        </w:rPr>
        <w:t>detriment</w:t>
      </w:r>
      <w:r>
        <w:rPr>
          <w:snapToGrid w:val="0"/>
        </w:rPr>
        <w:tab/>
        <w:t>4(4)</w:t>
      </w:r>
    </w:p>
    <w:p>
      <w:pPr>
        <w:pStyle w:val="DefinedTerms"/>
        <w:rPr>
          <w:snapToGrid w:val="0"/>
        </w:rPr>
      </w:pPr>
      <w:r>
        <w:rPr>
          <w:snapToGrid w:val="0"/>
        </w:rPr>
        <w:t>differential general rate</w:t>
      </w:r>
      <w:r>
        <w:rPr>
          <w:snapToGrid w:val="0"/>
        </w:rPr>
        <w:tab/>
        <w:t>6</w:t>
      </w:r>
    </w:p>
    <w:p>
      <w:pPr>
        <w:pStyle w:val="DefinedTerms"/>
        <w:rPr>
          <w:snapToGrid w:val="0"/>
        </w:rPr>
      </w:pPr>
      <w:r>
        <w:rPr>
          <w:snapToGrid w:val="0"/>
        </w:rPr>
        <w:t>dispose</w:t>
      </w:r>
      <w:r>
        <w:rPr>
          <w:snapToGrid w:val="0"/>
        </w:rPr>
        <w:tab/>
        <w:t>3(1), 3(1)</w:t>
      </w:r>
    </w:p>
    <w:p>
      <w:pPr>
        <w:pStyle w:val="DefinedTerms"/>
        <w:rPr>
          <w:snapToGrid w:val="0"/>
        </w:rPr>
      </w:pPr>
      <w:r>
        <w:rPr>
          <w:snapToGrid w:val="0"/>
        </w:rPr>
        <w:t>disposition of real property</w:t>
      </w:r>
      <w:r>
        <w:rPr>
          <w:snapToGrid w:val="0"/>
        </w:rPr>
        <w:tab/>
        <w:t>5(3)</w:t>
      </w:r>
    </w:p>
    <w:p>
      <w:pPr>
        <w:pStyle w:val="DefinedTerms"/>
        <w:rPr>
          <w:snapToGrid w:val="0"/>
        </w:rPr>
      </w:pPr>
      <w:r>
        <w:rPr>
          <w:snapToGrid w:val="0"/>
        </w:rPr>
        <w:t>disqualified</w:t>
      </w:r>
      <w:r>
        <w:rPr>
          <w:snapToGrid w:val="0"/>
        </w:rPr>
        <w:tab/>
        <w:t>2(1)</w:t>
      </w:r>
    </w:p>
    <w:p>
      <w:pPr>
        <w:pStyle w:val="DefinedTerms"/>
        <w:rPr>
          <w:snapToGrid w:val="0"/>
        </w:rPr>
      </w:pPr>
      <w:r>
        <w:rPr>
          <w:snapToGrid w:val="0"/>
        </w:rPr>
        <w:t>disqualified person</w:t>
      </w:r>
      <w:r>
        <w:rPr>
          <w:snapToGrid w:val="0"/>
        </w:rPr>
        <w:tab/>
        <w:t>7, 7(2)</w:t>
      </w:r>
    </w:p>
    <w:p>
      <w:pPr>
        <w:pStyle w:val="DefinedTerms"/>
        <w:rPr>
          <w:snapToGrid w:val="0"/>
        </w:rPr>
      </w:pPr>
      <w:r>
        <w:rPr>
          <w:snapToGrid w:val="0"/>
        </w:rPr>
        <w:t>district</w:t>
      </w:r>
      <w:r>
        <w:rPr>
          <w:snapToGrid w:val="0"/>
        </w:rPr>
        <w:tab/>
        <w:t>1</w:t>
      </w:r>
    </w:p>
    <w:p>
      <w:pPr>
        <w:pStyle w:val="DefinedTerms"/>
        <w:rPr>
          <w:snapToGrid w:val="0"/>
        </w:rPr>
      </w:pPr>
      <w:r>
        <w:rPr>
          <w:snapToGrid w:val="0"/>
        </w:rPr>
        <w:t xml:space="preserve"> districts</w:t>
      </w:r>
      <w:r>
        <w:rPr>
          <w:snapToGrid w:val="0"/>
        </w:rPr>
        <w:tab/>
        <w:t>Sch. 2.1 cl. 8(1)</w:t>
      </w:r>
    </w:p>
    <w:p>
      <w:pPr>
        <w:pStyle w:val="DefinedTerms"/>
        <w:rPr>
          <w:snapToGrid w:val="0"/>
        </w:rPr>
      </w:pPr>
      <w:r>
        <w:rPr>
          <w:snapToGrid w:val="0"/>
        </w:rPr>
        <w:t>disused material</w:t>
      </w:r>
      <w:r>
        <w:rPr>
          <w:snapToGrid w:val="0"/>
        </w:rPr>
        <w:tab/>
        <w:t>Sch. 3.1</w:t>
      </w:r>
    </w:p>
    <w:p>
      <w:pPr>
        <w:pStyle w:val="DefinedTerms"/>
        <w:rPr>
          <w:snapToGrid w:val="0"/>
        </w:rPr>
      </w:pPr>
      <w:r>
        <w:rPr>
          <w:snapToGrid w:val="0"/>
        </w:rPr>
        <w:t>early vote</w:t>
      </w:r>
      <w:r>
        <w:rPr>
          <w:snapToGrid w:val="0"/>
        </w:rPr>
        <w:tab/>
        <w:t>4</w:t>
      </w:r>
    </w:p>
    <w:p>
      <w:pPr>
        <w:pStyle w:val="DefinedTerms"/>
        <w:rPr>
          <w:snapToGrid w:val="0"/>
        </w:rPr>
      </w:pPr>
      <w:r>
        <w:rPr>
          <w:snapToGrid w:val="0"/>
        </w:rPr>
        <w:t>election</w:t>
      </w:r>
      <w:r>
        <w:rPr>
          <w:snapToGrid w:val="0"/>
        </w:rPr>
        <w:tab/>
        <w:t>4, Sch. 2.3 cl. 10</w:t>
      </w:r>
    </w:p>
    <w:p>
      <w:pPr>
        <w:pStyle w:val="DefinedTerms"/>
        <w:rPr>
          <w:snapToGrid w:val="0"/>
        </w:rPr>
      </w:pPr>
      <w:r>
        <w:rPr>
          <w:snapToGrid w:val="0"/>
        </w:rPr>
        <w:t xml:space="preserve"> election</w:t>
      </w:r>
      <w:r>
        <w:rPr>
          <w:snapToGrid w:val="0"/>
        </w:rPr>
        <w:tab/>
        <w:t>4(2)</w:t>
      </w:r>
    </w:p>
    <w:p>
      <w:pPr>
        <w:pStyle w:val="DefinedTerms"/>
        <w:rPr>
          <w:snapToGrid w:val="0"/>
        </w:rPr>
      </w:pPr>
      <w:r>
        <w:rPr>
          <w:snapToGrid w:val="0"/>
        </w:rPr>
        <w:t>election day</w:t>
      </w:r>
      <w:r>
        <w:rPr>
          <w:snapToGrid w:val="0"/>
        </w:rPr>
        <w:tab/>
        <w:t>4</w:t>
      </w:r>
    </w:p>
    <w:p>
      <w:pPr>
        <w:pStyle w:val="DefinedTerms"/>
        <w:rPr>
          <w:snapToGrid w:val="0"/>
        </w:rPr>
      </w:pPr>
      <w:r>
        <w:rPr>
          <w:snapToGrid w:val="0"/>
        </w:rPr>
        <w:t>election notice</w:t>
      </w:r>
      <w:r>
        <w:rPr>
          <w:snapToGrid w:val="0"/>
        </w:rPr>
        <w:tab/>
        <w:t>4, 4(2)</w:t>
      </w:r>
    </w:p>
    <w:p>
      <w:pPr>
        <w:pStyle w:val="DefinedTerms"/>
        <w:rPr>
          <w:snapToGrid w:val="0"/>
        </w:rPr>
      </w:pPr>
      <w:r>
        <w:rPr>
          <w:snapToGrid w:val="0"/>
        </w:rPr>
        <w:t>election year</w:t>
      </w:r>
      <w:r>
        <w:rPr>
          <w:snapToGrid w:val="0"/>
        </w:rPr>
        <w:tab/>
        <w:t>1</w:t>
      </w:r>
    </w:p>
    <w:p>
      <w:pPr>
        <w:pStyle w:val="DefinedTerms"/>
        <w:rPr>
          <w:snapToGrid w:val="0"/>
        </w:rPr>
      </w:pPr>
      <w:r>
        <w:rPr>
          <w:snapToGrid w:val="0"/>
        </w:rPr>
        <w:t>elector</w:t>
      </w:r>
      <w:r>
        <w:rPr>
          <w:snapToGrid w:val="0"/>
        </w:rPr>
        <w:tab/>
        <w:t>1</w:t>
      </w:r>
    </w:p>
    <w:p>
      <w:pPr>
        <w:pStyle w:val="DefinedTerms"/>
        <w:rPr>
          <w:snapToGrid w:val="0"/>
        </w:rPr>
      </w:pPr>
      <w:r>
        <w:rPr>
          <w:snapToGrid w:val="0"/>
        </w:rPr>
        <w:t>elector mayor or president</w:t>
      </w:r>
      <w:r>
        <w:rPr>
          <w:snapToGrid w:val="0"/>
        </w:rPr>
        <w:tab/>
        <w:t>1</w:t>
      </w:r>
    </w:p>
    <w:p>
      <w:pPr>
        <w:pStyle w:val="DefinedTerms"/>
        <w:rPr>
          <w:snapToGrid w:val="0"/>
        </w:rPr>
      </w:pPr>
      <w:r>
        <w:rPr>
          <w:snapToGrid w:val="0"/>
        </w:rPr>
        <w:t>Electoral Commissioner</w:t>
      </w:r>
      <w:r>
        <w:rPr>
          <w:snapToGrid w:val="0"/>
        </w:rPr>
        <w:tab/>
        <w:t>1</w:t>
      </w:r>
    </w:p>
    <w:p>
      <w:pPr>
        <w:pStyle w:val="DefinedTerms"/>
        <w:rPr>
          <w:snapToGrid w:val="0"/>
        </w:rPr>
      </w:pPr>
      <w:r>
        <w:rPr>
          <w:snapToGrid w:val="0"/>
        </w:rPr>
        <w:t>electoral conduct</w:t>
      </w:r>
      <w:r>
        <w:rPr>
          <w:snapToGrid w:val="0"/>
        </w:rPr>
        <w:tab/>
        <w:t>4(4)</w:t>
      </w:r>
    </w:p>
    <w:p>
      <w:pPr>
        <w:pStyle w:val="DefinedTerms"/>
        <w:rPr>
          <w:snapToGrid w:val="0"/>
        </w:rPr>
      </w:pPr>
      <w:r>
        <w:rPr>
          <w:snapToGrid w:val="0"/>
        </w:rPr>
        <w:t>Electoral Division</w:t>
      </w:r>
      <w:r>
        <w:rPr>
          <w:snapToGrid w:val="0"/>
        </w:rPr>
        <w:tab/>
        <w:t>4(6)</w:t>
      </w:r>
    </w:p>
    <w:p>
      <w:pPr>
        <w:pStyle w:val="DefinedTerms"/>
        <w:rPr>
          <w:snapToGrid w:val="0"/>
        </w:rPr>
      </w:pPr>
      <w:r>
        <w:rPr>
          <w:snapToGrid w:val="0"/>
        </w:rPr>
        <w:t>electoral material</w:t>
      </w:r>
      <w:r>
        <w:rPr>
          <w:snapToGrid w:val="0"/>
        </w:rPr>
        <w:tab/>
        <w:t>4(3)</w:t>
      </w:r>
    </w:p>
    <w:p>
      <w:pPr>
        <w:pStyle w:val="DefinedTerms"/>
        <w:rPr>
          <w:snapToGrid w:val="0"/>
        </w:rPr>
      </w:pPr>
      <w:r>
        <w:rPr>
          <w:snapToGrid w:val="0"/>
        </w:rPr>
        <w:t>electoral officer</w:t>
      </w:r>
      <w:r>
        <w:rPr>
          <w:snapToGrid w:val="0"/>
        </w:rPr>
        <w:tab/>
        <w:t>4</w:t>
      </w:r>
    </w:p>
    <w:p>
      <w:pPr>
        <w:pStyle w:val="DefinedTerms"/>
        <w:rPr>
          <w:snapToGrid w:val="0"/>
        </w:rPr>
      </w:pPr>
      <w:r>
        <w:rPr>
          <w:snapToGrid w:val="0"/>
        </w:rPr>
        <w:t>electoral requirements</w:t>
      </w:r>
      <w:r>
        <w:rPr>
          <w:snapToGrid w:val="0"/>
        </w:rPr>
        <w:tab/>
        <w:t>1, 4</w:t>
      </w:r>
    </w:p>
    <w:p>
      <w:pPr>
        <w:pStyle w:val="DefinedTerms"/>
        <w:rPr>
          <w:snapToGrid w:val="0"/>
        </w:rPr>
      </w:pPr>
      <w:r>
        <w:rPr>
          <w:snapToGrid w:val="0"/>
        </w:rPr>
        <w:t>electoral roll</w:t>
      </w:r>
      <w:r>
        <w:rPr>
          <w:snapToGrid w:val="0"/>
        </w:rPr>
        <w:tab/>
        <w:t>4</w:t>
      </w:r>
    </w:p>
    <w:p>
      <w:pPr>
        <w:pStyle w:val="DefinedTerms"/>
        <w:rPr>
          <w:snapToGrid w:val="0"/>
        </w:rPr>
      </w:pPr>
      <w:r>
        <w:rPr>
          <w:snapToGrid w:val="0"/>
        </w:rPr>
        <w:t>electorate</w:t>
      </w:r>
      <w:r>
        <w:rPr>
          <w:snapToGrid w:val="0"/>
        </w:rPr>
        <w:tab/>
        <w:t>4(1), 4(1)</w:t>
      </w:r>
    </w:p>
    <w:p>
      <w:pPr>
        <w:pStyle w:val="DefinedTerms"/>
        <w:rPr>
          <w:snapToGrid w:val="0"/>
        </w:rPr>
      </w:pPr>
      <w:r>
        <w:rPr>
          <w:snapToGrid w:val="0"/>
        </w:rPr>
        <w:t xml:space="preserve"> electorate</w:t>
      </w:r>
      <w:r>
        <w:rPr>
          <w:snapToGrid w:val="0"/>
        </w:rPr>
        <w:tab/>
        <w:t>Sch. 9.3 cl. 12(2)</w:t>
      </w:r>
    </w:p>
    <w:p>
      <w:pPr>
        <w:pStyle w:val="DefinedTerms"/>
        <w:rPr>
          <w:snapToGrid w:val="0"/>
        </w:rPr>
      </w:pPr>
      <w:r>
        <w:rPr>
          <w:snapToGrid w:val="0"/>
        </w:rPr>
        <w:t>electors</w:t>
      </w:r>
      <w:r>
        <w:rPr>
          <w:snapToGrid w:val="0"/>
        </w:rPr>
        <w:tab/>
        <w:t>5</w:t>
      </w:r>
    </w:p>
    <w:p>
      <w:pPr>
        <w:pStyle w:val="DefinedTerms"/>
        <w:rPr>
          <w:snapToGrid w:val="0"/>
        </w:rPr>
      </w:pPr>
      <w:r>
        <w:rPr>
          <w:snapToGrid w:val="0"/>
        </w:rPr>
        <w:t>eligible body</w:t>
      </w:r>
      <w:r>
        <w:rPr>
          <w:snapToGrid w:val="0"/>
        </w:rPr>
        <w:tab/>
        <w:t>5(1)</w:t>
      </w:r>
    </w:p>
    <w:p>
      <w:pPr>
        <w:pStyle w:val="DefinedTerms"/>
        <w:rPr>
          <w:snapToGrid w:val="0"/>
        </w:rPr>
      </w:pPr>
      <w:r>
        <w:rPr>
          <w:snapToGrid w:val="0"/>
        </w:rPr>
        <w:t>employee</w:t>
      </w:r>
      <w:r>
        <w:rPr>
          <w:snapToGrid w:val="0"/>
        </w:rPr>
        <w:tab/>
        <w:t>1, 5(1), 5(1), 7(2)</w:t>
      </w:r>
    </w:p>
    <w:p>
      <w:pPr>
        <w:pStyle w:val="DefinedTerms"/>
        <w:rPr>
          <w:snapToGrid w:val="0"/>
        </w:rPr>
      </w:pPr>
      <w:r>
        <w:rPr>
          <w:snapToGrid w:val="0"/>
        </w:rPr>
        <w:t>entitled person</w:t>
      </w:r>
      <w:r>
        <w:rPr>
          <w:snapToGrid w:val="0"/>
        </w:rPr>
        <w:tab/>
        <w:t>6(3)</w:t>
      </w:r>
    </w:p>
    <w:p>
      <w:pPr>
        <w:pStyle w:val="DefinedTerms"/>
        <w:rPr>
          <w:snapToGrid w:val="0"/>
        </w:rPr>
      </w:pPr>
      <w:r>
        <w:rPr>
          <w:snapToGrid w:val="0"/>
        </w:rPr>
        <w:t>establishment agreement</w:t>
      </w:r>
      <w:r>
        <w:rPr>
          <w:snapToGrid w:val="0"/>
        </w:rPr>
        <w:tab/>
        <w:t>3(2)</w:t>
      </w:r>
    </w:p>
    <w:p>
      <w:pPr>
        <w:pStyle w:val="DefinedTerms"/>
        <w:rPr>
          <w:snapToGrid w:val="0"/>
        </w:rPr>
      </w:pPr>
      <w:r>
        <w:rPr>
          <w:snapToGrid w:val="0"/>
        </w:rPr>
        <w:t>existing roll</w:t>
      </w:r>
      <w:r>
        <w:rPr>
          <w:snapToGrid w:val="0"/>
        </w:rPr>
        <w:tab/>
        <w:t>Sch. 9.3 cl. 12(1)</w:t>
      </w:r>
    </w:p>
    <w:p>
      <w:pPr>
        <w:pStyle w:val="DefinedTerms"/>
        <w:rPr>
          <w:snapToGrid w:val="0"/>
        </w:rPr>
      </w:pPr>
      <w:r>
        <w:rPr>
          <w:snapToGrid w:val="0"/>
        </w:rPr>
        <w:t>extent</w:t>
      </w:r>
      <w:r>
        <w:rPr>
          <w:snapToGrid w:val="0"/>
        </w:rPr>
        <w:tab/>
        <w:t>5</w:t>
      </w:r>
    </w:p>
    <w:p>
      <w:pPr>
        <w:pStyle w:val="DefinedTerms"/>
        <w:rPr>
          <w:snapToGrid w:val="0"/>
        </w:rPr>
      </w:pPr>
      <w:r>
        <w:rPr>
          <w:snapToGrid w:val="0"/>
        </w:rPr>
        <w:t>extraordinary election</w:t>
      </w:r>
      <w:r>
        <w:rPr>
          <w:snapToGrid w:val="0"/>
        </w:rPr>
        <w:tab/>
        <w:t>1, 4(3)</w:t>
      </w:r>
    </w:p>
    <w:p>
      <w:pPr>
        <w:pStyle w:val="DefinedTerms"/>
        <w:rPr>
          <w:snapToGrid w:val="0"/>
        </w:rPr>
      </w:pPr>
      <w:r>
        <w:rPr>
          <w:snapToGrid w:val="0"/>
        </w:rPr>
        <w:t>extraordinary vacancy</w:t>
      </w:r>
      <w:r>
        <w:rPr>
          <w:snapToGrid w:val="0"/>
        </w:rPr>
        <w:tab/>
        <w:t>Sch. 2.3 cl. 1, Sch. 2.3 cl. 6</w:t>
      </w:r>
    </w:p>
    <w:p>
      <w:pPr>
        <w:pStyle w:val="DefinedTerms"/>
        <w:rPr>
          <w:snapToGrid w:val="0"/>
        </w:rPr>
      </w:pPr>
      <w:r>
        <w:rPr>
          <w:snapToGrid w:val="0"/>
        </w:rPr>
        <w:t>financial year</w:t>
      </w:r>
      <w:r>
        <w:rPr>
          <w:snapToGrid w:val="0"/>
        </w:rPr>
        <w:tab/>
        <w:t>1</w:t>
      </w:r>
    </w:p>
    <w:p>
      <w:pPr>
        <w:pStyle w:val="DefinedTerms"/>
        <w:rPr>
          <w:snapToGrid w:val="0"/>
        </w:rPr>
      </w:pPr>
      <w:r>
        <w:rPr>
          <w:snapToGrid w:val="0"/>
        </w:rPr>
        <w:t>former district</w:t>
      </w:r>
      <w:r>
        <w:rPr>
          <w:snapToGrid w:val="0"/>
        </w:rPr>
        <w:tab/>
        <w:t>Sch. 9.3 cl. 1</w:t>
      </w:r>
    </w:p>
    <w:p>
      <w:pPr>
        <w:pStyle w:val="DefinedTerms"/>
        <w:rPr>
          <w:snapToGrid w:val="0"/>
        </w:rPr>
      </w:pPr>
      <w:r>
        <w:rPr>
          <w:snapToGrid w:val="0"/>
        </w:rPr>
        <w:t>former municipality</w:t>
      </w:r>
      <w:r>
        <w:rPr>
          <w:snapToGrid w:val="0"/>
        </w:rPr>
        <w:tab/>
        <w:t>Sch. 9.3 cl. 1</w:t>
      </w:r>
    </w:p>
    <w:p>
      <w:pPr>
        <w:pStyle w:val="DefinedTerms"/>
        <w:rPr>
          <w:snapToGrid w:val="0"/>
        </w:rPr>
      </w:pPr>
      <w:r>
        <w:rPr>
          <w:snapToGrid w:val="0"/>
        </w:rPr>
        <w:t>former provisions</w:t>
      </w:r>
      <w:r>
        <w:rPr>
          <w:snapToGrid w:val="0"/>
        </w:rPr>
        <w:tab/>
        <w:t>2(3), Sch. 9.3 cl. 1</w:t>
      </w:r>
    </w:p>
    <w:p>
      <w:pPr>
        <w:pStyle w:val="DefinedTerms"/>
        <w:rPr>
          <w:snapToGrid w:val="0"/>
        </w:rPr>
      </w:pPr>
      <w:r>
        <w:rPr>
          <w:snapToGrid w:val="0"/>
        </w:rPr>
        <w:t xml:space="preserve"> former section</w:t>
      </w:r>
      <w:r>
        <w:rPr>
          <w:snapToGrid w:val="0"/>
        </w:rPr>
        <w:tab/>
        <w:t>Sch. 9.3 cl. 38(1)</w:t>
      </w:r>
    </w:p>
    <w:p>
      <w:pPr>
        <w:pStyle w:val="DefinedTerms"/>
        <w:rPr>
          <w:snapToGrid w:val="0"/>
        </w:rPr>
      </w:pPr>
      <w:r>
        <w:rPr>
          <w:snapToGrid w:val="0"/>
        </w:rPr>
        <w:t>former section 300</w:t>
      </w:r>
      <w:r>
        <w:rPr>
          <w:snapToGrid w:val="0"/>
        </w:rPr>
        <w:tab/>
        <w:t>3(1)</w:t>
      </w:r>
    </w:p>
    <w:p>
      <w:pPr>
        <w:pStyle w:val="DefinedTerms"/>
        <w:rPr>
          <w:snapToGrid w:val="0"/>
        </w:rPr>
      </w:pPr>
      <w:r>
        <w:rPr>
          <w:snapToGrid w:val="0"/>
        </w:rPr>
        <w:t>former valuation</w:t>
      </w:r>
      <w:r>
        <w:rPr>
          <w:snapToGrid w:val="0"/>
        </w:rPr>
        <w:tab/>
        <w:t>Sch. 6.1 cl. 1(2)</w:t>
      </w:r>
    </w:p>
    <w:p>
      <w:pPr>
        <w:pStyle w:val="DefinedTerms"/>
        <w:rPr>
          <w:snapToGrid w:val="0"/>
        </w:rPr>
      </w:pPr>
      <w:r>
        <w:rPr>
          <w:snapToGrid w:val="0"/>
        </w:rPr>
        <w:t>general funds</w:t>
      </w:r>
      <w:r>
        <w:rPr>
          <w:snapToGrid w:val="0"/>
        </w:rPr>
        <w:tab/>
        <w:t>6(4)</w:t>
      </w:r>
    </w:p>
    <w:p>
      <w:pPr>
        <w:pStyle w:val="DefinedTerms"/>
        <w:rPr>
          <w:snapToGrid w:val="0"/>
        </w:rPr>
      </w:pPr>
      <w:r>
        <w:rPr>
          <w:snapToGrid w:val="0"/>
        </w:rPr>
        <w:t>general rate</w:t>
      </w:r>
      <w:r>
        <w:rPr>
          <w:snapToGrid w:val="0"/>
        </w:rPr>
        <w:tab/>
        <w:t>6</w:t>
      </w:r>
    </w:p>
    <w:p>
      <w:pPr>
        <w:pStyle w:val="DefinedTerms"/>
        <w:rPr>
          <w:snapToGrid w:val="0"/>
        </w:rPr>
      </w:pPr>
      <w:r>
        <w:rPr>
          <w:snapToGrid w:val="0"/>
        </w:rPr>
        <w:t>gift</w:t>
      </w:r>
      <w:r>
        <w:rPr>
          <w:snapToGrid w:val="0"/>
        </w:rPr>
        <w:tab/>
        <w:t>5(4)</w:t>
      </w:r>
    </w:p>
    <w:p>
      <w:pPr>
        <w:pStyle w:val="DefinedTerms"/>
        <w:rPr>
          <w:snapToGrid w:val="0"/>
        </w:rPr>
      </w:pPr>
      <w:r>
        <w:rPr>
          <w:snapToGrid w:val="0"/>
        </w:rPr>
        <w:t>goods</w:t>
      </w:r>
      <w:r>
        <w:rPr>
          <w:snapToGrid w:val="0"/>
        </w:rPr>
        <w:tab/>
        <w:t>3</w:t>
      </w:r>
    </w:p>
    <w:p>
      <w:pPr>
        <w:pStyle w:val="DefinedTerms"/>
        <w:rPr>
          <w:snapToGrid w:val="0"/>
        </w:rPr>
      </w:pPr>
      <w:r>
        <w:rPr>
          <w:snapToGrid w:val="0"/>
        </w:rPr>
        <w:t>Government agreement</w:t>
      </w:r>
      <w:r>
        <w:rPr>
          <w:snapToGrid w:val="0"/>
        </w:rPr>
        <w:tab/>
        <w:t>6</w:t>
      </w:r>
    </w:p>
    <w:p>
      <w:pPr>
        <w:pStyle w:val="DefinedTerms"/>
        <w:rPr>
          <w:snapToGrid w:val="0"/>
        </w:rPr>
      </w:pPr>
      <w:r>
        <w:rPr>
          <w:snapToGrid w:val="0"/>
        </w:rPr>
        <w:t>gross rental value</w:t>
      </w:r>
      <w:r>
        <w:rPr>
          <w:snapToGrid w:val="0"/>
        </w:rPr>
        <w:tab/>
        <w:t>6</w:t>
      </w:r>
    </w:p>
    <w:p>
      <w:pPr>
        <w:pStyle w:val="DefinedTerms"/>
        <w:rPr>
          <w:snapToGrid w:val="0"/>
        </w:rPr>
      </w:pPr>
      <w:r>
        <w:rPr>
          <w:snapToGrid w:val="0"/>
        </w:rPr>
        <w:t>inaugural election</w:t>
      </w:r>
      <w:r>
        <w:rPr>
          <w:snapToGrid w:val="0"/>
        </w:rPr>
        <w:tab/>
        <w:t>1, 4(2)</w:t>
      </w:r>
    </w:p>
    <w:p>
      <w:pPr>
        <w:pStyle w:val="DefinedTerms"/>
        <w:rPr>
          <w:snapToGrid w:val="0"/>
        </w:rPr>
      </w:pPr>
      <w:r>
        <w:rPr>
          <w:snapToGrid w:val="0"/>
        </w:rPr>
        <w:t>income</w:t>
      </w:r>
      <w:r>
        <w:rPr>
          <w:snapToGrid w:val="0"/>
        </w:rPr>
        <w:tab/>
        <w:t>5(4)</w:t>
      </w:r>
    </w:p>
    <w:p>
      <w:pPr>
        <w:pStyle w:val="DefinedTerms"/>
        <w:rPr>
          <w:snapToGrid w:val="0"/>
        </w:rPr>
      </w:pPr>
      <w:r>
        <w:rPr>
          <w:snapToGrid w:val="0"/>
        </w:rPr>
        <w:t>indictable penalty</w:t>
      </w:r>
      <w:r>
        <w:rPr>
          <w:snapToGrid w:val="0"/>
        </w:rPr>
        <w:tab/>
        <w:t>2(3)</w:t>
      </w:r>
    </w:p>
    <w:p>
      <w:pPr>
        <w:pStyle w:val="DefinedTerms"/>
        <w:rPr>
          <w:snapToGrid w:val="0"/>
        </w:rPr>
      </w:pPr>
      <w:r>
        <w:rPr>
          <w:snapToGrid w:val="0"/>
        </w:rPr>
        <w:t>inquiry</w:t>
      </w:r>
      <w:r>
        <w:rPr>
          <w:snapToGrid w:val="0"/>
        </w:rPr>
        <w:tab/>
        <w:t>8</w:t>
      </w:r>
    </w:p>
    <w:p>
      <w:pPr>
        <w:pStyle w:val="DefinedTerms"/>
        <w:rPr>
          <w:snapToGrid w:val="0"/>
        </w:rPr>
      </w:pPr>
      <w:r>
        <w:rPr>
          <w:snapToGrid w:val="0"/>
        </w:rPr>
        <w:t>Inquiry Panel</w:t>
      </w:r>
      <w:r>
        <w:rPr>
          <w:snapToGrid w:val="0"/>
        </w:rPr>
        <w:tab/>
        <w:t>1</w:t>
      </w:r>
    </w:p>
    <w:p>
      <w:pPr>
        <w:pStyle w:val="DefinedTerms"/>
        <w:rPr>
          <w:snapToGrid w:val="0"/>
        </w:rPr>
      </w:pPr>
      <w:r>
        <w:rPr>
          <w:snapToGrid w:val="0"/>
        </w:rPr>
        <w:t>interest</w:t>
      </w:r>
      <w:r>
        <w:rPr>
          <w:snapToGrid w:val="0"/>
        </w:rPr>
        <w:tab/>
        <w:t>5(3), 5(2)</w:t>
      </w:r>
    </w:p>
    <w:p>
      <w:pPr>
        <w:pStyle w:val="DefinedTerms"/>
        <w:rPr>
          <w:snapToGrid w:val="0"/>
        </w:rPr>
      </w:pPr>
      <w:r>
        <w:rPr>
          <w:snapToGrid w:val="0"/>
        </w:rPr>
        <w:t>interim valuation</w:t>
      </w:r>
      <w:r>
        <w:rPr>
          <w:snapToGrid w:val="0"/>
        </w:rPr>
        <w:tab/>
        <w:t>6</w:t>
      </w:r>
    </w:p>
    <w:p>
      <w:pPr>
        <w:pStyle w:val="DefinedTerms"/>
        <w:rPr>
          <w:snapToGrid w:val="0"/>
        </w:rPr>
      </w:pPr>
      <w:r>
        <w:rPr>
          <w:snapToGrid w:val="0"/>
        </w:rPr>
        <w:t>invalidity complaint</w:t>
      </w:r>
      <w:r>
        <w:rPr>
          <w:snapToGrid w:val="0"/>
        </w:rPr>
        <w:tab/>
        <w:t>4(2), Sch. 2.3 cl. 11(2)</w:t>
      </w:r>
    </w:p>
    <w:p>
      <w:pPr>
        <w:pStyle w:val="DefinedTerms"/>
        <w:rPr>
          <w:snapToGrid w:val="0"/>
        </w:rPr>
      </w:pPr>
      <w:r>
        <w:rPr>
          <w:snapToGrid w:val="0"/>
        </w:rPr>
        <w:t>judicial proceedings</w:t>
      </w:r>
      <w:r>
        <w:rPr>
          <w:snapToGrid w:val="0"/>
        </w:rPr>
        <w:tab/>
        <w:t>9(1)</w:t>
      </w:r>
    </w:p>
    <w:p>
      <w:pPr>
        <w:pStyle w:val="DefinedTerms"/>
        <w:rPr>
          <w:snapToGrid w:val="0"/>
        </w:rPr>
      </w:pPr>
      <w:r>
        <w:rPr>
          <w:snapToGrid w:val="0"/>
        </w:rPr>
        <w:t>land transaction</w:t>
      </w:r>
      <w:r>
        <w:rPr>
          <w:snapToGrid w:val="0"/>
        </w:rPr>
        <w:tab/>
        <w:t>3(1)</w:t>
      </w:r>
    </w:p>
    <w:p>
      <w:pPr>
        <w:pStyle w:val="DefinedTerms"/>
        <w:rPr>
          <w:snapToGrid w:val="0"/>
        </w:rPr>
      </w:pPr>
      <w:r>
        <w:rPr>
          <w:snapToGrid w:val="0"/>
        </w:rPr>
        <w:t>lease</w:t>
      </w:r>
      <w:r>
        <w:rPr>
          <w:snapToGrid w:val="0"/>
        </w:rPr>
        <w:tab/>
        <w:t>6(1)</w:t>
      </w:r>
    </w:p>
    <w:p>
      <w:pPr>
        <w:pStyle w:val="DefinedTerms"/>
        <w:rPr>
          <w:snapToGrid w:val="0"/>
        </w:rPr>
      </w:pPr>
      <w:r>
        <w:rPr>
          <w:snapToGrid w:val="0"/>
        </w:rPr>
        <w:t>lessee</w:t>
      </w:r>
      <w:r>
        <w:rPr>
          <w:snapToGrid w:val="0"/>
        </w:rPr>
        <w:tab/>
        <w:t>6(1)</w:t>
      </w:r>
    </w:p>
    <w:p>
      <w:pPr>
        <w:pStyle w:val="DefinedTerms"/>
        <w:rPr>
          <w:snapToGrid w:val="0"/>
        </w:rPr>
      </w:pPr>
      <w:r>
        <w:rPr>
          <w:snapToGrid w:val="0"/>
        </w:rPr>
        <w:t>lessor</w:t>
      </w:r>
      <w:r>
        <w:rPr>
          <w:snapToGrid w:val="0"/>
        </w:rPr>
        <w:tab/>
        <w:t>6(1)</w:t>
      </w:r>
    </w:p>
    <w:p>
      <w:pPr>
        <w:pStyle w:val="DefinedTerms"/>
        <w:rPr>
          <w:snapToGrid w:val="0"/>
        </w:rPr>
      </w:pPr>
      <w:r>
        <w:rPr>
          <w:snapToGrid w:val="0"/>
        </w:rPr>
        <w:t>local government</w:t>
      </w:r>
      <w:r>
        <w:rPr>
          <w:snapToGrid w:val="0"/>
        </w:rPr>
        <w:tab/>
        <w:t>1, 9</w:t>
      </w:r>
    </w:p>
    <w:p>
      <w:pPr>
        <w:pStyle w:val="DefinedTerms"/>
        <w:rPr>
          <w:snapToGrid w:val="0"/>
        </w:rPr>
      </w:pPr>
      <w:r>
        <w:rPr>
          <w:snapToGrid w:val="0"/>
        </w:rPr>
        <w:t>local government property</w:t>
      </w:r>
      <w:r>
        <w:rPr>
          <w:snapToGrid w:val="0"/>
        </w:rPr>
        <w:tab/>
        <w:t>1</w:t>
      </w:r>
    </w:p>
    <w:p>
      <w:pPr>
        <w:pStyle w:val="DefinedTerms"/>
        <w:rPr>
          <w:snapToGrid w:val="0"/>
        </w:rPr>
      </w:pPr>
      <w:r>
        <w:rPr>
          <w:snapToGrid w:val="0"/>
        </w:rPr>
        <w:t>local public notice</w:t>
      </w:r>
      <w:r>
        <w:rPr>
          <w:snapToGrid w:val="0"/>
        </w:rPr>
        <w:tab/>
        <w:t>1</w:t>
      </w:r>
    </w:p>
    <w:p>
      <w:pPr>
        <w:pStyle w:val="DefinedTerms"/>
        <w:rPr>
          <w:snapToGrid w:val="0"/>
        </w:rPr>
      </w:pPr>
      <w:r>
        <w:rPr>
          <w:snapToGrid w:val="0"/>
        </w:rPr>
        <w:t>long service benefit</w:t>
      </w:r>
      <w:r>
        <w:rPr>
          <w:snapToGrid w:val="0"/>
        </w:rPr>
        <w:tab/>
        <w:t>5(1)</w:t>
      </w:r>
    </w:p>
    <w:p>
      <w:pPr>
        <w:pStyle w:val="DefinedTerms"/>
        <w:rPr>
          <w:snapToGrid w:val="0"/>
        </w:rPr>
      </w:pPr>
      <w:r>
        <w:rPr>
          <w:snapToGrid w:val="0"/>
        </w:rPr>
        <w:t>major land transaction</w:t>
      </w:r>
      <w:r>
        <w:rPr>
          <w:snapToGrid w:val="0"/>
        </w:rPr>
        <w:tab/>
        <w:t>3(1)</w:t>
      </w:r>
    </w:p>
    <w:p>
      <w:pPr>
        <w:pStyle w:val="DefinedTerms"/>
        <w:rPr>
          <w:snapToGrid w:val="0"/>
        </w:rPr>
      </w:pPr>
      <w:r>
        <w:rPr>
          <w:snapToGrid w:val="0"/>
        </w:rPr>
        <w:t>major trading undertaking</w:t>
      </w:r>
      <w:r>
        <w:rPr>
          <w:snapToGrid w:val="0"/>
        </w:rPr>
        <w:tab/>
        <w:t>3(1)</w:t>
      </w:r>
    </w:p>
    <w:p>
      <w:pPr>
        <w:pStyle w:val="DefinedTerms"/>
        <w:rPr>
          <w:snapToGrid w:val="0"/>
        </w:rPr>
      </w:pPr>
      <w:r>
        <w:rPr>
          <w:snapToGrid w:val="0"/>
        </w:rPr>
        <w:t>making</w:t>
      </w:r>
      <w:r>
        <w:rPr>
          <w:snapToGrid w:val="0"/>
        </w:rPr>
        <w:tab/>
        <w:t>3(8)</w:t>
      </w:r>
    </w:p>
    <w:p>
      <w:pPr>
        <w:pStyle w:val="DefinedTerms"/>
        <w:rPr>
          <w:snapToGrid w:val="0"/>
        </w:rPr>
      </w:pPr>
      <w:r>
        <w:rPr>
          <w:snapToGrid w:val="0"/>
        </w:rPr>
        <w:t>meeting minutes</w:t>
      </w:r>
      <w:r>
        <w:rPr>
          <w:snapToGrid w:val="0"/>
        </w:rPr>
        <w:tab/>
        <w:t>9(2)</w:t>
      </w:r>
    </w:p>
    <w:p>
      <w:pPr>
        <w:pStyle w:val="DefinedTerms"/>
        <w:rPr>
          <w:snapToGrid w:val="0"/>
        </w:rPr>
      </w:pPr>
      <w:r>
        <w:rPr>
          <w:snapToGrid w:val="0"/>
        </w:rPr>
        <w:t>member</w:t>
      </w:r>
      <w:r>
        <w:rPr>
          <w:snapToGrid w:val="0"/>
        </w:rPr>
        <w:tab/>
        <w:t>1, 5, Sch. 2.5 cl. 1, Sch. 5.1 cl. 1</w:t>
      </w:r>
    </w:p>
    <w:p>
      <w:pPr>
        <w:pStyle w:val="DefinedTerms"/>
        <w:rPr>
          <w:snapToGrid w:val="0"/>
        </w:rPr>
      </w:pPr>
      <w:r>
        <w:rPr>
          <w:snapToGrid w:val="0"/>
        </w:rPr>
        <w:t>member of a parliament</w:t>
      </w:r>
      <w:r>
        <w:rPr>
          <w:snapToGrid w:val="0"/>
        </w:rPr>
        <w:tab/>
        <w:t>2(2)</w:t>
      </w:r>
    </w:p>
    <w:p>
      <w:pPr>
        <w:pStyle w:val="DefinedTerms"/>
        <w:rPr>
          <w:snapToGrid w:val="0"/>
        </w:rPr>
      </w:pPr>
      <w:r>
        <w:rPr>
          <w:snapToGrid w:val="0"/>
        </w:rPr>
        <w:t>metropolitan area</w:t>
      </w:r>
      <w:r>
        <w:rPr>
          <w:snapToGrid w:val="0"/>
        </w:rPr>
        <w:tab/>
        <w:t>1</w:t>
      </w:r>
    </w:p>
    <w:p>
      <w:pPr>
        <w:pStyle w:val="DefinedTerms"/>
        <w:rPr>
          <w:snapToGrid w:val="0"/>
        </w:rPr>
      </w:pPr>
      <w:r>
        <w:rPr>
          <w:snapToGrid w:val="0"/>
        </w:rPr>
        <w:t>minimum payment</w:t>
      </w:r>
      <w:r>
        <w:rPr>
          <w:snapToGrid w:val="0"/>
        </w:rPr>
        <w:tab/>
        <w:t>6</w:t>
      </w:r>
    </w:p>
    <w:p>
      <w:pPr>
        <w:pStyle w:val="DefinedTerms"/>
        <w:rPr>
          <w:snapToGrid w:val="0"/>
        </w:rPr>
      </w:pPr>
      <w:r>
        <w:rPr>
          <w:snapToGrid w:val="0"/>
        </w:rPr>
        <w:t>minor breach</w:t>
      </w:r>
      <w:r>
        <w:rPr>
          <w:snapToGrid w:val="0"/>
        </w:rPr>
        <w:tab/>
        <w:t>5</w:t>
      </w:r>
    </w:p>
    <w:p>
      <w:pPr>
        <w:pStyle w:val="DefinedTerms"/>
        <w:rPr>
          <w:snapToGrid w:val="0"/>
        </w:rPr>
      </w:pPr>
      <w:r>
        <w:rPr>
          <w:snapToGrid w:val="0"/>
        </w:rPr>
        <w:t>municipal fund</w:t>
      </w:r>
      <w:r>
        <w:rPr>
          <w:snapToGrid w:val="0"/>
        </w:rPr>
        <w:tab/>
        <w:t>1</w:t>
      </w:r>
    </w:p>
    <w:p>
      <w:pPr>
        <w:pStyle w:val="DefinedTerms"/>
        <w:rPr>
          <w:snapToGrid w:val="0"/>
        </w:rPr>
      </w:pPr>
      <w:r>
        <w:rPr>
          <w:snapToGrid w:val="0"/>
        </w:rPr>
        <w:t>new ordinary election day provisions</w:t>
      </w:r>
      <w:r>
        <w:rPr>
          <w:snapToGrid w:val="0"/>
        </w:rPr>
        <w:tab/>
        <w:t>Sch. 9.3 cl. 14A(1)</w:t>
      </w:r>
    </w:p>
    <w:p>
      <w:pPr>
        <w:pStyle w:val="DefinedTerms"/>
        <w:rPr>
          <w:snapToGrid w:val="0"/>
        </w:rPr>
      </w:pPr>
      <w:r>
        <w:rPr>
          <w:snapToGrid w:val="0"/>
        </w:rPr>
        <w:t>new valuation</w:t>
      </w:r>
      <w:r>
        <w:rPr>
          <w:snapToGrid w:val="0"/>
        </w:rPr>
        <w:tab/>
        <w:t>Sch. 6.1 cl. 1(2)</w:t>
      </w:r>
    </w:p>
    <w:p>
      <w:pPr>
        <w:pStyle w:val="DefinedTerms"/>
        <w:rPr>
          <w:snapToGrid w:val="0"/>
        </w:rPr>
      </w:pPr>
      <w:r>
        <w:rPr>
          <w:snapToGrid w:val="0"/>
        </w:rPr>
        <w:t>nomination place</w:t>
      </w:r>
      <w:r>
        <w:rPr>
          <w:snapToGrid w:val="0"/>
        </w:rPr>
        <w:tab/>
        <w:t>4(2)</w:t>
      </w:r>
    </w:p>
    <w:p>
      <w:pPr>
        <w:pStyle w:val="DefinedTerms"/>
        <w:rPr>
          <w:snapToGrid w:val="0"/>
        </w:rPr>
      </w:pPr>
      <w:r>
        <w:rPr>
          <w:snapToGrid w:val="0"/>
        </w:rPr>
        <w:t>non</w:t>
      </w:r>
      <w:r>
        <w:rPr>
          <w:snapToGrid w:val="0"/>
        </w:rPr>
        <w:noBreakHyphen/>
        <w:t>perishable goods</w:t>
      </w:r>
      <w:r>
        <w:rPr>
          <w:snapToGrid w:val="0"/>
        </w:rPr>
        <w:tab/>
        <w:t>3</w:t>
      </w:r>
    </w:p>
    <w:p>
      <w:pPr>
        <w:pStyle w:val="DefinedTerms"/>
        <w:rPr>
          <w:snapToGrid w:val="0"/>
        </w:rPr>
      </w:pPr>
      <w:r>
        <w:rPr>
          <w:snapToGrid w:val="0"/>
        </w:rPr>
        <w:t>notice</w:t>
      </w:r>
      <w:r>
        <w:rPr>
          <w:snapToGrid w:val="0"/>
        </w:rPr>
        <w:tab/>
        <w:t>Sch. 2.1 cl. 1</w:t>
      </w:r>
    </w:p>
    <w:p>
      <w:pPr>
        <w:pStyle w:val="DefinedTerms"/>
        <w:rPr>
          <w:snapToGrid w:val="0"/>
        </w:rPr>
      </w:pPr>
      <w:r>
        <w:rPr>
          <w:snapToGrid w:val="0"/>
        </w:rPr>
        <w:t>notice recipient</w:t>
      </w:r>
      <w:r>
        <w:rPr>
          <w:snapToGrid w:val="0"/>
        </w:rPr>
        <w:tab/>
        <w:t>3(2)</w:t>
      </w:r>
    </w:p>
    <w:p>
      <w:pPr>
        <w:pStyle w:val="DefinedTerms"/>
        <w:rPr>
          <w:snapToGrid w:val="0"/>
        </w:rPr>
      </w:pPr>
      <w:r>
        <w:rPr>
          <w:snapToGrid w:val="0"/>
        </w:rPr>
        <w:t>notifiable gift</w:t>
      </w:r>
      <w:r>
        <w:rPr>
          <w:snapToGrid w:val="0"/>
        </w:rPr>
        <w:tab/>
        <w:t>5(2)</w:t>
      </w:r>
    </w:p>
    <w:p>
      <w:pPr>
        <w:pStyle w:val="DefinedTerms"/>
        <w:rPr>
          <w:snapToGrid w:val="0"/>
        </w:rPr>
      </w:pPr>
      <w:r>
        <w:rPr>
          <w:snapToGrid w:val="0"/>
        </w:rPr>
        <w:t>occupier</w:t>
      </w:r>
      <w:r>
        <w:rPr>
          <w:snapToGrid w:val="0"/>
        </w:rPr>
        <w:tab/>
        <w:t>1</w:t>
      </w:r>
    </w:p>
    <w:p>
      <w:pPr>
        <w:pStyle w:val="DefinedTerms"/>
        <w:rPr>
          <w:snapToGrid w:val="0"/>
        </w:rPr>
      </w:pPr>
      <w:r>
        <w:rPr>
          <w:snapToGrid w:val="0"/>
        </w:rPr>
        <w:t>offence</w:t>
      </w:r>
      <w:r>
        <w:rPr>
          <w:snapToGrid w:val="0"/>
        </w:rPr>
        <w:tab/>
        <w:t>2(3)</w:t>
      </w:r>
    </w:p>
    <w:p>
      <w:pPr>
        <w:pStyle w:val="DefinedTerms"/>
        <w:rPr>
          <w:snapToGrid w:val="0"/>
        </w:rPr>
      </w:pPr>
      <w:r>
        <w:rPr>
          <w:snapToGrid w:val="0"/>
        </w:rPr>
        <w:t>office</w:t>
      </w:r>
      <w:r>
        <w:rPr>
          <w:snapToGrid w:val="0"/>
        </w:rPr>
        <w:tab/>
        <w:t>Sch. 2.3 cl. 1, Sch. 2.3 cl. 6</w:t>
      </w:r>
    </w:p>
    <w:p>
      <w:pPr>
        <w:pStyle w:val="DefinedTerms"/>
        <w:rPr>
          <w:snapToGrid w:val="0"/>
        </w:rPr>
      </w:pPr>
      <w:r>
        <w:rPr>
          <w:snapToGrid w:val="0"/>
        </w:rPr>
        <w:t>official plan</w:t>
      </w:r>
      <w:r>
        <w:rPr>
          <w:snapToGrid w:val="0"/>
        </w:rPr>
        <w:tab/>
        <w:t>9(2)</w:t>
      </w:r>
    </w:p>
    <w:p>
      <w:pPr>
        <w:pStyle w:val="DefinedTerms"/>
        <w:rPr>
          <w:snapToGrid w:val="0"/>
        </w:rPr>
      </w:pPr>
      <w:r>
        <w:rPr>
          <w:snapToGrid w:val="0"/>
        </w:rPr>
        <w:t>officially certified</w:t>
      </w:r>
      <w:r>
        <w:rPr>
          <w:snapToGrid w:val="0"/>
        </w:rPr>
        <w:tab/>
        <w:t>9(2)</w:t>
      </w:r>
    </w:p>
    <w:p>
      <w:pPr>
        <w:pStyle w:val="DefinedTerms"/>
        <w:rPr>
          <w:snapToGrid w:val="0"/>
        </w:rPr>
      </w:pPr>
      <w:r>
        <w:rPr>
          <w:snapToGrid w:val="0"/>
        </w:rPr>
        <w:t>ordinary election</w:t>
      </w:r>
      <w:r>
        <w:rPr>
          <w:snapToGrid w:val="0"/>
        </w:rPr>
        <w:tab/>
        <w:t>1, 4(2)</w:t>
      </w:r>
    </w:p>
    <w:p>
      <w:pPr>
        <w:pStyle w:val="DefinedTerms"/>
        <w:rPr>
          <w:snapToGrid w:val="0"/>
        </w:rPr>
      </w:pPr>
      <w:r>
        <w:rPr>
          <w:snapToGrid w:val="0"/>
        </w:rPr>
        <w:t>ordinary elections day</w:t>
      </w:r>
      <w:r>
        <w:rPr>
          <w:snapToGrid w:val="0"/>
        </w:rPr>
        <w:tab/>
        <w:t>1</w:t>
      </w:r>
    </w:p>
    <w:p>
      <w:pPr>
        <w:pStyle w:val="DefinedTerms"/>
        <w:rPr>
          <w:snapToGrid w:val="0"/>
        </w:rPr>
      </w:pPr>
      <w:r>
        <w:rPr>
          <w:snapToGrid w:val="0"/>
        </w:rPr>
        <w:t>original valuations</w:t>
      </w:r>
      <w:r>
        <w:rPr>
          <w:snapToGrid w:val="0"/>
        </w:rPr>
        <w:tab/>
        <w:t>Sch. 6.1 cl. 2(2)</w:t>
      </w:r>
    </w:p>
    <w:p>
      <w:pPr>
        <w:pStyle w:val="DefinedTerms"/>
        <w:rPr>
          <w:snapToGrid w:val="0"/>
        </w:rPr>
      </w:pPr>
      <w:r>
        <w:rPr>
          <w:snapToGrid w:val="0"/>
        </w:rPr>
        <w:t>other person</w:t>
      </w:r>
      <w:r>
        <w:rPr>
          <w:snapToGrid w:val="0"/>
        </w:rPr>
        <w:tab/>
        <w:t>5(1)</w:t>
      </w:r>
    </w:p>
    <w:p>
      <w:pPr>
        <w:pStyle w:val="DefinedTerms"/>
        <w:rPr>
          <w:snapToGrid w:val="0"/>
        </w:rPr>
      </w:pPr>
      <w:r>
        <w:rPr>
          <w:snapToGrid w:val="0"/>
        </w:rPr>
        <w:t>otherwise unvested facility</w:t>
      </w:r>
      <w:r>
        <w:rPr>
          <w:snapToGrid w:val="0"/>
        </w:rPr>
        <w:tab/>
        <w:t>3(1)</w:t>
      </w:r>
    </w:p>
    <w:p>
      <w:pPr>
        <w:pStyle w:val="DefinedTerms"/>
        <w:rPr>
          <w:snapToGrid w:val="0"/>
        </w:rPr>
      </w:pPr>
      <w:r>
        <w:rPr>
          <w:snapToGrid w:val="0"/>
        </w:rPr>
        <w:t>owner</w:t>
      </w:r>
      <w:r>
        <w:rPr>
          <w:snapToGrid w:val="0"/>
        </w:rPr>
        <w:tab/>
        <w:t>1, 6, 9(1), 9</w:t>
      </w:r>
    </w:p>
    <w:p>
      <w:pPr>
        <w:pStyle w:val="DefinedTerms"/>
        <w:rPr>
          <w:snapToGrid w:val="0"/>
        </w:rPr>
      </w:pPr>
      <w:r>
        <w:rPr>
          <w:snapToGrid w:val="0"/>
        </w:rPr>
        <w:t>park</w:t>
      </w:r>
      <w:r>
        <w:rPr>
          <w:snapToGrid w:val="0"/>
        </w:rPr>
        <w:tab/>
        <w:t>Sch. 9.1 cl. 1(1)</w:t>
      </w:r>
    </w:p>
    <w:p>
      <w:pPr>
        <w:pStyle w:val="DefinedTerms"/>
        <w:rPr>
          <w:snapToGrid w:val="0"/>
        </w:rPr>
      </w:pPr>
      <w:r>
        <w:rPr>
          <w:snapToGrid w:val="0"/>
        </w:rPr>
        <w:t>parking facilities</w:t>
      </w:r>
      <w:r>
        <w:rPr>
          <w:snapToGrid w:val="0"/>
        </w:rPr>
        <w:tab/>
        <w:t>Sch. 9.1 cl. 1(1)</w:t>
      </w:r>
    </w:p>
    <w:p>
      <w:pPr>
        <w:pStyle w:val="DefinedTerms"/>
        <w:rPr>
          <w:snapToGrid w:val="0"/>
        </w:rPr>
      </w:pPr>
      <w:r>
        <w:rPr>
          <w:snapToGrid w:val="0"/>
        </w:rPr>
        <w:t>parking region</w:t>
      </w:r>
      <w:r>
        <w:rPr>
          <w:snapToGrid w:val="0"/>
        </w:rPr>
        <w:tab/>
        <w:t>Sch. 9.1 cl. 1(1)</w:t>
      </w:r>
    </w:p>
    <w:p>
      <w:pPr>
        <w:pStyle w:val="DefinedTerms"/>
        <w:rPr>
          <w:snapToGrid w:val="0"/>
        </w:rPr>
      </w:pPr>
      <w:r>
        <w:rPr>
          <w:snapToGrid w:val="0"/>
        </w:rPr>
        <w:t>participants</w:t>
      </w:r>
      <w:r>
        <w:rPr>
          <w:snapToGrid w:val="0"/>
        </w:rPr>
        <w:tab/>
        <w:t>3(1)</w:t>
      </w:r>
    </w:p>
    <w:p>
      <w:pPr>
        <w:pStyle w:val="DefinedTerms"/>
        <w:rPr>
          <w:snapToGrid w:val="0"/>
        </w:rPr>
      </w:pPr>
      <w:r>
        <w:rPr>
          <w:snapToGrid w:val="0"/>
        </w:rPr>
        <w:t>party</w:t>
      </w:r>
      <w:r>
        <w:rPr>
          <w:snapToGrid w:val="0"/>
        </w:rPr>
        <w:tab/>
        <w:t>5</w:t>
      </w:r>
    </w:p>
    <w:p>
      <w:pPr>
        <w:pStyle w:val="DefinedTerms"/>
        <w:rPr>
          <w:snapToGrid w:val="0"/>
        </w:rPr>
      </w:pPr>
      <w:r>
        <w:rPr>
          <w:snapToGrid w:val="0"/>
        </w:rPr>
        <w:t>person having an interest</w:t>
      </w:r>
      <w:r>
        <w:rPr>
          <w:snapToGrid w:val="0"/>
        </w:rPr>
        <w:tab/>
        <w:t>3(1)</w:t>
      </w:r>
    </w:p>
    <w:p>
      <w:pPr>
        <w:pStyle w:val="DefinedTerms"/>
        <w:rPr>
          <w:snapToGrid w:val="0"/>
        </w:rPr>
      </w:pPr>
      <w:r>
        <w:rPr>
          <w:snapToGrid w:val="0"/>
        </w:rPr>
        <w:t>political party</w:t>
      </w:r>
      <w:r>
        <w:rPr>
          <w:snapToGrid w:val="0"/>
        </w:rPr>
        <w:tab/>
        <w:t>5(4)</w:t>
      </w:r>
    </w:p>
    <w:p>
      <w:pPr>
        <w:pStyle w:val="DefinedTerms"/>
        <w:rPr>
          <w:snapToGrid w:val="0"/>
        </w:rPr>
      </w:pPr>
      <w:r>
        <w:rPr>
          <w:snapToGrid w:val="0"/>
        </w:rPr>
        <w:t>polling place</w:t>
      </w:r>
      <w:r>
        <w:rPr>
          <w:snapToGrid w:val="0"/>
        </w:rPr>
        <w:tab/>
        <w:t>4</w:t>
      </w:r>
    </w:p>
    <w:p>
      <w:pPr>
        <w:pStyle w:val="DefinedTerms"/>
        <w:rPr>
          <w:snapToGrid w:val="0"/>
        </w:rPr>
      </w:pPr>
      <w:r>
        <w:rPr>
          <w:snapToGrid w:val="0"/>
        </w:rPr>
        <w:t>postal election</w:t>
      </w:r>
      <w:r>
        <w:rPr>
          <w:snapToGrid w:val="0"/>
        </w:rPr>
        <w:tab/>
        <w:t>4(1)</w:t>
      </w:r>
    </w:p>
    <w:p>
      <w:pPr>
        <w:pStyle w:val="DefinedTerms"/>
        <w:rPr>
          <w:snapToGrid w:val="0"/>
        </w:rPr>
      </w:pPr>
      <w:r>
        <w:rPr>
          <w:snapToGrid w:val="0"/>
        </w:rPr>
        <w:t>power of sale</w:t>
      </w:r>
      <w:r>
        <w:rPr>
          <w:snapToGrid w:val="0"/>
        </w:rPr>
        <w:tab/>
        <w:t>6(1)</w:t>
      </w:r>
    </w:p>
    <w:p>
      <w:pPr>
        <w:pStyle w:val="DefinedTerms"/>
        <w:rPr>
          <w:snapToGrid w:val="0"/>
        </w:rPr>
      </w:pPr>
      <w:r>
        <w:rPr>
          <w:snapToGrid w:val="0"/>
        </w:rPr>
        <w:t>power to borrow</w:t>
      </w:r>
      <w:r>
        <w:rPr>
          <w:snapToGrid w:val="0"/>
        </w:rPr>
        <w:tab/>
        <w:t>6(2)</w:t>
      </w:r>
    </w:p>
    <w:p>
      <w:pPr>
        <w:pStyle w:val="DefinedTerms"/>
        <w:rPr>
          <w:snapToGrid w:val="0"/>
        </w:rPr>
      </w:pPr>
      <w:r>
        <w:rPr>
          <w:snapToGrid w:val="0"/>
        </w:rPr>
        <w:t>power to lease</w:t>
      </w:r>
      <w:r>
        <w:rPr>
          <w:snapToGrid w:val="0"/>
        </w:rPr>
        <w:tab/>
        <w:t>6</w:t>
      </w:r>
    </w:p>
    <w:p>
      <w:pPr>
        <w:pStyle w:val="DefinedTerms"/>
        <w:rPr>
          <w:snapToGrid w:val="0"/>
        </w:rPr>
      </w:pPr>
      <w:r>
        <w:rPr>
          <w:snapToGrid w:val="0"/>
        </w:rPr>
        <w:t>prescribed</w:t>
      </w:r>
      <w:r>
        <w:rPr>
          <w:snapToGrid w:val="0"/>
        </w:rPr>
        <w:tab/>
        <w:t>1, 9(1), 9</w:t>
      </w:r>
    </w:p>
    <w:p>
      <w:pPr>
        <w:pStyle w:val="DefinedTerms"/>
        <w:rPr>
          <w:snapToGrid w:val="0"/>
        </w:rPr>
      </w:pPr>
      <w:r>
        <w:rPr>
          <w:snapToGrid w:val="0"/>
        </w:rPr>
        <w:t>prescribed financial market</w:t>
      </w:r>
      <w:r>
        <w:rPr>
          <w:snapToGrid w:val="0"/>
        </w:rPr>
        <w:tab/>
        <w:t>5(2)</w:t>
      </w:r>
    </w:p>
    <w:p>
      <w:pPr>
        <w:pStyle w:val="DefinedTerms"/>
        <w:rPr>
          <w:snapToGrid w:val="0"/>
        </w:rPr>
      </w:pPr>
      <w:r>
        <w:rPr>
          <w:snapToGrid w:val="0"/>
        </w:rPr>
        <w:t>preserved CEO</w:t>
      </w:r>
      <w:r>
        <w:rPr>
          <w:snapToGrid w:val="0"/>
        </w:rPr>
        <w:tab/>
        <w:t>Sch. 9.3 cl. 43(1)</w:t>
      </w:r>
    </w:p>
    <w:p>
      <w:pPr>
        <w:pStyle w:val="DefinedTerms"/>
        <w:rPr>
          <w:snapToGrid w:val="0"/>
        </w:rPr>
      </w:pPr>
      <w:r>
        <w:rPr>
          <w:snapToGrid w:val="0"/>
        </w:rPr>
        <w:t>primary return</w:t>
      </w:r>
      <w:r>
        <w:rPr>
          <w:snapToGrid w:val="0"/>
        </w:rPr>
        <w:tab/>
        <w:t>5(1)</w:t>
      </w:r>
    </w:p>
    <w:p>
      <w:pPr>
        <w:pStyle w:val="DefinedTerms"/>
        <w:rPr>
          <w:snapToGrid w:val="0"/>
        </w:rPr>
      </w:pPr>
      <w:r>
        <w:rPr>
          <w:snapToGrid w:val="0"/>
        </w:rPr>
        <w:t>primary standards panel</w:t>
      </w:r>
      <w:r>
        <w:rPr>
          <w:snapToGrid w:val="0"/>
        </w:rPr>
        <w:tab/>
        <w:t>5, 5(1)</w:t>
      </w:r>
    </w:p>
    <w:p>
      <w:pPr>
        <w:pStyle w:val="DefinedTerms"/>
        <w:rPr>
          <w:snapToGrid w:val="0"/>
        </w:rPr>
      </w:pPr>
      <w:r>
        <w:rPr>
          <w:snapToGrid w:val="0"/>
        </w:rPr>
        <w:t>print</w:t>
      </w:r>
      <w:r>
        <w:rPr>
          <w:snapToGrid w:val="0"/>
        </w:rPr>
        <w:tab/>
        <w:t>4(3), 4(4)</w:t>
      </w:r>
    </w:p>
    <w:p>
      <w:pPr>
        <w:pStyle w:val="DefinedTerms"/>
        <w:rPr>
          <w:snapToGrid w:val="0"/>
        </w:rPr>
      </w:pPr>
      <w:r>
        <w:rPr>
          <w:snapToGrid w:val="0"/>
        </w:rPr>
        <w:t>private land</w:t>
      </w:r>
      <w:r>
        <w:rPr>
          <w:snapToGrid w:val="0"/>
        </w:rPr>
        <w:tab/>
        <w:t>Sch. 9.1 cl. 7(1)</w:t>
      </w:r>
    </w:p>
    <w:p>
      <w:pPr>
        <w:pStyle w:val="DefinedTerms"/>
        <w:rPr>
          <w:snapToGrid w:val="0"/>
        </w:rPr>
      </w:pPr>
      <w:r>
        <w:rPr>
          <w:snapToGrid w:val="0"/>
        </w:rPr>
        <w:t>private thoroughfare</w:t>
      </w:r>
      <w:r>
        <w:rPr>
          <w:snapToGrid w:val="0"/>
        </w:rPr>
        <w:tab/>
        <w:t>Sch. 3.1, Sch. 9.1 cl. 7(1)</w:t>
      </w:r>
    </w:p>
    <w:p>
      <w:pPr>
        <w:pStyle w:val="DefinedTerms"/>
        <w:rPr>
          <w:snapToGrid w:val="0"/>
        </w:rPr>
      </w:pPr>
      <w:r>
        <w:rPr>
          <w:snapToGrid w:val="0"/>
        </w:rPr>
        <w:t>proceedings</w:t>
      </w:r>
      <w:r>
        <w:rPr>
          <w:snapToGrid w:val="0"/>
        </w:rPr>
        <w:tab/>
        <w:t>9(1)</w:t>
      </w:r>
    </w:p>
    <w:p>
      <w:pPr>
        <w:pStyle w:val="DefinedTerms"/>
        <w:rPr>
          <w:snapToGrid w:val="0"/>
        </w:rPr>
      </w:pPr>
      <w:r>
        <w:rPr>
          <w:snapToGrid w:val="0"/>
        </w:rPr>
        <w:t>property</w:t>
      </w:r>
      <w:r>
        <w:rPr>
          <w:snapToGrid w:val="0"/>
        </w:rPr>
        <w:tab/>
        <w:t>3(1)</w:t>
      </w:r>
    </w:p>
    <w:p>
      <w:pPr>
        <w:pStyle w:val="DefinedTerms"/>
        <w:rPr>
          <w:snapToGrid w:val="0"/>
        </w:rPr>
      </w:pPr>
      <w:r>
        <w:rPr>
          <w:snapToGrid w:val="0"/>
        </w:rPr>
        <w:t>proposal</w:t>
      </w:r>
      <w:r>
        <w:rPr>
          <w:snapToGrid w:val="0"/>
        </w:rPr>
        <w:tab/>
        <w:t>Sch. 2.1 cl. 1</w:t>
      </w:r>
    </w:p>
    <w:p>
      <w:pPr>
        <w:pStyle w:val="DefinedTerms"/>
        <w:rPr>
          <w:snapToGrid w:val="0"/>
        </w:rPr>
      </w:pPr>
      <w:r>
        <w:rPr>
          <w:snapToGrid w:val="0"/>
        </w:rPr>
        <w:t xml:space="preserve"> proposal land</w:t>
      </w:r>
      <w:r>
        <w:rPr>
          <w:snapToGrid w:val="0"/>
        </w:rPr>
        <w:tab/>
        <w:t>5(2)</w:t>
      </w:r>
    </w:p>
    <w:p>
      <w:pPr>
        <w:pStyle w:val="DefinedTerms"/>
        <w:rPr>
          <w:snapToGrid w:val="0"/>
        </w:rPr>
      </w:pPr>
      <w:r>
        <w:rPr>
          <w:snapToGrid w:val="0"/>
        </w:rPr>
        <w:t>public facility</w:t>
      </w:r>
      <w:r>
        <w:rPr>
          <w:snapToGrid w:val="0"/>
        </w:rPr>
        <w:tab/>
        <w:t>9(4)</w:t>
      </w:r>
    </w:p>
    <w:p>
      <w:pPr>
        <w:pStyle w:val="DefinedTerms"/>
        <w:rPr>
          <w:snapToGrid w:val="0"/>
        </w:rPr>
      </w:pPr>
      <w:r>
        <w:rPr>
          <w:snapToGrid w:val="0"/>
        </w:rPr>
        <w:t>publish</w:t>
      </w:r>
      <w:r>
        <w:rPr>
          <w:snapToGrid w:val="0"/>
        </w:rPr>
        <w:tab/>
        <w:t>4(4), 5(2)</w:t>
      </w:r>
    </w:p>
    <w:p>
      <w:pPr>
        <w:pStyle w:val="DefinedTerms"/>
        <w:rPr>
          <w:snapToGrid w:val="0"/>
        </w:rPr>
      </w:pPr>
      <w:r>
        <w:rPr>
          <w:snapToGrid w:val="0"/>
        </w:rPr>
        <w:t>qualified person</w:t>
      </w:r>
      <w:r>
        <w:rPr>
          <w:snapToGrid w:val="0"/>
        </w:rPr>
        <w:tab/>
        <w:t>7</w:t>
      </w:r>
    </w:p>
    <w:p>
      <w:pPr>
        <w:pStyle w:val="DefinedTerms"/>
        <w:rPr>
          <w:snapToGrid w:val="0"/>
        </w:rPr>
      </w:pPr>
      <w:r>
        <w:rPr>
          <w:snapToGrid w:val="0"/>
        </w:rPr>
        <w:t>rate</w:t>
      </w:r>
      <w:r>
        <w:rPr>
          <w:snapToGrid w:val="0"/>
        </w:rPr>
        <w:tab/>
        <w:t>9(3)</w:t>
      </w:r>
    </w:p>
    <w:p>
      <w:pPr>
        <w:pStyle w:val="DefinedTerms"/>
        <w:rPr>
          <w:snapToGrid w:val="0"/>
        </w:rPr>
      </w:pPr>
      <w:r>
        <w:rPr>
          <w:snapToGrid w:val="0"/>
        </w:rPr>
        <w:t>rate record</w:t>
      </w:r>
      <w:r>
        <w:rPr>
          <w:snapToGrid w:val="0"/>
        </w:rPr>
        <w:tab/>
        <w:t>6</w:t>
      </w:r>
    </w:p>
    <w:p>
      <w:pPr>
        <w:pStyle w:val="DefinedTerms"/>
        <w:rPr>
          <w:snapToGrid w:val="0"/>
        </w:rPr>
      </w:pPr>
      <w:r>
        <w:rPr>
          <w:snapToGrid w:val="0"/>
        </w:rPr>
        <w:t>recurrent breach</w:t>
      </w:r>
      <w:r>
        <w:rPr>
          <w:snapToGrid w:val="0"/>
        </w:rPr>
        <w:tab/>
        <w:t>5</w:t>
      </w:r>
    </w:p>
    <w:p>
      <w:pPr>
        <w:pStyle w:val="DefinedTerms"/>
        <w:rPr>
          <w:snapToGrid w:val="0"/>
        </w:rPr>
      </w:pPr>
      <w:r>
        <w:rPr>
          <w:snapToGrid w:val="0"/>
        </w:rPr>
        <w:t>regional purpose</w:t>
      </w:r>
      <w:r>
        <w:rPr>
          <w:snapToGrid w:val="0"/>
        </w:rPr>
        <w:tab/>
        <w:t>3(2)</w:t>
      </w:r>
    </w:p>
    <w:p>
      <w:pPr>
        <w:pStyle w:val="DefinedTerms"/>
        <w:rPr>
          <w:snapToGrid w:val="0"/>
        </w:rPr>
      </w:pPr>
      <w:r>
        <w:rPr>
          <w:snapToGrid w:val="0"/>
        </w:rPr>
        <w:t>registered company auditor</w:t>
      </w:r>
      <w:r>
        <w:rPr>
          <w:snapToGrid w:val="0"/>
        </w:rPr>
        <w:tab/>
        <w:t>7</w:t>
      </w:r>
    </w:p>
    <w:p>
      <w:pPr>
        <w:pStyle w:val="DefinedTerms"/>
        <w:rPr>
          <w:snapToGrid w:val="0"/>
        </w:rPr>
      </w:pPr>
      <w:r>
        <w:rPr>
          <w:snapToGrid w:val="0"/>
        </w:rPr>
        <w:t>regulations</w:t>
      </w:r>
      <w:r>
        <w:rPr>
          <w:snapToGrid w:val="0"/>
        </w:rPr>
        <w:tab/>
        <w:t>7</w:t>
      </w:r>
    </w:p>
    <w:p>
      <w:pPr>
        <w:pStyle w:val="DefinedTerms"/>
        <w:rPr>
          <w:snapToGrid w:val="0"/>
        </w:rPr>
      </w:pPr>
      <w:r>
        <w:rPr>
          <w:snapToGrid w:val="0"/>
        </w:rPr>
        <w:t>relative</w:t>
      </w:r>
      <w:r>
        <w:rPr>
          <w:snapToGrid w:val="0"/>
        </w:rPr>
        <w:tab/>
        <w:t>5(1)</w:t>
      </w:r>
    </w:p>
    <w:p>
      <w:pPr>
        <w:pStyle w:val="DefinedTerms"/>
        <w:rPr>
          <w:snapToGrid w:val="0"/>
        </w:rPr>
      </w:pPr>
      <w:r>
        <w:rPr>
          <w:snapToGrid w:val="0"/>
        </w:rPr>
        <w:t>relevant district</w:t>
      </w:r>
      <w:r>
        <w:rPr>
          <w:snapToGrid w:val="0"/>
        </w:rPr>
        <w:tab/>
        <w:t>2(2)</w:t>
      </w:r>
    </w:p>
    <w:p>
      <w:pPr>
        <w:pStyle w:val="DefinedTerms"/>
        <w:rPr>
          <w:snapToGrid w:val="0"/>
        </w:rPr>
      </w:pPr>
      <w:r>
        <w:rPr>
          <w:snapToGrid w:val="0"/>
        </w:rPr>
        <w:t>relevant interest</w:t>
      </w:r>
      <w:r>
        <w:rPr>
          <w:snapToGrid w:val="0"/>
        </w:rPr>
        <w:tab/>
        <w:t>6(1)</w:t>
      </w:r>
    </w:p>
    <w:p>
      <w:pPr>
        <w:pStyle w:val="DefinedTerms"/>
        <w:rPr>
          <w:snapToGrid w:val="0"/>
        </w:rPr>
      </w:pPr>
      <w:r>
        <w:rPr>
          <w:snapToGrid w:val="0"/>
        </w:rPr>
        <w:t>relevant period</w:t>
      </w:r>
      <w:r>
        <w:rPr>
          <w:snapToGrid w:val="0"/>
        </w:rPr>
        <w:tab/>
        <w:t>4(4)</w:t>
      </w:r>
    </w:p>
    <w:p>
      <w:pPr>
        <w:pStyle w:val="DefinedTerms"/>
        <w:rPr>
          <w:snapToGrid w:val="0"/>
        </w:rPr>
      </w:pPr>
      <w:r>
        <w:rPr>
          <w:snapToGrid w:val="0"/>
        </w:rPr>
        <w:t>relevant person</w:t>
      </w:r>
      <w:r>
        <w:rPr>
          <w:snapToGrid w:val="0"/>
        </w:rPr>
        <w:tab/>
        <w:t>5, 5(1)</w:t>
      </w:r>
    </w:p>
    <w:p>
      <w:pPr>
        <w:pStyle w:val="DefinedTerms"/>
        <w:rPr>
          <w:snapToGrid w:val="0"/>
        </w:rPr>
      </w:pPr>
      <w:r>
        <w:rPr>
          <w:snapToGrid w:val="0"/>
        </w:rPr>
        <w:t>return</w:t>
      </w:r>
      <w:r>
        <w:rPr>
          <w:snapToGrid w:val="0"/>
        </w:rPr>
        <w:tab/>
        <w:t>5(1)</w:t>
      </w:r>
    </w:p>
    <w:p>
      <w:pPr>
        <w:pStyle w:val="DefinedTerms"/>
        <w:rPr>
          <w:snapToGrid w:val="0"/>
        </w:rPr>
      </w:pPr>
      <w:r>
        <w:rPr>
          <w:snapToGrid w:val="0"/>
        </w:rPr>
        <w:t>return period</w:t>
      </w:r>
      <w:r>
        <w:rPr>
          <w:snapToGrid w:val="0"/>
        </w:rPr>
        <w:tab/>
        <w:t>5(1)</w:t>
      </w:r>
    </w:p>
    <w:p>
      <w:pPr>
        <w:pStyle w:val="DefinedTerms"/>
        <w:rPr>
          <w:snapToGrid w:val="0"/>
        </w:rPr>
      </w:pPr>
      <w:r>
        <w:rPr>
          <w:snapToGrid w:val="0"/>
        </w:rPr>
        <w:t>review</w:t>
      </w:r>
      <w:r>
        <w:rPr>
          <w:snapToGrid w:val="0"/>
        </w:rPr>
        <w:tab/>
        <w:t>Sch. 2.2 cl. 1</w:t>
      </w:r>
    </w:p>
    <w:p>
      <w:pPr>
        <w:pStyle w:val="DefinedTerms"/>
        <w:rPr>
          <w:snapToGrid w:val="0"/>
        </w:rPr>
      </w:pPr>
      <w:r>
        <w:rPr>
          <w:snapToGrid w:val="0"/>
        </w:rPr>
        <w:t>reward</w:t>
      </w:r>
      <w:r>
        <w:rPr>
          <w:snapToGrid w:val="0"/>
        </w:rPr>
        <w:tab/>
        <w:t>4(4)</w:t>
      </w:r>
    </w:p>
    <w:p>
      <w:pPr>
        <w:pStyle w:val="DefinedTerms"/>
        <w:rPr>
          <w:snapToGrid w:val="0"/>
        </w:rPr>
      </w:pPr>
      <w:r>
        <w:rPr>
          <w:snapToGrid w:val="0"/>
        </w:rPr>
        <w:t>rules of conduct</w:t>
      </w:r>
      <w:r>
        <w:rPr>
          <w:snapToGrid w:val="0"/>
        </w:rPr>
        <w:tab/>
        <w:t>5</w:t>
      </w:r>
    </w:p>
    <w:p>
      <w:pPr>
        <w:pStyle w:val="DefinedTerms"/>
        <w:rPr>
          <w:snapToGrid w:val="0"/>
        </w:rPr>
      </w:pPr>
      <w:r>
        <w:rPr>
          <w:snapToGrid w:val="0"/>
        </w:rPr>
        <w:t>senior employee</w:t>
      </w:r>
      <w:r>
        <w:rPr>
          <w:snapToGrid w:val="0"/>
        </w:rPr>
        <w:tab/>
        <w:t>Sch. 9.3 cl. 1</w:t>
      </w:r>
    </w:p>
    <w:p>
      <w:pPr>
        <w:pStyle w:val="DefinedTerms"/>
        <w:rPr>
          <w:snapToGrid w:val="0"/>
        </w:rPr>
      </w:pPr>
      <w:r>
        <w:rPr>
          <w:snapToGrid w:val="0"/>
        </w:rPr>
        <w:t>serious breach</w:t>
      </w:r>
      <w:r>
        <w:rPr>
          <w:snapToGrid w:val="0"/>
        </w:rPr>
        <w:tab/>
        <w:t>5</w:t>
      </w:r>
    </w:p>
    <w:p>
      <w:pPr>
        <w:pStyle w:val="DefinedTerms"/>
        <w:rPr>
          <w:snapToGrid w:val="0"/>
        </w:rPr>
      </w:pPr>
      <w:r>
        <w:rPr>
          <w:snapToGrid w:val="0"/>
        </w:rPr>
        <w:t>serious local government offence</w:t>
      </w:r>
      <w:r>
        <w:rPr>
          <w:snapToGrid w:val="0"/>
        </w:rPr>
        <w:tab/>
        <w:t>2(3)</w:t>
      </w:r>
    </w:p>
    <w:p>
      <w:pPr>
        <w:pStyle w:val="DefinedTerms"/>
        <w:rPr>
          <w:snapToGrid w:val="0"/>
        </w:rPr>
      </w:pPr>
      <w:r>
        <w:rPr>
          <w:snapToGrid w:val="0"/>
        </w:rPr>
        <w:t>service charge</w:t>
      </w:r>
      <w:r>
        <w:rPr>
          <w:snapToGrid w:val="0"/>
        </w:rPr>
        <w:tab/>
        <w:t>6, 6, 6, 6</w:t>
      </w:r>
    </w:p>
    <w:p>
      <w:pPr>
        <w:pStyle w:val="DefinedTerms"/>
        <w:rPr>
          <w:snapToGrid w:val="0"/>
        </w:rPr>
      </w:pPr>
      <w:r>
        <w:rPr>
          <w:snapToGrid w:val="0"/>
        </w:rPr>
        <w:t>show cause notice</w:t>
      </w:r>
      <w:r>
        <w:rPr>
          <w:snapToGrid w:val="0"/>
        </w:rPr>
        <w:tab/>
        <w:t>8(1)</w:t>
      </w:r>
    </w:p>
    <w:p>
      <w:pPr>
        <w:pStyle w:val="DefinedTerms"/>
        <w:rPr>
          <w:snapToGrid w:val="0"/>
        </w:rPr>
      </w:pPr>
      <w:r>
        <w:rPr>
          <w:snapToGrid w:val="0"/>
        </w:rPr>
        <w:t>Special majority required</w:t>
      </w:r>
      <w:r>
        <w:rPr>
          <w:snapToGrid w:val="0"/>
        </w:rPr>
        <w:tab/>
        <w:t>1</w:t>
      </w:r>
    </w:p>
    <w:p>
      <w:pPr>
        <w:pStyle w:val="DefinedTerms"/>
        <w:rPr>
          <w:snapToGrid w:val="0"/>
        </w:rPr>
      </w:pPr>
      <w:r>
        <w:rPr>
          <w:snapToGrid w:val="0"/>
        </w:rPr>
        <w:t>specified</w:t>
      </w:r>
      <w:r>
        <w:rPr>
          <w:snapToGrid w:val="0"/>
        </w:rPr>
        <w:tab/>
        <w:t>3</w:t>
      </w:r>
    </w:p>
    <w:p>
      <w:pPr>
        <w:pStyle w:val="DefinedTerms"/>
        <w:rPr>
          <w:snapToGrid w:val="0"/>
        </w:rPr>
      </w:pPr>
      <w:r>
        <w:rPr>
          <w:snapToGrid w:val="0"/>
        </w:rPr>
        <w:t>specified area rate</w:t>
      </w:r>
      <w:r>
        <w:rPr>
          <w:snapToGrid w:val="0"/>
        </w:rPr>
        <w:tab/>
        <w:t>6</w:t>
      </w:r>
    </w:p>
    <w:p>
      <w:pPr>
        <w:pStyle w:val="DefinedTerms"/>
        <w:rPr>
          <w:snapToGrid w:val="0"/>
        </w:rPr>
      </w:pPr>
      <w:r>
        <w:rPr>
          <w:snapToGrid w:val="0"/>
        </w:rPr>
        <w:t>stand</w:t>
      </w:r>
      <w:r>
        <w:rPr>
          <w:snapToGrid w:val="0"/>
        </w:rPr>
        <w:tab/>
        <w:t>Sch. 9.1 cl. 1(1)</w:t>
      </w:r>
    </w:p>
    <w:p>
      <w:pPr>
        <w:pStyle w:val="DefinedTerms"/>
        <w:rPr>
          <w:snapToGrid w:val="0"/>
        </w:rPr>
      </w:pPr>
      <w:r>
        <w:rPr>
          <w:snapToGrid w:val="0"/>
        </w:rPr>
        <w:t>standards panel</w:t>
      </w:r>
      <w:r>
        <w:rPr>
          <w:snapToGrid w:val="0"/>
        </w:rPr>
        <w:tab/>
        <w:t>5</w:t>
      </w:r>
    </w:p>
    <w:p>
      <w:pPr>
        <w:pStyle w:val="DefinedTerms"/>
        <w:rPr>
          <w:snapToGrid w:val="0"/>
        </w:rPr>
      </w:pPr>
      <w:r>
        <w:rPr>
          <w:snapToGrid w:val="0"/>
        </w:rPr>
        <w:t>start day</w:t>
      </w:r>
      <w:r>
        <w:rPr>
          <w:snapToGrid w:val="0"/>
        </w:rPr>
        <w:tab/>
        <w:t>5(1)</w:t>
      </w:r>
    </w:p>
    <w:p>
      <w:pPr>
        <w:pStyle w:val="DefinedTerms"/>
        <w:rPr>
          <w:snapToGrid w:val="0"/>
        </w:rPr>
      </w:pPr>
      <w:r>
        <w:rPr>
          <w:snapToGrid w:val="0"/>
        </w:rPr>
        <w:t>Statewide public notice</w:t>
      </w:r>
      <w:r>
        <w:rPr>
          <w:snapToGrid w:val="0"/>
        </w:rPr>
        <w:tab/>
        <w:t>1</w:t>
      </w:r>
    </w:p>
    <w:p>
      <w:pPr>
        <w:pStyle w:val="DefinedTerms"/>
        <w:rPr>
          <w:snapToGrid w:val="0"/>
        </w:rPr>
      </w:pPr>
      <w:r>
        <w:rPr>
          <w:snapToGrid w:val="0"/>
        </w:rPr>
        <w:t>statutory provision administered by the local government</w:t>
      </w:r>
      <w:r>
        <w:rPr>
          <w:snapToGrid w:val="0"/>
        </w:rPr>
        <w:tab/>
        <w:t>9(2)</w:t>
      </w:r>
    </w:p>
    <w:p>
      <w:pPr>
        <w:pStyle w:val="DefinedTerms"/>
        <w:rPr>
          <w:snapToGrid w:val="0"/>
        </w:rPr>
      </w:pPr>
      <w:r>
        <w:rPr>
          <w:snapToGrid w:val="0"/>
        </w:rPr>
        <w:t>submission</w:t>
      </w:r>
      <w:r>
        <w:rPr>
          <w:snapToGrid w:val="0"/>
        </w:rPr>
        <w:tab/>
        <w:t>Sch. 2.2 cl. 1</w:t>
      </w:r>
    </w:p>
    <w:p>
      <w:pPr>
        <w:pStyle w:val="DefinedTerms"/>
        <w:rPr>
          <w:snapToGrid w:val="0"/>
        </w:rPr>
      </w:pPr>
      <w:r>
        <w:rPr>
          <w:snapToGrid w:val="0"/>
        </w:rPr>
        <w:t>suspended order</w:t>
      </w:r>
      <w:r>
        <w:rPr>
          <w:snapToGrid w:val="0"/>
        </w:rPr>
        <w:tab/>
        <w:t>5(2)</w:t>
      </w:r>
    </w:p>
    <w:p>
      <w:pPr>
        <w:pStyle w:val="DefinedTerms"/>
        <w:rPr>
          <w:snapToGrid w:val="0"/>
        </w:rPr>
      </w:pPr>
      <w:r>
        <w:rPr>
          <w:snapToGrid w:val="0"/>
        </w:rPr>
        <w:t>the authorised person</w:t>
      </w:r>
      <w:r>
        <w:rPr>
          <w:snapToGrid w:val="0"/>
        </w:rPr>
        <w:tab/>
        <w:t>8(6)</w:t>
      </w:r>
    </w:p>
    <w:p>
      <w:pPr>
        <w:pStyle w:val="DefinedTerms"/>
        <w:rPr>
          <w:snapToGrid w:val="0"/>
        </w:rPr>
      </w:pPr>
      <w:r>
        <w:rPr>
          <w:snapToGrid w:val="0"/>
        </w:rPr>
        <w:t>this Act</w:t>
      </w:r>
      <w:r>
        <w:rPr>
          <w:snapToGrid w:val="0"/>
        </w:rPr>
        <w:tab/>
        <w:t>4</w:t>
      </w:r>
    </w:p>
    <w:p>
      <w:pPr>
        <w:pStyle w:val="DefinedTerms"/>
        <w:rPr>
          <w:snapToGrid w:val="0"/>
        </w:rPr>
      </w:pPr>
      <w:r>
        <w:rPr>
          <w:snapToGrid w:val="0"/>
        </w:rPr>
        <w:t>this Part</w:t>
      </w:r>
      <w:r>
        <w:rPr>
          <w:snapToGrid w:val="0"/>
        </w:rPr>
        <w:tab/>
        <w:t>4</w:t>
      </w:r>
    </w:p>
    <w:p>
      <w:pPr>
        <w:pStyle w:val="DefinedTerms"/>
        <w:rPr>
          <w:snapToGrid w:val="0"/>
        </w:rPr>
      </w:pPr>
      <w:r>
        <w:rPr>
          <w:snapToGrid w:val="0"/>
        </w:rPr>
        <w:t>thoroughfare</w:t>
      </w:r>
      <w:r>
        <w:rPr>
          <w:snapToGrid w:val="0"/>
        </w:rPr>
        <w:tab/>
        <w:t>1</w:t>
      </w:r>
    </w:p>
    <w:p>
      <w:pPr>
        <w:pStyle w:val="DefinedTerms"/>
        <w:rPr>
          <w:snapToGrid w:val="0"/>
        </w:rPr>
      </w:pPr>
      <w:r>
        <w:rPr>
          <w:snapToGrid w:val="0"/>
        </w:rPr>
        <w:t>trading undertaking</w:t>
      </w:r>
      <w:r>
        <w:rPr>
          <w:snapToGrid w:val="0"/>
        </w:rPr>
        <w:tab/>
        <w:t>3(1)</w:t>
      </w:r>
    </w:p>
    <w:p>
      <w:pPr>
        <w:pStyle w:val="DefinedTerms"/>
        <w:rPr>
          <w:snapToGrid w:val="0"/>
        </w:rPr>
      </w:pPr>
      <w:r>
        <w:rPr>
          <w:snapToGrid w:val="0"/>
        </w:rPr>
        <w:t>travel</w:t>
      </w:r>
      <w:r>
        <w:rPr>
          <w:snapToGrid w:val="0"/>
        </w:rPr>
        <w:tab/>
        <w:t>5(4)</w:t>
      </w:r>
    </w:p>
    <w:p>
      <w:pPr>
        <w:pStyle w:val="DefinedTerms"/>
        <w:rPr>
          <w:snapToGrid w:val="0"/>
        </w:rPr>
      </w:pPr>
      <w:r>
        <w:rPr>
          <w:snapToGrid w:val="0"/>
        </w:rPr>
        <w:t>trust fund</w:t>
      </w:r>
      <w:r>
        <w:rPr>
          <w:snapToGrid w:val="0"/>
        </w:rPr>
        <w:tab/>
        <w:t>6</w:t>
      </w:r>
    </w:p>
    <w:p>
      <w:pPr>
        <w:pStyle w:val="DefinedTerms"/>
        <w:rPr>
          <w:snapToGrid w:val="0"/>
        </w:rPr>
      </w:pPr>
      <w:r>
        <w:rPr>
          <w:snapToGrid w:val="0"/>
        </w:rPr>
        <w:t>unimproved value</w:t>
      </w:r>
      <w:r>
        <w:rPr>
          <w:snapToGrid w:val="0"/>
        </w:rPr>
        <w:tab/>
        <w:t>6</w:t>
      </w:r>
    </w:p>
    <w:p>
      <w:pPr>
        <w:pStyle w:val="DefinedTerms"/>
        <w:rPr>
          <w:snapToGrid w:val="0"/>
        </w:rPr>
      </w:pPr>
      <w:r>
        <w:rPr>
          <w:snapToGrid w:val="0"/>
        </w:rPr>
        <w:t>unsightly</w:t>
      </w:r>
      <w:r>
        <w:rPr>
          <w:snapToGrid w:val="0"/>
        </w:rPr>
        <w:tab/>
        <w:t>Sch. 3.1</w:t>
      </w:r>
    </w:p>
    <w:p>
      <w:pPr>
        <w:pStyle w:val="DefinedTerms"/>
        <w:rPr>
          <w:snapToGrid w:val="0"/>
        </w:rPr>
      </w:pPr>
      <w:r>
        <w:rPr>
          <w:snapToGrid w:val="0"/>
        </w:rPr>
        <w:t>vacant land</w:t>
      </w:r>
      <w:r>
        <w:rPr>
          <w:snapToGrid w:val="0"/>
        </w:rPr>
        <w:tab/>
        <w:t>6</w:t>
      </w:r>
    </w:p>
    <w:p>
      <w:pPr>
        <w:pStyle w:val="DefinedTerms"/>
        <w:rPr>
          <w:snapToGrid w:val="0"/>
        </w:rPr>
      </w:pPr>
      <w:r>
        <w:rPr>
          <w:snapToGrid w:val="0"/>
        </w:rPr>
        <w:t>value</w:t>
      </w:r>
      <w:r>
        <w:rPr>
          <w:snapToGrid w:val="0"/>
        </w:rPr>
        <w:tab/>
        <w:t>5(2)</w:t>
      </w:r>
    </w:p>
    <w:p>
      <w:pPr>
        <w:pStyle w:val="DefinedTerms"/>
        <w:rPr>
          <w:snapToGrid w:val="0"/>
        </w:rPr>
      </w:pPr>
      <w:r>
        <w:rPr>
          <w:snapToGrid w:val="0"/>
        </w:rPr>
        <w:t>vehicle</w:t>
      </w:r>
      <w:r>
        <w:rPr>
          <w:snapToGrid w:val="0"/>
        </w:rPr>
        <w:tab/>
        <w:t>3</w:t>
      </w:r>
    </w:p>
    <w:p>
      <w:pPr>
        <w:pStyle w:val="DefinedTerms"/>
        <w:rPr>
          <w:snapToGrid w:val="0"/>
        </w:rPr>
      </w:pPr>
      <w:r>
        <w:rPr>
          <w:snapToGrid w:val="0"/>
        </w:rPr>
        <w:t>vehicle offence</w:t>
      </w:r>
      <w:r>
        <w:rPr>
          <w:snapToGrid w:val="0"/>
        </w:rPr>
        <w:tab/>
        <w:t>9(1)</w:t>
      </w:r>
    </w:p>
    <w:p>
      <w:pPr>
        <w:pStyle w:val="DefinedTerms"/>
        <w:rPr>
          <w:snapToGrid w:val="0"/>
        </w:rPr>
      </w:pPr>
      <w:r>
        <w:rPr>
          <w:snapToGrid w:val="0"/>
        </w:rPr>
        <w:t>voting in person election</w:t>
      </w:r>
      <w:r>
        <w:rPr>
          <w:snapToGrid w:val="0"/>
        </w:rPr>
        <w:tab/>
        <w:t>4(1)</w:t>
      </w:r>
    </w:p>
    <w:p>
      <w:pPr>
        <w:pStyle w:val="DefinedTerms"/>
        <w:rPr>
          <w:snapToGrid w:val="0"/>
        </w:rPr>
      </w:pPr>
      <w:r>
        <w:rPr>
          <w:snapToGrid w:val="0"/>
        </w:rPr>
        <w:t>voting papers</w:t>
      </w:r>
      <w:r>
        <w:rPr>
          <w:snapToGrid w:val="0"/>
        </w:rPr>
        <w:tab/>
        <w:t>4(2)</w:t>
      </w:r>
    </w:p>
    <w:p>
      <w:pPr>
        <w:pStyle w:val="DefinedTerms"/>
        <w:rPr>
          <w:snapToGrid w:val="0"/>
        </w:rPr>
      </w:pPr>
      <w:r>
        <w:rPr>
          <w:snapToGrid w:val="0"/>
        </w:rPr>
        <w:t>WALGA</w:t>
      </w:r>
      <w:r>
        <w:rPr>
          <w:snapToGrid w:val="0"/>
        </w:rPr>
        <w:tab/>
        <w:t>1</w:t>
      </w:r>
    </w:p>
    <w:p>
      <w:pPr>
        <w:pStyle w:val="DefinedTerms"/>
        <w:rPr>
          <w:snapToGrid w:val="0"/>
        </w:rPr>
      </w:pPr>
      <w:r>
        <w:rPr>
          <w:snapToGrid w:val="0"/>
        </w:rPr>
        <w:t>ward</w:t>
      </w:r>
      <w:r>
        <w:rPr>
          <w:snapToGrid w:val="0"/>
        </w:rPr>
        <w:tab/>
        <w:t>1</w:t>
      </w:r>
    </w:p>
    <w:p>
      <w:pPr>
        <w:pStyle w:val="DefinedTerms"/>
        <w:rPr>
          <w:snapToGrid w:val="0"/>
        </w:rPr>
      </w:pPr>
      <w:r>
        <w:rPr>
          <w:snapToGrid w:val="0"/>
        </w:rPr>
        <w:t>WCIM Act</w:t>
      </w:r>
      <w:r>
        <w:rPr>
          <w:snapToGrid w:val="0"/>
        </w:rPr>
        <w:tab/>
        <w:t>5(1)</w:t>
      </w:r>
    </w:p>
    <w:p>
      <w:pPr>
        <w:pStyle w:val="DefinedTerms"/>
        <w:rPr>
          <w:snapToGrid w:val="0"/>
        </w:rPr>
      </w:pPr>
      <w:r>
        <w:rPr>
          <w:snapToGrid w:val="0"/>
        </w:rPr>
        <w:t>WorkCover WA</w:t>
      </w:r>
      <w:r>
        <w:rPr>
          <w:snapToGrid w:val="0"/>
        </w:rPr>
        <w:tab/>
        <w:t>5(1)</w:t>
      </w:r>
    </w:p>
    <w:p>
      <w:pPr>
        <w:rPr>
          <w:snapToGrid w:val="0"/>
        </w:rPr>
      </w:pPr>
    </w:p>
    <w:p>
      <w:pPr>
        <w:rPr>
          <w:snapToGrid w:val="0"/>
        </w:rPr>
        <w:sectPr>
          <w:headerReference w:type="even" r:id="rId34"/>
          <w:headerReference w:type="default" r:id="rId35"/>
          <w:pgSz w:w="11907" w:h="16840" w:code="9"/>
          <w:pgMar w:top="2381" w:right="2409" w:bottom="3543" w:left="2409" w:header="720" w:footer="3380" w:gutter="0"/>
          <w:cols w:space="720"/>
          <w:noEndnote/>
          <w:docGrid w:linePitch="326"/>
        </w:sectPr>
      </w:pPr>
    </w:p>
    <w:p>
      <w:pPr>
        <w:rPr>
          <w:snapToGrid w:val="0"/>
        </w:rPr>
      </w:pPr>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07-e0-01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07-e0-01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448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449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532" w:name="Schedule"/>
    <w:bookmarkEnd w:id="1532"/>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2.5</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Provisions about the Local Government Advisory Board</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Provisions about the Local Government Advisory Board</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2.5</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4.2</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Order of retirement from office of councillors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Order of retirement from office of councillors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4.2</w: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985" w:name="Compilation"/>
    <w:bookmarkEnd w:id="1985"/>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987" w:name="DefinedTerms"/>
    <w:bookmarkEnd w:id="1987"/>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988" w:name="Coversheet"/>
    <w:bookmarkEnd w:id="198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CC4FF4"/>
    <w:lvl w:ilvl="0">
      <w:start w:val="1"/>
      <w:numFmt w:val="decimal"/>
      <w:lvlText w:val="%1."/>
      <w:lvlJc w:val="left"/>
      <w:pPr>
        <w:tabs>
          <w:tab w:val="num" w:pos="1492"/>
        </w:tabs>
        <w:ind w:left="1492" w:hanging="360"/>
      </w:pPr>
    </w:lvl>
  </w:abstractNum>
  <w:abstractNum w:abstractNumId="1">
    <w:nsid w:val="FFFFFF7D"/>
    <w:multiLevelType w:val="singleLevel"/>
    <w:tmpl w:val="0DA0194C"/>
    <w:lvl w:ilvl="0">
      <w:start w:val="1"/>
      <w:numFmt w:val="decimal"/>
      <w:lvlText w:val="%1."/>
      <w:lvlJc w:val="left"/>
      <w:pPr>
        <w:tabs>
          <w:tab w:val="num" w:pos="1209"/>
        </w:tabs>
        <w:ind w:left="1209" w:hanging="360"/>
      </w:pPr>
    </w:lvl>
  </w:abstractNum>
  <w:abstractNum w:abstractNumId="2">
    <w:nsid w:val="FFFFFF7E"/>
    <w:multiLevelType w:val="singleLevel"/>
    <w:tmpl w:val="897CF92E"/>
    <w:lvl w:ilvl="0">
      <w:start w:val="1"/>
      <w:numFmt w:val="decimal"/>
      <w:lvlText w:val="%1."/>
      <w:lvlJc w:val="left"/>
      <w:pPr>
        <w:tabs>
          <w:tab w:val="num" w:pos="926"/>
        </w:tabs>
        <w:ind w:left="926" w:hanging="360"/>
      </w:pPr>
    </w:lvl>
  </w:abstractNum>
  <w:abstractNum w:abstractNumId="3">
    <w:nsid w:val="FFFFFF7F"/>
    <w:multiLevelType w:val="singleLevel"/>
    <w:tmpl w:val="5B74CDAA"/>
    <w:lvl w:ilvl="0">
      <w:start w:val="1"/>
      <w:numFmt w:val="decimal"/>
      <w:lvlText w:val="%1."/>
      <w:lvlJc w:val="left"/>
      <w:pPr>
        <w:tabs>
          <w:tab w:val="num" w:pos="643"/>
        </w:tabs>
        <w:ind w:left="643" w:hanging="360"/>
      </w:pPr>
    </w:lvl>
  </w:abstractNum>
  <w:abstractNum w:abstractNumId="4">
    <w:nsid w:val="FFFFFF80"/>
    <w:multiLevelType w:val="singleLevel"/>
    <w:tmpl w:val="C8A4E5C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BF25A8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AD16AEB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DCF2CF9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CDEC02E"/>
    <w:lvl w:ilvl="0">
      <w:start w:val="1"/>
      <w:numFmt w:val="decimal"/>
      <w:lvlText w:val="%1."/>
      <w:lvlJc w:val="left"/>
      <w:pPr>
        <w:tabs>
          <w:tab w:val="num" w:pos="360"/>
        </w:tabs>
        <w:ind w:left="360" w:hanging="360"/>
      </w:pPr>
    </w:lvl>
  </w:abstractNum>
  <w:abstractNum w:abstractNumId="9">
    <w:nsid w:val="FFFFFF89"/>
    <w:multiLevelType w:val="singleLevel"/>
    <w:tmpl w:val="E30E1A36"/>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6EE0E93"/>
    <w:multiLevelType w:val="multilevel"/>
    <w:tmpl w:val="BD6AFB78"/>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nsid w:val="3C2808C0"/>
    <w:multiLevelType w:val="singleLevel"/>
    <w:tmpl w:val="C81082C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412100325"/>
    <w:docVar w:name="WAFER_20140110160543" w:val="RemoveTocBookmarks,RemoveUnusedBookmarks,RemoveLanguageTags,UsedStyles,ResetPageSize,UpdateArrangement"/>
    <w:docVar w:name="WAFER_20140110160543_GUID" w:val="46fca426-11ff-4433-a6f3-75925d466735"/>
    <w:docVar w:name="WAFER_20140110160829" w:val="RemoveTocBookmarks,RunningHeaders"/>
    <w:docVar w:name="WAFER_20140110160829_GUID" w:val="2ed70dd9-6cf7-4c34-afd5-ab31c983018c"/>
    <w:docVar w:name="WAFER_20150415152221" w:val="ResetPageSize,UpdateArrangement,UpdateNTable"/>
    <w:docVar w:name="WAFER_20150415152221_GUID" w:val="921e7ff1-0535-4cea-8105-90f7c03676ee"/>
    <w:docVar w:name="WAFER_20151102140116" w:val="UpdateStyles"/>
    <w:docVar w:name="WAFER_20151102140116_GUID" w:val="24a6bd84-4071-44c7-85af-3b99e60d7ec3"/>
    <w:docVar w:name="WAFER_20151103164725" w:val="UsedStyles"/>
    <w:docVar w:name="WAFER_20151103164725_GUID" w:val="c68865ed-7faf-401c-ac89-15bc8401deb4"/>
    <w:docVar w:name="WAFER_20160119110658" w:val="RemoveTocBookmarks,RemoveUnusedBookmarks,RemoveLanguageTags,UsedStyles,ResetPageSize,RemoveCustomizations"/>
    <w:docVar w:name="WAFER_20160119110658_GUID" w:val="a4756736-3e80-40cf-8d4d-f49e0e315205"/>
    <w:docVar w:name="WAFER_20160412100325" w:val="RemoveTocBookmarks,RemoveUnusedBookmarks,RemoveLanguageTags,UsedStyles,RemoveTrackChanges"/>
    <w:docVar w:name="WAFER_20160412100325_GUID" w:val="960893dc-8a03-4c3c-b4c9-742ee93ac06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491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otesPerm">
    <w:name w:val="NotesPerm"/>
    <w:basedOn w:val="Normal"/>
    <w:pPr>
      <w:tabs>
        <w:tab w:val="left" w:pos="879"/>
      </w:tabs>
      <w:spacing w:before="160"/>
      <w:ind w:left="879" w:hanging="879"/>
    </w:pPr>
    <w:rPr>
      <w:rFonts w:ascii="Arial" w:hAnsi="Arial"/>
      <w:sz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otesPerm">
    <w:name w:val="NotesPerm"/>
    <w:basedOn w:val="Normal"/>
    <w:pPr>
      <w:tabs>
        <w:tab w:val="left" w:pos="879"/>
      </w:tabs>
      <w:spacing w:before="160"/>
      <w:ind w:left="879" w:hanging="879"/>
    </w:pPr>
    <w:rPr>
      <w:rFonts w:ascii="Arial" w:hAnsi="Arial"/>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8.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image" Target="media/image2.png"/><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765504-D7D4-47F8-82F5-A90C93B8A9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481</Pages>
  <Words>126478</Words>
  <Characters>595716</Characters>
  <Application>Microsoft Office Word</Application>
  <DocSecurity>0</DocSecurity>
  <Lines>16100</Lines>
  <Paragraphs>9258</Paragraphs>
  <ScaleCrop>false</ScaleCrop>
  <HeadingPairs>
    <vt:vector size="2" baseType="variant">
      <vt:variant>
        <vt:lpstr>Title</vt:lpstr>
      </vt:variant>
      <vt:variant>
        <vt:i4>1</vt:i4>
      </vt:variant>
    </vt:vector>
  </HeadingPairs>
  <TitlesOfParts>
    <vt:vector size="1" baseType="lpstr">
      <vt:lpstr>Local Government Act 1995</vt:lpstr>
    </vt:vector>
  </TitlesOfParts>
  <Manager/>
  <Company/>
  <LinksUpToDate>false</LinksUpToDate>
  <CharactersWithSpaces>712936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1995 - 07-e0-01</dc:title>
  <dc:subject/>
  <dc:creator/>
  <cp:keywords/>
  <dc:description/>
  <cp:lastModifiedBy>svcMRProcess</cp:lastModifiedBy>
  <cp:revision>4</cp:revision>
  <cp:lastPrinted>2016-05-16T08:32:00Z</cp:lastPrinted>
  <dcterms:created xsi:type="dcterms:W3CDTF">2018-09-05T05:24:00Z</dcterms:created>
  <dcterms:modified xsi:type="dcterms:W3CDTF">2018-09-05T05:24:00Z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DocumentType">
    <vt:lpwstr>Act</vt:lpwstr>
  </property>
  <property fmtid="{D5CDD505-2E9C-101B-9397-08002B2CF9AE}" pid="4" name="OwlsUID">
    <vt:i4>465</vt:i4>
  </property>
  <property fmtid="{D5CDD505-2E9C-101B-9397-08002B2CF9AE}" pid="5" name="ReprintedAsAt">
    <vt:filetime>2016-05-12T16:00:00Z</vt:filetime>
  </property>
  <property fmtid="{D5CDD505-2E9C-101B-9397-08002B2CF9AE}" pid="6" name="ReprintNo">
    <vt:lpwstr>7</vt:lpwstr>
  </property>
  <property fmtid="{D5CDD505-2E9C-101B-9397-08002B2CF9AE}" pid="7" name="AsAtDate">
    <vt:lpwstr>21 Sep 2016</vt:lpwstr>
  </property>
  <property fmtid="{D5CDD505-2E9C-101B-9397-08002B2CF9AE}" pid="8" name="Suffix">
    <vt:lpwstr>07-e0-01</vt:lpwstr>
  </property>
  <property fmtid="{D5CDD505-2E9C-101B-9397-08002B2CF9AE}" pid="9" name="CommencementDate">
    <vt:lpwstr>20160921</vt:lpwstr>
  </property>
</Properties>
</file>