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Licensed Surveyors Act 1909</w:t>
      </w:r>
      <w:r>
        <w:rPr>
          <w:sz w:val="48"/>
        </w:rPr>
        <w:fldChar w:fldCharType="end"/>
      </w:r>
    </w:p>
    <w:p>
      <w:pPr>
        <w:pStyle w:val="ReprintNo"/>
      </w:pPr>
      <w:r>
        <w:t>Reprint 6:  The Act as at 16 September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000BDE" w:rsidRDefault="00000BDE">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000BDE" w:rsidRDefault="00000BDE">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000BDE" w:rsidRDefault="00000BDE">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000BDE" w:rsidRDefault="00000BDE">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September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Licensed Surveyors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_Toc462752349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References to licensed surveyor</w:t>
      </w:r>
      <w:r>
        <w:tab/>
      </w:r>
      <w:r>
        <w:fldChar w:fldCharType="begin"/>
      </w:r>
      <w:r>
        <w:instrText xml:space="preserve"> PAGEREF _Toc462752350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_Toc462752351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Constitution of Board</w:t>
      </w:r>
      <w:r>
        <w:tab/>
      </w:r>
      <w:r>
        <w:fldChar w:fldCharType="begin"/>
      </w:r>
      <w:r>
        <w:instrText xml:space="preserve"> PAGEREF _Toc462752352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Rules</w:t>
      </w:r>
      <w:r>
        <w:tab/>
      </w:r>
      <w:r>
        <w:fldChar w:fldCharType="begin"/>
      </w:r>
      <w:r>
        <w:instrText xml:space="preserve"> PAGEREF _Toc462752353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Secretary and other officers</w:t>
      </w:r>
      <w:r>
        <w:tab/>
      </w:r>
      <w:r>
        <w:fldChar w:fldCharType="begin"/>
      </w:r>
      <w:r>
        <w:instrText xml:space="preserve"> PAGEREF _Toc462752354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Persons entitled to be licensed</w:t>
      </w:r>
      <w:r>
        <w:tab/>
      </w:r>
      <w:r>
        <w:fldChar w:fldCharType="begin"/>
      </w:r>
      <w:r>
        <w:instrText xml:space="preserve"> PAGEREF _Toc462752355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require the attendance of certain persons</w:t>
      </w:r>
      <w:r>
        <w:tab/>
      </w:r>
      <w:r>
        <w:fldChar w:fldCharType="begin"/>
      </w:r>
      <w:r>
        <w:instrText xml:space="preserve"> PAGEREF _Toc462752356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Powers of investigation</w:t>
      </w:r>
      <w:r>
        <w:tab/>
      </w:r>
      <w:r>
        <w:fldChar w:fldCharType="begin"/>
      </w:r>
      <w:r>
        <w:instrText xml:space="preserve"> PAGEREF _Toc462752357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Incriminating information, questions, or documents</w:t>
      </w:r>
      <w:r>
        <w:tab/>
      </w:r>
      <w:r>
        <w:fldChar w:fldCharType="begin"/>
      </w:r>
      <w:r>
        <w:instrText xml:space="preserve"> PAGEREF _Toc462752358 \h </w:instrText>
      </w:r>
      <w:r>
        <w:fldChar w:fldCharType="separate"/>
      </w:r>
      <w:r>
        <w:t>11</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Failure to comply with investigation</w:t>
      </w:r>
      <w:r>
        <w:tab/>
      </w:r>
      <w:r>
        <w:fldChar w:fldCharType="begin"/>
      </w:r>
      <w:r>
        <w:instrText xml:space="preserve"> PAGEREF _Toc462752359 \h </w:instrText>
      </w:r>
      <w:r>
        <w:fldChar w:fldCharType="separate"/>
      </w:r>
      <w:r>
        <w:t>11</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Obstruction of investigator</w:t>
      </w:r>
      <w:r>
        <w:tab/>
      </w:r>
      <w:r>
        <w:fldChar w:fldCharType="begin"/>
      </w:r>
      <w:r>
        <w:instrText xml:space="preserve"> PAGEREF _Toc462752360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Certificates of competency</w:t>
      </w:r>
      <w:r>
        <w:tab/>
      </w:r>
      <w:r>
        <w:fldChar w:fldCharType="begin"/>
      </w:r>
      <w:r>
        <w:instrText xml:space="preserve"> PAGEREF _Toc462752361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Reciprocity</w:t>
      </w:r>
      <w:r>
        <w:tab/>
      </w:r>
      <w:r>
        <w:fldChar w:fldCharType="begin"/>
      </w:r>
      <w:r>
        <w:instrText xml:space="preserve"> PAGEREF _Toc462752362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Licences</w:t>
      </w:r>
      <w:r>
        <w:tab/>
      </w:r>
      <w:r>
        <w:fldChar w:fldCharType="begin"/>
      </w:r>
      <w:r>
        <w:instrText xml:space="preserve"> PAGEREF _Toc462752363 \h </w:instrText>
      </w:r>
      <w:r>
        <w:fldChar w:fldCharType="separate"/>
      </w:r>
      <w:r>
        <w:t>15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Practising certificates</w:t>
      </w:r>
      <w:r>
        <w:tab/>
      </w:r>
      <w:r>
        <w:fldChar w:fldCharType="begin"/>
      </w:r>
      <w:r>
        <w:instrText xml:space="preserve"> PAGEREF _Toc462752364 \h </w:instrText>
      </w:r>
      <w:r>
        <w:fldChar w:fldCharType="separate"/>
      </w:r>
      <w:r>
        <w:t>15</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Continuing education</w:t>
      </w:r>
      <w:r>
        <w:tab/>
      </w:r>
      <w:r>
        <w:fldChar w:fldCharType="begin"/>
      </w:r>
      <w:r>
        <w:instrText xml:space="preserve"> PAGEREF _Toc462752365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of licensed surveyors</w:t>
      </w:r>
      <w:r>
        <w:tab/>
      </w:r>
      <w:r>
        <w:fldChar w:fldCharType="begin"/>
      </w:r>
      <w:r>
        <w:instrText xml:space="preserve"> PAGEREF _Toc462752366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Copy of register to be published</w:t>
      </w:r>
      <w:r>
        <w:tab/>
      </w:r>
      <w:r>
        <w:fldChar w:fldCharType="begin"/>
      </w:r>
      <w:r>
        <w:instrText xml:space="preserve"> PAGEREF _Toc462752367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entries to be erased or corrected</w:t>
      </w:r>
      <w:r>
        <w:tab/>
      </w:r>
      <w:r>
        <w:fldChar w:fldCharType="begin"/>
      </w:r>
      <w:r>
        <w:instrText xml:space="preserve"> PAGEREF _Toc462752368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Practising as licensed surveyor</w:t>
      </w:r>
      <w:r>
        <w:tab/>
      </w:r>
      <w:r>
        <w:fldChar w:fldCharType="begin"/>
      </w:r>
      <w:r>
        <w:instrText xml:space="preserve"> PAGEREF _Toc462752369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Surveyor may enter upon lands</w:t>
      </w:r>
      <w:r>
        <w:tab/>
      </w:r>
      <w:r>
        <w:fldChar w:fldCharType="begin"/>
      </w:r>
      <w:r>
        <w:instrText xml:space="preserve"> PAGEREF _Toc462752370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Plan to be approved by Surveyor General</w:t>
      </w:r>
      <w:r>
        <w:tab/>
      </w:r>
      <w:r>
        <w:fldChar w:fldCharType="begin"/>
      </w:r>
      <w:r>
        <w:instrText xml:space="preserve"> PAGEREF _Toc462752371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Surveyors to correct errors at their own expense</w:t>
      </w:r>
      <w:r>
        <w:tab/>
      </w:r>
      <w:r>
        <w:fldChar w:fldCharType="begin"/>
      </w:r>
      <w:r>
        <w:instrText xml:space="preserve"> PAGEREF _Toc462752372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Surveyor not to be interested</w:t>
      </w:r>
      <w:r>
        <w:tab/>
      </w:r>
      <w:r>
        <w:fldChar w:fldCharType="begin"/>
      </w:r>
      <w:r>
        <w:instrText xml:space="preserve"> PAGEREF _Toc462752373 \h </w:instrText>
      </w:r>
      <w:r>
        <w:fldChar w:fldCharType="separate"/>
      </w:r>
      <w:r>
        <w:t>21</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Cancellation of licence or practising certificate at request of licensed surveyor</w:t>
      </w:r>
      <w:r>
        <w:tab/>
      </w:r>
      <w:r>
        <w:fldChar w:fldCharType="begin"/>
      </w:r>
      <w:r>
        <w:instrText xml:space="preserve"> PAGEREF _Toc462752374 \h </w:instrText>
      </w:r>
      <w:r>
        <w:fldChar w:fldCharType="separate"/>
      </w:r>
      <w:r>
        <w:t>21</w:t>
      </w:r>
      <w:r>
        <w:fldChar w:fldCharType="end"/>
      </w:r>
    </w:p>
    <w:p>
      <w:pPr>
        <w:pStyle w:val="TOC8"/>
        <w:rPr>
          <w:rFonts w:asciiTheme="minorHAnsi" w:eastAsiaTheme="minorEastAsia" w:hAnsiTheme="minorHAnsi" w:cstheme="minorBidi"/>
          <w:szCs w:val="22"/>
        </w:rPr>
      </w:pPr>
      <w:r>
        <w:t>20B.</w:t>
      </w:r>
      <w:r>
        <w:tab/>
        <w:t>Disciplinary proceedings against licensed surveyors</w:t>
      </w:r>
      <w:r>
        <w:tab/>
      </w:r>
      <w:r>
        <w:fldChar w:fldCharType="begin"/>
      </w:r>
      <w:r>
        <w:instrText xml:space="preserve"> PAGEREF _Toc462752375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Board to deal with misconduct</w:t>
      </w:r>
      <w:r>
        <w:tab/>
      </w:r>
      <w:r>
        <w:fldChar w:fldCharType="begin"/>
      </w:r>
      <w:r>
        <w:instrText xml:space="preserve"> PAGEREF _Toc462752376 \h </w:instrText>
      </w:r>
      <w:r>
        <w:fldChar w:fldCharType="separate"/>
      </w:r>
      <w:r>
        <w:t>22</w:t>
      </w:r>
      <w:r>
        <w:fldChar w:fldCharType="end"/>
      </w:r>
    </w:p>
    <w:p>
      <w:pPr>
        <w:pStyle w:val="TOC8"/>
        <w:rPr>
          <w:rFonts w:asciiTheme="minorHAnsi" w:eastAsiaTheme="minorEastAsia" w:hAnsiTheme="minorHAnsi" w:cstheme="minorBidi"/>
          <w:szCs w:val="22"/>
        </w:rPr>
      </w:pPr>
      <w:r>
        <w:t>21AA.</w:t>
      </w:r>
      <w:r>
        <w:tab/>
        <w:t>Suspension of licence by State Administrative Tribunal</w:t>
      </w:r>
      <w:r>
        <w:tab/>
      </w:r>
      <w:r>
        <w:fldChar w:fldCharType="begin"/>
      </w:r>
      <w:r>
        <w:instrText xml:space="preserve"> PAGEREF _Toc462752377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Alteration and removal of licence or practising certificate conditions</w:t>
      </w:r>
      <w:r>
        <w:tab/>
      </w:r>
      <w:r>
        <w:fldChar w:fldCharType="begin"/>
      </w:r>
      <w:r>
        <w:instrText xml:space="preserve"> PAGEREF _Toc462752378 \h </w:instrText>
      </w:r>
      <w:r>
        <w:fldChar w:fldCharType="separate"/>
      </w:r>
      <w:r>
        <w:t>27</w:t>
      </w:r>
      <w:r>
        <w:fldChar w:fldCharType="end"/>
      </w:r>
    </w:p>
    <w:p>
      <w:pPr>
        <w:pStyle w:val="TOC8"/>
        <w:rPr>
          <w:rFonts w:asciiTheme="minorHAnsi" w:eastAsiaTheme="minorEastAsia" w:hAnsiTheme="minorHAnsi" w:cstheme="minorBidi"/>
          <w:szCs w:val="22"/>
        </w:rPr>
      </w:pPr>
      <w:r>
        <w:t>22.</w:t>
      </w:r>
      <w:r>
        <w:tab/>
        <w:t>Charge against surveyor</w:t>
      </w:r>
      <w:r>
        <w:tab/>
      </w:r>
      <w:r>
        <w:fldChar w:fldCharType="begin"/>
      </w:r>
      <w:r>
        <w:instrText xml:space="preserve"> PAGEREF _Toc462752379 \h </w:instrText>
      </w:r>
      <w:r>
        <w:fldChar w:fldCharType="separate"/>
      </w:r>
      <w:r>
        <w:t>27</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Application to State Administrative Tribunal for review</w:t>
      </w:r>
      <w:r>
        <w:tab/>
      </w:r>
      <w:r>
        <w:fldChar w:fldCharType="begin"/>
      </w:r>
      <w:r>
        <w:instrText xml:space="preserve"> PAGEREF _Toc462752380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_Toc462752381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Board may sue and be sued</w:t>
      </w:r>
      <w:r>
        <w:tab/>
      </w:r>
      <w:r>
        <w:fldChar w:fldCharType="begin"/>
      </w:r>
      <w:r>
        <w:instrText xml:space="preserve"> PAGEREF _Toc462752382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Protection from liability for wrongdoing</w:t>
      </w:r>
      <w:r>
        <w:tab/>
      </w:r>
      <w:r>
        <w:fldChar w:fldCharType="begin"/>
      </w:r>
      <w:r>
        <w:instrText xml:space="preserve"> PAGEREF _Toc462752383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of funds</w:t>
      </w:r>
      <w:r>
        <w:tab/>
      </w:r>
      <w:r>
        <w:fldChar w:fldCharType="begin"/>
      </w:r>
      <w:r>
        <w:instrText xml:space="preserve"> PAGEREF _Toc462752384 \h </w:instrText>
      </w:r>
      <w:r>
        <w:fldChar w:fldCharType="separate"/>
      </w:r>
      <w:r>
        <w:t>29</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Accounts</w:t>
      </w:r>
      <w:r>
        <w:tab/>
      </w:r>
      <w:r>
        <w:fldChar w:fldCharType="begin"/>
      </w:r>
      <w:r>
        <w:instrText xml:space="preserve"> PAGEREF _Toc462752385 \h </w:instrText>
      </w:r>
      <w:r>
        <w:fldChar w:fldCharType="separate"/>
      </w:r>
      <w:r>
        <w:t>29</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Audit</w:t>
      </w:r>
      <w:r>
        <w:tab/>
      </w:r>
      <w:r>
        <w:fldChar w:fldCharType="begin"/>
      </w:r>
      <w:r>
        <w:instrText xml:space="preserve"> PAGEREF _Toc462752386 \h </w:instrText>
      </w:r>
      <w:r>
        <w:fldChar w:fldCharType="separate"/>
      </w:r>
      <w:r>
        <w:t>30</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Annual report</w:t>
      </w:r>
      <w:r>
        <w:tab/>
      </w:r>
      <w:r>
        <w:fldChar w:fldCharType="begin"/>
      </w:r>
      <w:r>
        <w:instrText xml:space="preserve"> PAGEREF _Toc462752387 \h </w:instrText>
      </w:r>
      <w:r>
        <w:fldChar w:fldCharType="separate"/>
      </w:r>
      <w:r>
        <w:t>30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_Toc462752388 \h </w:instrText>
      </w:r>
      <w:r>
        <w:fldChar w:fldCharType="separate"/>
      </w:r>
      <w:r>
        <w:t>31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Professional indemnity insurance</w:t>
      </w:r>
      <w:r>
        <w:tab/>
      </w:r>
      <w:r>
        <w:fldChar w:fldCharType="begin"/>
      </w:r>
      <w:r>
        <w:instrText xml:space="preserve"> PAGEREF _Toc462752389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Evidence</w:t>
      </w:r>
      <w:r>
        <w:tab/>
      </w:r>
      <w:r>
        <w:fldChar w:fldCharType="begin"/>
      </w:r>
      <w:r>
        <w:instrText xml:space="preserve"> PAGEREF _Toc462752390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Proceedings for offences</w:t>
      </w:r>
      <w:r>
        <w:tab/>
      </w:r>
      <w:r>
        <w:fldChar w:fldCharType="begin"/>
      </w:r>
      <w:r>
        <w:instrText xml:space="preserve"> PAGEREF _Toc462752391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Rules for the conduct of the Board</w:t>
      </w:r>
    </w:p>
    <w:p>
      <w:pPr>
        <w:pStyle w:val="TOC8"/>
        <w:rPr>
          <w:rFonts w:asciiTheme="minorHAnsi" w:eastAsiaTheme="minorEastAsia" w:hAnsiTheme="minorHAnsi" w:cstheme="minorBidi"/>
          <w:szCs w:val="22"/>
        </w:rPr>
      </w:pPr>
      <w:r>
        <w:t>1</w:t>
      </w:r>
      <w:r>
        <w:rPr>
          <w:snapToGrid w:val="0"/>
        </w:rPr>
        <w:t>.</w:t>
      </w:r>
      <w:r>
        <w:rPr>
          <w:snapToGrid w:val="0"/>
        </w:rPr>
        <w:tab/>
        <w:t>Chairman</w:t>
      </w:r>
      <w:r>
        <w:tab/>
      </w:r>
      <w:r>
        <w:fldChar w:fldCharType="begin"/>
      </w:r>
      <w:r>
        <w:instrText xml:space="preserve"> PAGEREF _Toc462752393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Execution of documents</w:t>
      </w:r>
      <w:r>
        <w:tab/>
      </w:r>
      <w:r>
        <w:fldChar w:fldCharType="begin"/>
      </w:r>
      <w:r>
        <w:instrText xml:space="preserve"> PAGEREF _Toc462752394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Quorum</w:t>
      </w:r>
      <w:r>
        <w:tab/>
      </w:r>
      <w:r>
        <w:fldChar w:fldCharType="begin"/>
      </w:r>
      <w:r>
        <w:instrText xml:space="preserve"> PAGEREF _Toc462752395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to preside</w:t>
      </w:r>
      <w:r>
        <w:tab/>
      </w:r>
      <w:r>
        <w:fldChar w:fldCharType="begin"/>
      </w:r>
      <w:r>
        <w:instrText xml:space="preserve"> PAGEREF _Toc462752396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Voting</w:t>
      </w:r>
      <w:r>
        <w:tab/>
      </w:r>
      <w:r>
        <w:fldChar w:fldCharType="begin"/>
      </w:r>
      <w:r>
        <w:instrText xml:space="preserve"> PAGEREF _Toc462752397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 of meetings</w:t>
      </w:r>
      <w:r>
        <w:tab/>
      </w:r>
      <w:r>
        <w:fldChar w:fldCharType="begin"/>
      </w:r>
      <w:r>
        <w:instrText xml:space="preserve"> PAGEREF _Toc462752398 \h </w:instrText>
      </w:r>
      <w:r>
        <w:fldChar w:fldCharType="separate"/>
      </w:r>
      <w:r>
        <w:t>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meeting</w:t>
      </w:r>
      <w:r>
        <w:tab/>
      </w:r>
      <w:r>
        <w:fldChar w:fldCharType="begin"/>
      </w:r>
      <w:r>
        <w:instrText xml:space="preserve"> PAGEREF _Toc462752399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refusal or neglect to act or non</w:t>
      </w:r>
      <w:r>
        <w:rPr>
          <w:snapToGrid w:val="0"/>
        </w:rPr>
        <w:noBreakHyphen/>
        <w:t>attendance</w:t>
      </w:r>
      <w:r>
        <w:tab/>
      </w:r>
      <w:r>
        <w:fldChar w:fldCharType="begin"/>
      </w:r>
      <w:r>
        <w:instrText xml:space="preserve"> PAGEREF _Toc462752400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Validity not affected by vacancy etc.</w:t>
      </w:r>
      <w:r>
        <w:tab/>
      </w:r>
      <w:r>
        <w:fldChar w:fldCharType="begin"/>
      </w:r>
      <w:r>
        <w:instrText xml:space="preserve"> PAGEREF _Toc462752401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Form of declaration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_Toc462752404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_Toc462752405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September 2016</w:t>
            </w:r>
          </w:p>
        </w:tc>
      </w:tr>
    </w:tbl>
    <w:p>
      <w:pPr>
        <w:pStyle w:val="WA"/>
        <w:spacing w:before="12"/>
      </w:pPr>
      <w:r>
        <w:t>Western Australia</w:t>
      </w:r>
    </w:p>
    <w:p>
      <w:pPr>
        <w:pStyle w:val="NameofActReg"/>
        <w:spacing w:before="960" w:after="1200"/>
      </w:pPr>
      <w:r>
        <w:t xml:space="preserve">Licensed Surveyors Act 1909 </w:t>
      </w:r>
    </w:p>
    <w:p>
      <w:pPr>
        <w:pStyle w:val="LongTitle"/>
        <w:spacing w:after="480"/>
        <w:rPr>
          <w:snapToGrid w:val="0"/>
        </w:rPr>
      </w:pPr>
      <w:r>
        <w:rPr>
          <w:snapToGrid w:val="0"/>
        </w:rPr>
        <w:t xml:space="preserve">An Act to provide for the registration and licensing of land surveyors; to control the practice of such surveyors, and for other purposes incidental thereto. </w:t>
      </w:r>
    </w:p>
    <w:p>
      <w:pPr>
        <w:pStyle w:val="Heading5"/>
        <w:rPr>
          <w:snapToGrid w:val="0"/>
        </w:rPr>
      </w:pPr>
      <w:bookmarkStart w:id="3" w:name="_Toc462752349"/>
      <w:r>
        <w:rPr>
          <w:rStyle w:val="CharSectno"/>
        </w:rPr>
        <w:t>1</w:t>
      </w:r>
      <w:r>
        <w:rPr>
          <w:snapToGrid w:val="0"/>
        </w:rPr>
        <w:t>.</w:t>
      </w:r>
      <w:r>
        <w:rPr>
          <w:snapToGrid w:val="0"/>
        </w:rPr>
        <w:tab/>
        <w:t>Short title and commencement</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pPr>
        <w:pStyle w:val="Heading5"/>
        <w:rPr>
          <w:snapToGrid w:val="0"/>
        </w:rPr>
      </w:pPr>
      <w:bookmarkStart w:id="4" w:name="_Toc462752350"/>
      <w:r>
        <w:rPr>
          <w:rStyle w:val="CharSectno"/>
        </w:rPr>
        <w:t>2</w:t>
      </w:r>
      <w:r>
        <w:rPr>
          <w:snapToGrid w:val="0"/>
        </w:rPr>
        <w:t>.</w:t>
      </w:r>
      <w:r>
        <w:rPr>
          <w:snapToGrid w:val="0"/>
        </w:rPr>
        <w:tab/>
        <w:t>References to licensed surveyor</w:t>
      </w:r>
      <w:bookmarkEnd w:id="4"/>
    </w:p>
    <w:p>
      <w:pPr>
        <w:pStyle w:val="Ednotesubsection"/>
      </w:pPr>
      <w:r>
        <w:tab/>
      </w:r>
      <w:r>
        <w:tab/>
        <w:t>[Paragraph omitted under the Reprints Act 1984 s. 7(4)(e) and (f).]</w:t>
      </w:r>
    </w:p>
    <w:p>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pPr>
        <w:pStyle w:val="Footnotesection"/>
      </w:pPr>
      <w:r>
        <w:tab/>
        <w:t>[Section 2 amended by No. 79 of 1996 s. 4.]</w:t>
      </w:r>
    </w:p>
    <w:p>
      <w:pPr>
        <w:pStyle w:val="Heading5"/>
        <w:pageBreakBefore/>
        <w:spacing w:before="0"/>
        <w:rPr>
          <w:snapToGrid w:val="0"/>
        </w:rPr>
      </w:pPr>
      <w:bookmarkStart w:id="5" w:name="_Toc462752351"/>
      <w:r>
        <w:rPr>
          <w:rStyle w:val="CharSectno"/>
        </w:rPr>
        <w:t>3</w:t>
      </w:r>
      <w:r>
        <w:rPr>
          <w:snapToGrid w:val="0"/>
        </w:rPr>
        <w:t>.</w:t>
      </w:r>
      <w:r>
        <w:rPr>
          <w:snapToGrid w:val="0"/>
        </w:rPr>
        <w:tab/>
        <w:t>Terms used</w:t>
      </w:r>
      <w:bookmarkEnd w:id="5"/>
      <w:r>
        <w:rPr>
          <w:snapToGrid w:val="0"/>
        </w:rPr>
        <w:t xml:space="preserve"> </w:t>
      </w:r>
    </w:p>
    <w:p>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pPr>
        <w:pStyle w:val="Defstart"/>
      </w:pPr>
      <w:r>
        <w:rPr>
          <w:b/>
        </w:rPr>
        <w:tab/>
      </w:r>
      <w:r>
        <w:rPr>
          <w:rStyle w:val="CharDefText"/>
        </w:rPr>
        <w:t>authorised survey</w:t>
      </w:r>
      <w:r>
        <w:rPr>
          <w:b/>
        </w:rPr>
        <w:t xml:space="preserve"> </w:t>
      </w:r>
      <w:r>
        <w:t>— A survey of land authorised or required —</w:t>
      </w:r>
    </w:p>
    <w:p>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pPr>
        <w:pStyle w:val="Defpara"/>
      </w:pPr>
      <w:r>
        <w:tab/>
        <w:t>(b)</w:t>
      </w:r>
      <w:r>
        <w:tab/>
        <w:t>by the proprietor, lessee or mortgagee under any Act affecting titles to land,</w:t>
      </w:r>
    </w:p>
    <w:p>
      <w:pPr>
        <w:pStyle w:val="Defstart"/>
        <w:keepNext/>
      </w:pPr>
      <w:r>
        <w:tab/>
        <w:t>including — </w:t>
      </w:r>
    </w:p>
    <w:p>
      <w:pPr>
        <w:pStyle w:val="Defpara"/>
      </w:pPr>
      <w:r>
        <w:tab/>
        <w:t>(c)</w:t>
      </w:r>
      <w:r>
        <w:tab/>
        <w:t>a survey of land which re</w:t>
      </w:r>
      <w:r>
        <w:noBreakHyphen/>
        <w:t>establishes the boundaries previously established by a survey of land so authorised or required, if that re</w:t>
      </w:r>
      <w:r>
        <w:noBreakHyphen/>
        <w:t>establishment — </w:t>
      </w:r>
    </w:p>
    <w:p>
      <w:pPr>
        <w:pStyle w:val="Defsubpara"/>
      </w:pPr>
      <w:r>
        <w:tab/>
        <w:t>(i)</w:t>
      </w:r>
      <w:r>
        <w:tab/>
        <w:t>involves the placement, replacement or relocation of any survey mark; or</w:t>
      </w:r>
    </w:p>
    <w:p>
      <w:pPr>
        <w:pStyle w:val="Defsubpara"/>
      </w:pPr>
      <w:r>
        <w:tab/>
        <w:t>(ii)</w:t>
      </w:r>
      <w:r>
        <w:tab/>
        <w:t>is followed by advice for the purpose of enabling the boundaries of the land in question to be located,</w:t>
      </w:r>
    </w:p>
    <w:p>
      <w:pPr>
        <w:pStyle w:val="Defpara"/>
      </w:pPr>
      <w:r>
        <w:tab/>
      </w:r>
      <w:r>
        <w:tab/>
        <w:t>or both so involves and is so followed; and</w:t>
      </w:r>
    </w:p>
    <w:p>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pPr>
        <w:pStyle w:val="Defsubpara"/>
      </w:pPr>
      <w:r>
        <w:tab/>
        <w:t>(i)</w:t>
      </w:r>
      <w: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pPr>
        <w:pStyle w:val="Defsubpara"/>
        <w:keepLines w:val="0"/>
      </w:pPr>
      <w:r>
        <w:tab/>
        <w:t>(ii)</w:t>
      </w:r>
      <w:r>
        <w:tab/>
        <w:t>as a compiled plan, if that plan is certified or otherwise held out as having been created from one or more authorised surveys recorded on plans approved under section 18, from field records that have been lodged, or from both.</w:t>
      </w:r>
    </w:p>
    <w:p>
      <w:pPr>
        <w:pStyle w:val="Defstart"/>
        <w:keepNext/>
      </w:pPr>
      <w:r>
        <w:rPr>
          <w:b/>
        </w:rPr>
        <w:tab/>
      </w:r>
      <w:r>
        <w:rPr>
          <w:rStyle w:val="CharDefText"/>
        </w:rPr>
        <w:t>Board</w:t>
      </w:r>
      <w:r>
        <w:rPr>
          <w:b/>
        </w:rPr>
        <w:t xml:space="preserve"> </w:t>
      </w:r>
      <w:r>
        <w:t>— The Land Surveyors Licensing Board constituted under this Act.</w:t>
      </w:r>
    </w:p>
    <w:p>
      <w:pPr>
        <w:pStyle w:val="Defstart"/>
      </w:pPr>
      <w:r>
        <w:rPr>
          <w:b/>
        </w:rPr>
        <w:tab/>
      </w:r>
      <w:r>
        <w:rPr>
          <w:rStyle w:val="CharDefText"/>
        </w:rPr>
        <w:t>Institute</w:t>
      </w:r>
      <w:r>
        <w:rPr>
          <w:b/>
        </w:rPr>
        <w:t xml:space="preserve"> </w:t>
      </w:r>
      <w:r>
        <w:t>— The Institution of Surveyors, Australia, Western Australia Division Inc.</w:t>
      </w:r>
    </w:p>
    <w:p>
      <w:pPr>
        <w:pStyle w:val="Defstart"/>
      </w:pPr>
      <w:r>
        <w:rPr>
          <w:b/>
        </w:rPr>
        <w:tab/>
      </w:r>
      <w:r>
        <w:rPr>
          <w:rStyle w:val="CharDefText"/>
        </w:rPr>
        <w:t>licence</w:t>
      </w:r>
      <w:r>
        <w:rPr>
          <w:b/>
        </w:rPr>
        <w:t xml:space="preserve"> </w:t>
      </w:r>
      <w:r>
        <w:t>— A licence issued under this Act.</w:t>
      </w:r>
    </w:p>
    <w:p>
      <w:pPr>
        <w:pStyle w:val="Defstart"/>
      </w:pPr>
      <w:r>
        <w:rPr>
          <w:b/>
        </w:rPr>
        <w:tab/>
      </w:r>
      <w:r>
        <w:rPr>
          <w:rStyle w:val="CharDefText"/>
        </w:rPr>
        <w:t>licensed surveyor</w:t>
      </w:r>
      <w:r>
        <w:rPr>
          <w:b/>
        </w:rPr>
        <w:t xml:space="preserve"> </w:t>
      </w:r>
      <w:r>
        <w:t>— A surveyor licensed under this Act.</w:t>
      </w:r>
    </w:p>
    <w:p>
      <w:pPr>
        <w:pStyle w:val="Defstart"/>
      </w:pPr>
      <w:r>
        <w:rPr>
          <w:b/>
        </w:rPr>
        <w:tab/>
      </w:r>
      <w:r>
        <w:rPr>
          <w:rStyle w:val="CharDefText"/>
        </w:rPr>
        <w:t>practising certificate</w:t>
      </w:r>
      <w:r>
        <w:rPr>
          <w:b/>
        </w:rPr>
        <w:t xml:space="preserve"> </w:t>
      </w:r>
      <w:r>
        <w:t>— A practising certificate issued under section 11A.</w:t>
      </w:r>
    </w:p>
    <w:p>
      <w:pPr>
        <w:pStyle w:val="Defstart"/>
      </w:pPr>
      <w:r>
        <w:rPr>
          <w:b/>
        </w:rPr>
        <w:tab/>
      </w:r>
      <w:r>
        <w:rPr>
          <w:rStyle w:val="CharDefText"/>
        </w:rPr>
        <w:t>prescribed</w:t>
      </w:r>
      <w:r>
        <w:rPr>
          <w:b/>
        </w:rPr>
        <w:t xml:space="preserve"> </w:t>
      </w:r>
      <w:r>
        <w:t>— Prescribed by this Act or the regulations made thereunder.</w:t>
      </w:r>
    </w:p>
    <w:p>
      <w:pPr>
        <w:pStyle w:val="Defstart"/>
      </w:pPr>
      <w:r>
        <w:rPr>
          <w:b/>
        </w:rPr>
        <w:tab/>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pPr>
        <w:pStyle w:val="Defstart"/>
      </w:pPr>
      <w:r>
        <w:rPr>
          <w:b/>
        </w:rPr>
        <w:tab/>
      </w:r>
      <w:r>
        <w:rPr>
          <w:rStyle w:val="CharDefText"/>
        </w:rPr>
        <w:t>register</w:t>
      </w:r>
      <w:r>
        <w:rPr>
          <w:b/>
        </w:rPr>
        <w:t xml:space="preserve"> </w:t>
      </w:r>
      <w:r>
        <w:t>— The register of licensed surveyors directed by this Act to be kept.</w:t>
      </w:r>
    </w:p>
    <w:p>
      <w:pPr>
        <w:pStyle w:val="Defstart"/>
      </w:pPr>
      <w:r>
        <w:rPr>
          <w:b/>
        </w:rPr>
        <w:tab/>
      </w:r>
      <w:r>
        <w:rPr>
          <w:rStyle w:val="CharDefText"/>
        </w:rPr>
        <w:t>secretary</w:t>
      </w:r>
      <w:r>
        <w:rPr>
          <w:b/>
        </w:rPr>
        <w:t xml:space="preserve"> </w:t>
      </w:r>
      <w:r>
        <w:t>— The secretary to the Board.</w:t>
      </w:r>
    </w:p>
    <w:p>
      <w:pPr>
        <w:pStyle w:val="Defstart"/>
      </w:pPr>
      <w:r>
        <w:rPr>
          <w:b/>
        </w:rPr>
        <w:tab/>
      </w:r>
      <w:r>
        <w:rPr>
          <w:rStyle w:val="CharDefText"/>
        </w:rPr>
        <w:t>standard period</w:t>
      </w:r>
      <w:r>
        <w:t>, in relation to a practising certificate, means such period or periods, each not exceeding 3 years and expiring at the end of a calendar year, as is or are prescribed.</w:t>
      </w:r>
    </w:p>
    <w:p>
      <w:pPr>
        <w:pStyle w:val="Defstart"/>
      </w:pPr>
      <w:r>
        <w:rPr>
          <w:b/>
        </w:rPr>
        <w:tab/>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pPr>
        <w:pStyle w:val="Defstart"/>
      </w:pPr>
      <w:r>
        <w:rPr>
          <w:b/>
        </w:rPr>
        <w:tab/>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pPr>
        <w:pStyle w:val="Defstart"/>
      </w:pPr>
      <w:r>
        <w:rPr>
          <w:b/>
        </w:rPr>
        <w:tab/>
      </w:r>
      <w:r>
        <w:rPr>
          <w:rStyle w:val="CharDefText"/>
        </w:rPr>
        <w:t>this Act</w:t>
      </w:r>
      <w:r>
        <w:rPr>
          <w:b/>
        </w:rPr>
        <w:t xml:space="preserve"> </w:t>
      </w:r>
      <w:r>
        <w:t>— This Act and any regulations made thereunder.</w:t>
      </w:r>
    </w:p>
    <w:p>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pPr>
        <w:pStyle w:val="Footnotesection"/>
      </w:pPr>
      <w:r>
        <w:tab/>
        <w:t xml:space="preserve">[Section 3 amended by No. 16 of 1940 s. 2; No. 107 of 1976 s. 3; No. 79 of 1996 s. 5; No. 60 of 2006 s. 143(2).] </w:t>
      </w:r>
    </w:p>
    <w:p>
      <w:pPr>
        <w:pStyle w:val="Heading5"/>
        <w:spacing w:before="260"/>
        <w:rPr>
          <w:snapToGrid w:val="0"/>
        </w:rPr>
      </w:pPr>
      <w:bookmarkStart w:id="6" w:name="_Toc462752352"/>
      <w:r>
        <w:rPr>
          <w:rStyle w:val="CharSectno"/>
        </w:rPr>
        <w:t>4</w:t>
      </w:r>
      <w:r>
        <w:rPr>
          <w:snapToGrid w:val="0"/>
        </w:rPr>
        <w:t>.</w:t>
      </w:r>
      <w:r>
        <w:rPr>
          <w:snapToGrid w:val="0"/>
        </w:rPr>
        <w:tab/>
        <w:t>Constitution of Board</w:t>
      </w:r>
      <w:bookmarkEnd w:id="6"/>
      <w:r>
        <w:rPr>
          <w:snapToGrid w:val="0"/>
        </w:rPr>
        <w:t xml:space="preserve"> </w:t>
      </w:r>
    </w:p>
    <w:p>
      <w:pPr>
        <w:pStyle w:val="Subsection"/>
        <w:rPr>
          <w:snapToGrid w:val="0"/>
        </w:rPr>
      </w:pPr>
      <w:r>
        <w:rPr>
          <w:snapToGrid w:val="0"/>
        </w:rPr>
        <w:tab/>
        <w:t>(1)</w:t>
      </w:r>
      <w:r>
        <w:rPr>
          <w:snapToGrid w:val="0"/>
        </w:rPr>
        <w:tab/>
        <w:t>There shall be a Land Surveyors Licensing Board which shall consist of </w:t>
      </w:r>
      <w:r>
        <w:t>— </w:t>
      </w:r>
    </w:p>
    <w:p>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pPr>
        <w:pStyle w:val="Indenta"/>
      </w:pPr>
      <w:r>
        <w:tab/>
        <w:t>(b)</w:t>
      </w:r>
      <w:r>
        <w:tab/>
        <w:t>one member appointed by the Governor, on the nomination of the chief executive officer, to represent interests in relation to land registration matters;</w:t>
      </w:r>
    </w:p>
    <w:p>
      <w:pPr>
        <w:pStyle w:val="Indenta"/>
      </w:pPr>
      <w:r>
        <w:tab/>
        <w:t>(ba)</w:t>
      </w:r>
      <w:r>
        <w:tab/>
        <w:t>one member appointed by the Governor, on the nomination of the Minister, to represent the interests of the users of licensed surveyors’ services;</w:t>
      </w:r>
    </w:p>
    <w:p>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pPr>
        <w:pStyle w:val="Subsection"/>
      </w:pPr>
      <w:r>
        <w:tab/>
        <w:t>(1a)</w:t>
      </w:r>
      <w:r>
        <w:tab/>
        <w:t>The Governor shall appoint, on the nomination of the Minister, one of the members of the Board to be the chairman of the Board.</w:t>
      </w:r>
    </w:p>
    <w:p>
      <w:pPr>
        <w:pStyle w:val="Subsection"/>
      </w:pPr>
      <w:r>
        <w:tab/>
        <w:t>(1b)</w:t>
      </w:r>
      <w:r>
        <w:tab/>
        <w:t>One person appointed under subsection (1)(a), (b), (ba) or (d) shall be a licensed surveyor who holds a practising certificate.</w:t>
      </w:r>
    </w:p>
    <w:p>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pPr>
        <w:pStyle w:val="Subsection"/>
        <w:keepNext/>
        <w:rPr>
          <w:snapToGrid w:val="0"/>
        </w:rPr>
      </w:pPr>
      <w:r>
        <w:rPr>
          <w:snapToGrid w:val="0"/>
        </w:rPr>
        <w:tab/>
        <w:t>(4a)</w:t>
      </w:r>
      <w:r>
        <w:rPr>
          <w:snapToGrid w:val="0"/>
        </w:rPr>
        <w:tab/>
        <w:t>In relation to the appointment of a member pursuant to subsection (1)(d), the Surveyor General shall </w:t>
      </w:r>
      <w:r>
        <w:t>— </w:t>
      </w:r>
    </w:p>
    <w:p>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pPr>
        <w:pStyle w:val="Subsection"/>
        <w:rPr>
          <w:snapToGrid w:val="0"/>
        </w:rPr>
      </w:pPr>
      <w:r>
        <w:rPr>
          <w:snapToGrid w:val="0"/>
        </w:rPr>
        <w:tab/>
        <w:t>(6)</w:t>
      </w:r>
      <w:r>
        <w:rPr>
          <w:snapToGrid w:val="0"/>
        </w:rPr>
        <w:tab/>
        <w:t>All nominations for membership of the Board shall be in writing.</w:t>
      </w:r>
    </w:p>
    <w:p>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pPr>
        <w:pStyle w:val="Footnotesection"/>
      </w:pPr>
      <w:r>
        <w:tab/>
        <w:t xml:space="preserve">[Section 4 amended by No. 107 of 1976 s. 4; No. 70 of 2003 s. 40(1)-(5).] </w:t>
      </w:r>
    </w:p>
    <w:p>
      <w:pPr>
        <w:pStyle w:val="Heading5"/>
        <w:rPr>
          <w:snapToGrid w:val="0"/>
        </w:rPr>
      </w:pPr>
      <w:bookmarkStart w:id="7" w:name="_Toc462752353"/>
      <w:r>
        <w:rPr>
          <w:rStyle w:val="CharSectno"/>
        </w:rPr>
        <w:t>5</w:t>
      </w:r>
      <w:r>
        <w:rPr>
          <w:snapToGrid w:val="0"/>
        </w:rPr>
        <w:t>.</w:t>
      </w:r>
      <w:r>
        <w:rPr>
          <w:snapToGrid w:val="0"/>
        </w:rPr>
        <w:tab/>
        <w:t>Rules</w:t>
      </w:r>
      <w:bookmarkEnd w:id="7"/>
      <w:r>
        <w:rPr>
          <w:snapToGrid w:val="0"/>
        </w:rPr>
        <w:t xml:space="preserve"> </w:t>
      </w:r>
    </w:p>
    <w:p>
      <w:pPr>
        <w:pStyle w:val="Subsection"/>
        <w:rPr>
          <w:snapToGrid w:val="0"/>
        </w:rPr>
      </w:pPr>
      <w:r>
        <w:rPr>
          <w:snapToGrid w:val="0"/>
        </w:rPr>
        <w:tab/>
      </w:r>
      <w:r>
        <w:rPr>
          <w:snapToGrid w:val="0"/>
        </w:rPr>
        <w:tab/>
        <w:t>The rules set forth in the Second Schedule shall apply to the business, conduct, and proceedings of the Board.</w:t>
      </w:r>
    </w:p>
    <w:p>
      <w:pPr>
        <w:pStyle w:val="Heading5"/>
        <w:rPr>
          <w:snapToGrid w:val="0"/>
        </w:rPr>
      </w:pPr>
      <w:bookmarkStart w:id="8" w:name="_Toc462752354"/>
      <w:r>
        <w:rPr>
          <w:rStyle w:val="CharSectno"/>
        </w:rPr>
        <w:t>6</w:t>
      </w:r>
      <w:r>
        <w:rPr>
          <w:snapToGrid w:val="0"/>
        </w:rPr>
        <w:t>.</w:t>
      </w:r>
      <w:r>
        <w:rPr>
          <w:snapToGrid w:val="0"/>
        </w:rPr>
        <w:tab/>
        <w:t>Secretary and other officers</w:t>
      </w:r>
      <w:bookmarkEnd w:id="8"/>
      <w:r>
        <w:rPr>
          <w:snapToGrid w:val="0"/>
        </w:rPr>
        <w:t xml:space="preserve"> </w:t>
      </w:r>
    </w:p>
    <w:p>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pPr>
        <w:pStyle w:val="Subsection"/>
        <w:rPr>
          <w:snapToGrid w:val="0"/>
        </w:rPr>
      </w:pPr>
      <w:r>
        <w:rPr>
          <w:snapToGrid w:val="0"/>
        </w:rPr>
        <w:tab/>
        <w:t>(2)</w:t>
      </w:r>
      <w:r>
        <w:rPr>
          <w:snapToGrid w:val="0"/>
        </w:rPr>
        <w:tab/>
        <w:t>All such persons shall hold office during the pleasure of the Board.</w:t>
      </w:r>
    </w:p>
    <w:p>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pPr>
        <w:pStyle w:val="Subsection"/>
        <w:rPr>
          <w:snapToGrid w:val="0"/>
        </w:rPr>
      </w:pPr>
      <w:r>
        <w:rPr>
          <w:snapToGrid w:val="0"/>
        </w:rPr>
        <w:tab/>
        <w:t>(4)</w:t>
      </w:r>
      <w:r>
        <w:rPr>
          <w:snapToGrid w:val="0"/>
        </w:rPr>
        <w:tab/>
        <w:t>The members of the Board may receive such fees as the Governor may approve.</w:t>
      </w:r>
    </w:p>
    <w:p>
      <w:pPr>
        <w:pStyle w:val="Heading5"/>
        <w:rPr>
          <w:snapToGrid w:val="0"/>
        </w:rPr>
      </w:pPr>
      <w:bookmarkStart w:id="9" w:name="_Toc462752355"/>
      <w:r>
        <w:rPr>
          <w:rStyle w:val="CharSectno"/>
        </w:rPr>
        <w:t>7</w:t>
      </w:r>
      <w:r>
        <w:rPr>
          <w:snapToGrid w:val="0"/>
        </w:rPr>
        <w:t>.</w:t>
      </w:r>
      <w:r>
        <w:rPr>
          <w:snapToGrid w:val="0"/>
        </w:rPr>
        <w:tab/>
        <w:t>Persons entitled to be licensed</w:t>
      </w:r>
      <w:bookmarkEnd w:id="9"/>
      <w:r>
        <w:rPr>
          <w:snapToGrid w:val="0"/>
        </w:rPr>
        <w:t xml:space="preserve"> </w:t>
      </w:r>
    </w:p>
    <w:p>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pPr>
        <w:pStyle w:val="Indenta"/>
        <w:rPr>
          <w:snapToGrid w:val="0"/>
        </w:rPr>
      </w:pPr>
      <w:r>
        <w:rPr>
          <w:snapToGrid w:val="0"/>
        </w:rPr>
        <w:tab/>
        <w:t>(a)</w:t>
      </w:r>
      <w:r>
        <w:rPr>
          <w:snapToGrid w:val="0"/>
        </w:rPr>
        <w:tab/>
        <w:t>has attained the age of 18 years; and</w:t>
      </w:r>
    </w:p>
    <w:p>
      <w:pPr>
        <w:pStyle w:val="Indenta"/>
      </w:pPr>
      <w:r>
        <w:tab/>
        <w:t>(aa)</w:t>
      </w:r>
      <w:r>
        <w:tab/>
        <w:t>has not, during the period of 10 years before making the application, been convicted of, or served any part of a term of imprisonment for, an offence in Western Australia or elsewhere involving fraud or dishonesty; and</w:t>
      </w:r>
    </w:p>
    <w:p>
      <w:pPr>
        <w:pStyle w:val="Indenta"/>
      </w:pPr>
      <w:r>
        <w:tab/>
        <w:t>(ab)</w:t>
      </w:r>
      <w:r>
        <w:tab/>
        <w:t>is not bound in relation to an offence referred to in paragraph (aa) by a bail undertaking; and</w:t>
      </w:r>
    </w:p>
    <w:p>
      <w:pPr>
        <w:pStyle w:val="Indenta"/>
      </w:pPr>
      <w:r>
        <w:tab/>
        <w:t>(ac)</w:t>
      </w:r>
      <w:r>
        <w:tab/>
        <w:t>does not have a charge pending in relation to an offence referred to in paragraph (aa); and</w:t>
      </w:r>
    </w:p>
    <w:p>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pPr>
        <w:pStyle w:val="Indenta"/>
        <w:rPr>
          <w:snapToGrid w:val="0"/>
        </w:rPr>
      </w:pPr>
      <w:r>
        <w:rPr>
          <w:snapToGrid w:val="0"/>
        </w:rPr>
        <w:tab/>
        <w:t>(c)</w:t>
      </w:r>
      <w:r>
        <w:rPr>
          <w:snapToGrid w:val="0"/>
        </w:rPr>
        <w:tab/>
        <w:t>has made a declaration before a justice in the form set out in the Third Schedule.</w:t>
      </w:r>
    </w:p>
    <w:p>
      <w:pPr>
        <w:pStyle w:val="Footnotesection"/>
      </w:pPr>
      <w:r>
        <w:tab/>
        <w:t xml:space="preserve">[Section 7 inserted by No. 79 of 1996 s. 6; amended by No. 70 of 2003 s. 40(6).] </w:t>
      </w:r>
    </w:p>
    <w:p>
      <w:pPr>
        <w:pStyle w:val="Heading5"/>
        <w:rPr>
          <w:snapToGrid w:val="0"/>
        </w:rPr>
      </w:pPr>
      <w:bookmarkStart w:id="10" w:name="_Toc462752356"/>
      <w:r>
        <w:rPr>
          <w:rStyle w:val="CharSectno"/>
        </w:rPr>
        <w:t>8</w:t>
      </w:r>
      <w:r>
        <w:rPr>
          <w:snapToGrid w:val="0"/>
        </w:rPr>
        <w:t>.</w:t>
      </w:r>
      <w:r>
        <w:rPr>
          <w:snapToGrid w:val="0"/>
        </w:rPr>
        <w:tab/>
        <w:t>Board may require the attendance of certain persons</w:t>
      </w:r>
      <w:bookmarkEnd w:id="10"/>
      <w:r>
        <w:rPr>
          <w:snapToGrid w:val="0"/>
        </w:rPr>
        <w:t xml:space="preserve"> </w:t>
      </w:r>
    </w:p>
    <w:p>
      <w:pPr>
        <w:pStyle w:val="Subsection"/>
        <w:keepNext/>
        <w:rPr>
          <w:snapToGrid w:val="0"/>
        </w:rPr>
      </w:pPr>
      <w:r>
        <w:rPr>
          <w:snapToGrid w:val="0"/>
        </w:rPr>
        <w:tab/>
        <w:t>(1)</w:t>
      </w:r>
      <w:r>
        <w:rPr>
          <w:snapToGrid w:val="0"/>
        </w:rPr>
        <w:tab/>
        <w:t>The Board may require the attendance of any person — </w:t>
      </w:r>
    </w:p>
    <w:p>
      <w:pPr>
        <w:pStyle w:val="Indenta"/>
        <w:rPr>
          <w:snapToGrid w:val="0"/>
        </w:rPr>
      </w:pPr>
      <w:r>
        <w:rPr>
          <w:snapToGrid w:val="0"/>
        </w:rPr>
        <w:tab/>
        <w:t>(a)</w:t>
      </w:r>
      <w:r>
        <w:rPr>
          <w:snapToGrid w:val="0"/>
        </w:rPr>
        <w:tab/>
        <w:t>who applies for the issue of a licence under this Act; or</w:t>
      </w:r>
    </w:p>
    <w:p>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pPr>
        <w:pStyle w:val="Footnotesection"/>
      </w:pPr>
      <w:r>
        <w:tab/>
        <w:t>[Section 8 amended by No. 79 of 1996 s. 7; No. 55 of 2004 s. 648.]</w:t>
      </w:r>
    </w:p>
    <w:p>
      <w:pPr>
        <w:pStyle w:val="Heading5"/>
        <w:rPr>
          <w:snapToGrid w:val="0"/>
        </w:rPr>
      </w:pPr>
      <w:bookmarkStart w:id="11" w:name="_Toc462752357"/>
      <w:r>
        <w:rPr>
          <w:rStyle w:val="CharSectno"/>
        </w:rPr>
        <w:t>8A</w:t>
      </w:r>
      <w:r>
        <w:rPr>
          <w:snapToGrid w:val="0"/>
        </w:rPr>
        <w:t>.</w:t>
      </w:r>
      <w:r>
        <w:rPr>
          <w:snapToGrid w:val="0"/>
        </w:rPr>
        <w:tab/>
        <w:t>Powers of investigation</w:t>
      </w:r>
      <w:bookmarkEnd w:id="11"/>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surveyor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 and</w:t>
      </w:r>
    </w:p>
    <w:p>
      <w:pPr>
        <w:pStyle w:val="Indenta"/>
        <w:rPr>
          <w:snapToGrid w:val="0"/>
        </w:rPr>
      </w:pPr>
      <w:r>
        <w:rPr>
          <w:snapToGrid w:val="0"/>
        </w:rPr>
        <w:tab/>
        <w:t>(b)</w:t>
      </w:r>
      <w:r>
        <w:rPr>
          <w:snapToGrid w:val="0"/>
        </w:rPr>
        <w:tab/>
        <w:t>require any person to produce any document to the investigator; and</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 and</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 and</w:t>
      </w:r>
    </w:p>
    <w:p>
      <w:pPr>
        <w:pStyle w:val="Indenti"/>
        <w:rPr>
          <w:snapToGrid w:val="0"/>
        </w:rPr>
      </w:pPr>
      <w:r>
        <w:rPr>
          <w:snapToGrid w:val="0"/>
        </w:rPr>
        <w:tab/>
        <w:t>(ii)</w:t>
      </w:r>
      <w:r>
        <w:rPr>
          <w:snapToGrid w:val="0"/>
        </w:rPr>
        <w:tab/>
        <w:t>be given at or sent or delivered to any place specified in the requirement; and</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 and</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pPr>
        <w:pStyle w:val="Footnotesection"/>
      </w:pPr>
      <w:r>
        <w:tab/>
        <w:t>[Section 8A inserted by No. 55 of 2004 s. 649.]</w:t>
      </w:r>
    </w:p>
    <w:p>
      <w:pPr>
        <w:pStyle w:val="Heading5"/>
        <w:rPr>
          <w:snapToGrid w:val="0"/>
        </w:rPr>
      </w:pPr>
      <w:bookmarkStart w:id="12" w:name="_Toc462752358"/>
      <w:r>
        <w:rPr>
          <w:rStyle w:val="CharSectno"/>
        </w:rPr>
        <w:t>8B</w:t>
      </w:r>
      <w:r>
        <w:rPr>
          <w:snapToGrid w:val="0"/>
        </w:rPr>
        <w:t>.</w:t>
      </w:r>
      <w:r>
        <w:rPr>
          <w:snapToGrid w:val="0"/>
        </w:rPr>
        <w:tab/>
        <w:t>Incriminating information, questions, or documents</w:t>
      </w:r>
      <w:bookmarkEnd w:id="12"/>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pPr>
        <w:pStyle w:val="Indenta"/>
        <w:rPr>
          <w:snapToGrid w:val="0"/>
        </w:rPr>
      </w:pPr>
      <w:r>
        <w:rPr>
          <w:snapToGrid w:val="0"/>
        </w:rPr>
        <w:tab/>
        <w:t>(a)</w:t>
      </w:r>
      <w:r>
        <w:rPr>
          <w:snapToGrid w:val="0"/>
        </w:rPr>
        <w:tab/>
        <w:t>give any information; or</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pPr>
        <w:pStyle w:val="Footnotesection"/>
      </w:pPr>
      <w:r>
        <w:tab/>
        <w:t>[Section 8B inserted by No. 55 of 2004 s. 649.]</w:t>
      </w:r>
    </w:p>
    <w:p>
      <w:pPr>
        <w:pStyle w:val="Heading5"/>
        <w:spacing w:before="180"/>
        <w:rPr>
          <w:snapToGrid w:val="0"/>
        </w:rPr>
      </w:pPr>
      <w:bookmarkStart w:id="13" w:name="_Toc462752359"/>
      <w:r>
        <w:rPr>
          <w:rStyle w:val="CharSectno"/>
        </w:rPr>
        <w:t>8C</w:t>
      </w:r>
      <w:r>
        <w:rPr>
          <w:snapToGrid w:val="0"/>
        </w:rPr>
        <w:t>.</w:t>
      </w:r>
      <w:r>
        <w:rPr>
          <w:snapToGrid w:val="0"/>
        </w:rPr>
        <w:tab/>
        <w:t>Failure to comply with investigation</w:t>
      </w:r>
      <w:bookmarkEnd w:id="13"/>
    </w:p>
    <w:p>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rPr>
          <w:snapToGrid w:val="0"/>
        </w:rPr>
      </w:pPr>
      <w:r>
        <w:rPr>
          <w:snapToGrid w:val="0"/>
        </w:rPr>
        <w:tab/>
        <w:t>(a)</w:t>
      </w:r>
      <w:r>
        <w:rPr>
          <w:snapToGrid w:val="0"/>
        </w:rPr>
        <w:tab/>
        <w:t xml:space="preserve">that, in the case of an alleged offence arising out of a requirement made orally under section 8A, the investigator did not, when making the requirement, inform the </w:t>
      </w:r>
      <w:r>
        <w:t xml:space="preserve">accused </w:t>
      </w:r>
      <w:r>
        <w:rPr>
          <w:snapToGrid w:val="0"/>
        </w:rPr>
        <w:t>that he was required under this Act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 or</w:t>
      </w:r>
    </w:p>
    <w:p>
      <w:pPr>
        <w:pStyle w:val="Indenta"/>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8C inserted by No. 55 of 2004 s. 649; amended by No. 2 of 2008 s. 66.]</w:t>
      </w:r>
    </w:p>
    <w:p>
      <w:pPr>
        <w:pStyle w:val="Heading5"/>
        <w:rPr>
          <w:snapToGrid w:val="0"/>
        </w:rPr>
      </w:pPr>
      <w:bookmarkStart w:id="14" w:name="_Toc462752360"/>
      <w:r>
        <w:rPr>
          <w:rStyle w:val="CharSectno"/>
        </w:rPr>
        <w:t>8D</w:t>
      </w:r>
      <w:r>
        <w:rPr>
          <w:snapToGrid w:val="0"/>
        </w:rPr>
        <w:t>.</w:t>
      </w:r>
      <w:r>
        <w:rPr>
          <w:snapToGrid w:val="0"/>
        </w:rPr>
        <w:tab/>
        <w:t>Obstruction of investigator</w:t>
      </w:r>
      <w:bookmarkEnd w:id="14"/>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pPr>
        <w:pStyle w:val="Penstart"/>
        <w:rPr>
          <w:snapToGrid w:val="0"/>
        </w:rPr>
      </w:pPr>
      <w:r>
        <w:rPr>
          <w:snapToGrid w:val="0"/>
        </w:rPr>
        <w:tab/>
        <w:t>Penalty: $2 000.</w:t>
      </w:r>
    </w:p>
    <w:p>
      <w:pPr>
        <w:pStyle w:val="Footnotesection"/>
      </w:pPr>
      <w:r>
        <w:tab/>
        <w:t>[Section 8D inserted by No. 55 of 2004 s. 649.]</w:t>
      </w:r>
    </w:p>
    <w:p>
      <w:pPr>
        <w:pStyle w:val="Heading5"/>
        <w:rPr>
          <w:snapToGrid w:val="0"/>
        </w:rPr>
      </w:pPr>
      <w:bookmarkStart w:id="15" w:name="_Toc462752361"/>
      <w:r>
        <w:rPr>
          <w:rStyle w:val="CharSectno"/>
        </w:rPr>
        <w:t>9</w:t>
      </w:r>
      <w:r>
        <w:rPr>
          <w:snapToGrid w:val="0"/>
        </w:rPr>
        <w:t>.</w:t>
      </w:r>
      <w:r>
        <w:rPr>
          <w:snapToGrid w:val="0"/>
        </w:rPr>
        <w:tab/>
        <w:t>Certificates of competency</w:t>
      </w:r>
      <w:bookmarkEnd w:id="15"/>
    </w:p>
    <w:p>
      <w:pPr>
        <w:pStyle w:val="Subsection"/>
        <w:keepNext/>
        <w:rPr>
          <w:snapToGrid w:val="0"/>
        </w:rPr>
      </w:pPr>
      <w:r>
        <w:rPr>
          <w:snapToGrid w:val="0"/>
        </w:rPr>
        <w:tab/>
        <w:t>(1)</w:t>
      </w:r>
      <w:r>
        <w:rPr>
          <w:snapToGrid w:val="0"/>
        </w:rPr>
        <w:tab/>
        <w:t>Subject to this section, the Board shall issue a certificate of competency to </w:t>
      </w:r>
      <w:r>
        <w:t>— </w:t>
      </w:r>
    </w:p>
    <w:p>
      <w:pPr>
        <w:pStyle w:val="Indenta"/>
        <w:rPr>
          <w:snapToGrid w:val="0"/>
        </w:rPr>
      </w:pPr>
      <w:r>
        <w:rPr>
          <w:snapToGrid w:val="0"/>
        </w:rPr>
        <w:tab/>
        <w:t>(a)</w:t>
      </w:r>
      <w:r>
        <w:rPr>
          <w:snapToGrid w:val="0"/>
        </w:rPr>
        <w:tab/>
        <w:t>a person who has passed the prescribed examination and fulfilled all the prescribed conditions; or</w:t>
      </w:r>
    </w:p>
    <w:p>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pPr>
        <w:pStyle w:val="Subsection"/>
        <w:keepNext/>
        <w:rPr>
          <w:snapToGrid w:val="0"/>
        </w:rPr>
      </w:pPr>
      <w:r>
        <w:rPr>
          <w:snapToGrid w:val="0"/>
        </w:rPr>
        <w:tab/>
        <w:t>(1a)</w:t>
      </w:r>
      <w:r>
        <w:rPr>
          <w:snapToGrid w:val="0"/>
        </w:rPr>
        <w:tab/>
        <w:t>A person is not eligible to be issued with a certificate of competency under subsection (1)(a) unless </w:t>
      </w:r>
      <w:r>
        <w:t>— </w:t>
      </w:r>
    </w:p>
    <w:p>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pPr>
        <w:pStyle w:val="Indenta"/>
        <w:keepNext/>
        <w:rPr>
          <w:snapToGrid w:val="0"/>
        </w:rPr>
      </w:pPr>
      <w:r>
        <w:rPr>
          <w:snapToGrid w:val="0"/>
        </w:rPr>
        <w:tab/>
        <w:t>(b)</w:t>
      </w:r>
      <w:r>
        <w:rPr>
          <w:snapToGrid w:val="0"/>
        </w:rPr>
        <w:tab/>
        <w:t>he </w:t>
      </w:r>
      <w:r>
        <w:t>— </w:t>
      </w:r>
    </w:p>
    <w:p>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pPr>
        <w:pStyle w:val="Subsection"/>
        <w:rPr>
          <w:snapToGrid w:val="0"/>
        </w:rPr>
      </w:pPr>
      <w:r>
        <w:rPr>
          <w:snapToGrid w:val="0"/>
        </w:rPr>
        <w:tab/>
        <w:t>(1b)</w:t>
      </w:r>
      <w:r>
        <w:rPr>
          <w:snapToGrid w:val="0"/>
        </w:rPr>
        <w:tab/>
        <w:t xml:space="preserve">In subsection (1a) </w:t>
      </w:r>
      <w:r>
        <w:rPr>
          <w:rStyle w:val="CharDefText"/>
        </w:rPr>
        <w:t>prescribed date</w:t>
      </w:r>
      <w:r>
        <w:rPr>
          <w:snapToGrid w:val="0"/>
        </w:rPr>
        <w:t xml:space="preserve"> means 31 March 1979 or such later date as is prescribed.</w:t>
      </w:r>
    </w:p>
    <w:p>
      <w:pPr>
        <w:pStyle w:val="Subsection"/>
        <w:rPr>
          <w:snapToGrid w:val="0"/>
        </w:rPr>
      </w:pPr>
      <w:r>
        <w:rPr>
          <w:snapToGrid w:val="0"/>
        </w:rPr>
        <w:tab/>
        <w:t>(2)</w:t>
      </w:r>
      <w:r>
        <w:rPr>
          <w:snapToGrid w:val="0"/>
        </w:rPr>
        <w:tab/>
        <w:t>No person shall be admitted to the final examinations prescribed for the purposes of subsection (1)(a) unless he has attained the age of 18 years, and has fulfilled all the conditions prescribed.</w:t>
      </w:r>
    </w:p>
    <w:p>
      <w:pPr>
        <w:pStyle w:val="Subsection"/>
        <w:rPr>
          <w:snapToGrid w:val="0"/>
        </w:rPr>
      </w:pPr>
      <w:r>
        <w:rPr>
          <w:snapToGrid w:val="0"/>
        </w:rPr>
        <w:tab/>
        <w:t>(3)</w:t>
      </w:r>
      <w:r>
        <w:rPr>
          <w:snapToGrid w:val="0"/>
        </w:rPr>
        <w:tab/>
        <w:t>The Board,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pPr>
        <w:pStyle w:val="Subsection"/>
        <w:rPr>
          <w:snapToGrid w:val="0"/>
        </w:rPr>
      </w:pPr>
      <w:r>
        <w:rPr>
          <w:snapToGrid w:val="0"/>
        </w:rPr>
        <w:tab/>
      </w:r>
      <w:r>
        <w:rPr>
          <w:snapToGrid w:val="0"/>
        </w:rPr>
        <w:tab/>
        <w:t>Such certificate of examination shall have the like force and effect as if such examination had been held by the Board.</w:t>
      </w:r>
    </w:p>
    <w:p>
      <w:pPr>
        <w:pStyle w:val="Footnotesection"/>
      </w:pPr>
      <w:r>
        <w:tab/>
        <w:t xml:space="preserve">[Section 9 amended by No. 107 of 1976 s. 6; No. 79 of 1996 s. 8.] </w:t>
      </w:r>
    </w:p>
    <w:p>
      <w:pPr>
        <w:pStyle w:val="Heading5"/>
        <w:rPr>
          <w:snapToGrid w:val="0"/>
        </w:rPr>
      </w:pPr>
      <w:bookmarkStart w:id="16" w:name="_Toc462752362"/>
      <w:r>
        <w:rPr>
          <w:rStyle w:val="CharSectno"/>
        </w:rPr>
        <w:t>10</w:t>
      </w:r>
      <w:r>
        <w:rPr>
          <w:snapToGrid w:val="0"/>
        </w:rPr>
        <w:t>.</w:t>
      </w:r>
      <w:r>
        <w:rPr>
          <w:snapToGrid w:val="0"/>
        </w:rPr>
        <w:tab/>
        <w:t>Reciprocity</w:t>
      </w:r>
      <w:bookmarkEnd w:id="16"/>
      <w:r>
        <w:rPr>
          <w:snapToGrid w:val="0"/>
        </w:rPr>
        <w:t xml:space="preserve"> </w:t>
      </w:r>
    </w:p>
    <w:p>
      <w:pPr>
        <w:pStyle w:val="Subsection"/>
        <w:rPr>
          <w:snapToGrid w:val="0"/>
        </w:rPr>
      </w:pPr>
      <w:r>
        <w:rPr>
          <w:snapToGrid w:val="0"/>
        </w:rPr>
        <w:tab/>
        <w:t>(1A)</w:t>
      </w:r>
      <w:r>
        <w:rPr>
          <w:snapToGrid w:val="0"/>
        </w:rPr>
        <w:tab/>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pPr>
        <w:pStyle w:val="Subsection"/>
        <w:rPr>
          <w:snapToGrid w:val="0"/>
        </w:rPr>
      </w:pPr>
      <w:r>
        <w:rPr>
          <w:snapToGrid w:val="0"/>
        </w:rPr>
        <w:tab/>
        <w:t>(1B)</w:t>
      </w:r>
      <w:r>
        <w:rPr>
          <w:snapToGrid w:val="0"/>
        </w:rPr>
        <w:tab/>
        <w:t>Any such arrangement may contain a condition that any such person applying for the issue of a licence under this Act shall furnish additional evidence of character and competency to the satisfaction of the Board.</w:t>
      </w:r>
    </w:p>
    <w:p>
      <w:pPr>
        <w:pStyle w:val="Subsection"/>
        <w:rPr>
          <w:rFonts w:ascii="Times" w:hAnsi="Times"/>
          <w:snapToGrid w:val="0"/>
        </w:rPr>
      </w:pPr>
      <w:r>
        <w:rPr>
          <w:snapToGrid w:val="0"/>
        </w:rPr>
        <w:tab/>
        <w:t>(2)</w:t>
      </w:r>
      <w:r>
        <w:rPr>
          <w:snapToGrid w:val="0"/>
        </w:rPr>
        <w:tab/>
      </w:r>
      <w:r>
        <w:rPr>
          <w:rFonts w:ascii="Times" w:hAnsi="Times"/>
          <w:snapToGrid w:val="0"/>
        </w:rPr>
        <w:t xml:space="preserve">In order to avoid any doubt which but for the enactment of this subsection might arise, it is also enacted that without limiting the generality of the expression </w:t>
      </w:r>
      <w:r>
        <w:rPr>
          <w:rStyle w:val="CharDefText"/>
          <w:rFonts w:ascii="Times" w:hAnsi="Times"/>
        </w:rPr>
        <w:t>dominion within Her Majesty’s dominions</w:t>
      </w:r>
      <w:r>
        <w:rPr>
          <w:rFonts w:ascii="Times" w:hAnsi="Times"/>
          <w:snapToGrid w:val="0"/>
        </w:rPr>
        <w:t>, that expression shall be deemed to include and during the operation of this Act to have included the United Kingdom.</w:t>
      </w:r>
    </w:p>
    <w:p>
      <w:pPr>
        <w:pStyle w:val="Footnotesection"/>
      </w:pPr>
      <w:r>
        <w:tab/>
        <w:t xml:space="preserve">[Section 10 amended by No. 14 of 1958 s. 2; No. 79 of 1996 s. 9; No. 19 of 2010 s. 51.] </w:t>
      </w:r>
    </w:p>
    <w:p>
      <w:pPr>
        <w:pStyle w:val="Heading5"/>
        <w:spacing w:before="180"/>
        <w:rPr>
          <w:snapToGrid w:val="0"/>
        </w:rPr>
      </w:pPr>
      <w:bookmarkStart w:id="17" w:name="_Toc462752363"/>
      <w:r>
        <w:rPr>
          <w:rStyle w:val="CharSectno"/>
        </w:rPr>
        <w:t>11</w:t>
      </w:r>
      <w:r>
        <w:rPr>
          <w:snapToGrid w:val="0"/>
        </w:rPr>
        <w:t>.</w:t>
      </w:r>
      <w:r>
        <w:rPr>
          <w:snapToGrid w:val="0"/>
        </w:rPr>
        <w:tab/>
        <w:t>Licences</w:t>
      </w:r>
      <w:bookmarkEnd w:id="17"/>
      <w:r>
        <w:rPr>
          <w:snapToGrid w:val="0"/>
        </w:rPr>
        <w:t xml:space="preserve"> </w:t>
      </w:r>
    </w:p>
    <w:p>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pPr>
        <w:pStyle w:val="Heading5"/>
        <w:spacing w:before="180"/>
        <w:rPr>
          <w:snapToGrid w:val="0"/>
        </w:rPr>
      </w:pPr>
      <w:bookmarkStart w:id="18" w:name="_Toc462752364"/>
      <w:r>
        <w:rPr>
          <w:rStyle w:val="CharSectno"/>
        </w:rPr>
        <w:t>11A</w:t>
      </w:r>
      <w:r>
        <w:rPr>
          <w:snapToGrid w:val="0"/>
        </w:rPr>
        <w:t>.</w:t>
      </w:r>
      <w:r>
        <w:rPr>
          <w:snapToGrid w:val="0"/>
        </w:rPr>
        <w:tab/>
        <w:t>Practising certificates</w:t>
      </w:r>
      <w:bookmarkEnd w:id="18"/>
      <w:r>
        <w:rPr>
          <w:snapToGrid w:val="0"/>
        </w:rPr>
        <w:t xml:space="preserve"> </w:t>
      </w:r>
    </w:p>
    <w:p>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pPr>
        <w:pStyle w:val="Indenta"/>
        <w:rPr>
          <w:snapToGrid w:val="0"/>
        </w:rPr>
      </w:pPr>
      <w:r>
        <w:rPr>
          <w:snapToGrid w:val="0"/>
        </w:rPr>
        <w:tab/>
        <w:t>(a)</w:t>
      </w:r>
      <w:r>
        <w:rPr>
          <w:snapToGrid w:val="0"/>
        </w:rPr>
        <w:tab/>
        <w:t>on the day of that issue or renewal; or</w:t>
      </w:r>
    </w:p>
    <w:p>
      <w:pPr>
        <w:pStyle w:val="Indenta"/>
        <w:rPr>
          <w:snapToGrid w:val="0"/>
        </w:rPr>
      </w:pPr>
      <w:r>
        <w:rPr>
          <w:snapToGrid w:val="0"/>
        </w:rPr>
        <w:tab/>
        <w:t>(b)</w:t>
      </w:r>
      <w:r>
        <w:rPr>
          <w:snapToGrid w:val="0"/>
        </w:rPr>
        <w:tab/>
        <w:t>on the day of expiry of any existing practising certificate held by the licensed surveyor,</w:t>
      </w:r>
    </w:p>
    <w:p>
      <w:pPr>
        <w:pStyle w:val="Subsection"/>
        <w:spacing w:before="120"/>
        <w:rPr>
          <w:snapToGrid w:val="0"/>
        </w:rPr>
      </w:pPr>
      <w:r>
        <w:rPr>
          <w:snapToGrid w:val="0"/>
        </w:rPr>
        <w:tab/>
      </w:r>
      <w:r>
        <w:rPr>
          <w:snapToGrid w:val="0"/>
        </w:rPr>
        <w:tab/>
        <w:t>whichever is the later.</w:t>
      </w:r>
    </w:p>
    <w:p>
      <w:pPr>
        <w:pStyle w:val="Subsection"/>
        <w:spacing w:before="120"/>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pPr>
        <w:pStyle w:val="Subsection"/>
        <w:keepNext/>
        <w:rPr>
          <w:snapToGrid w:val="0"/>
        </w:rPr>
      </w:pPr>
      <w:r>
        <w:rPr>
          <w:snapToGrid w:val="0"/>
        </w:rPr>
        <w:tab/>
        <w:t>(6)</w:t>
      </w:r>
      <w:r>
        <w:rPr>
          <w:snapToGrid w:val="0"/>
        </w:rPr>
        <w:tab/>
        <w:t>Subject to section 11B, if the Board is, on receiving — </w:t>
      </w:r>
    </w:p>
    <w:p>
      <w:pPr>
        <w:pStyle w:val="Indenta"/>
        <w:rPr>
          <w:snapToGrid w:val="0"/>
        </w:rPr>
      </w:pPr>
      <w:r>
        <w:rPr>
          <w:snapToGrid w:val="0"/>
        </w:rPr>
        <w:tab/>
        <w:t>(a)</w:t>
      </w:r>
      <w:r>
        <w:rPr>
          <w:snapToGrid w:val="0"/>
        </w:rPr>
        <w:tab/>
        <w:t>an application for the renewal of a practising certificate; and</w:t>
      </w:r>
    </w:p>
    <w:p>
      <w:pPr>
        <w:pStyle w:val="Indenta"/>
        <w:rPr>
          <w:snapToGrid w:val="0"/>
        </w:rPr>
      </w:pPr>
      <w:r>
        <w:rPr>
          <w:snapToGrid w:val="0"/>
        </w:rPr>
        <w:tab/>
        <w:t>(b)</w:t>
      </w:r>
      <w:r>
        <w:rPr>
          <w:snapToGrid w:val="0"/>
        </w:rPr>
        <w:tab/>
        <w:t>the prescribed renewal fee; and</w:t>
      </w:r>
    </w:p>
    <w:p>
      <w:pPr>
        <w:pStyle w:val="Indenta"/>
        <w:rPr>
          <w:snapToGrid w:val="0"/>
        </w:rPr>
      </w:pPr>
      <w:r>
        <w:rPr>
          <w:snapToGrid w:val="0"/>
        </w:rPr>
        <w:tab/>
        <w:t>(c)</w:t>
      </w:r>
      <w:r>
        <w:rPr>
          <w:snapToGrid w:val="0"/>
        </w:rPr>
        <w:tab/>
        <w:t>if that application is an application referred to in subsection (5), the prescribed late renewal fee,</w:t>
      </w:r>
    </w:p>
    <w:p>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pPr>
        <w:pStyle w:val="Footnotesection"/>
      </w:pPr>
      <w:r>
        <w:tab/>
        <w:t xml:space="preserve">[Section 11A inserted by No. 79 of 1996 s. 10.] </w:t>
      </w:r>
    </w:p>
    <w:p>
      <w:pPr>
        <w:pStyle w:val="Heading5"/>
        <w:rPr>
          <w:snapToGrid w:val="0"/>
        </w:rPr>
      </w:pPr>
      <w:bookmarkStart w:id="19" w:name="_Toc462752365"/>
      <w:r>
        <w:rPr>
          <w:rStyle w:val="CharSectno"/>
        </w:rPr>
        <w:t>11B</w:t>
      </w:r>
      <w:r>
        <w:rPr>
          <w:snapToGrid w:val="0"/>
        </w:rPr>
        <w:t>.</w:t>
      </w:r>
      <w:r>
        <w:rPr>
          <w:snapToGrid w:val="0"/>
        </w:rPr>
        <w:tab/>
        <w:t>Continuing education</w:t>
      </w:r>
      <w:bookmarkEnd w:id="19"/>
      <w:r>
        <w:rPr>
          <w:snapToGrid w:val="0"/>
        </w:rPr>
        <w:t xml:space="preserve"> </w:t>
      </w:r>
    </w:p>
    <w:p>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pPr>
        <w:pStyle w:val="Subsection"/>
        <w:spacing w:before="120"/>
        <w:rPr>
          <w:snapToGrid w:val="0"/>
        </w:rPr>
      </w:pPr>
      <w:r>
        <w:rPr>
          <w:snapToGrid w:val="0"/>
        </w:rPr>
        <w:tab/>
        <w:t>(2)</w:t>
      </w:r>
      <w:r>
        <w:rPr>
          <w:snapToGrid w:val="0"/>
        </w:rPr>
        <w:tab/>
        <w:t>If the Board is not satisfied that a licensed surveyor has complied with requirements specified under subsection (1), the Board may — </w:t>
      </w:r>
    </w:p>
    <w:p>
      <w:pPr>
        <w:pStyle w:val="Indenta"/>
        <w:rPr>
          <w:snapToGrid w:val="0"/>
        </w:rPr>
      </w:pPr>
      <w:r>
        <w:rPr>
          <w:snapToGrid w:val="0"/>
        </w:rPr>
        <w:tab/>
        <w:t>(a)</w:t>
      </w:r>
      <w:r>
        <w:rPr>
          <w:snapToGrid w:val="0"/>
        </w:rPr>
        <w:tab/>
        <w:t>suspend the practising certificate of the licensed surveyor until specified conditions are fulfilled; or</w:t>
      </w:r>
    </w:p>
    <w:p>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 or</w:t>
      </w:r>
    </w:p>
    <w:p>
      <w:pPr>
        <w:pStyle w:val="Indenta"/>
        <w:rPr>
          <w:snapToGrid w:val="0"/>
        </w:rPr>
      </w:pPr>
      <w:r>
        <w:rPr>
          <w:snapToGrid w:val="0"/>
        </w:rPr>
        <w:tab/>
        <w:t>(c)</w:t>
      </w:r>
      <w:r>
        <w:rPr>
          <w:snapToGrid w:val="0"/>
        </w:rPr>
        <w:tab/>
        <w:t>refuse to renew the practising certificate of the licensed surveyor until specified conditions are fulfilled; or</w:t>
      </w:r>
    </w:p>
    <w:p>
      <w:pPr>
        <w:pStyle w:val="Indenta"/>
        <w:rPr>
          <w:snapToGrid w:val="0"/>
        </w:rPr>
      </w:pPr>
      <w:r>
        <w:rPr>
          <w:snapToGrid w:val="0"/>
        </w:rPr>
        <w:tab/>
        <w:t>(d)</w:t>
      </w:r>
      <w:r>
        <w:rPr>
          <w:snapToGrid w:val="0"/>
        </w:rPr>
        <w:tab/>
        <w:t>refuse to renew the practising certificate of the licensed surveyor.</w:t>
      </w:r>
    </w:p>
    <w:p>
      <w:pPr>
        <w:pStyle w:val="Subsection"/>
        <w:spacing w:before="120"/>
        <w:rPr>
          <w:rFonts w:ascii="Times" w:hAnsi="Times"/>
          <w:snapToGrid w:val="0"/>
        </w:rPr>
      </w:pPr>
      <w:r>
        <w:rPr>
          <w:snapToGrid w:val="0"/>
        </w:rPr>
        <w:tab/>
        <w:t>(3)</w:t>
      </w:r>
      <w:r>
        <w:rPr>
          <w:snapToGrid w:val="0"/>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pPr>
        <w:pStyle w:val="Subsection"/>
        <w:keepNext/>
        <w:spacing w:before="120"/>
        <w:rPr>
          <w:snapToGrid w:val="0"/>
        </w:rPr>
      </w:pPr>
      <w:r>
        <w:rPr>
          <w:snapToGrid w:val="0"/>
        </w:rPr>
        <w:tab/>
        <w:t>(5)</w:t>
      </w:r>
      <w:r>
        <w:rPr>
          <w:snapToGrid w:val="0"/>
        </w:rPr>
        <w:tab/>
        <w:t>In this section — </w:t>
      </w:r>
    </w:p>
    <w:p>
      <w:pPr>
        <w:pStyle w:val="Defstart"/>
      </w:pPr>
      <w:r>
        <w:rPr>
          <w:b/>
        </w:rPr>
        <w:tab/>
      </w:r>
      <w:r>
        <w:rPr>
          <w:rStyle w:val="CharDefText"/>
        </w:rPr>
        <w:t>specified</w:t>
      </w:r>
      <w:r>
        <w:t xml:space="preserve"> means specified in writing by the Board.</w:t>
      </w:r>
    </w:p>
    <w:p>
      <w:pPr>
        <w:pStyle w:val="Footnotesection"/>
      </w:pPr>
      <w:r>
        <w:tab/>
        <w:t xml:space="preserve">[Section 11B inserted by No. 79 of 1996 s. 10.] </w:t>
      </w:r>
    </w:p>
    <w:p>
      <w:pPr>
        <w:pStyle w:val="Heading5"/>
        <w:rPr>
          <w:snapToGrid w:val="0"/>
        </w:rPr>
      </w:pPr>
      <w:bookmarkStart w:id="20" w:name="_Toc462752366"/>
      <w:r>
        <w:rPr>
          <w:rStyle w:val="CharSectno"/>
        </w:rPr>
        <w:t>12</w:t>
      </w:r>
      <w:r>
        <w:rPr>
          <w:snapToGrid w:val="0"/>
        </w:rPr>
        <w:t>.</w:t>
      </w:r>
      <w:r>
        <w:rPr>
          <w:snapToGrid w:val="0"/>
        </w:rPr>
        <w:tab/>
        <w:t>Register of licensed surveyors</w:t>
      </w:r>
      <w:bookmarkEnd w:id="20"/>
      <w:r>
        <w:rPr>
          <w:snapToGrid w:val="0"/>
        </w:rPr>
        <w:t xml:space="preserve"> </w:t>
      </w:r>
    </w:p>
    <w:p>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pPr>
        <w:pStyle w:val="Subsection"/>
        <w:spacing w:before="120"/>
        <w:rPr>
          <w:snapToGrid w:val="0"/>
        </w:rPr>
      </w:pPr>
      <w:r>
        <w:rPr>
          <w:snapToGrid w:val="0"/>
        </w:rPr>
        <w:tab/>
        <w:t>(2)</w:t>
      </w:r>
      <w:r>
        <w:rPr>
          <w:snapToGrid w:val="0"/>
        </w:rPr>
        <w:tab/>
        <w:t>The register shall be open to inspection by any person on payment of the prescribed fee.</w:t>
      </w:r>
    </w:p>
    <w:p>
      <w:pPr>
        <w:pStyle w:val="Heading5"/>
        <w:rPr>
          <w:snapToGrid w:val="0"/>
        </w:rPr>
      </w:pPr>
      <w:bookmarkStart w:id="21" w:name="_Toc462752367"/>
      <w:r>
        <w:rPr>
          <w:rStyle w:val="CharSectno"/>
        </w:rPr>
        <w:t>13</w:t>
      </w:r>
      <w:r>
        <w:rPr>
          <w:snapToGrid w:val="0"/>
        </w:rPr>
        <w:t>.</w:t>
      </w:r>
      <w:r>
        <w:rPr>
          <w:snapToGrid w:val="0"/>
        </w:rPr>
        <w:tab/>
        <w:t>Copy of register to be published</w:t>
      </w:r>
      <w:bookmarkEnd w:id="21"/>
      <w:r>
        <w:rPr>
          <w:snapToGrid w:val="0"/>
        </w:rPr>
        <w:t xml:space="preserve"> </w:t>
      </w:r>
    </w:p>
    <w:p>
      <w:pPr>
        <w:pStyle w:val="Subsection"/>
        <w:spacing w:before="120"/>
        <w:rPr>
          <w:snapToGrid w:val="0"/>
        </w:rPr>
      </w:pPr>
      <w:r>
        <w:rPr>
          <w:snapToGrid w:val="0"/>
        </w:rPr>
        <w:tab/>
        <w:t>(1)</w:t>
      </w:r>
      <w:r>
        <w:rPr>
          <w:snapToGrid w:val="0"/>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rPr>
        <w:t xml:space="preserve"> </w:t>
      </w:r>
    </w:p>
    <w:p>
      <w:pPr>
        <w:pStyle w:val="Subsection"/>
        <w:spacing w:before="120"/>
        <w:rPr>
          <w:snapToGrid w:val="0"/>
        </w:rPr>
      </w:pPr>
      <w:r>
        <w:rPr>
          <w:snapToGrid w:val="0"/>
        </w:rPr>
        <w:tab/>
        <w:t>(2)</w:t>
      </w:r>
      <w:r>
        <w:rPr>
          <w:snapToGrid w:val="0"/>
        </w:rPr>
        <w:tab/>
        <w:t xml:space="preserve">A copy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pPr>
        <w:pStyle w:val="Indenta"/>
        <w:rPr>
          <w:snapToGrid w:val="0"/>
        </w:rPr>
      </w:pPr>
      <w:r>
        <w:rPr>
          <w:snapToGrid w:val="0"/>
        </w:rPr>
        <w:tab/>
        <w:t>(a)</w:t>
      </w:r>
      <w:r>
        <w:rPr>
          <w:snapToGrid w:val="0"/>
        </w:rPr>
        <w:tab/>
        <w:t>is a licensed surveyor; or</w:t>
      </w:r>
    </w:p>
    <w:p>
      <w:pPr>
        <w:pStyle w:val="Indenta"/>
        <w:rPr>
          <w:snapToGrid w:val="0"/>
        </w:rPr>
      </w:pPr>
      <w:r>
        <w:rPr>
          <w:snapToGrid w:val="0"/>
        </w:rPr>
        <w:tab/>
        <w:t>(b)</w:t>
      </w:r>
      <w:r>
        <w:rPr>
          <w:snapToGrid w:val="0"/>
        </w:rPr>
        <w:tab/>
        <w:t>holds or does not hold a practising certificate; or</w:t>
      </w:r>
    </w:p>
    <w:p>
      <w:pPr>
        <w:pStyle w:val="Indenta"/>
        <w:rPr>
          <w:snapToGrid w:val="0"/>
        </w:rPr>
      </w:pPr>
      <w:r>
        <w:rPr>
          <w:snapToGrid w:val="0"/>
        </w:rPr>
        <w:tab/>
        <w:t>(c)</w:t>
      </w:r>
      <w:r>
        <w:rPr>
          <w:snapToGrid w:val="0"/>
        </w:rPr>
        <w:tab/>
        <w:t>possesses the qualifications therein mentioned; or</w:t>
      </w:r>
    </w:p>
    <w:p>
      <w:pPr>
        <w:pStyle w:val="Indenta"/>
        <w:rPr>
          <w:snapToGrid w:val="0"/>
        </w:rPr>
      </w:pPr>
      <w:r>
        <w:rPr>
          <w:snapToGrid w:val="0"/>
        </w:rPr>
        <w:tab/>
        <w:t>(d)</w:t>
      </w:r>
      <w:r>
        <w:rPr>
          <w:snapToGrid w:val="0"/>
        </w:rPr>
        <w:tab/>
        <w:t>has had his licence cancelled or suspended; or</w:t>
      </w:r>
    </w:p>
    <w:p>
      <w:pPr>
        <w:pStyle w:val="Indenta"/>
        <w:rPr>
          <w:snapToGrid w:val="0"/>
        </w:rPr>
      </w:pPr>
      <w:r>
        <w:rPr>
          <w:snapToGrid w:val="0"/>
        </w:rPr>
        <w:tab/>
        <w:t>(e)</w:t>
      </w:r>
      <w:r>
        <w:rPr>
          <w:snapToGrid w:val="0"/>
        </w:rPr>
        <w:tab/>
        <w:t>has had his practising certificate cancelled or suspended,</w:t>
      </w:r>
    </w:p>
    <w:p>
      <w:pPr>
        <w:pStyle w:val="Subsection"/>
        <w:rPr>
          <w:snapToGrid w:val="0"/>
        </w:rPr>
      </w:pPr>
      <w:r>
        <w:rPr>
          <w:snapToGrid w:val="0"/>
        </w:rPr>
        <w:tab/>
      </w:r>
      <w:r>
        <w:rPr>
          <w:snapToGrid w:val="0"/>
        </w:rPr>
        <w:tab/>
        <w:t>as the case requires.</w:t>
      </w:r>
    </w:p>
    <w:p>
      <w:pPr>
        <w:pStyle w:val="Footnotesection"/>
      </w:pPr>
      <w:r>
        <w:tab/>
        <w:t xml:space="preserve">[Section 13 amended by No. 79 of 1996 s. 11.] </w:t>
      </w:r>
    </w:p>
    <w:p>
      <w:pPr>
        <w:pStyle w:val="Heading5"/>
        <w:rPr>
          <w:snapToGrid w:val="0"/>
        </w:rPr>
      </w:pPr>
      <w:bookmarkStart w:id="22" w:name="_Toc462752368"/>
      <w:r>
        <w:rPr>
          <w:rStyle w:val="CharSectno"/>
        </w:rPr>
        <w:t>14</w:t>
      </w:r>
      <w:r>
        <w:rPr>
          <w:snapToGrid w:val="0"/>
        </w:rPr>
        <w:t>.</w:t>
      </w:r>
      <w:r>
        <w:rPr>
          <w:snapToGrid w:val="0"/>
        </w:rPr>
        <w:tab/>
        <w:t>Certain entries to be erased or corrected</w:t>
      </w:r>
      <w:bookmarkEnd w:id="22"/>
    </w:p>
    <w:p>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pPr>
        <w:pStyle w:val="Subsection"/>
        <w:rPr>
          <w:snapToGrid w:val="0"/>
        </w:rPr>
      </w:pPr>
      <w:r>
        <w:rPr>
          <w:snapToGrid w:val="0"/>
        </w:rPr>
        <w:tab/>
        <w:t>(2)</w:t>
      </w:r>
      <w:r>
        <w:rPr>
          <w:snapToGrid w:val="0"/>
        </w:rPr>
        <w:tab/>
        <w:t>Every licensed surveyor on changing his place of address shall forthwith give notice of the fact by post to the secretary.</w:t>
      </w:r>
    </w:p>
    <w:p>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pPr>
        <w:pStyle w:val="Subsection"/>
        <w:rPr>
          <w:snapToGrid w:val="0"/>
        </w:rPr>
      </w:pPr>
      <w:r>
        <w:rPr>
          <w:snapToGrid w:val="0"/>
        </w:rPr>
        <w:tab/>
        <w:t>(5)</w:t>
      </w:r>
      <w:r>
        <w:rPr>
          <w:snapToGrid w:val="0"/>
        </w:rPr>
        <w:tab/>
        <w:t>Any name erased from the register under this section may be restored by the Board.</w:t>
      </w:r>
    </w:p>
    <w:p>
      <w:pPr>
        <w:pStyle w:val="Footnotesection"/>
      </w:pPr>
      <w:r>
        <w:tab/>
        <w:t>[Section 14 amended by No. 79 of 1996 s. 12; No. 40 of 1998 s. 15.]</w:t>
      </w:r>
    </w:p>
    <w:p>
      <w:pPr>
        <w:pStyle w:val="Ednotesection"/>
        <w:ind w:left="890" w:hanging="890"/>
      </w:pPr>
      <w:r>
        <w:t>[</w:t>
      </w:r>
      <w:r>
        <w:rPr>
          <w:b/>
        </w:rPr>
        <w:t>15.</w:t>
      </w:r>
      <w:r>
        <w:tab/>
        <w:t xml:space="preserve">Deleted by No. 79 of 1996 s. 13.] </w:t>
      </w:r>
    </w:p>
    <w:p>
      <w:pPr>
        <w:pStyle w:val="Heading5"/>
        <w:rPr>
          <w:snapToGrid w:val="0"/>
        </w:rPr>
      </w:pPr>
      <w:bookmarkStart w:id="23" w:name="_Toc462752369"/>
      <w:r>
        <w:rPr>
          <w:rStyle w:val="CharSectno"/>
        </w:rPr>
        <w:t>16</w:t>
      </w:r>
      <w:r>
        <w:rPr>
          <w:snapToGrid w:val="0"/>
        </w:rPr>
        <w:t>.</w:t>
      </w:r>
      <w:r>
        <w:rPr>
          <w:snapToGrid w:val="0"/>
        </w:rPr>
        <w:tab/>
        <w:t>Practising as licensed surveyor</w:t>
      </w:r>
      <w:bookmarkEnd w:id="23"/>
    </w:p>
    <w:p>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pPr>
        <w:pStyle w:val="Ednotesubsection"/>
      </w:pPr>
      <w:r>
        <w:tab/>
        <w:t>[(2)</w:t>
      </w:r>
      <w:r>
        <w:tab/>
        <w:t>deleted]</w:t>
      </w:r>
    </w:p>
    <w:p>
      <w:pPr>
        <w:pStyle w:val="Subsection"/>
        <w:rPr>
          <w:snapToGrid w:val="0"/>
        </w:rPr>
      </w:pPr>
      <w:r>
        <w:rPr>
          <w:snapToGrid w:val="0"/>
        </w:rPr>
        <w:tab/>
        <w:t>(3)</w:t>
      </w:r>
      <w:r>
        <w:rPr>
          <w:snapToGrid w:val="0"/>
        </w:rPr>
        <w:tab/>
        <w:t>A person shall not practise as a licensed surveyor unless he is the holder of a licence.</w:t>
      </w:r>
    </w:p>
    <w:p>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pPr>
        <w:pStyle w:val="Footnotesection"/>
      </w:pPr>
      <w:r>
        <w:tab/>
        <w:t xml:space="preserve">[Section 16 amended by No. 113 of 1965 s. 8; No. 107 of 1976 s. 7; No. 79 of 1996 s. 14.] </w:t>
      </w:r>
    </w:p>
    <w:p>
      <w:pPr>
        <w:pStyle w:val="Heading5"/>
        <w:rPr>
          <w:snapToGrid w:val="0"/>
        </w:rPr>
      </w:pPr>
      <w:bookmarkStart w:id="24" w:name="_Toc462752370"/>
      <w:r>
        <w:rPr>
          <w:rStyle w:val="CharSectno"/>
        </w:rPr>
        <w:t>17</w:t>
      </w:r>
      <w:r>
        <w:rPr>
          <w:snapToGrid w:val="0"/>
        </w:rPr>
        <w:t>.</w:t>
      </w:r>
      <w:r>
        <w:rPr>
          <w:snapToGrid w:val="0"/>
        </w:rPr>
        <w:tab/>
        <w:t>Surveyor may enter upon lands</w:t>
      </w:r>
      <w:bookmarkEnd w:id="24"/>
      <w:r>
        <w:rPr>
          <w:snapToGrid w:val="0"/>
        </w:rPr>
        <w:t xml:space="preserve"> </w:t>
      </w:r>
    </w:p>
    <w:p>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pPr>
        <w:pStyle w:val="Footnotesection"/>
      </w:pPr>
      <w:r>
        <w:tab/>
        <w:t xml:space="preserve">[Section 17 amended by No. 113 of 1965 s. 8; No. 79 of 1996 s. 15.] </w:t>
      </w:r>
    </w:p>
    <w:p>
      <w:pPr>
        <w:pStyle w:val="Heading5"/>
        <w:rPr>
          <w:snapToGrid w:val="0"/>
        </w:rPr>
      </w:pPr>
      <w:bookmarkStart w:id="25" w:name="_Toc462752371"/>
      <w:r>
        <w:rPr>
          <w:rStyle w:val="CharSectno"/>
        </w:rPr>
        <w:t>18</w:t>
      </w:r>
      <w:r>
        <w:rPr>
          <w:snapToGrid w:val="0"/>
        </w:rPr>
        <w:t>.</w:t>
      </w:r>
      <w:r>
        <w:rPr>
          <w:snapToGrid w:val="0"/>
        </w:rPr>
        <w:tab/>
        <w:t>Plan to be approved by Surveyor General</w:t>
      </w:r>
      <w:bookmarkEnd w:id="25"/>
      <w:r>
        <w:rPr>
          <w:snapToGrid w:val="0"/>
        </w:rPr>
        <w:t xml:space="preserve"> </w:t>
      </w:r>
    </w:p>
    <w:p>
      <w:pPr>
        <w:pStyle w:val="Subsection"/>
        <w:rPr>
          <w:snapToGrid w:val="0"/>
        </w:rPr>
      </w:pPr>
      <w:r>
        <w:rPr>
          <w:snapToGrid w:val="0"/>
        </w:rPr>
        <w:tab/>
      </w:r>
      <w:r>
        <w:rPr>
          <w:snapToGrid w:val="0"/>
        </w:rPr>
        <w:tab/>
        <w:t xml:space="preserve">An authorised survey, other than a survey referred to in paragraph (c) of the definition of </w:t>
      </w:r>
      <w:r>
        <w:rPr>
          <w:b/>
          <w:i/>
          <w:snapToGrid w:val="0"/>
        </w:rPr>
        <w:t>authorised survey</w:t>
      </w:r>
      <w:r>
        <w:rPr>
          <w:snapToGrid w:val="0"/>
        </w:rPr>
        <w:t xml:space="preserve">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pPr>
        <w:pStyle w:val="Footnotesection"/>
      </w:pPr>
      <w:r>
        <w:tab/>
        <w:t xml:space="preserve">[Section 18 amended by No. 32 of 1994 s. 19; No. 79 of 1996 s. 16; No. 60 of 2006 s. 143(3).] </w:t>
      </w:r>
    </w:p>
    <w:p>
      <w:pPr>
        <w:pStyle w:val="Heading5"/>
        <w:rPr>
          <w:snapToGrid w:val="0"/>
        </w:rPr>
      </w:pPr>
      <w:bookmarkStart w:id="26" w:name="_Toc462752372"/>
      <w:r>
        <w:rPr>
          <w:rStyle w:val="CharSectno"/>
        </w:rPr>
        <w:t>19</w:t>
      </w:r>
      <w:r>
        <w:rPr>
          <w:snapToGrid w:val="0"/>
        </w:rPr>
        <w:t>.</w:t>
      </w:r>
      <w:r>
        <w:rPr>
          <w:snapToGrid w:val="0"/>
        </w:rPr>
        <w:tab/>
        <w:t>Surveyors to correct errors at their own expense</w:t>
      </w:r>
      <w:bookmarkEnd w:id="26"/>
      <w:r>
        <w:rPr>
          <w:snapToGrid w:val="0"/>
        </w:rPr>
        <w:t xml:space="preserve"> </w:t>
      </w:r>
    </w:p>
    <w:p>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pPr>
        <w:pStyle w:val="Indenta"/>
        <w:keepNext/>
        <w:rPr>
          <w:snapToGrid w:val="0"/>
        </w:rPr>
      </w:pPr>
      <w:r>
        <w:rPr>
          <w:snapToGrid w:val="0"/>
        </w:rPr>
        <w:tab/>
        <w:t>(b)</w:t>
      </w:r>
      <w:r>
        <w:rPr>
          <w:snapToGrid w:val="0"/>
        </w:rPr>
        <w:tab/>
        <w:t>any person who is or was a licensed surveyor (the</w:t>
      </w:r>
      <w:r>
        <w:rPr>
          <w:rStyle w:val="CharDefText"/>
        </w:rPr>
        <w:t xml:space="preserve"> person at fault</w:t>
      </w:r>
      <w:r>
        <w:rPr>
          <w:snapToGrid w:val="0"/>
        </w:rPr>
        <w:t>) to pay the cost of correction by a licensed surveyor — </w:t>
      </w:r>
    </w:p>
    <w:p>
      <w:pPr>
        <w:pStyle w:val="Indenti"/>
        <w:rPr>
          <w:snapToGrid w:val="0"/>
        </w:rPr>
      </w:pPr>
      <w:r>
        <w:rPr>
          <w:snapToGrid w:val="0"/>
        </w:rPr>
        <w:tab/>
        <w:t>(i)</w:t>
      </w:r>
      <w:r>
        <w:rPr>
          <w:snapToGrid w:val="0"/>
        </w:rPr>
        <w:tab/>
        <w:t>holding a practising certificate; and</w:t>
      </w:r>
    </w:p>
    <w:p>
      <w:pPr>
        <w:pStyle w:val="Indenti"/>
        <w:keepNext/>
        <w:rPr>
          <w:snapToGrid w:val="0"/>
        </w:rPr>
      </w:pPr>
      <w:r>
        <w:rPr>
          <w:snapToGrid w:val="0"/>
        </w:rPr>
        <w:tab/>
        <w:t>(ii)</w:t>
      </w:r>
      <w:r>
        <w:rPr>
          <w:snapToGrid w:val="0"/>
        </w:rPr>
        <w:tab/>
        <w:t>instructed by the Surveyor General or the other person appointed by the Governor, as the case requires,</w:t>
      </w:r>
    </w:p>
    <w:p>
      <w:pPr>
        <w:pStyle w:val="Indenta"/>
        <w:rPr>
          <w:snapToGrid w:val="0"/>
        </w:rPr>
      </w:pPr>
      <w:r>
        <w:rPr>
          <w:snapToGrid w:val="0"/>
        </w:rPr>
        <w:tab/>
      </w:r>
      <w:r>
        <w:rPr>
          <w:snapToGrid w:val="0"/>
        </w:rPr>
        <w:tab/>
        <w:t>of any error made by the person at fault in an authorised survey.</w:t>
      </w:r>
    </w:p>
    <w:p>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pPr>
        <w:pStyle w:val="Subsection"/>
        <w:rPr>
          <w:snapToGrid w:val="0"/>
        </w:rPr>
      </w:pPr>
      <w:r>
        <w:rPr>
          <w:snapToGrid w:val="0"/>
        </w:rPr>
        <w:tab/>
        <w:t>(3)</w:t>
      </w:r>
      <w:r>
        <w:rPr>
          <w:snapToGrid w:val="0"/>
        </w:rPr>
        <w:tab/>
        <w:t>A request for the correction of a survey shall be made within 12 years from the date of the lodgment of the plan of such survey with the Surveyor General or other authority.</w:t>
      </w:r>
    </w:p>
    <w:p>
      <w:pPr>
        <w:pStyle w:val="Footnotesection"/>
      </w:pPr>
      <w:r>
        <w:tab/>
        <w:t>[Section 19 amended by No. 79 of 1996 s. 17; No. 19 of 2010 s. 51.]</w:t>
      </w:r>
    </w:p>
    <w:p>
      <w:pPr>
        <w:pStyle w:val="Heading5"/>
        <w:rPr>
          <w:snapToGrid w:val="0"/>
        </w:rPr>
      </w:pPr>
      <w:bookmarkStart w:id="27" w:name="_Toc462752373"/>
      <w:r>
        <w:rPr>
          <w:rStyle w:val="CharSectno"/>
        </w:rPr>
        <w:t>20</w:t>
      </w:r>
      <w:r>
        <w:rPr>
          <w:snapToGrid w:val="0"/>
        </w:rPr>
        <w:t>.</w:t>
      </w:r>
      <w:r>
        <w:rPr>
          <w:snapToGrid w:val="0"/>
        </w:rPr>
        <w:tab/>
        <w:t>Surveyor not to be interested</w:t>
      </w:r>
      <w:bookmarkEnd w:id="27"/>
      <w:r>
        <w:rPr>
          <w:snapToGrid w:val="0"/>
        </w:rPr>
        <w:t xml:space="preserve"> </w:t>
      </w:r>
    </w:p>
    <w:p>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pPr>
        <w:pStyle w:val="Heading5"/>
        <w:rPr>
          <w:snapToGrid w:val="0"/>
        </w:rPr>
      </w:pPr>
      <w:bookmarkStart w:id="28" w:name="_Toc462752374"/>
      <w:r>
        <w:rPr>
          <w:rStyle w:val="CharSectno"/>
        </w:rPr>
        <w:t>20A</w:t>
      </w:r>
      <w:r>
        <w:rPr>
          <w:snapToGrid w:val="0"/>
        </w:rPr>
        <w:t>.</w:t>
      </w:r>
      <w:r>
        <w:rPr>
          <w:snapToGrid w:val="0"/>
        </w:rPr>
        <w:tab/>
        <w:t>Cancellation of licence or practising certificate at request of licensed surveyor</w:t>
      </w:r>
      <w:bookmarkEnd w:id="28"/>
      <w:r>
        <w:rPr>
          <w:snapToGrid w:val="0"/>
        </w:rPr>
        <w:t xml:space="preserve"> </w:t>
      </w:r>
    </w:p>
    <w:p>
      <w:pPr>
        <w:pStyle w:val="Subsection"/>
        <w:keepNext/>
        <w:rPr>
          <w:snapToGrid w:val="0"/>
        </w:rPr>
      </w:pPr>
      <w:r>
        <w:rPr>
          <w:snapToGrid w:val="0"/>
        </w:rPr>
        <w:tab/>
        <w:t>(1)</w:t>
      </w:r>
      <w:r>
        <w:rPr>
          <w:snapToGrid w:val="0"/>
        </w:rPr>
        <w:tab/>
        <w:t>A licensed surveyor may — </w:t>
      </w:r>
    </w:p>
    <w:p>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pPr>
        <w:pStyle w:val="Indenta"/>
        <w:rPr>
          <w:snapToGrid w:val="0"/>
        </w:rPr>
      </w:pPr>
      <w:r>
        <w:rPr>
          <w:snapToGrid w:val="0"/>
        </w:rPr>
        <w:tab/>
        <w:t>(b)</w:t>
      </w:r>
      <w:r>
        <w:rPr>
          <w:snapToGrid w:val="0"/>
        </w:rPr>
        <w:tab/>
        <w:t>surrender his licence or practising certificate to the secretary.</w:t>
      </w:r>
    </w:p>
    <w:p>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pPr>
        <w:pStyle w:val="Subsection"/>
        <w:rPr>
          <w:snapToGrid w:val="0"/>
        </w:rPr>
      </w:pPr>
      <w:r>
        <w:rPr>
          <w:snapToGrid w:val="0"/>
        </w:rPr>
        <w:tab/>
        <w:t>(4)</w:t>
      </w:r>
      <w:r>
        <w:rPr>
          <w:snapToGrid w:val="0"/>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pPr>
        <w:pStyle w:val="Footnotesection"/>
      </w:pPr>
      <w:r>
        <w:tab/>
        <w:t>[Section 20A inserted by No. 79 of 1996 s. 18; amended by No. 55 of 2004 s. 650.]</w:t>
      </w:r>
    </w:p>
    <w:p>
      <w:pPr>
        <w:pStyle w:val="Heading5"/>
      </w:pPr>
      <w:bookmarkStart w:id="29" w:name="_Toc462752375"/>
      <w:r>
        <w:rPr>
          <w:rStyle w:val="CharSectno"/>
        </w:rPr>
        <w:t>20B</w:t>
      </w:r>
      <w:r>
        <w:t>.</w:t>
      </w:r>
      <w:r>
        <w:tab/>
        <w:t>Disciplinary proceedings against licensed surveyors</w:t>
      </w:r>
      <w:bookmarkEnd w:id="29"/>
    </w:p>
    <w:p>
      <w:pPr>
        <w:pStyle w:val="Subsection"/>
        <w:rPr>
          <w:snapToGrid w:val="0"/>
        </w:rPr>
      </w:pPr>
      <w:r>
        <w:rPr>
          <w:snapToGrid w:val="0"/>
        </w:rPr>
        <w:tab/>
      </w:r>
      <w:r>
        <w:rPr>
          <w:snapToGrid w:val="0"/>
        </w:rPr>
        <w:tab/>
        <w:t>The Board may allege to the State Administrative Tribunal that there is proper cause for disciplinary action, as mentioned in section 21(1), against a licensed surveyor.</w:t>
      </w:r>
    </w:p>
    <w:p>
      <w:pPr>
        <w:pStyle w:val="Footnotesection"/>
      </w:pPr>
      <w:r>
        <w:tab/>
        <w:t>[Section 20B inserted by No. 55 of 2004 s. 651.]</w:t>
      </w:r>
    </w:p>
    <w:p>
      <w:pPr>
        <w:pStyle w:val="Heading5"/>
        <w:rPr>
          <w:snapToGrid w:val="0"/>
        </w:rPr>
      </w:pPr>
      <w:bookmarkStart w:id="30" w:name="_Toc462752376"/>
      <w:r>
        <w:rPr>
          <w:rStyle w:val="CharSectno"/>
        </w:rPr>
        <w:t>21</w:t>
      </w:r>
      <w:r>
        <w:rPr>
          <w:snapToGrid w:val="0"/>
        </w:rPr>
        <w:t>.</w:t>
      </w:r>
      <w:r>
        <w:rPr>
          <w:snapToGrid w:val="0"/>
        </w:rPr>
        <w:tab/>
        <w:t>Power of Board to deal with misconduct</w:t>
      </w:r>
      <w:bookmarkEnd w:id="30"/>
      <w:r>
        <w:rPr>
          <w:snapToGrid w:val="0"/>
        </w:rPr>
        <w:t xml:space="preserve"> </w:t>
      </w:r>
    </w:p>
    <w:p>
      <w:pPr>
        <w:pStyle w:val="Subsection"/>
        <w:keepNext/>
        <w:rPr>
          <w:snapToGrid w:val="0"/>
        </w:rPr>
      </w:pPr>
      <w:r>
        <w:rPr>
          <w:snapToGrid w:val="0"/>
        </w:rPr>
        <w:tab/>
        <w:t>(1)</w:t>
      </w:r>
      <w:r>
        <w:rPr>
          <w:snapToGrid w:val="0"/>
        </w:rPr>
        <w:tab/>
        <w:t>There is proper cause for disciplinary action in respect of a licensed surveyor if —</w:t>
      </w:r>
    </w:p>
    <w:p>
      <w:pPr>
        <w:pStyle w:val="Indenta"/>
        <w:rPr>
          <w:snapToGrid w:val="0"/>
        </w:rPr>
      </w:pPr>
      <w:r>
        <w:rPr>
          <w:snapToGrid w:val="0"/>
        </w:rPr>
        <w:tab/>
        <w:t>(a)</w:t>
      </w:r>
      <w:r>
        <w:rPr>
          <w:snapToGrid w:val="0"/>
        </w:rPr>
        <w:tab/>
        <w:t>he has falsely or negligently certified in respect of an authorised survey; or</w:t>
      </w:r>
    </w:p>
    <w:p>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pPr>
        <w:pStyle w:val="Indenta"/>
        <w:rPr>
          <w:snapToGrid w:val="0"/>
        </w:rPr>
      </w:pPr>
      <w:r>
        <w:rPr>
          <w:snapToGrid w:val="0"/>
        </w:rPr>
        <w:tab/>
        <w:t>(ba)</w:t>
      </w:r>
      <w:r>
        <w:rPr>
          <w:snapToGrid w:val="0"/>
        </w:rPr>
        <w:tab/>
        <w:t>he has, in the course of surveying practice, been guilty of incompetence or negligence; or</w:t>
      </w:r>
    </w:p>
    <w:p>
      <w:pPr>
        <w:pStyle w:val="Indenta"/>
        <w:rPr>
          <w:snapToGrid w:val="0"/>
        </w:rPr>
      </w:pPr>
      <w:r>
        <w:rPr>
          <w:snapToGrid w:val="0"/>
        </w:rPr>
        <w:tab/>
        <w:t>(c)</w:t>
      </w:r>
      <w:r>
        <w:rPr>
          <w:snapToGrid w:val="0"/>
        </w:rPr>
        <w:tab/>
        <w:t>his certificate of competency, licence or practising certificate has been obtained by fraud; or</w:t>
      </w:r>
    </w:p>
    <w:p>
      <w:pPr>
        <w:pStyle w:val="Indenta"/>
        <w:rPr>
          <w:snapToGrid w:val="0"/>
        </w:rPr>
      </w:pPr>
      <w:r>
        <w:rPr>
          <w:snapToGrid w:val="0"/>
        </w:rPr>
        <w:tab/>
        <w:t>(d)</w:t>
      </w:r>
      <w:r>
        <w:rPr>
          <w:snapToGrid w:val="0"/>
        </w:rPr>
        <w:tab/>
        <w:t>after being licensed under this Act, or any repealed Act relating to the licensing of surveyors, he has been convicted of any</w:t>
      </w:r>
      <w:r>
        <w:t xml:space="preserve"> indictable offence</w:t>
      </w:r>
      <w:r>
        <w:rPr>
          <w:snapToGrid w:val="0"/>
        </w:rPr>
        <w:t>, or offence under this Act or under regulations made under section 26; or</w:t>
      </w:r>
    </w:p>
    <w:p>
      <w:pPr>
        <w:pStyle w:val="Indenta"/>
        <w:rPr>
          <w:snapToGrid w:val="0"/>
        </w:rPr>
      </w:pPr>
      <w:r>
        <w:rPr>
          <w:snapToGrid w:val="0"/>
        </w:rPr>
        <w:tab/>
        <w:t>(e)</w:t>
      </w:r>
      <w:r>
        <w:rPr>
          <w:snapToGrid w:val="0"/>
        </w:rPr>
        <w:tab/>
        <w:t>he has been guilty of a contravention or attempted contravention of section 20; or</w:t>
      </w:r>
    </w:p>
    <w:p>
      <w:pPr>
        <w:pStyle w:val="Indenta"/>
        <w:rPr>
          <w:snapToGrid w:val="0"/>
        </w:rPr>
      </w:pPr>
      <w:r>
        <w:rPr>
          <w:snapToGrid w:val="0"/>
        </w:rPr>
        <w:tab/>
        <w:t>(f)</w:t>
      </w:r>
      <w:r>
        <w:rPr>
          <w:snapToGrid w:val="0"/>
        </w:rPr>
        <w:tab/>
        <w:t>he has been guilty of unprofessional conduct; or</w:t>
      </w:r>
    </w:p>
    <w:p>
      <w:pPr>
        <w:pStyle w:val="Indenta"/>
        <w:rPr>
          <w:snapToGrid w:val="0"/>
        </w:rPr>
      </w:pPr>
      <w:r>
        <w:rPr>
          <w:snapToGrid w:val="0"/>
        </w:rPr>
        <w:tab/>
        <w:t>(fa)</w:t>
      </w:r>
      <w:r>
        <w:rPr>
          <w:snapToGrid w:val="0"/>
        </w:rPr>
        <w:tab/>
        <w:t>he has disobeyed any order made under this subsection; or</w:t>
      </w:r>
    </w:p>
    <w:p>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pPr>
        <w:pStyle w:val="Indenta"/>
        <w:rPr>
          <w:snapToGrid w:val="0"/>
        </w:rPr>
      </w:pPr>
      <w:r>
        <w:rPr>
          <w:snapToGrid w:val="0"/>
        </w:rPr>
        <w:tab/>
        <w:t>(a)</w:t>
      </w:r>
      <w:r>
        <w:rPr>
          <w:snapToGrid w:val="0"/>
        </w:rPr>
        <w:tab/>
        <w:t>reprimanding or cautioning that person; or</w:t>
      </w:r>
    </w:p>
    <w:p>
      <w:pPr>
        <w:pStyle w:val="Indenta"/>
        <w:rPr>
          <w:snapToGrid w:val="0"/>
        </w:rPr>
      </w:pPr>
      <w:r>
        <w:rPr>
          <w:snapToGrid w:val="0"/>
        </w:rPr>
        <w:tab/>
        <w:t>(b)</w:t>
      </w:r>
      <w:r>
        <w:rPr>
          <w:snapToGrid w:val="0"/>
        </w:rPr>
        <w:tab/>
        <w:t>imposing on that person a fine not exceeding $1 000; or</w:t>
      </w:r>
    </w:p>
    <w:p>
      <w:pPr>
        <w:pStyle w:val="Indenta"/>
        <w:rPr>
          <w:snapToGrid w:val="0"/>
        </w:rPr>
      </w:pPr>
      <w:r>
        <w:rPr>
          <w:snapToGrid w:val="0"/>
        </w:rPr>
        <w:tab/>
        <w:t>(c)</w:t>
      </w:r>
      <w:r>
        <w:rPr>
          <w:snapToGrid w:val="0"/>
        </w:rPr>
        <w:tab/>
        <w:t>imposing conditions on the licence or practising certificate, or both, of that person, if that person is — </w:t>
      </w:r>
    </w:p>
    <w:p>
      <w:pPr>
        <w:pStyle w:val="Indenti"/>
        <w:rPr>
          <w:snapToGrid w:val="0"/>
        </w:rPr>
      </w:pPr>
      <w:r>
        <w:rPr>
          <w:snapToGrid w:val="0"/>
        </w:rPr>
        <w:tab/>
        <w:t>(i)</w:t>
      </w:r>
      <w:r>
        <w:rPr>
          <w:snapToGrid w:val="0"/>
        </w:rPr>
        <w:tab/>
        <w:t>still a licensed surveyor; or</w:t>
      </w:r>
    </w:p>
    <w:p>
      <w:pPr>
        <w:pStyle w:val="Indenti"/>
        <w:rPr>
          <w:snapToGrid w:val="0"/>
        </w:rPr>
      </w:pPr>
      <w:r>
        <w:rPr>
          <w:snapToGrid w:val="0"/>
        </w:rPr>
        <w:tab/>
        <w:t>(ii)</w:t>
      </w:r>
      <w:r>
        <w:rPr>
          <w:snapToGrid w:val="0"/>
        </w:rPr>
        <w:tab/>
        <w:t>an applicant for a licence or practising certificate, or both, or for the renewal of a practising certificate;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 or</w:t>
      </w:r>
    </w:p>
    <w:p>
      <w:pPr>
        <w:pStyle w:val="Indenta"/>
        <w:keepNext/>
        <w:rPr>
          <w:snapToGrid w:val="0"/>
        </w:rPr>
      </w:pPr>
      <w:r>
        <w:rPr>
          <w:snapToGrid w:val="0"/>
        </w:rPr>
        <w:tab/>
        <w:t>(e)</w:t>
      </w:r>
      <w:r>
        <w:rPr>
          <w:snapToGrid w:val="0"/>
        </w:rPr>
        <w:tab/>
        <w:t>suspending the entitlement of a person who is no longer a licensed surveyor to apply for another licence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 or</w:t>
      </w:r>
    </w:p>
    <w:p>
      <w:pPr>
        <w:pStyle w:val="Indenta"/>
        <w:rPr>
          <w:snapToGrid w:val="0"/>
        </w:rPr>
      </w:pPr>
      <w:r>
        <w:rPr>
          <w:snapToGrid w:val="0"/>
        </w:rPr>
        <w:tab/>
        <w:t>(f)</w:t>
      </w:r>
      <w:r>
        <w:rPr>
          <w:snapToGrid w:val="0"/>
        </w:rPr>
        <w:tab/>
        <w:t>if that person is still a licensed surveyor, cancelling his licence; or</w:t>
      </w:r>
    </w:p>
    <w:p>
      <w:pPr>
        <w:pStyle w:val="Indenta"/>
        <w:rPr>
          <w:snapToGrid w:val="0"/>
        </w:rPr>
      </w:pPr>
      <w:r>
        <w:rPr>
          <w:snapToGrid w:val="0"/>
        </w:rPr>
        <w:tab/>
        <w:t>(g)</w:t>
      </w:r>
      <w:r>
        <w:rPr>
          <w:snapToGrid w:val="0"/>
        </w:rPr>
        <w:tab/>
        <w:t>if that person is not still a licensed surveyor, cancelling his entitlement to apply for another licence; or</w:t>
      </w:r>
    </w:p>
    <w:p>
      <w:pPr>
        <w:pStyle w:val="Indenta"/>
        <w:rPr>
          <w:snapToGrid w:val="0"/>
        </w:rPr>
      </w:pPr>
      <w:r>
        <w:rPr>
          <w:snapToGrid w:val="0"/>
        </w:rPr>
        <w:tab/>
        <w:t>(h)</w:t>
      </w:r>
      <w:r>
        <w:rPr>
          <w:snapToGrid w:val="0"/>
        </w:rPr>
        <w:tab/>
        <w:t>if that person is still a licensed surveyor, cancelling — </w:t>
      </w:r>
    </w:p>
    <w:p>
      <w:pPr>
        <w:pStyle w:val="Indenti"/>
        <w:rPr>
          <w:snapToGrid w:val="0"/>
        </w:rPr>
      </w:pPr>
      <w:r>
        <w:rPr>
          <w:snapToGrid w:val="0"/>
        </w:rPr>
        <w:tab/>
        <w:t>(i)</w:t>
      </w:r>
      <w:r>
        <w:rPr>
          <w:snapToGrid w:val="0"/>
        </w:rPr>
        <w:tab/>
        <w:t>his practising certificate; or</w:t>
      </w:r>
    </w:p>
    <w:p>
      <w:pPr>
        <w:pStyle w:val="Indenti"/>
        <w:rPr>
          <w:snapToGrid w:val="0"/>
        </w:rPr>
      </w:pPr>
      <w:r>
        <w:rPr>
          <w:snapToGrid w:val="0"/>
        </w:rPr>
        <w:tab/>
        <w:t>(ii)</w:t>
      </w:r>
      <w:r>
        <w:rPr>
          <w:snapToGrid w:val="0"/>
        </w:rPr>
        <w:tab/>
        <w:t>his entitlement to apply for a renewal of his expired practising certificate or for another practising certificate,</w:t>
      </w:r>
    </w:p>
    <w:p>
      <w:pPr>
        <w:pStyle w:val="Subsection"/>
        <w:spacing w:before="120"/>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pPr>
        <w:pStyle w:val="Subsection"/>
        <w:keepNext/>
        <w:rPr>
          <w:snapToGrid w:val="0"/>
        </w:rPr>
      </w:pPr>
      <w:r>
        <w:rPr>
          <w:snapToGrid w:val="0"/>
        </w:rPr>
        <w:tab/>
        <w:t>(1a)</w:t>
      </w:r>
      <w:r>
        <w:rPr>
          <w:snapToGrid w:val="0"/>
        </w:rPr>
        <w:tab/>
        <w:t>The orders specified in this subsection are — </w:t>
      </w:r>
    </w:p>
    <w:p>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 and</w:t>
      </w:r>
    </w:p>
    <w:p>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pPr>
        <w:pStyle w:val="Ednotesubsection"/>
      </w:pPr>
      <w:r>
        <w:tab/>
        <w:t>[(2)</w:t>
      </w:r>
      <w:r>
        <w:tab/>
        <w:t>deleted]</w:t>
      </w:r>
    </w:p>
    <w:p>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pPr>
        <w:pStyle w:val="Subsection"/>
        <w:keepNext/>
        <w:rPr>
          <w:snapToGrid w:val="0"/>
        </w:rPr>
      </w:pPr>
      <w:r>
        <w:rPr>
          <w:snapToGrid w:val="0"/>
        </w:rPr>
        <w:tab/>
        <w:t>(6)</w:t>
      </w:r>
      <w:r>
        <w:rPr>
          <w:snapToGrid w:val="0"/>
        </w:rPr>
        <w:tab/>
        <w:t>The State Administrative Tribunal may, on the application of the Board or a person — </w:t>
      </w:r>
    </w:p>
    <w:p>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 or</w:t>
      </w:r>
    </w:p>
    <w:p>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 or</w:t>
      </w:r>
    </w:p>
    <w:p>
      <w:pPr>
        <w:pStyle w:val="Indenta"/>
        <w:rPr>
          <w:snapToGrid w:val="0"/>
        </w:rPr>
      </w:pPr>
      <w:r>
        <w:rPr>
          <w:snapToGrid w:val="0"/>
        </w:rPr>
        <w:tab/>
        <w:t>(c)</w:t>
      </w:r>
      <w:r>
        <w:rPr>
          <w:snapToGrid w:val="0"/>
        </w:rPr>
        <w:tab/>
        <w:t>who held a licence cancelled under subsection (1aa)(f), order that the Board issue a fresh licence to that person; or</w:t>
      </w:r>
    </w:p>
    <w:p>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pPr>
        <w:pStyle w:val="Indenta"/>
        <w:rPr>
          <w:snapToGrid w:val="0"/>
        </w:rPr>
      </w:pPr>
      <w:r>
        <w:rPr>
          <w:snapToGrid w:val="0"/>
        </w:rPr>
        <w:tab/>
        <w:t>(b)</w:t>
      </w:r>
      <w:r>
        <w:rPr>
          <w:snapToGrid w:val="0"/>
        </w:rPr>
        <w:tab/>
        <w:t>the granting of any application referred to in subsection (6).</w:t>
      </w:r>
    </w:p>
    <w:p>
      <w:pPr>
        <w:pStyle w:val="Subsection"/>
        <w:spacing w:before="120"/>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pPr>
        <w:pStyle w:val="Subsection"/>
        <w:spacing w:before="120"/>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pPr>
        <w:pStyle w:val="Subsection"/>
        <w:spacing w:before="120"/>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pPr>
        <w:pStyle w:val="Penstart"/>
        <w:rPr>
          <w:snapToGrid w:val="0"/>
        </w:rPr>
      </w:pPr>
      <w:r>
        <w:rPr>
          <w:snapToGrid w:val="0"/>
        </w:rPr>
        <w:tab/>
        <w:t>Penalty: $1 000.</w:t>
      </w:r>
    </w:p>
    <w:p>
      <w:pPr>
        <w:pStyle w:val="Footnotesection"/>
      </w:pPr>
      <w:r>
        <w:tab/>
        <w:t xml:space="preserve">[Section 21 amended by No. 79 of 1996 s. 19; No. 24 of 2000 s. 21(1); No. 55 of 2004 s. 652; No. 70 of 2004 s. 82.] </w:t>
      </w:r>
    </w:p>
    <w:p>
      <w:pPr>
        <w:pStyle w:val="Heading5"/>
        <w:spacing w:before="180"/>
      </w:pPr>
      <w:bookmarkStart w:id="31" w:name="_Toc462752377"/>
      <w:r>
        <w:rPr>
          <w:rStyle w:val="CharSectno"/>
        </w:rPr>
        <w:t>21AA</w:t>
      </w:r>
      <w:r>
        <w:t>.</w:t>
      </w:r>
      <w:r>
        <w:tab/>
        <w:t>Suspension of licence by State Administrative Tribunal</w:t>
      </w:r>
      <w:bookmarkEnd w:id="31"/>
    </w:p>
    <w:p>
      <w:pPr>
        <w:pStyle w:val="Subsection"/>
        <w:spacing w:before="120"/>
        <w:rPr>
          <w:snapToGrid w:val="0"/>
        </w:rPr>
      </w:pPr>
      <w:r>
        <w:rPr>
          <w:snapToGrid w:val="0"/>
        </w:rPr>
        <w:tab/>
        <w:t>(1)</w:t>
      </w:r>
      <w:r>
        <w:rPr>
          <w:snapToGrid w:val="0"/>
        </w:rPr>
        <w:tab/>
        <w:t>Where the State Administrative Tribunal makes an order against a licensed surveyor or the holder of a practising certificate and payment is not made in accordance with the order or the order is otherwise not complied with or is breached, the State Administrative Tribunal may order that the person’s licence or practising certificate be suspended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spacing w:before="80"/>
        <w:ind w:left="890" w:hanging="890"/>
      </w:pPr>
      <w:r>
        <w:tab/>
        <w:t>[Section 21AA inserted by No. 55 of 2004 s. 653.]</w:t>
      </w:r>
    </w:p>
    <w:p>
      <w:pPr>
        <w:pStyle w:val="Heading5"/>
        <w:spacing w:before="180"/>
        <w:rPr>
          <w:snapToGrid w:val="0"/>
        </w:rPr>
      </w:pPr>
      <w:bookmarkStart w:id="32" w:name="_Toc462752378"/>
      <w:r>
        <w:rPr>
          <w:rStyle w:val="CharSectno"/>
        </w:rPr>
        <w:t>21A</w:t>
      </w:r>
      <w:r>
        <w:rPr>
          <w:snapToGrid w:val="0"/>
        </w:rPr>
        <w:t>.</w:t>
      </w:r>
      <w:r>
        <w:rPr>
          <w:snapToGrid w:val="0"/>
        </w:rPr>
        <w:tab/>
        <w:t>Alteration and removal of licence or practising certificate conditions</w:t>
      </w:r>
      <w:bookmarkEnd w:id="32"/>
      <w:r>
        <w:rPr>
          <w:snapToGrid w:val="0"/>
        </w:rPr>
        <w:t xml:space="preserve"> </w:t>
      </w:r>
    </w:p>
    <w:p>
      <w:pPr>
        <w:pStyle w:val="Subsection"/>
        <w:spacing w:before="100"/>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pPr>
        <w:pStyle w:val="Footnotesection"/>
        <w:spacing w:before="80"/>
        <w:ind w:left="890" w:hanging="890"/>
      </w:pPr>
      <w:r>
        <w:tab/>
        <w:t>[Section 21A inserted by No. 79 of 1996 s. 20.]</w:t>
      </w:r>
    </w:p>
    <w:p>
      <w:pPr>
        <w:pStyle w:val="Heading5"/>
        <w:spacing w:before="180"/>
      </w:pPr>
      <w:bookmarkStart w:id="33" w:name="_Toc462752379"/>
      <w:r>
        <w:rPr>
          <w:rStyle w:val="CharSectno"/>
        </w:rPr>
        <w:t>22</w:t>
      </w:r>
      <w:r>
        <w:t>.</w:t>
      </w:r>
      <w:r>
        <w:tab/>
        <w:t>Charge against surveyor</w:t>
      </w:r>
      <w:bookmarkEnd w:id="33"/>
      <w:r>
        <w:t xml:space="preserve"> </w:t>
      </w:r>
    </w:p>
    <w:p>
      <w:pPr>
        <w:pStyle w:val="Subsection"/>
        <w:spacing w:before="120"/>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pPr>
        <w:pStyle w:val="Subsection"/>
        <w:spacing w:before="120"/>
        <w:rPr>
          <w:snapToGrid w:val="0"/>
        </w:rPr>
      </w:pPr>
      <w:r>
        <w:rPr>
          <w:snapToGrid w:val="0"/>
        </w:rPr>
        <w:tab/>
        <w:t>(2)</w:t>
      </w:r>
      <w:r>
        <w:rPr>
          <w:snapToGrid w:val="0"/>
        </w:rPr>
        <w:tab/>
        <w:t>Subsection (1) does not prevent the Board from commencing an investigation on its own initiative.</w:t>
      </w:r>
    </w:p>
    <w:p>
      <w:pPr>
        <w:pStyle w:val="Footnotesection"/>
        <w:spacing w:before="80"/>
        <w:ind w:left="890" w:hanging="890"/>
      </w:pPr>
      <w:r>
        <w:tab/>
        <w:t>[Section 22 inserted by No. 55 of 2004 s. 654.]</w:t>
      </w:r>
    </w:p>
    <w:p>
      <w:pPr>
        <w:pStyle w:val="Heading5"/>
        <w:rPr>
          <w:snapToGrid w:val="0"/>
        </w:rPr>
      </w:pPr>
      <w:bookmarkStart w:id="34" w:name="_Toc462752380"/>
      <w:r>
        <w:rPr>
          <w:rStyle w:val="CharSectno"/>
        </w:rPr>
        <w:t>22A</w:t>
      </w:r>
      <w:r>
        <w:rPr>
          <w:snapToGrid w:val="0"/>
        </w:rPr>
        <w:t>.</w:t>
      </w:r>
      <w:r>
        <w:rPr>
          <w:snapToGrid w:val="0"/>
        </w:rPr>
        <w:tab/>
        <w:t>Application to State Administrative Tribunal for review</w:t>
      </w:r>
      <w:bookmarkEnd w:id="34"/>
      <w:r>
        <w:rPr>
          <w:snapToGrid w:val="0"/>
        </w:rPr>
        <w:t xml:space="preserve"> </w:t>
      </w:r>
    </w:p>
    <w:p>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pPr>
        <w:pStyle w:val="Subsection"/>
        <w:rPr>
          <w:snapToGrid w:val="0"/>
        </w:rPr>
      </w:pPr>
      <w:r>
        <w:rPr>
          <w:snapToGrid w:val="0"/>
        </w:rPr>
        <w:tab/>
        <w:t>(2)</w:t>
      </w:r>
      <w:r>
        <w:rPr>
          <w:snapToGrid w:val="0"/>
        </w:rPr>
        <w:tab/>
        <w:t xml:space="preserve">In subsection (1) — </w:t>
      </w:r>
    </w:p>
    <w:p>
      <w:pPr>
        <w:pStyle w:val="Defstart"/>
        <w:rPr>
          <w:snapToGrid/>
        </w:rPr>
      </w:pPr>
      <w:r>
        <w:rPr>
          <w:b/>
        </w:rPr>
        <w:tab/>
      </w:r>
      <w:r>
        <w:rPr>
          <w:rStyle w:val="CharDefText"/>
        </w:rPr>
        <w:t>person aggrieved</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pPr>
        <w:pStyle w:val="Defstart"/>
      </w:pPr>
      <w:r>
        <w:tab/>
      </w:r>
      <w:r>
        <w:rPr>
          <w:rStyle w:val="CharDefText"/>
        </w:rPr>
        <w:t>reviewable decision</w:t>
      </w:r>
      <w:r>
        <w:t xml:space="preserve"> means a decision of the Board in respect of an application for the grant or renewal of a licence or practising certificate or the imposition of a condition on a licence or practising certificate.</w:t>
      </w:r>
    </w:p>
    <w:p>
      <w:pPr>
        <w:pStyle w:val="Footnotesection"/>
      </w:pPr>
      <w:r>
        <w:tab/>
        <w:t>[Section 22A inserted by No. 55 of 2004 s. 655.]</w:t>
      </w:r>
    </w:p>
    <w:p>
      <w:pPr>
        <w:pStyle w:val="Heading5"/>
        <w:spacing w:before="180"/>
        <w:rPr>
          <w:snapToGrid w:val="0"/>
        </w:rPr>
      </w:pPr>
      <w:bookmarkStart w:id="35" w:name="_Toc462752381"/>
      <w:r>
        <w:rPr>
          <w:rStyle w:val="CharSectno"/>
        </w:rPr>
        <w:t>23</w:t>
      </w:r>
      <w:r>
        <w:rPr>
          <w:snapToGrid w:val="0"/>
        </w:rPr>
        <w:t>.</w:t>
      </w:r>
      <w:r>
        <w:rPr>
          <w:snapToGrid w:val="0"/>
        </w:rPr>
        <w:tab/>
        <w:t>Offences</w:t>
      </w:r>
      <w:bookmarkEnd w:id="35"/>
      <w:r>
        <w:rPr>
          <w:snapToGrid w:val="0"/>
        </w:rPr>
        <w:t xml:space="preserve"> </w:t>
      </w:r>
    </w:p>
    <w:p>
      <w:pPr>
        <w:pStyle w:val="Subsection"/>
        <w:keepNext/>
        <w:spacing w:before="120"/>
        <w:rPr>
          <w:snapToGrid w:val="0"/>
        </w:rPr>
      </w:pPr>
      <w:r>
        <w:rPr>
          <w:snapToGrid w:val="0"/>
        </w:rPr>
        <w:tab/>
      </w:r>
      <w:r>
        <w:rPr>
          <w:snapToGrid w:val="0"/>
        </w:rPr>
        <w:tab/>
        <w:t>Any person, not being a licensed surveyor, who — </w:t>
      </w:r>
    </w:p>
    <w:p>
      <w:pPr>
        <w:pStyle w:val="Indenta"/>
        <w:rPr>
          <w:snapToGrid w:val="0"/>
        </w:rPr>
      </w:pPr>
      <w:r>
        <w:rPr>
          <w:snapToGrid w:val="0"/>
        </w:rPr>
        <w:tab/>
        <w:t>(a)</w:t>
      </w:r>
      <w:r>
        <w:rPr>
          <w:snapToGrid w:val="0"/>
        </w:rPr>
        <w:tab/>
        <w:t>falsely pretends that he is a licensed surveyor; or</w:t>
      </w:r>
    </w:p>
    <w:p>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pPr>
        <w:pStyle w:val="Indenta"/>
        <w:rPr>
          <w:snapToGrid w:val="0"/>
        </w:rPr>
      </w:pPr>
      <w:r>
        <w:rPr>
          <w:snapToGrid w:val="0"/>
        </w:rPr>
        <w:tab/>
        <w:t>(c)</w:t>
      </w:r>
      <w:r>
        <w:rPr>
          <w:snapToGrid w:val="0"/>
        </w:rPr>
        <w:tab/>
        <w:t>practises, charges, or receives a fee for work done as a licensed surveyor; or</w:t>
      </w:r>
    </w:p>
    <w:p>
      <w:pPr>
        <w:pStyle w:val="Indenta"/>
        <w:rPr>
          <w:snapToGrid w:val="0"/>
        </w:rPr>
      </w:pPr>
      <w:r>
        <w:rPr>
          <w:snapToGrid w:val="0"/>
        </w:rPr>
        <w:tab/>
        <w:t>(d)</w:t>
      </w:r>
      <w:r>
        <w:rPr>
          <w:snapToGrid w:val="0"/>
        </w:rPr>
        <w:tab/>
        <w:t>certifies in respect of the performance of an authorised survey; or</w:t>
      </w:r>
    </w:p>
    <w:p>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pPr>
        <w:pStyle w:val="Footnotesection"/>
        <w:spacing w:before="80"/>
        <w:ind w:left="890" w:hanging="890"/>
      </w:pPr>
      <w:r>
        <w:tab/>
        <w:t xml:space="preserve">[Section 23 amended by No. 113 of 1965 s. 8; No. 107 of 1976 s. 8; No. 79 of 1996 s. 23.] </w:t>
      </w:r>
    </w:p>
    <w:p>
      <w:pPr>
        <w:pStyle w:val="Heading5"/>
        <w:rPr>
          <w:snapToGrid w:val="0"/>
        </w:rPr>
      </w:pPr>
      <w:bookmarkStart w:id="36" w:name="_Toc462752382"/>
      <w:r>
        <w:rPr>
          <w:rStyle w:val="CharSectno"/>
        </w:rPr>
        <w:t>24</w:t>
      </w:r>
      <w:r>
        <w:rPr>
          <w:snapToGrid w:val="0"/>
        </w:rPr>
        <w:t>.</w:t>
      </w:r>
      <w:r>
        <w:rPr>
          <w:snapToGrid w:val="0"/>
        </w:rPr>
        <w:tab/>
        <w:t>Board may sue and be sued</w:t>
      </w:r>
      <w:bookmarkEnd w:id="36"/>
      <w:r>
        <w:rPr>
          <w:snapToGrid w:val="0"/>
        </w:rPr>
        <w:t xml:space="preserve"> </w:t>
      </w:r>
    </w:p>
    <w:p>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pPr>
        <w:pStyle w:val="Footnotesection"/>
      </w:pPr>
      <w:r>
        <w:tab/>
        <w:t xml:space="preserve">[Section 24 amended by No. 84 of 2004 s. 80.] </w:t>
      </w:r>
    </w:p>
    <w:p>
      <w:pPr>
        <w:pStyle w:val="Heading5"/>
        <w:rPr>
          <w:snapToGrid w:val="0"/>
        </w:rPr>
      </w:pPr>
      <w:bookmarkStart w:id="37" w:name="_Toc462752383"/>
      <w:r>
        <w:rPr>
          <w:rStyle w:val="CharSectno"/>
        </w:rPr>
        <w:t>24A</w:t>
      </w:r>
      <w:r>
        <w:rPr>
          <w:snapToGrid w:val="0"/>
        </w:rPr>
        <w:t>.</w:t>
      </w:r>
      <w:r>
        <w:rPr>
          <w:snapToGrid w:val="0"/>
        </w:rPr>
        <w:tab/>
        <w:t>Protection from liability for wrongdoing</w:t>
      </w:r>
      <w:bookmarkEnd w:id="37"/>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Footnotesection"/>
      </w:pPr>
      <w:r>
        <w:tab/>
        <w:t>[Section 24A inserted by No. 79 of 1996 s. 24.]</w:t>
      </w:r>
    </w:p>
    <w:p>
      <w:pPr>
        <w:pStyle w:val="Heading5"/>
        <w:rPr>
          <w:snapToGrid w:val="0"/>
        </w:rPr>
      </w:pPr>
      <w:bookmarkStart w:id="38" w:name="_Toc462752384"/>
      <w:r>
        <w:rPr>
          <w:rStyle w:val="CharSectno"/>
        </w:rPr>
        <w:t>25</w:t>
      </w:r>
      <w:r>
        <w:rPr>
          <w:snapToGrid w:val="0"/>
        </w:rPr>
        <w:t>.</w:t>
      </w:r>
      <w:r>
        <w:rPr>
          <w:snapToGrid w:val="0"/>
        </w:rPr>
        <w:tab/>
        <w:t>Application of funds</w:t>
      </w:r>
      <w:bookmarkEnd w:id="38"/>
      <w:r>
        <w:rPr>
          <w:snapToGrid w:val="0"/>
        </w:rPr>
        <w:t xml:space="preserve"> </w:t>
      </w:r>
    </w:p>
    <w:p>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pPr>
        <w:pStyle w:val="Heading5"/>
        <w:spacing w:before="180"/>
        <w:rPr>
          <w:snapToGrid w:val="0"/>
        </w:rPr>
      </w:pPr>
      <w:bookmarkStart w:id="39" w:name="_Toc462752385"/>
      <w:r>
        <w:rPr>
          <w:rStyle w:val="CharSectno"/>
        </w:rPr>
        <w:t>25A</w:t>
      </w:r>
      <w:r>
        <w:rPr>
          <w:snapToGrid w:val="0"/>
        </w:rPr>
        <w:t>.</w:t>
      </w:r>
      <w:r>
        <w:rPr>
          <w:snapToGrid w:val="0"/>
        </w:rPr>
        <w:tab/>
        <w:t>Accounts</w:t>
      </w:r>
      <w:bookmarkEnd w:id="39"/>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25A inserted by No. 77 of 1987 </w:t>
      </w:r>
      <w:r>
        <w:rPr>
          <w:i w:val="0"/>
        </w:rPr>
        <w:t>s. </w:t>
      </w:r>
      <w:r>
        <w:t xml:space="preserve">3.] </w:t>
      </w:r>
    </w:p>
    <w:p>
      <w:pPr>
        <w:pStyle w:val="Heading5"/>
        <w:rPr>
          <w:snapToGrid w:val="0"/>
        </w:rPr>
      </w:pPr>
      <w:bookmarkStart w:id="40" w:name="_Toc462752386"/>
      <w:r>
        <w:rPr>
          <w:rStyle w:val="CharSectno"/>
        </w:rPr>
        <w:t>25B</w:t>
      </w:r>
      <w:r>
        <w:rPr>
          <w:snapToGrid w:val="0"/>
        </w:rPr>
        <w:t>.</w:t>
      </w:r>
      <w:r>
        <w:rPr>
          <w:snapToGrid w:val="0"/>
        </w:rPr>
        <w:tab/>
        <w:t>Audit</w:t>
      </w:r>
      <w:bookmarkEnd w:id="40"/>
      <w:r>
        <w:rPr>
          <w:snapToGrid w:val="0"/>
        </w:rPr>
        <w:t xml:space="preserve"> </w:t>
      </w:r>
    </w:p>
    <w:p>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pPr>
        <w:pStyle w:val="Footnotesection"/>
      </w:pPr>
      <w:r>
        <w:tab/>
        <w:t xml:space="preserve">[Section 25B inserted by No. 77 of 1987 s. 3.] </w:t>
      </w:r>
    </w:p>
    <w:p>
      <w:pPr>
        <w:pStyle w:val="Heading5"/>
        <w:rPr>
          <w:snapToGrid w:val="0"/>
        </w:rPr>
      </w:pPr>
      <w:bookmarkStart w:id="41" w:name="_Toc462752387"/>
      <w:r>
        <w:rPr>
          <w:rStyle w:val="CharSectno"/>
        </w:rPr>
        <w:t>25C</w:t>
      </w:r>
      <w:r>
        <w:rPr>
          <w:snapToGrid w:val="0"/>
        </w:rPr>
        <w:t>.</w:t>
      </w:r>
      <w:r>
        <w:rPr>
          <w:snapToGrid w:val="0"/>
        </w:rPr>
        <w:tab/>
        <w:t>Annual report</w:t>
      </w:r>
      <w:bookmarkEnd w:id="41"/>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25C inserted by No. 77 of 1987 s. 3; amended by No. 55 of 2004 s. 656.]</w:t>
      </w:r>
    </w:p>
    <w:p>
      <w:pPr>
        <w:pStyle w:val="Heading5"/>
        <w:rPr>
          <w:snapToGrid w:val="0"/>
        </w:rPr>
      </w:pPr>
      <w:bookmarkStart w:id="42" w:name="_Toc462752388"/>
      <w:r>
        <w:rPr>
          <w:rStyle w:val="CharSectno"/>
        </w:rPr>
        <w:t>26</w:t>
      </w:r>
      <w:r>
        <w:rPr>
          <w:snapToGrid w:val="0"/>
        </w:rPr>
        <w:t>.</w:t>
      </w:r>
      <w:r>
        <w:rPr>
          <w:snapToGrid w:val="0"/>
        </w:rPr>
        <w:tab/>
        <w:t>Regulations</w:t>
      </w:r>
      <w:bookmarkEnd w:id="42"/>
      <w:r>
        <w:rPr>
          <w:snapToGrid w:val="0"/>
        </w:rPr>
        <w:t xml:space="preserve"> </w:t>
      </w:r>
    </w:p>
    <w:p>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pPr>
        <w:pStyle w:val="Indenta"/>
        <w:rPr>
          <w:snapToGrid w:val="0"/>
        </w:rPr>
      </w:pPr>
      <w:r>
        <w:rPr>
          <w:snapToGrid w:val="0"/>
        </w:rPr>
        <w:tab/>
        <w:t>(b)</w:t>
      </w:r>
      <w:r>
        <w:rPr>
          <w:snapToGrid w:val="0"/>
        </w:rPr>
        <w:tab/>
        <w:t>prescribing the duties of the secretary and other officers of the Board;</w:t>
      </w:r>
    </w:p>
    <w:p>
      <w:pPr>
        <w:pStyle w:val="Indenta"/>
        <w:rPr>
          <w:snapToGrid w:val="0"/>
        </w:rPr>
      </w:pPr>
      <w:r>
        <w:rPr>
          <w:snapToGrid w:val="0"/>
        </w:rPr>
        <w:tab/>
        <w:t>(c)</w:t>
      </w:r>
      <w:r>
        <w:rPr>
          <w:snapToGrid w:val="0"/>
        </w:rPr>
        <w:tab/>
        <w:t>regulating the manner of keeping the register, and the particulars to be entered therein;</w:t>
      </w:r>
    </w:p>
    <w:p>
      <w:pPr>
        <w:pStyle w:val="Indenta"/>
        <w:rPr>
          <w:snapToGrid w:val="0"/>
        </w:rPr>
      </w:pPr>
      <w:r>
        <w:rPr>
          <w:snapToGrid w:val="0"/>
        </w:rPr>
        <w:tab/>
        <w:t>(d)</w:t>
      </w:r>
      <w:r>
        <w:rPr>
          <w:snapToGrid w:val="0"/>
        </w:rPr>
        <w:tab/>
        <w:t>prescribing forms to be used for the purposes of this Act;</w:t>
      </w:r>
    </w:p>
    <w:p>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pPr>
        <w:pStyle w:val="Indenta"/>
        <w:rPr>
          <w:snapToGrid w:val="0"/>
        </w:rPr>
      </w:pPr>
      <w:r>
        <w:rPr>
          <w:snapToGrid w:val="0"/>
        </w:rPr>
        <w:tab/>
        <w:t>(g)</w:t>
      </w:r>
      <w:r>
        <w:rPr>
          <w:snapToGrid w:val="0"/>
        </w:rPr>
        <w:tab/>
        <w:t>regulating the issue of certificates of competency and licences and the issue and renewal of practising certificates;</w:t>
      </w:r>
    </w:p>
    <w:p>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pPr>
        <w:pStyle w:val="Ednotepara"/>
        <w:spacing w:before="80"/>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pPr>
        <w:pStyle w:val="Footnotesection"/>
      </w:pPr>
      <w:r>
        <w:tab/>
        <w:t xml:space="preserve">[Section 26 amended by No. 113 of 1965 s. 8; No. 107 of 1976 s. 9; No. 79 of 1996 s. 25; No. 24 of 2000 s. 21(2); No. 55 of 2004 s. 657.] </w:t>
      </w:r>
    </w:p>
    <w:p>
      <w:pPr>
        <w:pStyle w:val="Heading5"/>
        <w:rPr>
          <w:snapToGrid w:val="0"/>
        </w:rPr>
      </w:pPr>
      <w:bookmarkStart w:id="43" w:name="_Toc462752389"/>
      <w:r>
        <w:rPr>
          <w:rStyle w:val="CharSectno"/>
        </w:rPr>
        <w:t>26A</w:t>
      </w:r>
      <w:r>
        <w:rPr>
          <w:snapToGrid w:val="0"/>
        </w:rPr>
        <w:t>.</w:t>
      </w:r>
      <w:r>
        <w:rPr>
          <w:snapToGrid w:val="0"/>
        </w:rPr>
        <w:tab/>
        <w:t>Professional indemnity insurance</w:t>
      </w:r>
      <w:bookmarkEnd w:id="43"/>
      <w:r>
        <w:rPr>
          <w:snapToGrid w:val="0"/>
        </w:rPr>
        <w:t xml:space="preserve"> </w:t>
      </w:r>
    </w:p>
    <w:p>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pPr>
        <w:pStyle w:val="Indenta"/>
        <w:rPr>
          <w:snapToGrid w:val="0"/>
        </w:rPr>
      </w:pPr>
      <w:r>
        <w:rPr>
          <w:snapToGrid w:val="0"/>
        </w:rPr>
        <w:tab/>
        <w:t>(a)</w:t>
      </w:r>
      <w:r>
        <w:rPr>
          <w:snapToGrid w:val="0"/>
        </w:rPr>
        <w:tab/>
        <w:t>a licensed surveyor or former licensed surveyor in connection with the practice of the licensed surveyor or former licensed surveyor; or</w:t>
      </w:r>
    </w:p>
    <w:p>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pPr>
        <w:pStyle w:val="Indenta"/>
        <w:rPr>
          <w:snapToGrid w:val="0"/>
        </w:rPr>
      </w:pPr>
      <w:r>
        <w:rPr>
          <w:snapToGrid w:val="0"/>
        </w:rPr>
        <w:tab/>
        <w:t>(c)</w:t>
      </w:r>
      <w:r>
        <w:rPr>
          <w:snapToGrid w:val="0"/>
        </w:rPr>
        <w:tab/>
        <w:t>a licensed surveyor or former licensed surveyor in the course of practising as a licensed surveyor.</w:t>
      </w:r>
    </w:p>
    <w:p>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pPr>
        <w:pStyle w:val="Indenti"/>
        <w:rPr>
          <w:snapToGrid w:val="0"/>
        </w:rPr>
      </w:pPr>
      <w:r>
        <w:rPr>
          <w:snapToGrid w:val="0"/>
        </w:rPr>
        <w:tab/>
        <w:t>(i)</w:t>
      </w:r>
      <w:r>
        <w:rPr>
          <w:snapToGrid w:val="0"/>
        </w:rPr>
        <w:tab/>
        <w:t>the requirements of those regulations; and</w:t>
      </w:r>
    </w:p>
    <w:p>
      <w:pPr>
        <w:pStyle w:val="Indenti"/>
        <w:rPr>
          <w:snapToGrid w:val="0"/>
        </w:rPr>
      </w:pPr>
      <w:r>
        <w:rPr>
          <w:snapToGrid w:val="0"/>
        </w:rPr>
        <w:tab/>
        <w:t>(ii)</w:t>
      </w:r>
      <w:r>
        <w:rPr>
          <w:snapToGrid w:val="0"/>
        </w:rPr>
        <w:tab/>
        <w:t>the arrangements made under those regulations or a scheme or policy of insurance approved by or under those regulations.</w:t>
      </w:r>
    </w:p>
    <w:p>
      <w:pPr>
        <w:pStyle w:val="Subsection"/>
        <w:keepNext/>
        <w:rPr>
          <w:snapToGrid w:val="0"/>
        </w:rPr>
      </w:pPr>
      <w:r>
        <w:rPr>
          <w:snapToGrid w:val="0"/>
        </w:rPr>
        <w:tab/>
        <w:t>(3)</w:t>
      </w:r>
      <w:r>
        <w:rPr>
          <w:snapToGrid w:val="0"/>
        </w:rPr>
        <w:tab/>
        <w:t>Without limiting the generality of subsections (1) and (2), regulations referred to in subsection (1) may — </w:t>
      </w:r>
    </w:p>
    <w:p>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pPr>
        <w:pStyle w:val="Indenti"/>
        <w:rPr>
          <w:snapToGrid w:val="0"/>
        </w:rPr>
      </w:pPr>
      <w:r>
        <w:rPr>
          <w:snapToGrid w:val="0"/>
        </w:rPr>
        <w:tab/>
        <w:t>(i)</w:t>
      </w:r>
      <w:r>
        <w:rPr>
          <w:snapToGrid w:val="0"/>
        </w:rPr>
        <w:tab/>
        <w:t>licensed surveyors or former licensed surveyors; or</w:t>
      </w:r>
    </w:p>
    <w:p>
      <w:pPr>
        <w:pStyle w:val="Indenti"/>
        <w:rPr>
          <w:snapToGrid w:val="0"/>
        </w:rPr>
      </w:pPr>
      <w:r>
        <w:rPr>
          <w:snapToGrid w:val="0"/>
        </w:rPr>
        <w:tab/>
        <w:t>(ii)</w:t>
      </w:r>
      <w:r>
        <w:rPr>
          <w:snapToGrid w:val="0"/>
        </w:rPr>
        <w:tab/>
        <w:t>prescribed categories of licensed surveyor or former licensed surveyor,</w:t>
      </w:r>
    </w:p>
    <w:p>
      <w:pPr>
        <w:pStyle w:val="Indenta"/>
        <w:rPr>
          <w:snapToGrid w:val="0"/>
        </w:rPr>
      </w:pPr>
      <w:r>
        <w:rPr>
          <w:snapToGrid w:val="0"/>
        </w:rPr>
        <w:tab/>
      </w:r>
      <w:r>
        <w:rPr>
          <w:snapToGrid w:val="0"/>
        </w:rPr>
        <w:tab/>
        <w:t>and the periods during which that insurance cover is to be maintained; and</w:t>
      </w:r>
    </w:p>
    <w:p>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 and</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empower the Board to refuse to renew a practising certificate except to a licensed surveyor who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snapToGrid w:val="0"/>
        </w:rPr>
      </w:pPr>
      <w:r>
        <w:rPr>
          <w:snapToGrid w:val="0"/>
        </w:rPr>
        <w:tab/>
      </w:r>
      <w:r>
        <w:rPr>
          <w:snapToGrid w:val="0"/>
        </w:rPr>
        <w:tab/>
        <w:t>and</w:t>
      </w:r>
    </w:p>
    <w:p>
      <w:pPr>
        <w:pStyle w:val="Indenta"/>
        <w:keepNext/>
        <w:rPr>
          <w:snapToGrid w:val="0"/>
        </w:rPr>
      </w:pPr>
      <w:r>
        <w:rPr>
          <w:snapToGrid w:val="0"/>
        </w:rPr>
        <w:tab/>
        <w:t>(e)</w:t>
      </w:r>
      <w:r>
        <w:rPr>
          <w:snapToGrid w:val="0"/>
        </w:rPr>
        <w:tab/>
        <w:t>empower the Board to suspend the licence of a licensed surveyor until the licensed surveyor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 and</w:t>
      </w:r>
    </w:p>
    <w:p>
      <w:pPr>
        <w:pStyle w:val="Indenta"/>
        <w:rPr>
          <w:snapToGrid w:val="0"/>
        </w:rPr>
      </w:pPr>
      <w:r>
        <w:rPr>
          <w:snapToGrid w:val="0"/>
        </w:rPr>
        <w:tab/>
        <w:t>(g)</w:t>
      </w:r>
      <w:r>
        <w:rPr>
          <w:snapToGrid w:val="0"/>
        </w:rPr>
        <w:tab/>
        <w:t>empower the Board to vary or revoke any exemption made by the Board under those regulations; and</w:t>
      </w:r>
    </w:p>
    <w:p>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pPr>
        <w:pStyle w:val="Indenta"/>
        <w:rPr>
          <w:snapToGrid w:val="0"/>
        </w:rPr>
      </w:pPr>
      <w:r>
        <w:rPr>
          <w:snapToGrid w:val="0"/>
        </w:rPr>
        <w:tab/>
        <w:t>(i)</w:t>
      </w:r>
      <w:r>
        <w:rPr>
          <w:snapToGrid w:val="0"/>
        </w:rPr>
        <w:tab/>
        <w:t>contain incidental, procedural and supplementary provisions.</w:t>
      </w:r>
    </w:p>
    <w:p>
      <w:pPr>
        <w:pStyle w:val="Footnotesection"/>
      </w:pPr>
      <w:r>
        <w:tab/>
        <w:t xml:space="preserve">[Section 26A inserted by No. 79 of 1996 s. 26; amended by No. 70 of 2003 s. 41.] </w:t>
      </w:r>
    </w:p>
    <w:p>
      <w:pPr>
        <w:pStyle w:val="Heading5"/>
        <w:rPr>
          <w:snapToGrid w:val="0"/>
        </w:rPr>
      </w:pPr>
      <w:bookmarkStart w:id="44" w:name="_Toc462752390"/>
      <w:r>
        <w:rPr>
          <w:rStyle w:val="CharSectno"/>
        </w:rPr>
        <w:t>27</w:t>
      </w:r>
      <w:r>
        <w:rPr>
          <w:snapToGrid w:val="0"/>
        </w:rPr>
        <w:t>.</w:t>
      </w:r>
      <w:r>
        <w:rPr>
          <w:snapToGrid w:val="0"/>
        </w:rPr>
        <w:tab/>
        <w:t>Evidence</w:t>
      </w:r>
      <w:bookmarkEnd w:id="44"/>
      <w:r>
        <w:rPr>
          <w:snapToGrid w:val="0"/>
        </w:rPr>
        <w:t xml:space="preserve"> </w:t>
      </w:r>
    </w:p>
    <w:p>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pPr>
        <w:pStyle w:val="Subsection"/>
        <w:rPr>
          <w:snapToGrid w:val="0"/>
        </w:rPr>
      </w:pPr>
      <w:r>
        <w:rPr>
          <w:snapToGrid w:val="0"/>
        </w:rPr>
        <w:tab/>
        <w:t>(2)</w:t>
      </w:r>
      <w:r>
        <w:rPr>
          <w:snapToGrid w:val="0"/>
        </w:rPr>
        <w:tab/>
        <w:t>Every court shall take judicial notice of the signature of the chairman of the Board.</w:t>
      </w:r>
    </w:p>
    <w:p>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pPr>
        <w:pStyle w:val="Ednotesection"/>
        <w:ind w:left="890" w:hanging="890"/>
      </w:pPr>
      <w:r>
        <w:t>[</w:t>
      </w:r>
      <w:r>
        <w:rPr>
          <w:b/>
        </w:rPr>
        <w:t>28,</w:t>
      </w:r>
      <w:r>
        <w:t xml:space="preserve"> </w:t>
      </w:r>
      <w:r>
        <w:rPr>
          <w:b/>
        </w:rPr>
        <w:t>29.</w:t>
      </w:r>
      <w:r>
        <w:tab/>
        <w:t xml:space="preserve">Deleted by No. 79 of 1996 s. 27.] </w:t>
      </w:r>
    </w:p>
    <w:p>
      <w:pPr>
        <w:pStyle w:val="Heading5"/>
        <w:rPr>
          <w:snapToGrid w:val="0"/>
        </w:rPr>
      </w:pPr>
      <w:bookmarkStart w:id="45" w:name="_Toc462752391"/>
      <w:r>
        <w:rPr>
          <w:rStyle w:val="CharSectno"/>
        </w:rPr>
        <w:t>30</w:t>
      </w:r>
      <w:r>
        <w:rPr>
          <w:snapToGrid w:val="0"/>
        </w:rPr>
        <w:t>.</w:t>
      </w:r>
      <w:r>
        <w:rPr>
          <w:snapToGrid w:val="0"/>
        </w:rPr>
        <w:tab/>
        <w:t>Proceedings for offences</w:t>
      </w:r>
      <w:bookmarkEnd w:id="45"/>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30 inserted by No. 78 of 1995 s. 64.] </w:t>
      </w:r>
    </w:p>
    <w:p>
      <w:pPr>
        <w:pStyle w:val="yEdnoteschedule"/>
      </w:pPr>
      <w:r>
        <w:t>[First Schedule omitted under the Reprints Act 1984 s. 7(4)(e) and (f).]</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6" w:name="_Toc449969352"/>
      <w:bookmarkStart w:id="47" w:name="_Toc462752392"/>
      <w:r>
        <w:rPr>
          <w:rStyle w:val="CharSchNo"/>
        </w:rPr>
        <w:t>Second Schedule</w:t>
      </w:r>
      <w:r>
        <w:rPr>
          <w:rStyle w:val="CharSDivNo"/>
        </w:rPr>
        <w:t> </w:t>
      </w:r>
      <w:r>
        <w:t>—</w:t>
      </w:r>
      <w:r>
        <w:rPr>
          <w:rStyle w:val="CharSDivText"/>
        </w:rPr>
        <w:t> </w:t>
      </w:r>
      <w:r>
        <w:rPr>
          <w:rStyle w:val="CharSchText"/>
        </w:rPr>
        <w:t>Rules for the conduct of the Board</w:t>
      </w:r>
      <w:bookmarkEnd w:id="46"/>
      <w:bookmarkEnd w:id="47"/>
    </w:p>
    <w:p>
      <w:pPr>
        <w:pStyle w:val="yShoulderClause"/>
        <w:rPr>
          <w:snapToGrid w:val="0"/>
        </w:rPr>
      </w:pPr>
      <w:r>
        <w:rPr>
          <w:snapToGrid w:val="0"/>
        </w:rPr>
        <w:t>[s. 5.]</w:t>
      </w:r>
    </w:p>
    <w:p>
      <w:pPr>
        <w:pStyle w:val="yFootnotesection"/>
      </w:pPr>
      <w:r>
        <w:tab/>
        <w:t>[Heading amended by No. 19 of 2010 s. 4.]</w:t>
      </w:r>
    </w:p>
    <w:p>
      <w:pPr>
        <w:pStyle w:val="yHeading5"/>
        <w:rPr>
          <w:snapToGrid w:val="0"/>
        </w:rPr>
      </w:pPr>
      <w:bookmarkStart w:id="48" w:name="_Toc462752393"/>
      <w:r>
        <w:rPr>
          <w:rStyle w:val="CharSClsNo"/>
        </w:rPr>
        <w:t>1</w:t>
      </w:r>
      <w:r>
        <w:rPr>
          <w:snapToGrid w:val="0"/>
        </w:rPr>
        <w:t>.</w:t>
      </w:r>
      <w:r>
        <w:rPr>
          <w:snapToGrid w:val="0"/>
        </w:rPr>
        <w:tab/>
        <w:t>Chairman</w:t>
      </w:r>
      <w:bookmarkEnd w:id="48"/>
    </w:p>
    <w:p>
      <w:pPr>
        <w:pStyle w:val="ySubsection"/>
        <w:rPr>
          <w:snapToGrid w:val="0"/>
        </w:rPr>
      </w:pPr>
      <w:r>
        <w:rPr>
          <w:snapToGrid w:val="0"/>
        </w:rPr>
        <w:tab/>
      </w:r>
      <w:r>
        <w:rPr>
          <w:snapToGrid w:val="0"/>
        </w:rPr>
        <w:tab/>
        <w:t>The chairman shall be the executive officer of the Board.</w:t>
      </w:r>
    </w:p>
    <w:p>
      <w:pPr>
        <w:pStyle w:val="yFootnotesection"/>
      </w:pPr>
      <w:r>
        <w:tab/>
        <w:t>[Clause 1 amended by No. 19 of 2010 s. 51.]</w:t>
      </w:r>
    </w:p>
    <w:p>
      <w:pPr>
        <w:pStyle w:val="yHeading5"/>
        <w:rPr>
          <w:snapToGrid w:val="0"/>
        </w:rPr>
      </w:pPr>
      <w:bookmarkStart w:id="49" w:name="_Toc462752394"/>
      <w:r>
        <w:rPr>
          <w:rStyle w:val="CharSClsNo"/>
        </w:rPr>
        <w:t>2</w:t>
      </w:r>
      <w:r>
        <w:rPr>
          <w:snapToGrid w:val="0"/>
        </w:rPr>
        <w:t>.</w:t>
      </w:r>
      <w:r>
        <w:rPr>
          <w:snapToGrid w:val="0"/>
        </w:rPr>
        <w:tab/>
        <w:t>Execution of documents</w:t>
      </w:r>
      <w:bookmarkEnd w:id="49"/>
    </w:p>
    <w:p>
      <w:pPr>
        <w:pStyle w:val="ySubsection"/>
        <w:rPr>
          <w:snapToGrid w:val="0"/>
          <w:spacing w:val="-4"/>
        </w:rPr>
      </w:pPr>
      <w:r>
        <w:rPr>
          <w:snapToGrid w:val="0"/>
          <w:spacing w:val="-4"/>
        </w:rPr>
        <w:tab/>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pPr>
        <w:pStyle w:val="yFootnotesection"/>
      </w:pPr>
      <w:r>
        <w:tab/>
        <w:t>[Clause 2 amended by No. 19 of 2010 s. 51.]</w:t>
      </w:r>
    </w:p>
    <w:p>
      <w:pPr>
        <w:pStyle w:val="yHeading5"/>
        <w:rPr>
          <w:snapToGrid w:val="0"/>
        </w:rPr>
      </w:pPr>
      <w:bookmarkStart w:id="50" w:name="_Toc462752395"/>
      <w:r>
        <w:rPr>
          <w:rStyle w:val="CharSClsNo"/>
        </w:rPr>
        <w:t>3</w:t>
      </w:r>
      <w:r>
        <w:rPr>
          <w:snapToGrid w:val="0"/>
        </w:rPr>
        <w:t>.</w:t>
      </w:r>
      <w:r>
        <w:rPr>
          <w:snapToGrid w:val="0"/>
        </w:rPr>
        <w:tab/>
        <w:t>Quorum</w:t>
      </w:r>
      <w:bookmarkEnd w:id="50"/>
    </w:p>
    <w:p>
      <w:pPr>
        <w:pStyle w:val="ySubsection"/>
        <w:rPr>
          <w:snapToGrid w:val="0"/>
        </w:rPr>
      </w:pPr>
      <w:r>
        <w:rPr>
          <w:snapToGrid w:val="0"/>
        </w:rPr>
        <w:tab/>
      </w:r>
      <w:r>
        <w:rPr>
          <w:snapToGrid w:val="0"/>
        </w:rPr>
        <w:tab/>
        <w:t>No business shall be transacted at any meeting of the Board unless at least 3 of the members are present when such business is transacted.</w:t>
      </w:r>
    </w:p>
    <w:p>
      <w:pPr>
        <w:pStyle w:val="yFootnotesection"/>
      </w:pPr>
      <w:r>
        <w:tab/>
        <w:t>[Clause 3 amended by No. 19 of 2010 s. 51.]</w:t>
      </w:r>
    </w:p>
    <w:p>
      <w:pPr>
        <w:pStyle w:val="yHeading5"/>
        <w:rPr>
          <w:snapToGrid w:val="0"/>
        </w:rPr>
      </w:pPr>
      <w:bookmarkStart w:id="51" w:name="_Toc462752396"/>
      <w:r>
        <w:rPr>
          <w:rStyle w:val="CharSClsNo"/>
        </w:rPr>
        <w:t>4</w:t>
      </w:r>
      <w:r>
        <w:rPr>
          <w:snapToGrid w:val="0"/>
        </w:rPr>
        <w:t>.</w:t>
      </w:r>
      <w:r>
        <w:rPr>
          <w:snapToGrid w:val="0"/>
        </w:rPr>
        <w:tab/>
        <w:t>Chairman to preside</w:t>
      </w:r>
      <w:bookmarkEnd w:id="51"/>
    </w:p>
    <w:p>
      <w:pPr>
        <w:pStyle w:val="ySubsection"/>
        <w:rPr>
          <w:snapToGrid w:val="0"/>
        </w:rPr>
      </w:pPr>
      <w:r>
        <w:rPr>
          <w:snapToGrid w:val="0"/>
        </w:rPr>
        <w:tab/>
        <w:t>(1)</w:t>
      </w:r>
      <w:r>
        <w:rPr>
          <w:snapToGrid w:val="0"/>
        </w:rPr>
        <w:tab/>
        <w:t>The chairman shall preside at all meetings at which he is present. In the absence of the chairman, the members present shall elect from their number a chairman for the day.</w:t>
      </w:r>
    </w:p>
    <w:p>
      <w:pPr>
        <w:pStyle w:val="ySubsection"/>
        <w:rPr>
          <w:snapToGrid w:val="0"/>
        </w:rPr>
      </w:pPr>
      <w:r>
        <w:rPr>
          <w:snapToGrid w:val="0"/>
        </w:rPr>
        <w:tab/>
        <w:t>(2)</w:t>
      </w:r>
      <w:r>
        <w:rPr>
          <w:snapToGrid w:val="0"/>
        </w:rPr>
        <w:tab/>
        <w:t>The chairman, or, in his absence, the chairman for the day, shall have a vote, and, when there is an equal division of votes upon any question, shall have a second or casting vote.</w:t>
      </w:r>
    </w:p>
    <w:p>
      <w:pPr>
        <w:pStyle w:val="yFootnotesection"/>
      </w:pPr>
      <w:r>
        <w:tab/>
        <w:t>[Clause 4 amended by No. 19 of 2010 s. 51.]</w:t>
      </w:r>
    </w:p>
    <w:p>
      <w:pPr>
        <w:pStyle w:val="yHeading5"/>
        <w:rPr>
          <w:snapToGrid w:val="0"/>
        </w:rPr>
      </w:pPr>
      <w:bookmarkStart w:id="52" w:name="_Toc462752397"/>
      <w:r>
        <w:rPr>
          <w:rStyle w:val="CharSClsNo"/>
        </w:rPr>
        <w:t>5</w:t>
      </w:r>
      <w:r>
        <w:rPr>
          <w:snapToGrid w:val="0"/>
        </w:rPr>
        <w:t>.</w:t>
      </w:r>
      <w:r>
        <w:rPr>
          <w:snapToGrid w:val="0"/>
        </w:rPr>
        <w:tab/>
        <w:t>Voting</w:t>
      </w:r>
      <w:bookmarkEnd w:id="52"/>
    </w:p>
    <w:p>
      <w:pPr>
        <w:pStyle w:val="ySubsection"/>
        <w:rPr>
          <w:snapToGrid w:val="0"/>
        </w:rPr>
      </w:pPr>
      <w:r>
        <w:rPr>
          <w:snapToGrid w:val="0"/>
        </w:rPr>
        <w:tab/>
        <w:t>(1)</w:t>
      </w:r>
      <w:r>
        <w:rPr>
          <w:snapToGrid w:val="0"/>
        </w:rPr>
        <w:tab/>
        <w:t>All powers vested in the Board may be exercised by the majority of the members present at any meeting duly held, and all questions shall be decided by a majority and by open voting.</w:t>
      </w:r>
    </w:p>
    <w:p>
      <w:pPr>
        <w:pStyle w:val="ySubsection"/>
        <w:rPr>
          <w:snapToGrid w:val="0"/>
        </w:rPr>
      </w:pPr>
      <w:r>
        <w:rPr>
          <w:snapToGrid w:val="0"/>
        </w:rPr>
        <w:tab/>
        <w:t>(2)</w:t>
      </w:r>
      <w:r>
        <w:rPr>
          <w:snapToGrid w:val="0"/>
        </w:rPr>
        <w:tab/>
        <w:t>At all meetings, save as herein otherwise provided, all members present shall vote.</w:t>
      </w:r>
    </w:p>
    <w:p>
      <w:pPr>
        <w:pStyle w:val="ySubsection"/>
        <w:rPr>
          <w:snapToGrid w:val="0"/>
        </w:rPr>
      </w:pPr>
      <w:r>
        <w:rPr>
          <w:snapToGrid w:val="0"/>
        </w:rPr>
        <w:tab/>
        <w:t>(3)</w:t>
      </w:r>
      <w:r>
        <w:rPr>
          <w:snapToGrid w:val="0"/>
        </w:rPr>
        <w:tab/>
        <w:t>If a member refuses to vote, his vote shall be counted for the negative.</w:t>
      </w:r>
    </w:p>
    <w:p>
      <w:pPr>
        <w:pStyle w:val="yFootnotesection"/>
      </w:pPr>
      <w:r>
        <w:tab/>
        <w:t>[Clause 5 amended by No. 19 of 2010 s. 51.]</w:t>
      </w:r>
    </w:p>
    <w:p>
      <w:pPr>
        <w:pStyle w:val="yHeading5"/>
        <w:rPr>
          <w:snapToGrid w:val="0"/>
        </w:rPr>
      </w:pPr>
      <w:bookmarkStart w:id="53" w:name="_Toc462752398"/>
      <w:r>
        <w:rPr>
          <w:rStyle w:val="CharSClsNo"/>
        </w:rPr>
        <w:t>6</w:t>
      </w:r>
      <w:r>
        <w:rPr>
          <w:snapToGrid w:val="0"/>
        </w:rPr>
        <w:t>.</w:t>
      </w:r>
      <w:r>
        <w:rPr>
          <w:snapToGrid w:val="0"/>
        </w:rPr>
        <w:tab/>
        <w:t>Adjournment of meetings</w:t>
      </w:r>
      <w:bookmarkEnd w:id="53"/>
    </w:p>
    <w:p>
      <w:pPr>
        <w:pStyle w:val="ySubsection"/>
        <w:rPr>
          <w:snapToGrid w:val="0"/>
        </w:rPr>
      </w:pPr>
      <w:r>
        <w:rPr>
          <w:snapToGrid w:val="0"/>
        </w:rPr>
        <w:tab/>
        <w:t>(1)</w:t>
      </w:r>
      <w:r>
        <w:rPr>
          <w:snapToGrid w:val="0"/>
        </w:rPr>
        <w:tab/>
        <w:t>The members present at a meeting may, from time to time, adjourn the meeting.</w:t>
      </w:r>
    </w:p>
    <w:p>
      <w:pPr>
        <w:pStyle w:val="ySubsection"/>
        <w:rPr>
          <w:rFonts w:ascii="Times" w:hAnsi="Times"/>
          <w:snapToGrid w:val="0"/>
        </w:rPr>
      </w:pPr>
      <w:r>
        <w:rPr>
          <w:snapToGrid w:val="0"/>
          <w:spacing w:val="-6"/>
        </w:rPr>
        <w:tab/>
        <w:t>(2)</w:t>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pPr>
        <w:pStyle w:val="ySubsection"/>
        <w:rPr>
          <w:snapToGrid w:val="0"/>
        </w:rPr>
      </w:pPr>
      <w:r>
        <w:rPr>
          <w:snapToGrid w:val="0"/>
        </w:rPr>
        <w:tab/>
        <w:t>(3)</w:t>
      </w:r>
      <w:r>
        <w:rPr>
          <w:snapToGrid w:val="0"/>
        </w:rPr>
        <w:tab/>
        <w:t>Nothing in this clause shall be construed to prevent the adjournment of any meeting to a later hour of the same day on which such meeting was appointed to be held.</w:t>
      </w:r>
    </w:p>
    <w:p>
      <w:pPr>
        <w:pStyle w:val="yFootnotesection"/>
      </w:pPr>
      <w:r>
        <w:tab/>
        <w:t>[Clause 6 amended by No. 19 of 2010 s. 51.]</w:t>
      </w:r>
    </w:p>
    <w:p>
      <w:pPr>
        <w:pStyle w:val="yHeading5"/>
        <w:rPr>
          <w:snapToGrid w:val="0"/>
        </w:rPr>
      </w:pPr>
      <w:bookmarkStart w:id="54" w:name="_Toc462752399"/>
      <w:r>
        <w:rPr>
          <w:rStyle w:val="CharSClsNo"/>
        </w:rPr>
        <w:t>7</w:t>
      </w:r>
      <w:r>
        <w:rPr>
          <w:snapToGrid w:val="0"/>
        </w:rPr>
        <w:t>.</w:t>
      </w:r>
      <w:r>
        <w:rPr>
          <w:snapToGrid w:val="0"/>
        </w:rPr>
        <w:tab/>
        <w:t>Notice of meeting</w:t>
      </w:r>
      <w:bookmarkEnd w:id="54"/>
    </w:p>
    <w:p>
      <w:pPr>
        <w:pStyle w:val="ySubsection"/>
        <w:rPr>
          <w:snapToGrid w:val="0"/>
        </w:rPr>
      </w:pPr>
      <w:r>
        <w:rPr>
          <w:snapToGrid w:val="0"/>
        </w:rPr>
        <w:tab/>
      </w:r>
      <w:r>
        <w:rPr>
          <w:snapToGrid w:val="0"/>
        </w:rPr>
        <w:tab/>
        <w:t>All notices of any meeting shall be in writing, and shall be delivered or sent by post or otherwise to the address of each of the members previous to the meeting.</w:t>
      </w:r>
    </w:p>
    <w:p>
      <w:pPr>
        <w:pStyle w:val="yFootnotesection"/>
      </w:pPr>
      <w:r>
        <w:tab/>
        <w:t>[Clause 7 amended by No. 19 of 2010 s. 51.]</w:t>
      </w:r>
    </w:p>
    <w:p>
      <w:pPr>
        <w:pStyle w:val="yHeading5"/>
        <w:rPr>
          <w:snapToGrid w:val="0"/>
        </w:rPr>
      </w:pPr>
      <w:bookmarkStart w:id="55" w:name="_Toc462752400"/>
      <w:r>
        <w:rPr>
          <w:rStyle w:val="CharSClsNo"/>
        </w:rPr>
        <w:t>8</w:t>
      </w:r>
      <w:r>
        <w:rPr>
          <w:snapToGrid w:val="0"/>
        </w:rPr>
        <w:t>.</w:t>
      </w:r>
      <w:r>
        <w:rPr>
          <w:snapToGrid w:val="0"/>
        </w:rPr>
        <w:tab/>
        <w:t>Effect of refusal or neglect to act or non</w:t>
      </w:r>
      <w:r>
        <w:rPr>
          <w:snapToGrid w:val="0"/>
        </w:rPr>
        <w:noBreakHyphen/>
        <w:t>attendance</w:t>
      </w:r>
      <w:bookmarkEnd w:id="55"/>
    </w:p>
    <w:p>
      <w:pPr>
        <w:pStyle w:val="ySubsection"/>
        <w:rPr>
          <w:snapToGrid w:val="0"/>
        </w:rPr>
      </w:pPr>
      <w:r>
        <w:rPr>
          <w:snapToGrid w:val="0"/>
        </w:rPr>
        <w:tab/>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pPr>
        <w:pStyle w:val="yFootnotesection"/>
      </w:pPr>
      <w:r>
        <w:tab/>
        <w:t>[Clause 8 amended by No. 19 of 2010 s. 51.]</w:t>
      </w:r>
    </w:p>
    <w:p>
      <w:pPr>
        <w:pStyle w:val="yHeading5"/>
        <w:rPr>
          <w:snapToGrid w:val="0"/>
        </w:rPr>
      </w:pPr>
      <w:bookmarkStart w:id="56" w:name="_Toc462752401"/>
      <w:r>
        <w:rPr>
          <w:rStyle w:val="CharSClsNo"/>
        </w:rPr>
        <w:t>9</w:t>
      </w:r>
      <w:r>
        <w:rPr>
          <w:snapToGrid w:val="0"/>
        </w:rPr>
        <w:t>.</w:t>
      </w:r>
      <w:r>
        <w:rPr>
          <w:snapToGrid w:val="0"/>
        </w:rPr>
        <w:tab/>
        <w:t>Validity not affected by vacancy etc.</w:t>
      </w:r>
      <w:bookmarkEnd w:id="56"/>
    </w:p>
    <w:p>
      <w:pPr>
        <w:pStyle w:val="ySubsection"/>
        <w:rPr>
          <w:snapToGrid w:val="0"/>
        </w:rPr>
      </w:pPr>
      <w:r>
        <w:rPr>
          <w:snapToGrid w:val="0"/>
        </w:rPr>
        <w:tab/>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pPr>
        <w:pStyle w:val="yFootnotesection"/>
      </w:pPr>
      <w:r>
        <w:tab/>
        <w:t>[Clause 9 amended by No. 19 of 2010 s. 51.]</w:t>
      </w:r>
    </w:p>
    <w:p>
      <w:pPr>
        <w:pStyle w:val="yScheduleHeading"/>
      </w:pPr>
      <w:bookmarkStart w:id="57" w:name="_Toc449969362"/>
      <w:bookmarkStart w:id="58" w:name="_Toc462752402"/>
      <w:r>
        <w:rPr>
          <w:rStyle w:val="CharSchNo"/>
        </w:rPr>
        <w:t>Third Schedule</w:t>
      </w:r>
      <w:r>
        <w:t xml:space="preserve"> — </w:t>
      </w:r>
      <w:r>
        <w:rPr>
          <w:rStyle w:val="CharSchText"/>
        </w:rPr>
        <w:t>Form of declaration</w:t>
      </w:r>
      <w:bookmarkEnd w:id="57"/>
      <w:bookmarkEnd w:id="58"/>
    </w:p>
    <w:p>
      <w:pPr>
        <w:pStyle w:val="yShoulderClause"/>
        <w:rPr>
          <w:snapToGrid w:val="0"/>
        </w:rPr>
      </w:pPr>
      <w:r>
        <w:rPr>
          <w:snapToGrid w:val="0"/>
        </w:rPr>
        <w:t>[s.</w:t>
      </w:r>
      <w:r>
        <w:rPr>
          <w:rStyle w:val="CharSchText"/>
        </w:rPr>
        <w:t> </w:t>
      </w:r>
      <w:r>
        <w:rPr>
          <w:snapToGrid w:val="0"/>
        </w:rPr>
        <w:t>7.]</w:t>
      </w:r>
    </w:p>
    <w:p>
      <w:pPr>
        <w:pStyle w:val="yFootnotesection"/>
      </w:pPr>
      <w:r>
        <w:tab/>
        <w:t>[Heading amended by No. 19 of 2010 s. 4.]</w:t>
      </w:r>
    </w:p>
    <w:p>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pPr>
        <w:pStyle w:val="yMiscellaneousBody"/>
        <w:jc w:val="center"/>
        <w:rPr>
          <w:snapToGrid w:val="0"/>
        </w:rPr>
      </w:pPr>
      <w:r>
        <w:rPr>
          <w:snapToGrid w:val="0"/>
        </w:rPr>
        <w:t>, 20</w:t>
      </w:r>
      <w:r>
        <w:rPr>
          <w:snapToGrid w:val="0"/>
        </w:rPr>
        <w:tab/>
        <w:t xml:space="preserve"> , before me,</w:t>
      </w:r>
    </w:p>
    <w:p>
      <w:pPr>
        <w:pStyle w:val="yMiscellaneousBody"/>
        <w:jc w:val="right"/>
        <w:rPr>
          <w:snapToGrid w:val="0"/>
        </w:rPr>
      </w:pPr>
      <w:r>
        <w:rPr>
          <w:snapToGrid w:val="0"/>
        </w:rPr>
        <w:t>, Justice of the Peace.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0" w:name="_Toc449969363"/>
      <w:bookmarkStart w:id="61" w:name="_Toc462752403"/>
      <w:r>
        <w:t>Notes</w:t>
      </w:r>
      <w:bookmarkEnd w:id="60"/>
      <w:bookmarkEnd w:id="61"/>
    </w:p>
    <w:p>
      <w:pPr>
        <w:pStyle w:val="nSubsection"/>
      </w:pPr>
      <w:r>
        <w:rPr>
          <w:vertAlign w:val="superscript"/>
        </w:rPr>
        <w:t>1</w:t>
      </w:r>
      <w:r>
        <w:tab/>
        <w:t xml:space="preserve">This reprint is a compilation as at 16 September 2016 of the </w:t>
      </w:r>
      <w:r>
        <w:rPr>
          <w:i/>
        </w:rPr>
        <w:t xml:space="preserve">Licensed Surveyors Act 1909 </w:t>
      </w:r>
      <w:r>
        <w:t>and includes the amendments made by the other written laws referred to in the following table</w:t>
      </w:r>
      <w:r>
        <w:rPr>
          <w:vertAlign w:val="superscript"/>
        </w:rPr>
        <w:t> </w:t>
      </w:r>
      <w:r>
        <w:rPr>
          <w:snapToGrid w:val="0"/>
          <w:vertAlign w:val="superscript"/>
        </w:rPr>
        <w:t>1a, 2</w:t>
      </w:r>
      <w:r>
        <w:t>.  The table also contains information about any reprint.</w:t>
      </w:r>
    </w:p>
    <w:p>
      <w:pPr>
        <w:pStyle w:val="nHeading3"/>
        <w:rPr>
          <w:snapToGrid w:val="0"/>
        </w:rPr>
      </w:pPr>
      <w:bookmarkStart w:id="62" w:name="_Toc462752404"/>
      <w:r>
        <w:rPr>
          <w:snapToGrid w:val="0"/>
        </w:rPr>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Licensed Surveyors Act 1909</w:t>
            </w:r>
          </w:p>
        </w:tc>
        <w:tc>
          <w:tcPr>
            <w:tcW w:w="1134" w:type="dxa"/>
          </w:tcPr>
          <w:p>
            <w:pPr>
              <w:pStyle w:val="nTable"/>
              <w:spacing w:after="40"/>
            </w:pPr>
            <w:r>
              <w:t xml:space="preserve">25 of 1909 </w:t>
            </w:r>
            <w:r>
              <w:rPr>
                <w:color w:val="000000"/>
              </w:rPr>
              <w:t>(9 Edw. VII No. 21)</w:t>
            </w:r>
          </w:p>
        </w:tc>
        <w:tc>
          <w:tcPr>
            <w:tcW w:w="1136" w:type="dxa"/>
          </w:tcPr>
          <w:p>
            <w:pPr>
              <w:pStyle w:val="nTable"/>
              <w:spacing w:after="40"/>
            </w:pPr>
            <w:r>
              <w:t>29 Oct 1909</w:t>
            </w:r>
          </w:p>
        </w:tc>
        <w:tc>
          <w:tcPr>
            <w:tcW w:w="2551" w:type="dxa"/>
          </w:tcPr>
          <w:p>
            <w:pPr>
              <w:pStyle w:val="nTable"/>
              <w:spacing w:after="40"/>
            </w:pPr>
            <w:r>
              <w:t>1 Jan 1910 (see s. 1)</w:t>
            </w:r>
          </w:p>
        </w:tc>
      </w:tr>
      <w:tr>
        <w:trPr>
          <w:cantSplit/>
        </w:trPr>
        <w:tc>
          <w:tcPr>
            <w:tcW w:w="2268" w:type="dxa"/>
          </w:tcPr>
          <w:p>
            <w:pPr>
              <w:pStyle w:val="nTable"/>
              <w:spacing w:after="40"/>
              <w:rPr>
                <w:i/>
              </w:rPr>
            </w:pPr>
            <w:r>
              <w:rPr>
                <w:i/>
              </w:rPr>
              <w:t>Licensed Surveyors Act Amendment Act 1940</w:t>
            </w:r>
          </w:p>
        </w:tc>
        <w:tc>
          <w:tcPr>
            <w:tcW w:w="1134" w:type="dxa"/>
          </w:tcPr>
          <w:p>
            <w:pPr>
              <w:pStyle w:val="nTable"/>
              <w:spacing w:after="40"/>
            </w:pPr>
            <w:r>
              <w:t xml:space="preserve">16 of 1940 </w:t>
            </w:r>
            <w:r>
              <w:rPr>
                <w:color w:val="000000"/>
              </w:rPr>
              <w:t>(4 Geo. VI No. 16)</w:t>
            </w:r>
          </w:p>
        </w:tc>
        <w:tc>
          <w:tcPr>
            <w:tcW w:w="1136" w:type="dxa"/>
          </w:tcPr>
          <w:p>
            <w:pPr>
              <w:pStyle w:val="nTable"/>
              <w:spacing w:after="40"/>
            </w:pPr>
            <w:r>
              <w:t>12 Nov 1940</w:t>
            </w:r>
          </w:p>
        </w:tc>
        <w:tc>
          <w:tcPr>
            <w:tcW w:w="2551" w:type="dxa"/>
          </w:tcPr>
          <w:p>
            <w:pPr>
              <w:pStyle w:val="nTable"/>
              <w:spacing w:after="40"/>
            </w:pPr>
            <w:r>
              <w:t>12 Nov 1940</w:t>
            </w:r>
          </w:p>
        </w:tc>
      </w:tr>
      <w:tr>
        <w:trPr>
          <w:cantSplit/>
        </w:trPr>
        <w:tc>
          <w:tcPr>
            <w:tcW w:w="7087" w:type="dxa"/>
            <w:gridSpan w:val="4"/>
          </w:tcPr>
          <w:p>
            <w:pPr>
              <w:pStyle w:val="nTable"/>
              <w:spacing w:after="40"/>
            </w:pPr>
            <w:r>
              <w:rPr>
                <w:b/>
              </w:rPr>
              <w:t xml:space="preserve">Reprint of the </w:t>
            </w:r>
            <w:r>
              <w:rPr>
                <w:b/>
                <w:i/>
              </w:rPr>
              <w:t>Licensed Surveyors Act 1909</w:t>
            </w:r>
            <w:r>
              <w:rPr>
                <w:b/>
              </w:rPr>
              <w:t xml:space="preserve"> approved 2 Jul 1956 in Vol. 10 of Reprinted Acts</w:t>
            </w:r>
            <w:r>
              <w:t xml:space="preserve"> (includes amendments listed above)</w:t>
            </w:r>
          </w:p>
        </w:tc>
      </w:tr>
      <w:tr>
        <w:trPr>
          <w:cantSplit/>
        </w:trPr>
        <w:tc>
          <w:tcPr>
            <w:tcW w:w="2268" w:type="dxa"/>
          </w:tcPr>
          <w:p>
            <w:pPr>
              <w:pStyle w:val="nTable"/>
              <w:spacing w:after="40"/>
              <w:rPr>
                <w:i/>
              </w:rPr>
            </w:pPr>
            <w:r>
              <w:rPr>
                <w:i/>
              </w:rPr>
              <w:t>Licensed Surveyors Act Amendment Act 1958</w:t>
            </w:r>
          </w:p>
        </w:tc>
        <w:tc>
          <w:tcPr>
            <w:tcW w:w="1134" w:type="dxa"/>
          </w:tcPr>
          <w:p>
            <w:pPr>
              <w:pStyle w:val="nTable"/>
              <w:spacing w:after="40"/>
            </w:pPr>
            <w:r>
              <w:t xml:space="preserve">14 of 1958 </w:t>
            </w:r>
            <w:r>
              <w:rPr>
                <w:color w:val="000000"/>
              </w:rPr>
              <w:t>(7 Eliz. II No. 14)</w:t>
            </w:r>
          </w:p>
        </w:tc>
        <w:tc>
          <w:tcPr>
            <w:tcW w:w="1136" w:type="dxa"/>
          </w:tcPr>
          <w:p>
            <w:pPr>
              <w:pStyle w:val="nTable"/>
              <w:spacing w:after="40"/>
            </w:pPr>
            <w:r>
              <w:t>6 Oct 1958</w:t>
            </w:r>
          </w:p>
        </w:tc>
        <w:tc>
          <w:tcPr>
            <w:tcW w:w="2551" w:type="dxa"/>
          </w:tcPr>
          <w:p>
            <w:pPr>
              <w:pStyle w:val="nTable"/>
              <w:spacing w:after="40"/>
            </w:pPr>
            <w:r>
              <w:t>6 Oct 1958</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6"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7087" w:type="dxa"/>
            <w:gridSpan w:val="4"/>
          </w:tcPr>
          <w:p>
            <w:pPr>
              <w:pStyle w:val="nTable"/>
              <w:spacing w:after="40"/>
            </w:pPr>
            <w:r>
              <w:rPr>
                <w:b/>
              </w:rPr>
              <w:t xml:space="preserve">Reprint of the </w:t>
            </w:r>
            <w:r>
              <w:rPr>
                <w:b/>
                <w:i/>
              </w:rPr>
              <w:t>Licensed Surveyors Act 1909</w:t>
            </w:r>
            <w:r>
              <w:rPr>
                <w:b/>
              </w:rPr>
              <w:t xml:space="preserve"> approved 1 Sep 1975 </w:t>
            </w:r>
            <w:r>
              <w:t>(includes amendments listed above)</w:t>
            </w:r>
          </w:p>
        </w:tc>
      </w:tr>
      <w:tr>
        <w:trPr>
          <w:cantSplit/>
        </w:trPr>
        <w:tc>
          <w:tcPr>
            <w:tcW w:w="2268" w:type="dxa"/>
          </w:tcPr>
          <w:p>
            <w:pPr>
              <w:pStyle w:val="nTable"/>
              <w:spacing w:after="40"/>
              <w:rPr>
                <w:i/>
              </w:rPr>
            </w:pPr>
            <w:r>
              <w:rPr>
                <w:i/>
              </w:rPr>
              <w:t>Licensed Surveyors Act Amendment Act 1976</w:t>
            </w:r>
          </w:p>
        </w:tc>
        <w:tc>
          <w:tcPr>
            <w:tcW w:w="1134" w:type="dxa"/>
          </w:tcPr>
          <w:p>
            <w:pPr>
              <w:pStyle w:val="nTable"/>
              <w:spacing w:after="40"/>
            </w:pPr>
            <w:r>
              <w:t>107 of 1976</w:t>
            </w:r>
          </w:p>
        </w:tc>
        <w:tc>
          <w:tcPr>
            <w:tcW w:w="1136" w:type="dxa"/>
          </w:tcPr>
          <w:p>
            <w:pPr>
              <w:pStyle w:val="nTable"/>
              <w:spacing w:after="40"/>
            </w:pPr>
            <w:r>
              <w:t>17 Nov 1976</w:t>
            </w:r>
          </w:p>
        </w:tc>
        <w:tc>
          <w:tcPr>
            <w:tcW w:w="2551" w:type="dxa"/>
          </w:tcPr>
          <w:p>
            <w:pPr>
              <w:pStyle w:val="nTable"/>
              <w:spacing w:after="40"/>
            </w:pPr>
            <w:r>
              <w:t>Act other than s. 7-9: 17 Nov 1976 (see s. 2(1));</w:t>
            </w:r>
            <w:r>
              <w:br/>
              <w:t xml:space="preserve">s. 7-9: 1 Jan 1977 (see s. 2(2) and </w:t>
            </w:r>
            <w:r>
              <w:rPr>
                <w:i/>
              </w:rPr>
              <w:t>Gazette</w:t>
            </w:r>
            <w:r>
              <w:t xml:space="preserve"> 31 Dec 1976 p. 5127</w:t>
            </w:r>
            <w:r>
              <w:noBreakHyphen/>
              <w:t>8)</w:t>
            </w:r>
          </w:p>
        </w:tc>
      </w:tr>
      <w:tr>
        <w:trPr>
          <w:cantSplit/>
        </w:trPr>
        <w:tc>
          <w:tcPr>
            <w:tcW w:w="2268" w:type="dxa"/>
          </w:tcPr>
          <w:p>
            <w:pPr>
              <w:pStyle w:val="nTable"/>
              <w:spacing w:after="40"/>
              <w:rPr>
                <w:vertAlign w:val="superscript"/>
              </w:rPr>
            </w:pPr>
            <w:r>
              <w:rPr>
                <w:i/>
              </w:rPr>
              <w:t>Acts Amendment (Financial provisions of regulatory bodies) Act 1987</w:t>
            </w:r>
            <w:r>
              <w:t xml:space="preserve"> s. 3</w:t>
            </w:r>
          </w:p>
        </w:tc>
        <w:tc>
          <w:tcPr>
            <w:tcW w:w="1134" w:type="dxa"/>
          </w:tcPr>
          <w:p>
            <w:pPr>
              <w:pStyle w:val="nTable"/>
              <w:spacing w:after="40"/>
            </w:pPr>
            <w:r>
              <w:t>77 of 1987</w:t>
            </w:r>
          </w:p>
        </w:tc>
        <w:tc>
          <w:tcPr>
            <w:tcW w:w="1136" w:type="dxa"/>
          </w:tcPr>
          <w:p>
            <w:pPr>
              <w:pStyle w:val="nTable"/>
              <w:spacing w:after="40"/>
            </w:pPr>
            <w:r>
              <w:t>26 Nov 1987</w:t>
            </w:r>
          </w:p>
        </w:tc>
        <w:tc>
          <w:tcPr>
            <w:tcW w:w="2551" w:type="dxa"/>
          </w:tcPr>
          <w:p>
            <w:pPr>
              <w:pStyle w:val="nTable"/>
              <w:spacing w:after="40"/>
            </w:pPr>
            <w:r>
              <w:t>1 Jan 1988 (see s. 2)</w:t>
            </w:r>
          </w:p>
        </w:tc>
      </w:tr>
      <w:tr>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 xml:space="preserve">Gazette </w:t>
            </w:r>
            <w:r>
              <w:t>30 Sep 1994 p. 4948)</w:t>
            </w:r>
          </w:p>
        </w:tc>
      </w:tr>
      <w:tr>
        <w:trPr>
          <w:cantSplit/>
        </w:trPr>
        <w:tc>
          <w:tcPr>
            <w:tcW w:w="2268" w:type="dxa"/>
          </w:tcPr>
          <w:p>
            <w:pPr>
              <w:pStyle w:val="nTable"/>
              <w:spacing w:after="40"/>
            </w:pPr>
            <w:r>
              <w:rPr>
                <w:i/>
              </w:rPr>
              <w:t>Sentencing (Consequential Provisions) Act 1995</w:t>
            </w:r>
            <w:r>
              <w:t xml:space="preserve"> Pt. 45</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Licensed Surveyors Amendment Act 1996</w:t>
            </w:r>
          </w:p>
        </w:tc>
        <w:tc>
          <w:tcPr>
            <w:tcW w:w="1134" w:type="dxa"/>
          </w:tcPr>
          <w:p>
            <w:pPr>
              <w:pStyle w:val="nTable"/>
              <w:spacing w:after="40"/>
            </w:pPr>
            <w:r>
              <w:t>79 of 1996</w:t>
            </w:r>
          </w:p>
        </w:tc>
        <w:tc>
          <w:tcPr>
            <w:tcW w:w="1136" w:type="dxa"/>
          </w:tcPr>
          <w:p>
            <w:pPr>
              <w:pStyle w:val="nTable"/>
              <w:spacing w:after="40"/>
            </w:pPr>
            <w:r>
              <w:t>14 Nov 1996</w:t>
            </w:r>
          </w:p>
        </w:tc>
        <w:tc>
          <w:tcPr>
            <w:tcW w:w="2551" w:type="dxa"/>
          </w:tcPr>
          <w:p>
            <w:pPr>
              <w:pStyle w:val="nTable"/>
              <w:spacing w:after="40"/>
            </w:pPr>
            <w:r>
              <w:t>s. 1 and 2: 14 Nov 1996;</w:t>
            </w:r>
            <w:r>
              <w:br/>
              <w:t xml:space="preserve">Act other than s. 1 and  2: 5 Apr 1997 (see s. 2 and </w:t>
            </w:r>
            <w:r>
              <w:rPr>
                <w:i/>
              </w:rPr>
              <w:t>Gazette</w:t>
            </w:r>
            <w:r>
              <w:t xml:space="preserve"> 4 Apr 1997 p. 1750)</w:t>
            </w:r>
          </w:p>
        </w:tc>
      </w:tr>
      <w:tr>
        <w:trPr>
          <w:cantSplit/>
        </w:trPr>
        <w:tc>
          <w:tcPr>
            <w:tcW w:w="2268" w:type="dxa"/>
          </w:tcPr>
          <w:p>
            <w:pPr>
              <w:pStyle w:val="nTable"/>
              <w:spacing w:after="40"/>
            </w:pPr>
            <w:r>
              <w:rPr>
                <w:i/>
              </w:rPr>
              <w:t xml:space="preserve">Acts Repeal and Amendment (Births, Deaths and Marriages Registration) Act 1998 </w:t>
            </w:r>
            <w:r>
              <w:t>s. 15</w:t>
            </w:r>
          </w:p>
        </w:tc>
        <w:tc>
          <w:tcPr>
            <w:tcW w:w="1134" w:type="dxa"/>
          </w:tcPr>
          <w:p>
            <w:pPr>
              <w:pStyle w:val="nTable"/>
              <w:spacing w:after="40"/>
            </w:pPr>
            <w:r>
              <w:t>40 of 1998</w:t>
            </w:r>
          </w:p>
        </w:tc>
        <w:tc>
          <w:tcPr>
            <w:tcW w:w="1136" w:type="dxa"/>
          </w:tcPr>
          <w:p>
            <w:pPr>
              <w:pStyle w:val="nTable"/>
              <w:spacing w:after="40"/>
            </w:pPr>
            <w:r>
              <w:t>30 Oct 1998</w:t>
            </w:r>
          </w:p>
        </w:tc>
        <w:tc>
          <w:tcPr>
            <w:tcW w:w="2551" w:type="dxa"/>
          </w:tcPr>
          <w:p>
            <w:pPr>
              <w:pStyle w:val="nTable"/>
              <w:spacing w:after="40"/>
              <w:ind w:right="199"/>
            </w:pPr>
            <w:r>
              <w:t xml:space="preserve">14 Apr 1999 (see s. 2 and </w:t>
            </w:r>
            <w:r>
              <w:rPr>
                <w:i/>
              </w:rPr>
              <w:t>Gazette</w:t>
            </w:r>
            <w:r>
              <w:t xml:space="preserve"> 9 Apr 1999 p. 1433)</w:t>
            </w:r>
          </w:p>
        </w:tc>
      </w:tr>
      <w:tr>
        <w:trPr>
          <w:cantSplit/>
        </w:trPr>
        <w:tc>
          <w:tcPr>
            <w:tcW w:w="7087" w:type="dxa"/>
            <w:gridSpan w:val="4"/>
          </w:tcPr>
          <w:p>
            <w:pPr>
              <w:pStyle w:val="nTable"/>
              <w:spacing w:after="40"/>
            </w:pPr>
            <w:r>
              <w:rPr>
                <w:b/>
              </w:rPr>
              <w:t xml:space="preserve">Reprint of the </w:t>
            </w:r>
            <w:r>
              <w:rPr>
                <w:b/>
                <w:i/>
              </w:rPr>
              <w:t>Licensed Surveyors Act 1909</w:t>
            </w:r>
            <w:r>
              <w:rPr>
                <w:b/>
              </w:rPr>
              <w:t xml:space="preserve"> as at 1 Jan 1999 </w:t>
            </w:r>
            <w:r>
              <w:t xml:space="preserve">(includes amendments listed above except those in the </w:t>
            </w:r>
            <w:r>
              <w:rPr>
                <w:i/>
              </w:rPr>
              <w:t>Acts Repeal and Amendment (Births, Deaths and Marriages Registration) Act 1998</w:t>
            </w:r>
            <w:r>
              <w:t xml:space="preserve">) (correction to reprint in </w:t>
            </w:r>
            <w:r>
              <w:rPr>
                <w:i/>
              </w:rPr>
              <w:t>Gazette</w:t>
            </w:r>
            <w:r>
              <w:t xml:space="preserve"> 11 Jan 2000 p. 103)</w:t>
            </w:r>
          </w:p>
        </w:tc>
      </w:tr>
      <w:tr>
        <w:trPr>
          <w:cantSplit/>
        </w:trPr>
        <w:tc>
          <w:tcPr>
            <w:tcW w:w="2268" w:type="dxa"/>
          </w:tcPr>
          <w:p>
            <w:pPr>
              <w:pStyle w:val="nTable"/>
              <w:spacing w:after="40"/>
              <w:rPr>
                <w:i/>
              </w:rPr>
            </w:pPr>
            <w:r>
              <w:rPr>
                <w:i/>
              </w:rPr>
              <w:t>Statutes (Repeals and Minor Amendments) Act 2000</w:t>
            </w:r>
            <w:r>
              <w:t xml:space="preserve"> s. 21</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7" w:type="dxa"/>
            <w:gridSpan w:val="4"/>
          </w:tcPr>
          <w:p>
            <w:pPr>
              <w:pStyle w:val="nTable"/>
              <w:spacing w:after="40"/>
            </w:pPr>
            <w:r>
              <w:rPr>
                <w:b/>
              </w:rPr>
              <w:t xml:space="preserve">Reprint of the </w:t>
            </w:r>
            <w:r>
              <w:rPr>
                <w:b/>
                <w:i/>
              </w:rPr>
              <w:t>Licensed Surveyors Act 1909</w:t>
            </w:r>
            <w:r>
              <w:rPr>
                <w:b/>
              </w:rPr>
              <w:t xml:space="preserve"> as at 22 Nov 2002 </w:t>
            </w:r>
            <w:r>
              <w:t>(includes amendments listed above)</w:t>
            </w:r>
          </w:p>
        </w:tc>
      </w:tr>
      <w:tr>
        <w:trPr>
          <w:cantSplit/>
        </w:trPr>
        <w:tc>
          <w:tcPr>
            <w:tcW w:w="2268" w:type="dxa"/>
          </w:tcPr>
          <w:p>
            <w:pPr>
              <w:pStyle w:val="nTable"/>
              <w:spacing w:after="40"/>
              <w:rPr>
                <w:i/>
              </w:rPr>
            </w:pPr>
            <w:r>
              <w:rPr>
                <w:i/>
              </w:rPr>
              <w:t>Acts Amendment and Repeal (Competition Policy) Act 2003</w:t>
            </w:r>
            <w:r>
              <w:t xml:space="preserve"> Pt. 10</w:t>
            </w:r>
            <w:r>
              <w:rPr>
                <w:vertAlign w:val="superscript"/>
              </w:rPr>
              <w:t> 3</w:t>
            </w:r>
          </w:p>
        </w:tc>
        <w:tc>
          <w:tcPr>
            <w:tcW w:w="1134" w:type="dxa"/>
          </w:tcPr>
          <w:p>
            <w:pPr>
              <w:pStyle w:val="nTable"/>
              <w:spacing w:after="40"/>
            </w:pPr>
            <w:r>
              <w:t>70 of 2003</w:t>
            </w:r>
          </w:p>
        </w:tc>
        <w:tc>
          <w:tcPr>
            <w:tcW w:w="1136" w:type="dxa"/>
          </w:tcPr>
          <w:p>
            <w:pPr>
              <w:pStyle w:val="nTable"/>
              <w:spacing w:after="40"/>
              <w:rPr>
                <w:b/>
              </w:rPr>
            </w:pPr>
            <w:r>
              <w:t>15 Dec 2003</w:t>
            </w:r>
          </w:p>
        </w:tc>
        <w:tc>
          <w:tcPr>
            <w:tcW w:w="2551"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rPr>
                <w:i/>
              </w:rPr>
            </w:pPr>
            <w:r>
              <w:rPr>
                <w:bCs/>
                <w:i/>
                <w:snapToGrid w:val="0"/>
              </w:rPr>
              <w:t>State Administrative Tribunal (Conferral of Jurisdiction) Amendment and Repeal Act 2004</w:t>
            </w:r>
            <w:r>
              <w:rPr>
                <w:bCs/>
                <w:i/>
                <w:iCs/>
                <w:snapToGrid w:val="0"/>
              </w:rPr>
              <w:t xml:space="preserve"> </w:t>
            </w:r>
            <w:r>
              <w:rPr>
                <w:bCs/>
                <w:snapToGrid w:val="0"/>
              </w:rPr>
              <w:t>Pt. 2 Div. 73</w:t>
            </w:r>
            <w:r>
              <w:rPr>
                <w:bCs/>
                <w:snapToGrid w:val="0"/>
                <w:vertAlign w:val="superscript"/>
              </w:rPr>
              <w:t> 4</w:t>
            </w:r>
          </w:p>
        </w:tc>
        <w:tc>
          <w:tcPr>
            <w:tcW w:w="1134" w:type="dxa"/>
          </w:tcPr>
          <w:p>
            <w:pPr>
              <w:pStyle w:val="nTable"/>
              <w:spacing w:after="40"/>
            </w:pPr>
            <w:r>
              <w:rPr>
                <w:bCs/>
              </w:rPr>
              <w:t>55 of 2004</w:t>
            </w:r>
          </w:p>
        </w:tc>
        <w:tc>
          <w:tcPr>
            <w:tcW w:w="1136" w:type="dxa"/>
          </w:tcPr>
          <w:p>
            <w:pPr>
              <w:pStyle w:val="nTable"/>
              <w:spacing w:after="40"/>
            </w:pPr>
            <w:r>
              <w:rPr>
                <w:bC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bCs/>
                <w:i/>
                <w:snapToGrid w:val="0"/>
              </w:rPr>
            </w:pPr>
            <w:r>
              <w:rPr>
                <w:bCs/>
                <w:i/>
                <w:iCs/>
                <w:snapToGrid w:val="0"/>
              </w:rPr>
              <w:t xml:space="preserve">Criminal Law Amendment (Simple Offences) Act 2004 </w:t>
            </w:r>
            <w:r>
              <w:rPr>
                <w:bCs/>
                <w:iCs/>
                <w:snapToGrid w:val="0"/>
              </w:rPr>
              <w:t>s. 82</w:t>
            </w:r>
          </w:p>
        </w:tc>
        <w:tc>
          <w:tcPr>
            <w:tcW w:w="1134" w:type="dxa"/>
          </w:tcPr>
          <w:p>
            <w:pPr>
              <w:pStyle w:val="nTable"/>
              <w:spacing w:after="40"/>
              <w:rPr>
                <w:bCs/>
              </w:rPr>
            </w:pPr>
            <w:r>
              <w:rPr>
                <w:bCs/>
                <w:snapToGrid w:val="0"/>
              </w:rPr>
              <w:t>70 of 2004</w:t>
            </w:r>
          </w:p>
        </w:tc>
        <w:tc>
          <w:tcPr>
            <w:tcW w:w="1136" w:type="dxa"/>
          </w:tcPr>
          <w:p>
            <w:pPr>
              <w:pStyle w:val="nTable"/>
              <w:spacing w:after="40"/>
              <w:rPr>
                <w:bCs/>
              </w:rPr>
            </w:pPr>
            <w:r>
              <w:rPr>
                <w:bCs/>
                <w:snapToGrid w:val="0"/>
              </w:rPr>
              <w:t>8 Dec 2004</w:t>
            </w:r>
          </w:p>
        </w:tc>
        <w:tc>
          <w:tcPr>
            <w:tcW w:w="2551"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80 </w:t>
            </w:r>
            <w:r>
              <w:rPr>
                <w:snapToGrid w:val="0"/>
                <w:vertAlign w:val="superscript"/>
              </w:rPr>
              <w:t>5</w:t>
            </w:r>
          </w:p>
        </w:tc>
        <w:tc>
          <w:tcPr>
            <w:tcW w:w="1134" w:type="dxa"/>
          </w:tcPr>
          <w:p>
            <w:pPr>
              <w:pStyle w:val="nTable"/>
              <w:spacing w:after="40"/>
              <w:rPr>
                <w:bCs/>
              </w:rPr>
            </w:pPr>
            <w:r>
              <w:rPr>
                <w:snapToGrid w:val="0"/>
              </w:rPr>
              <w:t>84 of 2004 (as amended by No. 2 of 2008 s. 78(2)(c))</w:t>
            </w:r>
          </w:p>
        </w:tc>
        <w:tc>
          <w:tcPr>
            <w:tcW w:w="1136" w:type="dxa"/>
          </w:tcPr>
          <w:p>
            <w:pPr>
              <w:pStyle w:val="nTable"/>
              <w:spacing w:after="40"/>
              <w:rPr>
                <w:bCs/>
              </w:rPr>
            </w:pPr>
            <w:r>
              <w:t>16 Dec 2004</w:t>
            </w:r>
          </w:p>
        </w:tc>
        <w:tc>
          <w:tcPr>
            <w:tcW w:w="2551" w:type="dxa"/>
          </w:tcPr>
          <w:p>
            <w:pPr>
              <w:pStyle w:val="nTable"/>
              <w:spacing w:after="40"/>
            </w:pPr>
            <w:r>
              <w:rPr>
                <w:snapToGrid w:val="0"/>
              </w:rPr>
              <w:t xml:space="preserve">2 May 2005 (see s. 2 and </w:t>
            </w:r>
            <w:r>
              <w:rPr>
                <w:i/>
                <w:iCs/>
                <w:snapToGrid w:val="0"/>
              </w:rPr>
              <w:t xml:space="preserve">Gazette </w:t>
            </w:r>
            <w:r>
              <w:rPr>
                <w:snapToGrid w:val="0"/>
              </w:rPr>
              <w:t xml:space="preserve">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5: The </w:t>
            </w:r>
            <w:r>
              <w:rPr>
                <w:b/>
                <w:i/>
              </w:rPr>
              <w:t>Licensed Surveyors Act 1909</w:t>
            </w:r>
            <w:r>
              <w:rPr>
                <w:b/>
              </w:rPr>
              <w:t xml:space="preserve"> as at 5 May 2006 </w:t>
            </w:r>
            <w:r>
              <w:t>(includes amendments listed above)</w:t>
            </w:r>
          </w:p>
        </w:tc>
      </w:tr>
      <w:tr>
        <w:trPr>
          <w:cantSplit/>
        </w:trPr>
        <w:tc>
          <w:tcPr>
            <w:tcW w:w="2268" w:type="dxa"/>
          </w:tcPr>
          <w:p>
            <w:pPr>
              <w:pStyle w:val="nTable"/>
              <w:spacing w:after="40"/>
              <w:rPr>
                <w:bCs/>
                <w:i/>
                <w:snapToGrid w:val="0"/>
              </w:rPr>
            </w:pPr>
            <w:r>
              <w:rPr>
                <w:i/>
                <w:snapToGrid w:val="0"/>
              </w:rPr>
              <w:t>Land Information Authority Act 2006</w:t>
            </w:r>
            <w:r>
              <w:rPr>
                <w:iCs/>
                <w:snapToGrid w:val="0"/>
              </w:rPr>
              <w:t xml:space="preserve"> s. 143</w:t>
            </w:r>
          </w:p>
        </w:tc>
        <w:tc>
          <w:tcPr>
            <w:tcW w:w="1134" w:type="dxa"/>
          </w:tcPr>
          <w:p>
            <w:pPr>
              <w:pStyle w:val="nTable"/>
              <w:spacing w:after="40"/>
              <w:rPr>
                <w:bCs/>
              </w:rPr>
            </w:pPr>
            <w:r>
              <w:rPr>
                <w:snapToGrid w:val="0"/>
              </w:rPr>
              <w:t>60 of 2006</w:t>
            </w:r>
          </w:p>
        </w:tc>
        <w:tc>
          <w:tcPr>
            <w:tcW w:w="1136" w:type="dxa"/>
          </w:tcPr>
          <w:p>
            <w:pPr>
              <w:pStyle w:val="nTable"/>
              <w:spacing w:after="40"/>
              <w:rPr>
                <w:bCs/>
              </w:rPr>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rPr>
                <w:i/>
                <w:snapToGrid w:val="0"/>
              </w:rPr>
            </w:pPr>
            <w:r>
              <w:rPr>
                <w:i/>
                <w:snapToGrid w:val="0"/>
              </w:rPr>
              <w:t>Criminal Law and Evidence Amendment Act 2008</w:t>
            </w:r>
            <w:r>
              <w:rPr>
                <w:iCs/>
                <w:snapToGrid w:val="0"/>
              </w:rPr>
              <w:t xml:space="preserve"> s. 66</w:t>
            </w:r>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1"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Licensed Surveyors Act 1909</w:t>
            </w:r>
            <w:r>
              <w:rPr>
                <w:b/>
                <w:snapToGrid w:val="0"/>
              </w:rPr>
              <w:t xml:space="preserve"> as at 16 Sep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63" w:name="_Toc462752405"/>
      <w:r>
        <w:rPr>
          <w:snapToGrid w:val="0"/>
        </w:rPr>
        <w:t>Provisions that have not come into operation</w:t>
      </w:r>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vertAlign w:val="superscript"/>
              </w:rPr>
            </w:pPr>
            <w:r>
              <w:rPr>
                <w:i/>
                <w:snapToGrid w:val="0"/>
              </w:rPr>
              <w:t>Acts Amendment (Land Administration) Act 1987</w:t>
            </w:r>
            <w:r>
              <w:rPr>
                <w:snapToGrid w:val="0"/>
              </w:rPr>
              <w:t xml:space="preserve"> Pt. IX </w:t>
            </w:r>
            <w:r>
              <w:rPr>
                <w:snapToGrid w:val="0"/>
                <w:vertAlign w:val="superscript"/>
              </w:rPr>
              <w:t>6</w:t>
            </w:r>
          </w:p>
        </w:tc>
        <w:tc>
          <w:tcPr>
            <w:tcW w:w="1134" w:type="dxa"/>
            <w:tcBorders>
              <w:top w:val="single" w:sz="8" w:space="0" w:color="auto"/>
              <w:bottom w:val="single" w:sz="8" w:space="0" w:color="auto"/>
            </w:tcBorders>
            <w:shd w:val="clear" w:color="auto" w:fill="auto"/>
          </w:tcPr>
          <w:p>
            <w:pPr>
              <w:pStyle w:val="nTable"/>
              <w:keepNext/>
              <w:spacing w:after="40"/>
            </w:pPr>
            <w:r>
              <w:t>126 of 1987</w:t>
            </w:r>
          </w:p>
        </w:tc>
        <w:tc>
          <w:tcPr>
            <w:tcW w:w="1134" w:type="dxa"/>
            <w:tcBorders>
              <w:top w:val="single" w:sz="8" w:space="0" w:color="auto"/>
              <w:bottom w:val="single" w:sz="8" w:space="0" w:color="auto"/>
            </w:tcBorders>
            <w:shd w:val="clear" w:color="auto" w:fill="auto"/>
          </w:tcPr>
          <w:p>
            <w:pPr>
              <w:pStyle w:val="nTable"/>
              <w:keepNext/>
              <w:spacing w:after="40"/>
            </w:pPr>
            <w:r>
              <w:t>31 Dec 1987</w:t>
            </w:r>
          </w:p>
        </w:tc>
        <w:tc>
          <w:tcPr>
            <w:tcW w:w="2551" w:type="dxa"/>
            <w:tcBorders>
              <w:top w:val="single" w:sz="8" w:space="0" w:color="auto"/>
              <w:bottom w:val="single" w:sz="8" w:space="0" w:color="auto"/>
            </w:tcBorders>
            <w:shd w:val="clear" w:color="auto" w:fill="auto"/>
          </w:tcPr>
          <w:p>
            <w:pPr>
              <w:pStyle w:val="nTable"/>
              <w:keepNext/>
              <w:spacing w:after="40"/>
            </w:pPr>
            <w:r>
              <w:t>To be proclaimed (see s. 2)</w:t>
            </w:r>
          </w:p>
        </w:tc>
      </w:tr>
    </w:tbl>
    <w:p>
      <w:pPr>
        <w:pStyle w:val="nSubsection"/>
        <w:spacing w:before="160"/>
      </w:pPr>
      <w:r>
        <w:rPr>
          <w:vertAlign w:val="superscript"/>
        </w:rPr>
        <w:t>2</w:t>
      </w:r>
      <w:r>
        <w:tab/>
      </w:r>
      <w:r>
        <w:rPr>
          <w:snapToGrid w:val="0"/>
        </w:rPr>
        <w:t xml:space="preserve">The </w:t>
      </w:r>
      <w:r>
        <w:rPr>
          <w:i/>
          <w:iCs/>
          <w:snapToGrid w:val="0"/>
        </w:rPr>
        <w:t>Courts Legislation Amendment and Repeal Act 2004</w:t>
      </w:r>
      <w:r>
        <w:rPr>
          <w:snapToGrid w:val="0"/>
        </w:rPr>
        <w:t xml:space="preserve"> Sch. 2 cl. 27 was deleted by the </w:t>
      </w:r>
      <w:r>
        <w:rPr>
          <w:i/>
          <w:iCs/>
          <w:snapToGrid w:val="0"/>
        </w:rPr>
        <w:t xml:space="preserve">Criminal Law and Evidence Amendment Act 2008 </w:t>
      </w:r>
      <w:r>
        <w:rPr>
          <w:snapToGrid w:val="0"/>
        </w:rPr>
        <w:t>s. 77(13).</w:t>
      </w:r>
    </w:p>
    <w:p>
      <w:pPr>
        <w:pStyle w:val="nSubsection"/>
        <w:rPr>
          <w:snapToGrid w:val="0"/>
        </w:rPr>
      </w:pPr>
      <w:r>
        <w:rPr>
          <w:vertAlign w:val="superscript"/>
        </w:rPr>
        <w:t>3</w:t>
      </w:r>
      <w:r>
        <w:tab/>
        <w:t xml:space="preserve">The </w:t>
      </w:r>
      <w:r>
        <w:rPr>
          <w:i/>
        </w:rPr>
        <w:t>Acts Amendment and Repeal (Competition Policy) Act 2003</w:t>
      </w:r>
      <w:r>
        <w:t xml:space="preserve"> s. 40(7)-(9) reads as follows</w:t>
      </w:r>
      <w:r>
        <w:rPr>
          <w:snapToGrid w:val="0"/>
        </w:rPr>
        <w:t>:</w:t>
      </w:r>
    </w:p>
    <w:p>
      <w:pPr>
        <w:pStyle w:val="BlankOpen"/>
      </w:pPr>
    </w:p>
    <w:p>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rStyle w:val="CharDefText"/>
        </w:rPr>
        <w:t>the transitional period</w:t>
      </w:r>
      <w:r>
        <w:t>) as if this section had not been enacted.</w:t>
      </w:r>
    </w:p>
    <w:p>
      <w:pPr>
        <w:pStyle w:val="nzSubsection"/>
      </w:pPr>
      <w:r>
        <w:tab/>
        <w:t>(8)</w:t>
      </w:r>
      <w:r>
        <w:tab/>
        <w:t>The Surveyor General continues to hold office as the chairman of the Land Surveyors Licensing Board during the transitional period as if this section had not been enacted.</w:t>
      </w:r>
    </w:p>
    <w:p>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pPr>
        <w:pStyle w:val="BlankClose"/>
      </w:pP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spacing w:before="120"/>
        <w:rPr>
          <w:snapToGrid w:val="0"/>
        </w:rPr>
      </w:pPr>
      <w:r>
        <w:rPr>
          <w:vertAlign w:val="superscript"/>
        </w:rPr>
        <w:t>5</w:t>
      </w:r>
      <w:r>
        <w:tab/>
        <w:t xml:space="preserve">The </w:t>
      </w:r>
      <w:r>
        <w:rPr>
          <w:i/>
          <w:iCs/>
          <w:snapToGrid w:val="0"/>
        </w:rPr>
        <w:t xml:space="preserve">Criminal Procedure and Appeals (Consequential and Other Provisions) Act 2004 </w:t>
      </w:r>
      <w:r>
        <w:rPr>
          <w:snapToGrid w:val="0"/>
        </w:rPr>
        <w:t>s. 82, to the extent it amends this Act, was</w:t>
      </w:r>
      <w:r>
        <w:rPr>
          <w:iCs/>
          <w:snapToGrid w:val="0"/>
        </w:rPr>
        <w:t xml:space="preserve"> deleted by the </w:t>
      </w:r>
      <w:r>
        <w:rPr>
          <w:i/>
          <w:iCs/>
          <w:snapToGrid w:val="0"/>
        </w:rPr>
        <w:t>Criminal Law and Evidence Amendment Act 2008</w:t>
      </w:r>
      <w:r>
        <w:rPr>
          <w:snapToGrid w:val="0"/>
        </w:rPr>
        <w:t xml:space="preserve"> s. </w:t>
      </w:r>
      <w:r>
        <w:rPr>
          <w:iCs/>
          <w:snapToGrid w:val="0"/>
        </w:rPr>
        <w:t xml:space="preserve">78(2)(c). </w:t>
      </w:r>
    </w:p>
    <w:p>
      <w:pPr>
        <w:pStyle w:val="nSubsection"/>
        <w:keepNext/>
        <w:keepLines/>
        <w:spacing w:before="120"/>
      </w:pPr>
      <w:r>
        <w:rPr>
          <w:vertAlign w:val="superscript"/>
        </w:rPr>
        <w:t>6</w:t>
      </w:r>
      <w:r>
        <w:tab/>
        <w:t xml:space="preserve">On the date as at which this reprint was prepared, the </w:t>
      </w:r>
      <w:r>
        <w:rPr>
          <w:i/>
        </w:rPr>
        <w:t>Acts Amendment (Land Administration) Act 1987</w:t>
      </w:r>
      <w:r>
        <w:t xml:space="preserve"> Pt. IX (s. 40</w:t>
      </w:r>
      <w:r>
        <w:noBreakHyphen/>
        <w:t xml:space="preserve">44) had not come into operation.  It reads as follows: </w:t>
      </w:r>
    </w:p>
    <w:p>
      <w:pPr>
        <w:pStyle w:val="BlankOpen"/>
      </w:pPr>
    </w:p>
    <w:p>
      <w:pPr>
        <w:pStyle w:val="nzHeading2"/>
        <w:rPr>
          <w:i/>
        </w:rPr>
      </w:pPr>
      <w:r>
        <w:t>Part IX — </w:t>
      </w:r>
      <w:r>
        <w:rPr>
          <w:i/>
        </w:rPr>
        <w:t>Licensed Surveyors Act 1909</w:t>
      </w:r>
    </w:p>
    <w:p>
      <w:pPr>
        <w:pStyle w:val="nzHeading5"/>
        <w:spacing w:before="180"/>
      </w:pPr>
      <w:r>
        <w:t>40.</w:t>
      </w:r>
      <w:r>
        <w:tab/>
        <w:t>Principal Act</w:t>
      </w:r>
    </w:p>
    <w:p>
      <w:pPr>
        <w:pStyle w:val="nzSubsection"/>
      </w:pPr>
      <w:r>
        <w:tab/>
      </w:r>
      <w:r>
        <w:tab/>
        <w:t xml:space="preserve">In this Part the </w:t>
      </w:r>
      <w:r>
        <w:rPr>
          <w:i/>
        </w:rPr>
        <w:t>Licensed Surveyors Act 1909</w:t>
      </w:r>
      <w:r>
        <w:t xml:space="preserve"> is referred to as the principal Act.</w:t>
      </w:r>
    </w:p>
    <w:p>
      <w:pPr>
        <w:pStyle w:val="nzHeading5"/>
        <w:spacing w:before="180"/>
      </w:pPr>
      <w:r>
        <w:t>41.</w:t>
      </w:r>
      <w:r>
        <w:tab/>
        <w:t>Section 3 amended</w:t>
      </w:r>
    </w:p>
    <w:p>
      <w:pPr>
        <w:pStyle w:val="nzSubsection"/>
      </w:pPr>
      <w:r>
        <w:rPr>
          <w:i/>
        </w:rPr>
        <w:tab/>
      </w:r>
      <w:r>
        <w:rPr>
          <w:i/>
        </w:rPr>
        <w:tab/>
      </w:r>
      <w:r>
        <w:t>Section 3 of the principal Act is amended by deleting the definition of “Surveyor General ”.</w:t>
      </w:r>
    </w:p>
    <w:p>
      <w:pPr>
        <w:pStyle w:val="nzHeading5"/>
        <w:spacing w:before="180"/>
      </w:pPr>
      <w:r>
        <w:t>42.</w:t>
      </w:r>
      <w:r>
        <w:tab/>
        <w:t>Section 4 amended</w:t>
      </w:r>
    </w:p>
    <w:p>
      <w:pPr>
        <w:pStyle w:val="nzSubsection"/>
      </w:pPr>
      <w:r>
        <w:tab/>
        <w:t>(1)</w:t>
      </w:r>
      <w:r>
        <w:tab/>
        <w:t>Section 4 of the principal Act is amended —</w:t>
      </w:r>
    </w:p>
    <w:p>
      <w:pPr>
        <w:pStyle w:val="nzIndenta"/>
      </w:pPr>
      <w:r>
        <w:tab/>
        <w:t>(a)</w:t>
      </w:r>
      <w:r>
        <w:tab/>
        <w:t>in subsection (1) by deleting —</w:t>
      </w:r>
    </w:p>
    <w:p>
      <w:pPr>
        <w:pStyle w:val="nzIndenti"/>
      </w:pPr>
      <w:r>
        <w:tab/>
        <w:t>(i)</w:t>
      </w:r>
      <w:r>
        <w:tab/>
        <w:t>paragraph (a); and</w:t>
      </w:r>
    </w:p>
    <w:p>
      <w:pPr>
        <w:pStyle w:val="nzIndenti"/>
      </w:pPr>
      <w:r>
        <w:tab/>
        <w:t>(ii)</w:t>
      </w:r>
      <w:r>
        <w:tab/>
        <w:t>“Surveyor General” in paragraph (b) and substituting the following —</w:t>
      </w:r>
    </w:p>
    <w:p>
      <w:pPr>
        <w:pStyle w:val="nzIndenti"/>
      </w:pPr>
      <w:r>
        <w:tab/>
      </w:r>
      <w:r>
        <w:tab/>
        <w:t>“    Minister    ”;</w:t>
      </w:r>
    </w:p>
    <w:p>
      <w:pPr>
        <w:pStyle w:val="nzIndenta"/>
      </w:pPr>
      <w:r>
        <w:tab/>
        <w:t>(b)</w:t>
      </w:r>
      <w:r>
        <w:tab/>
        <w:t>by repealing subsection (1a);</w:t>
      </w:r>
    </w:p>
    <w:p>
      <w:pPr>
        <w:pStyle w:val="nzIndenta"/>
      </w:pPr>
      <w:r>
        <w:tab/>
        <w:t>(c)</w:t>
      </w:r>
      <w:r>
        <w:tab/>
        <w:t>in subsection (2) by deleting “, other than the Surveyor General,”;</w:t>
      </w:r>
    </w:p>
    <w:p>
      <w:pPr>
        <w:pStyle w:val="nzIndenta"/>
      </w:pPr>
      <w:r>
        <w:tab/>
        <w:t>(d)</w:t>
      </w:r>
      <w:r>
        <w:tab/>
        <w:t>in subsection (3) by deleting “other than the Surveyor General,”;</w:t>
      </w:r>
    </w:p>
    <w:p>
      <w:pPr>
        <w:pStyle w:val="nzIndenta"/>
      </w:pPr>
      <w:r>
        <w:tab/>
        <w:t>(e)</w:t>
      </w:r>
      <w:r>
        <w:tab/>
        <w:t>in subsection (4) by deleting —</w:t>
      </w:r>
    </w:p>
    <w:p>
      <w:pPr>
        <w:pStyle w:val="nzIndenti"/>
      </w:pPr>
      <w:r>
        <w:tab/>
        <w:t>(i)</w:t>
      </w:r>
      <w:r>
        <w:tab/>
        <w:t>“other than the Surveyor General”; and</w:t>
      </w:r>
    </w:p>
    <w:p>
      <w:pPr>
        <w:pStyle w:val="nzIndenti"/>
      </w:pPr>
      <w:r>
        <w:tab/>
        <w:t>(ii)</w:t>
      </w:r>
      <w:r>
        <w:tab/>
        <w:t>“Surveyor General”, where it occurs for the second and third times, and substituting in each case the following —</w:t>
      </w:r>
    </w:p>
    <w:p>
      <w:pPr>
        <w:pStyle w:val="nzIndenti"/>
      </w:pPr>
      <w:r>
        <w:tab/>
      </w:r>
      <w:r>
        <w:tab/>
        <w:t>“   Minister  ”;</w:t>
      </w:r>
    </w:p>
    <w:p>
      <w:pPr>
        <w:pStyle w:val="nzIndenta"/>
      </w:pPr>
      <w:r>
        <w:tab/>
        <w:t>(f)</w:t>
      </w:r>
      <w:r>
        <w:tab/>
        <w:t>in subsection (4a) by deleting —</w:t>
      </w:r>
    </w:p>
    <w:p>
      <w:pPr>
        <w:pStyle w:val="nzIndenti"/>
      </w:pPr>
      <w:r>
        <w:tab/>
        <w:t>(i)</w:t>
      </w:r>
      <w:r>
        <w:tab/>
        <w:t>“Surveyor General” and substituting the following —</w:t>
      </w:r>
    </w:p>
    <w:p>
      <w:pPr>
        <w:pStyle w:val="nzIndenti"/>
      </w:pPr>
      <w:r>
        <w:tab/>
      </w:r>
      <w:r>
        <w:tab/>
        <w:t>“   Minister   ”;</w:t>
      </w:r>
    </w:p>
    <w:p>
      <w:pPr>
        <w:pStyle w:val="nzIndenti"/>
      </w:pPr>
      <w:r>
        <w:tab/>
        <w:t>(ii)</w:t>
      </w:r>
      <w:r>
        <w:tab/>
        <w:t>paragraph (a) and substituting the following paragraph —</w:t>
      </w:r>
    </w:p>
    <w:p>
      <w:pPr>
        <w:pStyle w:val="nzIndenti"/>
        <w:tabs>
          <w:tab w:val="clear" w:pos="2608"/>
          <w:tab w:val="clear" w:pos="2892"/>
          <w:tab w:val="left" w:pos="2835"/>
          <w:tab w:val="left" w:pos="3119"/>
          <w:tab w:val="left" w:pos="3686"/>
        </w:tabs>
        <w:ind w:left="3686" w:hanging="1702"/>
      </w:pPr>
      <w:r>
        <w:tab/>
        <w:t>“</w:t>
      </w:r>
    </w:p>
    <w:p>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pPr>
        <w:pStyle w:val="nzIndenti"/>
        <w:tabs>
          <w:tab w:val="clear" w:pos="2608"/>
          <w:tab w:val="clear" w:pos="2892"/>
          <w:tab w:val="left" w:pos="2835"/>
          <w:tab w:val="left" w:pos="3119"/>
          <w:tab w:val="left" w:pos="3686"/>
        </w:tabs>
        <w:ind w:left="3686" w:hanging="1702"/>
        <w:jc w:val="right"/>
      </w:pPr>
      <w:r>
        <w:t>”;</w:t>
      </w:r>
    </w:p>
    <w:p>
      <w:pPr>
        <w:pStyle w:val="nzIndenta"/>
      </w:pPr>
      <w:r>
        <w:tab/>
        <w:t>(g)</w:t>
      </w:r>
      <w:r>
        <w:tab/>
        <w:t>in subsection (5) by deleting “Surveyor General”, wherever it occurs, and substituting in each case the following —</w:t>
      </w:r>
    </w:p>
    <w:p>
      <w:pPr>
        <w:pStyle w:val="nzIndenta"/>
      </w:pPr>
      <w:r>
        <w:tab/>
      </w:r>
      <w:r>
        <w:tab/>
        <w:t>“   Minister   ”;</w:t>
      </w:r>
    </w:p>
    <w:p>
      <w:pPr>
        <w:pStyle w:val="nzIndenta"/>
        <w:keepNext/>
        <w:spacing w:before="60"/>
      </w:pPr>
      <w:r>
        <w:tab/>
        <w:t>(h)</w:t>
      </w:r>
      <w:r>
        <w:tab/>
        <w:t>in subsection (5a) by deleting “Surveyor General” and substituting the following —</w:t>
      </w:r>
    </w:p>
    <w:p>
      <w:pPr>
        <w:pStyle w:val="nzIndenta"/>
      </w:pPr>
      <w:r>
        <w:tab/>
      </w:r>
      <w:r>
        <w:tab/>
        <w:t>“   Minister   ”; and</w:t>
      </w:r>
    </w:p>
    <w:p>
      <w:pPr>
        <w:pStyle w:val="nzIndenta"/>
        <w:keepNext/>
        <w:spacing w:before="60"/>
      </w:pPr>
      <w:r>
        <w:tab/>
        <w:t>(i)</w:t>
      </w:r>
      <w:r>
        <w:tab/>
        <w:t>by inserting after subsection (5a) the following subsection —</w:t>
      </w:r>
    </w:p>
    <w:p>
      <w:pPr>
        <w:pStyle w:val="nzIndenta"/>
        <w:keepNext/>
        <w:tabs>
          <w:tab w:val="clear" w:pos="1899"/>
          <w:tab w:val="left" w:pos="2552"/>
          <w:tab w:val="left" w:pos="3119"/>
        </w:tabs>
        <w:ind w:left="3119" w:hanging="1787"/>
      </w:pPr>
      <w:r>
        <w:tab/>
        <w:t>“</w:t>
      </w:r>
    </w:p>
    <w:p>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pPr>
        <w:pStyle w:val="nzIndenta"/>
        <w:tabs>
          <w:tab w:val="clear" w:pos="1899"/>
          <w:tab w:val="left" w:pos="2552"/>
          <w:tab w:val="left" w:pos="3119"/>
        </w:tabs>
        <w:ind w:left="3119" w:hanging="1787"/>
        <w:jc w:val="right"/>
      </w:pPr>
      <w:r>
        <w:t>”.</w:t>
      </w:r>
    </w:p>
    <w:p>
      <w:pPr>
        <w:pStyle w:val="nzSubsection"/>
        <w:spacing w:before="120"/>
      </w:pPr>
      <w:r>
        <w:tab/>
        <w:t>(2)</w:t>
      </w:r>
      <w:r>
        <w:tab/>
        <w:t>Notwithstanding anything in subsection (1) —</w:t>
      </w:r>
    </w:p>
    <w:p>
      <w:pPr>
        <w:pStyle w:val="nzIndenta"/>
        <w:keepNext/>
        <w:spacing w:before="60"/>
      </w:pPr>
      <w:r>
        <w:tab/>
        <w:t>(a)</w:t>
      </w:r>
      <w:r>
        <w:tab/>
        <w:t>the members of the Board who were in office immediately before the commencement of this section, except for the member referred to in section 4(1)(a) of the principal Act, shall —</w:t>
      </w:r>
    </w:p>
    <w:p>
      <w:pPr>
        <w:pStyle w:val="nzIndenti"/>
      </w:pPr>
      <w:r>
        <w:tab/>
        <w:t>(i)</w:t>
      </w:r>
      <w:r>
        <w:tab/>
        <w:t>if that commencement occurred before 1 January 1988, continue in office until 31 December 1987; or</w:t>
      </w:r>
    </w:p>
    <w:p>
      <w:pPr>
        <w:pStyle w:val="nzIndenti"/>
      </w:pPr>
      <w:r>
        <w:tab/>
        <w:t>(ii)</w:t>
      </w:r>
      <w:r>
        <w:tab/>
        <w:t>if that commencement occurred on or after 1 January 1988 but before 1 January 1989, continue in office until 31 December 1988;</w:t>
      </w:r>
    </w:p>
    <w:p>
      <w:pPr>
        <w:pStyle w:val="nzIndenta"/>
      </w:pPr>
      <w:r>
        <w:tab/>
      </w:r>
      <w:r>
        <w:tab/>
        <w:t>and</w:t>
      </w:r>
    </w:p>
    <w:p>
      <w:pPr>
        <w:pStyle w:val="nzIndenta"/>
        <w:keepNext/>
        <w:spacing w:before="60"/>
      </w:pPr>
      <w:r>
        <w:tab/>
        <w:t>(b)</w:t>
      </w:r>
      <w:r>
        <w:tab/>
        <w:t>if the commencement of this section occurred —</w:t>
      </w:r>
    </w:p>
    <w:p>
      <w:pPr>
        <w:pStyle w:val="nzIndenti"/>
      </w:pPr>
      <w:r>
        <w:tab/>
        <w:t>(i)</w:t>
      </w:r>
      <w:r>
        <w:tab/>
        <w:t>before 1 January 1988, any vacancy in the office of member of the Board which occurred after that commencement but before 1 January 1988; or</w:t>
      </w:r>
    </w:p>
    <w:p>
      <w:pPr>
        <w:pStyle w:val="nzIndenti"/>
      </w:pPr>
      <w:r>
        <w:tab/>
        <w:t>(ii)</w:t>
      </w:r>
      <w:r>
        <w:tab/>
        <w:t>on or after 1 January 1988 but before 1 January 1989, any vacancy in the office of member of the Board which occurred after that commencement but before 1 January 1989,</w:t>
      </w:r>
    </w:p>
    <w:p>
      <w:pPr>
        <w:pStyle w:val="nzIndenta"/>
      </w:pPr>
      <w:r>
        <w:tab/>
      </w:r>
      <w:r>
        <w:tab/>
        <w:t>shall be filled, subject to subsection (3), in the manner provided by the principal Act as in force immediately before that commencement.</w:t>
      </w:r>
    </w:p>
    <w:p>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pPr>
        <w:pStyle w:val="nzSubsection"/>
        <w:spacing w:before="120"/>
      </w:pPr>
      <w:r>
        <w:tab/>
        <w:t>(4)</w:t>
      </w:r>
      <w:r>
        <w:tab/>
        <w:t>In subsections (2) and (3) “Board” has the meaning given by the principal Act.</w:t>
      </w:r>
    </w:p>
    <w:p>
      <w:pPr>
        <w:pStyle w:val="nzHeading5"/>
        <w:spacing w:before="160"/>
      </w:pPr>
      <w:r>
        <w:t>43.</w:t>
      </w:r>
      <w:r>
        <w:tab/>
        <w:t>Section 18 amended</w:t>
      </w:r>
    </w:p>
    <w:p>
      <w:pPr>
        <w:pStyle w:val="nzSubsection"/>
        <w:spacing w:before="120"/>
      </w:pPr>
      <w:r>
        <w:tab/>
      </w:r>
      <w:r>
        <w:tab/>
        <w:t>Section 18 of the principal Act is amended by deleting “Surveyor General” and substituting the following —</w:t>
      </w:r>
    </w:p>
    <w:p>
      <w:pPr>
        <w:pStyle w:val="nzSubsection"/>
      </w:pPr>
      <w:r>
        <w:tab/>
      </w:r>
      <w:r>
        <w:tab/>
        <w:t>“   Registrar of Titles   ”.</w:t>
      </w:r>
    </w:p>
    <w:p>
      <w:pPr>
        <w:pStyle w:val="nzHeading5"/>
        <w:spacing w:before="160"/>
      </w:pPr>
      <w:r>
        <w:t>44.</w:t>
      </w:r>
      <w:r>
        <w:tab/>
        <w:t>Section 19 amended</w:t>
      </w:r>
    </w:p>
    <w:p>
      <w:pPr>
        <w:pStyle w:val="nzSubsection"/>
        <w:spacing w:before="120"/>
      </w:pPr>
      <w:r>
        <w:tab/>
      </w:r>
      <w:r>
        <w:tab/>
        <w:t>Section 19 of the principal Act is amended by deleting “Surveyor General”, wherever it occurs, and substituting in each case the following —</w:t>
      </w:r>
    </w:p>
    <w:p>
      <w:pPr>
        <w:pStyle w:val="nzSubsection"/>
      </w:pPr>
      <w:r>
        <w:tab/>
      </w:r>
      <w:r>
        <w:tab/>
        <w:t>“   Registrar of Titles   ”.</w:t>
      </w:r>
    </w:p>
    <w:p>
      <w:pPr>
        <w:pStyle w:val="BlankClose"/>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65" w:name="_Toc449969366"/>
      <w:bookmarkStart w:id="66" w:name="_Toc462752406"/>
      <w:r>
        <w:rPr>
          <w:sz w:val="28"/>
        </w:rPr>
        <w:t>Defined terms</w:t>
      </w:r>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survey</w:t>
      </w:r>
      <w:r>
        <w:tab/>
        <w:t>3(1)</w:t>
      </w:r>
    </w:p>
    <w:p>
      <w:pPr>
        <w:pStyle w:val="DefinedTerms"/>
      </w:pPr>
      <w:r>
        <w:t>Board</w:t>
      </w:r>
      <w:r>
        <w:tab/>
        <w:t>3(1)</w:t>
      </w:r>
    </w:p>
    <w:p>
      <w:pPr>
        <w:pStyle w:val="DefinedTerms"/>
      </w:pPr>
      <w:r>
        <w:t>dominion within Her Majesty’s dominions</w:t>
      </w:r>
      <w:r>
        <w:tab/>
        <w:t>10(2)</w:t>
      </w:r>
    </w:p>
    <w:p>
      <w:pPr>
        <w:pStyle w:val="DefinedTerms"/>
      </w:pPr>
      <w:r>
        <w:t>Institute</w:t>
      </w:r>
      <w:r>
        <w:tab/>
        <w:t>3(1)</w:t>
      </w:r>
    </w:p>
    <w:p>
      <w:pPr>
        <w:pStyle w:val="DefinedTerms"/>
      </w:pPr>
      <w:r>
        <w:t>licence</w:t>
      </w:r>
      <w:r>
        <w:tab/>
        <w:t>3(1)</w:t>
      </w:r>
    </w:p>
    <w:p>
      <w:pPr>
        <w:pStyle w:val="DefinedTerms"/>
      </w:pPr>
      <w:r>
        <w:t>licensed surveyor</w:t>
      </w:r>
      <w:r>
        <w:tab/>
        <w:t>3(1)</w:t>
      </w:r>
    </w:p>
    <w:p>
      <w:pPr>
        <w:pStyle w:val="DefinedTerms"/>
      </w:pPr>
      <w:r>
        <w:t>person aggrieved</w:t>
      </w:r>
      <w:r>
        <w:tab/>
        <w:t>22A(2)</w:t>
      </w:r>
    </w:p>
    <w:p>
      <w:pPr>
        <w:pStyle w:val="DefinedTerms"/>
      </w:pPr>
      <w:r>
        <w:t>person at fault</w:t>
      </w:r>
      <w:r>
        <w:tab/>
        <w:t>19(1)</w:t>
      </w:r>
    </w:p>
    <w:p>
      <w:pPr>
        <w:pStyle w:val="DefinedTerms"/>
      </w:pPr>
      <w:r>
        <w:t>practising certificate</w:t>
      </w:r>
      <w:r>
        <w:tab/>
        <w:t>3(1)</w:t>
      </w:r>
    </w:p>
    <w:p>
      <w:pPr>
        <w:pStyle w:val="DefinedTerms"/>
      </w:pPr>
      <w:r>
        <w:t>prescribed</w:t>
      </w:r>
      <w:r>
        <w:tab/>
        <w:t>3(1)</w:t>
      </w:r>
    </w:p>
    <w:p>
      <w:pPr>
        <w:pStyle w:val="DefinedTerms"/>
      </w:pPr>
      <w:r>
        <w:t>prescribed date</w:t>
      </w:r>
      <w:r>
        <w:tab/>
        <w:t>9(1b)</w:t>
      </w:r>
    </w:p>
    <w:p>
      <w:pPr>
        <w:pStyle w:val="DefinedTerms"/>
      </w:pPr>
      <w:r>
        <w:t>reciprocating State</w:t>
      </w:r>
      <w:r>
        <w:tab/>
        <w:t>3(1)</w:t>
      </w:r>
    </w:p>
    <w:p>
      <w:pPr>
        <w:pStyle w:val="DefinedTerms"/>
      </w:pPr>
      <w:r>
        <w:t>register</w:t>
      </w:r>
      <w:r>
        <w:tab/>
        <w:t>3(1)</w:t>
      </w:r>
    </w:p>
    <w:p>
      <w:pPr>
        <w:pStyle w:val="DefinedTerms"/>
      </w:pPr>
      <w:r>
        <w:t>reviewable decision</w:t>
      </w:r>
      <w:r>
        <w:tab/>
        <w:t>22A(2)</w:t>
      </w:r>
    </w:p>
    <w:p>
      <w:pPr>
        <w:pStyle w:val="DefinedTerms"/>
      </w:pPr>
      <w:r>
        <w:t>secretary</w:t>
      </w:r>
      <w:r>
        <w:tab/>
        <w:t>3(1)</w:t>
      </w:r>
    </w:p>
    <w:p>
      <w:pPr>
        <w:pStyle w:val="DefinedTerms"/>
      </w:pPr>
      <w:r>
        <w:t>specified</w:t>
      </w:r>
      <w:r>
        <w:tab/>
        <w:t>11B(5)</w:t>
      </w:r>
    </w:p>
    <w:p>
      <w:pPr>
        <w:pStyle w:val="DefinedTerms"/>
      </w:pPr>
      <w:r>
        <w:t>standard period</w:t>
      </w:r>
      <w:r>
        <w:tab/>
        <w:t>3(1)</w:t>
      </w:r>
    </w:p>
    <w:p>
      <w:pPr>
        <w:pStyle w:val="DefinedTerms"/>
      </w:pPr>
      <w:r>
        <w:t>survey mark</w:t>
      </w:r>
      <w:r>
        <w:tab/>
        <w:t>3(1)</w:t>
      </w:r>
    </w:p>
    <w:p>
      <w:pPr>
        <w:pStyle w:val="DefinedTerms"/>
      </w:pPr>
      <w:r>
        <w:t>Surveyor General</w:t>
      </w:r>
      <w:r>
        <w:tab/>
        <w:t>3(1)</w:t>
      </w:r>
    </w:p>
    <w:p>
      <w:pPr>
        <w:pStyle w:val="DefinedTerms"/>
      </w:pPr>
      <w:r>
        <w:t>this Act</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000BDE" w:rsidRDefault="00000BDE">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Act 1909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5054E6"/>
    <w:lvl w:ilvl="0">
      <w:start w:val="1"/>
      <w:numFmt w:val="decimal"/>
      <w:lvlText w:val="%1."/>
      <w:lvlJc w:val="left"/>
      <w:pPr>
        <w:tabs>
          <w:tab w:val="num" w:pos="1800"/>
        </w:tabs>
        <w:ind w:left="1800" w:hanging="360"/>
      </w:pPr>
    </w:lvl>
  </w:abstractNum>
  <w:abstractNum w:abstractNumId="1">
    <w:nsid w:val="FFFFFF7D"/>
    <w:multiLevelType w:val="singleLevel"/>
    <w:tmpl w:val="2A30FA76"/>
    <w:lvl w:ilvl="0">
      <w:start w:val="1"/>
      <w:numFmt w:val="decimal"/>
      <w:lvlText w:val="%1."/>
      <w:lvlJc w:val="left"/>
      <w:pPr>
        <w:tabs>
          <w:tab w:val="num" w:pos="1440"/>
        </w:tabs>
        <w:ind w:left="1440" w:hanging="360"/>
      </w:pPr>
    </w:lvl>
  </w:abstractNum>
  <w:abstractNum w:abstractNumId="2">
    <w:nsid w:val="FFFFFF7E"/>
    <w:multiLevelType w:val="singleLevel"/>
    <w:tmpl w:val="DF5438D2"/>
    <w:lvl w:ilvl="0">
      <w:start w:val="1"/>
      <w:numFmt w:val="decimal"/>
      <w:lvlText w:val="%1."/>
      <w:lvlJc w:val="left"/>
      <w:pPr>
        <w:tabs>
          <w:tab w:val="num" w:pos="1080"/>
        </w:tabs>
        <w:ind w:left="1080" w:hanging="360"/>
      </w:pPr>
    </w:lvl>
  </w:abstractNum>
  <w:abstractNum w:abstractNumId="3">
    <w:nsid w:val="FFFFFF7F"/>
    <w:multiLevelType w:val="singleLevel"/>
    <w:tmpl w:val="CBAAF266"/>
    <w:lvl w:ilvl="0">
      <w:start w:val="1"/>
      <w:numFmt w:val="decimal"/>
      <w:lvlText w:val="%1."/>
      <w:lvlJc w:val="left"/>
      <w:pPr>
        <w:tabs>
          <w:tab w:val="num" w:pos="720"/>
        </w:tabs>
        <w:ind w:left="720" w:hanging="360"/>
      </w:pPr>
    </w:lvl>
  </w:abstractNum>
  <w:abstractNum w:abstractNumId="4">
    <w:nsid w:val="FFFFFF80"/>
    <w:multiLevelType w:val="singleLevel"/>
    <w:tmpl w:val="C0B6C18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ECA6B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F27A2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D9843B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D50FD0E"/>
    <w:lvl w:ilvl="0">
      <w:start w:val="1"/>
      <w:numFmt w:val="decimal"/>
      <w:lvlText w:val="%1."/>
      <w:lvlJc w:val="left"/>
      <w:pPr>
        <w:tabs>
          <w:tab w:val="num" w:pos="360"/>
        </w:tabs>
        <w:ind w:left="360" w:hanging="360"/>
      </w:pPr>
    </w:lvl>
  </w:abstractNum>
  <w:abstractNum w:abstractNumId="9">
    <w:nsid w:val="FFFFFF89"/>
    <w:multiLevelType w:val="singleLevel"/>
    <w:tmpl w:val="69A2FBB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DBB41BA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915C132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29145557"/>
    <w:docVar w:name="WAFER_20140203140346" w:val="RemoveTocBookmarks,RemoveUnusedBookmarks,RemoveLanguageTags,UsedStyles,ResetPageSize,UpdateArrangement"/>
    <w:docVar w:name="WAFER_20140203140346_GUID" w:val="a3e2a620-e64f-47ab-81c8-22bdbd8fc895"/>
    <w:docVar w:name="WAFER_20140203140354" w:val="RemoveTocBookmarks,RunningHeaders"/>
    <w:docVar w:name="WAFER_20140203140354_GUID" w:val="8ce12a81-67d6-4731-82a8-af785c3a6baf"/>
    <w:docVar w:name="WAFER_20150529155150" w:val="ResetPageSize,UpdateArrangement,UpdateNTable"/>
    <w:docVar w:name="WAFER_20150529155150_GUID" w:val="ffcedf11-2a7e-4ebc-b318-610719e7e2c3"/>
    <w:docVar w:name="WAFER_20151105141328" w:val="UpdateStyles,UsedStyles"/>
    <w:docVar w:name="WAFER_20151105141328_GUID" w:val="1f651d8e-d48d-4e64-b29f-209daf47f2d9"/>
    <w:docVar w:name="WAFER_20151130164718" w:val="RemoveTrackChanges"/>
    <w:docVar w:name="WAFER_20151130164718_GUID" w:val="24568bac-0d34-49b6-9371-c26c90d6b496"/>
    <w:docVar w:name="WAFER_20160429145557" w:val="RemoveTocBookmarks,RemoveUnusedBookmarks,RemoveLanguageTags,UsedStyles,RemoveTrackChanges"/>
    <w:docVar w:name="WAFER_20160429145557_GUID" w:val="6316616d-50b7-49e7-8a2f-43fcb356c2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12905</Words>
  <Characters>62204</Characters>
  <Application>Microsoft Office Word</Application>
  <DocSecurity>0</DocSecurity>
  <Lines>1727</Lines>
  <Paragraphs>904</Paragraphs>
  <ScaleCrop>false</ScaleCrop>
  <HeadingPairs>
    <vt:vector size="2" baseType="variant">
      <vt:variant>
        <vt:lpstr>Title</vt:lpstr>
      </vt:variant>
      <vt:variant>
        <vt:i4>1</vt:i4>
      </vt:variant>
    </vt:vector>
  </HeadingPairs>
  <TitlesOfParts>
    <vt:vector size="1" baseType="lpstr">
      <vt:lpstr>Licensed Surveyors Act 1909</vt:lpstr>
    </vt:vector>
  </TitlesOfParts>
  <Manager/>
  <Company/>
  <LinksUpToDate>false</LinksUpToDate>
  <CharactersWithSpaces>74205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1909 - 06-00-00</dc:title>
  <dc:subject/>
  <dc:creator/>
  <cp:keywords/>
  <dc:description/>
  <cp:lastModifiedBy>svcMRProcess</cp:lastModifiedBy>
  <cp:revision>4</cp:revision>
  <cp:lastPrinted>2016-09-16T06:00:00Z</cp:lastPrinted>
  <dcterms:created xsi:type="dcterms:W3CDTF">2020-03-10T03:30:00Z</dcterms:created>
  <dcterms:modified xsi:type="dcterms:W3CDTF">2020-03-10T03:30:00Z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DocumentType">
    <vt:lpwstr>Act</vt:lpwstr>
  </property>
  <property fmtid="{D5CDD505-2E9C-101B-9397-08002B2CF9AE}" pid="4" name="OwlsUID">
    <vt:i4>454</vt:i4>
  </property>
  <property fmtid="{D5CDD505-2E9C-101B-9397-08002B2CF9AE}" pid="5" name="AsAtDate">
    <vt:lpwstr>16 Sep 2016</vt:lpwstr>
  </property>
  <property fmtid="{D5CDD505-2E9C-101B-9397-08002B2CF9AE}" pid="6" name="Suffix">
    <vt:lpwstr>06-00-00</vt:lpwstr>
  </property>
  <property fmtid="{D5CDD505-2E9C-101B-9397-08002B2CF9AE}" pid="7" name="ReprintedAsAt">
    <vt:filetime>2016-09-15T16:00:00Z</vt:filetime>
  </property>
  <property fmtid="{D5CDD505-2E9C-101B-9397-08002B2CF9AE}" pid="8" name="ReprintNo">
    <vt:lpwstr>6</vt:lpwstr>
  </property>
  <property fmtid="{D5CDD505-2E9C-101B-9397-08002B2CF9AE}" pid="9" name="CommencementDate">
    <vt:lpwstr>20160916</vt:lpwstr>
  </property>
</Properties>
</file>