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_Toc463008446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_Toc463008447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_Toc463008448 \h </w:instrText>
      </w:r>
      <w:r>
        <w:fldChar w:fldCharType="separate"/>
      </w:r>
      <w:r>
        <w:t>2</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_Toc463008449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_Toc463008450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_Toc463008453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_Toc463008454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_Toc463008455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_Toc463008456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_Toc463008457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_Toc463008458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_Toc463008459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_Toc463008460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_Toc463008461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_Toc463008462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Functions and general powers of Corporation</w:t>
      </w:r>
    </w:p>
    <w:p>
      <w:pPr>
        <w:pStyle w:val="TOC8"/>
        <w:rPr>
          <w:rFonts w:asciiTheme="minorHAnsi" w:eastAsiaTheme="minorEastAsia" w:hAnsiTheme="minorHAnsi" w:cstheme="minorBidi"/>
          <w:szCs w:val="22"/>
        </w:rPr>
      </w:pPr>
      <w:r>
        <w:t>17AA.</w:t>
      </w:r>
      <w:r>
        <w:tab/>
        <w:t>Corporation to continue performing its functions for certain purposes</w:t>
      </w:r>
      <w:r>
        <w:tab/>
      </w:r>
      <w:r>
        <w:fldChar w:fldCharType="begin"/>
      </w:r>
      <w:r>
        <w:instrText xml:space="preserve"> PAGEREF _Toc463008464 \h </w:instrText>
      </w:r>
      <w:r>
        <w:fldChar w:fldCharType="separate"/>
      </w:r>
      <w:r>
        <w:t>11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_Toc463008465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_Toc463008466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_Toc463008467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_Toc463008468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_Toc463008469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_Toc463008471 \h </w:instrText>
      </w:r>
      <w:r>
        <w:fldChar w:fldCharType="separate"/>
      </w:r>
      <w:r>
        <w:t>20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_Toc463008472 \h </w:instrText>
      </w:r>
      <w:r>
        <w:fldChar w:fldCharType="separate"/>
      </w:r>
      <w:r>
        <w:t>24</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_Toc463008473 \h </w:instrText>
      </w:r>
      <w:r>
        <w:fldChar w:fldCharType="separate"/>
      </w:r>
      <w:r>
        <w:t>25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_Toc463008474 \h </w:instrText>
      </w:r>
      <w:r>
        <w:fldChar w:fldCharType="separate"/>
      </w:r>
      <w:r>
        <w:t>28</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_Toc463008475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_Toc463008476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_Toc463008477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_Toc463008478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_Toc463008479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_Toc463008480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_Toc463008481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_Toc463008482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_Toc463008483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_Toc463008484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_Toc463008485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_Toc463008486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_Toc463008487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_Toc463008488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_Toc463008489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_Toc463008491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_Toc463008492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_Toc463008493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_Toc463008494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_Toc463008495 \h </w:instrText>
      </w:r>
      <w:r>
        <w:fldChar w:fldCharType="separate"/>
      </w:r>
      <w:r>
        <w:t>49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_Toc463008496 \h </w:instrText>
      </w:r>
      <w:r>
        <w:fldChar w:fldCharType="separate"/>
      </w:r>
      <w:r>
        <w:t>50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_Toc463008497 \h </w:instrText>
      </w:r>
      <w:r>
        <w:fldChar w:fldCharType="separate"/>
      </w:r>
      <w:r>
        <w:t>50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_Toc463008498 \h </w:instrText>
      </w:r>
      <w:r>
        <w:fldChar w:fldCharType="separate"/>
      </w:r>
      <w:r>
        <w:t>51</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_Toc463008499 \h </w:instrText>
      </w:r>
      <w:r>
        <w:fldChar w:fldCharType="separate"/>
      </w:r>
      <w:r>
        <w:t>51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_Toc463008500 \h </w:instrText>
      </w:r>
      <w:r>
        <w:fldChar w:fldCharType="separate"/>
      </w:r>
      <w:r>
        <w:t>52</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_Toc463008501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_Toc463008502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_Toc463008503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_Toc463008505 \h </w:instrText>
      </w:r>
      <w:r>
        <w:fldChar w:fldCharType="separate"/>
      </w:r>
      <w:r>
        <w:t>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_Toc463008506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t>An Act to provide for the winding up of the Potato Marketing Corporation of Western Australia and related purposes.</w:t>
      </w:r>
    </w:p>
    <w:p>
      <w:pPr>
        <w:pStyle w:val="Footnotesection"/>
      </w:pPr>
      <w:r>
        <w:tab/>
        <w:t>[Long title inserted by No. 22 of 2016 s. 4.]</w:t>
      </w:r>
    </w:p>
    <w:p>
      <w:pPr>
        <w:pStyle w:val="Heading2"/>
      </w:pPr>
      <w:bookmarkStart w:id="3" w:name="_Toc463004100"/>
      <w:bookmarkStart w:id="4" w:name="_Toc463004679"/>
      <w:bookmarkStart w:id="5" w:name="_Toc46300844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Footnoteheading"/>
      </w:pPr>
      <w:r>
        <w:tab/>
      </w:r>
      <w:r>
        <w:rPr>
          <w:snapToGrid w:val="0"/>
        </w:rPr>
        <w:t>[Heading inserted by No. 19 of 2010 s. 43(3)(a)</w:t>
      </w:r>
      <w:r>
        <w:t>.]</w:t>
      </w:r>
    </w:p>
    <w:p>
      <w:pPr>
        <w:pStyle w:val="Heading5"/>
        <w:spacing w:before="280"/>
        <w:rPr>
          <w:snapToGrid w:val="0"/>
        </w:rPr>
      </w:pPr>
      <w:bookmarkStart w:id="6" w:name="_Toc463008446"/>
      <w:r>
        <w:rPr>
          <w:rStyle w:val="CharSectno"/>
        </w:rPr>
        <w:t>1</w:t>
      </w:r>
      <w:r>
        <w:rPr>
          <w:snapToGrid w:val="0"/>
        </w:rPr>
        <w:t>.</w:t>
      </w:r>
      <w:r>
        <w:rPr>
          <w:snapToGrid w:val="0"/>
        </w:rPr>
        <w:tab/>
        <w:t>Short title and commencement</w:t>
      </w:r>
      <w:bookmarkEnd w:id="6"/>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7" w:name="_Toc463008447"/>
      <w:r>
        <w:rPr>
          <w:rStyle w:val="CharSectno"/>
        </w:rPr>
        <w:t>4</w:t>
      </w:r>
      <w:r>
        <w:rPr>
          <w:snapToGrid w:val="0"/>
        </w:rPr>
        <w:t>.</w:t>
      </w:r>
      <w:r>
        <w:rPr>
          <w:snapToGrid w:val="0"/>
        </w:rPr>
        <w:tab/>
        <w:t>Operation</w:t>
      </w:r>
      <w:bookmarkEnd w:id="7"/>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8" w:name="_Toc463008448"/>
      <w:r>
        <w:rPr>
          <w:rStyle w:val="CharSectno"/>
        </w:rPr>
        <w:t>5</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tab/>
      </w:r>
      <w:r>
        <w:fldChar w:fldCharType="begin"/>
      </w:r>
      <w:r>
        <w:instrText xml:space="preserve"> LISTNUM DefinitionNumbers \l1  </w:instrText>
      </w:r>
      <w:r>
        <w:fldChar w:fldCharType="end"/>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 No. 22 of 2016 s. 5.]</w:t>
      </w:r>
    </w:p>
    <w:p>
      <w:pPr>
        <w:pStyle w:val="Heading5"/>
      </w:pPr>
      <w:bookmarkStart w:id="9" w:name="_Toc460946449"/>
      <w:bookmarkStart w:id="10" w:name="_Toc463008449"/>
      <w:r>
        <w:rPr>
          <w:rStyle w:val="CharSectno"/>
        </w:rPr>
        <w:t>5A</w:t>
      </w:r>
      <w:r>
        <w:t>.</w:t>
      </w:r>
      <w:r>
        <w:tab/>
        <w:t>Application of Act limited</w:t>
      </w:r>
      <w:bookmarkEnd w:id="9"/>
      <w:bookmarkEnd w:id="10"/>
    </w:p>
    <w:p>
      <w:pPr>
        <w:pStyle w:val="Subsection"/>
      </w:pPr>
      <w:r>
        <w:tab/>
      </w:r>
      <w:r>
        <w:tab/>
        <w:t>This Act does not apply on or after transition day except as provided in Part 6.</w:t>
      </w:r>
    </w:p>
    <w:p>
      <w:pPr>
        <w:pStyle w:val="Footnotesection"/>
      </w:pPr>
      <w:r>
        <w:tab/>
        <w:t>[Section 5A inserted by No. 22 of 2016 s. 6.]</w:t>
      </w:r>
    </w:p>
    <w:p>
      <w:pPr>
        <w:pStyle w:val="Heading5"/>
        <w:rPr>
          <w:snapToGrid w:val="0"/>
        </w:rPr>
      </w:pPr>
      <w:bookmarkStart w:id="11" w:name="_Toc463008450"/>
      <w:r>
        <w:rPr>
          <w:rStyle w:val="CharSectno"/>
        </w:rPr>
        <w:t>6</w:t>
      </w:r>
      <w:r>
        <w:rPr>
          <w:snapToGrid w:val="0"/>
        </w:rPr>
        <w:t>.</w:t>
      </w:r>
      <w:r>
        <w:rPr>
          <w:snapToGrid w:val="0"/>
        </w:rPr>
        <w:tab/>
        <w:t>Construction of Act</w:t>
      </w:r>
      <w:bookmarkEnd w:id="11"/>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2" w:name="_Toc463004106"/>
      <w:bookmarkStart w:id="13" w:name="_Toc463004685"/>
      <w:bookmarkStart w:id="14" w:name="_Toc463008451"/>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2"/>
      <w:bookmarkEnd w:id="13"/>
      <w:bookmarkEnd w:id="14"/>
    </w:p>
    <w:p>
      <w:pPr>
        <w:pStyle w:val="Footnoteheading"/>
        <w:rPr>
          <w:snapToGrid w:val="0"/>
        </w:rPr>
      </w:pPr>
      <w:r>
        <w:rPr>
          <w:snapToGrid w:val="0"/>
        </w:rPr>
        <w:tab/>
        <w:t>[Heading amended by No. 96 of 1985 s. 22; No. 11 of 1995 s. 8.]</w:t>
      </w:r>
    </w:p>
    <w:p>
      <w:pPr>
        <w:pStyle w:val="Heading3"/>
        <w:rPr>
          <w:snapToGrid w:val="0"/>
        </w:rPr>
      </w:pPr>
      <w:bookmarkStart w:id="15" w:name="_Toc463004107"/>
      <w:bookmarkStart w:id="16" w:name="_Toc463004686"/>
      <w:bookmarkStart w:id="17" w:name="_Toc463008452"/>
      <w:r>
        <w:rPr>
          <w:rStyle w:val="CharDivNo"/>
        </w:rPr>
        <w:t>Division 1</w:t>
      </w:r>
      <w:r>
        <w:rPr>
          <w:snapToGrid w:val="0"/>
        </w:rPr>
        <w:t> — </w:t>
      </w:r>
      <w:r>
        <w:rPr>
          <w:rStyle w:val="CharDivText"/>
        </w:rPr>
        <w:t>Constitution and proceedings of the Corporation</w:t>
      </w:r>
      <w:bookmarkEnd w:id="15"/>
      <w:bookmarkEnd w:id="16"/>
      <w:bookmarkEnd w:id="17"/>
    </w:p>
    <w:p>
      <w:pPr>
        <w:pStyle w:val="Footnoteheading"/>
        <w:rPr>
          <w:snapToGrid w:val="0"/>
        </w:rPr>
      </w:pPr>
      <w:r>
        <w:rPr>
          <w:snapToGrid w:val="0"/>
        </w:rPr>
        <w:tab/>
        <w:t>[Heading amended by No. 96 of 1985 s. 22; No. 11 of 1995 s. 12.]</w:t>
      </w:r>
    </w:p>
    <w:p>
      <w:pPr>
        <w:pStyle w:val="Heading5"/>
        <w:rPr>
          <w:snapToGrid w:val="0"/>
        </w:rPr>
      </w:pPr>
      <w:bookmarkStart w:id="18" w:name="_Toc463008453"/>
      <w:r>
        <w:rPr>
          <w:rStyle w:val="CharSectno"/>
        </w:rPr>
        <w:t>7</w:t>
      </w:r>
      <w:r>
        <w:rPr>
          <w:snapToGrid w:val="0"/>
        </w:rPr>
        <w:t>.</w:t>
      </w:r>
      <w:r>
        <w:rPr>
          <w:snapToGrid w:val="0"/>
        </w:rPr>
        <w:tab/>
        <w:t>Corporation, name and membership of etc.</w:t>
      </w:r>
      <w:bookmarkEnd w:id="18"/>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Ednotesection"/>
      </w:pPr>
      <w:r>
        <w:t>[</w:t>
      </w:r>
      <w:r>
        <w:rPr>
          <w:b/>
        </w:rPr>
        <w:t>8.</w:t>
      </w:r>
      <w:r>
        <w:rPr>
          <w:b/>
        </w:rPr>
        <w:tab/>
      </w:r>
      <w:r>
        <w:t>Deleted by No. 22 of 2016 s. 7.]</w:t>
      </w:r>
    </w:p>
    <w:p>
      <w:pPr>
        <w:pStyle w:val="Heading5"/>
        <w:spacing w:before="260"/>
        <w:rPr>
          <w:snapToGrid w:val="0"/>
        </w:rPr>
      </w:pPr>
      <w:bookmarkStart w:id="19" w:name="_Toc463008454"/>
      <w:r>
        <w:rPr>
          <w:rStyle w:val="CharSectno"/>
        </w:rPr>
        <w:t>9</w:t>
      </w:r>
      <w:r>
        <w:rPr>
          <w:snapToGrid w:val="0"/>
        </w:rPr>
        <w:t>.</w:t>
      </w:r>
      <w:r>
        <w:rPr>
          <w:snapToGrid w:val="0"/>
        </w:rPr>
        <w:tab/>
        <w:t>Corporation a body corporate; trading names</w:t>
      </w:r>
      <w:bookmarkEnd w:id="19"/>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20" w:name="_Toc463008455"/>
      <w:r>
        <w:rPr>
          <w:rStyle w:val="CharSectno"/>
        </w:rPr>
        <w:t>10</w:t>
      </w:r>
      <w:r>
        <w:rPr>
          <w:snapToGrid w:val="0"/>
        </w:rPr>
        <w:t>.</w:t>
      </w:r>
      <w:r>
        <w:rPr>
          <w:snapToGrid w:val="0"/>
        </w:rPr>
        <w:tab/>
        <w:t>Corporation is not agent etc. of Crown</w:t>
      </w:r>
      <w:bookmarkEnd w:id="20"/>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21" w:name="_Toc463008456"/>
      <w:r>
        <w:rPr>
          <w:rStyle w:val="CharSectno"/>
        </w:rPr>
        <w:t>11</w:t>
      </w:r>
      <w:r>
        <w:rPr>
          <w:snapToGrid w:val="0"/>
        </w:rPr>
        <w:t>.</w:t>
      </w:r>
      <w:r>
        <w:rPr>
          <w:snapToGrid w:val="0"/>
        </w:rPr>
        <w:tab/>
        <w:t>Members, remuneration of</w:t>
      </w:r>
      <w:bookmarkEnd w:id="21"/>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22" w:name="_Toc463008457"/>
      <w:r>
        <w:rPr>
          <w:rStyle w:val="CharSectno"/>
        </w:rPr>
        <w:t>12</w:t>
      </w:r>
      <w:r>
        <w:rPr>
          <w:snapToGrid w:val="0"/>
        </w:rPr>
        <w:t>.</w:t>
      </w:r>
      <w:r>
        <w:rPr>
          <w:snapToGrid w:val="0"/>
        </w:rPr>
        <w:tab/>
        <w:t>Members, term of office of</w:t>
      </w:r>
      <w:bookmarkEnd w:id="22"/>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23" w:name="_Toc463008458"/>
      <w:r>
        <w:rPr>
          <w:rStyle w:val="CharSectno"/>
        </w:rPr>
        <w:t>13</w:t>
      </w:r>
      <w:r>
        <w:rPr>
          <w:snapToGrid w:val="0"/>
        </w:rPr>
        <w:t>.</w:t>
      </w:r>
      <w:r>
        <w:rPr>
          <w:snapToGrid w:val="0"/>
        </w:rPr>
        <w:tab/>
        <w:t>Vacancies in office of member</w:t>
      </w:r>
      <w:bookmarkEnd w:id="2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24" w:name="_Toc463008459"/>
      <w:r>
        <w:rPr>
          <w:rStyle w:val="CharSectno"/>
        </w:rPr>
        <w:t>14</w:t>
      </w:r>
      <w:r>
        <w:rPr>
          <w:snapToGrid w:val="0"/>
        </w:rPr>
        <w:t>.</w:t>
      </w:r>
      <w:r>
        <w:rPr>
          <w:snapToGrid w:val="0"/>
        </w:rPr>
        <w:tab/>
        <w:t>Corporation’s acts etc. not invalid due to vacancy or defect in appointment</w:t>
      </w:r>
      <w:bookmarkEnd w:id="2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25" w:name="_Toc463008460"/>
      <w:r>
        <w:rPr>
          <w:rStyle w:val="CharSectno"/>
        </w:rPr>
        <w:t>15</w:t>
      </w:r>
      <w:r>
        <w:rPr>
          <w:snapToGrid w:val="0"/>
        </w:rPr>
        <w:t>.</w:t>
      </w:r>
      <w:r>
        <w:rPr>
          <w:snapToGrid w:val="0"/>
        </w:rPr>
        <w:tab/>
        <w:t>Meetings of Corporation</w:t>
      </w:r>
      <w:bookmarkEnd w:id="2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26" w:name="_Toc463008461"/>
      <w:r>
        <w:rPr>
          <w:rStyle w:val="CharSectno"/>
        </w:rPr>
        <w:t>16</w:t>
      </w:r>
      <w:r>
        <w:rPr>
          <w:snapToGrid w:val="0"/>
        </w:rPr>
        <w:t>.</w:t>
      </w:r>
      <w:r>
        <w:rPr>
          <w:snapToGrid w:val="0"/>
        </w:rPr>
        <w:tab/>
        <w:t>Protection of members and officers from personal liability</w:t>
      </w:r>
      <w:bookmarkEnd w:id="26"/>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27" w:name="_Toc463008462"/>
      <w:r>
        <w:rPr>
          <w:rStyle w:val="CharSectno"/>
        </w:rPr>
        <w:t>17</w:t>
      </w:r>
      <w:r>
        <w:rPr>
          <w:snapToGrid w:val="0"/>
        </w:rPr>
        <w:t>.</w:t>
      </w:r>
      <w:r>
        <w:rPr>
          <w:snapToGrid w:val="0"/>
        </w:rPr>
        <w:tab/>
        <w:t>Meetings of Corporation, time and place of</w:t>
      </w:r>
      <w:bookmarkEnd w:id="27"/>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28" w:name="_Toc463004118"/>
      <w:bookmarkStart w:id="29" w:name="_Toc463004697"/>
      <w:bookmarkStart w:id="30" w:name="_Toc463008463"/>
      <w:r>
        <w:rPr>
          <w:rStyle w:val="CharDivNo"/>
        </w:rPr>
        <w:t>Division 2</w:t>
      </w:r>
      <w:r>
        <w:rPr>
          <w:snapToGrid w:val="0"/>
        </w:rPr>
        <w:t> — </w:t>
      </w:r>
      <w:r>
        <w:rPr>
          <w:rStyle w:val="CharDivText"/>
        </w:rPr>
        <w:t>Functions and general powers of Corporation</w:t>
      </w:r>
      <w:bookmarkEnd w:id="28"/>
      <w:bookmarkEnd w:id="29"/>
      <w:bookmarkEnd w:id="30"/>
    </w:p>
    <w:p>
      <w:pPr>
        <w:pStyle w:val="Footnoteheading"/>
        <w:rPr>
          <w:snapToGrid w:val="0"/>
        </w:rPr>
      </w:pPr>
      <w:r>
        <w:rPr>
          <w:snapToGrid w:val="0"/>
        </w:rPr>
        <w:tab/>
        <w:t>[Heading amended by No. 96 of 1985 s. 7 and 22; No. 11 of 1995 s. 12.]</w:t>
      </w:r>
    </w:p>
    <w:p>
      <w:pPr>
        <w:pStyle w:val="Heading5"/>
      </w:pPr>
      <w:bookmarkStart w:id="31" w:name="_Toc460946452"/>
      <w:bookmarkStart w:id="32" w:name="_Toc463008464"/>
      <w:r>
        <w:rPr>
          <w:rStyle w:val="CharSectno"/>
        </w:rPr>
        <w:t>17AA</w:t>
      </w:r>
      <w:r>
        <w:t>.</w:t>
      </w:r>
      <w:r>
        <w:tab/>
        <w:t>Corporation to continue performing its functions for certain purposes</w:t>
      </w:r>
      <w:bookmarkEnd w:id="31"/>
      <w:bookmarkEnd w:id="32"/>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 by No. 22 of 2016 s. 8.]</w:t>
      </w:r>
    </w:p>
    <w:p>
      <w:pPr>
        <w:pStyle w:val="Heading5"/>
        <w:rPr>
          <w:snapToGrid w:val="0"/>
        </w:rPr>
      </w:pPr>
      <w:bookmarkStart w:id="33" w:name="_Toc463008465"/>
      <w:r>
        <w:rPr>
          <w:rStyle w:val="CharSectno"/>
        </w:rPr>
        <w:t>17A</w:t>
      </w:r>
      <w:r>
        <w:rPr>
          <w:snapToGrid w:val="0"/>
        </w:rPr>
        <w:t>.</w:t>
      </w:r>
      <w:r>
        <w:rPr>
          <w:snapToGrid w:val="0"/>
        </w:rPr>
        <w:tab/>
        <w:t>Functions</w:t>
      </w:r>
      <w:bookmarkEnd w:id="33"/>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34" w:name="_Toc463008466"/>
      <w:r>
        <w:rPr>
          <w:rStyle w:val="CharSectno"/>
        </w:rPr>
        <w:t>18</w:t>
      </w:r>
      <w:r>
        <w:rPr>
          <w:snapToGrid w:val="0"/>
        </w:rPr>
        <w:t>.</w:t>
      </w:r>
      <w:r>
        <w:rPr>
          <w:snapToGrid w:val="0"/>
        </w:rPr>
        <w:tab/>
        <w:t>Staff of Corporation, appointment of etc.; inspectors, functions of and obstructing etc.</w:t>
      </w:r>
      <w:bookmarkEnd w:id="34"/>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35" w:name="_Toc463008467"/>
      <w:r>
        <w:rPr>
          <w:rStyle w:val="CharSectno"/>
        </w:rPr>
        <w:t>19</w:t>
      </w:r>
      <w:r>
        <w:rPr>
          <w:snapToGrid w:val="0"/>
        </w:rPr>
        <w:t>.</w:t>
      </w:r>
      <w:r>
        <w:rPr>
          <w:snapToGrid w:val="0"/>
        </w:rPr>
        <w:tab/>
        <w:t>General powers</w:t>
      </w:r>
      <w:bookmarkEnd w:id="35"/>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Ednotesection"/>
      </w:pPr>
      <w:r>
        <w:t>[</w:t>
      </w:r>
      <w:r>
        <w:rPr>
          <w:b/>
        </w:rPr>
        <w:t>19A.</w:t>
      </w:r>
      <w:r>
        <w:rPr>
          <w:b/>
        </w:rPr>
        <w:tab/>
      </w:r>
      <w:r>
        <w:t>Deleted by No. 22 of 2016 s. 9.]</w:t>
      </w:r>
    </w:p>
    <w:p>
      <w:pPr>
        <w:pStyle w:val="Heading5"/>
        <w:rPr>
          <w:snapToGrid w:val="0"/>
        </w:rPr>
      </w:pPr>
      <w:bookmarkStart w:id="36" w:name="_Toc463008468"/>
      <w:r>
        <w:rPr>
          <w:rStyle w:val="CharSectno"/>
        </w:rPr>
        <w:t>20</w:t>
      </w:r>
      <w:r>
        <w:rPr>
          <w:snapToGrid w:val="0"/>
        </w:rPr>
        <w:t>.</w:t>
      </w:r>
      <w:r>
        <w:rPr>
          <w:snapToGrid w:val="0"/>
        </w:rPr>
        <w:tab/>
        <w:t>Potato Marketing Corporation Account</w:t>
      </w:r>
      <w:bookmarkEnd w:id="36"/>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37" w:name="_Toc463008469"/>
      <w:r>
        <w:rPr>
          <w:rStyle w:val="CharSectno"/>
        </w:rPr>
        <w:t>20A</w:t>
      </w:r>
      <w:r>
        <w:rPr>
          <w:snapToGrid w:val="0"/>
        </w:rPr>
        <w:t>.</w:t>
      </w:r>
      <w:r>
        <w:rPr>
          <w:snapToGrid w:val="0"/>
        </w:rPr>
        <w:tab/>
        <w:t>Directions by Minister to Corporation</w:t>
      </w:r>
      <w:bookmarkEnd w:id="37"/>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Ednotesection"/>
      </w:pPr>
      <w:r>
        <w:t>[</w:t>
      </w:r>
      <w:r>
        <w:rPr>
          <w:b/>
        </w:rPr>
        <w:t>20B.</w:t>
      </w:r>
      <w:r>
        <w:rPr>
          <w:b/>
        </w:rPr>
        <w:tab/>
      </w:r>
      <w:r>
        <w:t>Deleted by No. 22 of 2016 s. 10.]</w:t>
      </w:r>
    </w:p>
    <w:p>
      <w:pPr>
        <w:pStyle w:val="Ednotesection"/>
      </w:pPr>
      <w:r>
        <w:t>[</w:t>
      </w:r>
      <w:r>
        <w:rPr>
          <w:b/>
        </w:rPr>
        <w:t>20C.</w:t>
      </w:r>
      <w:r>
        <w:tab/>
        <w:t>Deleted by No. 11 of 1995 s. 25.]</w:t>
      </w:r>
    </w:p>
    <w:p>
      <w:pPr>
        <w:pStyle w:val="Ednotepart"/>
      </w:pPr>
      <w:r>
        <w:t>[Part III (s. 21) deleted by No. 11 of 1995 s. 26.]</w:t>
      </w:r>
    </w:p>
    <w:p>
      <w:pPr>
        <w:pStyle w:val="Heading2"/>
      </w:pPr>
      <w:bookmarkStart w:id="38" w:name="_Toc463004125"/>
      <w:bookmarkStart w:id="39" w:name="_Toc463004704"/>
      <w:bookmarkStart w:id="40" w:name="_Toc463008470"/>
      <w:r>
        <w:rPr>
          <w:rStyle w:val="CharPartNo"/>
        </w:rPr>
        <w:t>Part IV</w:t>
      </w:r>
      <w:r>
        <w:rPr>
          <w:rStyle w:val="CharDivNo"/>
        </w:rPr>
        <w:t> </w:t>
      </w:r>
      <w:r>
        <w:t>—</w:t>
      </w:r>
      <w:r>
        <w:rPr>
          <w:rStyle w:val="CharDivText"/>
        </w:rPr>
        <w:t> </w:t>
      </w:r>
      <w:r>
        <w:rPr>
          <w:rStyle w:val="CharPartText"/>
        </w:rPr>
        <w:t>Marketing of potatoes</w:t>
      </w:r>
      <w:bookmarkEnd w:id="38"/>
      <w:bookmarkEnd w:id="39"/>
      <w:bookmarkEnd w:id="4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41" w:name="_Toc463008471"/>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41"/>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42" w:name="_Toc463008472"/>
      <w:r>
        <w:rPr>
          <w:rStyle w:val="CharSectno"/>
        </w:rPr>
        <w:t>22A</w:t>
      </w:r>
      <w:r>
        <w:rPr>
          <w:snapToGrid w:val="0"/>
        </w:rPr>
        <w:t>.</w:t>
      </w:r>
      <w:r>
        <w:rPr>
          <w:snapToGrid w:val="0"/>
        </w:rPr>
        <w:tab/>
        <w:t>Vehicles carrying potatoes, power to stop and search etc.</w:t>
      </w:r>
      <w:bookmarkEnd w:id="42"/>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43" w:name="_Toc463008473"/>
      <w:r>
        <w:rPr>
          <w:rStyle w:val="CharSectno"/>
        </w:rPr>
        <w:t>22B</w:t>
      </w:r>
      <w:r>
        <w:rPr>
          <w:snapToGrid w:val="0"/>
        </w:rPr>
        <w:t>.</w:t>
      </w:r>
      <w:r>
        <w:rPr>
          <w:snapToGrid w:val="0"/>
        </w:rPr>
        <w:tab/>
        <w:t>Certain potato growing businesses to be registered; area licences, issue etc. of</w:t>
      </w:r>
      <w:bookmarkEnd w:id="4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44" w:name="_Toc463008474"/>
      <w:r>
        <w:rPr>
          <w:rStyle w:val="CharSectno"/>
        </w:rPr>
        <w:t>22C</w:t>
      </w:r>
      <w:r>
        <w:rPr>
          <w:snapToGrid w:val="0"/>
        </w:rPr>
        <w:t>.</w:t>
      </w:r>
      <w:r>
        <w:rPr>
          <w:snapToGrid w:val="0"/>
        </w:rPr>
        <w:tab/>
        <w:t>Registration, and area licensing, generally</w:t>
      </w:r>
      <w:bookmarkEnd w:id="4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45" w:name="_Toc463008475"/>
      <w:r>
        <w:rPr>
          <w:rStyle w:val="CharSectno"/>
        </w:rPr>
        <w:t>22D</w:t>
      </w:r>
      <w:r>
        <w:rPr>
          <w:snapToGrid w:val="0"/>
        </w:rPr>
        <w:t>.</w:t>
      </w:r>
      <w:r>
        <w:rPr>
          <w:snapToGrid w:val="0"/>
        </w:rPr>
        <w:tab/>
        <w:t>Cancelling or suspending registration or area licence</w:t>
      </w:r>
      <w:bookmarkEnd w:id="45"/>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46" w:name="_Toc463008476"/>
      <w:r>
        <w:rPr>
          <w:rStyle w:val="CharSectno"/>
        </w:rPr>
        <w:t>23</w:t>
      </w:r>
      <w:r>
        <w:rPr>
          <w:snapToGrid w:val="0"/>
        </w:rPr>
        <w:t>.</w:t>
      </w:r>
      <w:r>
        <w:rPr>
          <w:snapToGrid w:val="0"/>
        </w:rPr>
        <w:tab/>
        <w:t>When Corporation has to or may accept delivery of potatoes</w:t>
      </w:r>
      <w:bookmarkEnd w:id="46"/>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47" w:name="_Toc463008477"/>
      <w:r>
        <w:rPr>
          <w:rStyle w:val="CharSectno"/>
        </w:rPr>
        <w:t>24</w:t>
      </w:r>
      <w:r>
        <w:rPr>
          <w:snapToGrid w:val="0"/>
        </w:rPr>
        <w:t>.</w:t>
      </w:r>
      <w:r>
        <w:rPr>
          <w:snapToGrid w:val="0"/>
        </w:rPr>
        <w:tab/>
        <w:t>Delivery of potatoes to Corporation, effect of</w:t>
      </w:r>
      <w:bookmarkEnd w:id="47"/>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48" w:name="_Toc463008478"/>
      <w:r>
        <w:rPr>
          <w:rStyle w:val="CharSectno"/>
        </w:rPr>
        <w:t>25</w:t>
      </w:r>
      <w:r>
        <w:rPr>
          <w:snapToGrid w:val="0"/>
        </w:rPr>
        <w:t>.</w:t>
      </w:r>
      <w:r>
        <w:rPr>
          <w:snapToGrid w:val="0"/>
        </w:rPr>
        <w:tab/>
        <w:t>Permits to buy, sell etc. potatoes, grant of</w:t>
      </w:r>
      <w:bookmarkEnd w:id="48"/>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49" w:name="_Toc463008479"/>
      <w:r>
        <w:rPr>
          <w:rStyle w:val="CharSectno"/>
        </w:rPr>
        <w:t>26</w:t>
      </w:r>
      <w:r>
        <w:rPr>
          <w:snapToGrid w:val="0"/>
        </w:rPr>
        <w:t>.</w:t>
      </w:r>
      <w:r>
        <w:rPr>
          <w:snapToGrid w:val="0"/>
        </w:rPr>
        <w:tab/>
        <w:t>Marketing of potatoes, Corporation’s functions as to</w:t>
      </w:r>
      <w:bookmarkEnd w:id="4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50" w:name="_Toc463008480"/>
      <w:r>
        <w:rPr>
          <w:rStyle w:val="CharSectno"/>
        </w:rPr>
        <w:t>27</w:t>
      </w:r>
      <w:r>
        <w:rPr>
          <w:snapToGrid w:val="0"/>
        </w:rPr>
        <w:t>.</w:t>
      </w:r>
      <w:r>
        <w:rPr>
          <w:snapToGrid w:val="0"/>
        </w:rPr>
        <w:tab/>
        <w:t>Marketing pools</w:t>
      </w:r>
      <w:bookmarkEnd w:id="5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51" w:name="_Toc463008481"/>
      <w:r>
        <w:rPr>
          <w:rStyle w:val="CharSectno"/>
        </w:rPr>
        <w:t>28</w:t>
      </w:r>
      <w:r>
        <w:rPr>
          <w:snapToGrid w:val="0"/>
        </w:rPr>
        <w:t>.</w:t>
      </w:r>
      <w:r>
        <w:rPr>
          <w:snapToGrid w:val="0"/>
        </w:rPr>
        <w:tab/>
        <w:t>Domestic marketing pools, allocating entitlements for</w:t>
      </w:r>
      <w:bookmarkEnd w:id="51"/>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52" w:name="_Toc463008482"/>
      <w:r>
        <w:rPr>
          <w:rStyle w:val="CharSectno"/>
        </w:rPr>
        <w:t>29</w:t>
      </w:r>
      <w:r>
        <w:rPr>
          <w:snapToGrid w:val="0"/>
        </w:rPr>
        <w:t>.</w:t>
      </w:r>
      <w:r>
        <w:rPr>
          <w:snapToGrid w:val="0"/>
        </w:rPr>
        <w:tab/>
        <w:t>Shortfalls for pools, Corporation’s powers in case of</w:t>
      </w:r>
      <w:bookmarkEnd w:id="52"/>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53" w:name="_Toc463008483"/>
      <w:r>
        <w:rPr>
          <w:rStyle w:val="CharSectno"/>
        </w:rPr>
        <w:t>30</w:t>
      </w:r>
      <w:r>
        <w:rPr>
          <w:snapToGrid w:val="0"/>
        </w:rPr>
        <w:t>.</w:t>
      </w:r>
      <w:r>
        <w:rPr>
          <w:snapToGrid w:val="0"/>
        </w:rPr>
        <w:tab/>
        <w:t>Payments by Corporation for potatoes</w:t>
      </w:r>
      <w:bookmarkEnd w:id="53"/>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54" w:name="_Toc463008484"/>
      <w:r>
        <w:rPr>
          <w:rStyle w:val="CharSectno"/>
        </w:rPr>
        <w:t>31</w:t>
      </w:r>
      <w:r>
        <w:rPr>
          <w:snapToGrid w:val="0"/>
        </w:rPr>
        <w:t>.</w:t>
      </w:r>
      <w:r>
        <w:rPr>
          <w:snapToGrid w:val="0"/>
        </w:rPr>
        <w:tab/>
        <w:t>When Corporation may refuse etc. to pay for potatoes</w:t>
      </w:r>
      <w:bookmarkEnd w:id="54"/>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55" w:name="_Toc463008485"/>
      <w:r>
        <w:rPr>
          <w:rStyle w:val="CharSectno"/>
        </w:rPr>
        <w:t>32</w:t>
      </w:r>
      <w:r>
        <w:rPr>
          <w:snapToGrid w:val="0"/>
        </w:rPr>
        <w:t>.</w:t>
      </w:r>
      <w:r>
        <w:rPr>
          <w:snapToGrid w:val="0"/>
        </w:rPr>
        <w:tab/>
        <w:t>Payments by Corporation for ware potatoes for domestic market, determining amount of</w:t>
      </w:r>
      <w:bookmarkEnd w:id="55"/>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56" w:name="_Toc463008486"/>
      <w:r>
        <w:rPr>
          <w:rStyle w:val="CharSectno"/>
        </w:rPr>
        <w:t>33</w:t>
      </w:r>
      <w:r>
        <w:rPr>
          <w:snapToGrid w:val="0"/>
        </w:rPr>
        <w:t>.</w:t>
      </w:r>
      <w:r>
        <w:rPr>
          <w:snapToGrid w:val="0"/>
        </w:rPr>
        <w:tab/>
        <w:t>Corporation may request carriers not to carry potatoes</w:t>
      </w:r>
      <w:bookmarkEnd w:id="56"/>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57" w:name="_Toc463008487"/>
      <w:r>
        <w:rPr>
          <w:rStyle w:val="CharSectno"/>
        </w:rPr>
        <w:t>34</w:t>
      </w:r>
      <w:r>
        <w:rPr>
          <w:snapToGrid w:val="0"/>
        </w:rPr>
        <w:t>.</w:t>
      </w:r>
      <w:r>
        <w:rPr>
          <w:snapToGrid w:val="0"/>
        </w:rPr>
        <w:tab/>
        <w:t>Proceedings against Corporation restricted</w:t>
      </w:r>
      <w:bookmarkEnd w:id="57"/>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58" w:name="_Toc463008488"/>
      <w:r>
        <w:rPr>
          <w:rStyle w:val="CharSectno"/>
        </w:rPr>
        <w:t>35</w:t>
      </w:r>
      <w:r>
        <w:rPr>
          <w:snapToGrid w:val="0"/>
        </w:rPr>
        <w:t>.</w:t>
      </w:r>
      <w:r>
        <w:rPr>
          <w:snapToGrid w:val="0"/>
        </w:rPr>
        <w:tab/>
        <w:t>Encumbrances on title to potatoes, grower etc. to notify Corporation etc. of</w:t>
      </w:r>
      <w:bookmarkEnd w:id="58"/>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59" w:name="_Toc463008489"/>
      <w:r>
        <w:rPr>
          <w:rStyle w:val="CharSectno"/>
        </w:rPr>
        <w:t>36</w:t>
      </w:r>
      <w:r>
        <w:rPr>
          <w:snapToGrid w:val="0"/>
        </w:rPr>
        <w:t>.</w:t>
      </w:r>
      <w:r>
        <w:rPr>
          <w:snapToGrid w:val="0"/>
        </w:rPr>
        <w:tab/>
        <w:t>Liability of Corporation limited</w:t>
      </w:r>
      <w:bookmarkEnd w:id="5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60" w:name="_Toc463004145"/>
      <w:bookmarkStart w:id="61" w:name="_Toc463004724"/>
      <w:bookmarkStart w:id="62" w:name="_Toc463008490"/>
      <w:r>
        <w:rPr>
          <w:rStyle w:val="CharPartNo"/>
        </w:rPr>
        <w:t>Part V</w:t>
      </w:r>
      <w:r>
        <w:rPr>
          <w:rStyle w:val="CharDivNo"/>
        </w:rPr>
        <w:t> </w:t>
      </w:r>
      <w:r>
        <w:t>—</w:t>
      </w:r>
      <w:r>
        <w:rPr>
          <w:rStyle w:val="CharDivText"/>
        </w:rPr>
        <w:t> </w:t>
      </w:r>
      <w:r>
        <w:rPr>
          <w:rStyle w:val="CharPartText"/>
        </w:rPr>
        <w:t>Miscellaneous</w:t>
      </w:r>
      <w:bookmarkEnd w:id="60"/>
      <w:bookmarkEnd w:id="61"/>
      <w:bookmarkEnd w:id="62"/>
    </w:p>
    <w:p>
      <w:pPr>
        <w:pStyle w:val="Heading5"/>
        <w:rPr>
          <w:snapToGrid w:val="0"/>
        </w:rPr>
      </w:pPr>
      <w:bookmarkStart w:id="63" w:name="_Toc463008491"/>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6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64" w:name="_Toc463008492"/>
      <w:r>
        <w:rPr>
          <w:rStyle w:val="CharSectno"/>
        </w:rPr>
        <w:t>38</w:t>
      </w:r>
      <w:r>
        <w:rPr>
          <w:snapToGrid w:val="0"/>
        </w:rPr>
        <w:t>.</w:t>
      </w:r>
      <w:r>
        <w:rPr>
          <w:snapToGrid w:val="0"/>
        </w:rPr>
        <w:tab/>
        <w:t>Minister to have access to information</w:t>
      </w:r>
      <w:bookmarkEnd w:id="64"/>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65" w:name="_Toc463008493"/>
      <w:r>
        <w:rPr>
          <w:rStyle w:val="CharSectno"/>
        </w:rPr>
        <w:t>39</w:t>
      </w:r>
      <w:r>
        <w:rPr>
          <w:snapToGrid w:val="0"/>
        </w:rPr>
        <w:t>.</w:t>
      </w:r>
      <w:r>
        <w:rPr>
          <w:snapToGrid w:val="0"/>
        </w:rPr>
        <w:tab/>
        <w:t>Charge on proceeds of potatoes marketed</w:t>
      </w:r>
      <w:bookmarkEnd w:id="65"/>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66" w:name="_Toc463008494"/>
      <w:r>
        <w:rPr>
          <w:rStyle w:val="CharSectno"/>
        </w:rPr>
        <w:t>40</w:t>
      </w:r>
      <w:r>
        <w:rPr>
          <w:snapToGrid w:val="0"/>
        </w:rPr>
        <w:t>.</w:t>
      </w:r>
      <w:r>
        <w:rPr>
          <w:snapToGrid w:val="0"/>
        </w:rPr>
        <w:tab/>
        <w:t>Infringement notices</w:t>
      </w:r>
      <w:bookmarkEnd w:id="66"/>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67" w:name="_Toc463008495"/>
      <w:r>
        <w:rPr>
          <w:rStyle w:val="CharSectno"/>
        </w:rPr>
        <w:t>41</w:t>
      </w:r>
      <w:r>
        <w:rPr>
          <w:snapToGrid w:val="0"/>
        </w:rPr>
        <w:t>.</w:t>
      </w:r>
      <w:r>
        <w:rPr>
          <w:snapToGrid w:val="0"/>
        </w:rPr>
        <w:tab/>
        <w:t>Offences</w:t>
      </w:r>
      <w:bookmarkEnd w:id="67"/>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68" w:name="_Toc463008496"/>
      <w:r>
        <w:rPr>
          <w:rStyle w:val="CharSectno"/>
        </w:rPr>
        <w:t>41A</w:t>
      </w:r>
      <w:r>
        <w:rPr>
          <w:snapToGrid w:val="0"/>
        </w:rPr>
        <w:t>.</w:t>
      </w:r>
      <w:r>
        <w:rPr>
          <w:snapToGrid w:val="0"/>
        </w:rPr>
        <w:tab/>
        <w:t>Offence by body corporate, liability of officers for</w:t>
      </w:r>
      <w:bookmarkEnd w:id="68"/>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69" w:name="_Toc463008497"/>
      <w:r>
        <w:rPr>
          <w:rStyle w:val="CharSectno"/>
        </w:rPr>
        <w:t>41B</w:t>
      </w:r>
      <w:r>
        <w:rPr>
          <w:snapToGrid w:val="0"/>
        </w:rPr>
        <w:t>.</w:t>
      </w:r>
      <w:r>
        <w:rPr>
          <w:snapToGrid w:val="0"/>
        </w:rPr>
        <w:tab/>
        <w:t>Potatoes etc. impounded under Act, dealing with</w:t>
      </w:r>
      <w:bookmarkEnd w:id="69"/>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70" w:name="_Toc463008498"/>
      <w:r>
        <w:rPr>
          <w:rStyle w:val="CharSectno"/>
        </w:rPr>
        <w:t>41C</w:t>
      </w:r>
      <w:r>
        <w:rPr>
          <w:snapToGrid w:val="0"/>
        </w:rPr>
        <w:t>.</w:t>
      </w:r>
      <w:r>
        <w:rPr>
          <w:snapToGrid w:val="0"/>
        </w:rPr>
        <w:tab/>
        <w:t>Labelling etc. on packages is proof of content etc.</w:t>
      </w:r>
      <w:bookmarkEnd w:id="70"/>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71" w:name="_Toc463008499"/>
      <w:r>
        <w:rPr>
          <w:rStyle w:val="CharSectno"/>
        </w:rPr>
        <w:t>41D</w:t>
      </w:r>
      <w:r>
        <w:rPr>
          <w:snapToGrid w:val="0"/>
        </w:rPr>
        <w:t>.</w:t>
      </w:r>
      <w:r>
        <w:rPr>
          <w:snapToGrid w:val="0"/>
        </w:rPr>
        <w:tab/>
        <w:t>Proof that potatoes were for sale</w:t>
      </w:r>
      <w:bookmarkEnd w:id="71"/>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72" w:name="_Toc463008500"/>
      <w:r>
        <w:rPr>
          <w:rStyle w:val="CharSectno"/>
        </w:rPr>
        <w:t>41E</w:t>
      </w:r>
      <w:r>
        <w:rPr>
          <w:snapToGrid w:val="0"/>
        </w:rPr>
        <w:t>.</w:t>
      </w:r>
      <w:r>
        <w:rPr>
          <w:snapToGrid w:val="0"/>
        </w:rPr>
        <w:tab/>
        <w:t>Proof of purpose</w:t>
      </w:r>
      <w:bookmarkEnd w:id="72"/>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73" w:name="_Toc463008501"/>
      <w:r>
        <w:rPr>
          <w:rStyle w:val="CharSectno"/>
        </w:rPr>
        <w:t>41F</w:t>
      </w:r>
      <w:r>
        <w:rPr>
          <w:snapToGrid w:val="0"/>
        </w:rPr>
        <w:t>.</w:t>
      </w:r>
      <w:r>
        <w:rPr>
          <w:snapToGrid w:val="0"/>
        </w:rPr>
        <w:tab/>
        <w:t>Proof of licensing matters</w:t>
      </w:r>
      <w:bookmarkEnd w:id="73"/>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74" w:name="_Toc463008502"/>
      <w:r>
        <w:rPr>
          <w:rStyle w:val="CharSectno"/>
        </w:rPr>
        <w:t>42</w:t>
      </w:r>
      <w:r>
        <w:rPr>
          <w:snapToGrid w:val="0"/>
        </w:rPr>
        <w:t>.</w:t>
      </w:r>
      <w:r>
        <w:rPr>
          <w:snapToGrid w:val="0"/>
        </w:rPr>
        <w:tab/>
        <w:t>Legal proceedings by Corporation, institution of</w:t>
      </w:r>
      <w:bookmarkEnd w:id="74"/>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75" w:name="_Toc463008503"/>
      <w:r>
        <w:rPr>
          <w:rStyle w:val="CharSectno"/>
        </w:rPr>
        <w:t>43</w:t>
      </w:r>
      <w:r>
        <w:rPr>
          <w:snapToGrid w:val="0"/>
        </w:rPr>
        <w:t>.</w:t>
      </w:r>
      <w:r>
        <w:rPr>
          <w:snapToGrid w:val="0"/>
        </w:rPr>
        <w:tab/>
        <w:t>Regulations</w:t>
      </w:r>
      <w:bookmarkEnd w:id="75"/>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Ednotesection"/>
      </w:pPr>
      <w:r>
        <w:t>[</w:t>
      </w:r>
      <w:r>
        <w:rPr>
          <w:b/>
        </w:rPr>
        <w:t>44.</w:t>
      </w:r>
      <w:r>
        <w:rPr>
          <w:b/>
        </w:rPr>
        <w:tab/>
      </w:r>
      <w:r>
        <w:t>Deleted by No. 22 of 2016 s. 11.]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6" w:name="_Toc463004159"/>
      <w:bookmarkStart w:id="77" w:name="_Toc463004738"/>
      <w:bookmarkStart w:id="78" w:name="_Toc463008504"/>
      <w:r>
        <w:t>Notes</w:t>
      </w:r>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 w:name="_Toc463008505"/>
      <w:r>
        <w:rPr>
          <w:snapToGrid w:val="0"/>
        </w:rPr>
        <w:t>Compilation table</w:t>
      </w:r>
      <w:bookmarkEnd w:id="7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Marketing of Potatoes Amendment and Repeal Act 2016</w:t>
            </w:r>
            <w:r>
              <w:rPr>
                <w:snapToGrid w:val="0"/>
              </w:rPr>
              <w:t xml:space="preserve"> s. 3</w:t>
            </w:r>
            <w:r>
              <w:rPr>
                <w:snapToGrid w:val="0"/>
              </w:rPr>
              <w:noBreakHyphen/>
              <w:t>11</w:t>
            </w:r>
          </w:p>
        </w:tc>
        <w:tc>
          <w:tcPr>
            <w:tcW w:w="1134" w:type="dxa"/>
            <w:tcBorders>
              <w:bottom w:val="single" w:sz="4" w:space="0" w:color="auto"/>
            </w:tcBorders>
            <w:shd w:val="clear" w:color="auto" w:fill="auto"/>
          </w:tcPr>
          <w:p>
            <w:pPr>
              <w:pStyle w:val="nTable"/>
              <w:spacing w:after="40"/>
              <w:rPr>
                <w:snapToGrid w:val="0"/>
              </w:rPr>
            </w:pPr>
            <w:r>
              <w:rPr>
                <w:snapToGrid w:val="0"/>
              </w:rPr>
              <w:t>22 of 2016</w:t>
            </w:r>
          </w:p>
        </w:tc>
        <w:tc>
          <w:tcPr>
            <w:tcW w:w="1134" w:type="dxa"/>
            <w:tcBorders>
              <w:bottom w:val="single" w:sz="4" w:space="0" w:color="auto"/>
            </w:tcBorders>
            <w:shd w:val="clear" w:color="auto" w:fill="auto"/>
          </w:tcPr>
          <w:p>
            <w:pPr>
              <w:pStyle w:val="nTable"/>
              <w:spacing w:after="40"/>
            </w:pPr>
            <w:r>
              <w:rPr>
                <w:snapToGrid w:val="0"/>
              </w:rPr>
              <w:t>12 Sep 2016</w:t>
            </w:r>
          </w:p>
        </w:tc>
        <w:tc>
          <w:tcPr>
            <w:tcW w:w="2551" w:type="dxa"/>
            <w:tcBorders>
              <w:bottom w:val="single" w:sz="4" w:space="0" w:color="auto"/>
            </w:tcBorders>
            <w:shd w:val="clear" w:color="auto" w:fill="auto"/>
          </w:tcPr>
          <w:p>
            <w:pPr>
              <w:pStyle w:val="nTable"/>
              <w:spacing w:after="40"/>
              <w:rPr>
                <w:snapToGrid w:val="0"/>
              </w:rPr>
            </w:pPr>
            <w:r>
              <w:rPr>
                <w:snapToGrid w:val="0"/>
              </w:rPr>
              <w:t>30 Sep 2016 (see s. 2(b))</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 w:name="_Toc463008506"/>
      <w:r>
        <w:t>Provisions that have not come into operation</w:t>
      </w:r>
      <w:bookmarkEnd w:id="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19 and Pt. 5 Div.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s. 12 and s. 13(a) </w:t>
            </w:r>
            <w:r>
              <w:rPr>
                <w:snapToGrid w:val="0"/>
                <w:vertAlign w:val="superscript"/>
              </w:rPr>
              <w:t>9</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42" w:type="dxa"/>
            <w:tcBorders>
              <w:top w:val="nil"/>
              <w:bottom w:val="single" w:sz="4" w:space="0" w:color="auto"/>
            </w:tcBorders>
          </w:tcPr>
          <w:p>
            <w:pPr>
              <w:pStyle w:val="nTable"/>
              <w:spacing w:after="40"/>
              <w:ind w:right="113"/>
              <w:rPr>
                <w:snapToGrid w:val="0"/>
              </w:rPr>
            </w:pPr>
            <w:r>
              <w:rPr>
                <w:snapToGrid w:val="0"/>
              </w:rPr>
              <w:t>s. 12: 31 Dec 2016 (see s. 2(c));</w:t>
            </w:r>
            <w:r>
              <w:rPr>
                <w:snapToGrid w:val="0"/>
              </w:rPr>
              <w:br/>
              <w:t>s. 13(a): to be proclaimed (see s. 2(d))</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19</w:t>
      </w:r>
      <w:r>
        <w:t> — </w:t>
      </w:r>
      <w:r>
        <w:rPr>
          <w:rStyle w:val="CharDivText"/>
          <w:i/>
        </w:rPr>
        <w:t>Marketing of Potatoes Act 1946</w:t>
      </w:r>
      <w:r>
        <w:rPr>
          <w:rStyle w:val="CharDivText"/>
        </w:rPr>
        <w:t xml:space="preserve"> amended</w:t>
      </w:r>
    </w:p>
    <w:p>
      <w:pPr>
        <w:pStyle w:val="nzHeading5"/>
      </w:pPr>
      <w:r>
        <w:rPr>
          <w:rStyle w:val="CharSectno"/>
        </w:rPr>
        <w:t>167</w:t>
      </w:r>
      <w:r>
        <w:t>.</w:t>
      </w:r>
      <w:r>
        <w:tab/>
        <w:t xml:space="preserve">Act </w:t>
      </w:r>
      <w:r>
        <w:rPr>
          <w:iCs/>
        </w:rPr>
        <w:t>amended</w:t>
      </w:r>
    </w:p>
    <w:p>
      <w:pPr>
        <w:pStyle w:val="nzSubsection"/>
      </w:pPr>
      <w:r>
        <w:tab/>
      </w:r>
      <w:r>
        <w:tab/>
        <w:t xml:space="preserve">This Division amends the </w:t>
      </w:r>
      <w:r>
        <w:rPr>
          <w:i/>
        </w:rPr>
        <w:t>Marketing of Potatoes Act 1946</w:t>
      </w:r>
      <w:r>
        <w:t>.</w:t>
      </w:r>
    </w:p>
    <w:p>
      <w:pPr>
        <w:pStyle w:val="nzHeading5"/>
      </w:pPr>
      <w:r>
        <w:rPr>
          <w:rStyle w:val="CharSectno"/>
        </w:rPr>
        <w:t>168</w:t>
      </w:r>
      <w:r>
        <w:t>.</w:t>
      </w:r>
      <w:r>
        <w:tab/>
        <w:t>Section 22B amended</w:t>
      </w:r>
    </w:p>
    <w:p>
      <w:pPr>
        <w:pStyle w:val="nzSubsection"/>
      </w:pPr>
      <w:r>
        <w:tab/>
        <w:t>(1)</w:t>
      </w:r>
      <w:r>
        <w:tab/>
        <w:t>In section 22B(5):</w:t>
      </w:r>
    </w:p>
    <w:p>
      <w:pPr>
        <w:pStyle w:val="nzIndenta"/>
      </w:pPr>
      <w:r>
        <w:tab/>
        <w:t>(a)</w:t>
      </w:r>
      <w:r>
        <w:tab/>
        <w:t>delete “CEO (Health)” and insert:</w:t>
      </w:r>
    </w:p>
    <w:p>
      <w:pPr>
        <w:pStyle w:val="BlankOpen"/>
      </w:pPr>
    </w:p>
    <w:p>
      <w:pPr>
        <w:pStyle w:val="nzIndenta"/>
      </w:pPr>
      <w:r>
        <w:tab/>
      </w:r>
      <w:r>
        <w:tab/>
        <w:t>Chief Health Officer</w:t>
      </w:r>
    </w:p>
    <w:p>
      <w:pPr>
        <w:pStyle w:val="BlankClose"/>
      </w:pPr>
    </w:p>
    <w:p>
      <w:pPr>
        <w:pStyle w:val="nzIndenta"/>
      </w:pPr>
      <w:r>
        <w:tab/>
        <w:t>(b)</w:t>
      </w:r>
      <w:r>
        <w:tab/>
        <w:t>delete “</w:t>
      </w:r>
      <w:r>
        <w:rPr>
          <w:i/>
          <w:iCs/>
        </w:rPr>
        <w:t>Health Act 1911</w:t>
      </w:r>
      <w:r>
        <w:t>” and insert:</w:t>
      </w:r>
    </w:p>
    <w:p>
      <w:pPr>
        <w:pStyle w:val="BlankOpen"/>
      </w:pPr>
    </w:p>
    <w:p>
      <w:pPr>
        <w:pStyle w:val="nzIndenta"/>
      </w:pPr>
      <w:r>
        <w:rPr>
          <w:i/>
          <w:iCs/>
        </w:rPr>
        <w:tab/>
      </w:r>
      <w:r>
        <w:rPr>
          <w:i/>
          <w:iCs/>
        </w:rPr>
        <w:tab/>
        <w:t>Health (Miscellaneous Provisions) Act 1911</w:t>
      </w:r>
      <w:r>
        <w:t xml:space="preserve"> or the </w:t>
      </w:r>
      <w:r>
        <w:rPr>
          <w:i/>
        </w:rPr>
        <w:t>Food Act </w:t>
      </w:r>
      <w:r>
        <w:rPr>
          <w:i/>
          <w:iCs/>
        </w:rPr>
        <w:t>2008</w:t>
      </w:r>
    </w:p>
    <w:p>
      <w:pPr>
        <w:pStyle w:val="BlankClose"/>
      </w:pPr>
    </w:p>
    <w:p>
      <w:pPr>
        <w:pStyle w:val="nzSubsection"/>
      </w:pPr>
      <w:r>
        <w:tab/>
        <w:t>(2)</w:t>
      </w:r>
      <w:r>
        <w:tab/>
        <w:t>After section 22B(5) insert:</w:t>
      </w:r>
    </w:p>
    <w:p>
      <w:pPr>
        <w:pStyle w:val="BlankOpen"/>
      </w:pPr>
    </w:p>
    <w:p>
      <w:pPr>
        <w:pStyle w:val="nzSubsection"/>
      </w:pPr>
      <w:r>
        <w:tab/>
        <w:t>(6A)</w:t>
      </w:r>
      <w:r>
        <w:tab/>
        <w:t xml:space="preserve">In subsection (5)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Subsection"/>
      </w:pPr>
      <w:r>
        <w:tab/>
        <w:t>(3)</w:t>
      </w:r>
      <w:r>
        <w:tab/>
        <w:t>Delete section 22B(10).</w:t>
      </w:r>
    </w:p>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13</w:t>
      </w:r>
      <w:r>
        <w:t> — </w:t>
      </w:r>
      <w:r>
        <w:rPr>
          <w:rStyle w:val="CharDivText"/>
          <w:i/>
        </w:rPr>
        <w:t>Marketing of Potatoes Act 1946</w:t>
      </w:r>
      <w:r>
        <w:t xml:space="preserve"> </w:t>
      </w:r>
      <w:r>
        <w:rPr>
          <w:rStyle w:val="CharDivText"/>
        </w:rPr>
        <w:t>amended</w:t>
      </w:r>
    </w:p>
    <w:p>
      <w:pPr>
        <w:pStyle w:val="nzHeading5"/>
      </w:pPr>
      <w:r>
        <w:rPr>
          <w:rStyle w:val="CharSectno"/>
        </w:rPr>
        <w:t>304</w:t>
      </w:r>
      <w:r>
        <w:t>.</w:t>
      </w:r>
      <w:r>
        <w:tab/>
        <w:t xml:space="preserve">Act </w:t>
      </w:r>
      <w:r>
        <w:rPr>
          <w:iCs/>
        </w:rPr>
        <w:t>amended</w:t>
      </w:r>
    </w:p>
    <w:p>
      <w:pPr>
        <w:pStyle w:val="nzSubsection"/>
      </w:pPr>
      <w:r>
        <w:tab/>
      </w:r>
      <w:r>
        <w:tab/>
        <w:t xml:space="preserve">This Division amends the </w:t>
      </w:r>
      <w:r>
        <w:rPr>
          <w:i/>
        </w:rPr>
        <w:t>Marketing of Potatoes Act 1946</w:t>
      </w:r>
      <w:r>
        <w:t>.</w:t>
      </w:r>
    </w:p>
    <w:p>
      <w:pPr>
        <w:pStyle w:val="nzHeading5"/>
      </w:pPr>
      <w:r>
        <w:rPr>
          <w:rStyle w:val="CharSectno"/>
        </w:rPr>
        <w:t>305</w:t>
      </w:r>
      <w:r>
        <w:t>.</w:t>
      </w:r>
      <w:r>
        <w:tab/>
        <w:t>Section 22B amended</w:t>
      </w:r>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s. 12 and 13(a) </w:t>
      </w:r>
      <w:r>
        <w:rPr>
          <w:snapToGrid w:val="0"/>
        </w:rPr>
        <w:t>had not come into operation. They read as follows:</w:t>
      </w:r>
    </w:p>
    <w:p>
      <w:pPr>
        <w:pStyle w:val="BlankOpen"/>
      </w:pPr>
    </w:p>
    <w:p>
      <w:pPr>
        <w:pStyle w:val="nzHeading5"/>
      </w:pPr>
      <w:r>
        <w:rPr>
          <w:rStyle w:val="CharSectno"/>
        </w:rPr>
        <w:t>12</w:t>
      </w:r>
      <w:r>
        <w:t>.</w:t>
      </w:r>
      <w:r>
        <w:tab/>
        <w:t>Part 6 inserted</w:t>
      </w:r>
    </w:p>
    <w:p>
      <w:pPr>
        <w:pStyle w:val="nzSubsection"/>
        <w:keepNext/>
      </w:pPr>
      <w:r>
        <w:tab/>
      </w:r>
      <w:r>
        <w:tab/>
        <w:t>At the end of the Act insert:</w:t>
      </w:r>
    </w:p>
    <w:p>
      <w:pPr>
        <w:pStyle w:val="BlankOpen"/>
      </w:pPr>
    </w:p>
    <w:p>
      <w:pPr>
        <w:pStyle w:val="nzHeading2"/>
      </w:pPr>
      <w:r>
        <w:t>Part 6</w:t>
      </w:r>
      <w:r>
        <w:rPr>
          <w:b w:val="0"/>
        </w:rPr>
        <w:t> </w:t>
      </w:r>
      <w:r>
        <w:t>—</w:t>
      </w:r>
      <w:r>
        <w:rPr>
          <w:b w:val="0"/>
        </w:rPr>
        <w:t> </w:t>
      </w:r>
      <w:r>
        <w:t xml:space="preserve">Transitional provisions for </w:t>
      </w:r>
      <w:r>
        <w:rPr>
          <w:i/>
        </w:rPr>
        <w:t>Marketing of Potatoes Amendment and Repeal Act 2016</w:t>
      </w:r>
    </w:p>
    <w:p>
      <w:pPr>
        <w:pStyle w:val="nzHeading5"/>
      </w:pPr>
      <w:r>
        <w:t>45.</w:t>
      </w:r>
      <w:r>
        <w:tab/>
        <w:t>Terms used</w:t>
      </w:r>
    </w:p>
    <w:p>
      <w:pPr>
        <w:pStyle w:val="nzSubsection"/>
      </w:pPr>
      <w:r>
        <w:tab/>
      </w:r>
      <w:r>
        <w:tab/>
        <w:t xml:space="preserve">In this Part, unless the contrary intention appears — </w:t>
      </w:r>
    </w:p>
    <w:p>
      <w:pPr>
        <w:pStyle w:val="nzDefstart"/>
      </w:pPr>
      <w:r>
        <w:tab/>
      </w:r>
      <w:r>
        <w:rPr>
          <w:rStyle w:val="CharDefText"/>
        </w:rPr>
        <w:t>assets</w:t>
      </w:r>
      <w:r>
        <w:t xml:space="preserve"> — </w:t>
      </w:r>
    </w:p>
    <w:p>
      <w:pPr>
        <w:pStyle w:val="nzDefpara"/>
      </w:pPr>
      <w:r>
        <w:tab/>
        <w:t>(a)</w:t>
      </w:r>
      <w:r>
        <w:tab/>
        <w:t>means any legal or equitable estate or interest (whether present or future, whether vested or contingent and whether personal or assignable) in real or personal property of any description; and</w:t>
      </w:r>
    </w:p>
    <w:p>
      <w:pPr>
        <w:pStyle w:val="nzDefpara"/>
      </w:pPr>
      <w:r>
        <w:tab/>
        <w:t>(b)</w:t>
      </w:r>
      <w:r>
        <w:tab/>
        <w:t>includes money and securities, choses in action and documents;</w:t>
      </w:r>
    </w:p>
    <w:p>
      <w:pPr>
        <w:pStyle w:val="nzDefstart"/>
      </w:pPr>
      <w:r>
        <w:tab/>
      </w:r>
      <w:r>
        <w:rPr>
          <w:rStyle w:val="CharDefText"/>
        </w:rPr>
        <w:t>former Corporation</w:t>
      </w:r>
      <w:r>
        <w:t xml:space="preserve"> means the Corporation as in existence immediately before transition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rStyle w:val="CharDefText"/>
        </w:rPr>
        <w:tab/>
        <w:t>new employer</w:t>
      </w:r>
      <w:r>
        <w:t xml:space="preserve"> means a department of the Public Service of the State designated by the Minister by notice published in the </w:t>
      </w:r>
      <w:r>
        <w:rPr>
          <w:i/>
        </w:rPr>
        <w:t>Gazette</w:t>
      </w:r>
      <w:r>
        <w:t>;</w:t>
      </w:r>
    </w:p>
    <w:p>
      <w:pPr>
        <w:pStyle w:val="nzDefstart"/>
      </w:pPr>
      <w:r>
        <w:tab/>
      </w:r>
      <w:r>
        <w:rPr>
          <w:rStyle w:val="CharDefText"/>
        </w:rPr>
        <w:t>right</w:t>
      </w:r>
      <w:r>
        <w:t xml:space="preserve"> means any right, power, privilege or immunity whether actual, contingent or prospective.</w:t>
      </w:r>
    </w:p>
    <w:p>
      <w:pPr>
        <w:pStyle w:val="nzHeading5"/>
      </w:pPr>
      <w:r>
        <w:t>46.</w:t>
      </w:r>
      <w:r>
        <w:tab/>
        <w:t>Former Corporation abolished</w:t>
      </w:r>
    </w:p>
    <w:p>
      <w:pPr>
        <w:pStyle w:val="nzSubsection"/>
      </w:pPr>
      <w:r>
        <w:tab/>
        <w:t>(1)</w:t>
      </w:r>
      <w:r>
        <w:tab/>
        <w:t>On transition day, the former Corporation is abolished.</w:t>
      </w:r>
    </w:p>
    <w:p>
      <w:pPr>
        <w:pStyle w:val="nzSubsection"/>
      </w:pPr>
      <w:r>
        <w:tab/>
        <w:t>(2)</w:t>
      </w:r>
      <w:r>
        <w:tab/>
        <w:t>A person who, immediately before transition day, is a member of the former Corporation ceases to be a member on that day.</w:t>
      </w:r>
    </w:p>
    <w:p>
      <w:pPr>
        <w:pStyle w:val="nzHeading5"/>
      </w:pPr>
      <w:r>
        <w:t>47.</w:t>
      </w:r>
      <w:r>
        <w:tab/>
        <w:t>Existing employees</w:t>
      </w:r>
    </w:p>
    <w:p>
      <w:pPr>
        <w:pStyle w:val="nzSubsection"/>
      </w:pPr>
      <w:r>
        <w:tab/>
        <w:t>(1)</w:t>
      </w:r>
      <w:r>
        <w:tab/>
        <w:t xml:space="preserve">In this section — </w:t>
      </w:r>
    </w:p>
    <w:p>
      <w:pPr>
        <w:pStyle w:val="nzDefstart"/>
      </w:pPr>
      <w:r>
        <w:tab/>
      </w:r>
      <w:r>
        <w:rPr>
          <w:rStyle w:val="CharDefText"/>
        </w:rPr>
        <w:t>existing employee</w:t>
      </w:r>
      <w:r>
        <w:t xml:space="preserve"> means a person — </w:t>
      </w:r>
    </w:p>
    <w:p>
      <w:pPr>
        <w:pStyle w:val="nzDefpara"/>
      </w:pPr>
      <w:r>
        <w:tab/>
        <w:t>(a)</w:t>
      </w:r>
      <w:r>
        <w:tab/>
        <w:t>who, immediately before transition day, is employed by the former Corporation; and</w:t>
      </w:r>
    </w:p>
    <w:p>
      <w:pPr>
        <w:pStyle w:val="nzDefpara"/>
      </w:pPr>
      <w:r>
        <w:tab/>
        <w:t>(b)</w:t>
      </w:r>
      <w:r>
        <w:tab/>
        <w:t>whose contract of employment does not expire until after that day.</w:t>
      </w:r>
    </w:p>
    <w:p>
      <w:pPr>
        <w:pStyle w:val="nzSubsection"/>
      </w:pPr>
      <w:r>
        <w:tab/>
        <w:t>(2)</w:t>
      </w:r>
      <w:r>
        <w:tab/>
        <w:t>An existing employee, on and after transition day, is taken to be employed under this Act as an employee of the new employer.</w:t>
      </w:r>
    </w:p>
    <w:p>
      <w:pPr>
        <w:pStyle w:val="nzSubsection"/>
        <w:keepNext/>
      </w:pPr>
      <w:r>
        <w:tab/>
        <w:t>(3)</w:t>
      </w:r>
      <w:r>
        <w:tab/>
        <w:t xml:space="preserve">Except as otherwise agreed by an existing employee, the operation of this section does not — </w:t>
      </w:r>
    </w:p>
    <w:p>
      <w:pPr>
        <w:pStyle w:val="nzIndenta"/>
      </w:pPr>
      <w:r>
        <w:tab/>
        <w:t>(a)</w:t>
      </w:r>
      <w:r>
        <w:tab/>
        <w:t>affect the employee’s remuneration; or</w:t>
      </w:r>
    </w:p>
    <w:p>
      <w:pPr>
        <w:pStyle w:val="nzIndenta"/>
      </w:pPr>
      <w:r>
        <w:tab/>
        <w:t>(b)</w:t>
      </w:r>
      <w:r>
        <w:tab/>
        <w:t>affect the employee’s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employee’s service.</w:t>
      </w:r>
    </w:p>
    <w:p>
      <w:pPr>
        <w:pStyle w:val="nzSubsection"/>
        <w:keepNext/>
      </w:pPr>
      <w:r>
        <w:tab/>
        <w:t>(4)</w:t>
      </w:r>
      <w:r>
        <w:tab/>
        <w:t xml:space="preserve">For the purposes of this section — </w:t>
      </w:r>
    </w:p>
    <w:p>
      <w:pPr>
        <w:pStyle w:val="nzIndenta"/>
      </w:pPr>
      <w:r>
        <w:tab/>
        <w:t>(a)</w:t>
      </w:r>
      <w:r>
        <w:tab/>
        <w:t>an existing employee’s service with the former Corporation is taken to have been service with the new employer; and</w:t>
      </w:r>
    </w:p>
    <w:p>
      <w:pPr>
        <w:pStyle w:val="nz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nzHeading5"/>
      </w:pPr>
      <w:r>
        <w:t>48.</w:t>
      </w:r>
      <w:r>
        <w:tab/>
        <w:t>Transfer of contracts for services</w:t>
      </w:r>
    </w:p>
    <w:p>
      <w:pPr>
        <w:pStyle w:val="nz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nzHeading5"/>
      </w:pPr>
      <w:r>
        <w:t>49.</w:t>
      </w:r>
      <w:r>
        <w:tab/>
        <w:t>Transfer of assets, liabilities, proceedings, remedies and immunities</w:t>
      </w:r>
    </w:p>
    <w:p>
      <w:pPr>
        <w:pStyle w:val="nzSubsection"/>
      </w:pPr>
      <w:r>
        <w:tab/>
        <w:t>(1)</w:t>
      </w:r>
      <w:r>
        <w:tab/>
        <w:t>On transition day —</w:t>
      </w:r>
    </w:p>
    <w:p>
      <w:pPr>
        <w:pStyle w:val="nzIndenta"/>
      </w:pPr>
      <w:r>
        <w:tab/>
        <w:t>(a)</w:t>
      </w:r>
      <w:r>
        <w:tab/>
        <w:t>the assets and rights of the former Corporation immediately before that day vest in or become, by force of this section, the property of the State; and</w:t>
      </w:r>
    </w:p>
    <w:p>
      <w:pPr>
        <w:pStyle w:val="nzIndenta"/>
      </w:pPr>
      <w:r>
        <w:tab/>
        <w:t>(b)</w:t>
      </w:r>
      <w:r>
        <w:tab/>
        <w:t>the liabilities of the former Corporation immediately before that day become, by force of this section, the liabilities of the State.</w:t>
      </w:r>
    </w:p>
    <w:p>
      <w:pPr>
        <w:pStyle w:val="nz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nz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nzHeading5"/>
      </w:pPr>
      <w:r>
        <w:t>50.</w:t>
      </w:r>
      <w:r>
        <w:tab/>
        <w:t>Exemption from State tax</w:t>
      </w:r>
    </w:p>
    <w:p>
      <w:pPr>
        <w:pStyle w:val="nzSubsection"/>
        <w:keepNext/>
      </w:pPr>
      <w:r>
        <w:tab/>
        <w:t>(1)</w:t>
      </w:r>
      <w:r>
        <w:tab/>
        <w:t xml:space="preserve">In this section — </w:t>
      </w:r>
    </w:p>
    <w:p>
      <w:pPr>
        <w:pStyle w:val="nzDefstart"/>
      </w:pPr>
      <w:r>
        <w:tab/>
      </w:r>
      <w:r>
        <w:rPr>
          <w:rStyle w:val="CharDefText"/>
        </w:rPr>
        <w:t>State tax</w:t>
      </w:r>
      <w:r>
        <w:t xml:space="preserve"> includes — </w:t>
      </w:r>
    </w:p>
    <w:p>
      <w:pPr>
        <w:pStyle w:val="nzIndenta"/>
      </w:pPr>
      <w:r>
        <w:tab/>
        <w:t>(a)</w:t>
      </w:r>
      <w:r>
        <w:tab/>
        <w:t xml:space="preserve">duty chargeable under the </w:t>
      </w:r>
      <w:r>
        <w:rPr>
          <w:i/>
        </w:rPr>
        <w:t>Duties Act 2008</w:t>
      </w:r>
      <w:r>
        <w:t>; and</w:t>
      </w:r>
    </w:p>
    <w:p>
      <w:pPr>
        <w:pStyle w:val="nzIndent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Minister may certify in writing that — </w:t>
      </w:r>
    </w:p>
    <w:p>
      <w:pPr>
        <w:pStyle w:val="nzIndenta"/>
      </w:pPr>
      <w:r>
        <w:tab/>
        <w:t>(a)</w:t>
      </w:r>
      <w:r>
        <w:tab/>
        <w:t>a specified thing occurred by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sufficient evidence of the matters it certifies, unless the contrary is shown.</w:t>
      </w:r>
    </w:p>
    <w:p>
      <w:pPr>
        <w:pStyle w:val="nzHeading5"/>
      </w:pPr>
      <w:r>
        <w:t>51.</w:t>
      </w:r>
      <w:r>
        <w:tab/>
        <w:t>Closure of accounts</w:t>
      </w:r>
    </w:p>
    <w:p>
      <w:pPr>
        <w:pStyle w:val="nzSubsection"/>
      </w:pPr>
      <w:r>
        <w:tab/>
        <w:t>(1)</w:t>
      </w:r>
      <w:r>
        <w:tab/>
        <w:t>As soon as is practicable after transition day, any account maintained by the former Corporation must be closed by the Minister and the moneys in the account credited to the Account.</w:t>
      </w:r>
    </w:p>
    <w:p>
      <w:pPr>
        <w:pStyle w:val="nz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nzSubsection"/>
      </w:pPr>
      <w:r>
        <w:tab/>
        <w:t>(3)</w:t>
      </w:r>
      <w:r>
        <w:tab/>
        <w:t xml:space="preserve">The Minister must, by notice published in the </w:t>
      </w:r>
      <w:r>
        <w:rPr>
          <w:i/>
        </w:rPr>
        <w:t>Gazette</w:t>
      </w:r>
      <w:r>
        <w:t>, order that the Account be closed if the Minister is satisfied that —</w:t>
      </w:r>
    </w:p>
    <w:p>
      <w:pPr>
        <w:pStyle w:val="nzIndenta"/>
      </w:pPr>
      <w:r>
        <w:tab/>
        <w:t>(a)</w:t>
      </w:r>
      <w:r>
        <w:tab/>
        <w:t>there is no money standing to the credit of that account; and</w:t>
      </w:r>
    </w:p>
    <w:p>
      <w:pPr>
        <w:pStyle w:val="nzIndenta"/>
      </w:pPr>
      <w:r>
        <w:tab/>
        <w:t>(b)</w:t>
      </w:r>
      <w:r>
        <w:tab/>
        <w:t>there is no further money to be credited to that account.</w:t>
      </w:r>
    </w:p>
    <w:p>
      <w:pPr>
        <w:pStyle w:val="nzSubsection"/>
      </w:pPr>
      <w:r>
        <w:tab/>
        <w:t>(4)</w:t>
      </w:r>
      <w:r>
        <w:tab/>
        <w:t>On the publication of an order under subsection (3), the Account is closed.</w:t>
      </w:r>
    </w:p>
    <w:p>
      <w:pPr>
        <w:pStyle w:val="nzHeading5"/>
      </w:pPr>
      <w:r>
        <w:t>52.</w:t>
      </w:r>
      <w:r>
        <w:tab/>
        <w:t>Agreements, instruments and documents</w:t>
      </w:r>
    </w:p>
    <w:p>
      <w:pPr>
        <w:pStyle w:val="nzSubsection"/>
      </w:pPr>
      <w:r>
        <w:tab/>
        <w:t>(1)</w:t>
      </w:r>
      <w:r>
        <w:tab/>
        <w:t xml:space="preserve">In this section — </w:t>
      </w:r>
    </w:p>
    <w:p>
      <w:pPr>
        <w:pStyle w:val="nzDefstart"/>
      </w:pPr>
      <w:r>
        <w:tab/>
      </w:r>
      <w:r>
        <w:rPr>
          <w:rStyle w:val="CharDefText"/>
        </w:rPr>
        <w:t>subsisting</w:t>
      </w:r>
      <w:r>
        <w:t>, in relation to an agreement, instrument or document, means subsisting immediately before transition day.</w:t>
      </w:r>
    </w:p>
    <w:p>
      <w:pPr>
        <w:pStyle w:val="nzSubsection"/>
      </w:pPr>
      <w:r>
        <w:tab/>
        <w:t>(2)</w:t>
      </w:r>
      <w:r>
        <w:tab/>
        <w:t>A subsisting agreement, instrument or document that contains a reference to the former Corporation has effect from that day as if that reference were amended to be a reference to the Minister.</w:t>
      </w:r>
    </w:p>
    <w:p>
      <w:pPr>
        <w:pStyle w:val="nzSubsection"/>
      </w:pPr>
      <w:r>
        <w:tab/>
        <w:t>(3)</w:t>
      </w:r>
      <w:r>
        <w:tab/>
        <w:t>Subsection (2) does not apply to an agreement or instrument to which the former Corporation was a party.</w:t>
      </w:r>
    </w:p>
    <w:p>
      <w:pPr>
        <w:pStyle w:val="nzSubsection"/>
      </w:pPr>
      <w:r>
        <w:tab/>
        <w:t>(4)</w:t>
      </w:r>
      <w:r>
        <w:tab/>
        <w:t xml:space="preserve">A subsisting agreement or instrument to which the former Corporation was a party has effect from transition day as if — </w:t>
      </w:r>
    </w:p>
    <w:p>
      <w:pPr>
        <w:pStyle w:val="nzIndenta"/>
      </w:pPr>
      <w:r>
        <w:tab/>
        <w:t>(a)</w:t>
      </w:r>
      <w:r>
        <w:tab/>
        <w:t>the Minister were substituted for the former Corporation as a party to the agreement or instrument; and</w:t>
      </w:r>
    </w:p>
    <w:p>
      <w:pPr>
        <w:pStyle w:val="nzIndenta"/>
      </w:pPr>
      <w:r>
        <w:tab/>
        <w:t>(b)</w:t>
      </w:r>
      <w:r>
        <w:tab/>
        <w:t>a reference to the former Corporation in the agreement or instrument were amended to be a reference to the Minister.</w:t>
      </w:r>
    </w:p>
    <w:p>
      <w:pPr>
        <w:pStyle w:val="nzSubsection"/>
      </w:pPr>
      <w:r>
        <w:tab/>
        <w:t>(5)</w:t>
      </w:r>
      <w:r>
        <w:tab/>
        <w:t xml:space="preserve">Subsection (2) or (4)(b) does not apply to a reference if — </w:t>
      </w:r>
    </w:p>
    <w:p>
      <w:pPr>
        <w:pStyle w:val="nzIndenta"/>
      </w:pPr>
      <w:r>
        <w:tab/>
        <w:t>(a)</w:t>
      </w:r>
      <w:r>
        <w:tab/>
        <w:t>regulations made under section 57 provide otherwise; or</w:t>
      </w:r>
    </w:p>
    <w:p>
      <w:pPr>
        <w:pStyle w:val="nzIndenta"/>
      </w:pPr>
      <w:r>
        <w:tab/>
        <w:t>(b)</w:t>
      </w:r>
      <w:r>
        <w:tab/>
        <w:t>that application would be inappropriate in the context in which the reference occurs.</w:t>
      </w:r>
    </w:p>
    <w:p>
      <w:pPr>
        <w:pStyle w:val="nzHeading5"/>
      </w:pPr>
      <w:r>
        <w:t>53.</w:t>
      </w:r>
      <w:r>
        <w:tab/>
        <w:t>Completion of things commenced</w:t>
      </w:r>
    </w:p>
    <w:p>
      <w:pPr>
        <w:pStyle w:val="nzSubsection"/>
      </w:pPr>
      <w:r>
        <w:tab/>
      </w:r>
      <w:r>
        <w:tab/>
        <w:t>Anything commenced to be done by the former Corporation before transition day may be continued by the Minister so far as the doing of that thing is within the functions of the Minister.</w:t>
      </w:r>
    </w:p>
    <w:p>
      <w:pPr>
        <w:pStyle w:val="nzHeading5"/>
      </w:pPr>
      <w:r>
        <w:t>54.</w:t>
      </w:r>
      <w:r>
        <w:tab/>
        <w:t>Continuing effect of things done</w:t>
      </w:r>
    </w:p>
    <w:p>
      <w:pPr>
        <w:pStyle w:val="nzSubsection"/>
      </w:pPr>
      <w:r>
        <w:tab/>
        <w:t>(1)</w:t>
      </w:r>
      <w:r>
        <w:tab/>
        <w:t xml:space="preserve">In this section — </w:t>
      </w:r>
    </w:p>
    <w:p>
      <w:pPr>
        <w:pStyle w:val="nzDefstart"/>
      </w:pPr>
      <w:r>
        <w:tab/>
      </w:r>
      <w:r>
        <w:rPr>
          <w:rStyle w:val="CharDefText"/>
        </w:rPr>
        <w:t>relevant act</w:t>
      </w:r>
      <w:r>
        <w:t xml:space="preserve"> means an act, matter or thing done or omitted to be done before transition day by, to or in respect of the former Corporation.</w:t>
      </w:r>
    </w:p>
    <w:p>
      <w:pPr>
        <w:pStyle w:val="nz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nzSubsection"/>
      </w:pPr>
      <w:r>
        <w:tab/>
        <w:t>(3)</w:t>
      </w:r>
      <w:r>
        <w:tab/>
        <w:t>This section does not affect the operation of any other provision of this Part.</w:t>
      </w:r>
    </w:p>
    <w:p>
      <w:pPr>
        <w:pStyle w:val="nzHeading5"/>
      </w:pPr>
      <w:r>
        <w:t>55.</w:t>
      </w:r>
      <w:r>
        <w:tab/>
        <w:t>Effect on other instruments, rights and obligations</w:t>
      </w:r>
    </w:p>
    <w:p>
      <w:pPr>
        <w:pStyle w:val="nzSubsection"/>
      </w:pPr>
      <w:r>
        <w:tab/>
      </w:r>
      <w:r>
        <w:tab/>
        <w:t xml:space="preserve">The operation of this Part must not be regarded — </w:t>
      </w:r>
    </w:p>
    <w:p>
      <w:pPr>
        <w:pStyle w:val="nzIndenta"/>
      </w:pPr>
      <w:r>
        <w:tab/>
        <w:t>(a)</w:t>
      </w:r>
      <w:r>
        <w:tab/>
        <w:t>as a breach of contract or confidence or otherwise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5"/>
      </w:pPr>
      <w:r>
        <w:t>56.</w:t>
      </w:r>
      <w:r>
        <w:tab/>
      </w:r>
      <w:r>
        <w:rPr>
          <w:i/>
        </w:rPr>
        <w:t>Interpretation Act 1984</w:t>
      </w:r>
      <w:r>
        <w:t xml:space="preserve"> not affected</w:t>
      </w:r>
    </w:p>
    <w:p>
      <w:pPr>
        <w:pStyle w:val="nz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nzHeading5"/>
      </w:pPr>
      <w:r>
        <w:t>57.</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made under subsection (2);</w:t>
      </w:r>
    </w:p>
    <w:p>
      <w:pPr>
        <w:pStyle w:val="nz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nz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nzSubsection"/>
      </w:pPr>
      <w:r>
        <w:tab/>
        <w:t>(3)</w:t>
      </w:r>
      <w:r>
        <w:tab/>
        <w:t xml:space="preserve">Regulations made under subsection (2) may provide that specified provisions of a written law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nzSubsection"/>
      </w:pPr>
      <w:r>
        <w:tab/>
        <w:t>(5)</w:t>
      </w:r>
      <w:r>
        <w:tab/>
        <w:t xml:space="preserve">If regulations contain a provision referred to in subsection (4), the provision does not operate so as — </w:t>
      </w:r>
    </w:p>
    <w:p>
      <w:pPr>
        <w:pStyle w:val="nzIndenta"/>
      </w:pPr>
      <w:r>
        <w:tab/>
        <w:t>(a)</w:t>
      </w:r>
      <w:r>
        <w:tab/>
        <w:t>to affect in a manner prejudicial to a person (other than the State or an authority of the State) the rights of that person existing before the publication day for those regulations; or</w:t>
      </w:r>
    </w:p>
    <w:p>
      <w:pPr>
        <w:pStyle w:val="nzIndenta"/>
      </w:pPr>
      <w:r>
        <w:tab/>
        <w:t>(b)</w:t>
      </w:r>
      <w:r>
        <w:tab/>
        <w:t>to impose liabilities on a person (other than the State or an authority of the State) in respect of an act done or omission made before the publication day for those regulations.</w:t>
      </w:r>
    </w:p>
    <w:p>
      <w:pPr>
        <w:pStyle w:val="nzSubsection"/>
        <w:keepNext/>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BlankClose"/>
      </w:pPr>
    </w:p>
    <w:p>
      <w:pPr>
        <w:pStyle w:val="nzHeading5"/>
      </w:pPr>
      <w:r>
        <w:rPr>
          <w:rStyle w:val="CharSectno"/>
        </w:rPr>
        <w:t>13</w:t>
      </w:r>
      <w:r>
        <w:t>.</w:t>
      </w:r>
      <w:r>
        <w:tab/>
        <w:t>Repeals</w:t>
      </w:r>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82" w:name="_Toc463008507"/>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transition day</w:t>
      </w:r>
      <w:r>
        <w:tab/>
        <w:t>5(1)</w:t>
      </w:r>
    </w:p>
    <w:p>
      <w:pPr>
        <w:pStyle w:val="DefinedTerms"/>
      </w:pPr>
      <w:r>
        <w:t>ware potato</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30124812"/>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9E5B1-2413-4DF2-867B-88650BB66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18452</Words>
  <Characters>87465</Characters>
  <Application>Microsoft Office Word</Application>
  <DocSecurity>0</DocSecurity>
  <Lines>2429</Lines>
  <Paragraphs>1203</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1946 - 06-f0-00</dc:title>
  <dc:subject/>
  <dc:creator/>
  <cp:keywords/>
  <dc:description/>
  <cp:lastModifiedBy>svcMRProcess</cp:lastModifiedBy>
  <cp:revision>4</cp:revision>
  <cp:lastPrinted>2012-05-02T04:05:00Z</cp:lastPrinted>
  <dcterms:created xsi:type="dcterms:W3CDTF">2018-09-04T07:08:00Z</dcterms:created>
  <dcterms:modified xsi:type="dcterms:W3CDTF">2018-09-04T07:08:00Z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AsAtDate">
    <vt:lpwstr>30 Sep 2016</vt:lpwstr>
  </property>
  <property fmtid="{D5CDD505-2E9C-101B-9397-08002B2CF9AE}" pid="9" name="Suffix">
    <vt:lpwstr>06-f0-00</vt:lpwstr>
  </property>
  <property fmtid="{D5CDD505-2E9C-101B-9397-08002B2CF9AE}" pid="10" name="CommencementDate">
    <vt:lpwstr>20160930</vt:lpwstr>
  </property>
</Properties>
</file>