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500" w:after="2200"/>
        <w:ind w:left="426" w:right="576"/>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pStyle w:val="Subsection"/>
      </w:pPr>
      <w:r>
        <w:tab/>
      </w:r>
      <w:r>
        <w:tab/>
        <w:t xml:space="preserve">These rules were repealed by the </w:t>
      </w:r>
      <w:r>
        <w:rPr>
          <w:i/>
        </w:rPr>
        <w:t>Lotteries Commission (Authorised Lotteries) Rules 2016</w:t>
      </w:r>
      <w:r>
        <w:t xml:space="preserve"> r. 146(f) as at 8 Oct 2016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(Saturday Lotto) Rules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_Toc463612414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_Toc463612415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_Toc463612416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entry</w:t>
      </w:r>
    </w:p>
    <w:p>
      <w:pPr>
        <w:pStyle w:val="TOC8"/>
        <w:rPr>
          <w:rFonts w:asciiTheme="minorHAnsi" w:eastAsiaTheme="minorEastAsia" w:hAnsiTheme="minorHAnsi" w:cstheme="minorBidi"/>
          <w:szCs w:val="22"/>
        </w:rPr>
      </w:pPr>
      <w:r>
        <w:t>4</w:t>
      </w:r>
      <w:r>
        <w:rPr>
          <w:snapToGrid w:val="0"/>
        </w:rPr>
        <w:t>.</w:t>
      </w:r>
      <w:r>
        <w:rPr>
          <w:snapToGrid w:val="0"/>
        </w:rPr>
        <w:tab/>
        <w:t>Playslips, information on</w:t>
      </w:r>
      <w:r>
        <w:tab/>
      </w:r>
      <w:r>
        <w:fldChar w:fldCharType="begin"/>
      </w:r>
      <w:r>
        <w:instrText xml:space="preserve"> PAGEREF _Toc463612418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Methods of entry</w:t>
      </w:r>
      <w:r>
        <w:tab/>
      </w:r>
      <w:r>
        <w:fldChar w:fldCharType="begin"/>
      </w:r>
      <w:r>
        <w:instrText xml:space="preserve"> PAGEREF _Toc463612419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limit to number of entries</w:t>
      </w:r>
      <w:r>
        <w:tab/>
      </w:r>
      <w:r>
        <w:fldChar w:fldCharType="begin"/>
      </w:r>
      <w:r>
        <w:instrText xml:space="preserve"> PAGEREF _Toc463612420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 66 entry may be made with lotto entry</w:t>
      </w:r>
      <w:r>
        <w:tab/>
      </w:r>
      <w:r>
        <w:fldChar w:fldCharType="begin"/>
      </w:r>
      <w:r>
        <w:instrText xml:space="preserve"> PAGEREF _Toc463612421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Playslips, how to be filled out</w:t>
      </w:r>
      <w:r>
        <w:tab/>
      </w:r>
      <w:r>
        <w:fldChar w:fldCharType="begin"/>
      </w:r>
      <w:r>
        <w:instrText xml:space="preserve"> PAGEREF _Toc463612422 \h </w:instrText>
      </w:r>
      <w:r>
        <w:fldChar w:fldCharType="separate"/>
      </w:r>
      <w:r>
        <w:t>5</w:t>
      </w:r>
      <w:r>
        <w:fldChar w:fldCharType="end"/>
      </w:r>
    </w:p>
    <w:p>
      <w:pPr>
        <w:pStyle w:val="TOC8"/>
        <w:rPr>
          <w:rFonts w:asciiTheme="minorHAnsi" w:eastAsiaTheme="minorEastAsia" w:hAnsiTheme="minorHAnsi" w:cstheme="minorBidi"/>
          <w:szCs w:val="22"/>
        </w:rPr>
      </w:pPr>
      <w:r>
        <w:t>8A.</w:t>
      </w:r>
      <w:r>
        <w:tab/>
        <w:t>Ticket repeat method of entry</w:t>
      </w:r>
      <w:r>
        <w:tab/>
      </w:r>
      <w:r>
        <w:fldChar w:fldCharType="begin"/>
      </w:r>
      <w:r>
        <w:instrText xml:space="preserve"> PAGEREF _Toc463612423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Favourite numbers, use of</w:t>
      </w:r>
      <w:r>
        <w:tab/>
      </w:r>
      <w:r>
        <w:fldChar w:fldCharType="begin"/>
      </w:r>
      <w:r>
        <w:instrText xml:space="preserve"> PAGEREF _Toc463612424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Oral request for entry</w:t>
      </w:r>
      <w:r>
        <w:tab/>
      </w:r>
      <w:r>
        <w:fldChar w:fldCharType="begin"/>
      </w:r>
      <w:r>
        <w:instrText xml:space="preserve"> PAGEREF _Toc463612425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Receipted tickets to be issued</w:t>
      </w:r>
      <w:r>
        <w:tab/>
      </w:r>
      <w:r>
        <w:fldChar w:fldCharType="begin"/>
      </w:r>
      <w:r>
        <w:instrText xml:space="preserve"> PAGEREF _Toc463612426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Receipted tickets, surrender of</w:t>
      </w:r>
      <w:r>
        <w:tab/>
      </w:r>
      <w:r>
        <w:fldChar w:fldCharType="begin"/>
      </w:r>
      <w:r>
        <w:instrText xml:space="preserve"> PAGEREF _Toc463612427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Receipted tickets, agents not required to check accuracy of</w:t>
      </w:r>
      <w:r>
        <w:tab/>
      </w:r>
      <w:r>
        <w:fldChar w:fldCharType="begin"/>
      </w:r>
      <w:r>
        <w:instrText xml:space="preserve"> PAGEREF _Toc463612428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Receipted tickets, effect of</w:t>
      </w:r>
      <w:r>
        <w:tab/>
      </w:r>
      <w:r>
        <w:fldChar w:fldCharType="begin"/>
      </w:r>
      <w:r>
        <w:instrText xml:space="preserve"> PAGEREF _Toc463612429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Syndicate entries</w:t>
      </w:r>
    </w:p>
    <w:p>
      <w:pPr>
        <w:pStyle w:val="TOC8"/>
        <w:rPr>
          <w:rFonts w:asciiTheme="minorHAnsi" w:eastAsiaTheme="minorEastAsia" w:hAnsiTheme="minorHAnsi" w:cstheme="minorBidi"/>
          <w:szCs w:val="22"/>
        </w:rPr>
      </w:pPr>
      <w:r>
        <w:t>14A.</w:t>
      </w:r>
      <w:r>
        <w:tab/>
        <w:t>Informal syndicate entries; application of this Part</w:t>
      </w:r>
      <w:r>
        <w:tab/>
      </w:r>
      <w:r>
        <w:fldChar w:fldCharType="begin"/>
      </w:r>
      <w:r>
        <w:instrText xml:space="preserve"> PAGEREF _Toc463612431 \h </w:instrText>
      </w:r>
      <w:r>
        <w:fldChar w:fldCharType="separate"/>
      </w:r>
      <w:r>
        <w:t>11</w:t>
      </w:r>
      <w:r>
        <w:fldChar w:fldCharType="end"/>
      </w:r>
    </w:p>
    <w:p>
      <w:pPr>
        <w:pStyle w:val="TOC8"/>
        <w:rPr>
          <w:rFonts w:asciiTheme="minorHAnsi" w:eastAsiaTheme="minorEastAsia" w:hAnsiTheme="minorHAnsi" w:cstheme="minorBidi"/>
          <w:szCs w:val="22"/>
        </w:rPr>
      </w:pPr>
      <w:r>
        <w:t>14B.</w:t>
      </w:r>
      <w:r>
        <w:tab/>
        <w:t>Creating a syndicate</w:t>
      </w:r>
      <w:r>
        <w:tab/>
      </w:r>
      <w:r>
        <w:fldChar w:fldCharType="begin"/>
      </w:r>
      <w:r>
        <w:instrText xml:space="preserve"> PAGEREF _Toc463612432 \h </w:instrText>
      </w:r>
      <w:r>
        <w:fldChar w:fldCharType="separate"/>
      </w:r>
      <w:r>
        <w:t>11</w:t>
      </w:r>
      <w:r>
        <w:fldChar w:fldCharType="end"/>
      </w:r>
    </w:p>
    <w:p>
      <w:pPr>
        <w:pStyle w:val="TOC8"/>
        <w:rPr>
          <w:rFonts w:asciiTheme="minorHAnsi" w:eastAsiaTheme="minorEastAsia" w:hAnsiTheme="minorHAnsi" w:cstheme="minorBidi"/>
          <w:szCs w:val="22"/>
        </w:rPr>
      </w:pPr>
      <w:r>
        <w:t>14C.</w:t>
      </w:r>
      <w:r>
        <w:tab/>
        <w:t>Syndicate share numbers and cost parameters</w:t>
      </w:r>
      <w:r>
        <w:tab/>
      </w:r>
      <w:r>
        <w:fldChar w:fldCharType="begin"/>
      </w:r>
      <w:r>
        <w:instrText xml:space="preserve"> PAGEREF _Toc463612433 \h </w:instrText>
      </w:r>
      <w:r>
        <w:fldChar w:fldCharType="separate"/>
      </w:r>
      <w:r>
        <w:t>12</w:t>
      </w:r>
      <w:r>
        <w:fldChar w:fldCharType="end"/>
      </w:r>
    </w:p>
    <w:p>
      <w:pPr>
        <w:pStyle w:val="TOC8"/>
        <w:rPr>
          <w:rFonts w:asciiTheme="minorHAnsi" w:eastAsiaTheme="minorEastAsia" w:hAnsiTheme="minorHAnsi" w:cstheme="minorBidi"/>
          <w:szCs w:val="22"/>
        </w:rPr>
      </w:pPr>
      <w:r>
        <w:t>14D.</w:t>
      </w:r>
      <w:r>
        <w:tab/>
        <w:t>Agent’s component of syndicate share</w:t>
      </w:r>
      <w:r>
        <w:tab/>
      </w:r>
      <w:r>
        <w:fldChar w:fldCharType="begin"/>
      </w:r>
      <w:r>
        <w:instrText xml:space="preserve"> PAGEREF _Toc463612434 \h </w:instrText>
      </w:r>
      <w:r>
        <w:fldChar w:fldCharType="separate"/>
      </w:r>
      <w:r>
        <w:t>12</w:t>
      </w:r>
      <w:r>
        <w:fldChar w:fldCharType="end"/>
      </w:r>
    </w:p>
    <w:p>
      <w:pPr>
        <w:pStyle w:val="TOC8"/>
        <w:rPr>
          <w:rFonts w:asciiTheme="minorHAnsi" w:eastAsiaTheme="minorEastAsia" w:hAnsiTheme="minorHAnsi" w:cstheme="minorBidi"/>
          <w:szCs w:val="22"/>
        </w:rPr>
      </w:pPr>
      <w:r>
        <w:t>14E.</w:t>
      </w:r>
      <w:r>
        <w:tab/>
        <w:t>Syndicate participation parameters</w:t>
      </w:r>
      <w:r>
        <w:tab/>
      </w:r>
      <w:r>
        <w:fldChar w:fldCharType="begin"/>
      </w:r>
      <w:r>
        <w:instrText xml:space="preserve"> PAGEREF _Toc463612435 \h </w:instrText>
      </w:r>
      <w:r>
        <w:fldChar w:fldCharType="separate"/>
      </w:r>
      <w:r>
        <w:t>13</w:t>
      </w:r>
      <w:r>
        <w:fldChar w:fldCharType="end"/>
      </w:r>
    </w:p>
    <w:p>
      <w:pPr>
        <w:pStyle w:val="TOC8"/>
        <w:rPr>
          <w:rFonts w:asciiTheme="minorHAnsi" w:eastAsiaTheme="minorEastAsia" w:hAnsiTheme="minorHAnsi" w:cstheme="minorBidi"/>
          <w:szCs w:val="22"/>
        </w:rPr>
      </w:pPr>
      <w:r>
        <w:t>14F.</w:t>
      </w:r>
      <w:r>
        <w:tab/>
        <w:t>Types of syndicate entries</w:t>
      </w:r>
      <w:r>
        <w:tab/>
      </w:r>
      <w:r>
        <w:fldChar w:fldCharType="begin"/>
      </w:r>
      <w:r>
        <w:instrText xml:space="preserve"> PAGEREF _Toc463612436 \h </w:instrText>
      </w:r>
      <w:r>
        <w:fldChar w:fldCharType="separate"/>
      </w:r>
      <w:r>
        <w:t>13</w:t>
      </w:r>
      <w:r>
        <w:fldChar w:fldCharType="end"/>
      </w:r>
    </w:p>
    <w:p>
      <w:pPr>
        <w:pStyle w:val="TOC8"/>
        <w:rPr>
          <w:rFonts w:asciiTheme="minorHAnsi" w:eastAsiaTheme="minorEastAsia" w:hAnsiTheme="minorHAnsi" w:cstheme="minorBidi"/>
          <w:szCs w:val="22"/>
        </w:rPr>
      </w:pPr>
      <w:r>
        <w:t>14G.</w:t>
      </w:r>
      <w:r>
        <w:tab/>
        <w:t>Syndicate share receipted ticket, registering and cancelling</w:t>
      </w:r>
      <w:r>
        <w:tab/>
      </w:r>
      <w:r>
        <w:fldChar w:fldCharType="begin"/>
      </w:r>
      <w:r>
        <w:instrText xml:space="preserve"> PAGEREF _Toc463612437 \h </w:instrText>
      </w:r>
      <w:r>
        <w:fldChar w:fldCharType="separate"/>
      </w:r>
      <w:r>
        <w:t>13</w:t>
      </w:r>
      <w:r>
        <w:fldChar w:fldCharType="end"/>
      </w:r>
    </w:p>
    <w:p>
      <w:pPr>
        <w:pStyle w:val="TOC8"/>
        <w:rPr>
          <w:rFonts w:asciiTheme="minorHAnsi" w:eastAsiaTheme="minorEastAsia" w:hAnsiTheme="minorHAnsi" w:cstheme="minorBidi"/>
          <w:szCs w:val="22"/>
        </w:rPr>
      </w:pPr>
      <w:r>
        <w:t>14H.</w:t>
      </w:r>
      <w:r>
        <w:tab/>
        <w:t>Unsold shares in some syndicates; syndicate master ticket</w:t>
      </w:r>
      <w:r>
        <w:tab/>
      </w:r>
      <w:r>
        <w:fldChar w:fldCharType="begin"/>
      </w:r>
      <w:r>
        <w:instrText xml:space="preserve"> PAGEREF _Toc463612438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General duties of Commission</w:t>
      </w:r>
    </w:p>
    <w:p>
      <w:pPr>
        <w:pStyle w:val="TOC8"/>
        <w:rPr>
          <w:rFonts w:asciiTheme="minorHAnsi" w:eastAsiaTheme="minorEastAsia" w:hAnsiTheme="minorHAnsi" w:cstheme="minorBidi"/>
          <w:szCs w:val="22"/>
        </w:rPr>
      </w:pPr>
      <w:r>
        <w:t>15</w:t>
      </w:r>
      <w:r>
        <w:rPr>
          <w:snapToGrid w:val="0"/>
        </w:rPr>
        <w:t>.</w:t>
      </w:r>
      <w:r>
        <w:rPr>
          <w:snapToGrid w:val="0"/>
        </w:rPr>
        <w:tab/>
        <w:t>Each draw to be numbered</w:t>
      </w:r>
      <w:r>
        <w:tab/>
      </w:r>
      <w:r>
        <w:fldChar w:fldCharType="begin"/>
      </w:r>
      <w:r>
        <w:instrText xml:space="preserve"> PAGEREF _Toc463612440 \h </w:instrText>
      </w:r>
      <w:r>
        <w:fldChar w:fldCharType="separate"/>
      </w:r>
      <w:r>
        <w:t>15</w:t>
      </w:r>
      <w:r>
        <w:fldChar w:fldCharType="end"/>
      </w:r>
    </w:p>
    <w:p>
      <w:pPr>
        <w:pStyle w:val="TOC8"/>
        <w:rPr>
          <w:rFonts w:asciiTheme="minorHAnsi" w:eastAsiaTheme="minorEastAsia" w:hAnsiTheme="minorHAnsi" w:cstheme="minorBidi"/>
          <w:szCs w:val="22"/>
        </w:rPr>
      </w:pPr>
      <w:r>
        <w:t>16.</w:t>
      </w:r>
      <w:r>
        <w:tab/>
        <w:t>Saturday lotto to be supervised</w:t>
      </w:r>
      <w:r>
        <w:tab/>
      </w:r>
      <w:r>
        <w:fldChar w:fldCharType="begin"/>
      </w:r>
      <w:r>
        <w:instrText xml:space="preserve"> PAGEREF _Toc463612441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Results etc. to be published</w:t>
      </w:r>
      <w:r>
        <w:tab/>
      </w:r>
      <w:r>
        <w:fldChar w:fldCharType="begin"/>
      </w:r>
      <w:r>
        <w:instrText xml:space="preserve"> PAGEREF _Toc463612442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Australian Lotto Bloc prize pool and prize reserve fund</w:t>
      </w:r>
      <w:r>
        <w:tab/>
      </w:r>
      <w:r>
        <w:fldChar w:fldCharType="begin"/>
      </w:r>
      <w:r>
        <w:instrText xml:space="preserve"> PAGEREF _Toc463612443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Saturday lotto draw</w:t>
      </w:r>
    </w:p>
    <w:p>
      <w:pPr>
        <w:pStyle w:val="TOC8"/>
        <w:rPr>
          <w:rFonts w:asciiTheme="minorHAnsi" w:eastAsiaTheme="minorEastAsia" w:hAnsiTheme="minorHAnsi" w:cstheme="minorBidi"/>
          <w:szCs w:val="22"/>
        </w:rPr>
      </w:pPr>
      <w:r>
        <w:t>19</w:t>
      </w:r>
      <w:r>
        <w:rPr>
          <w:snapToGrid w:val="0"/>
        </w:rPr>
        <w:t>.</w:t>
      </w:r>
      <w:r>
        <w:rPr>
          <w:snapToGrid w:val="0"/>
        </w:rPr>
        <w:tab/>
        <w:t>Draw, method of</w:t>
      </w:r>
      <w:r>
        <w:tab/>
      </w:r>
      <w:r>
        <w:fldChar w:fldCharType="begin"/>
      </w:r>
      <w:r>
        <w:instrText xml:space="preserve"> PAGEREF _Toc463612445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20.</w:t>
      </w:r>
      <w:r>
        <w:rPr>
          <w:snapToGrid w:val="0"/>
        </w:rPr>
        <w:tab/>
        <w:t>Criteria for winning</w:t>
      </w:r>
      <w:r>
        <w:tab/>
      </w:r>
      <w:r>
        <w:fldChar w:fldCharType="begin"/>
      </w:r>
      <w:r>
        <w:instrText xml:space="preserve"> PAGEREF _Toc463612446 \h </w:instrText>
      </w:r>
      <w:r>
        <w:fldChar w:fldCharType="separate"/>
      </w:r>
      <w:r>
        <w:t>17</w:t>
      </w:r>
      <w:r>
        <w:fldChar w:fldCharType="end"/>
      </w:r>
    </w:p>
    <w:p>
      <w:pPr>
        <w:pStyle w:val="TOC8"/>
        <w:rPr>
          <w:rFonts w:asciiTheme="minorHAnsi" w:eastAsiaTheme="minorEastAsia" w:hAnsiTheme="minorHAnsi" w:cstheme="minorBidi"/>
          <w:szCs w:val="22"/>
        </w:rPr>
      </w:pPr>
      <w:r>
        <w:rPr>
          <w:snapToGrid w:val="0"/>
        </w:rPr>
        <w:t>21.</w:t>
      </w:r>
      <w:r>
        <w:rPr>
          <w:snapToGrid w:val="0"/>
        </w:rPr>
        <w:tab/>
        <w:t>Which divisions can be won by a receipted ticket</w:t>
      </w:r>
      <w:r>
        <w:tab/>
      </w:r>
      <w:r>
        <w:fldChar w:fldCharType="begin"/>
      </w:r>
      <w:r>
        <w:instrText xml:space="preserve"> PAGEREF _Toc463612447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Prize pool, distribution of</w:t>
      </w:r>
      <w:r>
        <w:tab/>
      </w:r>
      <w:r>
        <w:fldChar w:fldCharType="begin"/>
      </w:r>
      <w:r>
        <w:instrText xml:space="preserve"> PAGEREF _Toc463612448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Division 1 prize not won, application of prize pool in case of</w:t>
      </w:r>
      <w:r>
        <w:tab/>
      </w:r>
      <w:r>
        <w:fldChar w:fldCharType="begin"/>
      </w:r>
      <w:r>
        <w:instrText xml:space="preserve"> PAGEREF _Toc463612449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Division 2 to 5 prize not won, application of prize pool in case of</w:t>
      </w:r>
      <w:r>
        <w:tab/>
      </w:r>
      <w:r>
        <w:fldChar w:fldCharType="begin"/>
      </w:r>
      <w:r>
        <w:instrText xml:space="preserve"> PAGEREF _Toc463612450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Bonus draws and guaranteed prize pools</w:t>
      </w:r>
      <w:r>
        <w:tab/>
      </w:r>
      <w:r>
        <w:fldChar w:fldCharType="begin"/>
      </w:r>
      <w:r>
        <w:instrText xml:space="preserve"> PAGEREF _Toc463612451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Division 1 prizes, claims for and payment of</w:t>
      </w:r>
      <w:r>
        <w:tab/>
      </w:r>
      <w:r>
        <w:fldChar w:fldCharType="begin"/>
      </w:r>
      <w:r>
        <w:instrText xml:space="preserve"> PAGEREF _Toc463612452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Division 2 prizes, claims for and payment of</w:t>
      </w:r>
      <w:r>
        <w:tab/>
      </w:r>
      <w:r>
        <w:fldChar w:fldCharType="begin"/>
      </w:r>
      <w:r>
        <w:instrText xml:space="preserve"> PAGEREF _Toc463612453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Division 3 to 6 prizes, claims for and payment of</w:t>
      </w:r>
      <w:r>
        <w:tab/>
      </w:r>
      <w:r>
        <w:fldChar w:fldCharType="begin"/>
      </w:r>
      <w:r>
        <w:instrText xml:space="preserve"> PAGEREF _Toc463612454 \h </w:instrText>
      </w:r>
      <w:r>
        <w:fldChar w:fldCharType="separate"/>
      </w:r>
      <w:r>
        <w:t>22</w:t>
      </w:r>
      <w:r>
        <w:fldChar w:fldCharType="end"/>
      </w:r>
    </w:p>
    <w:p>
      <w:pPr>
        <w:pStyle w:val="TOC8"/>
        <w:rPr>
          <w:rFonts w:asciiTheme="minorHAnsi" w:eastAsiaTheme="minorEastAsia" w:hAnsiTheme="minorHAnsi" w:cstheme="minorBidi"/>
          <w:szCs w:val="22"/>
        </w:rPr>
      </w:pPr>
      <w:r>
        <w:t>28A.</w:t>
      </w:r>
      <w:r>
        <w:tab/>
        <w:t>Syndicate share prizes, claims for and payment of</w:t>
      </w:r>
      <w:r>
        <w:tab/>
      </w:r>
      <w:r>
        <w:fldChar w:fldCharType="begin"/>
      </w:r>
      <w:r>
        <w:instrText xml:space="preserve"> PAGEREF _Toc463612455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Statutory declaration as to compliance with law, Commission may require</w:t>
      </w:r>
      <w:r>
        <w:tab/>
      </w:r>
      <w:r>
        <w:fldChar w:fldCharType="begin"/>
      </w:r>
      <w:r>
        <w:instrText xml:space="preserve"> PAGEREF _Toc463612456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Names and addresses of prize winners, publishing</w:t>
      </w:r>
      <w:r>
        <w:tab/>
      </w:r>
      <w:r>
        <w:fldChar w:fldCharType="begin"/>
      </w:r>
      <w:r>
        <w:instrText xml:space="preserve"> PAGEREF _Toc463612457 \h </w:instrText>
      </w:r>
      <w:r>
        <w:fldChar w:fldCharType="separate"/>
      </w:r>
      <w:r>
        <w:t>24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Player Registration Service</w:t>
      </w:r>
      <w:r>
        <w:tab/>
      </w:r>
      <w:r>
        <w:fldChar w:fldCharType="begin"/>
      </w:r>
      <w:r>
        <w:instrText xml:space="preserve"> PAGEREF _Toc463612458 \h </w:instrText>
      </w:r>
      <w:r>
        <w:fldChar w:fldCharType="separate"/>
      </w:r>
      <w:r>
        <w:t>24</w:t>
      </w:r>
      <w:r>
        <w:fldChar w:fldCharType="end"/>
      </w:r>
    </w:p>
    <w:p>
      <w:pPr>
        <w:pStyle w:val="TOC8"/>
        <w:rPr>
          <w:rFonts w:asciiTheme="minorHAnsi" w:eastAsiaTheme="minorEastAsia" w:hAnsiTheme="minorHAnsi" w:cstheme="minorBidi"/>
          <w:szCs w:val="22"/>
        </w:rPr>
      </w:pPr>
      <w:r>
        <w:t>31A.</w:t>
      </w:r>
      <w:r>
        <w:tab/>
        <w:t>Player’s card holders may request direct credit of prizes</w:t>
      </w:r>
      <w:r>
        <w:tab/>
      </w:r>
      <w:r>
        <w:fldChar w:fldCharType="begin"/>
      </w:r>
      <w:r>
        <w:instrText xml:space="preserve"> PAGEREF _Toc463612459 \h </w:instrText>
      </w:r>
      <w:r>
        <w:fldChar w:fldCharType="separate"/>
      </w:r>
      <w:r>
        <w:t>26</w:t>
      </w:r>
      <w:r>
        <w:fldChar w:fldCharType="end"/>
      </w:r>
    </w:p>
    <w:p>
      <w:pPr>
        <w:pStyle w:val="TOC8"/>
        <w:rPr>
          <w:rFonts w:asciiTheme="minorHAnsi" w:eastAsiaTheme="minorEastAsia" w:hAnsiTheme="minorHAnsi" w:cstheme="minorBidi"/>
          <w:szCs w:val="22"/>
        </w:rPr>
      </w:pPr>
      <w:r>
        <w:t>31B.</w:t>
      </w:r>
      <w:r>
        <w:tab/>
        <w:t>Favourite numbers, registering by subscribers</w:t>
      </w:r>
      <w:r>
        <w:tab/>
      </w:r>
      <w:r>
        <w:fldChar w:fldCharType="begin"/>
      </w:r>
      <w:r>
        <w:instrText xml:space="preserve"> PAGEREF _Toc463612460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w:t>
      </w:r>
      <w:r>
        <w:rPr>
          <w:snapToGrid w:val="0"/>
        </w:rPr>
        <w:t>.</w:t>
      </w:r>
      <w:r>
        <w:rPr>
          <w:snapToGrid w:val="0"/>
        </w:rPr>
        <w:tab/>
        <w:t>Instructions on playslips etc., status of</w:t>
      </w:r>
      <w:r>
        <w:tab/>
      </w:r>
      <w:r>
        <w:fldChar w:fldCharType="begin"/>
      </w:r>
      <w:r>
        <w:instrText xml:space="preserve"> PAGEREF _Toc463612462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These rules to be made available etc.</w:t>
      </w:r>
      <w:r>
        <w:tab/>
      </w:r>
      <w:r>
        <w:fldChar w:fldCharType="begin"/>
      </w:r>
      <w:r>
        <w:instrText xml:space="preserve"> PAGEREF _Toc463612463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Commission’s decisions are final</w:t>
      </w:r>
      <w:r>
        <w:tab/>
      </w:r>
      <w:r>
        <w:fldChar w:fldCharType="begin"/>
      </w:r>
      <w:r>
        <w:instrText xml:space="preserve"> PAGEREF _Toc463612464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Calculating the total cost of entry — Saturday lotto draw</w:t>
      </w:r>
    </w:p>
    <w:p>
      <w:pPr>
        <w:pStyle w:val="TOC4"/>
        <w:tabs>
          <w:tab w:val="right" w:leader="dot" w:pos="7077"/>
        </w:tabs>
        <w:rPr>
          <w:rFonts w:asciiTheme="minorHAnsi" w:eastAsiaTheme="minorEastAsia" w:hAnsiTheme="minorHAnsi" w:cstheme="minorBidi"/>
          <w:b w:val="0"/>
          <w:szCs w:val="22"/>
        </w:rPr>
      </w:pPr>
      <w:r>
        <w:t>Part 1</w:t>
      </w:r>
      <w:r>
        <w:rPr>
          <w:b w:val="0"/>
        </w:rPr>
        <w:t> — </w:t>
      </w:r>
      <w:r>
        <w:t>Formula applicable up to and including draw 3441 on 12 July 2014</w:t>
      </w:r>
    </w:p>
    <w:p>
      <w:pPr>
        <w:pStyle w:val="TOC4"/>
        <w:tabs>
          <w:tab w:val="right" w:leader="dot" w:pos="7077"/>
        </w:tabs>
        <w:rPr>
          <w:rFonts w:asciiTheme="minorHAnsi" w:eastAsiaTheme="minorEastAsia" w:hAnsiTheme="minorHAnsi" w:cstheme="minorBidi"/>
          <w:b w:val="0"/>
          <w:szCs w:val="22"/>
        </w:rPr>
      </w:pPr>
      <w:r>
        <w:t>Part 2 — Formula applicable to draw 3443 on 19 July 2014 and subsequent draws</w:t>
      </w:r>
    </w:p>
    <w:p>
      <w:pPr>
        <w:pStyle w:val="TOC2"/>
        <w:tabs>
          <w:tab w:val="right" w:leader="dot" w:pos="7077"/>
        </w:tabs>
        <w:rPr>
          <w:rFonts w:asciiTheme="minorHAnsi" w:eastAsiaTheme="minorEastAsia" w:hAnsiTheme="minorHAnsi" w:cstheme="minorBidi"/>
          <w:b w:val="0"/>
          <w:sz w:val="22"/>
          <w:szCs w:val="22"/>
        </w:rPr>
      </w:pPr>
      <w:r>
        <w:t>Schedule 1A — System entries and game equivalents</w:t>
      </w:r>
    </w:p>
    <w:p>
      <w:pPr>
        <w:pStyle w:val="TOC2"/>
        <w:tabs>
          <w:tab w:val="right" w:leader="dot" w:pos="7077"/>
        </w:tabs>
        <w:rPr>
          <w:rFonts w:asciiTheme="minorHAnsi" w:eastAsiaTheme="minorEastAsia" w:hAnsiTheme="minorHAnsi" w:cstheme="minorBidi"/>
          <w:b w:val="0"/>
          <w:sz w:val="22"/>
          <w:szCs w:val="22"/>
        </w:rPr>
      </w:pPr>
      <w:r>
        <w:t>Schedule 2 — System entry prizes</w:t>
      </w:r>
    </w:p>
    <w:p>
      <w:pPr>
        <w:pStyle w:val="TOC4"/>
        <w:tabs>
          <w:tab w:val="right" w:leader="dot" w:pos="7077"/>
        </w:tabs>
        <w:rPr>
          <w:rFonts w:asciiTheme="minorHAnsi" w:eastAsiaTheme="minorEastAsia" w:hAnsiTheme="minorHAnsi" w:cstheme="minorBidi"/>
          <w:b w:val="0"/>
          <w:szCs w:val="22"/>
        </w:rPr>
      </w:pPr>
      <w:r>
        <w:t>Part 1</w:t>
      </w:r>
      <w:r>
        <w:rPr>
          <w:b w:val="0"/>
        </w:rPr>
        <w:t> — </w:t>
      </w:r>
      <w:r>
        <w:t>Prizes applicable up to and including draw 3079 on  22 January 2011</w:t>
      </w:r>
    </w:p>
    <w:p>
      <w:pPr>
        <w:pStyle w:val="TOC4"/>
        <w:tabs>
          <w:tab w:val="right" w:leader="dot" w:pos="7077"/>
        </w:tabs>
        <w:rPr>
          <w:rFonts w:asciiTheme="minorHAnsi" w:eastAsiaTheme="minorEastAsia" w:hAnsiTheme="minorHAnsi" w:cstheme="minorBidi"/>
          <w:b w:val="0"/>
          <w:szCs w:val="22"/>
        </w:rPr>
      </w:pPr>
      <w:r>
        <w:t>Part 2</w:t>
      </w:r>
      <w:r>
        <w:rPr>
          <w:b w:val="0"/>
        </w:rPr>
        <w:t> — </w:t>
      </w:r>
      <w:r>
        <w:t>Prizes applicable to draw 3081 on 29 January 2011 and subsequent draws</w:t>
      </w:r>
    </w:p>
    <w:p>
      <w:pPr>
        <w:pStyle w:val="TOC2"/>
        <w:tabs>
          <w:tab w:val="right" w:leader="dot" w:pos="7077"/>
        </w:tabs>
        <w:rPr>
          <w:rFonts w:asciiTheme="minorHAnsi" w:eastAsiaTheme="minorEastAsia" w:hAnsiTheme="minorHAnsi" w:cstheme="minorBidi"/>
          <w:b w:val="0"/>
          <w:sz w:val="22"/>
          <w:szCs w:val="22"/>
        </w:rPr>
      </w:pPr>
      <w:r>
        <w:t>Schedule 3 — Summary of parameters within which Saturday lotto is conducted</w:t>
      </w:r>
    </w:p>
    <w:p>
      <w:pPr>
        <w:pStyle w:val="TOC4"/>
        <w:tabs>
          <w:tab w:val="right" w:leader="dot" w:pos="7077"/>
        </w:tabs>
        <w:rPr>
          <w:rFonts w:asciiTheme="minorHAnsi" w:eastAsiaTheme="minorEastAsia" w:hAnsiTheme="minorHAnsi" w:cstheme="minorBidi"/>
          <w:b w:val="0"/>
          <w:szCs w:val="22"/>
        </w:rPr>
      </w:pPr>
      <w:r>
        <w:t>Part 1 — Up to and including draw 3441 on 12 July 2014</w:t>
      </w:r>
    </w:p>
    <w:p>
      <w:pPr>
        <w:pStyle w:val="TOC4"/>
        <w:tabs>
          <w:tab w:val="right" w:leader="dot" w:pos="7077"/>
        </w:tabs>
        <w:rPr>
          <w:rFonts w:asciiTheme="minorHAnsi" w:eastAsiaTheme="minorEastAsia" w:hAnsiTheme="minorHAnsi" w:cstheme="minorBidi"/>
          <w:b w:val="0"/>
          <w:szCs w:val="22"/>
        </w:rPr>
      </w:pPr>
      <w:r>
        <w:t>Part 2</w:t>
      </w:r>
      <w:r>
        <w:rPr>
          <w:b w:val="0"/>
        </w:rPr>
        <w:t> — </w:t>
      </w:r>
      <w:r>
        <w:t>Draw 3443 on 19 July 2014 and subsequent draws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_Toc463612476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Lotteries Commission Act 1990</w:t>
      </w:r>
    </w:p>
    <w:p>
      <w:pPr>
        <w:pStyle w:val="NameofActReg"/>
        <w:spacing w:before="720"/>
      </w:pPr>
      <w:r>
        <w:t>Lotteries Commission (Saturday Lotto) Rules 1996</w:t>
      </w:r>
    </w:p>
    <w:p>
      <w:pPr>
        <w:pStyle w:val="Heading2"/>
        <w:pageBreakBefore w:val="0"/>
        <w:spacing w:before="120"/>
      </w:pPr>
      <w:bookmarkStart w:id="3" w:name="_Toc391299389"/>
      <w:bookmarkStart w:id="4" w:name="_Toc391299489"/>
      <w:bookmarkStart w:id="5" w:name="_Toc406506892"/>
      <w:bookmarkStart w:id="6" w:name="_Toc421105945"/>
      <w:bookmarkStart w:id="7" w:name="_Toc421106009"/>
      <w:bookmarkStart w:id="8" w:name="_Toc46361241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406506893"/>
      <w:bookmarkStart w:id="10" w:name="_Toc463612414"/>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11" w:name="_Toc406506894"/>
      <w:bookmarkStart w:id="12" w:name="_Toc463612415"/>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13" w:name="_Toc406506895"/>
      <w:bookmarkStart w:id="14" w:name="_Toc463612416"/>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w:t>
      </w:r>
      <w:smartTag w:uri="urn:schemas-microsoft-com:office:smarttags" w:element="State">
        <w:r>
          <w:t>South Australia</w:t>
        </w:r>
      </w:smartTag>
      <w:r>
        <w:t xml:space="preserve">, </w:t>
      </w:r>
      <w:smartTag w:uri="urn:schemas-microsoft-com:office:smarttags" w:element="State">
        <w:r>
          <w:t>New South Wales</w:t>
        </w:r>
      </w:smartTag>
      <w:r>
        <w:t xml:space="preserve"> and </w:t>
      </w:r>
      <w:smartTag w:uri="urn:schemas-microsoft-com:office:smarttags" w:element="State">
        <w:smartTag w:uri="urn:schemas-microsoft-com:office:smarttags" w:element="place">
          <w:r>
            <w:t>Victoria</w:t>
          </w:r>
        </w:smartTag>
      </w:smartTag>
      <w:r>
        <w: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spacing w:before="120"/>
        <w:ind w:left="890" w:hanging="890"/>
        <w:outlineLvl w:val="9"/>
      </w:pPr>
      <w:r>
        <w:tab/>
        <w:t>[Rule 3 amended in Gazette 5 Dec 1997 p. 7131; 9 Mar 2001 p. 1325; 28 Mar 2002 p. 1765; 10 Sep 2002 p. 4597; 6 Jun 2008 p. 2253-4.]</w:t>
      </w:r>
    </w:p>
    <w:p>
      <w:pPr>
        <w:pStyle w:val="Heading2"/>
      </w:pPr>
      <w:bookmarkStart w:id="15" w:name="_Toc391299393"/>
      <w:bookmarkStart w:id="16" w:name="_Toc391299493"/>
      <w:bookmarkStart w:id="17" w:name="_Toc406506896"/>
      <w:bookmarkStart w:id="18" w:name="_Toc421105949"/>
      <w:bookmarkStart w:id="19" w:name="_Toc421106013"/>
      <w:bookmarkStart w:id="20" w:name="_Toc463612417"/>
      <w:r>
        <w:rPr>
          <w:rStyle w:val="CharPartNo"/>
        </w:rPr>
        <w:t>Part 2</w:t>
      </w:r>
      <w:r>
        <w:rPr>
          <w:rStyle w:val="CharDivNo"/>
        </w:rPr>
        <w:t> </w:t>
      </w:r>
      <w:r>
        <w:t>—</w:t>
      </w:r>
      <w:r>
        <w:rPr>
          <w:rStyle w:val="CharDivText"/>
        </w:rPr>
        <w:t> </w:t>
      </w:r>
      <w:r>
        <w:rPr>
          <w:rStyle w:val="CharPartText"/>
        </w:rPr>
        <w:t>Requirements for entry</w:t>
      </w:r>
      <w:bookmarkEnd w:id="15"/>
      <w:bookmarkEnd w:id="16"/>
      <w:bookmarkEnd w:id="17"/>
      <w:bookmarkEnd w:id="18"/>
      <w:bookmarkEnd w:id="19"/>
      <w:bookmarkEnd w:id="20"/>
    </w:p>
    <w:p>
      <w:pPr>
        <w:pStyle w:val="Heading5"/>
        <w:rPr>
          <w:snapToGrid w:val="0"/>
        </w:rPr>
      </w:pPr>
      <w:bookmarkStart w:id="21" w:name="_Toc406506897"/>
      <w:bookmarkStart w:id="22" w:name="_Toc463612418"/>
      <w:r>
        <w:rPr>
          <w:rStyle w:val="CharSectno"/>
        </w:rPr>
        <w:t>4</w:t>
      </w:r>
      <w:r>
        <w:rPr>
          <w:snapToGrid w:val="0"/>
        </w:rPr>
        <w:t>.</w:t>
      </w:r>
      <w:r>
        <w:rPr>
          <w:snapToGrid w:val="0"/>
        </w:rPr>
        <w:tab/>
        <w:t>Playslips, information on</w:t>
      </w:r>
      <w:bookmarkEnd w:id="21"/>
      <w:bookmarkEnd w:id="22"/>
    </w:p>
    <w:p>
      <w:pPr>
        <w:pStyle w:val="Subsection"/>
        <w:spacing w:before="140"/>
        <w:rPr>
          <w:snapToGrid w:val="0"/>
        </w:rPr>
      </w:pPr>
      <w:r>
        <w:rPr>
          <w:snapToGrid w:val="0"/>
        </w:rPr>
        <w:tab/>
      </w:r>
      <w:r>
        <w:rPr>
          <w:snapToGrid w:val="0"/>
        </w:rPr>
        <w:tab/>
        <w:t>The Commission must ensure that a playslip for Saturday lotto displays —</w:t>
      </w:r>
    </w:p>
    <w:p>
      <w:pPr>
        <w:pStyle w:val="Indenta"/>
        <w:spacing w:before="60"/>
        <w:rPr>
          <w:snapToGrid w:val="0"/>
        </w:rPr>
      </w:pPr>
      <w:r>
        <w:rPr>
          <w:snapToGrid w:val="0"/>
        </w:rPr>
        <w:tab/>
        <w:t>(a)</w:t>
      </w:r>
      <w:r>
        <w:rPr>
          <w:snapToGrid w:val="0"/>
        </w:rPr>
        <w:tab/>
        <w:t>such details to facilitate entry; and</w:t>
      </w:r>
    </w:p>
    <w:p>
      <w:pPr>
        <w:pStyle w:val="Indenta"/>
        <w:spacing w:before="60"/>
        <w:rPr>
          <w:snapToGrid w:val="0"/>
        </w:rPr>
      </w:pPr>
      <w:r>
        <w:rPr>
          <w:snapToGrid w:val="0"/>
        </w:rPr>
        <w:tab/>
        <w:t>(b)</w:t>
      </w:r>
      <w:r>
        <w:rPr>
          <w:snapToGrid w:val="0"/>
        </w:rPr>
        <w:tab/>
        <w:t>such instructions to subscribers,</w:t>
      </w:r>
    </w:p>
    <w:p>
      <w:pPr>
        <w:pStyle w:val="Subsection"/>
        <w:spacing w:before="120"/>
        <w:rPr>
          <w:snapToGrid w:val="0"/>
        </w:rPr>
      </w:pPr>
      <w:r>
        <w:rPr>
          <w:snapToGrid w:val="0"/>
        </w:rPr>
        <w:tab/>
      </w:r>
      <w:r>
        <w:rPr>
          <w:snapToGrid w:val="0"/>
        </w:rPr>
        <w:tab/>
        <w:t>as the Commission considers necessary.</w:t>
      </w:r>
    </w:p>
    <w:p>
      <w:pPr>
        <w:pStyle w:val="Ednotesection"/>
        <w:spacing w:before="100"/>
        <w:ind w:left="890" w:hanging="890"/>
        <w:outlineLvl w:val="9"/>
      </w:pPr>
      <w:r>
        <w:tab/>
        <w:t>[Rule 4 amended in Gazette 6 Jun 2008 p. 2254.]</w:t>
      </w:r>
    </w:p>
    <w:p>
      <w:pPr>
        <w:pStyle w:val="Heading5"/>
        <w:rPr>
          <w:snapToGrid w:val="0"/>
        </w:rPr>
      </w:pPr>
      <w:bookmarkStart w:id="23" w:name="_Toc406506898"/>
      <w:bookmarkStart w:id="24" w:name="_Toc463612419"/>
      <w:r>
        <w:rPr>
          <w:rStyle w:val="CharSectno"/>
        </w:rPr>
        <w:t>5</w:t>
      </w:r>
      <w:r>
        <w:rPr>
          <w:snapToGrid w:val="0"/>
        </w:rPr>
        <w:t>.</w:t>
      </w:r>
      <w:r>
        <w:rPr>
          <w:snapToGrid w:val="0"/>
        </w:rPr>
        <w:tab/>
        <w:t>Methods of entry</w:t>
      </w:r>
      <w:bookmarkEnd w:id="23"/>
      <w:bookmarkEnd w:id="24"/>
    </w:p>
    <w:p>
      <w:pPr>
        <w:pStyle w:val="Subsection"/>
        <w:spacing w:before="140"/>
        <w:rPr>
          <w:snapToGrid w:val="0"/>
        </w:rPr>
      </w:pPr>
      <w:r>
        <w:rPr>
          <w:snapToGrid w:val="0"/>
        </w:rPr>
        <w:tab/>
        <w:t>(1)</w:t>
      </w:r>
      <w:r>
        <w:rPr>
          <w:snapToGrid w:val="0"/>
        </w:rPr>
        <w:tab/>
        <w:t xml:space="preserve">A person may enter Saturday </w:t>
      </w:r>
      <w:r>
        <w:t>lotto —</w:t>
      </w:r>
    </w:p>
    <w:p>
      <w:pPr>
        <w:pStyle w:val="Indenta"/>
        <w:spacing w:before="60"/>
        <w:rPr>
          <w:snapToGrid w:val="0"/>
        </w:rPr>
      </w:pPr>
      <w:r>
        <w:rPr>
          <w:snapToGrid w:val="0"/>
        </w:rPr>
        <w:tab/>
        <w:t>(a)</w:t>
      </w:r>
      <w:r>
        <w:rPr>
          <w:snapToGrid w:val="0"/>
        </w:rPr>
        <w:tab/>
        <w:t>by filling out a playslip in accordance with rule 8 and giving it to an agent; or</w:t>
      </w:r>
    </w:p>
    <w:p>
      <w:pPr>
        <w:pStyle w:val="Indenta"/>
        <w:spacing w:before="60"/>
        <w:rPr>
          <w:snapToGrid w:val="0"/>
        </w:rPr>
      </w:pPr>
      <w:r>
        <w:rPr>
          <w:snapToGrid w:val="0"/>
        </w:rPr>
        <w:tab/>
        <w:t>(b)</w:t>
      </w:r>
      <w:r>
        <w:rPr>
          <w:snapToGrid w:val="0"/>
        </w:rPr>
        <w:tab/>
        <w:t>by making an oral request for entry in accordance with</w:t>
      </w:r>
      <w:r>
        <w:t xml:space="preserve"> rule 9; or</w:t>
      </w:r>
    </w:p>
    <w:p>
      <w:pPr>
        <w:pStyle w:val="Indenta"/>
        <w:spacing w:before="60"/>
      </w:pPr>
      <w:r>
        <w:tab/>
        <w:t>(c)</w:t>
      </w:r>
      <w:r>
        <w:tab/>
        <w:t>by using the “ticket repeat” method set out in rule 8A; or</w:t>
      </w:r>
    </w:p>
    <w:p>
      <w:pPr>
        <w:pStyle w:val="Indenta"/>
        <w:spacing w:before="60"/>
      </w:pPr>
      <w:r>
        <w:tab/>
        <w:t>(d)</w:t>
      </w:r>
      <w:r>
        <w:tab/>
        <w:t xml:space="preserve">online in accordance with the </w:t>
      </w:r>
      <w:r>
        <w:rPr>
          <w:i/>
          <w:iCs/>
        </w:rPr>
        <w:t>Lotteries Commission (Internet Entries) Rules 2010</w:t>
      </w:r>
      <w:r>
        <w:t>,</w:t>
      </w:r>
    </w:p>
    <w:p>
      <w:pPr>
        <w:pStyle w:val="Subsection"/>
        <w:spacing w:before="120"/>
        <w:rPr>
          <w:snapToGrid w:val="0"/>
        </w:rPr>
      </w:pPr>
      <w:r>
        <w:rPr>
          <w:snapToGrid w:val="0"/>
        </w:rPr>
        <w:tab/>
      </w:r>
      <w:r>
        <w:rPr>
          <w:snapToGrid w:val="0"/>
        </w:rPr>
        <w:tab/>
        <w:t>and paying the appropriate amount</w:t>
      </w:r>
      <w:r>
        <w:t xml:space="preserve"> as calculated using the formula set out in Schedule 1.</w:t>
      </w:r>
    </w:p>
    <w:p>
      <w:pPr>
        <w:pStyle w:val="Subsection"/>
        <w:spacing w:before="140"/>
      </w:pPr>
      <w:r>
        <w:tab/>
        <w:t>(1A)</w:t>
      </w:r>
      <w:r>
        <w:tab/>
        <w:t>A person may enter Saturday lotto by redeeming a promotional coupon and, in that case, may be required to pay less than the amount payable under subrule (1).</w:t>
      </w:r>
    </w:p>
    <w:p>
      <w:pPr>
        <w:pStyle w:val="Subsection"/>
        <w:spacing w:before="140"/>
      </w:pPr>
      <w:r>
        <w:tab/>
        <w:t>(1B)</w:t>
      </w:r>
      <w:r>
        <w:tab/>
        <w:t>A person may enter Saturday lotto as a part of a syndicate in accordance with Part 2A.</w:t>
      </w:r>
    </w:p>
    <w:p>
      <w:pPr>
        <w:pStyle w:val="Subsection"/>
        <w:spacing w:before="140"/>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outlineLvl w:val="9"/>
      </w:pPr>
      <w:r>
        <w:tab/>
        <w:t>[Rule 5 amended in Gazette 6 Jun 2008 p. 2255-6; 19 Nov 2010 p. 5730; 16 Dec 2014 p. 4761.]</w:t>
      </w:r>
    </w:p>
    <w:p>
      <w:pPr>
        <w:pStyle w:val="Heading5"/>
        <w:rPr>
          <w:snapToGrid w:val="0"/>
        </w:rPr>
      </w:pPr>
      <w:bookmarkStart w:id="25" w:name="_Toc406506899"/>
      <w:bookmarkStart w:id="26" w:name="_Toc463612420"/>
      <w:r>
        <w:rPr>
          <w:rStyle w:val="CharSectno"/>
        </w:rPr>
        <w:t>6</w:t>
      </w:r>
      <w:r>
        <w:rPr>
          <w:snapToGrid w:val="0"/>
        </w:rPr>
        <w:t>.</w:t>
      </w:r>
      <w:r>
        <w:rPr>
          <w:snapToGrid w:val="0"/>
        </w:rPr>
        <w:tab/>
        <w:t>No limit to number of entries</w:t>
      </w:r>
      <w:bookmarkEnd w:id="25"/>
      <w:bookmarkEnd w:id="26"/>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27" w:name="_Toc406506900"/>
      <w:bookmarkStart w:id="28" w:name="_Toc463612421"/>
      <w:r>
        <w:rPr>
          <w:rStyle w:val="CharSectno"/>
        </w:rPr>
        <w:t>7</w:t>
      </w:r>
      <w:r>
        <w:rPr>
          <w:snapToGrid w:val="0"/>
        </w:rPr>
        <w:t>.</w:t>
      </w:r>
      <w:r>
        <w:rPr>
          <w:snapToGrid w:val="0"/>
        </w:rPr>
        <w:tab/>
        <w:t>Super 66 entry may be made with lotto entry</w:t>
      </w:r>
      <w:bookmarkEnd w:id="27"/>
      <w:bookmarkEnd w:id="28"/>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29" w:name="_Toc406506901"/>
      <w:bookmarkStart w:id="30" w:name="_Toc463612422"/>
      <w:r>
        <w:rPr>
          <w:rStyle w:val="CharSectno"/>
        </w:rPr>
        <w:t>8</w:t>
      </w:r>
      <w:r>
        <w:rPr>
          <w:snapToGrid w:val="0"/>
        </w:rPr>
        <w:t>.</w:t>
      </w:r>
      <w:r>
        <w:rPr>
          <w:snapToGrid w:val="0"/>
        </w:rPr>
        <w:tab/>
        <w:t>Playslips, how to be filled out</w:t>
      </w:r>
      <w:bookmarkEnd w:id="29"/>
      <w:bookmarkEnd w:id="30"/>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31" w:name="_Toc406506902"/>
      <w:bookmarkStart w:id="32" w:name="_Toc463612423"/>
      <w:r>
        <w:rPr>
          <w:rStyle w:val="CharSectno"/>
        </w:rPr>
        <w:t>8A</w:t>
      </w:r>
      <w:r>
        <w:t>.</w:t>
      </w:r>
      <w:r>
        <w:tab/>
        <w:t>Ticket repeat method of entry</w:t>
      </w:r>
      <w:bookmarkEnd w:id="31"/>
      <w:bookmarkEnd w:id="32"/>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1635.]</w:t>
      </w:r>
    </w:p>
    <w:p>
      <w:pPr>
        <w:pStyle w:val="Heading5"/>
        <w:rPr>
          <w:snapToGrid w:val="0"/>
        </w:rPr>
      </w:pPr>
      <w:bookmarkStart w:id="33" w:name="_Toc406506903"/>
      <w:bookmarkStart w:id="34" w:name="_Toc463612424"/>
      <w:r>
        <w:rPr>
          <w:rStyle w:val="CharSectno"/>
        </w:rPr>
        <w:t>8B</w:t>
      </w:r>
      <w:r>
        <w:rPr>
          <w:snapToGrid w:val="0"/>
        </w:rPr>
        <w:t>.</w:t>
      </w:r>
      <w:r>
        <w:rPr>
          <w:snapToGrid w:val="0"/>
        </w:rPr>
        <w:tab/>
        <w:t>Favourite numbers, use of</w:t>
      </w:r>
      <w:bookmarkEnd w:id="33"/>
      <w:bookmarkEnd w:id="34"/>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35" w:name="_Toc406506904"/>
      <w:bookmarkStart w:id="36" w:name="_Toc463612425"/>
      <w:r>
        <w:rPr>
          <w:rStyle w:val="CharSectno"/>
        </w:rPr>
        <w:t>9</w:t>
      </w:r>
      <w:r>
        <w:rPr>
          <w:snapToGrid w:val="0"/>
        </w:rPr>
        <w:t>.</w:t>
      </w:r>
      <w:r>
        <w:rPr>
          <w:snapToGrid w:val="0"/>
        </w:rPr>
        <w:tab/>
        <w:t>Oral request for entry</w:t>
      </w:r>
      <w:bookmarkEnd w:id="35"/>
      <w:bookmarkEnd w:id="36"/>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 and</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keepNext/>
        <w:rPr>
          <w:snapToGrid w:val="0"/>
        </w:rPr>
      </w:pPr>
      <w:r>
        <w:rPr>
          <w:snapToGrid w:val="0"/>
        </w:rPr>
        <w:tab/>
        <w:t>(ii)</w:t>
      </w:r>
      <w:r>
        <w:rPr>
          <w:snapToGrid w:val="0"/>
        </w:rPr>
        <w:tab/>
        <w:t>between 4 and 20 selected numbers (other than 6 numbers) (ie. a systems entry);</w:t>
      </w:r>
    </w:p>
    <w:p>
      <w:pPr>
        <w:pStyle w:val="Indenta"/>
        <w:keepNext/>
      </w:pPr>
      <w:r>
        <w:tab/>
      </w:r>
      <w:r>
        <w:tab/>
      </w:r>
      <w:r>
        <w:rPr>
          <w:snapToGrid w:val="0"/>
        </w:rPr>
        <w:t>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Ednotesection"/>
      </w:pPr>
      <w:r>
        <w:t>[</w:t>
      </w:r>
      <w:r>
        <w:rPr>
          <w:b/>
        </w:rPr>
        <w:t>10.</w:t>
      </w:r>
      <w:r>
        <w:tab/>
        <w:t>Deleted in Gazette 16 Dec 2014 p. 4761.]</w:t>
      </w:r>
    </w:p>
    <w:p>
      <w:pPr>
        <w:pStyle w:val="Heading5"/>
        <w:rPr>
          <w:snapToGrid w:val="0"/>
        </w:rPr>
      </w:pPr>
      <w:bookmarkStart w:id="37" w:name="_Toc406506905"/>
      <w:bookmarkStart w:id="38" w:name="_Toc463612426"/>
      <w:r>
        <w:rPr>
          <w:rStyle w:val="CharSectno"/>
        </w:rPr>
        <w:t>11</w:t>
      </w:r>
      <w:r>
        <w:rPr>
          <w:snapToGrid w:val="0"/>
        </w:rPr>
        <w:t>.</w:t>
      </w:r>
      <w:r>
        <w:rPr>
          <w:snapToGrid w:val="0"/>
        </w:rPr>
        <w:tab/>
        <w:t>Receipted tickets to be issued</w:t>
      </w:r>
      <w:bookmarkEnd w:id="37"/>
      <w:bookmarkEnd w:id="38"/>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Footnotesection"/>
      </w:pPr>
      <w:r>
        <w:tab/>
        <w:t>[Rule 11 amended in Gazette 6 Jun 2008 p. 2259-60; 16 Dec 2014 p. 4761.]</w:t>
      </w:r>
    </w:p>
    <w:p>
      <w:pPr>
        <w:pStyle w:val="Heading5"/>
        <w:rPr>
          <w:snapToGrid w:val="0"/>
        </w:rPr>
      </w:pPr>
      <w:bookmarkStart w:id="39" w:name="_Toc406506906"/>
      <w:bookmarkStart w:id="40" w:name="_Toc463612427"/>
      <w:r>
        <w:rPr>
          <w:rStyle w:val="CharSectno"/>
        </w:rPr>
        <w:t>12</w:t>
      </w:r>
      <w:r>
        <w:rPr>
          <w:snapToGrid w:val="0"/>
        </w:rPr>
        <w:t>.</w:t>
      </w:r>
      <w:r>
        <w:rPr>
          <w:snapToGrid w:val="0"/>
        </w:rPr>
        <w:tab/>
        <w:t>Receipted tickets, surrender of</w:t>
      </w:r>
      <w:bookmarkEnd w:id="39"/>
      <w:bookmarkEnd w:id="40"/>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 and</w:t>
      </w:r>
    </w:p>
    <w:p>
      <w:pPr>
        <w:pStyle w:val="Indenta"/>
        <w:rPr>
          <w:snapToGrid w:val="0"/>
        </w:rPr>
      </w:pPr>
      <w:r>
        <w:rPr>
          <w:snapToGrid w:val="0"/>
        </w:rPr>
        <w:tab/>
        <w:t>(b)</w:t>
      </w:r>
      <w:r>
        <w:rPr>
          <w:snapToGrid w:val="0"/>
        </w:rPr>
        <w:tab/>
        <w:t>on the day on which it was purchased; and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41" w:name="_Toc406506907"/>
      <w:bookmarkStart w:id="42" w:name="_Toc463612428"/>
      <w:r>
        <w:rPr>
          <w:rStyle w:val="CharSectno"/>
        </w:rPr>
        <w:t>13</w:t>
      </w:r>
      <w:r>
        <w:rPr>
          <w:snapToGrid w:val="0"/>
        </w:rPr>
        <w:t>.</w:t>
      </w:r>
      <w:r>
        <w:rPr>
          <w:snapToGrid w:val="0"/>
        </w:rPr>
        <w:tab/>
        <w:t>Receipted tickets, agents not required to check accuracy of</w:t>
      </w:r>
      <w:bookmarkEnd w:id="41"/>
      <w:bookmarkEnd w:id="42"/>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r>
        <w:tab/>
        <w:t>[Rule 13 amended in Gazette 6 Jun 2008 p. 2260.]</w:t>
      </w:r>
    </w:p>
    <w:p>
      <w:pPr>
        <w:pStyle w:val="Heading5"/>
        <w:rPr>
          <w:snapToGrid w:val="0"/>
        </w:rPr>
      </w:pPr>
      <w:bookmarkStart w:id="43" w:name="_Toc406506908"/>
      <w:bookmarkStart w:id="44" w:name="_Toc463612429"/>
      <w:r>
        <w:rPr>
          <w:rStyle w:val="CharSectno"/>
        </w:rPr>
        <w:t>14</w:t>
      </w:r>
      <w:r>
        <w:rPr>
          <w:snapToGrid w:val="0"/>
        </w:rPr>
        <w:t>.</w:t>
      </w:r>
      <w:r>
        <w:rPr>
          <w:snapToGrid w:val="0"/>
        </w:rPr>
        <w:tab/>
        <w:t>Receipted tickets, effect of</w:t>
      </w:r>
      <w:bookmarkEnd w:id="43"/>
      <w:bookmarkEnd w:id="44"/>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 option is not allowed for some of the draws on the receipted ticket; or</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45" w:name="_Toc391299407"/>
      <w:bookmarkStart w:id="46" w:name="_Toc391299507"/>
      <w:bookmarkStart w:id="47" w:name="_Toc406506909"/>
      <w:bookmarkStart w:id="48" w:name="_Toc421105962"/>
      <w:bookmarkStart w:id="49" w:name="_Toc421106026"/>
      <w:bookmarkStart w:id="50" w:name="_Toc463612430"/>
      <w:r>
        <w:rPr>
          <w:rStyle w:val="CharPartNo"/>
        </w:rPr>
        <w:t>Part 2A</w:t>
      </w:r>
      <w:r>
        <w:rPr>
          <w:b w:val="0"/>
        </w:rPr>
        <w:t> </w:t>
      </w:r>
      <w:r>
        <w:t>—</w:t>
      </w:r>
      <w:r>
        <w:rPr>
          <w:b w:val="0"/>
        </w:rPr>
        <w:t> </w:t>
      </w:r>
      <w:r>
        <w:rPr>
          <w:rStyle w:val="CharPartText"/>
        </w:rPr>
        <w:t>Syndicate entries</w:t>
      </w:r>
      <w:bookmarkEnd w:id="45"/>
      <w:bookmarkEnd w:id="46"/>
      <w:bookmarkEnd w:id="47"/>
      <w:bookmarkEnd w:id="48"/>
      <w:bookmarkEnd w:id="49"/>
      <w:bookmarkEnd w:id="50"/>
    </w:p>
    <w:p>
      <w:pPr>
        <w:pStyle w:val="Footnoteheading"/>
      </w:pPr>
      <w:r>
        <w:tab/>
        <w:t>[Heading inserted in Gazette 6 Jun 2008 p. 2261.]</w:t>
      </w:r>
    </w:p>
    <w:p>
      <w:pPr>
        <w:pStyle w:val="Heading5"/>
      </w:pPr>
      <w:bookmarkStart w:id="51" w:name="_Toc406506910"/>
      <w:bookmarkStart w:id="52" w:name="_Toc463612431"/>
      <w:r>
        <w:rPr>
          <w:rStyle w:val="CharSectno"/>
        </w:rPr>
        <w:t>14A</w:t>
      </w:r>
      <w:r>
        <w:t>.</w:t>
      </w:r>
      <w:r>
        <w:tab/>
        <w:t>Informal syndicate entries; application of this Part</w:t>
      </w:r>
      <w:bookmarkEnd w:id="51"/>
      <w:bookmarkEnd w:id="52"/>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53" w:name="_Toc406506911"/>
      <w:bookmarkStart w:id="54" w:name="_Toc463612432"/>
      <w:r>
        <w:rPr>
          <w:rStyle w:val="CharSectno"/>
        </w:rPr>
        <w:t>14B</w:t>
      </w:r>
      <w:r>
        <w:t>.</w:t>
      </w:r>
      <w:r>
        <w:tab/>
        <w:t>Creating a syndicate</w:t>
      </w:r>
      <w:bookmarkEnd w:id="53"/>
      <w:bookmarkEnd w:id="54"/>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keepNext/>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2262; amended in Gazette 12 Mar 2010 p. 949.]</w:t>
      </w:r>
    </w:p>
    <w:p>
      <w:pPr>
        <w:pStyle w:val="Heading5"/>
      </w:pPr>
      <w:bookmarkStart w:id="55" w:name="_Toc406506912"/>
      <w:bookmarkStart w:id="56" w:name="_Toc463612433"/>
      <w:r>
        <w:rPr>
          <w:rStyle w:val="CharSectno"/>
        </w:rPr>
        <w:t>14C</w:t>
      </w:r>
      <w:r>
        <w:t>.</w:t>
      </w:r>
      <w:r>
        <w:tab/>
        <w:t>Syndicate share numbers and cost parameters</w:t>
      </w:r>
      <w:bookmarkEnd w:id="55"/>
      <w:bookmarkEnd w:id="5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[Rule 14C inserted in Gazette 6 Jun 2008 p. 2262-3; amended in Gazette 12 Mar 2010 p. 949.]</w:t>
      </w:r>
    </w:p>
    <w:p>
      <w:pPr>
        <w:pStyle w:val="Heading5"/>
      </w:pPr>
      <w:bookmarkStart w:id="57" w:name="_Toc406506913"/>
      <w:bookmarkStart w:id="58" w:name="_Toc463612434"/>
      <w:r>
        <w:rPr>
          <w:rStyle w:val="CharSectno"/>
        </w:rPr>
        <w:t>14D</w:t>
      </w:r>
      <w:r>
        <w:t>.</w:t>
      </w:r>
      <w:r>
        <w:tab/>
        <w:t>Agent’s component of syndicate share</w:t>
      </w:r>
      <w:bookmarkEnd w:id="57"/>
      <w:bookmarkEnd w:id="58"/>
    </w:p>
    <w:p>
      <w:pPr>
        <w:pStyle w:val="Subsection"/>
      </w:pPr>
      <w:r>
        <w:tab/>
      </w:r>
      <w:r>
        <w:tab/>
        <w:t>The agent’s component per share is the difference between the final price per share and the subscription per share.</w:t>
      </w:r>
    </w:p>
    <w:p>
      <w:pPr>
        <w:pStyle w:val="Footnotesection"/>
      </w:pPr>
      <w:r>
        <w:tab/>
        <w:t>[Rule 14D inserted in Gazette 12 Mar 2010 p. 950.]</w:t>
      </w:r>
    </w:p>
    <w:p>
      <w:pPr>
        <w:pStyle w:val="Heading5"/>
      </w:pPr>
      <w:bookmarkStart w:id="59" w:name="_Toc406506914"/>
      <w:bookmarkStart w:id="60" w:name="_Toc463612435"/>
      <w:r>
        <w:rPr>
          <w:rStyle w:val="CharSectno"/>
        </w:rPr>
        <w:t>14E</w:t>
      </w:r>
      <w:r>
        <w:t>.</w:t>
      </w:r>
      <w:r>
        <w:tab/>
        <w:t>Syndicate participation parameters</w:t>
      </w:r>
      <w:bookmarkEnd w:id="59"/>
      <w:bookmarkEnd w:id="60"/>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61" w:name="_Toc406506915"/>
      <w:bookmarkStart w:id="62" w:name="_Toc463612436"/>
      <w:r>
        <w:rPr>
          <w:rStyle w:val="CharSectno"/>
        </w:rPr>
        <w:t>14F</w:t>
      </w:r>
      <w:r>
        <w:t>.</w:t>
      </w:r>
      <w:r>
        <w:tab/>
        <w:t>Types of syndicate entries</w:t>
      </w:r>
      <w:bookmarkEnd w:id="61"/>
      <w:bookmarkEnd w:id="62"/>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63" w:name="_Toc406506916"/>
      <w:bookmarkStart w:id="64" w:name="_Toc463612437"/>
      <w:r>
        <w:rPr>
          <w:rStyle w:val="CharSectno"/>
        </w:rPr>
        <w:t>14G</w:t>
      </w:r>
      <w:r>
        <w:t>.</w:t>
      </w:r>
      <w:r>
        <w:tab/>
        <w:t>Syndicate share receipted ticket, registering and cancelling</w:t>
      </w:r>
      <w:bookmarkEnd w:id="63"/>
      <w:bookmarkEnd w:id="64"/>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65" w:name="_Toc406506917"/>
      <w:bookmarkStart w:id="66" w:name="_Toc463612438"/>
      <w:r>
        <w:rPr>
          <w:rStyle w:val="CharSectno"/>
        </w:rPr>
        <w:t>14H</w:t>
      </w:r>
      <w:r>
        <w:t>.</w:t>
      </w:r>
      <w:r>
        <w:tab/>
        <w:t>Unsold shares in some syndicates; syndicate master ticket</w:t>
      </w:r>
      <w:bookmarkEnd w:id="65"/>
      <w:bookmarkEnd w:id="6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2264; amended in Gazette 12 Mar 2010 p. 950.]</w:t>
      </w:r>
    </w:p>
    <w:p>
      <w:pPr>
        <w:pStyle w:val="Heading2"/>
      </w:pPr>
      <w:bookmarkStart w:id="67" w:name="_Toc391299416"/>
      <w:bookmarkStart w:id="68" w:name="_Toc391299516"/>
      <w:bookmarkStart w:id="69" w:name="_Toc406506918"/>
      <w:bookmarkStart w:id="70" w:name="_Toc421105971"/>
      <w:bookmarkStart w:id="71" w:name="_Toc421106035"/>
      <w:bookmarkStart w:id="72" w:name="_Toc463612439"/>
      <w:r>
        <w:rPr>
          <w:rStyle w:val="CharPartNo"/>
        </w:rPr>
        <w:t>Part 3</w:t>
      </w:r>
      <w:r>
        <w:rPr>
          <w:rStyle w:val="CharDivNo"/>
        </w:rPr>
        <w:t> </w:t>
      </w:r>
      <w:r>
        <w:t>—</w:t>
      </w:r>
      <w:r>
        <w:rPr>
          <w:rStyle w:val="CharDivText"/>
        </w:rPr>
        <w:t> </w:t>
      </w:r>
      <w:r>
        <w:rPr>
          <w:rStyle w:val="CharPartText"/>
        </w:rPr>
        <w:t>General duties of Commission</w:t>
      </w:r>
      <w:bookmarkEnd w:id="67"/>
      <w:bookmarkEnd w:id="68"/>
      <w:bookmarkEnd w:id="69"/>
      <w:bookmarkEnd w:id="70"/>
      <w:bookmarkEnd w:id="71"/>
      <w:bookmarkEnd w:id="72"/>
    </w:p>
    <w:p>
      <w:pPr>
        <w:pStyle w:val="Heading5"/>
        <w:rPr>
          <w:snapToGrid w:val="0"/>
        </w:rPr>
      </w:pPr>
      <w:bookmarkStart w:id="73" w:name="_Toc406506919"/>
      <w:bookmarkStart w:id="74" w:name="_Toc463612440"/>
      <w:r>
        <w:rPr>
          <w:rStyle w:val="CharSectno"/>
        </w:rPr>
        <w:t>15</w:t>
      </w:r>
      <w:r>
        <w:rPr>
          <w:snapToGrid w:val="0"/>
        </w:rPr>
        <w:t>.</w:t>
      </w:r>
      <w:r>
        <w:rPr>
          <w:snapToGrid w:val="0"/>
        </w:rPr>
        <w:tab/>
        <w:t>Each draw to be numbered</w:t>
      </w:r>
      <w:bookmarkEnd w:id="73"/>
      <w:bookmarkEnd w:id="74"/>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75" w:name="_Toc406506920"/>
      <w:bookmarkStart w:id="76" w:name="_Toc463612441"/>
      <w:r>
        <w:rPr>
          <w:rStyle w:val="CharSectno"/>
        </w:rPr>
        <w:t>16</w:t>
      </w:r>
      <w:r>
        <w:t>.</w:t>
      </w:r>
      <w:r>
        <w:tab/>
        <w:t>Saturday lotto to be supervised</w:t>
      </w:r>
      <w:bookmarkEnd w:id="75"/>
      <w:bookmarkEnd w:id="76"/>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77" w:name="_Toc406506921"/>
      <w:bookmarkStart w:id="78" w:name="_Toc463612442"/>
      <w:r>
        <w:rPr>
          <w:rStyle w:val="CharSectno"/>
        </w:rPr>
        <w:t>17</w:t>
      </w:r>
      <w:r>
        <w:rPr>
          <w:snapToGrid w:val="0"/>
        </w:rPr>
        <w:t>.</w:t>
      </w:r>
      <w:r>
        <w:rPr>
          <w:snapToGrid w:val="0"/>
        </w:rPr>
        <w:tab/>
        <w:t>Results etc. to be published</w:t>
      </w:r>
      <w:bookmarkEnd w:id="77"/>
      <w:bookmarkEnd w:id="78"/>
    </w:p>
    <w:p>
      <w:pPr>
        <w:pStyle w:val="Subsection"/>
        <w:rPr>
          <w:snapToGrid w:val="0"/>
        </w:rPr>
      </w:pPr>
      <w:r>
        <w:rPr>
          <w:snapToGrid w:val="0"/>
        </w:rPr>
        <w:tab/>
      </w:r>
      <w:r>
        <w:rPr>
          <w:snapToGrid w:val="0"/>
        </w:rPr>
        <w:tab/>
        <w:t xml:space="preserve">After each Saturday lotto draw the Commission must </w:t>
      </w:r>
      <w:r>
        <w:t xml:space="preserve">publish — </w:t>
      </w:r>
    </w:p>
    <w:p>
      <w:pPr>
        <w:pStyle w:val="Indenta"/>
        <w:rPr>
          <w:snapToGrid w:val="0"/>
        </w:rPr>
      </w:pPr>
      <w:r>
        <w:rPr>
          <w:snapToGrid w:val="0"/>
        </w:rPr>
        <w:tab/>
        <w:t>(a)</w:t>
      </w:r>
      <w:r>
        <w:rPr>
          <w:snapToGrid w:val="0"/>
        </w:rPr>
        <w:tab/>
        <w:t>the “draw number” for that Saturday lotto draw; and</w:t>
      </w:r>
    </w:p>
    <w:p>
      <w:pPr>
        <w:pStyle w:val="Indenta"/>
        <w:rPr>
          <w:snapToGrid w:val="0"/>
        </w:rPr>
      </w:pPr>
      <w:r>
        <w:rPr>
          <w:snapToGrid w:val="0"/>
        </w:rPr>
        <w:tab/>
        <w:t>(b)</w:t>
      </w:r>
      <w:r>
        <w:rPr>
          <w:snapToGrid w:val="0"/>
        </w:rPr>
        <w:tab/>
        <w:t>the 6 winning numbers and the 2 supplementary numbers; and</w:t>
      </w:r>
    </w:p>
    <w:p>
      <w:pPr>
        <w:pStyle w:val="Indenta"/>
        <w:rPr>
          <w:snapToGrid w:val="0"/>
        </w:rPr>
      </w:pPr>
      <w:r>
        <w:rPr>
          <w:snapToGrid w:val="0"/>
        </w:rPr>
        <w:tab/>
        <w:t>(c)</w:t>
      </w:r>
      <w:r>
        <w:rPr>
          <w:snapToGrid w:val="0"/>
        </w:rPr>
        <w:tab/>
        <w:t>the prize pool for each division; and</w:t>
      </w:r>
    </w:p>
    <w:p>
      <w:pPr>
        <w:pStyle w:val="Indenta"/>
        <w:rPr>
          <w:snapToGrid w:val="0"/>
        </w:rPr>
      </w:pPr>
      <w:r>
        <w:rPr>
          <w:snapToGrid w:val="0"/>
        </w:rPr>
        <w:tab/>
        <w:t>(d)</w:t>
      </w:r>
      <w:r>
        <w:rPr>
          <w:snapToGrid w:val="0"/>
        </w:rPr>
        <w:tab/>
        <w:t>the amount allocated to a winning game in each division; and</w:t>
      </w:r>
    </w:p>
    <w:p>
      <w:pPr>
        <w:pStyle w:val="Indenta"/>
        <w:rPr>
          <w:snapToGrid w:val="0"/>
        </w:rPr>
      </w:pPr>
      <w:r>
        <w:rPr>
          <w:snapToGrid w:val="0"/>
        </w:rPr>
        <w:tab/>
        <w:t>(e)</w:t>
      </w:r>
      <w:r>
        <w:rPr>
          <w:snapToGrid w:val="0"/>
        </w:rPr>
        <w:tab/>
        <w:t>the validation period and the date after which division 1 prizes will be paid; and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Footnotesection"/>
      </w:pPr>
      <w:r>
        <w:tab/>
        <w:t>[Rule 17 amended in Gazette 16 Dec 2014 p. 4761.]</w:t>
      </w:r>
    </w:p>
    <w:p>
      <w:pPr>
        <w:pStyle w:val="Heading5"/>
        <w:rPr>
          <w:snapToGrid w:val="0"/>
        </w:rPr>
      </w:pPr>
      <w:bookmarkStart w:id="79" w:name="_Toc406506922"/>
      <w:bookmarkStart w:id="80" w:name="_Toc463612443"/>
      <w:r>
        <w:rPr>
          <w:rStyle w:val="CharSectno"/>
        </w:rPr>
        <w:t>18</w:t>
      </w:r>
      <w:r>
        <w:rPr>
          <w:snapToGrid w:val="0"/>
        </w:rPr>
        <w:t>.</w:t>
      </w:r>
      <w:r>
        <w:rPr>
          <w:snapToGrid w:val="0"/>
        </w:rPr>
        <w:tab/>
        <w:t>Australian Lotto Bloc prize pool and prize reserve fund</w:t>
      </w:r>
      <w:bookmarkEnd w:id="79"/>
      <w:bookmarkEnd w:id="80"/>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81" w:name="_Toc391299421"/>
      <w:bookmarkStart w:id="82" w:name="_Toc391299521"/>
      <w:bookmarkStart w:id="83" w:name="_Toc406506923"/>
      <w:bookmarkStart w:id="84" w:name="_Toc421105976"/>
      <w:bookmarkStart w:id="85" w:name="_Toc421106040"/>
      <w:bookmarkStart w:id="86" w:name="_Toc463612444"/>
      <w:r>
        <w:rPr>
          <w:rStyle w:val="CharPartNo"/>
        </w:rPr>
        <w:t>Part 4</w:t>
      </w:r>
      <w:r>
        <w:rPr>
          <w:rStyle w:val="CharDivNo"/>
        </w:rPr>
        <w:t> </w:t>
      </w:r>
      <w:r>
        <w:t>—</w:t>
      </w:r>
      <w:r>
        <w:rPr>
          <w:rStyle w:val="CharDivText"/>
        </w:rPr>
        <w:t> </w:t>
      </w:r>
      <w:r>
        <w:rPr>
          <w:rStyle w:val="CharPartText"/>
        </w:rPr>
        <w:t>Saturday lotto draw</w:t>
      </w:r>
      <w:bookmarkEnd w:id="81"/>
      <w:bookmarkEnd w:id="82"/>
      <w:bookmarkEnd w:id="83"/>
      <w:bookmarkEnd w:id="84"/>
      <w:bookmarkEnd w:id="85"/>
      <w:bookmarkEnd w:id="86"/>
    </w:p>
    <w:p>
      <w:pPr>
        <w:pStyle w:val="Heading5"/>
        <w:spacing w:before="180"/>
        <w:rPr>
          <w:snapToGrid w:val="0"/>
        </w:rPr>
      </w:pPr>
      <w:bookmarkStart w:id="87" w:name="_Toc406506924"/>
      <w:bookmarkStart w:id="88" w:name="_Toc463612445"/>
      <w:r>
        <w:rPr>
          <w:rStyle w:val="CharSectno"/>
        </w:rPr>
        <w:t>19</w:t>
      </w:r>
      <w:r>
        <w:rPr>
          <w:snapToGrid w:val="0"/>
        </w:rPr>
        <w:t>.</w:t>
      </w:r>
      <w:r>
        <w:rPr>
          <w:snapToGrid w:val="0"/>
        </w:rPr>
        <w:tab/>
        <w:t>Draw, method of</w:t>
      </w:r>
      <w:bookmarkEnd w:id="87"/>
      <w:bookmarkEnd w:id="88"/>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89" w:name="_Toc406506925"/>
      <w:bookmarkStart w:id="90" w:name="_Toc463612446"/>
      <w:r>
        <w:rPr>
          <w:snapToGrid w:val="0"/>
        </w:rPr>
        <w:t>20.</w:t>
      </w:r>
      <w:r>
        <w:rPr>
          <w:snapToGrid w:val="0"/>
        </w:rPr>
        <w:tab/>
        <w:t>Criteria for winning</w:t>
      </w:r>
      <w:bookmarkEnd w:id="89"/>
      <w:bookmarkEnd w:id="90"/>
    </w:p>
    <w:p>
      <w:pPr>
        <w:pStyle w:val="Subsection"/>
        <w:rPr>
          <w:snapToGrid w:val="0"/>
        </w:rPr>
      </w:pPr>
      <w:r>
        <w:rPr>
          <w:snapToGrid w:val="0"/>
        </w:rPr>
        <w:tab/>
      </w:r>
      <w:r>
        <w:rPr>
          <w:snapToGrid w:val="0"/>
        </w:rPr>
        <w:tab/>
        <w:t xml:space="preserve">In a Saturday lotto draw the holder of a receipted ticket </w:t>
      </w:r>
      <w:r>
        <w:t xml:space="preserve">or the purchaser of an entry under the </w:t>
      </w:r>
      <w:r>
        <w:rPr>
          <w:i/>
          <w:iCs/>
        </w:rPr>
        <w:t xml:space="preserve">Lotteries Commission (Internet Entries) Rules 2010 </w:t>
      </w:r>
      <w:r>
        <w:rPr>
          <w:snapToGrid w:val="0"/>
        </w:rPr>
        <w:t>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 xml:space="preserve">division 4, if 4 winning numbers; </w:t>
      </w:r>
    </w:p>
    <w:p>
      <w:pPr>
        <w:pStyle w:val="Indenta"/>
        <w:spacing w:before="60"/>
        <w:rPr>
          <w:snapToGrid w:val="0"/>
        </w:rPr>
      </w:pPr>
      <w:r>
        <w:rPr>
          <w:snapToGrid w:val="0"/>
        </w:rPr>
        <w:tab/>
        <w:t>(e)</w:t>
      </w:r>
      <w:r>
        <w:rPr>
          <w:snapToGrid w:val="0"/>
        </w:rPr>
        <w:tab/>
        <w:t>division 5, if 3 winning numbers and a supplementary number;</w:t>
      </w:r>
    </w:p>
    <w:p>
      <w:pPr>
        <w:pStyle w:val="Indenta"/>
        <w:rPr>
          <w:snapToGrid w:val="0"/>
        </w:rPr>
      </w:pPr>
      <w:r>
        <w:tab/>
        <w:t>(f)</w:t>
      </w:r>
      <w:r>
        <w:tab/>
        <w:t>in relation to draw 3081 on 29 January 2011 and all subsequent draws — division 6, if one or 2 winning numbers and 2 supplementary numbers,</w:t>
      </w:r>
    </w:p>
    <w:p>
      <w:pPr>
        <w:pStyle w:val="Subsection"/>
        <w:spacing w:before="60"/>
        <w:rPr>
          <w:snapToGrid w:val="0"/>
        </w:rPr>
      </w:pPr>
      <w:r>
        <w:rPr>
          <w:snapToGrid w:val="0"/>
        </w:rPr>
        <w:tab/>
      </w:r>
      <w:r>
        <w:rPr>
          <w:snapToGrid w:val="0"/>
        </w:rPr>
        <w:tab/>
        <w:t>are selected in the one game.</w:t>
      </w:r>
    </w:p>
    <w:p>
      <w:pPr>
        <w:pStyle w:val="Footnotesection"/>
      </w:pPr>
      <w:r>
        <w:tab/>
        <w:t>[Rule 20 amended in Gazette 19 Nov 2010 p. 5730; 21 Dec 2010 p. 6763.]</w:t>
      </w:r>
    </w:p>
    <w:p>
      <w:pPr>
        <w:pStyle w:val="Heading5"/>
        <w:rPr>
          <w:snapToGrid w:val="0"/>
        </w:rPr>
      </w:pPr>
      <w:bookmarkStart w:id="91" w:name="_Toc406506926"/>
      <w:bookmarkStart w:id="92" w:name="_Toc463612447"/>
      <w:r>
        <w:rPr>
          <w:snapToGrid w:val="0"/>
        </w:rPr>
        <w:t>21.</w:t>
      </w:r>
      <w:r>
        <w:rPr>
          <w:snapToGrid w:val="0"/>
        </w:rPr>
        <w:tab/>
        <w:t>Which divisions can be won by a receipted ticket</w:t>
      </w:r>
      <w:bookmarkEnd w:id="91"/>
      <w:bookmarkEnd w:id="92"/>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Saturday lotto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 may claim a prize in one division for each notional game making up that systems entry, resulting in prizes in more than one division for that entry as set out in Schedule 2.</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 19 Nov 2010 p. 5730</w:t>
      </w:r>
      <w:r>
        <w:noBreakHyphen/>
        <w:t>1.]</w:t>
      </w:r>
    </w:p>
    <w:p>
      <w:pPr>
        <w:pStyle w:val="Heading5"/>
        <w:rPr>
          <w:snapToGrid w:val="0"/>
        </w:rPr>
      </w:pPr>
      <w:bookmarkStart w:id="93" w:name="_Toc406506927"/>
      <w:bookmarkStart w:id="94" w:name="_Toc463612448"/>
      <w:r>
        <w:rPr>
          <w:rStyle w:val="CharSectno"/>
        </w:rPr>
        <w:t>22</w:t>
      </w:r>
      <w:r>
        <w:rPr>
          <w:snapToGrid w:val="0"/>
        </w:rPr>
        <w:t>.</w:t>
      </w:r>
      <w:r>
        <w:rPr>
          <w:snapToGrid w:val="0"/>
        </w:rPr>
        <w:tab/>
        <w:t>Prize pool, distribution of</w:t>
      </w:r>
      <w:bookmarkEnd w:id="93"/>
      <w:bookmarkEnd w:id="94"/>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95" w:name="_Toc406506928"/>
      <w:bookmarkStart w:id="96" w:name="_Toc463612449"/>
      <w:r>
        <w:rPr>
          <w:rStyle w:val="CharSectno"/>
        </w:rPr>
        <w:t>23</w:t>
      </w:r>
      <w:r>
        <w:rPr>
          <w:snapToGrid w:val="0"/>
        </w:rPr>
        <w:t>.</w:t>
      </w:r>
      <w:r>
        <w:rPr>
          <w:snapToGrid w:val="0"/>
        </w:rPr>
        <w:tab/>
        <w:t>Division 1 prize not won, application of prize pool in case of</w:t>
      </w:r>
      <w:bookmarkEnd w:id="95"/>
      <w:bookmarkEnd w:id="96"/>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r>
        <w:tab/>
        <w:t>[Rule 23 amended in Gazette 6 Jun 2008 p. 2265-6.]</w:t>
      </w:r>
    </w:p>
    <w:p>
      <w:pPr>
        <w:pStyle w:val="Heading5"/>
        <w:rPr>
          <w:snapToGrid w:val="0"/>
        </w:rPr>
      </w:pPr>
      <w:bookmarkStart w:id="97" w:name="_Toc406506929"/>
      <w:bookmarkStart w:id="98" w:name="_Toc463612450"/>
      <w:r>
        <w:rPr>
          <w:rStyle w:val="CharSectno"/>
        </w:rPr>
        <w:t>24</w:t>
      </w:r>
      <w:r>
        <w:rPr>
          <w:snapToGrid w:val="0"/>
        </w:rPr>
        <w:t>.</w:t>
      </w:r>
      <w:r>
        <w:rPr>
          <w:snapToGrid w:val="0"/>
        </w:rPr>
        <w:tab/>
        <w:t>Division 2 to 5 prize not won, application of prize pool in case of</w:t>
      </w:r>
      <w:bookmarkEnd w:id="97"/>
      <w:bookmarkEnd w:id="98"/>
    </w:p>
    <w:p>
      <w:pPr>
        <w:pStyle w:val="Subsection"/>
        <w:rPr>
          <w:snapToGrid w:val="0"/>
        </w:rPr>
      </w:pPr>
      <w:r>
        <w:rPr>
          <w:snapToGrid w:val="0"/>
        </w:rPr>
        <w:tab/>
      </w:r>
      <w:r>
        <w:rPr>
          <w:snapToGrid w:val="0"/>
        </w:rPr>
        <w:tab/>
        <w:t xml:space="preserve">If no one wins a prize in division 2, 3 or 4 </w:t>
      </w:r>
      <w:r>
        <w:t xml:space="preserve">(or, in relation to draw 3081 on 29 January 2011 and all subsequent draws, division 5) </w:t>
      </w:r>
      <w:r>
        <w:rPr>
          <w:snapToGrid w:val="0"/>
        </w:rPr>
        <w:t>in a particular Saturday lotto draw, then the prize pool for that division is to be added to the prize pool for the next lower division in which there is at least one winner in that Saturday lotto draw.</w:t>
      </w:r>
    </w:p>
    <w:p>
      <w:pPr>
        <w:pStyle w:val="Footnotesection"/>
      </w:pPr>
      <w:r>
        <w:tab/>
        <w:t>[Rule 24 amended in Gazette 21 Dec 2010 p. 6763.]</w:t>
      </w:r>
    </w:p>
    <w:p>
      <w:pPr>
        <w:pStyle w:val="Heading5"/>
        <w:rPr>
          <w:snapToGrid w:val="0"/>
        </w:rPr>
      </w:pPr>
      <w:bookmarkStart w:id="99" w:name="_Toc406506930"/>
      <w:bookmarkStart w:id="100" w:name="_Toc463612451"/>
      <w:r>
        <w:rPr>
          <w:rStyle w:val="CharSectno"/>
        </w:rPr>
        <w:t>25</w:t>
      </w:r>
      <w:r>
        <w:rPr>
          <w:snapToGrid w:val="0"/>
        </w:rPr>
        <w:t>.</w:t>
      </w:r>
      <w:r>
        <w:rPr>
          <w:snapToGrid w:val="0"/>
        </w:rPr>
        <w:tab/>
        <w:t>Bonus draws and guaranteed prize pools</w:t>
      </w:r>
      <w:bookmarkEnd w:id="99"/>
      <w:bookmarkEnd w:id="100"/>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spacing w:before="140"/>
        <w:rPr>
          <w:snapToGrid w:val="0"/>
        </w:rPr>
      </w:pPr>
      <w:r>
        <w:rPr>
          <w:snapToGrid w:val="0"/>
        </w:rPr>
        <w:tab/>
        <w:t>(4)</w:t>
      </w:r>
      <w:r>
        <w:rPr>
          <w:snapToGrid w:val="0"/>
        </w:rPr>
        <w:tab/>
        <w:t>If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spacing w:before="120"/>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r>
        <w:tab/>
        <w:t>[Rule 25 amended in Gazette 6 Jun 2008 p. 2266.]</w:t>
      </w:r>
    </w:p>
    <w:p>
      <w:pPr>
        <w:pStyle w:val="Heading5"/>
        <w:rPr>
          <w:snapToGrid w:val="0"/>
        </w:rPr>
      </w:pPr>
      <w:bookmarkStart w:id="101" w:name="_Toc406506931"/>
      <w:bookmarkStart w:id="102" w:name="_Toc463612452"/>
      <w:r>
        <w:rPr>
          <w:rStyle w:val="CharSectno"/>
        </w:rPr>
        <w:t>26</w:t>
      </w:r>
      <w:r>
        <w:rPr>
          <w:snapToGrid w:val="0"/>
        </w:rPr>
        <w:t>.</w:t>
      </w:r>
      <w:r>
        <w:rPr>
          <w:snapToGrid w:val="0"/>
        </w:rPr>
        <w:tab/>
        <w:t>Division 1 prizes, claims for and payment of</w:t>
      </w:r>
      <w:bookmarkEnd w:id="101"/>
      <w:bookmarkEnd w:id="102"/>
    </w:p>
    <w:p>
      <w:pPr>
        <w:pStyle w:val="Subsection"/>
        <w:spacing w:before="140"/>
      </w:pPr>
      <w:r>
        <w:tab/>
        <w:t>(1A)</w:t>
      </w:r>
      <w:r>
        <w:tab/>
        <w:t xml:space="preserve">A division 1 prize in a Saturday lotto draw is to be paid in accordance with these rules and the </w:t>
      </w:r>
      <w:r>
        <w:rPr>
          <w:i/>
          <w:iCs/>
        </w:rPr>
        <w:t>Lotteries Commission (Internet Entries) Rules 2010</w:t>
      </w:r>
      <w:r>
        <w:t>.</w:t>
      </w:r>
    </w:p>
    <w:p>
      <w:pPr>
        <w:pStyle w:val="Subsection"/>
        <w:spacing w:before="140"/>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spacing w:before="140"/>
        <w:rPr>
          <w:snapToGrid w:val="0"/>
        </w:rPr>
      </w:pPr>
      <w:r>
        <w:rPr>
          <w:snapToGrid w:val="0"/>
        </w:rPr>
        <w:tab/>
        <w:t>(2)</w:t>
      </w:r>
      <w:r>
        <w:rPr>
          <w:snapToGrid w:val="0"/>
        </w:rPr>
        <w:tab/>
        <w:t xml:space="preserve">Subject to subrule (3), a division 1 prize in a Saturday lotto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4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 and</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 or</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r>
        <w:tab/>
        <w:t>[Rule 26 amended in Gazette 6 Jun 2008 p. 2266; 19 Nov 2010 p. 5731.]</w:t>
      </w:r>
    </w:p>
    <w:p>
      <w:pPr>
        <w:pStyle w:val="Heading5"/>
        <w:rPr>
          <w:snapToGrid w:val="0"/>
        </w:rPr>
      </w:pPr>
      <w:bookmarkStart w:id="103" w:name="_Toc406506932"/>
      <w:bookmarkStart w:id="104" w:name="_Toc463612453"/>
      <w:r>
        <w:rPr>
          <w:rStyle w:val="CharSectno"/>
        </w:rPr>
        <w:t>27</w:t>
      </w:r>
      <w:r>
        <w:rPr>
          <w:snapToGrid w:val="0"/>
        </w:rPr>
        <w:t>.</w:t>
      </w:r>
      <w:r>
        <w:rPr>
          <w:snapToGrid w:val="0"/>
        </w:rPr>
        <w:tab/>
        <w:t>Division 2 prizes, claims for and payment of</w:t>
      </w:r>
      <w:bookmarkEnd w:id="103"/>
      <w:bookmarkEnd w:id="104"/>
    </w:p>
    <w:p>
      <w:pPr>
        <w:pStyle w:val="Subsection"/>
      </w:pPr>
      <w:r>
        <w:tab/>
        <w:t>(1A)</w:t>
      </w:r>
      <w:r>
        <w:tab/>
        <w:t xml:space="preserve">A division 2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r>
        <w:tab/>
        <w:t>[Rule 27 amended in Gazette 6 Jun 2008 p. 2266; 19 Nov 2010 p. 5731.]</w:t>
      </w:r>
    </w:p>
    <w:p>
      <w:pPr>
        <w:pStyle w:val="Heading5"/>
        <w:rPr>
          <w:snapToGrid w:val="0"/>
        </w:rPr>
      </w:pPr>
      <w:bookmarkStart w:id="105" w:name="_Toc406506933"/>
      <w:bookmarkStart w:id="106" w:name="_Toc463612454"/>
      <w:r>
        <w:rPr>
          <w:rStyle w:val="CharSectno"/>
        </w:rPr>
        <w:t>28</w:t>
      </w:r>
      <w:r>
        <w:rPr>
          <w:snapToGrid w:val="0"/>
        </w:rPr>
        <w:t>.</w:t>
      </w:r>
      <w:r>
        <w:rPr>
          <w:snapToGrid w:val="0"/>
        </w:rPr>
        <w:tab/>
        <w:t>Division 3 to 6 prizes, claims for and payment of</w:t>
      </w:r>
      <w:bookmarkEnd w:id="105"/>
      <w:bookmarkEnd w:id="106"/>
    </w:p>
    <w:p>
      <w:pPr>
        <w:pStyle w:val="Subsection"/>
      </w:pPr>
      <w:r>
        <w:tab/>
        <w:t>(1A)</w:t>
      </w:r>
      <w:r>
        <w:tab/>
        <w:t xml:space="preserve">A division 3, 4, 5 or 6 prize in a Saturday lotto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 xml:space="preserve">To claim a division 3, </w:t>
      </w:r>
      <w:r>
        <w:t xml:space="preserve">4, 5 or 6 </w:t>
      </w:r>
      <w:r>
        <w:rPr>
          <w:snapToGrid w:val="0"/>
        </w:rPr>
        <w:t>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 xml:space="preserve">A division 3, </w:t>
      </w:r>
      <w:r>
        <w:t xml:space="preserve">4, 5 or 6 </w:t>
      </w:r>
      <w:r>
        <w:rPr>
          <w:snapToGrid w:val="0"/>
        </w:rPr>
        <w:t>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 and</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 and</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r>
        <w:tab/>
        <w:t>[Rule 28 amended in Gazette 6 Jun 2008 p. 2266; 19 Nov 2010 p. 5732; 21 Dec 2010 p. 6764.]</w:t>
      </w:r>
    </w:p>
    <w:p>
      <w:pPr>
        <w:pStyle w:val="Heading5"/>
      </w:pPr>
      <w:bookmarkStart w:id="107" w:name="_Toc406506934"/>
      <w:bookmarkStart w:id="108" w:name="_Toc463612455"/>
      <w:r>
        <w:rPr>
          <w:rStyle w:val="CharSectno"/>
        </w:rPr>
        <w:t>28A</w:t>
      </w:r>
      <w:r>
        <w:t>.</w:t>
      </w:r>
      <w:r>
        <w:tab/>
        <w:t>Syndicate share prizes, claims for and payment of</w:t>
      </w:r>
      <w:bookmarkEnd w:id="107"/>
      <w:bookmarkEnd w:id="108"/>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109" w:name="_Toc406506935"/>
      <w:bookmarkStart w:id="110" w:name="_Toc463612456"/>
      <w:r>
        <w:rPr>
          <w:rStyle w:val="CharSectno"/>
        </w:rPr>
        <w:t>29</w:t>
      </w:r>
      <w:r>
        <w:rPr>
          <w:snapToGrid w:val="0"/>
        </w:rPr>
        <w:t>.</w:t>
      </w:r>
      <w:r>
        <w:rPr>
          <w:snapToGrid w:val="0"/>
        </w:rPr>
        <w:tab/>
        <w:t>Statutory declaration as to compliance with law, Commission may require</w:t>
      </w:r>
      <w:bookmarkEnd w:id="109"/>
      <w:bookmarkEnd w:id="110"/>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r>
        <w:tab/>
        <w:t>[Rule 29 amended in Gazette 6 Jun 2008 p. 2268.]</w:t>
      </w:r>
    </w:p>
    <w:p>
      <w:pPr>
        <w:pStyle w:val="Heading5"/>
        <w:spacing w:before="260"/>
        <w:rPr>
          <w:snapToGrid w:val="0"/>
        </w:rPr>
      </w:pPr>
      <w:bookmarkStart w:id="111" w:name="_Toc406506936"/>
      <w:bookmarkStart w:id="112" w:name="_Toc463612457"/>
      <w:r>
        <w:rPr>
          <w:rStyle w:val="CharSectno"/>
        </w:rPr>
        <w:t>30</w:t>
      </w:r>
      <w:r>
        <w:rPr>
          <w:snapToGrid w:val="0"/>
        </w:rPr>
        <w:t>.</w:t>
      </w:r>
      <w:r>
        <w:rPr>
          <w:snapToGrid w:val="0"/>
        </w:rPr>
        <w:tab/>
        <w:t>Names and addresses of prize winners, publishing</w:t>
      </w:r>
      <w:bookmarkEnd w:id="111"/>
      <w:bookmarkEnd w:id="112"/>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13" w:name="_Toc406506937"/>
      <w:bookmarkStart w:id="114" w:name="_Toc463612458"/>
      <w:r>
        <w:rPr>
          <w:rStyle w:val="CharSectno"/>
        </w:rPr>
        <w:t>31</w:t>
      </w:r>
      <w:r>
        <w:rPr>
          <w:snapToGrid w:val="0"/>
        </w:rPr>
        <w:t>.</w:t>
      </w:r>
      <w:r>
        <w:rPr>
          <w:snapToGrid w:val="0"/>
        </w:rPr>
        <w:tab/>
        <w:t>Player Registration Service</w:t>
      </w:r>
      <w:bookmarkEnd w:id="113"/>
      <w:bookmarkEnd w:id="114"/>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115" w:name="_Toc406506938"/>
      <w:bookmarkStart w:id="116" w:name="_Toc463612459"/>
      <w:r>
        <w:rPr>
          <w:rStyle w:val="CharSectno"/>
        </w:rPr>
        <w:t>31A</w:t>
      </w:r>
      <w:r>
        <w:t>.</w:t>
      </w:r>
      <w:r>
        <w:tab/>
        <w:t>Player’s card holders may request direct credit of prizes</w:t>
      </w:r>
      <w:bookmarkEnd w:id="115"/>
      <w:bookmarkEnd w:id="116"/>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117" w:name="_Toc406506939"/>
      <w:bookmarkStart w:id="118" w:name="_Toc463612460"/>
      <w:r>
        <w:rPr>
          <w:rStyle w:val="CharSectno"/>
        </w:rPr>
        <w:t>31B</w:t>
      </w:r>
      <w:r>
        <w:t>.</w:t>
      </w:r>
      <w:r>
        <w:tab/>
        <w:t>Favourite numbers, registering by subscribers</w:t>
      </w:r>
      <w:bookmarkEnd w:id="117"/>
      <w:bookmarkEnd w:id="118"/>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119" w:name="_Toc391299438"/>
      <w:bookmarkStart w:id="120" w:name="_Toc391299538"/>
      <w:bookmarkStart w:id="121" w:name="_Toc406506940"/>
      <w:bookmarkStart w:id="122" w:name="_Toc421105993"/>
      <w:bookmarkStart w:id="123" w:name="_Toc421106057"/>
      <w:bookmarkStart w:id="124" w:name="_Toc463612461"/>
      <w:r>
        <w:rPr>
          <w:rStyle w:val="CharPartNo"/>
        </w:rPr>
        <w:t>Part 5</w:t>
      </w:r>
      <w:r>
        <w:rPr>
          <w:rStyle w:val="CharDivNo"/>
        </w:rPr>
        <w:t> </w:t>
      </w:r>
      <w:r>
        <w:t>—</w:t>
      </w:r>
      <w:r>
        <w:rPr>
          <w:rStyle w:val="CharDivText"/>
        </w:rPr>
        <w:t> </w:t>
      </w:r>
      <w:r>
        <w:rPr>
          <w:rStyle w:val="CharPartText"/>
        </w:rPr>
        <w:t>Miscellaneous</w:t>
      </w:r>
      <w:bookmarkEnd w:id="119"/>
      <w:bookmarkEnd w:id="120"/>
      <w:bookmarkEnd w:id="121"/>
      <w:bookmarkEnd w:id="122"/>
      <w:bookmarkEnd w:id="123"/>
      <w:bookmarkEnd w:id="124"/>
    </w:p>
    <w:p>
      <w:pPr>
        <w:pStyle w:val="Heading5"/>
        <w:rPr>
          <w:snapToGrid w:val="0"/>
        </w:rPr>
      </w:pPr>
      <w:bookmarkStart w:id="125" w:name="_Toc406506941"/>
      <w:bookmarkStart w:id="126" w:name="_Toc463612462"/>
      <w:r>
        <w:rPr>
          <w:rStyle w:val="CharSectno"/>
        </w:rPr>
        <w:t>32</w:t>
      </w:r>
      <w:r>
        <w:rPr>
          <w:snapToGrid w:val="0"/>
        </w:rPr>
        <w:t>.</w:t>
      </w:r>
      <w:r>
        <w:rPr>
          <w:snapToGrid w:val="0"/>
        </w:rPr>
        <w:tab/>
        <w:t>Instructions on playslips etc., status of</w:t>
      </w:r>
      <w:bookmarkEnd w:id="125"/>
      <w:bookmarkEnd w:id="126"/>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r>
        <w:tab/>
        <w:t>[Rule 32 amended in Gazette 6 Jun 2008 p. 2270.]</w:t>
      </w:r>
    </w:p>
    <w:p>
      <w:pPr>
        <w:pStyle w:val="Heading5"/>
        <w:rPr>
          <w:snapToGrid w:val="0"/>
        </w:rPr>
      </w:pPr>
      <w:bookmarkStart w:id="127" w:name="_Toc406506942"/>
      <w:bookmarkStart w:id="128" w:name="_Toc463612463"/>
      <w:r>
        <w:rPr>
          <w:rStyle w:val="CharSectno"/>
        </w:rPr>
        <w:t>33</w:t>
      </w:r>
      <w:r>
        <w:rPr>
          <w:snapToGrid w:val="0"/>
        </w:rPr>
        <w:t>.</w:t>
      </w:r>
      <w:r>
        <w:rPr>
          <w:snapToGrid w:val="0"/>
        </w:rPr>
        <w:tab/>
        <w:t>These rules to be made available etc.</w:t>
      </w:r>
      <w:bookmarkEnd w:id="127"/>
      <w:bookmarkEnd w:id="128"/>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29" w:name="_Toc406506943"/>
      <w:bookmarkStart w:id="130" w:name="_Toc463612464"/>
      <w:r>
        <w:rPr>
          <w:rStyle w:val="CharSectno"/>
        </w:rPr>
        <w:t>34</w:t>
      </w:r>
      <w:r>
        <w:rPr>
          <w:snapToGrid w:val="0"/>
        </w:rPr>
        <w:t>.</w:t>
      </w:r>
      <w:r>
        <w:rPr>
          <w:snapToGrid w:val="0"/>
        </w:rPr>
        <w:tab/>
        <w:t>Commission’s decisions are final</w:t>
      </w:r>
      <w:bookmarkEnd w:id="129"/>
      <w:bookmarkEnd w:id="130"/>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31" w:name="_Toc391299442"/>
      <w:bookmarkStart w:id="132" w:name="_Toc391299542"/>
      <w:bookmarkStart w:id="133" w:name="_Toc406506944"/>
      <w:bookmarkStart w:id="134" w:name="_Toc421105997"/>
      <w:bookmarkStart w:id="135" w:name="_Toc421106061"/>
      <w:bookmarkStart w:id="136" w:name="_Toc463612465"/>
      <w:r>
        <w:rPr>
          <w:rStyle w:val="CharSchNo"/>
        </w:rPr>
        <w:t>Schedule 1</w:t>
      </w:r>
      <w:r>
        <w:t> — </w:t>
      </w:r>
      <w:r>
        <w:rPr>
          <w:rStyle w:val="CharSchText"/>
        </w:rPr>
        <w:t>Calculating the total cost of entry — Saturday lotto draw</w:t>
      </w:r>
      <w:bookmarkEnd w:id="131"/>
      <w:bookmarkEnd w:id="132"/>
      <w:bookmarkEnd w:id="133"/>
      <w:bookmarkEnd w:id="134"/>
      <w:bookmarkEnd w:id="135"/>
      <w:bookmarkEnd w:id="136"/>
    </w:p>
    <w:p>
      <w:pPr>
        <w:pStyle w:val="yShoulderClause"/>
      </w:pPr>
      <w:r>
        <w:t>[r. 5(1)]</w:t>
      </w:r>
    </w:p>
    <w:p>
      <w:pPr>
        <w:pStyle w:val="yFootnoteheading"/>
      </w:pPr>
      <w:r>
        <w:tab/>
        <w:t>[Heading inserted in Gazette 6 May 2014 p. 1386.]</w:t>
      </w:r>
    </w:p>
    <w:p>
      <w:pPr>
        <w:pStyle w:val="yHeading3"/>
      </w:pPr>
      <w:bookmarkStart w:id="137" w:name="_Toc391299443"/>
      <w:bookmarkStart w:id="138" w:name="_Toc391299543"/>
      <w:bookmarkStart w:id="139" w:name="_Toc406506945"/>
      <w:bookmarkStart w:id="140" w:name="_Toc421105998"/>
      <w:bookmarkStart w:id="141" w:name="_Toc421106062"/>
      <w:bookmarkStart w:id="142" w:name="_Toc463612466"/>
      <w:r>
        <w:rPr>
          <w:rStyle w:val="CharSDivNo"/>
        </w:rPr>
        <w:t>Part 1</w:t>
      </w:r>
      <w:r>
        <w:rPr>
          <w:b w:val="0"/>
        </w:rPr>
        <w:t> — </w:t>
      </w:r>
      <w:r>
        <w:rPr>
          <w:rStyle w:val="CharSDivText"/>
        </w:rPr>
        <w:t>Formula applicable up to and including draw 3441 on 12 July 2014</w:t>
      </w:r>
      <w:bookmarkEnd w:id="137"/>
      <w:bookmarkEnd w:id="138"/>
      <w:bookmarkEnd w:id="139"/>
      <w:bookmarkEnd w:id="140"/>
      <w:bookmarkEnd w:id="141"/>
      <w:bookmarkEnd w:id="142"/>
    </w:p>
    <w:p>
      <w:pPr>
        <w:pStyle w:val="yFootnoteheading"/>
      </w:pPr>
      <w:r>
        <w:tab/>
        <w:t>[Heading inserted in Gazette 6 May 2014 p. 1386.]</w:t>
      </w:r>
    </w:p>
    <w:p>
      <w:pPr>
        <w:pStyle w:val="yMiscellaneousBody"/>
      </w:pPr>
      <w:r>
        <w:t>The unit cost of entering a Saturday lotto draw is made up of a subscription of 60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pPr>
      <w:r>
        <w:t>((G x $0.60) x .09 </w:t>
      </w:r>
      <w:r>
        <w:sym w:font="Symbol" w:char="F0AE"/>
      </w:r>
      <w: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pPr>
      <w:r>
        <w:t>The total cost of entry for a Slikpik 25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rPr>
          <w:b/>
          <w:bCs/>
        </w:rPr>
      </w:pPr>
      <w:r>
        <w:rPr>
          <w:b/>
          <w:bCs/>
        </w:rPr>
        <w:tab/>
        <w:t>Total cost of entry</w:t>
      </w:r>
      <w:r>
        <w:rPr>
          <w:b/>
          <w:bCs/>
        </w:rPr>
        <w:tab/>
        <w:t>=</w:t>
      </w:r>
      <w:r>
        <w:rPr>
          <w:b/>
          <w:bCs/>
        </w:rPr>
        <w:tab/>
        <w:t>$16.35</w:t>
      </w:r>
    </w:p>
    <w:p>
      <w:pPr>
        <w:pStyle w:val="yMiscellaneousBody"/>
        <w:keepNext/>
      </w:pPr>
      <w:r>
        <w:t>The total cost of entry for a System 8 entry for a single Saturday lotto draw is calculated as follows —</w:t>
      </w:r>
    </w:p>
    <w:p>
      <w:pPr>
        <w:pStyle w:val="yMiscellaneousBody"/>
        <w:keepNext/>
        <w:tabs>
          <w:tab w:val="left" w:pos="993"/>
          <w:tab w:val="left" w:pos="4536"/>
          <w:tab w:val="left" w:pos="5103"/>
        </w:tabs>
      </w:pPr>
      <w:r>
        <w:tab/>
        <w:t>Subscription for one week</w:t>
      </w:r>
    </w:p>
    <w:p>
      <w:pPr>
        <w:pStyle w:val="yMiscellaneousBody"/>
        <w:tabs>
          <w:tab w:val="left" w:pos="993"/>
          <w:tab w:val="left" w:pos="4536"/>
          <w:tab w:val="left" w:pos="5103"/>
        </w:tabs>
      </w:pPr>
      <w:r>
        <w:tab/>
        <w:t>[28 games @ $0.60 each]</w:t>
      </w:r>
      <w:r>
        <w:tab/>
        <w:t>=</w:t>
      </w:r>
      <w:r>
        <w:tab/>
        <w:t>$16.80</w:t>
      </w:r>
    </w:p>
    <w:p>
      <w:pPr>
        <w:pStyle w:val="yMiscellaneousBody"/>
        <w:tabs>
          <w:tab w:val="left" w:pos="993"/>
          <w:tab w:val="left" w:pos="4536"/>
          <w:tab w:val="left" w:pos="5103"/>
        </w:tabs>
      </w:pPr>
      <w:r>
        <w:tab/>
        <w:t>9% of subscription [.09 x $16.80]</w:t>
      </w:r>
      <w:r>
        <w:tab/>
        <w:t>=</w:t>
      </w:r>
      <w:r>
        <w:tab/>
        <w:t>$1.512</w:t>
      </w:r>
    </w:p>
    <w:p>
      <w:pPr>
        <w:pStyle w:val="yMiscellaneousBody"/>
        <w:tabs>
          <w:tab w:val="left" w:pos="993"/>
          <w:tab w:val="left" w:pos="4536"/>
          <w:tab w:val="left" w:pos="5103"/>
        </w:tabs>
      </w:pPr>
      <w:r>
        <w:tab/>
        <w:t>Rounded using “bankers rounding”</w:t>
      </w:r>
      <w:r>
        <w:tab/>
        <w:t>=</w:t>
      </w:r>
      <w:r>
        <w:tab/>
        <w:t>$1.50</w:t>
      </w:r>
    </w:p>
    <w:p>
      <w:pPr>
        <w:pStyle w:val="yMiscellaneousBody"/>
        <w:tabs>
          <w:tab w:val="left" w:pos="993"/>
          <w:tab w:val="left" w:pos="4536"/>
          <w:tab w:val="left" w:pos="5103"/>
        </w:tabs>
        <w:rPr>
          <w:b/>
          <w:bCs/>
        </w:rPr>
      </w:pPr>
      <w:r>
        <w:rPr>
          <w:b/>
          <w:bCs/>
        </w:rPr>
        <w:tab/>
        <w:t>Total cost of entry</w:t>
      </w:r>
      <w:r>
        <w:rPr>
          <w:b/>
          <w:bCs/>
        </w:rPr>
        <w:tab/>
        <w:t>=</w:t>
      </w:r>
      <w:r>
        <w:rPr>
          <w:b/>
          <w:bCs/>
        </w:rPr>
        <w:tab/>
        <w:t>$18.30</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$0.60 each]</w:t>
      </w:r>
      <w:r>
        <w:tab/>
        <w:t>=</w:t>
      </w:r>
      <w:r>
        <w:tab/>
        <w:t>$302.40</w:t>
      </w:r>
    </w:p>
    <w:p>
      <w:pPr>
        <w:pStyle w:val="yMiscellaneousBody"/>
        <w:tabs>
          <w:tab w:val="left" w:pos="993"/>
          <w:tab w:val="left" w:pos="4536"/>
          <w:tab w:val="left" w:pos="5103"/>
        </w:tabs>
      </w:pPr>
      <w:r>
        <w:tab/>
        <w:t>9% of subscription [.09 x $302.40]</w:t>
      </w:r>
      <w:r>
        <w:tab/>
        <w:t>=</w:t>
      </w:r>
      <w:r>
        <w:tab/>
        <w:t>$27.216</w:t>
      </w:r>
    </w:p>
    <w:p>
      <w:pPr>
        <w:pStyle w:val="yMiscellaneousBody"/>
        <w:tabs>
          <w:tab w:val="left" w:pos="993"/>
          <w:tab w:val="left" w:pos="4536"/>
          <w:tab w:val="left" w:pos="5103"/>
        </w:tabs>
      </w:pPr>
      <w:r>
        <w:tab/>
        <w:t>Rounded using “bankers rounding”</w:t>
      </w:r>
      <w:r>
        <w:tab/>
        <w:t>=</w:t>
      </w:r>
      <w:r>
        <w:tab/>
        <w:t>$27.20</w:t>
      </w:r>
    </w:p>
    <w:p>
      <w:pPr>
        <w:pStyle w:val="yMiscellaneousBody"/>
        <w:tabs>
          <w:tab w:val="left" w:pos="993"/>
          <w:tab w:val="left" w:pos="4536"/>
          <w:tab w:val="left" w:pos="5103"/>
        </w:tabs>
        <w:rPr>
          <w:b/>
          <w:bCs/>
        </w:rPr>
      </w:pPr>
      <w:r>
        <w:rPr>
          <w:b/>
          <w:bCs/>
        </w:rPr>
        <w:tab/>
        <w:t>Total cost of entry</w:t>
      </w:r>
      <w:r>
        <w:rPr>
          <w:b/>
          <w:bCs/>
        </w:rPr>
        <w:tab/>
        <w:t>=</w:t>
      </w:r>
      <w:r>
        <w:rPr>
          <w:b/>
          <w:bCs/>
        </w:rPr>
        <w:tab/>
        <w:t>$329.60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$0.60 each]</w:t>
      </w:r>
      <w:r>
        <w:tab/>
        <w:t>=</w:t>
      </w:r>
      <w:r>
        <w:tab/>
        <w:t>$15.00</w:t>
      </w:r>
    </w:p>
    <w:p>
      <w:pPr>
        <w:pStyle w:val="yMiscellaneousBody"/>
        <w:tabs>
          <w:tab w:val="left" w:pos="993"/>
          <w:tab w:val="left" w:pos="4536"/>
          <w:tab w:val="left" w:pos="5103"/>
        </w:tabs>
      </w:pPr>
      <w:r>
        <w:tab/>
        <w:t>9% of subscription [.09 x $15.00]</w:t>
      </w:r>
      <w:r>
        <w:tab/>
        <w:t>=</w:t>
      </w:r>
      <w:r>
        <w:tab/>
        <w:t>$1.35</w:t>
      </w:r>
    </w:p>
    <w:p>
      <w:pPr>
        <w:pStyle w:val="yMiscellaneousBody"/>
        <w:tabs>
          <w:tab w:val="left" w:pos="993"/>
          <w:tab w:val="left" w:pos="4536"/>
          <w:tab w:val="left" w:pos="5103"/>
        </w:tabs>
      </w:pPr>
      <w:r>
        <w:tab/>
        <w:t>Total cost of entry for one week</w:t>
      </w:r>
      <w:r>
        <w:tab/>
        <w:t>=</w:t>
      </w:r>
      <w:r>
        <w:tab/>
        <w:t>$16.35</w:t>
      </w:r>
    </w:p>
    <w:p>
      <w:pPr>
        <w:pStyle w:val="yMiscellaneousBody"/>
        <w:tabs>
          <w:tab w:val="left" w:pos="993"/>
          <w:tab w:val="left" w:pos="4536"/>
          <w:tab w:val="left" w:pos="5103"/>
        </w:tabs>
        <w:rPr>
          <w:b/>
          <w:bCs/>
        </w:rPr>
      </w:pPr>
      <w:r>
        <w:rPr>
          <w:b/>
          <w:bCs/>
        </w:rPr>
        <w:tab/>
        <w:t xml:space="preserve">Total cost of entry for 10 </w:t>
      </w:r>
      <w:r>
        <w:rPr>
          <w:b/>
        </w:rPr>
        <w:t>weeks</w:t>
      </w:r>
      <w:r>
        <w:rPr>
          <w:b/>
          <w:bCs/>
        </w:rPr>
        <w:tab/>
        <w:t>=</w:t>
      </w:r>
      <w:r>
        <w:rPr>
          <w:b/>
          <w:bCs/>
        </w:rPr>
        <w:tab/>
        <w:t>$163.50</w:t>
      </w:r>
    </w:p>
    <w:p>
      <w:pPr>
        <w:pStyle w:val="yMiscellaneousBody"/>
      </w:pPr>
      <w:r>
        <w:t>* Rounding is calculated using the method known as “bankers rounding” or “round</w:t>
      </w:r>
      <w:r>
        <w:noBreakHyphen/>
        <w:t>to</w:t>
      </w:r>
      <w:r>
        <w:noBreakHyphen/>
        <w:t>even” rounding.</w:t>
      </w:r>
    </w:p>
    <w:p>
      <w:pPr>
        <w:pStyle w:val="yFootnotesection"/>
      </w:pPr>
      <w:r>
        <w:tab/>
        <w:t>[Part 1 inserted in Gazette 6 May 2014 p.1386</w:t>
      </w:r>
      <w:r>
        <w:noBreakHyphen/>
        <w:t>7.]</w:t>
      </w:r>
    </w:p>
    <w:p>
      <w:pPr>
        <w:pStyle w:val="yHeading3"/>
      </w:pPr>
      <w:bookmarkStart w:id="143" w:name="_Toc391299444"/>
      <w:bookmarkStart w:id="144" w:name="_Toc391299544"/>
      <w:bookmarkStart w:id="145" w:name="_Toc406506946"/>
      <w:bookmarkStart w:id="146" w:name="_Toc421105999"/>
      <w:bookmarkStart w:id="147" w:name="_Toc421106063"/>
      <w:bookmarkStart w:id="148" w:name="_Toc463612467"/>
      <w:r>
        <w:rPr>
          <w:rStyle w:val="CharSDivNo"/>
        </w:rPr>
        <w:t>Part 2</w:t>
      </w:r>
      <w:r>
        <w:t> — </w:t>
      </w:r>
      <w:r>
        <w:rPr>
          <w:rStyle w:val="CharSDivText"/>
        </w:rPr>
        <w:t>Formula applicable to draw 3443 on 19 July 2014 and subsequent draws</w:t>
      </w:r>
      <w:bookmarkEnd w:id="143"/>
      <w:bookmarkEnd w:id="144"/>
      <w:bookmarkEnd w:id="145"/>
      <w:bookmarkEnd w:id="146"/>
      <w:bookmarkEnd w:id="147"/>
      <w:bookmarkEnd w:id="148"/>
    </w:p>
    <w:p>
      <w:pPr>
        <w:pStyle w:val="yFootnoteheading"/>
        <w:keepNext/>
      </w:pPr>
      <w:r>
        <w:tab/>
        <w:t>[Heading inserted in Gazette 6 May 2014 p. 1388.]</w:t>
      </w:r>
    </w:p>
    <w:p>
      <w:pPr>
        <w:pStyle w:val="yMiscellaneousBody"/>
        <w:spacing w:before="120"/>
      </w:pPr>
      <w:r>
        <w:t>The unit cost of entering a Saturday lotto draw is made up of a subscription of 65 cents per game and an agent’s component.</w:t>
      </w:r>
    </w:p>
    <w:p>
      <w:pPr>
        <w:pStyle w:val="yMiscellaneousBody"/>
        <w:spacing w:before="120"/>
      </w:pPr>
      <w:r>
        <w:t>The agent’s component is calculated as 9% of the total subscription amount for a particular week’s entry, rounded* (where necessary) to the nearest 5 cent multiple.</w:t>
      </w:r>
    </w:p>
    <w:p>
      <w:pPr>
        <w:pStyle w:val="yMiscellaneousBody"/>
        <w:rPr>
          <w:bCs/>
        </w:rPr>
      </w:pPr>
      <w:r>
        <w:rPr>
          <w:bCs/>
        </w:rPr>
        <w:t>((G x $0.65) x .09 </w:t>
      </w:r>
      <w:r>
        <w:rPr>
          <w:bCs/>
        </w:rPr>
        <w:sym w:font="Symbol" w:char="F0AE"/>
      </w:r>
      <w:r>
        <w:rPr>
          <w:bCs/>
        </w:rPr>
        <w:t xml:space="preserve"> rounded) x W = T</w:t>
      </w:r>
    </w:p>
    <w:p>
      <w:pPr>
        <w:pStyle w:val="yMiscellaneousBody"/>
      </w:pPr>
      <w:r>
        <w:t>where —</w:t>
      </w:r>
    </w:p>
    <w:p>
      <w:pPr>
        <w:pStyle w:val="yMiscellaneousBody"/>
        <w:tabs>
          <w:tab w:val="left" w:pos="993"/>
          <w:tab w:val="left" w:pos="1418"/>
          <w:tab w:val="left" w:pos="1701"/>
        </w:tabs>
      </w:pPr>
      <w:r>
        <w:tab/>
      </w:r>
      <w:r>
        <w:rPr>
          <w:bCs/>
        </w:rPr>
        <w:t>G</w:t>
      </w:r>
      <w:r>
        <w:rPr>
          <w:b/>
          <w:bCs/>
        </w:rPr>
        <w:tab/>
      </w:r>
      <w:r>
        <w:t>=</w:t>
      </w:r>
      <w:r>
        <w:tab/>
        <w:t>No. of games entered in a draw</w:t>
      </w:r>
    </w:p>
    <w:p>
      <w:pPr>
        <w:pStyle w:val="yMiscellaneousBody"/>
        <w:tabs>
          <w:tab w:val="left" w:pos="993"/>
          <w:tab w:val="left" w:pos="1418"/>
          <w:tab w:val="left" w:pos="1701"/>
        </w:tabs>
      </w:pPr>
      <w:r>
        <w:tab/>
      </w:r>
      <w:r>
        <w:rPr>
          <w:bCs/>
        </w:rPr>
        <w:t>W</w:t>
      </w:r>
      <w:r>
        <w:tab/>
        <w:t>=</w:t>
      </w:r>
      <w:r>
        <w:tab/>
        <w:t>No. of weeks the entry spans</w:t>
      </w:r>
    </w:p>
    <w:p>
      <w:pPr>
        <w:pStyle w:val="yMiscellaneousBody"/>
        <w:tabs>
          <w:tab w:val="left" w:pos="993"/>
          <w:tab w:val="left" w:pos="1418"/>
          <w:tab w:val="left" w:pos="1701"/>
        </w:tabs>
      </w:pPr>
      <w:r>
        <w:rPr>
          <w:b/>
          <w:bCs/>
        </w:rPr>
        <w:tab/>
      </w:r>
      <w:r>
        <w:rPr>
          <w:bCs/>
        </w:rPr>
        <w:t>T</w:t>
      </w:r>
      <w:r>
        <w:tab/>
        <w:t>=</w:t>
      </w:r>
      <w:r>
        <w:tab/>
        <w:t>Total agent’s component cost payable by the subscriber</w:t>
      </w:r>
    </w:p>
    <w:p>
      <w:pPr>
        <w:pStyle w:val="yMiscellaneousBody"/>
        <w:rPr>
          <w:b/>
        </w:rPr>
      </w:pPr>
      <w:r>
        <w:rPr>
          <w:b/>
        </w:rPr>
        <w:t>Examples:</w:t>
      </w:r>
    </w:p>
    <w:p>
      <w:pPr>
        <w:pStyle w:val="yMiscellaneousBody"/>
        <w:spacing w:before="120"/>
      </w:pPr>
      <w:r>
        <w:t>The total cost of entry for a Slikpik 25 entry for a single Saturday lotto draw is calculated as follows —</w:t>
      </w:r>
    </w:p>
    <w:p>
      <w:pPr>
        <w:pStyle w:val="yMiscellaneousBody"/>
        <w:tabs>
          <w:tab w:val="left" w:pos="993"/>
        </w:tabs>
      </w:pPr>
      <w:r>
        <w:tab/>
        <w:t>Subscription for one week</w:t>
      </w:r>
    </w:p>
    <w:p>
      <w:pPr>
        <w:pStyle w:val="yMiscellaneousBody"/>
        <w:tabs>
          <w:tab w:val="left" w:pos="993"/>
          <w:tab w:val="left" w:pos="4536"/>
          <w:tab w:val="left" w:pos="5103"/>
        </w:tabs>
      </w:pPr>
      <w:r>
        <w:tab/>
        <w:t>[25 games @ $0.65 each]</w:t>
      </w:r>
      <w:r>
        <w:tab/>
        <w:t>=</w:t>
      </w:r>
      <w:r>
        <w:tab/>
        <w:t>$16.25</w:t>
      </w:r>
    </w:p>
    <w:p>
      <w:pPr>
        <w:pStyle w:val="yMiscellaneousBody"/>
        <w:tabs>
          <w:tab w:val="left" w:pos="993"/>
          <w:tab w:val="left" w:pos="4536"/>
          <w:tab w:val="left" w:pos="5103"/>
        </w:tabs>
      </w:pPr>
      <w:r>
        <w:tab/>
        <w:t>9% of subscription [.09 x $16.25]</w:t>
      </w:r>
      <w:r>
        <w:tab/>
        <w:t>=</w:t>
      </w:r>
      <w:r>
        <w:tab/>
        <w:t>$1.462</w:t>
      </w:r>
    </w:p>
    <w:p>
      <w:pPr>
        <w:pStyle w:val="yMiscellaneousBody"/>
        <w:tabs>
          <w:tab w:val="left" w:pos="993"/>
          <w:tab w:val="left" w:pos="4536"/>
          <w:tab w:val="left" w:pos="5103"/>
        </w:tabs>
      </w:pPr>
      <w:r>
        <w:tab/>
        <w:t>Rounded using “bankers rounding”</w:t>
      </w:r>
      <w:r>
        <w:tab/>
        <w:t>=</w:t>
      </w:r>
      <w:r>
        <w:tab/>
        <w:t>$1.45</w:t>
      </w:r>
    </w:p>
    <w:p>
      <w:pPr>
        <w:pStyle w:val="yMiscellaneousBody"/>
        <w:tabs>
          <w:tab w:val="left" w:pos="993"/>
          <w:tab w:val="left" w:pos="4536"/>
          <w:tab w:val="left" w:pos="5103"/>
        </w:tabs>
        <w:rPr>
          <w:b/>
          <w:bCs/>
        </w:rPr>
      </w:pPr>
      <w:r>
        <w:rPr>
          <w:b/>
          <w:bCs/>
        </w:rPr>
        <w:tab/>
        <w:t>Total cost of entry</w:t>
      </w:r>
      <w:r>
        <w:rPr>
          <w:b/>
          <w:bCs/>
        </w:rPr>
        <w:tab/>
        <w:t>=</w:t>
      </w:r>
      <w:r>
        <w:rPr>
          <w:b/>
          <w:bCs/>
        </w:rPr>
        <w:tab/>
        <w:t>$17.70</w:t>
      </w:r>
    </w:p>
    <w:p>
      <w:pPr>
        <w:pStyle w:val="yMiscellaneousBody"/>
        <w:spacing w:before="120"/>
      </w:pPr>
      <w:r>
        <w:t>The total cost of entry for a System 8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[28 games @ $0.65 each]</w:t>
      </w:r>
      <w:r>
        <w:tab/>
        <w:t>=</w:t>
      </w:r>
      <w:r>
        <w:tab/>
        <w:t>$18.20</w:t>
      </w:r>
    </w:p>
    <w:p>
      <w:pPr>
        <w:pStyle w:val="yMiscellaneousBody"/>
        <w:tabs>
          <w:tab w:val="left" w:pos="993"/>
          <w:tab w:val="left" w:pos="4536"/>
          <w:tab w:val="left" w:pos="5103"/>
        </w:tabs>
      </w:pPr>
      <w:r>
        <w:tab/>
        <w:t>9% of subscription [.09 x $18.20]</w:t>
      </w:r>
      <w:r>
        <w:tab/>
        <w:t>=</w:t>
      </w:r>
      <w:r>
        <w:tab/>
        <w:t>$1.638</w:t>
      </w:r>
    </w:p>
    <w:p>
      <w:pPr>
        <w:pStyle w:val="yMiscellaneousBody"/>
        <w:tabs>
          <w:tab w:val="left" w:pos="993"/>
          <w:tab w:val="left" w:pos="4536"/>
          <w:tab w:val="left" w:pos="5103"/>
        </w:tabs>
      </w:pPr>
      <w:r>
        <w:tab/>
        <w:t>Rounded using “bankers rounding”</w:t>
      </w:r>
      <w:r>
        <w:tab/>
        <w:t>=</w:t>
      </w:r>
      <w:r>
        <w:tab/>
        <w:t>$1.65</w:t>
      </w:r>
    </w:p>
    <w:p>
      <w:pPr>
        <w:pStyle w:val="yMiscellaneousBody"/>
        <w:tabs>
          <w:tab w:val="left" w:pos="993"/>
          <w:tab w:val="left" w:pos="4536"/>
          <w:tab w:val="left" w:pos="5103"/>
        </w:tabs>
        <w:rPr>
          <w:b/>
          <w:bCs/>
        </w:rPr>
      </w:pPr>
      <w:r>
        <w:rPr>
          <w:b/>
          <w:bCs/>
        </w:rPr>
        <w:tab/>
        <w:t>Total cost of entry</w:t>
      </w:r>
      <w:r>
        <w:rPr>
          <w:b/>
          <w:bCs/>
        </w:rPr>
        <w:tab/>
        <w:t>=</w:t>
      </w:r>
      <w:r>
        <w:rPr>
          <w:b/>
          <w:bCs/>
        </w:rPr>
        <w:tab/>
        <w:t>$19.85</w:t>
      </w:r>
    </w:p>
    <w:p>
      <w:pPr>
        <w:pStyle w:val="yMiscellaneousBody"/>
      </w:pPr>
      <w:r>
        <w:t>The total cost of entry for a 6 game board System 9 entry for a single Saturday lotto draw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[6 x 84 games @ $0.65 each]</w:t>
      </w:r>
      <w:r>
        <w:tab/>
        <w:t>=</w:t>
      </w:r>
      <w:r>
        <w:tab/>
        <w:t>$327.60</w:t>
      </w:r>
    </w:p>
    <w:p>
      <w:pPr>
        <w:pStyle w:val="yMiscellaneousBody"/>
        <w:tabs>
          <w:tab w:val="left" w:pos="993"/>
          <w:tab w:val="left" w:pos="4536"/>
          <w:tab w:val="left" w:pos="5103"/>
        </w:tabs>
      </w:pPr>
      <w:r>
        <w:tab/>
        <w:t>9% of subscription [.09 x $327.60]</w:t>
      </w:r>
      <w:r>
        <w:tab/>
        <w:t>=</w:t>
      </w:r>
      <w:r>
        <w:tab/>
        <w:t>$29.484</w:t>
      </w:r>
    </w:p>
    <w:p>
      <w:pPr>
        <w:pStyle w:val="yMiscellaneousBody"/>
        <w:tabs>
          <w:tab w:val="left" w:pos="993"/>
          <w:tab w:val="left" w:pos="4536"/>
          <w:tab w:val="left" w:pos="5103"/>
        </w:tabs>
      </w:pPr>
      <w:r>
        <w:tab/>
        <w:t>Rounded using “bankers rounding”</w:t>
      </w:r>
      <w:r>
        <w:tab/>
        <w:t>=</w:t>
      </w:r>
      <w:r>
        <w:tab/>
        <w:t>$29.50</w:t>
      </w:r>
    </w:p>
    <w:p>
      <w:pPr>
        <w:pStyle w:val="yMiscellaneousBody"/>
        <w:tabs>
          <w:tab w:val="left" w:pos="993"/>
          <w:tab w:val="left" w:pos="4536"/>
          <w:tab w:val="left" w:pos="5103"/>
        </w:tabs>
        <w:rPr>
          <w:b/>
          <w:bCs/>
        </w:rPr>
      </w:pPr>
      <w:r>
        <w:rPr>
          <w:b/>
          <w:bCs/>
        </w:rPr>
        <w:tab/>
        <w:t>Total cost of entry</w:t>
      </w:r>
      <w:r>
        <w:rPr>
          <w:b/>
          <w:bCs/>
        </w:rPr>
        <w:tab/>
        <w:t>=</w:t>
      </w:r>
      <w:r>
        <w:rPr>
          <w:b/>
          <w:bCs/>
        </w:rPr>
        <w:tab/>
        <w:t>$357.10</w:t>
      </w:r>
    </w:p>
    <w:p>
      <w:pPr>
        <w:pStyle w:val="yMiscellaneousBody"/>
      </w:pPr>
      <w:r>
        <w:t>The total cost of entry for a Slikpik 25 entry spanning 10 weeks of Saturday lotto is calculated as follows —</w:t>
      </w:r>
    </w:p>
    <w:p>
      <w:pPr>
        <w:pStyle w:val="yMiscellaneousBody"/>
        <w:tabs>
          <w:tab w:val="left" w:pos="993"/>
          <w:tab w:val="left" w:pos="4536"/>
          <w:tab w:val="left" w:pos="5103"/>
        </w:tabs>
      </w:pPr>
      <w:r>
        <w:tab/>
        <w:t>Subscription for one week</w:t>
      </w:r>
    </w:p>
    <w:p>
      <w:pPr>
        <w:pStyle w:val="yMiscellaneousBody"/>
        <w:tabs>
          <w:tab w:val="left" w:pos="993"/>
          <w:tab w:val="left" w:pos="4536"/>
          <w:tab w:val="left" w:pos="5103"/>
        </w:tabs>
      </w:pPr>
      <w:r>
        <w:tab/>
        <w:t>[25 games @ $0.65 each]</w:t>
      </w:r>
      <w:r>
        <w:tab/>
        <w:t>=</w:t>
      </w:r>
      <w:r>
        <w:tab/>
        <w:t>$16.25</w:t>
      </w:r>
    </w:p>
    <w:p>
      <w:pPr>
        <w:pStyle w:val="yMiscellaneousBody"/>
        <w:tabs>
          <w:tab w:val="left" w:pos="993"/>
          <w:tab w:val="left" w:pos="4536"/>
          <w:tab w:val="left" w:pos="5103"/>
        </w:tabs>
      </w:pPr>
      <w:r>
        <w:tab/>
        <w:t>9% of subscription [.09 x $16.25]</w:t>
      </w:r>
      <w:r>
        <w:tab/>
        <w:t>=</w:t>
      </w:r>
      <w:r>
        <w:tab/>
        <w:t>$1.462</w:t>
      </w:r>
    </w:p>
    <w:p>
      <w:pPr>
        <w:pStyle w:val="yMiscellaneousBody"/>
        <w:tabs>
          <w:tab w:val="left" w:pos="993"/>
          <w:tab w:val="left" w:pos="4536"/>
          <w:tab w:val="left" w:pos="5103"/>
        </w:tabs>
      </w:pPr>
      <w:r>
        <w:tab/>
        <w:t>Rounded using “bankers rounding”</w:t>
      </w:r>
      <w:r>
        <w:tab/>
        <w:t>=</w:t>
      </w:r>
      <w:r>
        <w:tab/>
        <w:t>$1.45</w:t>
      </w:r>
    </w:p>
    <w:p>
      <w:pPr>
        <w:pStyle w:val="yMiscellaneousBody"/>
        <w:tabs>
          <w:tab w:val="left" w:pos="993"/>
          <w:tab w:val="left" w:pos="4536"/>
          <w:tab w:val="left" w:pos="5103"/>
        </w:tabs>
      </w:pPr>
      <w:r>
        <w:tab/>
        <w:t>Total cost of entry for one week</w:t>
      </w:r>
      <w:r>
        <w:tab/>
        <w:t>=</w:t>
      </w:r>
      <w:r>
        <w:tab/>
        <w:t>$17.70</w:t>
      </w:r>
    </w:p>
    <w:p>
      <w:pPr>
        <w:pStyle w:val="yMiscellaneousBody"/>
        <w:tabs>
          <w:tab w:val="left" w:pos="993"/>
          <w:tab w:val="left" w:pos="4536"/>
          <w:tab w:val="left" w:pos="5103"/>
        </w:tabs>
        <w:rPr>
          <w:b/>
          <w:bCs/>
        </w:rPr>
      </w:pPr>
      <w:r>
        <w:rPr>
          <w:b/>
          <w:bCs/>
        </w:rPr>
        <w:tab/>
        <w:t>Total cost of entry for 10 weeks</w:t>
      </w:r>
      <w:r>
        <w:rPr>
          <w:b/>
          <w:bCs/>
        </w:rPr>
        <w:tab/>
        <w:t>=</w:t>
      </w:r>
      <w:r>
        <w:rPr>
          <w:b/>
          <w:bCs/>
        </w:rPr>
        <w:tab/>
        <w:t>$177.00</w:t>
      </w:r>
    </w:p>
    <w:p>
      <w:pPr>
        <w:pStyle w:val="yMiscellaneousBody"/>
      </w:pPr>
      <w:r>
        <w:t>* Rounding is calculated using the method known as “bankers rounding” or “round</w:t>
      </w:r>
      <w:r>
        <w:noBreakHyphen/>
        <w:t>to</w:t>
      </w:r>
      <w:r>
        <w:noBreakHyphen/>
        <w:t>even” rounding.</w:t>
      </w:r>
    </w:p>
    <w:p>
      <w:pPr>
        <w:pStyle w:val="yFootnotesection"/>
      </w:pPr>
      <w:r>
        <w:tab/>
        <w:t>[Part 2 inserted in Gazette 6 May 2014 p.1388</w:t>
      </w:r>
      <w:r>
        <w:noBreakHyphen/>
        <w:t>9; amended in Gazette 24 Jun 2014 p. 2094; 16 Dec 2014 p. 4762.]</w:t>
      </w:r>
    </w:p>
    <w:p>
      <w:pPr>
        <w:pStyle w:val="yScheduleHeading"/>
      </w:pPr>
      <w:bookmarkStart w:id="149" w:name="_Toc391299445"/>
      <w:bookmarkStart w:id="150" w:name="_Toc391299545"/>
      <w:bookmarkStart w:id="151" w:name="_Toc406506947"/>
      <w:bookmarkStart w:id="152" w:name="_Toc421106000"/>
      <w:bookmarkStart w:id="153" w:name="_Toc421106064"/>
      <w:bookmarkStart w:id="154" w:name="_Toc463612468"/>
      <w:r>
        <w:rPr>
          <w:rStyle w:val="CharSchNo"/>
        </w:rPr>
        <w:t>Schedule 1A</w:t>
      </w:r>
      <w:r>
        <w:rPr>
          <w:rStyle w:val="CharSDivNo"/>
        </w:rPr>
        <w:t> </w:t>
      </w:r>
      <w:r>
        <w:t>—</w:t>
      </w:r>
      <w:r>
        <w:rPr>
          <w:rStyle w:val="CharSDivText"/>
        </w:rPr>
        <w:t> </w:t>
      </w:r>
      <w:r>
        <w:rPr>
          <w:rStyle w:val="CharSchText"/>
        </w:rPr>
        <w:t>System entries and game equivalents</w:t>
      </w:r>
      <w:bookmarkEnd w:id="149"/>
      <w:bookmarkEnd w:id="150"/>
      <w:bookmarkEnd w:id="151"/>
      <w:bookmarkEnd w:id="152"/>
      <w:bookmarkEnd w:id="153"/>
      <w:bookmarkEnd w:id="154"/>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155" w:name="_Toc391299446"/>
      <w:bookmarkStart w:id="156" w:name="_Toc391299546"/>
      <w:bookmarkStart w:id="157" w:name="_Toc406506948"/>
      <w:bookmarkStart w:id="158" w:name="_Toc421106001"/>
      <w:bookmarkStart w:id="159" w:name="_Toc421106065"/>
      <w:bookmarkStart w:id="160" w:name="_Toc463612469"/>
      <w:r>
        <w:rPr>
          <w:rStyle w:val="CharSchNo"/>
        </w:rPr>
        <w:t>Schedule 2</w:t>
      </w:r>
      <w:r>
        <w:t> — </w:t>
      </w:r>
      <w:r>
        <w:rPr>
          <w:rStyle w:val="CharSchText"/>
        </w:rPr>
        <w:t>System entry prizes</w:t>
      </w:r>
      <w:bookmarkEnd w:id="155"/>
      <w:bookmarkEnd w:id="156"/>
      <w:bookmarkEnd w:id="157"/>
      <w:bookmarkEnd w:id="158"/>
      <w:bookmarkEnd w:id="159"/>
      <w:bookmarkEnd w:id="160"/>
    </w:p>
    <w:p>
      <w:pPr>
        <w:pStyle w:val="yShoulderClause"/>
      </w:pPr>
      <w:r>
        <w:t>[r. 21(2)]</w:t>
      </w:r>
    </w:p>
    <w:p>
      <w:pPr>
        <w:pStyle w:val="yFootnoteheading"/>
      </w:pPr>
      <w:r>
        <w:tab/>
        <w:t>[Heading inserted in Gazette 21 Dec 2010 p. 6765.]</w:t>
      </w:r>
    </w:p>
    <w:p>
      <w:pPr>
        <w:pStyle w:val="yHeading3"/>
      </w:pPr>
      <w:bookmarkStart w:id="161" w:name="_Toc391299447"/>
      <w:bookmarkStart w:id="162" w:name="_Toc391299547"/>
      <w:bookmarkStart w:id="163" w:name="_Toc406506949"/>
      <w:bookmarkStart w:id="164" w:name="_Toc421106002"/>
      <w:bookmarkStart w:id="165" w:name="_Toc421106066"/>
      <w:bookmarkStart w:id="166" w:name="_Toc463612470"/>
      <w:r>
        <w:rPr>
          <w:rStyle w:val="CharSDivNo"/>
        </w:rPr>
        <w:t>Part 1</w:t>
      </w:r>
      <w:r>
        <w:rPr>
          <w:b w:val="0"/>
        </w:rPr>
        <w:t> — </w:t>
      </w:r>
      <w:r>
        <w:rPr>
          <w:rStyle w:val="CharSDivText"/>
        </w:rPr>
        <w:t xml:space="preserve">Prizes applicable up to and including draw 3079 on </w:t>
      </w:r>
      <w:r>
        <w:rPr>
          <w:rStyle w:val="CharSDivText"/>
        </w:rPr>
        <w:br/>
        <w:t>22 January 2011</w:t>
      </w:r>
      <w:bookmarkEnd w:id="161"/>
      <w:bookmarkEnd w:id="162"/>
      <w:bookmarkEnd w:id="163"/>
      <w:bookmarkEnd w:id="164"/>
      <w:bookmarkEnd w:id="165"/>
      <w:bookmarkEnd w:id="166"/>
    </w:p>
    <w:p>
      <w:pPr>
        <w:pStyle w:val="yFootnoteheading"/>
        <w:spacing w:after="80"/>
      </w:pPr>
      <w:r>
        <w:tab/>
        <w:t>[Heading inserted in Gazette 21 Dec 2010 p. 6765.]</w:t>
      </w:r>
    </w:p>
    <w:tbl>
      <w:tblPr>
        <w:tblW w:w="0" w:type="auto"/>
        <w:tblInd w:w="57" w:type="dxa"/>
        <w:tblBorders>
          <w:bottom w:val="single" w:sz="4" w:space="0" w:color="auto"/>
        </w:tblBorders>
        <w:tblLayout w:type="fixed"/>
        <w:tblCellMar>
          <w:left w:w="57" w:type="dxa"/>
        </w:tblCellMar>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gridCol w:w="54"/>
      </w:tblGrid>
      <w:tr>
        <w:trPr>
          <w:gridAfter w:val="1"/>
          <w:wAfter w:w="54" w:type="dxa"/>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2835" w:type="dxa"/>
            <w:gridSpan w:val="8"/>
            <w:tcBorders>
              <w:bottom w:val="nil"/>
            </w:tcBorders>
          </w:tcPr>
          <w:p>
            <w:pPr>
              <w:pStyle w:val="yTableNAm"/>
              <w:spacing w:before="0"/>
              <w:ind w:left="-18"/>
              <w:rPr>
                <w:b/>
                <w:bCs/>
                <w:sz w:val="12"/>
              </w:rPr>
            </w:pPr>
            <w:r>
              <w:rPr>
                <w:b/>
                <w:bCs/>
                <w:sz w:val="12"/>
              </w:rPr>
              <w:t>NUMBER OF PRIZES</w:t>
            </w:r>
          </w:p>
        </w:tc>
        <w:tc>
          <w:tcPr>
            <w:tcW w:w="3260" w:type="dxa"/>
            <w:gridSpan w:val="10"/>
            <w:tcBorders>
              <w:bottom w:val="nil"/>
            </w:tcBorders>
          </w:tcPr>
          <w:p>
            <w:pPr>
              <w:pStyle w:val="yTableNAm"/>
              <w:spacing w:before="0"/>
              <w:rPr>
                <w:b/>
                <w:bCs/>
                <w:sz w:val="12"/>
              </w:rPr>
            </w:pPr>
          </w:p>
        </w:tc>
      </w:tr>
      <w:tr>
        <w:trPr>
          <w:gridAfter w:val="1"/>
          <w:wAfter w:w="54" w:type="dxa"/>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ind w:left="-18"/>
              <w:rPr>
                <w:b/>
                <w:bCs/>
                <w:sz w:val="12"/>
              </w:rPr>
            </w:pPr>
            <w:r>
              <w:rPr>
                <w:b/>
                <w:bCs/>
                <w:sz w:val="12"/>
              </w:rPr>
              <w:t>PRIZE TAKE</w:t>
            </w:r>
          </w:p>
          <w:p>
            <w:pPr>
              <w:pStyle w:val="yTableNAm"/>
              <w:spacing w:before="0"/>
              <w:ind w:left="-18"/>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bottom w:val="nil"/>
            </w:tcBorders>
          </w:tcPr>
          <w:p>
            <w:pPr>
              <w:pStyle w:val="yTableNAm"/>
              <w:spacing w:before="0"/>
              <w:rPr>
                <w:b/>
                <w:bCs/>
                <w:sz w:val="12"/>
              </w:rPr>
            </w:pPr>
          </w:p>
        </w:tc>
        <w:tc>
          <w:tcPr>
            <w:tcW w:w="359" w:type="dxa"/>
            <w:tcBorders>
              <w:top w:val="single" w:sz="4" w:space="0" w:color="auto"/>
              <w:bottom w:val="nil"/>
            </w:tcBorders>
          </w:tcPr>
          <w:p>
            <w:pPr>
              <w:pStyle w:val="yTableNAm"/>
              <w:spacing w:before="0"/>
              <w:rPr>
                <w:b/>
                <w:bCs/>
                <w:sz w:val="12"/>
              </w:rPr>
            </w:pPr>
            <w:r>
              <w:rPr>
                <w:b/>
                <w:bCs/>
                <w:sz w:val="12"/>
              </w:rPr>
              <w:t>5</w:t>
            </w:r>
          </w:p>
        </w:tc>
        <w:tc>
          <w:tcPr>
            <w:tcW w:w="358" w:type="dxa"/>
            <w:tcBorders>
              <w:top w:val="single" w:sz="4" w:space="0" w:color="auto"/>
              <w:bottom w:val="nil"/>
            </w:tcBorders>
          </w:tcPr>
          <w:p>
            <w:pPr>
              <w:pStyle w:val="yTableNAm"/>
              <w:spacing w:before="0"/>
              <w:rPr>
                <w:b/>
                <w:bCs/>
                <w:sz w:val="12"/>
              </w:rPr>
            </w:pPr>
            <w:r>
              <w:rPr>
                <w:b/>
                <w:bCs/>
                <w:sz w:val="12"/>
              </w:rPr>
              <w:t>4</w:t>
            </w:r>
          </w:p>
        </w:tc>
        <w:tc>
          <w:tcPr>
            <w:tcW w:w="359" w:type="dxa"/>
            <w:tcBorders>
              <w:top w:val="single" w:sz="4" w:space="0" w:color="auto"/>
              <w:bottom w:val="nil"/>
            </w:tcBorders>
          </w:tcPr>
          <w:p>
            <w:pPr>
              <w:pStyle w:val="yTableNAm"/>
              <w:spacing w:before="0"/>
              <w:rPr>
                <w:b/>
                <w:bCs/>
                <w:sz w:val="12"/>
              </w:rPr>
            </w:pPr>
            <w:r>
              <w:rPr>
                <w:b/>
                <w:bCs/>
                <w:sz w:val="12"/>
              </w:rPr>
              <w:t>7</w:t>
            </w:r>
          </w:p>
        </w:tc>
        <w:tc>
          <w:tcPr>
            <w:tcW w:w="358" w:type="dxa"/>
            <w:tcBorders>
              <w:top w:val="single" w:sz="4" w:space="0" w:color="auto"/>
              <w:bottom w:val="nil"/>
            </w:tcBorders>
          </w:tcPr>
          <w:p>
            <w:pPr>
              <w:pStyle w:val="yTableNAm"/>
              <w:spacing w:before="0"/>
              <w:rPr>
                <w:b/>
                <w:bCs/>
                <w:sz w:val="12"/>
              </w:rPr>
            </w:pPr>
            <w:r>
              <w:rPr>
                <w:b/>
                <w:bCs/>
                <w:sz w:val="12"/>
              </w:rPr>
              <w:t>8</w:t>
            </w:r>
          </w:p>
        </w:tc>
        <w:tc>
          <w:tcPr>
            <w:tcW w:w="359" w:type="dxa"/>
            <w:tcBorders>
              <w:top w:val="single" w:sz="4" w:space="0" w:color="auto"/>
              <w:bottom w:val="nil"/>
            </w:tcBorders>
          </w:tcPr>
          <w:p>
            <w:pPr>
              <w:pStyle w:val="yTableNAm"/>
              <w:spacing w:before="0"/>
              <w:rPr>
                <w:b/>
                <w:bCs/>
                <w:sz w:val="12"/>
              </w:rPr>
            </w:pPr>
            <w:r>
              <w:rPr>
                <w:b/>
                <w:bCs/>
                <w:sz w:val="12"/>
              </w:rPr>
              <w:t>9</w:t>
            </w:r>
          </w:p>
        </w:tc>
        <w:tc>
          <w:tcPr>
            <w:tcW w:w="358" w:type="dxa"/>
            <w:tcBorders>
              <w:top w:val="single" w:sz="4" w:space="0" w:color="auto"/>
              <w:bottom w:val="nil"/>
            </w:tcBorders>
          </w:tcPr>
          <w:p>
            <w:pPr>
              <w:pStyle w:val="yTableNAm"/>
              <w:spacing w:before="0"/>
              <w:rPr>
                <w:b/>
                <w:bCs/>
                <w:sz w:val="12"/>
              </w:rPr>
            </w:pPr>
            <w:r>
              <w:rPr>
                <w:b/>
                <w:bCs/>
                <w:sz w:val="12"/>
              </w:rPr>
              <w:t>10</w:t>
            </w:r>
          </w:p>
        </w:tc>
        <w:tc>
          <w:tcPr>
            <w:tcW w:w="359" w:type="dxa"/>
            <w:gridSpan w:val="2"/>
            <w:tcBorders>
              <w:top w:val="single" w:sz="4" w:space="0" w:color="auto"/>
              <w:bottom w:val="nil"/>
            </w:tcBorders>
          </w:tcPr>
          <w:p>
            <w:pPr>
              <w:pStyle w:val="yTableNAm"/>
              <w:spacing w:before="0"/>
              <w:rPr>
                <w:b/>
                <w:bCs/>
                <w:sz w:val="12"/>
              </w:rPr>
            </w:pPr>
            <w:r>
              <w:rPr>
                <w:b/>
                <w:bCs/>
                <w:sz w:val="12"/>
              </w:rPr>
              <w:t>11</w:t>
            </w:r>
          </w:p>
        </w:tc>
        <w:tc>
          <w:tcPr>
            <w:tcW w:w="358" w:type="dxa"/>
            <w:tcBorders>
              <w:top w:val="single" w:sz="4" w:space="0" w:color="auto"/>
              <w:bottom w:val="nil"/>
            </w:tcBorders>
          </w:tcPr>
          <w:p>
            <w:pPr>
              <w:pStyle w:val="yTableNAm"/>
              <w:spacing w:before="0"/>
              <w:rPr>
                <w:b/>
                <w:bCs/>
                <w:sz w:val="12"/>
              </w:rPr>
            </w:pPr>
            <w:r>
              <w:rPr>
                <w:b/>
                <w:bCs/>
                <w:sz w:val="12"/>
              </w:rPr>
              <w:t>12</w:t>
            </w:r>
          </w:p>
        </w:tc>
        <w:tc>
          <w:tcPr>
            <w:tcW w:w="359" w:type="dxa"/>
            <w:tcBorders>
              <w:top w:val="single" w:sz="4" w:space="0" w:color="auto"/>
              <w:bottom w:val="nil"/>
            </w:tcBorders>
          </w:tcPr>
          <w:p>
            <w:pPr>
              <w:pStyle w:val="yTableNAm"/>
              <w:spacing w:before="0"/>
              <w:rPr>
                <w:b/>
                <w:bCs/>
                <w:sz w:val="12"/>
              </w:rPr>
            </w:pPr>
            <w:r>
              <w:rPr>
                <w:b/>
                <w:bCs/>
                <w:sz w:val="12"/>
              </w:rPr>
              <w:t>13</w:t>
            </w:r>
          </w:p>
        </w:tc>
        <w:tc>
          <w:tcPr>
            <w:tcW w:w="358" w:type="dxa"/>
            <w:tcBorders>
              <w:top w:val="single" w:sz="4" w:space="0" w:color="auto"/>
              <w:bottom w:val="nil"/>
            </w:tcBorders>
          </w:tcPr>
          <w:p>
            <w:pPr>
              <w:pStyle w:val="yTableNAm"/>
              <w:spacing w:before="0"/>
              <w:rPr>
                <w:b/>
                <w:bCs/>
                <w:sz w:val="12"/>
              </w:rPr>
            </w:pPr>
            <w:r>
              <w:rPr>
                <w:b/>
                <w:bCs/>
                <w:sz w:val="12"/>
              </w:rPr>
              <w:t>14</w:t>
            </w:r>
          </w:p>
        </w:tc>
        <w:tc>
          <w:tcPr>
            <w:tcW w:w="359" w:type="dxa"/>
            <w:tcBorders>
              <w:top w:val="single" w:sz="4" w:space="0" w:color="auto"/>
              <w:bottom w:val="nil"/>
            </w:tcBorders>
          </w:tcPr>
          <w:p>
            <w:pPr>
              <w:pStyle w:val="yTableNAm"/>
              <w:spacing w:before="0"/>
              <w:rPr>
                <w:b/>
                <w:bCs/>
                <w:sz w:val="12"/>
              </w:rPr>
            </w:pPr>
            <w:r>
              <w:rPr>
                <w:b/>
                <w:bCs/>
                <w:sz w:val="12"/>
              </w:rPr>
              <w:t>15</w:t>
            </w:r>
          </w:p>
        </w:tc>
        <w:tc>
          <w:tcPr>
            <w:tcW w:w="358" w:type="dxa"/>
            <w:tcBorders>
              <w:top w:val="single" w:sz="4" w:space="0" w:color="auto"/>
              <w:bottom w:val="nil"/>
            </w:tcBorders>
          </w:tcPr>
          <w:p>
            <w:pPr>
              <w:pStyle w:val="yTableNAm"/>
              <w:spacing w:before="0"/>
              <w:rPr>
                <w:b/>
                <w:bCs/>
                <w:sz w:val="12"/>
              </w:rPr>
            </w:pPr>
            <w:r>
              <w:rPr>
                <w:b/>
                <w:bCs/>
                <w:sz w:val="12"/>
              </w:rPr>
              <w:t>16</w:t>
            </w:r>
          </w:p>
        </w:tc>
        <w:tc>
          <w:tcPr>
            <w:tcW w:w="359" w:type="dxa"/>
            <w:tcBorders>
              <w:top w:val="single" w:sz="4" w:space="0" w:color="auto"/>
              <w:bottom w:val="nil"/>
            </w:tcBorders>
          </w:tcPr>
          <w:p>
            <w:pPr>
              <w:pStyle w:val="yTableNAm"/>
              <w:spacing w:before="0"/>
              <w:rPr>
                <w:b/>
                <w:bCs/>
                <w:sz w:val="12"/>
              </w:rPr>
            </w:pPr>
            <w:r>
              <w:rPr>
                <w:b/>
                <w:bCs/>
                <w:sz w:val="12"/>
              </w:rPr>
              <w:t>17</w:t>
            </w:r>
          </w:p>
        </w:tc>
        <w:tc>
          <w:tcPr>
            <w:tcW w:w="358" w:type="dxa"/>
            <w:tcBorders>
              <w:top w:val="single" w:sz="4" w:space="0" w:color="auto"/>
              <w:bottom w:val="nil"/>
            </w:tcBorders>
          </w:tcPr>
          <w:p>
            <w:pPr>
              <w:pStyle w:val="yTableNAm"/>
              <w:spacing w:before="0"/>
              <w:rPr>
                <w:b/>
                <w:bCs/>
                <w:sz w:val="12"/>
              </w:rPr>
            </w:pPr>
            <w:r>
              <w:rPr>
                <w:b/>
                <w:bCs/>
                <w:sz w:val="12"/>
              </w:rPr>
              <w:t>18</w:t>
            </w:r>
          </w:p>
        </w:tc>
        <w:tc>
          <w:tcPr>
            <w:tcW w:w="359" w:type="dxa"/>
            <w:tcBorders>
              <w:top w:val="single" w:sz="4" w:space="0" w:color="auto"/>
              <w:bottom w:val="nil"/>
            </w:tcBorders>
          </w:tcPr>
          <w:p>
            <w:pPr>
              <w:pStyle w:val="yTableNAm"/>
              <w:spacing w:before="0"/>
              <w:rPr>
                <w:b/>
                <w:bCs/>
                <w:sz w:val="12"/>
              </w:rPr>
            </w:pPr>
            <w:r>
              <w:rPr>
                <w:b/>
                <w:bCs/>
                <w:sz w:val="12"/>
              </w:rPr>
              <w:t>19</w:t>
            </w:r>
          </w:p>
        </w:tc>
        <w:tc>
          <w:tcPr>
            <w:tcW w:w="359" w:type="dxa"/>
            <w:gridSpan w:val="2"/>
            <w:tcBorders>
              <w:top w:val="single" w:sz="4" w:space="0" w:color="auto"/>
              <w:bottom w:val="nil"/>
            </w:tcBorders>
          </w:tcPr>
          <w:p>
            <w:pPr>
              <w:pStyle w:val="yTableNAm"/>
              <w:spacing w:before="0"/>
              <w:rPr>
                <w:b/>
                <w:bCs/>
                <w:sz w:val="12"/>
              </w:rPr>
            </w:pPr>
            <w:r>
              <w:rPr>
                <w:b/>
                <w:bCs/>
                <w:sz w:val="12"/>
              </w:rPr>
              <w:t>20</w:t>
            </w:r>
          </w:p>
        </w:tc>
      </w:tr>
      <w:tr>
        <w:tblPrEx>
          <w:tblCellMar>
            <w:right w:w="0" w:type="dxa"/>
          </w:tblCellMar>
        </w:tblPrEx>
        <w:tc>
          <w:tcPr>
            <w:tcW w:w="993" w:type="dxa"/>
            <w:tcBorders>
              <w:top w:val="nil"/>
            </w:tcBorders>
          </w:tcPr>
          <w:p>
            <w:pPr>
              <w:pStyle w:val="yTableNAm"/>
              <w:spacing w:before="0"/>
              <w:rPr>
                <w:sz w:val="12"/>
              </w:rPr>
            </w:pPr>
            <w:r>
              <w:rPr>
                <w:sz w:val="12"/>
              </w:rPr>
              <w:t>Six and two</w:t>
            </w:r>
          </w:p>
          <w:p>
            <w:pPr>
              <w:pStyle w:val="yTableNAm"/>
              <w:spacing w:before="0"/>
              <w:rPr>
                <w:sz w:val="12"/>
              </w:rPr>
            </w:pPr>
            <w:r>
              <w:rPr>
                <w:sz w:val="12"/>
              </w:rPr>
              <w:t>supplementaries</w:t>
            </w: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8" w:type="dxa"/>
            <w:tcBorders>
              <w:top w:val="nil"/>
            </w:tcBorders>
          </w:tcPr>
          <w:p>
            <w:pPr>
              <w:pStyle w:val="yTableNAm"/>
              <w:spacing w:before="0"/>
              <w:rPr>
                <w:sz w:val="12"/>
              </w:rPr>
            </w:pPr>
          </w:p>
        </w:tc>
        <w:tc>
          <w:tcPr>
            <w:tcW w:w="359" w:type="dxa"/>
            <w:tcBorders>
              <w:top w:val="nil"/>
            </w:tcBorders>
          </w:tcPr>
          <w:p>
            <w:pPr>
              <w:pStyle w:val="yTableNAm"/>
              <w:spacing w:before="0"/>
              <w:rPr>
                <w:sz w:val="12"/>
              </w:rPr>
            </w:pPr>
          </w:p>
        </w:tc>
        <w:tc>
          <w:tcPr>
            <w:tcW w:w="359" w:type="dxa"/>
            <w:gridSpan w:val="2"/>
            <w:tcBorders>
              <w:top w:val="nil"/>
            </w:tcBorders>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gridSpan w:val="2"/>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gridSpan w:val="2"/>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gridSpan w:val="2"/>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gridSpan w:val="2"/>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gridSpan w:val="2"/>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gridSpan w:val="2"/>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r>
              <w:rPr>
                <w:sz w:val="12"/>
              </w:rPr>
              <w:t>Five and one</w:t>
            </w:r>
          </w:p>
          <w:p>
            <w:pPr>
              <w:pStyle w:val="yTableNAm"/>
              <w:spacing w:before="0"/>
              <w:rPr>
                <w:sz w:val="12"/>
              </w:rPr>
            </w:pPr>
            <w:r>
              <w:rPr>
                <w:sz w:val="12"/>
              </w:rPr>
              <w:t>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gridSpan w:val="2"/>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gridSpan w:val="2"/>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gridSpan w:val="2"/>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gridSpan w:val="2"/>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gridSpan w:val="2"/>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keepNext/>
              <w:spacing w:before="0"/>
              <w:rPr>
                <w:sz w:val="12"/>
              </w:rPr>
            </w:pPr>
            <w:r>
              <w:rPr>
                <w:sz w:val="12"/>
              </w:rPr>
              <w:t>Three and two supplementaries</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gridSpan w:val="2"/>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gridSpan w:val="2"/>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r>
              <w:rPr>
                <w:sz w:val="12"/>
              </w:rPr>
              <w:t>Three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bl>
    <w:p>
      <w:pPr>
        <w:pStyle w:val="yFootnotesection"/>
      </w:pPr>
      <w:r>
        <w:tab/>
        <w:t>[Part 1, formerly Schedule 2, renumbered as Part 1 in Gazette 21 Dec 2010 p. 6765.]</w:t>
      </w:r>
    </w:p>
    <w:p>
      <w:pPr>
        <w:pStyle w:val="yHeading3"/>
        <w:pageBreakBefore/>
        <w:spacing w:before="0"/>
        <w:rPr>
          <w:bCs/>
        </w:rPr>
      </w:pPr>
      <w:bookmarkStart w:id="167" w:name="_Toc391299448"/>
      <w:bookmarkStart w:id="168" w:name="_Toc391299548"/>
      <w:bookmarkStart w:id="169" w:name="_Toc406506950"/>
      <w:bookmarkStart w:id="170" w:name="_Toc421106003"/>
      <w:bookmarkStart w:id="171" w:name="_Toc421106067"/>
      <w:bookmarkStart w:id="172" w:name="_Toc463612471"/>
      <w:r>
        <w:rPr>
          <w:rStyle w:val="CharSDivNo"/>
        </w:rPr>
        <w:t>Part 2</w:t>
      </w:r>
      <w:r>
        <w:rPr>
          <w:b w:val="0"/>
        </w:rPr>
        <w:t> — </w:t>
      </w:r>
      <w:r>
        <w:rPr>
          <w:rStyle w:val="CharSDivText"/>
        </w:rPr>
        <w:t>Prizes applicable to draw 3081 on 29 January 2011 and subsequent draws</w:t>
      </w:r>
      <w:bookmarkEnd w:id="167"/>
      <w:bookmarkEnd w:id="168"/>
      <w:bookmarkEnd w:id="169"/>
      <w:bookmarkEnd w:id="170"/>
      <w:bookmarkEnd w:id="171"/>
      <w:bookmarkEnd w:id="172"/>
    </w:p>
    <w:p>
      <w:pPr>
        <w:pStyle w:val="yFootnoteheading"/>
        <w:spacing w:after="80"/>
      </w:pPr>
      <w:r>
        <w:tab/>
        <w:t>[Heading inserted in Gazette 21 Dec 2010 p. 6765.]</w:t>
      </w:r>
    </w:p>
    <w:tbl>
      <w:tblPr>
        <w:tblW w:w="7088" w:type="dxa"/>
        <w:tblInd w:w="57" w:type="dxa"/>
        <w:tblBorders>
          <w:bottom w:val="single" w:sz="4" w:space="0" w:color="auto"/>
        </w:tblBorders>
        <w:tblLayout w:type="fixed"/>
        <w:tblCellMar>
          <w:left w:w="57" w:type="dxa"/>
        </w:tblCellMar>
        <w:tblLook w:val="0000" w:firstRow="0" w:lastRow="0" w:firstColumn="0" w:lastColumn="0" w:noHBand="0" w:noVBand="0"/>
      </w:tblPr>
      <w:tblGrid>
        <w:gridCol w:w="986"/>
        <w:gridCol w:w="356"/>
        <w:gridCol w:w="357"/>
        <w:gridCol w:w="356"/>
        <w:gridCol w:w="356"/>
        <w:gridCol w:w="355"/>
        <w:gridCol w:w="356"/>
        <w:gridCol w:w="355"/>
        <w:gridCol w:w="324"/>
        <w:gridCol w:w="33"/>
        <w:gridCol w:w="355"/>
        <w:gridCol w:w="356"/>
        <w:gridCol w:w="355"/>
        <w:gridCol w:w="356"/>
        <w:gridCol w:w="355"/>
        <w:gridCol w:w="356"/>
        <w:gridCol w:w="355"/>
        <w:gridCol w:w="356"/>
        <w:gridCol w:w="356"/>
        <w:gridCol w:w="54"/>
      </w:tblGrid>
      <w:tr>
        <w:trPr>
          <w:gridAfter w:val="1"/>
          <w:wAfter w:w="54" w:type="dxa"/>
          <w:trHeight w:val="275"/>
          <w:tblHeader/>
        </w:trPr>
        <w:tc>
          <w:tcPr>
            <w:tcW w:w="993" w:type="dxa"/>
            <w:tcBorders>
              <w:bottom w:val="nil"/>
            </w:tcBorders>
          </w:tcPr>
          <w:p>
            <w:pPr>
              <w:pStyle w:val="yTableNAm"/>
              <w:spacing w:before="0"/>
              <w:rPr>
                <w:b/>
                <w:bCs/>
                <w:sz w:val="12"/>
              </w:rPr>
            </w:pPr>
            <w:r>
              <w:rPr>
                <w:b/>
                <w:bCs/>
                <w:sz w:val="12"/>
              </w:rPr>
              <w:t>WINNING</w:t>
            </w:r>
          </w:p>
          <w:p>
            <w:pPr>
              <w:pStyle w:val="yTableNAm"/>
              <w:spacing w:before="0"/>
              <w:rPr>
                <w:b/>
                <w:bCs/>
                <w:sz w:val="12"/>
              </w:rPr>
            </w:pPr>
            <w:r>
              <w:rPr>
                <w:b/>
                <w:bCs/>
                <w:sz w:val="12"/>
              </w:rPr>
              <w:t>NUMBERS</w:t>
            </w:r>
          </w:p>
        </w:tc>
        <w:tc>
          <w:tcPr>
            <w:tcW w:w="6095" w:type="dxa"/>
            <w:gridSpan w:val="18"/>
            <w:tcBorders>
              <w:bottom w:val="nil"/>
            </w:tcBorders>
          </w:tcPr>
          <w:p>
            <w:pPr>
              <w:pStyle w:val="yTableNAm"/>
              <w:spacing w:before="0"/>
              <w:rPr>
                <w:b/>
                <w:bCs/>
                <w:sz w:val="12"/>
              </w:rPr>
            </w:pPr>
            <w:r>
              <w:rPr>
                <w:b/>
                <w:bCs/>
                <w:sz w:val="12"/>
              </w:rPr>
              <w:t>NUMBER OF PRIZES</w:t>
            </w:r>
          </w:p>
        </w:tc>
      </w:tr>
      <w:tr>
        <w:trPr>
          <w:gridAfter w:val="1"/>
          <w:wAfter w:w="54" w:type="dxa"/>
          <w:trHeight w:val="275"/>
          <w:tblHeader/>
        </w:trPr>
        <w:tc>
          <w:tcPr>
            <w:tcW w:w="993" w:type="dxa"/>
            <w:tcBorders>
              <w:bottom w:val="single" w:sz="4" w:space="0" w:color="auto"/>
            </w:tcBorders>
          </w:tcPr>
          <w:p>
            <w:pPr>
              <w:pStyle w:val="yTableNAm"/>
              <w:spacing w:before="0"/>
              <w:rPr>
                <w:b/>
                <w:bCs/>
                <w:sz w:val="12"/>
              </w:rPr>
            </w:pPr>
          </w:p>
        </w:tc>
        <w:tc>
          <w:tcPr>
            <w:tcW w:w="2835" w:type="dxa"/>
            <w:gridSpan w:val="8"/>
            <w:tcBorders>
              <w:bottom w:val="single" w:sz="4" w:space="0" w:color="auto"/>
            </w:tcBorders>
          </w:tcPr>
          <w:p>
            <w:pPr>
              <w:pStyle w:val="yTableNAm"/>
              <w:spacing w:before="0"/>
              <w:rPr>
                <w:b/>
                <w:bCs/>
                <w:sz w:val="12"/>
              </w:rPr>
            </w:pPr>
            <w:r>
              <w:rPr>
                <w:b/>
                <w:bCs/>
                <w:sz w:val="12"/>
              </w:rPr>
              <w:t>PRIZE TAKE</w:t>
            </w:r>
          </w:p>
          <w:p>
            <w:pPr>
              <w:pStyle w:val="yTableNAm"/>
              <w:spacing w:before="0"/>
              <w:rPr>
                <w:b/>
                <w:bCs/>
                <w:sz w:val="12"/>
              </w:rPr>
            </w:pPr>
            <w:r>
              <w:rPr>
                <w:b/>
                <w:bCs/>
                <w:sz w:val="12"/>
              </w:rPr>
              <w:t>DIVISIONS</w:t>
            </w:r>
          </w:p>
          <w:p>
            <w:pPr>
              <w:pStyle w:val="yTableNAm"/>
              <w:spacing w:before="60"/>
              <w:ind w:left="363"/>
              <w:rPr>
                <w:b/>
                <w:bCs/>
                <w:sz w:val="12"/>
              </w:rPr>
            </w:pPr>
            <w:r>
              <w:rPr>
                <w:b/>
                <w:bCs/>
                <w:sz w:val="12"/>
              </w:rPr>
              <w:t>SYSTEMS</w:t>
            </w:r>
          </w:p>
        </w:tc>
        <w:tc>
          <w:tcPr>
            <w:tcW w:w="3260" w:type="dxa"/>
            <w:gridSpan w:val="10"/>
            <w:tcBorders>
              <w:bottom w:val="single" w:sz="4" w:space="0" w:color="auto"/>
            </w:tcBorders>
          </w:tcPr>
          <w:p>
            <w:pPr>
              <w:pStyle w:val="yTableNAm"/>
              <w:spacing w:before="0"/>
              <w:rPr>
                <w:b/>
                <w:bCs/>
                <w:sz w:val="12"/>
              </w:rPr>
            </w:pPr>
          </w:p>
        </w:tc>
      </w:tr>
      <w:tr>
        <w:tblPrEx>
          <w:tblCellMar>
            <w:right w:w="0" w:type="dxa"/>
          </w:tblCellMar>
        </w:tblPrEx>
        <w:trPr>
          <w:tblHeader/>
        </w:trPr>
        <w:tc>
          <w:tcPr>
            <w:tcW w:w="993" w:type="dxa"/>
            <w:tcBorders>
              <w:top w:val="single" w:sz="4" w:space="0" w:color="auto"/>
            </w:tcBorders>
          </w:tcPr>
          <w:p>
            <w:pPr>
              <w:pStyle w:val="yTableNAm"/>
              <w:spacing w:before="0"/>
              <w:rPr>
                <w:b/>
                <w:bCs/>
                <w:sz w:val="12"/>
              </w:rPr>
            </w:pPr>
            <w:r>
              <w:rPr>
                <w:b/>
                <w:bCs/>
                <w:sz w:val="12"/>
              </w:rPr>
              <w:fldChar w:fldCharType="begin"/>
            </w:r>
            <w:r>
              <w:rPr>
                <w:b/>
                <w:bCs/>
                <w:sz w:val="12"/>
              </w:rPr>
              <w:instrText>ADVANCE \D 2.80</w:instrText>
            </w:r>
            <w:r>
              <w:rPr>
                <w:b/>
                <w:bCs/>
                <w:sz w:val="12"/>
              </w:rPr>
              <w:fldChar w:fldCharType="end"/>
            </w:r>
          </w:p>
        </w:tc>
        <w:tc>
          <w:tcPr>
            <w:tcW w:w="358" w:type="dxa"/>
            <w:tcBorders>
              <w:top w:val="single" w:sz="4" w:space="0" w:color="auto"/>
            </w:tcBorders>
          </w:tcPr>
          <w:p>
            <w:pPr>
              <w:pStyle w:val="yTableNAm"/>
              <w:spacing w:before="0"/>
              <w:rPr>
                <w:b/>
                <w:bCs/>
                <w:sz w:val="12"/>
              </w:rPr>
            </w:pPr>
          </w:p>
        </w:tc>
        <w:tc>
          <w:tcPr>
            <w:tcW w:w="359" w:type="dxa"/>
            <w:tcBorders>
              <w:top w:val="single" w:sz="4" w:space="0" w:color="auto"/>
            </w:tcBorders>
          </w:tcPr>
          <w:p>
            <w:pPr>
              <w:pStyle w:val="yTableNAm"/>
              <w:spacing w:before="0"/>
              <w:rPr>
                <w:b/>
                <w:bCs/>
                <w:sz w:val="12"/>
              </w:rPr>
            </w:pPr>
            <w:r>
              <w:rPr>
                <w:b/>
                <w:bCs/>
                <w:sz w:val="12"/>
              </w:rPr>
              <w:t>5</w:t>
            </w:r>
          </w:p>
        </w:tc>
        <w:tc>
          <w:tcPr>
            <w:tcW w:w="358" w:type="dxa"/>
            <w:tcBorders>
              <w:top w:val="single" w:sz="4" w:space="0" w:color="auto"/>
            </w:tcBorders>
          </w:tcPr>
          <w:p>
            <w:pPr>
              <w:pStyle w:val="yTableNAm"/>
              <w:spacing w:before="0"/>
              <w:rPr>
                <w:b/>
                <w:bCs/>
                <w:sz w:val="12"/>
              </w:rPr>
            </w:pPr>
            <w:r>
              <w:rPr>
                <w:b/>
                <w:bCs/>
                <w:sz w:val="12"/>
              </w:rPr>
              <w:t>4</w:t>
            </w:r>
          </w:p>
        </w:tc>
        <w:tc>
          <w:tcPr>
            <w:tcW w:w="359" w:type="dxa"/>
            <w:tcBorders>
              <w:top w:val="single" w:sz="4" w:space="0" w:color="auto"/>
            </w:tcBorders>
          </w:tcPr>
          <w:p>
            <w:pPr>
              <w:pStyle w:val="yTableNAm"/>
              <w:spacing w:before="0"/>
              <w:rPr>
                <w:b/>
                <w:bCs/>
                <w:sz w:val="12"/>
              </w:rPr>
            </w:pPr>
            <w:r>
              <w:rPr>
                <w:b/>
                <w:bCs/>
                <w:sz w:val="12"/>
              </w:rPr>
              <w:t>7</w:t>
            </w:r>
          </w:p>
        </w:tc>
        <w:tc>
          <w:tcPr>
            <w:tcW w:w="358" w:type="dxa"/>
            <w:tcBorders>
              <w:top w:val="single" w:sz="4" w:space="0" w:color="auto"/>
            </w:tcBorders>
          </w:tcPr>
          <w:p>
            <w:pPr>
              <w:pStyle w:val="yTableNAm"/>
              <w:spacing w:before="0"/>
              <w:rPr>
                <w:b/>
                <w:bCs/>
                <w:sz w:val="12"/>
              </w:rPr>
            </w:pPr>
            <w:r>
              <w:rPr>
                <w:b/>
                <w:bCs/>
                <w:sz w:val="12"/>
              </w:rPr>
              <w:t>8</w:t>
            </w:r>
          </w:p>
        </w:tc>
        <w:tc>
          <w:tcPr>
            <w:tcW w:w="359" w:type="dxa"/>
            <w:tcBorders>
              <w:top w:val="single" w:sz="4" w:space="0" w:color="auto"/>
            </w:tcBorders>
          </w:tcPr>
          <w:p>
            <w:pPr>
              <w:pStyle w:val="yTableNAm"/>
              <w:spacing w:before="0"/>
              <w:rPr>
                <w:b/>
                <w:bCs/>
                <w:sz w:val="12"/>
              </w:rPr>
            </w:pPr>
            <w:r>
              <w:rPr>
                <w:b/>
                <w:bCs/>
                <w:sz w:val="12"/>
              </w:rPr>
              <w:t>9</w:t>
            </w:r>
          </w:p>
        </w:tc>
        <w:tc>
          <w:tcPr>
            <w:tcW w:w="358" w:type="dxa"/>
            <w:tcBorders>
              <w:top w:val="single" w:sz="4" w:space="0" w:color="auto"/>
            </w:tcBorders>
          </w:tcPr>
          <w:p>
            <w:pPr>
              <w:pStyle w:val="yTableNAm"/>
              <w:spacing w:before="0"/>
              <w:rPr>
                <w:b/>
                <w:bCs/>
                <w:sz w:val="12"/>
              </w:rPr>
            </w:pPr>
            <w:r>
              <w:rPr>
                <w:b/>
                <w:bCs/>
                <w:sz w:val="12"/>
              </w:rPr>
              <w:t>10</w:t>
            </w:r>
          </w:p>
        </w:tc>
        <w:tc>
          <w:tcPr>
            <w:tcW w:w="359" w:type="dxa"/>
            <w:gridSpan w:val="2"/>
            <w:tcBorders>
              <w:top w:val="single" w:sz="4" w:space="0" w:color="auto"/>
            </w:tcBorders>
          </w:tcPr>
          <w:p>
            <w:pPr>
              <w:pStyle w:val="yTableNAm"/>
              <w:spacing w:before="0"/>
              <w:rPr>
                <w:b/>
                <w:bCs/>
                <w:sz w:val="12"/>
              </w:rPr>
            </w:pPr>
            <w:r>
              <w:rPr>
                <w:b/>
                <w:bCs/>
                <w:sz w:val="12"/>
              </w:rPr>
              <w:t>11</w:t>
            </w:r>
          </w:p>
        </w:tc>
        <w:tc>
          <w:tcPr>
            <w:tcW w:w="358" w:type="dxa"/>
            <w:tcBorders>
              <w:top w:val="single" w:sz="4" w:space="0" w:color="auto"/>
            </w:tcBorders>
          </w:tcPr>
          <w:p>
            <w:pPr>
              <w:pStyle w:val="yTableNAm"/>
              <w:spacing w:before="0"/>
              <w:rPr>
                <w:b/>
                <w:bCs/>
                <w:sz w:val="12"/>
              </w:rPr>
            </w:pPr>
            <w:r>
              <w:rPr>
                <w:b/>
                <w:bCs/>
                <w:sz w:val="12"/>
              </w:rPr>
              <w:t>12</w:t>
            </w:r>
          </w:p>
        </w:tc>
        <w:tc>
          <w:tcPr>
            <w:tcW w:w="359" w:type="dxa"/>
            <w:tcBorders>
              <w:top w:val="single" w:sz="4" w:space="0" w:color="auto"/>
            </w:tcBorders>
          </w:tcPr>
          <w:p>
            <w:pPr>
              <w:pStyle w:val="yTableNAm"/>
              <w:spacing w:before="0"/>
              <w:rPr>
                <w:b/>
                <w:bCs/>
                <w:sz w:val="12"/>
              </w:rPr>
            </w:pPr>
            <w:r>
              <w:rPr>
                <w:b/>
                <w:bCs/>
                <w:sz w:val="12"/>
              </w:rPr>
              <w:t>13</w:t>
            </w:r>
          </w:p>
        </w:tc>
        <w:tc>
          <w:tcPr>
            <w:tcW w:w="358" w:type="dxa"/>
            <w:tcBorders>
              <w:top w:val="single" w:sz="4" w:space="0" w:color="auto"/>
            </w:tcBorders>
          </w:tcPr>
          <w:p>
            <w:pPr>
              <w:pStyle w:val="yTableNAm"/>
              <w:spacing w:before="0"/>
              <w:rPr>
                <w:b/>
                <w:bCs/>
                <w:sz w:val="12"/>
              </w:rPr>
            </w:pPr>
            <w:r>
              <w:rPr>
                <w:b/>
                <w:bCs/>
                <w:sz w:val="12"/>
              </w:rPr>
              <w:t>14</w:t>
            </w:r>
          </w:p>
        </w:tc>
        <w:tc>
          <w:tcPr>
            <w:tcW w:w="359" w:type="dxa"/>
            <w:tcBorders>
              <w:top w:val="single" w:sz="4" w:space="0" w:color="auto"/>
            </w:tcBorders>
          </w:tcPr>
          <w:p>
            <w:pPr>
              <w:pStyle w:val="yTableNAm"/>
              <w:spacing w:before="0"/>
              <w:rPr>
                <w:b/>
                <w:bCs/>
                <w:sz w:val="12"/>
              </w:rPr>
            </w:pPr>
            <w:r>
              <w:rPr>
                <w:b/>
                <w:bCs/>
                <w:sz w:val="12"/>
              </w:rPr>
              <w:t>15</w:t>
            </w:r>
          </w:p>
        </w:tc>
        <w:tc>
          <w:tcPr>
            <w:tcW w:w="358" w:type="dxa"/>
            <w:tcBorders>
              <w:top w:val="single" w:sz="4" w:space="0" w:color="auto"/>
            </w:tcBorders>
          </w:tcPr>
          <w:p>
            <w:pPr>
              <w:pStyle w:val="yTableNAm"/>
              <w:spacing w:before="0"/>
              <w:rPr>
                <w:b/>
                <w:bCs/>
                <w:sz w:val="12"/>
              </w:rPr>
            </w:pPr>
            <w:r>
              <w:rPr>
                <w:b/>
                <w:bCs/>
                <w:sz w:val="12"/>
              </w:rPr>
              <w:t>16</w:t>
            </w:r>
          </w:p>
        </w:tc>
        <w:tc>
          <w:tcPr>
            <w:tcW w:w="359" w:type="dxa"/>
            <w:tcBorders>
              <w:top w:val="single" w:sz="4" w:space="0" w:color="auto"/>
            </w:tcBorders>
          </w:tcPr>
          <w:p>
            <w:pPr>
              <w:pStyle w:val="yTableNAm"/>
              <w:spacing w:before="0"/>
              <w:rPr>
                <w:b/>
                <w:bCs/>
                <w:sz w:val="12"/>
              </w:rPr>
            </w:pPr>
            <w:r>
              <w:rPr>
                <w:b/>
                <w:bCs/>
                <w:sz w:val="12"/>
              </w:rPr>
              <w:t>17</w:t>
            </w:r>
          </w:p>
        </w:tc>
        <w:tc>
          <w:tcPr>
            <w:tcW w:w="358" w:type="dxa"/>
            <w:tcBorders>
              <w:top w:val="single" w:sz="4" w:space="0" w:color="auto"/>
            </w:tcBorders>
          </w:tcPr>
          <w:p>
            <w:pPr>
              <w:pStyle w:val="yTableNAm"/>
              <w:spacing w:before="0"/>
              <w:rPr>
                <w:b/>
                <w:bCs/>
                <w:sz w:val="12"/>
              </w:rPr>
            </w:pPr>
            <w:r>
              <w:rPr>
                <w:b/>
                <w:bCs/>
                <w:sz w:val="12"/>
              </w:rPr>
              <w:t>18</w:t>
            </w:r>
          </w:p>
        </w:tc>
        <w:tc>
          <w:tcPr>
            <w:tcW w:w="359" w:type="dxa"/>
            <w:tcBorders>
              <w:top w:val="single" w:sz="4" w:space="0" w:color="auto"/>
            </w:tcBorders>
          </w:tcPr>
          <w:p>
            <w:pPr>
              <w:pStyle w:val="yTableNAm"/>
              <w:spacing w:before="0"/>
              <w:rPr>
                <w:b/>
                <w:bCs/>
                <w:sz w:val="12"/>
              </w:rPr>
            </w:pPr>
            <w:r>
              <w:rPr>
                <w:b/>
                <w:bCs/>
                <w:sz w:val="12"/>
              </w:rPr>
              <w:t>19</w:t>
            </w:r>
          </w:p>
        </w:tc>
        <w:tc>
          <w:tcPr>
            <w:tcW w:w="359" w:type="dxa"/>
            <w:gridSpan w:val="2"/>
            <w:tcBorders>
              <w:top w:val="single" w:sz="4" w:space="0" w:color="auto"/>
            </w:tcBorders>
          </w:tcPr>
          <w:p>
            <w:pPr>
              <w:pStyle w:val="yTableNAm"/>
              <w:spacing w:before="0"/>
              <w:rPr>
                <w:b/>
                <w:bCs/>
                <w:sz w:val="12"/>
              </w:rPr>
            </w:pPr>
            <w:r>
              <w:rPr>
                <w:b/>
                <w:bCs/>
                <w:sz w:val="12"/>
              </w:rPr>
              <w:t>20</w:t>
            </w:r>
          </w:p>
        </w:tc>
      </w:tr>
      <w:tr>
        <w:tblPrEx>
          <w:tblCellMar>
            <w:right w:w="0" w:type="dxa"/>
          </w:tblCellMar>
        </w:tblPrEx>
        <w:tc>
          <w:tcPr>
            <w:tcW w:w="993" w:type="dxa"/>
          </w:tcPr>
          <w:p>
            <w:pPr>
              <w:pStyle w:val="yTableNAm"/>
              <w:spacing w:before="0"/>
              <w:rPr>
                <w:sz w:val="12"/>
              </w:rPr>
            </w:pPr>
            <w:r>
              <w:rPr>
                <w:sz w:val="12"/>
              </w:rPr>
              <w:t>Six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9" w:type="dxa"/>
            <w:gridSpan w:val="2"/>
          </w:tcPr>
          <w:p>
            <w:pPr>
              <w:pStyle w:val="yTableNAm"/>
              <w:spacing w:before="0"/>
              <w:rPr>
                <w:sz w:val="12"/>
              </w:rPr>
            </w:pPr>
            <w:r>
              <w:rPr>
                <w:sz w:val="12"/>
              </w:rPr>
              <w:t>72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80</w:t>
            </w:r>
          </w:p>
        </w:tc>
        <w:tc>
          <w:tcPr>
            <w:tcW w:w="359" w:type="dxa"/>
            <w:gridSpan w:val="2"/>
          </w:tcPr>
          <w:p>
            <w:pPr>
              <w:pStyle w:val="yTableNAm"/>
              <w:spacing w:before="0"/>
              <w:rPr>
                <w:sz w:val="12"/>
              </w:rPr>
            </w:pPr>
            <w:r>
              <w:rPr>
                <w:sz w:val="12"/>
              </w:rPr>
              <w:t>180</w:t>
            </w:r>
          </w:p>
        </w:tc>
        <w:tc>
          <w:tcPr>
            <w:tcW w:w="358" w:type="dxa"/>
          </w:tcPr>
          <w:p>
            <w:pPr>
              <w:pStyle w:val="yTableNAm"/>
              <w:spacing w:before="0"/>
              <w:rPr>
                <w:sz w:val="12"/>
              </w:rPr>
            </w:pPr>
            <w:r>
              <w:rPr>
                <w:sz w:val="12"/>
              </w:rPr>
              <w:t>320</w:t>
            </w:r>
          </w:p>
        </w:tc>
        <w:tc>
          <w:tcPr>
            <w:tcW w:w="359" w:type="dxa"/>
          </w:tcPr>
          <w:p>
            <w:pPr>
              <w:pStyle w:val="yTableNAm"/>
              <w:spacing w:before="0"/>
              <w:rPr>
                <w:sz w:val="12"/>
              </w:rPr>
            </w:pPr>
            <w:r>
              <w:rPr>
                <w:sz w:val="12"/>
              </w:rPr>
              <w:t>500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980</w:t>
            </w:r>
          </w:p>
        </w:tc>
        <w:tc>
          <w:tcPr>
            <w:tcW w:w="358" w:type="dxa"/>
          </w:tcPr>
          <w:p>
            <w:pPr>
              <w:pStyle w:val="yTableNAm"/>
              <w:spacing w:before="0"/>
              <w:rPr>
                <w:sz w:val="12"/>
              </w:rPr>
            </w:pPr>
            <w:r>
              <w:rPr>
                <w:sz w:val="12"/>
              </w:rPr>
              <w:t>1280</w:t>
            </w:r>
          </w:p>
        </w:tc>
        <w:tc>
          <w:tcPr>
            <w:tcW w:w="359" w:type="dxa"/>
          </w:tcPr>
          <w:p>
            <w:pPr>
              <w:pStyle w:val="yTableNAm"/>
              <w:spacing w:before="0"/>
              <w:rPr>
                <w:sz w:val="12"/>
              </w:rPr>
            </w:pPr>
            <w:r>
              <w:rPr>
                <w:sz w:val="12"/>
              </w:rPr>
              <w:t>1620</w:t>
            </w:r>
          </w:p>
        </w:tc>
        <w:tc>
          <w:tcPr>
            <w:tcW w:w="358" w:type="dxa"/>
          </w:tcPr>
          <w:p>
            <w:pPr>
              <w:pStyle w:val="yTableNAm"/>
              <w:spacing w:before="0"/>
              <w:rPr>
                <w:sz w:val="12"/>
              </w:rPr>
            </w:pPr>
            <w:r>
              <w:rPr>
                <w:sz w:val="12"/>
              </w:rPr>
              <w:t>2000</w:t>
            </w:r>
          </w:p>
        </w:tc>
        <w:tc>
          <w:tcPr>
            <w:tcW w:w="359" w:type="dxa"/>
          </w:tcPr>
          <w:p>
            <w:pPr>
              <w:pStyle w:val="yTableNAm"/>
              <w:spacing w:before="0"/>
              <w:rPr>
                <w:sz w:val="12"/>
              </w:rPr>
            </w:pPr>
            <w:r>
              <w:rPr>
                <w:sz w:val="12"/>
              </w:rPr>
              <w:t>2420</w:t>
            </w:r>
          </w:p>
        </w:tc>
        <w:tc>
          <w:tcPr>
            <w:tcW w:w="359" w:type="dxa"/>
            <w:gridSpan w:val="2"/>
          </w:tcPr>
          <w:p>
            <w:pPr>
              <w:pStyle w:val="yTableNAm"/>
              <w:spacing w:before="0"/>
              <w:rPr>
                <w:sz w:val="12"/>
              </w:rPr>
            </w:pPr>
            <w:r>
              <w:rPr>
                <w:sz w:val="12"/>
              </w:rPr>
              <w:t>2880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51</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345</w:t>
            </w:r>
          </w:p>
        </w:tc>
        <w:tc>
          <w:tcPr>
            <w:tcW w:w="359" w:type="dxa"/>
          </w:tcPr>
          <w:p>
            <w:pPr>
              <w:pStyle w:val="yTableNAm"/>
              <w:spacing w:before="0"/>
              <w:rPr>
                <w:sz w:val="12"/>
              </w:rPr>
            </w:pPr>
            <w:r>
              <w:rPr>
                <w:sz w:val="12"/>
              </w:rPr>
              <w:t>525</w:t>
            </w:r>
          </w:p>
        </w:tc>
        <w:tc>
          <w:tcPr>
            <w:tcW w:w="358" w:type="dxa"/>
          </w:tcPr>
          <w:p>
            <w:pPr>
              <w:pStyle w:val="yTableNAm"/>
              <w:spacing w:before="0"/>
              <w:rPr>
                <w:sz w:val="12"/>
              </w:rPr>
            </w:pPr>
            <w:r>
              <w:rPr>
                <w:sz w:val="12"/>
              </w:rPr>
              <w:t>756</w:t>
            </w:r>
          </w:p>
        </w:tc>
        <w:tc>
          <w:tcPr>
            <w:tcW w:w="359" w:type="dxa"/>
          </w:tcPr>
          <w:p>
            <w:pPr>
              <w:pStyle w:val="yTableNAm"/>
              <w:spacing w:before="0"/>
              <w:rPr>
                <w:sz w:val="12"/>
              </w:rPr>
            </w:pPr>
            <w:r>
              <w:rPr>
                <w:sz w:val="12"/>
              </w:rPr>
              <w:t>1044</w:t>
            </w:r>
          </w:p>
        </w:tc>
        <w:tc>
          <w:tcPr>
            <w:tcW w:w="358" w:type="dxa"/>
          </w:tcPr>
          <w:p>
            <w:pPr>
              <w:pStyle w:val="yTableNAm"/>
              <w:spacing w:before="0"/>
              <w:rPr>
                <w:sz w:val="12"/>
              </w:rPr>
            </w:pPr>
            <w:r>
              <w:rPr>
                <w:sz w:val="12"/>
              </w:rPr>
              <w:t>1395</w:t>
            </w:r>
          </w:p>
        </w:tc>
        <w:tc>
          <w:tcPr>
            <w:tcW w:w="359" w:type="dxa"/>
          </w:tcPr>
          <w:p>
            <w:pPr>
              <w:pStyle w:val="yTableNAm"/>
              <w:spacing w:before="0"/>
              <w:rPr>
                <w:sz w:val="12"/>
              </w:rPr>
            </w:pPr>
            <w:r>
              <w:rPr>
                <w:sz w:val="12"/>
              </w:rPr>
              <w:t>1815</w:t>
            </w:r>
          </w:p>
        </w:tc>
        <w:tc>
          <w:tcPr>
            <w:tcW w:w="359" w:type="dxa"/>
            <w:gridSpan w:val="2"/>
          </w:tcPr>
          <w:p>
            <w:pPr>
              <w:pStyle w:val="yTableNAm"/>
              <w:spacing w:before="0"/>
              <w:rPr>
                <w:sz w:val="12"/>
              </w:rPr>
            </w:pPr>
            <w:r>
              <w:rPr>
                <w:sz w:val="12"/>
              </w:rPr>
              <w:t>2310</w:t>
            </w:r>
          </w:p>
        </w:tc>
      </w:tr>
      <w:tr>
        <w:tblPrEx>
          <w:tblCellMar>
            <w:right w:w="0" w:type="dxa"/>
          </w:tblCellMar>
        </w:tblPrEx>
        <w:tc>
          <w:tcPr>
            <w:tcW w:w="993" w:type="dxa"/>
          </w:tcPr>
          <w:p>
            <w:pPr>
              <w:pStyle w:val="yTableNAm"/>
              <w:spacing w:before="0"/>
              <w:rPr>
                <w:sz w:val="12"/>
              </w:rPr>
            </w:pPr>
            <w:r>
              <w:rPr>
                <w:sz w:val="12"/>
              </w:rPr>
              <w:t>Six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9" w:type="dxa"/>
            <w:gridSpan w:val="2"/>
          </w:tcPr>
          <w:p>
            <w:pPr>
              <w:pStyle w:val="yTableNAm"/>
              <w:spacing w:before="0"/>
              <w:rPr>
                <w:sz w:val="12"/>
              </w:rPr>
            </w:pPr>
            <w:r>
              <w:rPr>
                <w:sz w:val="12"/>
              </w:rPr>
              <w:t>6</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18</w:t>
            </w:r>
          </w:p>
        </w:tc>
        <w:tc>
          <w:tcPr>
            <w:tcW w:w="359" w:type="dxa"/>
            <w:gridSpan w:val="2"/>
          </w:tcPr>
          <w:p>
            <w:pPr>
              <w:pStyle w:val="yTableNAm"/>
              <w:spacing w:before="0"/>
              <w:rPr>
                <w:sz w:val="12"/>
              </w:rPr>
            </w:pPr>
            <w:r>
              <w:rPr>
                <w:sz w:val="12"/>
              </w:rPr>
              <w:t>24</w:t>
            </w:r>
          </w:p>
        </w:tc>
        <w:tc>
          <w:tcPr>
            <w:tcW w:w="358" w:type="dxa"/>
          </w:tcPr>
          <w:p>
            <w:pPr>
              <w:pStyle w:val="yTableNAm"/>
              <w:spacing w:before="0"/>
              <w:rPr>
                <w:sz w:val="12"/>
              </w:rPr>
            </w:pPr>
            <w:r>
              <w:rPr>
                <w:sz w:val="12"/>
              </w:rPr>
              <w:t>30</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42</w:t>
            </w:r>
          </w:p>
        </w:tc>
        <w:tc>
          <w:tcPr>
            <w:tcW w:w="359" w:type="dxa"/>
          </w:tcPr>
          <w:p>
            <w:pPr>
              <w:pStyle w:val="yTableNAm"/>
              <w:spacing w:before="0"/>
              <w:rPr>
                <w:sz w:val="12"/>
              </w:rPr>
            </w:pPr>
            <w:r>
              <w:rPr>
                <w:sz w:val="12"/>
              </w:rPr>
              <w:t>48</w:t>
            </w:r>
          </w:p>
        </w:tc>
        <w:tc>
          <w:tcPr>
            <w:tcW w:w="358" w:type="dxa"/>
          </w:tcPr>
          <w:p>
            <w:pPr>
              <w:pStyle w:val="yTableNAm"/>
              <w:spacing w:before="0"/>
              <w:rPr>
                <w:sz w:val="12"/>
              </w:rPr>
            </w:pPr>
            <w:r>
              <w:rPr>
                <w:sz w:val="12"/>
              </w:rPr>
              <w:t>54</w:t>
            </w:r>
          </w:p>
        </w:tc>
        <w:tc>
          <w:tcPr>
            <w:tcW w:w="359" w:type="dxa"/>
          </w:tcPr>
          <w:p>
            <w:pPr>
              <w:pStyle w:val="yTableNAm"/>
              <w:spacing w:before="0"/>
              <w:rPr>
                <w:sz w:val="12"/>
              </w:rPr>
            </w:pPr>
            <w:r>
              <w:rPr>
                <w:sz w:val="12"/>
              </w:rPr>
              <w:t>60</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72</w:t>
            </w:r>
          </w:p>
        </w:tc>
        <w:tc>
          <w:tcPr>
            <w:tcW w:w="359" w:type="dxa"/>
            <w:gridSpan w:val="2"/>
          </w:tcPr>
          <w:p>
            <w:pPr>
              <w:pStyle w:val="yTableNAm"/>
              <w:spacing w:before="0"/>
              <w:rPr>
                <w:sz w:val="12"/>
              </w:rPr>
            </w:pPr>
            <w:r>
              <w:rPr>
                <w:sz w:val="12"/>
              </w:rPr>
              <w:t>78</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120</w:t>
            </w:r>
          </w:p>
        </w:tc>
        <w:tc>
          <w:tcPr>
            <w:tcW w:w="358" w:type="dxa"/>
          </w:tcPr>
          <w:p>
            <w:pPr>
              <w:pStyle w:val="yTableNAm"/>
              <w:spacing w:before="0"/>
              <w:rPr>
                <w:sz w:val="12"/>
              </w:rPr>
            </w:pPr>
            <w:r>
              <w:rPr>
                <w:sz w:val="12"/>
              </w:rPr>
              <w:t>200</w:t>
            </w:r>
          </w:p>
        </w:tc>
        <w:tc>
          <w:tcPr>
            <w:tcW w:w="359" w:type="dxa"/>
          </w:tcPr>
          <w:p>
            <w:pPr>
              <w:pStyle w:val="yTableNAm"/>
              <w:spacing w:before="0"/>
              <w:rPr>
                <w:sz w:val="12"/>
              </w:rPr>
            </w:pPr>
            <w:r>
              <w:rPr>
                <w:sz w:val="12"/>
              </w:rPr>
              <w:t>300</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720</w:t>
            </w:r>
          </w:p>
        </w:tc>
        <w:tc>
          <w:tcPr>
            <w:tcW w:w="359" w:type="dxa"/>
          </w:tcPr>
          <w:p>
            <w:pPr>
              <w:pStyle w:val="yTableNAm"/>
              <w:spacing w:before="0"/>
              <w:rPr>
                <w:sz w:val="12"/>
              </w:rPr>
            </w:pPr>
            <w:r>
              <w:rPr>
                <w:sz w:val="12"/>
              </w:rPr>
              <w:t>900</w:t>
            </w:r>
          </w:p>
        </w:tc>
        <w:tc>
          <w:tcPr>
            <w:tcW w:w="358" w:type="dxa"/>
          </w:tcPr>
          <w:p>
            <w:pPr>
              <w:pStyle w:val="yTableNAm"/>
              <w:spacing w:before="0"/>
              <w:rPr>
                <w:sz w:val="12"/>
              </w:rPr>
            </w:pPr>
            <w:r>
              <w:rPr>
                <w:sz w:val="12"/>
              </w:rPr>
              <w:t>1100</w:t>
            </w:r>
          </w:p>
        </w:tc>
        <w:tc>
          <w:tcPr>
            <w:tcW w:w="359" w:type="dxa"/>
          </w:tcPr>
          <w:p>
            <w:pPr>
              <w:pStyle w:val="yTableNAm"/>
              <w:spacing w:before="0"/>
              <w:rPr>
                <w:sz w:val="12"/>
              </w:rPr>
            </w:pPr>
            <w:r>
              <w:rPr>
                <w:sz w:val="12"/>
              </w:rPr>
              <w:t>1320</w:t>
            </w:r>
          </w:p>
        </w:tc>
        <w:tc>
          <w:tcPr>
            <w:tcW w:w="359" w:type="dxa"/>
            <w:gridSpan w:val="2"/>
          </w:tcPr>
          <w:p>
            <w:pPr>
              <w:pStyle w:val="yTableNAm"/>
              <w:spacing w:before="0"/>
              <w:rPr>
                <w:sz w:val="12"/>
              </w:rPr>
            </w:pPr>
            <w:r>
              <w:rPr>
                <w:sz w:val="12"/>
              </w:rPr>
              <w:t>1560</w:t>
            </w:r>
          </w:p>
        </w:tc>
      </w:tr>
      <w:tr>
        <w:tblPrEx>
          <w:tblCellMar>
            <w:right w:w="0" w:type="dxa"/>
          </w:tblCellMar>
        </w:tblPrEx>
        <w:tc>
          <w:tcPr>
            <w:tcW w:w="993" w:type="dxa"/>
          </w:tcPr>
          <w:p>
            <w:pPr>
              <w:pStyle w:val="yTableNAm"/>
              <w:spacing w:before="0"/>
              <w:rPr>
                <w:sz w:val="12"/>
              </w:rPr>
            </w:pPr>
            <w:r>
              <w:rPr>
                <w:sz w:val="12"/>
              </w:rPr>
              <w:t>Six</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18</w:t>
            </w:r>
          </w:p>
        </w:tc>
        <w:tc>
          <w:tcPr>
            <w:tcW w:w="358" w:type="dxa"/>
          </w:tcPr>
          <w:p>
            <w:pPr>
              <w:pStyle w:val="yTableNAm"/>
              <w:spacing w:before="0"/>
              <w:rPr>
                <w:sz w:val="12"/>
              </w:rPr>
            </w:pPr>
            <w:r>
              <w:rPr>
                <w:sz w:val="12"/>
              </w:rPr>
              <w:t>24</w:t>
            </w:r>
          </w:p>
        </w:tc>
        <w:tc>
          <w:tcPr>
            <w:tcW w:w="359" w:type="dxa"/>
            <w:gridSpan w:val="2"/>
          </w:tcPr>
          <w:p>
            <w:pPr>
              <w:pStyle w:val="yTableNAm"/>
              <w:spacing w:before="0"/>
              <w:rPr>
                <w:sz w:val="12"/>
              </w:rPr>
            </w:pPr>
            <w:r>
              <w:rPr>
                <w:sz w:val="12"/>
              </w:rPr>
              <w:t>30</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t>42</w:t>
            </w:r>
          </w:p>
        </w:tc>
        <w:tc>
          <w:tcPr>
            <w:tcW w:w="358" w:type="dxa"/>
          </w:tcPr>
          <w:p>
            <w:pPr>
              <w:pStyle w:val="yTableNAm"/>
              <w:spacing w:before="0"/>
              <w:rPr>
                <w:sz w:val="12"/>
              </w:rPr>
            </w:pPr>
            <w:r>
              <w:rPr>
                <w:sz w:val="12"/>
              </w:rPr>
              <w:t>48</w:t>
            </w:r>
          </w:p>
        </w:tc>
        <w:tc>
          <w:tcPr>
            <w:tcW w:w="359" w:type="dxa"/>
          </w:tcPr>
          <w:p>
            <w:pPr>
              <w:pStyle w:val="yTableNAm"/>
              <w:spacing w:before="0"/>
              <w:rPr>
                <w:sz w:val="12"/>
              </w:rPr>
            </w:pPr>
            <w:r>
              <w:rPr>
                <w:sz w:val="12"/>
              </w:rPr>
              <w:t>54</w:t>
            </w:r>
          </w:p>
        </w:tc>
        <w:tc>
          <w:tcPr>
            <w:tcW w:w="358" w:type="dxa"/>
          </w:tcPr>
          <w:p>
            <w:pPr>
              <w:pStyle w:val="yTableNAm"/>
              <w:spacing w:before="0"/>
              <w:rPr>
                <w:sz w:val="12"/>
              </w:rPr>
            </w:pPr>
            <w:r>
              <w:rPr>
                <w:sz w:val="12"/>
              </w:rPr>
              <w:t>60</w:t>
            </w:r>
          </w:p>
        </w:tc>
        <w:tc>
          <w:tcPr>
            <w:tcW w:w="359" w:type="dxa"/>
          </w:tcPr>
          <w:p>
            <w:pPr>
              <w:pStyle w:val="yTableNAm"/>
              <w:spacing w:before="0"/>
              <w:rPr>
                <w:sz w:val="12"/>
              </w:rPr>
            </w:pPr>
            <w:r>
              <w:rPr>
                <w:sz w:val="12"/>
              </w:rPr>
              <w:t>66</w:t>
            </w:r>
          </w:p>
        </w:tc>
        <w:tc>
          <w:tcPr>
            <w:tcW w:w="358" w:type="dxa"/>
          </w:tcPr>
          <w:p>
            <w:pPr>
              <w:pStyle w:val="yTableNAm"/>
              <w:spacing w:before="0"/>
              <w:rPr>
                <w:sz w:val="12"/>
              </w:rPr>
            </w:pPr>
            <w:r>
              <w:rPr>
                <w:sz w:val="12"/>
              </w:rPr>
              <w:t>72</w:t>
            </w:r>
          </w:p>
        </w:tc>
        <w:tc>
          <w:tcPr>
            <w:tcW w:w="359" w:type="dxa"/>
          </w:tcPr>
          <w:p>
            <w:pPr>
              <w:pStyle w:val="yTableNAm"/>
              <w:spacing w:before="0"/>
              <w:rPr>
                <w:sz w:val="12"/>
              </w:rPr>
            </w:pPr>
            <w:r>
              <w:rPr>
                <w:sz w:val="12"/>
              </w:rPr>
              <w:t>78</w:t>
            </w:r>
          </w:p>
        </w:tc>
        <w:tc>
          <w:tcPr>
            <w:tcW w:w="359" w:type="dxa"/>
            <w:gridSpan w:val="2"/>
          </w:tcPr>
          <w:p>
            <w:pPr>
              <w:pStyle w:val="yTableNAm"/>
              <w:spacing w:before="0"/>
              <w:rPr>
                <w:sz w:val="12"/>
              </w:rPr>
            </w:pPr>
            <w:r>
              <w:rPr>
                <w:sz w:val="12"/>
              </w:rPr>
              <w:t>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45</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150</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t>315</w:t>
            </w:r>
          </w:p>
        </w:tc>
        <w:tc>
          <w:tcPr>
            <w:tcW w:w="358" w:type="dxa"/>
          </w:tcPr>
          <w:p>
            <w:pPr>
              <w:pStyle w:val="yTableNAm"/>
              <w:spacing w:before="0"/>
              <w:rPr>
                <w:sz w:val="12"/>
              </w:rPr>
            </w:pPr>
            <w:r>
              <w:rPr>
                <w:sz w:val="12"/>
              </w:rPr>
              <w:t>420</w:t>
            </w:r>
          </w:p>
        </w:tc>
        <w:tc>
          <w:tcPr>
            <w:tcW w:w="359" w:type="dxa"/>
          </w:tcPr>
          <w:p>
            <w:pPr>
              <w:pStyle w:val="yTableNAm"/>
              <w:spacing w:before="0"/>
              <w:rPr>
                <w:sz w:val="12"/>
              </w:rPr>
            </w:pPr>
            <w:r>
              <w:rPr>
                <w:sz w:val="12"/>
              </w:rPr>
              <w:t>540</w:t>
            </w:r>
          </w:p>
        </w:tc>
        <w:tc>
          <w:tcPr>
            <w:tcW w:w="358" w:type="dxa"/>
          </w:tcPr>
          <w:p>
            <w:pPr>
              <w:pStyle w:val="yTableNAm"/>
              <w:spacing w:before="0"/>
              <w:rPr>
                <w:sz w:val="12"/>
              </w:rPr>
            </w:pPr>
            <w:r>
              <w:rPr>
                <w:sz w:val="12"/>
              </w:rPr>
              <w:t>675</w:t>
            </w:r>
          </w:p>
        </w:tc>
        <w:tc>
          <w:tcPr>
            <w:tcW w:w="359" w:type="dxa"/>
          </w:tcPr>
          <w:p>
            <w:pPr>
              <w:pStyle w:val="yTableNAm"/>
              <w:spacing w:before="0"/>
              <w:rPr>
                <w:sz w:val="12"/>
              </w:rPr>
            </w:pPr>
            <w:r>
              <w:rPr>
                <w:sz w:val="12"/>
              </w:rPr>
              <w:t>825</w:t>
            </w:r>
          </w:p>
        </w:tc>
        <w:tc>
          <w:tcPr>
            <w:tcW w:w="358" w:type="dxa"/>
          </w:tcPr>
          <w:p>
            <w:pPr>
              <w:pStyle w:val="yTableNAm"/>
              <w:spacing w:before="0"/>
              <w:rPr>
                <w:sz w:val="12"/>
              </w:rPr>
            </w:pPr>
            <w:r>
              <w:rPr>
                <w:sz w:val="12"/>
              </w:rPr>
              <w:t>990</w:t>
            </w:r>
          </w:p>
        </w:tc>
        <w:tc>
          <w:tcPr>
            <w:tcW w:w="359" w:type="dxa"/>
          </w:tcPr>
          <w:p>
            <w:pPr>
              <w:pStyle w:val="yTableNAm"/>
              <w:spacing w:before="0"/>
              <w:rPr>
                <w:sz w:val="12"/>
              </w:rPr>
            </w:pPr>
            <w:r>
              <w:rPr>
                <w:sz w:val="12"/>
              </w:rPr>
              <w:t>1170</w:t>
            </w:r>
          </w:p>
        </w:tc>
        <w:tc>
          <w:tcPr>
            <w:tcW w:w="359" w:type="dxa"/>
            <w:gridSpan w:val="2"/>
          </w:tcPr>
          <w:p>
            <w:pPr>
              <w:pStyle w:val="yTableNAm"/>
              <w:spacing w:before="0"/>
              <w:rPr>
                <w:sz w:val="12"/>
              </w:rPr>
            </w:pPr>
            <w:r>
              <w:rPr>
                <w:sz w:val="12"/>
              </w:rPr>
              <w:t>1365</w:t>
            </w:r>
          </w:p>
        </w:tc>
      </w:tr>
      <w:tr>
        <w:tblPrEx>
          <w:tblCellMar>
            <w:right w:w="0" w:type="dxa"/>
          </w:tblCellMar>
        </w:tblPrEx>
        <w:tc>
          <w:tcPr>
            <w:tcW w:w="993" w:type="dxa"/>
          </w:tcPr>
          <w:p>
            <w:pPr>
              <w:pStyle w:val="yTableNAm"/>
              <w:spacing w:before="0"/>
              <w:rPr>
                <w:sz w:val="12"/>
              </w:rPr>
            </w:pPr>
            <w:r>
              <w:rPr>
                <w:sz w:val="12"/>
              </w:rPr>
              <w:t>Five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9" w:type="dxa"/>
            <w:gridSpan w:val="2"/>
          </w:tcPr>
          <w:p>
            <w:pPr>
              <w:pStyle w:val="yTableNAm"/>
              <w:spacing w:before="0"/>
              <w:rPr>
                <w:sz w:val="12"/>
              </w:rPr>
            </w:pPr>
            <w:r>
              <w:rPr>
                <w:sz w:val="12"/>
              </w:rPr>
              <w:t>2</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gridSpan w:val="2"/>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9" w:type="dxa"/>
            <w:gridSpan w:val="2"/>
          </w:tcPr>
          <w:p>
            <w:pPr>
              <w:pStyle w:val="yTableNAm"/>
              <w:spacing w:before="0"/>
              <w:rPr>
                <w:sz w:val="12"/>
              </w:rPr>
            </w:pPr>
            <w:r>
              <w:rPr>
                <w:sz w:val="12"/>
              </w:rPr>
              <w:t>13</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90</w:t>
            </w:r>
          </w:p>
        </w:tc>
        <w:tc>
          <w:tcPr>
            <w:tcW w:w="359" w:type="dxa"/>
            <w:gridSpan w:val="2"/>
          </w:tcPr>
          <w:p>
            <w:pPr>
              <w:pStyle w:val="yTableNAm"/>
              <w:spacing w:before="0"/>
              <w:rPr>
                <w:sz w:val="12"/>
              </w:rPr>
            </w:pPr>
            <w:r>
              <w:rPr>
                <w:sz w:val="12"/>
              </w:rPr>
              <w:t>160</w:t>
            </w:r>
          </w:p>
        </w:tc>
        <w:tc>
          <w:tcPr>
            <w:tcW w:w="358" w:type="dxa"/>
          </w:tcPr>
          <w:p>
            <w:pPr>
              <w:pStyle w:val="yTableNAm"/>
              <w:spacing w:before="0"/>
              <w:rPr>
                <w:sz w:val="12"/>
              </w:rPr>
            </w:pPr>
            <w:r>
              <w:rPr>
                <w:sz w:val="12"/>
              </w:rPr>
              <w:t>250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490</w:t>
            </w:r>
          </w:p>
        </w:tc>
        <w:tc>
          <w:tcPr>
            <w:tcW w:w="359" w:type="dxa"/>
          </w:tcPr>
          <w:p>
            <w:pPr>
              <w:pStyle w:val="yTableNAm"/>
              <w:spacing w:before="0"/>
              <w:rPr>
                <w:sz w:val="12"/>
              </w:rPr>
            </w:pPr>
            <w:r>
              <w:rPr>
                <w:sz w:val="12"/>
              </w:rPr>
              <w:t>640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1000</w:t>
            </w:r>
          </w:p>
        </w:tc>
        <w:tc>
          <w:tcPr>
            <w:tcW w:w="358" w:type="dxa"/>
          </w:tcPr>
          <w:p>
            <w:pPr>
              <w:pStyle w:val="yTableNAm"/>
              <w:spacing w:before="0"/>
              <w:rPr>
                <w:sz w:val="12"/>
              </w:rPr>
            </w:pPr>
            <w:r>
              <w:rPr>
                <w:sz w:val="12"/>
              </w:rPr>
              <w:t>1210</w:t>
            </w:r>
          </w:p>
        </w:tc>
        <w:tc>
          <w:tcPr>
            <w:tcW w:w="359" w:type="dxa"/>
          </w:tcPr>
          <w:p>
            <w:pPr>
              <w:pStyle w:val="yTableNAm"/>
              <w:spacing w:before="0"/>
              <w:rPr>
                <w:sz w:val="12"/>
              </w:rPr>
            </w:pPr>
            <w:r>
              <w:rPr>
                <w:sz w:val="12"/>
              </w:rPr>
              <w:t>1440</w:t>
            </w:r>
          </w:p>
        </w:tc>
        <w:tc>
          <w:tcPr>
            <w:tcW w:w="359" w:type="dxa"/>
            <w:gridSpan w:val="2"/>
          </w:tcPr>
          <w:p>
            <w:pPr>
              <w:pStyle w:val="yTableNAm"/>
              <w:spacing w:before="0"/>
              <w:rPr>
                <w:sz w:val="12"/>
              </w:rPr>
            </w:pPr>
            <w:r>
              <w:rPr>
                <w:sz w:val="12"/>
              </w:rPr>
              <w:t>1690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80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250</w:t>
            </w:r>
          </w:p>
        </w:tc>
        <w:tc>
          <w:tcPr>
            <w:tcW w:w="358" w:type="dxa"/>
          </w:tcPr>
          <w:p>
            <w:pPr>
              <w:pStyle w:val="yTableNAm"/>
              <w:spacing w:before="0"/>
              <w:rPr>
                <w:sz w:val="12"/>
              </w:rPr>
            </w:pPr>
            <w:r>
              <w:rPr>
                <w:sz w:val="12"/>
              </w:rPr>
              <w:t>385</w:t>
            </w:r>
          </w:p>
        </w:tc>
        <w:tc>
          <w:tcPr>
            <w:tcW w:w="359" w:type="dxa"/>
          </w:tcPr>
          <w:p>
            <w:pPr>
              <w:pStyle w:val="yTableNAm"/>
              <w:spacing w:before="0"/>
              <w:rPr>
                <w:sz w:val="12"/>
              </w:rPr>
            </w:pPr>
            <w:r>
              <w:rPr>
                <w:sz w:val="12"/>
              </w:rPr>
              <w:t>560</w:t>
            </w:r>
          </w:p>
        </w:tc>
        <w:tc>
          <w:tcPr>
            <w:tcW w:w="358" w:type="dxa"/>
          </w:tcPr>
          <w:p>
            <w:pPr>
              <w:pStyle w:val="yTableNAm"/>
              <w:spacing w:before="0"/>
              <w:rPr>
                <w:sz w:val="12"/>
              </w:rPr>
            </w:pPr>
            <w:r>
              <w:rPr>
                <w:sz w:val="12"/>
              </w:rPr>
              <w:t>780</w:t>
            </w:r>
          </w:p>
        </w:tc>
        <w:tc>
          <w:tcPr>
            <w:tcW w:w="359" w:type="dxa"/>
          </w:tcPr>
          <w:p>
            <w:pPr>
              <w:pStyle w:val="yTableNAm"/>
              <w:spacing w:before="0"/>
              <w:rPr>
                <w:sz w:val="12"/>
              </w:rPr>
            </w:pPr>
            <w:r>
              <w:rPr>
                <w:sz w:val="12"/>
              </w:rPr>
              <w:t>1050</w:t>
            </w:r>
          </w:p>
        </w:tc>
        <w:tc>
          <w:tcPr>
            <w:tcW w:w="358" w:type="dxa"/>
          </w:tcPr>
          <w:p>
            <w:pPr>
              <w:pStyle w:val="yTableNAm"/>
              <w:spacing w:before="0"/>
              <w:rPr>
                <w:sz w:val="12"/>
              </w:rPr>
            </w:pPr>
            <w:r>
              <w:rPr>
                <w:sz w:val="12"/>
              </w:rPr>
              <w:t>1375</w:t>
            </w:r>
          </w:p>
        </w:tc>
        <w:tc>
          <w:tcPr>
            <w:tcW w:w="359" w:type="dxa"/>
          </w:tcPr>
          <w:p>
            <w:pPr>
              <w:pStyle w:val="yTableNAm"/>
              <w:spacing w:before="0"/>
              <w:rPr>
                <w:sz w:val="12"/>
              </w:rPr>
            </w:pPr>
            <w:r>
              <w:rPr>
                <w:sz w:val="12"/>
              </w:rPr>
              <w:t>1760</w:t>
            </w:r>
          </w:p>
        </w:tc>
        <w:tc>
          <w:tcPr>
            <w:tcW w:w="359" w:type="dxa"/>
            <w:gridSpan w:val="2"/>
          </w:tcPr>
          <w:p>
            <w:pPr>
              <w:pStyle w:val="yTableNAm"/>
              <w:spacing w:before="0"/>
              <w:rPr>
                <w:sz w:val="12"/>
              </w:rPr>
            </w:pPr>
            <w:r>
              <w:rPr>
                <w:sz w:val="12"/>
              </w:rPr>
              <w:t>2210</w:t>
            </w:r>
          </w:p>
        </w:tc>
      </w:tr>
      <w:tr>
        <w:tblPrEx>
          <w:tblCellMar>
            <w:right w:w="0" w:type="dxa"/>
          </w:tblCellMar>
        </w:tblPrEx>
        <w:tc>
          <w:tcPr>
            <w:tcW w:w="993" w:type="dxa"/>
          </w:tcPr>
          <w:p>
            <w:pPr>
              <w:pStyle w:val="yTableNAm"/>
              <w:spacing w:before="0"/>
              <w:rPr>
                <w:sz w:val="12"/>
              </w:rPr>
            </w:pPr>
            <w:r>
              <w:rPr>
                <w:sz w:val="12"/>
              </w:rPr>
              <w:t>Five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9" w:type="dxa"/>
            <w:gridSpan w:val="2"/>
          </w:tcPr>
          <w:p>
            <w:pPr>
              <w:pStyle w:val="yTableNAm"/>
              <w:spacing w:before="0"/>
              <w:rPr>
                <w:sz w:val="12"/>
              </w:rPr>
            </w:pPr>
            <w:r>
              <w:rPr>
                <w:sz w:val="12"/>
              </w:rPr>
              <w:t>1</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4</w:t>
            </w:r>
          </w:p>
        </w:tc>
        <w:tc>
          <w:tcPr>
            <w:tcW w:w="359" w:type="dxa"/>
            <w:gridSpan w:val="2"/>
          </w:tcPr>
          <w:p>
            <w:pPr>
              <w:pStyle w:val="yTableNAm"/>
              <w:spacing w:before="0"/>
              <w:rPr>
                <w:sz w:val="12"/>
              </w:rPr>
            </w:pPr>
            <w:r>
              <w:rPr>
                <w:sz w:val="12"/>
              </w:rPr>
              <w:t>5</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7</w:t>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t>9</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11</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13</w:t>
            </w:r>
          </w:p>
        </w:tc>
        <w:tc>
          <w:tcPr>
            <w:tcW w:w="359" w:type="dxa"/>
            <w:gridSpan w:val="2"/>
          </w:tcPr>
          <w:p>
            <w:pPr>
              <w:pStyle w:val="yTableNAm"/>
              <w:spacing w:before="0"/>
              <w:rPr>
                <w:sz w:val="12"/>
              </w:rPr>
            </w:pPr>
            <w:r>
              <w:rPr>
                <w:sz w:val="12"/>
              </w:rPr>
              <w:t>14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150</w:t>
            </w:r>
          </w:p>
        </w:tc>
        <w:tc>
          <w:tcPr>
            <w:tcW w:w="359" w:type="dxa"/>
          </w:tcPr>
          <w:p>
            <w:pPr>
              <w:pStyle w:val="yTableNAm"/>
              <w:spacing w:before="0"/>
              <w:rPr>
                <w:sz w:val="12"/>
              </w:rPr>
            </w:pPr>
            <w:r>
              <w:rPr>
                <w:sz w:val="12"/>
              </w:rPr>
              <w:t>210</w:t>
            </w:r>
          </w:p>
        </w:tc>
        <w:tc>
          <w:tcPr>
            <w:tcW w:w="358" w:type="dxa"/>
          </w:tcPr>
          <w:p>
            <w:pPr>
              <w:pStyle w:val="yTableNAm"/>
              <w:spacing w:before="0"/>
              <w:rPr>
                <w:sz w:val="12"/>
              </w:rPr>
            </w:pPr>
            <w:r>
              <w:rPr>
                <w:sz w:val="12"/>
              </w:rPr>
              <w:t>280</w:t>
            </w:r>
          </w:p>
        </w:tc>
        <w:tc>
          <w:tcPr>
            <w:tcW w:w="359" w:type="dxa"/>
          </w:tcPr>
          <w:p>
            <w:pPr>
              <w:pStyle w:val="yTableNAm"/>
              <w:spacing w:before="0"/>
              <w:rPr>
                <w:sz w:val="12"/>
              </w:rPr>
            </w:pPr>
            <w:r>
              <w:rPr>
                <w:sz w:val="12"/>
              </w:rPr>
              <w:t>360</w:t>
            </w:r>
          </w:p>
        </w:tc>
        <w:tc>
          <w:tcPr>
            <w:tcW w:w="358" w:type="dxa"/>
          </w:tcPr>
          <w:p>
            <w:pPr>
              <w:pStyle w:val="yTableNAm"/>
              <w:spacing w:before="0"/>
              <w:rPr>
                <w:sz w:val="12"/>
              </w:rPr>
            </w:pPr>
            <w:r>
              <w:rPr>
                <w:sz w:val="12"/>
              </w:rPr>
              <w:t>450</w:t>
            </w:r>
          </w:p>
        </w:tc>
        <w:tc>
          <w:tcPr>
            <w:tcW w:w="359" w:type="dxa"/>
          </w:tcPr>
          <w:p>
            <w:pPr>
              <w:pStyle w:val="yTableNAm"/>
              <w:spacing w:before="0"/>
              <w:rPr>
                <w:sz w:val="12"/>
              </w:rPr>
            </w:pPr>
            <w:r>
              <w:rPr>
                <w:sz w:val="12"/>
              </w:rPr>
              <w:t>550</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780</w:t>
            </w:r>
          </w:p>
        </w:tc>
        <w:tc>
          <w:tcPr>
            <w:tcW w:w="359" w:type="dxa"/>
            <w:gridSpan w:val="2"/>
          </w:tcPr>
          <w:p>
            <w:pPr>
              <w:pStyle w:val="yTableNAm"/>
              <w:spacing w:before="0"/>
              <w:rPr>
                <w:sz w:val="12"/>
              </w:rPr>
            </w:pPr>
            <w:r>
              <w:rPr>
                <w:sz w:val="12"/>
              </w:rPr>
              <w:t>910</w:t>
            </w:r>
          </w:p>
        </w:tc>
      </w:tr>
      <w:tr>
        <w:tblPrEx>
          <w:tblCellMar>
            <w:right w:w="0" w:type="dxa"/>
          </w:tblCellMar>
        </w:tblPrEx>
        <w:tc>
          <w:tcPr>
            <w:tcW w:w="993" w:type="dxa"/>
          </w:tcPr>
          <w:p>
            <w:pPr>
              <w:pStyle w:val="yTableNAm"/>
              <w:spacing w:before="0"/>
              <w:rPr>
                <w:sz w:val="12"/>
              </w:rPr>
            </w:pPr>
            <w:r>
              <w:rPr>
                <w:sz w:val="12"/>
              </w:rPr>
              <w:t>Five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5</w:t>
            </w:r>
          </w:p>
        </w:tc>
        <w:tc>
          <w:tcPr>
            <w:tcW w:w="359" w:type="dxa"/>
            <w:gridSpan w:val="2"/>
          </w:tcPr>
          <w:p>
            <w:pPr>
              <w:pStyle w:val="yTableNAm"/>
              <w:spacing w:before="0"/>
              <w:rPr>
                <w:sz w:val="12"/>
              </w:rPr>
            </w:pPr>
            <w:r>
              <w:rPr>
                <w:sz w:val="12"/>
              </w:rPr>
              <w:t>6</w:t>
            </w:r>
          </w:p>
        </w:tc>
        <w:tc>
          <w:tcPr>
            <w:tcW w:w="358" w:type="dxa"/>
          </w:tcPr>
          <w:p>
            <w:pPr>
              <w:pStyle w:val="yTableNAm"/>
              <w:spacing w:before="0"/>
              <w:rPr>
                <w:sz w:val="12"/>
              </w:rPr>
            </w:pPr>
            <w:r>
              <w:rPr>
                <w:sz w:val="12"/>
              </w:rPr>
              <w:t>7</w:t>
            </w:r>
          </w:p>
        </w:tc>
        <w:tc>
          <w:tcPr>
            <w:tcW w:w="359" w:type="dxa"/>
          </w:tcPr>
          <w:p>
            <w:pPr>
              <w:pStyle w:val="yTableNAm"/>
              <w:spacing w:before="0"/>
              <w:rPr>
                <w:sz w:val="12"/>
              </w:rPr>
            </w:pPr>
            <w:r>
              <w:rPr>
                <w:sz w:val="12"/>
              </w:rPr>
              <w:t>8</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11</w:t>
            </w:r>
          </w:p>
        </w:tc>
        <w:tc>
          <w:tcPr>
            <w:tcW w:w="359" w:type="dxa"/>
          </w:tcPr>
          <w:p>
            <w:pPr>
              <w:pStyle w:val="yTableNAm"/>
              <w:spacing w:before="0"/>
              <w:rPr>
                <w:sz w:val="12"/>
              </w:rPr>
            </w:pPr>
            <w:r>
              <w:rPr>
                <w:sz w:val="12"/>
              </w:rPr>
              <w:t>12</w:t>
            </w:r>
          </w:p>
        </w:tc>
        <w:tc>
          <w:tcPr>
            <w:tcW w:w="358" w:type="dxa"/>
          </w:tcPr>
          <w:p>
            <w:pPr>
              <w:pStyle w:val="yTableNAm"/>
              <w:spacing w:before="0"/>
              <w:rPr>
                <w:sz w:val="12"/>
              </w:rPr>
            </w:pPr>
            <w:r>
              <w:rPr>
                <w:sz w:val="12"/>
              </w:rPr>
              <w:t>13</w:t>
            </w:r>
          </w:p>
        </w:tc>
        <w:tc>
          <w:tcPr>
            <w:tcW w:w="359" w:type="dxa"/>
          </w:tcPr>
          <w:p>
            <w:pPr>
              <w:pStyle w:val="yTableNAm"/>
              <w:spacing w:before="0"/>
              <w:rPr>
                <w:sz w:val="12"/>
              </w:rPr>
            </w:pPr>
            <w:r>
              <w:rPr>
                <w:sz w:val="12"/>
              </w:rPr>
              <w:t>14</w:t>
            </w:r>
          </w:p>
        </w:tc>
        <w:tc>
          <w:tcPr>
            <w:tcW w:w="359" w:type="dxa"/>
            <w:gridSpan w:val="2"/>
          </w:tcPr>
          <w:p>
            <w:pPr>
              <w:pStyle w:val="yTableNAm"/>
              <w:spacing w:before="0"/>
              <w:rPr>
                <w:sz w:val="12"/>
              </w:rPr>
            </w:pPr>
            <w:r>
              <w:rPr>
                <w:sz w:val="12"/>
              </w:rPr>
              <w:t>15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15</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50</w:t>
            </w:r>
          </w:p>
        </w:tc>
        <w:tc>
          <w:tcPr>
            <w:tcW w:w="359" w:type="dxa"/>
            <w:gridSpan w:val="2"/>
          </w:tcPr>
          <w:p>
            <w:pPr>
              <w:pStyle w:val="yTableNAm"/>
              <w:spacing w:before="0"/>
              <w:rPr>
                <w:sz w:val="12"/>
              </w:rPr>
            </w:pPr>
            <w:r>
              <w:rPr>
                <w:sz w:val="12"/>
              </w:rPr>
              <w:t>75</w:t>
            </w:r>
          </w:p>
        </w:tc>
        <w:tc>
          <w:tcPr>
            <w:tcW w:w="358" w:type="dxa"/>
          </w:tcPr>
          <w:p>
            <w:pPr>
              <w:pStyle w:val="yTableNAm"/>
              <w:spacing w:before="0"/>
              <w:rPr>
                <w:sz w:val="12"/>
              </w:rPr>
            </w:pPr>
            <w:r>
              <w:rPr>
                <w:sz w:val="12"/>
              </w:rPr>
              <w:t>105</w:t>
            </w:r>
          </w:p>
        </w:tc>
        <w:tc>
          <w:tcPr>
            <w:tcW w:w="359" w:type="dxa"/>
          </w:tcPr>
          <w:p>
            <w:pPr>
              <w:pStyle w:val="yTableNAm"/>
              <w:spacing w:before="0"/>
              <w:rPr>
                <w:sz w:val="12"/>
              </w:rPr>
            </w:pPr>
            <w:r>
              <w:rPr>
                <w:sz w:val="12"/>
              </w:rPr>
              <w:t>140</w:t>
            </w:r>
          </w:p>
        </w:tc>
        <w:tc>
          <w:tcPr>
            <w:tcW w:w="358" w:type="dxa"/>
          </w:tcPr>
          <w:p>
            <w:pPr>
              <w:pStyle w:val="yTableNAm"/>
              <w:spacing w:before="0"/>
              <w:rPr>
                <w:sz w:val="12"/>
              </w:rPr>
            </w:pPr>
            <w:r>
              <w:rPr>
                <w:sz w:val="12"/>
              </w:rPr>
              <w:t>180</w:t>
            </w:r>
          </w:p>
        </w:tc>
        <w:tc>
          <w:tcPr>
            <w:tcW w:w="359" w:type="dxa"/>
          </w:tcPr>
          <w:p>
            <w:pPr>
              <w:pStyle w:val="yTableNAm"/>
              <w:spacing w:before="0"/>
              <w:rPr>
                <w:sz w:val="12"/>
              </w:rPr>
            </w:pPr>
            <w:r>
              <w:rPr>
                <w:sz w:val="12"/>
              </w:rPr>
              <w:t>225</w:t>
            </w:r>
          </w:p>
        </w:tc>
        <w:tc>
          <w:tcPr>
            <w:tcW w:w="358" w:type="dxa"/>
          </w:tcPr>
          <w:p>
            <w:pPr>
              <w:pStyle w:val="yTableNAm"/>
              <w:spacing w:before="0"/>
              <w:rPr>
                <w:sz w:val="12"/>
              </w:rPr>
            </w:pPr>
            <w:r>
              <w:rPr>
                <w:sz w:val="12"/>
              </w:rPr>
              <w:t>275</w:t>
            </w:r>
          </w:p>
        </w:tc>
        <w:tc>
          <w:tcPr>
            <w:tcW w:w="359" w:type="dxa"/>
          </w:tcPr>
          <w:p>
            <w:pPr>
              <w:pStyle w:val="yTableNAm"/>
              <w:spacing w:before="0"/>
              <w:rPr>
                <w:sz w:val="12"/>
              </w:rPr>
            </w:pPr>
            <w:r>
              <w:rPr>
                <w:sz w:val="12"/>
              </w:rPr>
              <w:t>330</w:t>
            </w:r>
          </w:p>
        </w:tc>
        <w:tc>
          <w:tcPr>
            <w:tcW w:w="358" w:type="dxa"/>
          </w:tcPr>
          <w:p>
            <w:pPr>
              <w:pStyle w:val="yTableNAm"/>
              <w:spacing w:before="0"/>
              <w:rPr>
                <w:sz w:val="12"/>
              </w:rPr>
            </w:pPr>
            <w:r>
              <w:rPr>
                <w:sz w:val="12"/>
              </w:rPr>
              <w:t>390</w:t>
            </w:r>
          </w:p>
        </w:tc>
        <w:tc>
          <w:tcPr>
            <w:tcW w:w="359" w:type="dxa"/>
          </w:tcPr>
          <w:p>
            <w:pPr>
              <w:pStyle w:val="yTableNAm"/>
              <w:spacing w:before="0"/>
              <w:rPr>
                <w:sz w:val="12"/>
              </w:rPr>
            </w:pPr>
            <w:r>
              <w:rPr>
                <w:sz w:val="12"/>
              </w:rPr>
              <w:t>455</w:t>
            </w:r>
          </w:p>
        </w:tc>
        <w:tc>
          <w:tcPr>
            <w:tcW w:w="359" w:type="dxa"/>
            <w:gridSpan w:val="2"/>
          </w:tcPr>
          <w:p>
            <w:pPr>
              <w:pStyle w:val="yTableNAm"/>
              <w:spacing w:before="0"/>
              <w:rPr>
                <w:sz w:val="12"/>
              </w:rPr>
            </w:pPr>
            <w:r>
              <w:rPr>
                <w:sz w:val="12"/>
              </w:rPr>
              <w:t>525</w:t>
            </w:r>
          </w:p>
        </w:tc>
      </w:tr>
      <w:tr>
        <w:tblPrEx>
          <w:tblCellMar>
            <w:right w:w="0" w:type="dxa"/>
          </w:tblCellMar>
        </w:tblPrEx>
        <w:tc>
          <w:tcPr>
            <w:tcW w:w="993" w:type="dxa"/>
          </w:tcPr>
          <w:p>
            <w:pPr>
              <w:pStyle w:val="yTableNAm"/>
              <w:spacing w:before="0"/>
              <w:rPr>
                <w:sz w:val="12"/>
              </w:rPr>
            </w:pPr>
            <w:r>
              <w:rPr>
                <w:sz w:val="12"/>
              </w:rPr>
              <w:t>Four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64</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196</w:t>
            </w:r>
          </w:p>
        </w:tc>
        <w:tc>
          <w:tcPr>
            <w:tcW w:w="358" w:type="dxa"/>
          </w:tcPr>
          <w:p>
            <w:pPr>
              <w:pStyle w:val="yTableNAm"/>
              <w:spacing w:before="0"/>
              <w:rPr>
                <w:sz w:val="12"/>
              </w:rPr>
            </w:pPr>
            <w:r>
              <w:rPr>
                <w:sz w:val="12"/>
              </w:rPr>
              <w:t>256</w:t>
            </w:r>
          </w:p>
        </w:tc>
        <w:tc>
          <w:tcPr>
            <w:tcW w:w="359" w:type="dxa"/>
          </w:tcPr>
          <w:p>
            <w:pPr>
              <w:pStyle w:val="yTableNAm"/>
              <w:spacing w:before="0"/>
              <w:rPr>
                <w:sz w:val="12"/>
              </w:rPr>
            </w:pPr>
            <w:r>
              <w:rPr>
                <w:sz w:val="12"/>
              </w:rPr>
              <w:t>324</w:t>
            </w:r>
          </w:p>
        </w:tc>
        <w:tc>
          <w:tcPr>
            <w:tcW w:w="358" w:type="dxa"/>
          </w:tcPr>
          <w:p>
            <w:pPr>
              <w:pStyle w:val="yTableNAm"/>
              <w:spacing w:before="0"/>
              <w:rPr>
                <w:sz w:val="12"/>
              </w:rPr>
            </w:pPr>
            <w:r>
              <w:rPr>
                <w:sz w:val="12"/>
              </w:rPr>
              <w:t>400</w:t>
            </w:r>
          </w:p>
        </w:tc>
        <w:tc>
          <w:tcPr>
            <w:tcW w:w="359" w:type="dxa"/>
          </w:tcPr>
          <w:p>
            <w:pPr>
              <w:pStyle w:val="yTableNAm"/>
              <w:spacing w:before="0"/>
              <w:rPr>
                <w:sz w:val="12"/>
              </w:rPr>
            </w:pPr>
            <w:r>
              <w:rPr>
                <w:sz w:val="12"/>
              </w:rPr>
              <w:t>484</w:t>
            </w:r>
          </w:p>
        </w:tc>
        <w:tc>
          <w:tcPr>
            <w:tcW w:w="358" w:type="dxa"/>
          </w:tcPr>
          <w:p>
            <w:pPr>
              <w:pStyle w:val="yTableNAm"/>
              <w:spacing w:before="0"/>
              <w:rPr>
                <w:sz w:val="12"/>
              </w:rPr>
            </w:pPr>
            <w:r>
              <w:rPr>
                <w:sz w:val="12"/>
              </w:rPr>
              <w:t>576</w:t>
            </w:r>
          </w:p>
        </w:tc>
        <w:tc>
          <w:tcPr>
            <w:tcW w:w="359" w:type="dxa"/>
          </w:tcPr>
          <w:p>
            <w:pPr>
              <w:pStyle w:val="yTableNAm"/>
              <w:spacing w:before="0"/>
              <w:rPr>
                <w:sz w:val="12"/>
              </w:rPr>
            </w:pPr>
            <w:r>
              <w:rPr>
                <w:sz w:val="12"/>
              </w:rPr>
              <w:t>676</w:t>
            </w:r>
          </w:p>
        </w:tc>
        <w:tc>
          <w:tcPr>
            <w:tcW w:w="359" w:type="dxa"/>
            <w:gridSpan w:val="2"/>
          </w:tcPr>
          <w:p>
            <w:pPr>
              <w:pStyle w:val="yTableNAm"/>
              <w:spacing w:before="0"/>
              <w:rPr>
                <w:sz w:val="12"/>
              </w:rPr>
            </w:pPr>
            <w:r>
              <w:rPr>
                <w:sz w:val="12"/>
              </w:rPr>
              <w:t>784</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22</w:t>
            </w:r>
          </w:p>
        </w:tc>
        <w:tc>
          <w:tcPr>
            <w:tcW w:w="358" w:type="dxa"/>
          </w:tcPr>
          <w:p>
            <w:pPr>
              <w:pStyle w:val="yTableNAm"/>
              <w:spacing w:before="0"/>
              <w:rPr>
                <w:sz w:val="12"/>
              </w:rPr>
            </w:pPr>
            <w:r>
              <w:rPr>
                <w:sz w:val="12"/>
              </w:rPr>
              <w:t>52</w:t>
            </w:r>
          </w:p>
        </w:tc>
        <w:tc>
          <w:tcPr>
            <w:tcW w:w="359" w:type="dxa"/>
            <w:gridSpan w:val="2"/>
          </w:tcPr>
          <w:p>
            <w:pPr>
              <w:pStyle w:val="yTableNAm"/>
              <w:spacing w:before="0"/>
              <w:rPr>
                <w:sz w:val="12"/>
              </w:rPr>
            </w:pPr>
            <w:r>
              <w:rPr>
                <w:sz w:val="12"/>
              </w:rPr>
              <w:t>100</w:t>
            </w:r>
          </w:p>
        </w:tc>
        <w:tc>
          <w:tcPr>
            <w:tcW w:w="358" w:type="dxa"/>
          </w:tcPr>
          <w:p>
            <w:pPr>
              <w:pStyle w:val="yTableNAm"/>
              <w:spacing w:before="0"/>
              <w:rPr>
                <w:sz w:val="12"/>
              </w:rPr>
            </w:pPr>
            <w:r>
              <w:rPr>
                <w:sz w:val="12"/>
              </w:rPr>
              <w:t>170</w:t>
            </w:r>
          </w:p>
        </w:tc>
        <w:tc>
          <w:tcPr>
            <w:tcW w:w="359" w:type="dxa"/>
          </w:tcPr>
          <w:p>
            <w:pPr>
              <w:pStyle w:val="yTableNAm"/>
              <w:spacing w:before="0"/>
              <w:rPr>
                <w:sz w:val="12"/>
              </w:rPr>
            </w:pPr>
            <w:r>
              <w:rPr>
                <w:sz w:val="12"/>
              </w:rPr>
              <w:t>266</w:t>
            </w:r>
          </w:p>
        </w:tc>
        <w:tc>
          <w:tcPr>
            <w:tcW w:w="358" w:type="dxa"/>
          </w:tcPr>
          <w:p>
            <w:pPr>
              <w:pStyle w:val="yTableNAm"/>
              <w:spacing w:before="0"/>
              <w:rPr>
                <w:sz w:val="12"/>
              </w:rPr>
            </w:pPr>
            <w:r>
              <w:rPr>
                <w:sz w:val="12"/>
              </w:rPr>
              <w:t>392</w:t>
            </w:r>
          </w:p>
        </w:tc>
        <w:tc>
          <w:tcPr>
            <w:tcW w:w="359" w:type="dxa"/>
          </w:tcPr>
          <w:p>
            <w:pPr>
              <w:pStyle w:val="yTableNAm"/>
              <w:spacing w:before="0"/>
              <w:rPr>
                <w:sz w:val="12"/>
              </w:rPr>
            </w:pPr>
            <w:r>
              <w:rPr>
                <w:sz w:val="12"/>
              </w:rPr>
              <w:t>552</w:t>
            </w:r>
          </w:p>
        </w:tc>
        <w:tc>
          <w:tcPr>
            <w:tcW w:w="358" w:type="dxa"/>
          </w:tcPr>
          <w:p>
            <w:pPr>
              <w:pStyle w:val="yTableNAm"/>
              <w:spacing w:before="0"/>
              <w:rPr>
                <w:sz w:val="12"/>
              </w:rPr>
            </w:pPr>
            <w:r>
              <w:rPr>
                <w:sz w:val="12"/>
              </w:rPr>
              <w:t>750</w:t>
            </w:r>
          </w:p>
        </w:tc>
        <w:tc>
          <w:tcPr>
            <w:tcW w:w="359" w:type="dxa"/>
          </w:tcPr>
          <w:p>
            <w:pPr>
              <w:pStyle w:val="yTableNAm"/>
              <w:spacing w:before="0"/>
              <w:rPr>
                <w:sz w:val="12"/>
              </w:rPr>
            </w:pPr>
            <w:r>
              <w:rPr>
                <w:sz w:val="12"/>
              </w:rPr>
              <w:t>990</w:t>
            </w:r>
          </w:p>
        </w:tc>
        <w:tc>
          <w:tcPr>
            <w:tcW w:w="358" w:type="dxa"/>
          </w:tcPr>
          <w:p>
            <w:pPr>
              <w:pStyle w:val="yTableNAm"/>
              <w:spacing w:before="0"/>
              <w:rPr>
                <w:sz w:val="12"/>
              </w:rPr>
            </w:pPr>
            <w:r>
              <w:rPr>
                <w:sz w:val="12"/>
              </w:rPr>
              <w:t>1276</w:t>
            </w:r>
          </w:p>
        </w:tc>
        <w:tc>
          <w:tcPr>
            <w:tcW w:w="359" w:type="dxa"/>
          </w:tcPr>
          <w:p>
            <w:pPr>
              <w:pStyle w:val="yTableNAm"/>
              <w:spacing w:before="0"/>
              <w:rPr>
                <w:sz w:val="12"/>
              </w:rPr>
            </w:pPr>
            <w:r>
              <w:rPr>
                <w:sz w:val="12"/>
              </w:rPr>
              <w:t>1612</w:t>
            </w:r>
          </w:p>
        </w:tc>
        <w:tc>
          <w:tcPr>
            <w:tcW w:w="359" w:type="dxa"/>
            <w:gridSpan w:val="2"/>
          </w:tcPr>
          <w:p>
            <w:pPr>
              <w:pStyle w:val="yTableNAm"/>
              <w:spacing w:before="0"/>
              <w:rPr>
                <w:sz w:val="12"/>
              </w:rPr>
            </w:pPr>
            <w:r>
              <w:rPr>
                <w:sz w:val="12"/>
              </w:rPr>
              <w:t>2002</w:t>
            </w:r>
          </w:p>
        </w:tc>
      </w:tr>
      <w:tr>
        <w:tblPrEx>
          <w:tblCellMar>
            <w:right w:w="0" w:type="dxa"/>
          </w:tblCellMar>
        </w:tblPrEx>
        <w:tc>
          <w:tcPr>
            <w:tcW w:w="993" w:type="dxa"/>
          </w:tcPr>
          <w:p>
            <w:pPr>
              <w:pStyle w:val="yTableNAm"/>
              <w:spacing w:before="0"/>
              <w:rPr>
                <w:sz w:val="12"/>
              </w:rPr>
            </w:pPr>
            <w:r>
              <w:rPr>
                <w:sz w:val="12"/>
              </w:rPr>
              <w:t>Four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24</w:t>
            </w:r>
          </w:p>
        </w:tc>
        <w:tc>
          <w:tcPr>
            <w:tcW w:w="358" w:type="dxa"/>
          </w:tcPr>
          <w:p>
            <w:pPr>
              <w:pStyle w:val="yTableNAm"/>
              <w:spacing w:before="0"/>
              <w:rPr>
                <w:sz w:val="12"/>
              </w:rPr>
            </w:pPr>
            <w:r>
              <w:rPr>
                <w:sz w:val="12"/>
              </w:rPr>
              <w:t>40</w:t>
            </w:r>
          </w:p>
        </w:tc>
        <w:tc>
          <w:tcPr>
            <w:tcW w:w="359" w:type="dxa"/>
            <w:gridSpan w:val="2"/>
          </w:tcPr>
          <w:p>
            <w:pPr>
              <w:pStyle w:val="yTableNAm"/>
              <w:spacing w:before="0"/>
              <w:rPr>
                <w:sz w:val="12"/>
              </w:rPr>
            </w:pPr>
            <w:r>
              <w:rPr>
                <w:sz w:val="12"/>
              </w:rPr>
              <w:t>60</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112</w:t>
            </w:r>
          </w:p>
        </w:tc>
        <w:tc>
          <w:tcPr>
            <w:tcW w:w="358" w:type="dxa"/>
          </w:tcPr>
          <w:p>
            <w:pPr>
              <w:pStyle w:val="yTableNAm"/>
              <w:spacing w:before="0"/>
              <w:rPr>
                <w:sz w:val="12"/>
              </w:rPr>
            </w:pPr>
            <w:r>
              <w:rPr>
                <w:sz w:val="12"/>
              </w:rPr>
              <w:t>144</w:t>
            </w:r>
          </w:p>
        </w:tc>
        <w:tc>
          <w:tcPr>
            <w:tcW w:w="359" w:type="dxa"/>
          </w:tcPr>
          <w:p>
            <w:pPr>
              <w:pStyle w:val="yTableNAm"/>
              <w:spacing w:before="0"/>
              <w:rPr>
                <w:sz w:val="12"/>
              </w:rPr>
            </w:pPr>
            <w:r>
              <w:rPr>
                <w:sz w:val="12"/>
              </w:rPr>
              <w:t>180</w:t>
            </w:r>
          </w:p>
        </w:tc>
        <w:tc>
          <w:tcPr>
            <w:tcW w:w="358" w:type="dxa"/>
          </w:tcPr>
          <w:p>
            <w:pPr>
              <w:pStyle w:val="yTableNAm"/>
              <w:spacing w:before="0"/>
              <w:rPr>
                <w:sz w:val="12"/>
              </w:rPr>
            </w:pPr>
            <w:r>
              <w:rPr>
                <w:sz w:val="12"/>
              </w:rPr>
              <w:t>220</w:t>
            </w:r>
          </w:p>
        </w:tc>
        <w:tc>
          <w:tcPr>
            <w:tcW w:w="359" w:type="dxa"/>
          </w:tcPr>
          <w:p>
            <w:pPr>
              <w:pStyle w:val="yTableNAm"/>
              <w:spacing w:before="0"/>
              <w:rPr>
                <w:sz w:val="12"/>
              </w:rPr>
            </w:pPr>
            <w:r>
              <w:rPr>
                <w:sz w:val="12"/>
              </w:rPr>
              <w:t>264</w:t>
            </w:r>
          </w:p>
        </w:tc>
        <w:tc>
          <w:tcPr>
            <w:tcW w:w="358" w:type="dxa"/>
          </w:tcPr>
          <w:p>
            <w:pPr>
              <w:pStyle w:val="yTableNAm"/>
              <w:spacing w:before="0"/>
              <w:rPr>
                <w:sz w:val="12"/>
              </w:rPr>
            </w:pPr>
            <w:r>
              <w:rPr>
                <w:sz w:val="12"/>
              </w:rPr>
              <w:t>312</w:t>
            </w:r>
          </w:p>
        </w:tc>
        <w:tc>
          <w:tcPr>
            <w:tcW w:w="359" w:type="dxa"/>
          </w:tcPr>
          <w:p>
            <w:pPr>
              <w:pStyle w:val="yTableNAm"/>
              <w:spacing w:before="0"/>
              <w:rPr>
                <w:sz w:val="12"/>
              </w:rPr>
            </w:pPr>
            <w:r>
              <w:rPr>
                <w:sz w:val="12"/>
              </w:rPr>
              <w:t>364</w:t>
            </w:r>
          </w:p>
        </w:tc>
        <w:tc>
          <w:tcPr>
            <w:tcW w:w="359" w:type="dxa"/>
            <w:gridSpan w:val="2"/>
          </w:tcPr>
          <w:p>
            <w:pPr>
              <w:pStyle w:val="yTableNAm"/>
              <w:spacing w:before="0"/>
              <w:rPr>
                <w:sz w:val="12"/>
              </w:rPr>
            </w:pPr>
            <w:r>
              <w:rPr>
                <w:sz w:val="12"/>
              </w:rPr>
              <w:t>420</w:t>
            </w:r>
          </w:p>
        </w:tc>
      </w:tr>
      <w:tr>
        <w:tblPrEx>
          <w:tblCellMar>
            <w:right w:w="0" w:type="dxa"/>
          </w:tblCellMar>
        </w:tblPrEx>
        <w:tc>
          <w:tcPr>
            <w:tcW w:w="993" w:type="dxa"/>
          </w:tcPr>
          <w:p>
            <w:pPr>
              <w:pStyle w:val="yTableNAm"/>
              <w:spacing w:before="0"/>
              <w:rPr>
                <w:sz w:val="12"/>
              </w:rPr>
            </w:pPr>
            <w:r>
              <w:rPr>
                <w:sz w:val="12"/>
              </w:rPr>
              <w:t>Four</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2</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38</w:t>
            </w:r>
          </w:p>
        </w:tc>
        <w:tc>
          <w:tcPr>
            <w:tcW w:w="358" w:type="dxa"/>
          </w:tcPr>
          <w:p>
            <w:pPr>
              <w:pStyle w:val="yTableNAm"/>
              <w:spacing w:before="0"/>
              <w:rPr>
                <w:sz w:val="12"/>
              </w:rPr>
            </w:pPr>
            <w:r>
              <w:rPr>
                <w:sz w:val="12"/>
              </w:rPr>
              <w:t>741</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9</w:t>
            </w:r>
          </w:p>
        </w:tc>
        <w:tc>
          <w:tcPr>
            <w:tcW w:w="359" w:type="dxa"/>
          </w:tcPr>
          <w:p>
            <w:pPr>
              <w:pStyle w:val="yTableNAm"/>
              <w:spacing w:before="0"/>
              <w:rPr>
                <w:sz w:val="12"/>
              </w:rPr>
            </w:pPr>
            <w:r>
              <w:rPr>
                <w:sz w:val="12"/>
              </w:rPr>
              <w:t>16</w:t>
            </w:r>
          </w:p>
        </w:tc>
        <w:tc>
          <w:tcPr>
            <w:tcW w:w="358" w:type="dxa"/>
          </w:tcPr>
          <w:p>
            <w:pPr>
              <w:pStyle w:val="yTableNAm"/>
              <w:spacing w:before="0"/>
              <w:rPr>
                <w:sz w:val="12"/>
              </w:rPr>
            </w:pPr>
            <w:r>
              <w:rPr>
                <w:sz w:val="12"/>
              </w:rPr>
              <w:t>25</w:t>
            </w:r>
          </w:p>
        </w:tc>
        <w:tc>
          <w:tcPr>
            <w:tcW w:w="359" w:type="dxa"/>
            <w:gridSpan w:val="2"/>
          </w:tcPr>
          <w:p>
            <w:pPr>
              <w:pStyle w:val="yTableNAm"/>
              <w:spacing w:before="0"/>
              <w:rPr>
                <w:sz w:val="12"/>
              </w:rPr>
            </w:pPr>
            <w:r>
              <w:rPr>
                <w:sz w:val="12"/>
              </w:rPr>
              <w:t>36</w:t>
            </w:r>
          </w:p>
        </w:tc>
        <w:tc>
          <w:tcPr>
            <w:tcW w:w="358" w:type="dxa"/>
          </w:tcPr>
          <w:p>
            <w:pPr>
              <w:pStyle w:val="yTableNAm"/>
              <w:spacing w:before="0"/>
              <w:rPr>
                <w:sz w:val="12"/>
              </w:rPr>
            </w:pPr>
            <w:r>
              <w:rPr>
                <w:sz w:val="12"/>
              </w:rPr>
              <w:t>49</w:t>
            </w:r>
          </w:p>
        </w:tc>
        <w:tc>
          <w:tcPr>
            <w:tcW w:w="359" w:type="dxa"/>
          </w:tcPr>
          <w:p>
            <w:pPr>
              <w:pStyle w:val="yTableNAm"/>
              <w:spacing w:before="0"/>
              <w:rPr>
                <w:sz w:val="12"/>
              </w:rPr>
            </w:pPr>
            <w:r>
              <w:rPr>
                <w:sz w:val="12"/>
              </w:rPr>
              <w:t>64</w:t>
            </w:r>
          </w:p>
        </w:tc>
        <w:tc>
          <w:tcPr>
            <w:tcW w:w="358" w:type="dxa"/>
          </w:tcPr>
          <w:p>
            <w:pPr>
              <w:pStyle w:val="yTableNAm"/>
              <w:spacing w:before="0"/>
              <w:rPr>
                <w:sz w:val="12"/>
              </w:rPr>
            </w:pPr>
            <w:r>
              <w:rPr>
                <w:sz w:val="12"/>
              </w:rPr>
              <w:t>81</w:t>
            </w:r>
          </w:p>
        </w:tc>
        <w:tc>
          <w:tcPr>
            <w:tcW w:w="359" w:type="dxa"/>
          </w:tcPr>
          <w:p>
            <w:pPr>
              <w:pStyle w:val="yTableNAm"/>
              <w:spacing w:before="0"/>
              <w:rPr>
                <w:sz w:val="12"/>
              </w:rPr>
            </w:pPr>
            <w:r>
              <w:rPr>
                <w:sz w:val="12"/>
              </w:rPr>
              <w:t>100</w:t>
            </w:r>
          </w:p>
        </w:tc>
        <w:tc>
          <w:tcPr>
            <w:tcW w:w="358" w:type="dxa"/>
          </w:tcPr>
          <w:p>
            <w:pPr>
              <w:pStyle w:val="yTableNAm"/>
              <w:spacing w:before="0"/>
              <w:rPr>
                <w:sz w:val="12"/>
              </w:rPr>
            </w:pPr>
            <w:r>
              <w:rPr>
                <w:sz w:val="12"/>
              </w:rPr>
              <w:t>121</w:t>
            </w:r>
          </w:p>
        </w:tc>
        <w:tc>
          <w:tcPr>
            <w:tcW w:w="359" w:type="dxa"/>
          </w:tcPr>
          <w:p>
            <w:pPr>
              <w:pStyle w:val="yTableNAm"/>
              <w:spacing w:before="0"/>
              <w:rPr>
                <w:sz w:val="12"/>
              </w:rPr>
            </w:pPr>
            <w:r>
              <w:rPr>
                <w:sz w:val="12"/>
              </w:rPr>
              <w:t>144</w:t>
            </w:r>
          </w:p>
        </w:tc>
        <w:tc>
          <w:tcPr>
            <w:tcW w:w="358" w:type="dxa"/>
          </w:tcPr>
          <w:p>
            <w:pPr>
              <w:pStyle w:val="yTableNAm"/>
              <w:spacing w:before="0"/>
              <w:rPr>
                <w:sz w:val="12"/>
              </w:rPr>
            </w:pPr>
            <w:r>
              <w:rPr>
                <w:sz w:val="12"/>
              </w:rPr>
              <w:t>169</w:t>
            </w:r>
          </w:p>
        </w:tc>
        <w:tc>
          <w:tcPr>
            <w:tcW w:w="359" w:type="dxa"/>
          </w:tcPr>
          <w:p>
            <w:pPr>
              <w:pStyle w:val="yTableNAm"/>
              <w:spacing w:before="0"/>
              <w:rPr>
                <w:sz w:val="12"/>
              </w:rPr>
            </w:pPr>
            <w:r>
              <w:rPr>
                <w:sz w:val="12"/>
              </w:rPr>
              <w:t>196</w:t>
            </w:r>
          </w:p>
        </w:tc>
        <w:tc>
          <w:tcPr>
            <w:tcW w:w="359" w:type="dxa"/>
            <w:gridSpan w:val="2"/>
          </w:tcPr>
          <w:p>
            <w:pPr>
              <w:pStyle w:val="yTableNAm"/>
              <w:spacing w:before="0"/>
              <w:rPr>
                <w:sz w:val="12"/>
              </w:rPr>
            </w:pPr>
            <w:r>
              <w:rPr>
                <w:sz w:val="12"/>
              </w:rPr>
              <w:t>225</w:t>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12</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60</w:t>
            </w:r>
          </w:p>
        </w:tc>
        <w:tc>
          <w:tcPr>
            <w:tcW w:w="359" w:type="dxa"/>
            <w:gridSpan w:val="2"/>
          </w:tcPr>
          <w:p>
            <w:pPr>
              <w:pStyle w:val="yTableNAm"/>
              <w:spacing w:before="0"/>
              <w:rPr>
                <w:sz w:val="12"/>
              </w:rPr>
            </w:pPr>
            <w:r>
              <w:rPr>
                <w:sz w:val="12"/>
              </w:rPr>
              <w:t>105</w:t>
            </w:r>
          </w:p>
        </w:tc>
        <w:tc>
          <w:tcPr>
            <w:tcW w:w="358" w:type="dxa"/>
          </w:tcPr>
          <w:p>
            <w:pPr>
              <w:pStyle w:val="yTableNAm"/>
              <w:spacing w:before="0"/>
              <w:rPr>
                <w:sz w:val="12"/>
              </w:rPr>
            </w:pPr>
            <w:r>
              <w:rPr>
                <w:sz w:val="12"/>
              </w:rPr>
              <w:t>168</w:t>
            </w:r>
          </w:p>
        </w:tc>
        <w:tc>
          <w:tcPr>
            <w:tcW w:w="359" w:type="dxa"/>
          </w:tcPr>
          <w:p>
            <w:pPr>
              <w:pStyle w:val="yTableNAm"/>
              <w:spacing w:before="0"/>
              <w:rPr>
                <w:sz w:val="12"/>
              </w:rPr>
            </w:pPr>
            <w:r>
              <w:rPr>
                <w:sz w:val="12"/>
              </w:rPr>
              <w:t>252</w:t>
            </w:r>
          </w:p>
        </w:tc>
        <w:tc>
          <w:tcPr>
            <w:tcW w:w="358" w:type="dxa"/>
          </w:tcPr>
          <w:p>
            <w:pPr>
              <w:pStyle w:val="yTableNAm"/>
              <w:spacing w:before="0"/>
              <w:rPr>
                <w:sz w:val="12"/>
              </w:rPr>
            </w:pPr>
            <w:r>
              <w:rPr>
                <w:sz w:val="12"/>
              </w:rPr>
              <w:t>360</w:t>
            </w:r>
          </w:p>
        </w:tc>
        <w:tc>
          <w:tcPr>
            <w:tcW w:w="359" w:type="dxa"/>
          </w:tcPr>
          <w:p>
            <w:pPr>
              <w:pStyle w:val="yTableNAm"/>
              <w:spacing w:before="0"/>
              <w:rPr>
                <w:sz w:val="12"/>
              </w:rPr>
            </w:pPr>
            <w:r>
              <w:rPr>
                <w:sz w:val="12"/>
              </w:rPr>
              <w:t>495</w:t>
            </w:r>
          </w:p>
        </w:tc>
        <w:tc>
          <w:tcPr>
            <w:tcW w:w="358" w:type="dxa"/>
          </w:tcPr>
          <w:p>
            <w:pPr>
              <w:pStyle w:val="yTableNAm"/>
              <w:spacing w:before="0"/>
              <w:rPr>
                <w:sz w:val="12"/>
              </w:rPr>
            </w:pPr>
            <w:r>
              <w:rPr>
                <w:sz w:val="12"/>
              </w:rPr>
              <w:t>660</w:t>
            </w:r>
          </w:p>
        </w:tc>
        <w:tc>
          <w:tcPr>
            <w:tcW w:w="359" w:type="dxa"/>
          </w:tcPr>
          <w:p>
            <w:pPr>
              <w:pStyle w:val="yTableNAm"/>
              <w:spacing w:before="0"/>
              <w:rPr>
                <w:sz w:val="12"/>
              </w:rPr>
            </w:pPr>
            <w:r>
              <w:rPr>
                <w:sz w:val="12"/>
              </w:rPr>
              <w:t>858</w:t>
            </w:r>
          </w:p>
        </w:tc>
        <w:tc>
          <w:tcPr>
            <w:tcW w:w="358" w:type="dxa"/>
          </w:tcPr>
          <w:p>
            <w:pPr>
              <w:pStyle w:val="yTableNAm"/>
              <w:spacing w:before="0"/>
              <w:rPr>
                <w:sz w:val="12"/>
              </w:rPr>
            </w:pPr>
            <w:r>
              <w:rPr>
                <w:sz w:val="12"/>
              </w:rPr>
              <w:t>1092</w:t>
            </w:r>
          </w:p>
        </w:tc>
        <w:tc>
          <w:tcPr>
            <w:tcW w:w="359" w:type="dxa"/>
          </w:tcPr>
          <w:p>
            <w:pPr>
              <w:pStyle w:val="yTableNAm"/>
              <w:spacing w:before="0"/>
              <w:rPr>
                <w:sz w:val="12"/>
              </w:rPr>
            </w:pPr>
            <w:r>
              <w:rPr>
                <w:sz w:val="12"/>
              </w:rPr>
              <w:t>1365</w:t>
            </w:r>
          </w:p>
        </w:tc>
        <w:tc>
          <w:tcPr>
            <w:tcW w:w="359" w:type="dxa"/>
            <w:gridSpan w:val="2"/>
          </w:tcPr>
          <w:p>
            <w:pPr>
              <w:pStyle w:val="yTableNAm"/>
              <w:spacing w:before="0"/>
              <w:rPr>
                <w:sz w:val="12"/>
              </w:rPr>
            </w:pPr>
            <w:r>
              <w:rPr>
                <w:sz w:val="12"/>
              </w:rPr>
              <w:t>1680</w:t>
            </w:r>
          </w:p>
        </w:tc>
      </w:tr>
      <w:tr>
        <w:tblPrEx>
          <w:tblCellMar>
            <w:right w:w="0" w:type="dxa"/>
          </w:tblCellMar>
        </w:tblPrEx>
        <w:tc>
          <w:tcPr>
            <w:tcW w:w="993" w:type="dxa"/>
          </w:tcPr>
          <w:p>
            <w:pPr>
              <w:pStyle w:val="yTableNAm"/>
              <w:keepNext/>
              <w:spacing w:before="0"/>
              <w:rPr>
                <w:sz w:val="12"/>
              </w:rPr>
            </w:pPr>
            <w:r>
              <w:rPr>
                <w:sz w:val="12"/>
              </w:rPr>
              <w:t>Three and one supplementary</w:t>
            </w: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gridSpan w:val="2"/>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8" w:type="dxa"/>
          </w:tcPr>
          <w:p>
            <w:pPr>
              <w:pStyle w:val="yTableNAm"/>
              <w:keepNext/>
              <w:spacing w:before="0"/>
              <w:rPr>
                <w:sz w:val="12"/>
              </w:rPr>
            </w:pPr>
          </w:p>
        </w:tc>
        <w:tc>
          <w:tcPr>
            <w:tcW w:w="359" w:type="dxa"/>
          </w:tcPr>
          <w:p>
            <w:pPr>
              <w:pStyle w:val="yTableNAm"/>
              <w:keepNext/>
              <w:spacing w:before="0"/>
              <w:rPr>
                <w:sz w:val="12"/>
              </w:rPr>
            </w:pPr>
          </w:p>
        </w:tc>
        <w:tc>
          <w:tcPr>
            <w:tcW w:w="359" w:type="dxa"/>
            <w:gridSpan w:val="2"/>
          </w:tcPr>
          <w:p>
            <w:pPr>
              <w:pStyle w:val="yTableNAm"/>
              <w:keepNext/>
              <w:spacing w:before="0"/>
              <w:rPr>
                <w:sz w:val="12"/>
              </w:rPr>
            </w:pP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2</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t>3</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keepNext/>
              <w:spacing w:before="0"/>
              <w:rPr>
                <w:sz w:val="12"/>
              </w:rPr>
            </w:pPr>
          </w:p>
        </w:tc>
        <w:tc>
          <w:tcPr>
            <w:tcW w:w="358" w:type="dxa"/>
          </w:tcPr>
          <w:p>
            <w:pPr>
              <w:pStyle w:val="yTableNAm"/>
              <w:keepNext/>
              <w:spacing w:before="0"/>
              <w:rPr>
                <w:sz w:val="12"/>
              </w:rPr>
            </w:pPr>
            <w:r>
              <w:rPr>
                <w:sz w:val="12"/>
              </w:rPr>
              <w:t>4</w:t>
            </w:r>
          </w:p>
        </w:tc>
        <w:tc>
          <w:tcPr>
            <w:tcW w:w="359" w:type="dxa"/>
          </w:tcPr>
          <w:p>
            <w:pPr>
              <w:pStyle w:val="yTableNAm"/>
              <w:keepNext/>
              <w:spacing w:before="0"/>
              <w:rPr>
                <w:sz w:val="12"/>
              </w:rPr>
            </w:pPr>
            <w:r>
              <w:rPr>
                <w:sz w:val="12"/>
              </w:rPr>
              <w:t>3</w:t>
            </w:r>
          </w:p>
        </w:tc>
        <w:tc>
          <w:tcPr>
            <w:tcW w:w="358" w:type="dxa"/>
          </w:tcPr>
          <w:p>
            <w:pPr>
              <w:pStyle w:val="yTableNAm"/>
              <w:keepNext/>
              <w:spacing w:before="0"/>
              <w:rPr>
                <w:sz w:val="12"/>
              </w:rPr>
            </w:pPr>
            <w:r>
              <w:rPr>
                <w:sz w:val="12"/>
              </w:rPr>
              <w:t>114</w:t>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8" w:type="dxa"/>
          </w:tcPr>
          <w:p>
            <w:pPr>
              <w:pStyle w:val="yTableNAm"/>
              <w:keepNext/>
              <w:spacing w:before="0"/>
              <w:rPr>
                <w:sz w:val="12"/>
              </w:rPr>
            </w:pPr>
            <w:r>
              <w:rPr>
                <w:sz w:val="12"/>
              </w:rPr>
              <w:noBreakHyphen/>
            </w:r>
          </w:p>
        </w:tc>
        <w:tc>
          <w:tcPr>
            <w:tcW w:w="359" w:type="dxa"/>
          </w:tcPr>
          <w:p>
            <w:pPr>
              <w:pStyle w:val="yTableNAm"/>
              <w:keepNext/>
              <w:spacing w:before="0"/>
              <w:rPr>
                <w:sz w:val="12"/>
              </w:rPr>
            </w:pPr>
            <w:r>
              <w:rPr>
                <w:sz w:val="12"/>
              </w:rPr>
              <w:noBreakHyphen/>
            </w:r>
          </w:p>
        </w:tc>
        <w:tc>
          <w:tcPr>
            <w:tcW w:w="359" w:type="dxa"/>
            <w:gridSpan w:val="2"/>
          </w:tcPr>
          <w:p>
            <w:pPr>
              <w:pStyle w:val="yTableNAm"/>
              <w:keepNext/>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37</w:t>
            </w:r>
          </w:p>
        </w:tc>
        <w:tc>
          <w:tcPr>
            <w:tcW w:w="358" w:type="dxa"/>
          </w:tcPr>
          <w:p>
            <w:pPr>
              <w:pStyle w:val="yTableNAm"/>
              <w:spacing w:before="0"/>
              <w:rPr>
                <w:sz w:val="12"/>
              </w:rPr>
            </w:pPr>
            <w:r>
              <w:rPr>
                <w:sz w:val="12"/>
              </w:rPr>
              <w:t>703</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10</w:t>
            </w:r>
          </w:p>
        </w:tc>
        <w:tc>
          <w:tcPr>
            <w:tcW w:w="358" w:type="dxa"/>
          </w:tcPr>
          <w:p>
            <w:pPr>
              <w:pStyle w:val="yTableNAm"/>
              <w:spacing w:before="0"/>
              <w:rPr>
                <w:sz w:val="12"/>
              </w:rPr>
            </w:pPr>
            <w:r>
              <w:rPr>
                <w:sz w:val="12"/>
              </w:rPr>
              <w:t>15</w:t>
            </w:r>
          </w:p>
        </w:tc>
        <w:tc>
          <w:tcPr>
            <w:tcW w:w="359" w:type="dxa"/>
            <w:gridSpan w:val="2"/>
          </w:tcPr>
          <w:p>
            <w:pPr>
              <w:pStyle w:val="yTableNAm"/>
              <w:spacing w:before="0"/>
              <w:rPr>
                <w:sz w:val="12"/>
              </w:rPr>
            </w:pPr>
            <w:r>
              <w:rPr>
                <w:sz w:val="12"/>
              </w:rPr>
              <w:t>21</w:t>
            </w:r>
          </w:p>
        </w:tc>
        <w:tc>
          <w:tcPr>
            <w:tcW w:w="358" w:type="dxa"/>
          </w:tcPr>
          <w:p>
            <w:pPr>
              <w:pStyle w:val="yTableNAm"/>
              <w:spacing w:before="0"/>
              <w:rPr>
                <w:sz w:val="12"/>
              </w:rPr>
            </w:pPr>
            <w:r>
              <w:rPr>
                <w:sz w:val="12"/>
              </w:rPr>
              <w:t>28</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45</w:t>
            </w:r>
          </w:p>
        </w:tc>
        <w:tc>
          <w:tcPr>
            <w:tcW w:w="359" w:type="dxa"/>
          </w:tcPr>
          <w:p>
            <w:pPr>
              <w:pStyle w:val="yTableNAm"/>
              <w:spacing w:before="0"/>
              <w:rPr>
                <w:sz w:val="12"/>
              </w:rPr>
            </w:pPr>
            <w:r>
              <w:rPr>
                <w:sz w:val="12"/>
              </w:rPr>
              <w:t>55</w:t>
            </w:r>
          </w:p>
        </w:tc>
        <w:tc>
          <w:tcPr>
            <w:tcW w:w="358" w:type="dxa"/>
          </w:tcPr>
          <w:p>
            <w:pPr>
              <w:pStyle w:val="yTableNAm"/>
              <w:spacing w:before="0"/>
              <w:rPr>
                <w:sz w:val="12"/>
              </w:rPr>
            </w:pPr>
            <w:r>
              <w:rPr>
                <w:sz w:val="12"/>
              </w:rPr>
              <w:t>66</w:t>
            </w:r>
          </w:p>
        </w:tc>
        <w:tc>
          <w:tcPr>
            <w:tcW w:w="359" w:type="dxa"/>
          </w:tcPr>
          <w:p>
            <w:pPr>
              <w:pStyle w:val="yTableNAm"/>
              <w:spacing w:before="0"/>
              <w:rPr>
                <w:sz w:val="12"/>
              </w:rPr>
            </w:pPr>
            <w:r>
              <w:rPr>
                <w:sz w:val="12"/>
              </w:rPr>
              <w:t>78</w:t>
            </w:r>
          </w:p>
        </w:tc>
        <w:tc>
          <w:tcPr>
            <w:tcW w:w="358" w:type="dxa"/>
          </w:tcPr>
          <w:p>
            <w:pPr>
              <w:pStyle w:val="yTableNAm"/>
              <w:spacing w:before="0"/>
              <w:rPr>
                <w:sz w:val="12"/>
              </w:rPr>
            </w:pPr>
            <w:r>
              <w:rPr>
                <w:sz w:val="12"/>
              </w:rPr>
              <w:t>91</w:t>
            </w:r>
          </w:p>
        </w:tc>
        <w:tc>
          <w:tcPr>
            <w:tcW w:w="359" w:type="dxa"/>
          </w:tcPr>
          <w:p>
            <w:pPr>
              <w:pStyle w:val="yTableNAm"/>
              <w:spacing w:before="0"/>
              <w:rPr>
                <w:sz w:val="12"/>
              </w:rPr>
            </w:pPr>
            <w:r>
              <w:rPr>
                <w:sz w:val="12"/>
              </w:rPr>
              <w:t>105</w:t>
            </w:r>
          </w:p>
        </w:tc>
        <w:tc>
          <w:tcPr>
            <w:tcW w:w="359" w:type="dxa"/>
            <w:gridSpan w:val="2"/>
          </w:tcPr>
          <w:p>
            <w:pPr>
              <w:pStyle w:val="yTableNAm"/>
              <w:spacing w:before="0"/>
              <w:rPr>
                <w:sz w:val="12"/>
              </w:rPr>
            </w:pPr>
            <w:r>
              <w:rPr>
                <w:sz w:val="12"/>
              </w:rPr>
              <w:t>120</w:t>
            </w:r>
          </w:p>
        </w:tc>
      </w:tr>
      <w:tr>
        <w:tblPrEx>
          <w:tblCellMar>
            <w:right w:w="0" w:type="dxa"/>
          </w:tblCellMar>
        </w:tblPrEx>
        <w:tc>
          <w:tcPr>
            <w:tcW w:w="993" w:type="dxa"/>
          </w:tcPr>
          <w:p>
            <w:pPr>
              <w:pStyle w:val="yTableNAm"/>
              <w:spacing w:before="0"/>
              <w:rPr>
                <w:sz w:val="12"/>
              </w:rPr>
            </w:pPr>
            <w:r>
              <w:rPr>
                <w:sz w:val="12"/>
              </w:rPr>
              <w:t>Three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t>3</w:t>
            </w:r>
          </w:p>
        </w:tc>
        <w:tc>
          <w:tcPr>
            <w:tcW w:w="358" w:type="dxa"/>
          </w:tcPr>
          <w:p>
            <w:pPr>
              <w:pStyle w:val="yTableNAm"/>
              <w:spacing w:before="0"/>
              <w:rPr>
                <w:sz w:val="12"/>
              </w:rPr>
            </w:pPr>
            <w:r>
              <w:rPr>
                <w:sz w:val="12"/>
              </w:rPr>
              <w:t>114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2</w:t>
            </w:r>
          </w:p>
        </w:tc>
        <w:tc>
          <w:tcPr>
            <w:tcW w:w="358" w:type="dxa"/>
          </w:tcPr>
          <w:p>
            <w:pPr>
              <w:pStyle w:val="yTableNAm"/>
              <w:spacing w:before="0"/>
              <w:rPr>
                <w:sz w:val="12"/>
              </w:rPr>
            </w:pPr>
            <w:r>
              <w:rPr>
                <w:sz w:val="12"/>
              </w:rPr>
              <w:t>73</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36</w:t>
            </w:r>
          </w:p>
        </w:tc>
        <w:tc>
          <w:tcPr>
            <w:tcW w:w="358" w:type="dxa"/>
          </w:tcPr>
          <w:p>
            <w:pPr>
              <w:pStyle w:val="yTableNAm"/>
              <w:spacing w:before="0"/>
              <w:rPr>
                <w:sz w:val="12"/>
              </w:rPr>
            </w:pPr>
            <w:r>
              <w:rPr>
                <w:sz w:val="12"/>
              </w:rPr>
              <w:t>666</w:t>
            </w:r>
          </w:p>
        </w:tc>
        <w:tc>
          <w:tcPr>
            <w:tcW w:w="359" w:type="dxa"/>
          </w:tcPr>
          <w:p>
            <w:pPr>
              <w:pStyle w:val="yTableNAm"/>
              <w:spacing w:before="0"/>
              <w:rPr>
                <w:sz w:val="12"/>
              </w:rPr>
            </w:pPr>
            <w:r>
              <w:rPr>
                <w:sz w:val="12"/>
              </w:rPr>
              <w:t>5</w:t>
            </w:r>
          </w:p>
        </w:tc>
        <w:tc>
          <w:tcPr>
            <w:tcW w:w="358" w:type="dxa"/>
          </w:tcPr>
          <w:p>
            <w:pPr>
              <w:pStyle w:val="yTableNAm"/>
              <w:spacing w:before="0"/>
              <w:rPr>
                <w:sz w:val="12"/>
              </w:rPr>
            </w:pPr>
            <w:r>
              <w:rPr>
                <w:sz w:val="12"/>
              </w:rPr>
              <w:t>14</w:t>
            </w:r>
          </w:p>
        </w:tc>
        <w:tc>
          <w:tcPr>
            <w:tcW w:w="359" w:type="dxa"/>
          </w:tcPr>
          <w:p>
            <w:pPr>
              <w:pStyle w:val="yTableNAm"/>
              <w:spacing w:before="0"/>
              <w:rPr>
                <w:sz w:val="12"/>
              </w:rPr>
            </w:pPr>
            <w:r>
              <w:rPr>
                <w:sz w:val="12"/>
              </w:rPr>
              <w:t>30</w:t>
            </w:r>
          </w:p>
        </w:tc>
        <w:tc>
          <w:tcPr>
            <w:tcW w:w="358" w:type="dxa"/>
          </w:tcPr>
          <w:p>
            <w:pPr>
              <w:pStyle w:val="yTableNAm"/>
              <w:spacing w:before="0"/>
              <w:rPr>
                <w:sz w:val="12"/>
              </w:rPr>
            </w:pPr>
            <w:r>
              <w:rPr>
                <w:sz w:val="12"/>
              </w:rPr>
              <w:t>55</w:t>
            </w:r>
          </w:p>
        </w:tc>
        <w:tc>
          <w:tcPr>
            <w:tcW w:w="359" w:type="dxa"/>
            <w:gridSpan w:val="2"/>
          </w:tcPr>
          <w:p>
            <w:pPr>
              <w:pStyle w:val="yTableNAm"/>
              <w:spacing w:before="0"/>
              <w:rPr>
                <w:sz w:val="12"/>
              </w:rPr>
            </w:pPr>
            <w:r>
              <w:rPr>
                <w:sz w:val="12"/>
              </w:rPr>
              <w:t>91</w:t>
            </w:r>
          </w:p>
        </w:tc>
        <w:tc>
          <w:tcPr>
            <w:tcW w:w="358" w:type="dxa"/>
          </w:tcPr>
          <w:p>
            <w:pPr>
              <w:pStyle w:val="yTableNAm"/>
              <w:spacing w:before="0"/>
              <w:rPr>
                <w:sz w:val="12"/>
              </w:rPr>
            </w:pPr>
            <w:r>
              <w:rPr>
                <w:sz w:val="12"/>
              </w:rPr>
              <w:t>140</w:t>
            </w:r>
          </w:p>
        </w:tc>
        <w:tc>
          <w:tcPr>
            <w:tcW w:w="359" w:type="dxa"/>
          </w:tcPr>
          <w:p>
            <w:pPr>
              <w:pStyle w:val="yTableNAm"/>
              <w:spacing w:before="0"/>
              <w:rPr>
                <w:sz w:val="12"/>
              </w:rPr>
            </w:pPr>
            <w:r>
              <w:rPr>
                <w:sz w:val="12"/>
              </w:rPr>
              <w:t>204</w:t>
            </w:r>
          </w:p>
        </w:tc>
        <w:tc>
          <w:tcPr>
            <w:tcW w:w="358" w:type="dxa"/>
          </w:tcPr>
          <w:p>
            <w:pPr>
              <w:pStyle w:val="yTableNAm"/>
              <w:spacing w:before="0"/>
              <w:rPr>
                <w:sz w:val="12"/>
              </w:rPr>
            </w:pPr>
            <w:r>
              <w:rPr>
                <w:sz w:val="12"/>
              </w:rPr>
              <w:t>285</w:t>
            </w:r>
          </w:p>
        </w:tc>
        <w:tc>
          <w:tcPr>
            <w:tcW w:w="359" w:type="dxa"/>
          </w:tcPr>
          <w:p>
            <w:pPr>
              <w:pStyle w:val="yTableNAm"/>
              <w:spacing w:before="0"/>
              <w:rPr>
                <w:sz w:val="12"/>
              </w:rPr>
            </w:pPr>
            <w:r>
              <w:rPr>
                <w:sz w:val="12"/>
              </w:rPr>
              <w:t>385</w:t>
            </w:r>
          </w:p>
        </w:tc>
        <w:tc>
          <w:tcPr>
            <w:tcW w:w="358" w:type="dxa"/>
          </w:tcPr>
          <w:p>
            <w:pPr>
              <w:pStyle w:val="yTableNAm"/>
              <w:spacing w:before="0"/>
              <w:rPr>
                <w:sz w:val="12"/>
              </w:rPr>
            </w:pPr>
            <w:r>
              <w:rPr>
                <w:sz w:val="12"/>
              </w:rPr>
              <w:t>506</w:t>
            </w:r>
          </w:p>
        </w:tc>
        <w:tc>
          <w:tcPr>
            <w:tcW w:w="359" w:type="dxa"/>
          </w:tcPr>
          <w:p>
            <w:pPr>
              <w:pStyle w:val="yTableNAm"/>
              <w:spacing w:before="0"/>
              <w:rPr>
                <w:sz w:val="12"/>
              </w:rPr>
            </w:pPr>
            <w:r>
              <w:rPr>
                <w:sz w:val="12"/>
              </w:rPr>
              <w:t>650</w:t>
            </w:r>
          </w:p>
        </w:tc>
        <w:tc>
          <w:tcPr>
            <w:tcW w:w="358" w:type="dxa"/>
          </w:tcPr>
          <w:p>
            <w:pPr>
              <w:pStyle w:val="yTableNAm"/>
              <w:spacing w:before="0"/>
              <w:rPr>
                <w:sz w:val="12"/>
              </w:rPr>
            </w:pPr>
            <w:r>
              <w:rPr>
                <w:sz w:val="12"/>
              </w:rPr>
              <w:t>819</w:t>
            </w:r>
          </w:p>
        </w:tc>
        <w:tc>
          <w:tcPr>
            <w:tcW w:w="359" w:type="dxa"/>
          </w:tcPr>
          <w:p>
            <w:pPr>
              <w:pStyle w:val="yTableNAm"/>
              <w:spacing w:before="0"/>
              <w:rPr>
                <w:sz w:val="12"/>
              </w:rPr>
            </w:pPr>
            <w:r>
              <w:rPr>
                <w:sz w:val="12"/>
              </w:rPr>
              <w:t>1015</w:t>
            </w:r>
          </w:p>
        </w:tc>
        <w:tc>
          <w:tcPr>
            <w:tcW w:w="359" w:type="dxa"/>
            <w:gridSpan w:val="2"/>
          </w:tcPr>
          <w:p>
            <w:pPr>
              <w:pStyle w:val="yTableNAm"/>
              <w:spacing w:before="0"/>
              <w:rPr>
                <w:sz w:val="12"/>
              </w:rPr>
            </w:pPr>
            <w:r>
              <w:rPr>
                <w:sz w:val="12"/>
              </w:rPr>
              <w:t>1240</w:t>
            </w:r>
          </w:p>
        </w:tc>
      </w:tr>
      <w:tr>
        <w:tblPrEx>
          <w:tblCellMar>
            <w:right w:w="0" w:type="dxa"/>
          </w:tblCellMar>
        </w:tblPrEx>
        <w:tc>
          <w:tcPr>
            <w:tcW w:w="993" w:type="dxa"/>
          </w:tcPr>
          <w:p>
            <w:pPr>
              <w:pStyle w:val="yTableNAm"/>
              <w:spacing w:before="0"/>
              <w:rPr>
                <w:sz w:val="12"/>
              </w:rPr>
            </w:pPr>
            <w:r>
              <w:rPr>
                <w:sz w:val="12"/>
              </w:rPr>
              <w:t>Two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148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36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4</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8</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and 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40</w:t>
            </w:r>
          </w:p>
        </w:tc>
        <w:tc>
          <w:tcPr>
            <w:tcW w:w="358" w:type="dxa"/>
          </w:tcPr>
          <w:p>
            <w:pPr>
              <w:pStyle w:val="yTableNAm"/>
              <w:spacing w:before="0"/>
              <w:rPr>
                <w:sz w:val="12"/>
              </w:rPr>
            </w:pPr>
            <w:r>
              <w:rPr>
                <w:sz w:val="12"/>
              </w:rPr>
              <w:t>810</w:t>
            </w:r>
          </w:p>
        </w:tc>
        <w:tc>
          <w:tcPr>
            <w:tcW w:w="359" w:type="dxa"/>
          </w:tcPr>
          <w:p>
            <w:pPr>
              <w:pStyle w:val="yTableNAm"/>
              <w:spacing w:before="0"/>
              <w:rPr>
                <w:sz w:val="12"/>
              </w:rPr>
            </w:pPr>
            <w:r>
              <w:rPr>
                <w:sz w:val="12"/>
              </w:rPr>
              <w:t>4</w:t>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t>20</w:t>
            </w:r>
          </w:p>
        </w:tc>
        <w:tc>
          <w:tcPr>
            <w:tcW w:w="358" w:type="dxa"/>
          </w:tcPr>
          <w:p>
            <w:pPr>
              <w:pStyle w:val="yTableNAm"/>
              <w:spacing w:before="0"/>
              <w:rPr>
                <w:sz w:val="12"/>
              </w:rPr>
            </w:pPr>
            <w:r>
              <w:rPr>
                <w:sz w:val="12"/>
              </w:rPr>
              <w:t>35</w:t>
            </w:r>
          </w:p>
        </w:tc>
        <w:tc>
          <w:tcPr>
            <w:tcW w:w="359" w:type="dxa"/>
            <w:gridSpan w:val="2"/>
          </w:tcPr>
          <w:p>
            <w:pPr>
              <w:pStyle w:val="yTableNAm"/>
              <w:spacing w:before="0"/>
              <w:rPr>
                <w:sz w:val="12"/>
              </w:rPr>
            </w:pPr>
            <w:r>
              <w:rPr>
                <w:sz w:val="12"/>
              </w:rPr>
              <w:t>56</w:t>
            </w:r>
          </w:p>
        </w:tc>
        <w:tc>
          <w:tcPr>
            <w:tcW w:w="358" w:type="dxa"/>
          </w:tcPr>
          <w:p>
            <w:pPr>
              <w:pStyle w:val="yTableNAm"/>
              <w:spacing w:before="0"/>
              <w:rPr>
                <w:sz w:val="12"/>
              </w:rPr>
            </w:pPr>
            <w:r>
              <w:rPr>
                <w:sz w:val="12"/>
              </w:rPr>
              <w:t>84</w:t>
            </w:r>
          </w:p>
        </w:tc>
        <w:tc>
          <w:tcPr>
            <w:tcW w:w="359" w:type="dxa"/>
          </w:tcPr>
          <w:p>
            <w:pPr>
              <w:pStyle w:val="yTableNAm"/>
              <w:spacing w:before="0"/>
              <w:rPr>
                <w:sz w:val="12"/>
              </w:rPr>
            </w:pPr>
            <w:r>
              <w:rPr>
                <w:sz w:val="12"/>
              </w:rPr>
              <w:t>120</w:t>
            </w:r>
          </w:p>
        </w:tc>
        <w:tc>
          <w:tcPr>
            <w:tcW w:w="358" w:type="dxa"/>
          </w:tcPr>
          <w:p>
            <w:pPr>
              <w:pStyle w:val="yTableNAm"/>
              <w:spacing w:before="0"/>
              <w:rPr>
                <w:sz w:val="12"/>
              </w:rPr>
            </w:pPr>
            <w:r>
              <w:rPr>
                <w:sz w:val="12"/>
              </w:rPr>
              <w:t>165</w:t>
            </w:r>
          </w:p>
        </w:tc>
        <w:tc>
          <w:tcPr>
            <w:tcW w:w="359" w:type="dxa"/>
          </w:tcPr>
          <w:p>
            <w:pPr>
              <w:pStyle w:val="yTableNAm"/>
              <w:spacing w:before="0"/>
              <w:rPr>
                <w:sz w:val="12"/>
              </w:rPr>
            </w:pPr>
            <w:r>
              <w:rPr>
                <w:sz w:val="12"/>
              </w:rPr>
              <w:t>220</w:t>
            </w:r>
          </w:p>
        </w:tc>
        <w:tc>
          <w:tcPr>
            <w:tcW w:w="358" w:type="dxa"/>
          </w:tcPr>
          <w:p>
            <w:pPr>
              <w:pStyle w:val="yTableNAm"/>
              <w:spacing w:before="0"/>
              <w:rPr>
                <w:sz w:val="12"/>
              </w:rPr>
            </w:pPr>
            <w:r>
              <w:rPr>
                <w:sz w:val="12"/>
              </w:rPr>
              <w:t>286</w:t>
            </w:r>
          </w:p>
        </w:tc>
        <w:tc>
          <w:tcPr>
            <w:tcW w:w="359" w:type="dxa"/>
          </w:tcPr>
          <w:p>
            <w:pPr>
              <w:pStyle w:val="yTableNAm"/>
              <w:spacing w:before="0"/>
              <w:rPr>
                <w:sz w:val="12"/>
              </w:rPr>
            </w:pPr>
            <w:r>
              <w:rPr>
                <w:sz w:val="12"/>
              </w:rPr>
              <w:t>364</w:t>
            </w:r>
          </w:p>
        </w:tc>
        <w:tc>
          <w:tcPr>
            <w:tcW w:w="358" w:type="dxa"/>
          </w:tcPr>
          <w:p>
            <w:pPr>
              <w:pStyle w:val="yTableNAm"/>
              <w:spacing w:before="0"/>
              <w:rPr>
                <w:sz w:val="12"/>
              </w:rPr>
            </w:pPr>
            <w:r>
              <w:rPr>
                <w:sz w:val="12"/>
              </w:rPr>
              <w:t>455</w:t>
            </w:r>
          </w:p>
        </w:tc>
        <w:tc>
          <w:tcPr>
            <w:tcW w:w="359" w:type="dxa"/>
          </w:tcPr>
          <w:p>
            <w:pPr>
              <w:pStyle w:val="yTableNAm"/>
              <w:spacing w:before="0"/>
              <w:rPr>
                <w:sz w:val="12"/>
              </w:rPr>
            </w:pPr>
            <w:r>
              <w:rPr>
                <w:sz w:val="12"/>
              </w:rPr>
              <w:t>560</w:t>
            </w:r>
          </w:p>
        </w:tc>
        <w:tc>
          <w:tcPr>
            <w:tcW w:w="359" w:type="dxa"/>
            <w:gridSpan w:val="2"/>
          </w:tcPr>
          <w:p>
            <w:pPr>
              <w:pStyle w:val="yTableNAm"/>
              <w:spacing w:before="0"/>
              <w:rPr>
                <w:sz w:val="12"/>
              </w:rPr>
            </w:pPr>
            <w:r>
              <w:rPr>
                <w:sz w:val="12"/>
              </w:rPr>
              <w:t>680</w:t>
            </w:r>
          </w:p>
        </w:tc>
      </w:tr>
      <w:tr>
        <w:tblPrEx>
          <w:tblCellMar>
            <w:right w:w="0" w:type="dxa"/>
          </w:tblCellMar>
        </w:tblPrEx>
        <w:tc>
          <w:tcPr>
            <w:tcW w:w="993" w:type="dxa"/>
          </w:tcPr>
          <w:p>
            <w:pPr>
              <w:pStyle w:val="yTableNAm"/>
              <w:spacing w:before="0"/>
              <w:rPr>
                <w:sz w:val="12"/>
              </w:rPr>
            </w:pPr>
            <w:r>
              <w:rPr>
                <w:sz w:val="12"/>
              </w:rPr>
              <w:t>One and 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1</w:t>
            </w:r>
          </w:p>
        </w:tc>
        <w:tc>
          <w:tcPr>
            <w:tcW w:w="358" w:type="dxa"/>
          </w:tcPr>
          <w:p>
            <w:pPr>
              <w:pStyle w:val="yTableNAm"/>
              <w:spacing w:before="0"/>
              <w:rPr>
                <w:sz w:val="12"/>
              </w:rPr>
            </w:pPr>
            <w:r>
              <w:rPr>
                <w:sz w:val="12"/>
              </w:rPr>
              <w:t>40</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1</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Two supplementaries</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t>6</w:t>
            </w:r>
          </w:p>
        </w:tc>
        <w:tc>
          <w:tcPr>
            <w:tcW w:w="358" w:type="dxa"/>
          </w:tcPr>
          <w:p>
            <w:pPr>
              <w:pStyle w:val="yTableNAm"/>
              <w:spacing w:before="0"/>
              <w:rPr>
                <w:sz w:val="12"/>
              </w:rPr>
            </w:pPr>
            <w:r>
              <w:rPr>
                <w:sz w:val="12"/>
              </w:rPr>
              <w:t>225</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r>
        <w:tblPrEx>
          <w:tblCellMar>
            <w:right w:w="0" w:type="dxa"/>
          </w:tblCellMar>
        </w:tblPrEx>
        <w:tc>
          <w:tcPr>
            <w:tcW w:w="993" w:type="dxa"/>
          </w:tcPr>
          <w:p>
            <w:pPr>
              <w:pStyle w:val="yTableNAm"/>
              <w:spacing w:before="0"/>
              <w:rPr>
                <w:sz w:val="12"/>
              </w:rPr>
            </w:pPr>
            <w:r>
              <w:rPr>
                <w:sz w:val="12"/>
              </w:rPr>
              <w:t>One supplementary</w:t>
            </w: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gridSpan w:val="2"/>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8" w:type="dxa"/>
          </w:tcPr>
          <w:p>
            <w:pPr>
              <w:pStyle w:val="yTableNAm"/>
              <w:spacing w:before="0"/>
              <w:rPr>
                <w:sz w:val="12"/>
              </w:rPr>
            </w:pPr>
          </w:p>
        </w:tc>
        <w:tc>
          <w:tcPr>
            <w:tcW w:w="359" w:type="dxa"/>
          </w:tcPr>
          <w:p>
            <w:pPr>
              <w:pStyle w:val="yTableNAm"/>
              <w:spacing w:before="0"/>
              <w:rPr>
                <w:sz w:val="12"/>
              </w:rPr>
            </w:pPr>
          </w:p>
        </w:tc>
        <w:tc>
          <w:tcPr>
            <w:tcW w:w="359" w:type="dxa"/>
            <w:gridSpan w:val="2"/>
          </w:tcPr>
          <w:p>
            <w:pPr>
              <w:pStyle w:val="yTableNAm"/>
              <w:spacing w:before="0"/>
              <w:rPr>
                <w:sz w:val="12"/>
              </w:rPr>
            </w:pPr>
          </w:p>
        </w:tc>
      </w:tr>
      <w:tr>
        <w:tblPrEx>
          <w:tblCellMar>
            <w:right w:w="0" w:type="dxa"/>
          </w:tblCellMar>
        </w:tblPrEx>
        <w:tc>
          <w:tcPr>
            <w:tcW w:w="993" w:type="dxa"/>
          </w:tcPr>
          <w:p>
            <w:pPr>
              <w:pStyle w:val="yTableNAm"/>
              <w:spacing w:before="0"/>
              <w:rPr>
                <w:sz w:val="12"/>
              </w:rPr>
            </w:pP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t>6</w:t>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8" w:type="dxa"/>
          </w:tcPr>
          <w:p>
            <w:pPr>
              <w:pStyle w:val="yTableNAm"/>
              <w:spacing w:before="0"/>
              <w:rPr>
                <w:sz w:val="12"/>
              </w:rPr>
            </w:pPr>
            <w:r>
              <w:rPr>
                <w:sz w:val="12"/>
              </w:rPr>
              <w:noBreakHyphen/>
            </w:r>
          </w:p>
        </w:tc>
        <w:tc>
          <w:tcPr>
            <w:tcW w:w="359" w:type="dxa"/>
          </w:tcPr>
          <w:p>
            <w:pPr>
              <w:pStyle w:val="yTableNAm"/>
              <w:spacing w:before="0"/>
              <w:rPr>
                <w:sz w:val="12"/>
              </w:rPr>
            </w:pPr>
            <w:r>
              <w:rPr>
                <w:sz w:val="12"/>
              </w:rPr>
              <w:noBreakHyphen/>
            </w:r>
          </w:p>
        </w:tc>
        <w:tc>
          <w:tcPr>
            <w:tcW w:w="359" w:type="dxa"/>
            <w:gridSpan w:val="2"/>
          </w:tcPr>
          <w:p>
            <w:pPr>
              <w:pStyle w:val="yTableNAm"/>
              <w:spacing w:before="0"/>
              <w:rPr>
                <w:sz w:val="12"/>
              </w:rPr>
            </w:pPr>
            <w:r>
              <w:rPr>
                <w:sz w:val="12"/>
              </w:rPr>
              <w:noBreakHyphen/>
            </w:r>
          </w:p>
        </w:tc>
      </w:tr>
    </w:tbl>
    <w:p>
      <w:pPr>
        <w:pStyle w:val="yFootnotesection"/>
      </w:pPr>
      <w:r>
        <w:tab/>
        <w:t>[Part 2 inserted in Gazette 21 Dec 2010 p. 6765</w:t>
      </w:r>
      <w:r>
        <w:noBreakHyphen/>
        <w:t>6.]</w:t>
      </w:r>
    </w:p>
    <w:p>
      <w:pPr>
        <w:pStyle w:val="yScheduleHeading"/>
      </w:pPr>
      <w:bookmarkStart w:id="173" w:name="_Toc391299449"/>
      <w:bookmarkStart w:id="174" w:name="_Toc391299549"/>
      <w:bookmarkStart w:id="175" w:name="_Toc406506951"/>
      <w:bookmarkStart w:id="176" w:name="_Toc421106004"/>
      <w:bookmarkStart w:id="177" w:name="_Toc421106068"/>
      <w:bookmarkStart w:id="178" w:name="_Toc463612472"/>
      <w:r>
        <w:rPr>
          <w:rStyle w:val="CharSchNo"/>
        </w:rPr>
        <w:t>Schedule 3</w:t>
      </w:r>
      <w:r>
        <w:t> — </w:t>
      </w:r>
      <w:r>
        <w:rPr>
          <w:rStyle w:val="CharSchText"/>
        </w:rPr>
        <w:t>Summary of parameters within which Saturday lotto is conducted</w:t>
      </w:r>
      <w:bookmarkEnd w:id="173"/>
      <w:bookmarkEnd w:id="174"/>
      <w:bookmarkEnd w:id="175"/>
      <w:bookmarkEnd w:id="176"/>
      <w:bookmarkEnd w:id="177"/>
      <w:bookmarkEnd w:id="178"/>
    </w:p>
    <w:p>
      <w:pPr>
        <w:pStyle w:val="yFootnoteheading"/>
      </w:pPr>
      <w:r>
        <w:tab/>
        <w:t>[Heading inserted in Gazette 6 Jun 2008 p. 2273.]</w:t>
      </w:r>
    </w:p>
    <w:p>
      <w:pPr>
        <w:pStyle w:val="yHeading3"/>
        <w:spacing w:after="120"/>
      </w:pPr>
      <w:bookmarkStart w:id="179" w:name="_Toc391299450"/>
      <w:bookmarkStart w:id="180" w:name="_Toc391299550"/>
      <w:bookmarkStart w:id="181" w:name="_Toc406506952"/>
      <w:bookmarkStart w:id="182" w:name="_Toc421106005"/>
      <w:bookmarkStart w:id="183" w:name="_Toc421106069"/>
      <w:bookmarkStart w:id="184" w:name="_Toc463612473"/>
      <w:r>
        <w:rPr>
          <w:rStyle w:val="CharSDivNo"/>
        </w:rPr>
        <w:t>Part 1 </w:t>
      </w:r>
      <w:r>
        <w:t>—</w:t>
      </w:r>
      <w:r>
        <w:rPr>
          <w:rStyle w:val="CharSDivNo"/>
        </w:rPr>
        <w:t> </w:t>
      </w:r>
      <w:r>
        <w:rPr>
          <w:rStyle w:val="CharSDivText"/>
        </w:rPr>
        <w:t>Up to and including draw 3441 on 12 July 2014</w:t>
      </w:r>
      <w:bookmarkEnd w:id="179"/>
      <w:bookmarkEnd w:id="180"/>
      <w:bookmarkEnd w:id="181"/>
      <w:bookmarkEnd w:id="182"/>
      <w:bookmarkEnd w:id="183"/>
      <w:bookmarkEnd w:id="184"/>
    </w:p>
    <w:p>
      <w:pPr>
        <w:pStyle w:val="yFootnoteheading"/>
        <w:spacing w:after="120"/>
        <w:rPr>
          <w:rStyle w:val="CharSDivNo"/>
        </w:rPr>
      </w:pPr>
      <w:r>
        <w:tab/>
        <w:t>[Heading inserted in Gazette 6 May 2014 p. 1389.]</w:t>
      </w:r>
    </w:p>
    <w:tbl>
      <w:tblPr>
        <w:tblW w:w="0" w:type="auto"/>
        <w:tblInd w:w="283" w:type="dxa"/>
        <w:tblLayout w:type="fixed"/>
        <w:tblCellMar>
          <w:left w:w="141" w:type="dxa"/>
          <w:right w:w="141" w:type="dxa"/>
        </w:tblCellMar>
        <w:tblLook w:val="0000" w:firstRow="0" w:lastRow="0" w:firstColumn="0" w:lastColumn="0" w:noHBand="0" w:noVBand="0"/>
      </w:tblPr>
      <w:tblGrid>
        <w:gridCol w:w="4820"/>
        <w:gridCol w:w="1984"/>
      </w:tblGrid>
      <w:tr>
        <w:tc>
          <w:tcPr>
            <w:tcW w:w="4820" w:type="dxa"/>
          </w:tcPr>
          <w:p>
            <w:pPr>
              <w:pStyle w:val="yTableNAm"/>
            </w:pPr>
            <w:r>
              <w:t>Unit cost for a Saturday lotto draw</w:t>
            </w:r>
          </w:p>
        </w:tc>
        <w:tc>
          <w:tcPr>
            <w:tcW w:w="1984" w:type="dxa"/>
          </w:tcPr>
          <w:p>
            <w:pPr>
              <w:pStyle w:val="yTableNAm"/>
            </w:pPr>
            <w:r>
              <w:t>$0.60 (+ a 9% agent’s component)</w:t>
            </w:r>
          </w:p>
        </w:tc>
      </w:tr>
      <w:tr>
        <w:tc>
          <w:tcPr>
            <w:tcW w:w="4820" w:type="dxa"/>
          </w:tcPr>
          <w:p>
            <w:pPr>
              <w:pStyle w:val="yTableNAm"/>
              <w:spacing w:before="60"/>
            </w:pPr>
            <w:r>
              <w:t>Prize fund — % of subscriptions</w:t>
            </w:r>
          </w:p>
        </w:tc>
        <w:tc>
          <w:tcPr>
            <w:tcW w:w="1984" w:type="dxa"/>
          </w:tcPr>
          <w:p>
            <w:pPr>
              <w:pStyle w:val="yTableNAm"/>
              <w:spacing w:before="60"/>
            </w:pPr>
            <w:r>
              <w:t>60.0%</w:t>
            </w:r>
          </w:p>
        </w:tc>
      </w:tr>
      <w:tr>
        <w:tc>
          <w:tcPr>
            <w:tcW w:w="4820" w:type="dxa"/>
          </w:tcPr>
          <w:p>
            <w:pPr>
              <w:pStyle w:val="yTableNAm"/>
              <w:spacing w:before="60"/>
            </w:pPr>
            <w:r>
              <w:t>Prize pool — % of subscriptions</w:t>
            </w:r>
          </w:p>
        </w:tc>
        <w:tc>
          <w:tcPr>
            <w:tcW w:w="1984" w:type="dxa"/>
          </w:tcPr>
          <w:p>
            <w:pPr>
              <w:pStyle w:val="yTableNAm"/>
              <w:spacing w:before="60"/>
            </w:pPr>
            <w:r>
              <w:t>no less than 55%</w:t>
            </w:r>
          </w:p>
        </w:tc>
      </w:tr>
      <w:tr>
        <w:tc>
          <w:tcPr>
            <w:tcW w:w="4820" w:type="dxa"/>
          </w:tcPr>
          <w:p>
            <w:pPr>
              <w:pStyle w:val="yTableNAm"/>
              <w:spacing w:before="60"/>
            </w:pPr>
            <w:r>
              <w:t>Prize reserve fund — % of subscriptions</w:t>
            </w:r>
          </w:p>
        </w:tc>
        <w:tc>
          <w:tcPr>
            <w:tcW w:w="1984" w:type="dxa"/>
          </w:tcPr>
          <w:p>
            <w:pPr>
              <w:pStyle w:val="yTableNAm"/>
              <w:spacing w:before="60"/>
            </w:pPr>
            <w:r>
              <w:t>balance of prize fund after prize pool</w:t>
            </w:r>
            <w:r>
              <w:br/>
              <w:t>(up to 5.0%)</w:t>
            </w:r>
          </w:p>
        </w:tc>
      </w:tr>
      <w:tr>
        <w:tc>
          <w:tcPr>
            <w:tcW w:w="4820" w:type="dxa"/>
          </w:tcPr>
          <w:p>
            <w:pPr>
              <w:pStyle w:val="yTableNAm"/>
              <w:spacing w:before="60"/>
            </w:pPr>
            <w:r>
              <w:t>Number of divisions</w:t>
            </w:r>
          </w:p>
        </w:tc>
        <w:tc>
          <w:tcPr>
            <w:tcW w:w="1984" w:type="dxa"/>
          </w:tcPr>
          <w:p>
            <w:pPr>
              <w:pStyle w:val="yTableNAm"/>
              <w:spacing w:before="60"/>
            </w:pPr>
            <w:r>
              <w:t>6</w:t>
            </w:r>
          </w:p>
        </w:tc>
      </w:tr>
      <w:tr>
        <w:tc>
          <w:tcPr>
            <w:tcW w:w="4820" w:type="dxa"/>
          </w:tcPr>
          <w:p>
            <w:pPr>
              <w:pStyle w:val="yTableNAm"/>
              <w:spacing w:before="60"/>
            </w:pPr>
            <w:r>
              <w:t>Winning numbers drawn</w:t>
            </w:r>
          </w:p>
        </w:tc>
        <w:tc>
          <w:tcPr>
            <w:tcW w:w="1984" w:type="dxa"/>
          </w:tcPr>
          <w:p>
            <w:pPr>
              <w:pStyle w:val="yTableNAm"/>
              <w:spacing w:before="60"/>
            </w:pPr>
            <w:r>
              <w:t>6</w:t>
            </w:r>
          </w:p>
        </w:tc>
      </w:tr>
      <w:tr>
        <w:tc>
          <w:tcPr>
            <w:tcW w:w="4820" w:type="dxa"/>
          </w:tcPr>
          <w:p>
            <w:pPr>
              <w:pStyle w:val="yTableNAm"/>
              <w:spacing w:before="60"/>
            </w:pPr>
            <w:r>
              <w:t>Supplementary numbers drawn</w:t>
            </w:r>
          </w:p>
        </w:tc>
        <w:tc>
          <w:tcPr>
            <w:tcW w:w="1984" w:type="dxa"/>
          </w:tcPr>
          <w:p>
            <w:pPr>
              <w:pStyle w:val="yTableNAm"/>
              <w:spacing w:before="60"/>
            </w:pPr>
            <w:r>
              <w:t>2</w:t>
            </w:r>
          </w:p>
        </w:tc>
      </w:tr>
      <w:tr>
        <w:tc>
          <w:tcPr>
            <w:tcW w:w="4820" w:type="dxa"/>
          </w:tcPr>
          <w:p>
            <w:pPr>
              <w:pStyle w:val="yTableNAm"/>
              <w:spacing w:before="60"/>
            </w:pPr>
            <w:r>
              <w:t>Forecast range </w:t>
            </w:r>
          </w:p>
        </w:tc>
        <w:tc>
          <w:tcPr>
            <w:tcW w:w="1984" w:type="dxa"/>
          </w:tcPr>
          <w:p>
            <w:pPr>
              <w:pStyle w:val="yTableNAm"/>
              <w:spacing w:before="60"/>
            </w:pPr>
            <w:r>
              <w:t>1 to 45 inclusive</w:t>
            </w:r>
          </w:p>
        </w:tc>
      </w:tr>
      <w:tr>
        <w:tc>
          <w:tcPr>
            <w:tcW w:w="4820" w:type="dxa"/>
          </w:tcPr>
          <w:p>
            <w:pPr>
              <w:pStyle w:val="yTableNAm"/>
              <w:spacing w:before="60"/>
            </w:pPr>
            <w:r>
              <w:t>Odds of winning —</w:t>
            </w:r>
          </w:p>
          <w:p>
            <w:pPr>
              <w:pStyle w:val="yTableNAm"/>
              <w:spacing w:before="60"/>
            </w:pPr>
            <w:r>
              <w:t>division 1</w:t>
            </w:r>
          </w:p>
          <w:p>
            <w:pPr>
              <w:pStyle w:val="yTableNAm"/>
              <w:spacing w:before="60"/>
            </w:pPr>
            <w:r>
              <w:t>division 2</w:t>
            </w:r>
          </w:p>
          <w:p>
            <w:pPr>
              <w:pStyle w:val="yTableNAm"/>
              <w:spacing w:before="60"/>
            </w:pPr>
            <w:r>
              <w:t>division 3</w:t>
            </w:r>
          </w:p>
          <w:p>
            <w:pPr>
              <w:pStyle w:val="yTableNAm"/>
              <w:spacing w:before="60"/>
            </w:pPr>
            <w:r>
              <w:t>division 4</w:t>
            </w:r>
          </w:p>
          <w:p>
            <w:pPr>
              <w:pStyle w:val="yTableNAm"/>
              <w:spacing w:before="60"/>
            </w:pPr>
            <w:r>
              <w:t>division 5</w:t>
            </w:r>
          </w:p>
          <w:p>
            <w:pPr>
              <w:pStyle w:val="yTableNAm"/>
              <w:spacing w:before="60"/>
            </w:pPr>
            <w:r>
              <w:t>division 6</w:t>
            </w:r>
          </w:p>
        </w:tc>
        <w:tc>
          <w:tcPr>
            <w:tcW w:w="1984" w:type="dxa"/>
          </w:tcPr>
          <w:p>
            <w:pPr>
              <w:pStyle w:val="yTableNAm"/>
              <w:spacing w:before="60"/>
            </w:pPr>
          </w:p>
          <w:p>
            <w:pPr>
              <w:pStyle w:val="yTableNAm"/>
              <w:spacing w:before="60"/>
            </w:pPr>
            <w:r>
              <w:t>1 in 8 145 060</w:t>
            </w:r>
          </w:p>
          <w:p>
            <w:pPr>
              <w:pStyle w:val="yTableNAm"/>
              <w:spacing w:before="60"/>
            </w:pPr>
            <w:r>
              <w:t>1 in 678 755</w:t>
            </w:r>
          </w:p>
          <w:p>
            <w:pPr>
              <w:pStyle w:val="yTableNAm"/>
              <w:spacing w:before="60"/>
            </w:pPr>
            <w:r>
              <w:t>1 in 36 690</w:t>
            </w:r>
          </w:p>
          <w:p>
            <w:pPr>
              <w:pStyle w:val="yTableNAm"/>
              <w:spacing w:before="60"/>
            </w:pPr>
            <w:r>
              <w:t>1 in 733</w:t>
            </w:r>
          </w:p>
          <w:p>
            <w:pPr>
              <w:pStyle w:val="yTableNAm"/>
              <w:spacing w:before="60"/>
            </w:pPr>
            <w:r>
              <w:t>1 in 298</w:t>
            </w:r>
          </w:p>
          <w:p>
            <w:pPr>
              <w:pStyle w:val="yTableNAm"/>
              <w:spacing w:before="60"/>
            </w:pPr>
            <w:r>
              <w:t>1 in 144</w:t>
            </w:r>
          </w:p>
        </w:tc>
      </w:tr>
      <w:tr>
        <w:tc>
          <w:tcPr>
            <w:tcW w:w="4820" w:type="dxa"/>
          </w:tcPr>
          <w:p>
            <w:pPr>
              <w:pStyle w:val="yTableNAm"/>
              <w:spacing w:before="60"/>
            </w:pPr>
            <w:r>
              <w:t>Systems range</w:t>
            </w:r>
          </w:p>
        </w:tc>
        <w:tc>
          <w:tcPr>
            <w:tcW w:w="1984" w:type="dxa"/>
          </w:tcPr>
          <w:p>
            <w:pPr>
              <w:pStyle w:val="yTableNAm"/>
              <w:spacing w:before="60"/>
            </w:pPr>
            <w:r>
              <w:t>4</w:t>
            </w:r>
            <w:r>
              <w:noBreakHyphen/>
              <w:t>5/7</w:t>
            </w:r>
            <w:r>
              <w:noBreakHyphen/>
              <w:t>20 inclusive</w:t>
            </w:r>
          </w:p>
        </w:tc>
      </w:tr>
      <w:tr>
        <w:tc>
          <w:tcPr>
            <w:tcW w:w="4820" w:type="dxa"/>
          </w:tcPr>
          <w:p>
            <w:pPr>
              <w:pStyle w:val="yTableNAm"/>
              <w:spacing w:before="60"/>
            </w:pPr>
            <w:r>
              <w:t>Multiweek options (</w:t>
            </w:r>
            <w:r>
              <w:rPr>
                <w:i/>
                <w:iCs/>
              </w:rPr>
              <w:t>if available</w:t>
            </w:r>
            <w:r>
              <w:t>)</w:t>
            </w:r>
          </w:p>
        </w:tc>
        <w:tc>
          <w:tcPr>
            <w:tcW w:w="1984" w:type="dxa"/>
          </w:tcPr>
          <w:p>
            <w:pPr>
              <w:pStyle w:val="yTableNAm"/>
              <w:spacing w:before="60"/>
            </w:pPr>
            <w:r>
              <w:t>2, 5 or 10 weeks</w:t>
            </w:r>
          </w:p>
        </w:tc>
      </w:tr>
      <w:tr>
        <w:tc>
          <w:tcPr>
            <w:tcW w:w="4820" w:type="dxa"/>
          </w:tcPr>
          <w:p>
            <w:pPr>
              <w:pStyle w:val="yTableNAm"/>
              <w:spacing w:before="60"/>
            </w:pPr>
            <w:r>
              <w:t>Advance sales (maximum) (</w:t>
            </w:r>
            <w:r>
              <w:rPr>
                <w:i/>
                <w:iCs/>
              </w:rPr>
              <w:t>if available</w:t>
            </w:r>
            <w:r>
              <w:t>)</w:t>
            </w:r>
          </w:p>
        </w:tc>
        <w:tc>
          <w:tcPr>
            <w:tcW w:w="1984" w:type="dxa"/>
          </w:tcPr>
          <w:p>
            <w:pPr>
              <w:pStyle w:val="yTableNAm"/>
              <w:spacing w:before="60"/>
            </w:pPr>
            <w:r>
              <w:t>10 weeks</w:t>
            </w:r>
          </w:p>
        </w:tc>
      </w:tr>
      <w:tr>
        <w:tc>
          <w:tcPr>
            <w:tcW w:w="4820" w:type="dxa"/>
          </w:tcPr>
          <w:p>
            <w:pPr>
              <w:pStyle w:val="yTableNAm"/>
              <w:spacing w:before="60"/>
            </w:pPr>
            <w:r>
              <w:t>Games per playslip (minimum)</w:t>
            </w:r>
          </w:p>
        </w:tc>
        <w:tc>
          <w:tcPr>
            <w:tcW w:w="1984" w:type="dxa"/>
          </w:tcPr>
          <w:p>
            <w:pPr>
              <w:pStyle w:val="yTableNAm"/>
              <w:spacing w:before="60"/>
            </w:pPr>
            <w:r>
              <w:t>4</w:t>
            </w:r>
          </w:p>
        </w:tc>
      </w:tr>
      <w:tr>
        <w:tc>
          <w:tcPr>
            <w:tcW w:w="4820" w:type="dxa"/>
          </w:tcPr>
          <w:p>
            <w:pPr>
              <w:pStyle w:val="yTableNAm"/>
              <w:keepNext/>
              <w:spacing w:before="60"/>
            </w:pPr>
            <w:r>
              <w:t>Systems entries per playslip (maximum)</w:t>
            </w:r>
          </w:p>
        </w:tc>
        <w:tc>
          <w:tcPr>
            <w:tcW w:w="1984" w:type="dxa"/>
          </w:tcPr>
          <w:p>
            <w:pPr>
              <w:pStyle w:val="yTableNAm"/>
              <w:keepNext/>
              <w:spacing w:before="60"/>
            </w:pPr>
            <w:r>
              <w:t>18</w:t>
            </w:r>
            <w:r>
              <w:br/>
              <w:t>(subject to maximum aggregate entry cost)</w:t>
            </w:r>
          </w:p>
        </w:tc>
      </w:tr>
      <w:tr>
        <w:tc>
          <w:tcPr>
            <w:tcW w:w="4820" w:type="dxa"/>
          </w:tcPr>
          <w:p>
            <w:pPr>
              <w:pStyle w:val="yTableNAm"/>
              <w:spacing w:before="60"/>
            </w:pPr>
            <w:r>
              <w:t>Games per playslip (maximum)</w:t>
            </w:r>
          </w:p>
        </w:tc>
        <w:tc>
          <w:tcPr>
            <w:tcW w:w="1984" w:type="dxa"/>
          </w:tcPr>
          <w:p>
            <w:pPr>
              <w:pStyle w:val="yTableNAm"/>
              <w:spacing w:before="60"/>
            </w:pPr>
            <w:r>
              <w:t>18</w:t>
            </w:r>
          </w:p>
        </w:tc>
      </w:tr>
      <w:tr>
        <w:tc>
          <w:tcPr>
            <w:tcW w:w="4820" w:type="dxa"/>
          </w:tcPr>
          <w:p>
            <w:pPr>
              <w:pStyle w:val="yTableNAm"/>
              <w:spacing w:before="60"/>
            </w:pPr>
            <w:r>
              <w:t>Games per oral request (default)</w:t>
            </w:r>
          </w:p>
        </w:tc>
        <w:tc>
          <w:tcPr>
            <w:tcW w:w="1984" w:type="dxa"/>
          </w:tcPr>
          <w:p>
            <w:pPr>
              <w:pStyle w:val="yTableNAm"/>
              <w:spacing w:before="60"/>
            </w:pPr>
            <w:r>
              <w:t>12, 18, 25, 30 or 50</w:t>
            </w:r>
          </w:p>
        </w:tc>
      </w:tr>
      <w:tr>
        <w:tc>
          <w:tcPr>
            <w:tcW w:w="4820" w:type="dxa"/>
          </w:tcPr>
          <w:p>
            <w:pPr>
              <w:pStyle w:val="yTableNAm"/>
              <w:spacing w:before="60"/>
            </w:pPr>
            <w:r>
              <w:t>Games per oral request (</w:t>
            </w:r>
            <w:r>
              <w:rPr>
                <w:i/>
                <w:iCs/>
              </w:rPr>
              <w:t>if available</w:t>
            </w:r>
            <w:r>
              <w:t>)</w:t>
            </w:r>
          </w:p>
        </w:tc>
        <w:tc>
          <w:tcPr>
            <w:tcW w:w="1984" w:type="dxa"/>
          </w:tcPr>
          <w:p>
            <w:pPr>
              <w:pStyle w:val="yTableNAm"/>
              <w:spacing w:before="60"/>
            </w:pPr>
            <w:r>
              <w:t>4 to 50</w:t>
            </w:r>
          </w:p>
        </w:tc>
      </w:tr>
      <w:tr>
        <w:tc>
          <w:tcPr>
            <w:tcW w:w="4820" w:type="dxa"/>
          </w:tcPr>
          <w:p>
            <w:pPr>
              <w:pStyle w:val="yTableNAm"/>
              <w:spacing w:before="60"/>
            </w:pPr>
            <w:r>
              <w:t>Syndicate entries may be purchased (</w:t>
            </w:r>
            <w:r>
              <w:rPr>
                <w:i/>
                <w:iCs/>
              </w:rPr>
              <w:t>if available</w:t>
            </w:r>
            <w:r>
              <w:t>)</w:t>
            </w:r>
          </w:p>
        </w:tc>
        <w:tc>
          <w:tcPr>
            <w:tcW w:w="1984" w:type="dxa"/>
          </w:tcPr>
          <w:p>
            <w:pPr>
              <w:pStyle w:val="yTableNAm"/>
              <w:spacing w:before="60"/>
            </w:pPr>
            <w:r>
              <w:t>(see Part 2A)</w:t>
            </w:r>
          </w:p>
        </w:tc>
      </w:tr>
      <w:tr>
        <w:tc>
          <w:tcPr>
            <w:tcW w:w="4820" w:type="dxa"/>
          </w:tcPr>
          <w:p>
            <w:pPr>
              <w:pStyle w:val="yTableNAm"/>
              <w:spacing w:before="60"/>
            </w:pPr>
            <w:r>
              <w:t>Systems entries per oral request</w:t>
            </w:r>
          </w:p>
        </w:tc>
        <w:tc>
          <w:tcPr>
            <w:tcW w:w="1984" w:type="dxa"/>
          </w:tcPr>
          <w:p>
            <w:pPr>
              <w:pStyle w:val="yTableNAm"/>
              <w:spacing w:before="60"/>
            </w:pPr>
            <w:r>
              <w:t>1</w:t>
            </w:r>
          </w:p>
        </w:tc>
      </w:tr>
      <w:tr>
        <w:tc>
          <w:tcPr>
            <w:tcW w:w="4820" w:type="dxa"/>
          </w:tcPr>
          <w:p>
            <w:pPr>
              <w:pStyle w:val="yTableNAm"/>
              <w:spacing w:before="60"/>
            </w:pPr>
            <w:r>
              <w:t>Slikpik entries per oral request</w:t>
            </w:r>
          </w:p>
        </w:tc>
        <w:tc>
          <w:tcPr>
            <w:tcW w:w="1984" w:type="dxa"/>
          </w:tcPr>
          <w:p>
            <w:pPr>
              <w:pStyle w:val="yTableNAm"/>
              <w:spacing w:before="60"/>
            </w:pPr>
            <w:r>
              <w:t>1</w:t>
            </w:r>
          </w:p>
        </w:tc>
      </w:tr>
      <w:tr>
        <w:tc>
          <w:tcPr>
            <w:tcW w:w="4820" w:type="dxa"/>
          </w:tcPr>
          <w:p>
            <w:pPr>
              <w:pStyle w:val="yTableNAm"/>
              <w:spacing w:before="60"/>
            </w:pPr>
            <w:r>
              <w:t>Prize payout period</w:t>
            </w:r>
          </w:p>
        </w:tc>
        <w:tc>
          <w:tcPr>
            <w:tcW w:w="1984" w:type="dxa"/>
          </w:tcPr>
          <w:p>
            <w:pPr>
              <w:pStyle w:val="yTableNAm"/>
              <w:spacing w:before="60"/>
            </w:pPr>
            <w:r>
              <w:t>12 months</w:t>
            </w:r>
          </w:p>
        </w:tc>
      </w:tr>
      <w:tr>
        <w:tc>
          <w:tcPr>
            <w:tcW w:w="4820" w:type="dxa"/>
          </w:tcPr>
          <w:p>
            <w:pPr>
              <w:pStyle w:val="yTableNAm"/>
              <w:spacing w:before="60"/>
            </w:pPr>
            <w:r>
              <w:t>Maximum aggregate entry cost</w:t>
            </w:r>
          </w:p>
        </w:tc>
        <w:tc>
          <w:tcPr>
            <w:tcW w:w="1984" w:type="dxa"/>
          </w:tcPr>
          <w:p>
            <w:pPr>
              <w:pStyle w:val="yTableNAm"/>
              <w:spacing w:before="60"/>
            </w:pPr>
            <w:r>
              <w:t>$100 000</w:t>
            </w:r>
          </w:p>
        </w:tc>
      </w:tr>
    </w:tbl>
    <w:p>
      <w:pPr>
        <w:pStyle w:val="yFootnotesection"/>
      </w:pPr>
      <w:r>
        <w:tab/>
        <w:t>[Part 1 inserted in Gazette 6 May 2014 p. 1389</w:t>
      </w:r>
      <w:r>
        <w:noBreakHyphen/>
        <w:t>90.]</w:t>
      </w:r>
    </w:p>
    <w:p>
      <w:pPr>
        <w:pStyle w:val="yHeading3"/>
        <w:rPr>
          <w:bCs/>
        </w:rPr>
      </w:pPr>
      <w:bookmarkStart w:id="185" w:name="_Toc391299451"/>
      <w:bookmarkStart w:id="186" w:name="_Toc391299551"/>
      <w:bookmarkStart w:id="187" w:name="_Toc406506953"/>
      <w:bookmarkStart w:id="188" w:name="_Toc421106006"/>
      <w:bookmarkStart w:id="189" w:name="_Toc421106070"/>
      <w:bookmarkStart w:id="190" w:name="_Toc463612474"/>
      <w:r>
        <w:rPr>
          <w:rStyle w:val="CharSDivNo"/>
        </w:rPr>
        <w:t>Part 2</w:t>
      </w:r>
      <w:r>
        <w:rPr>
          <w:b w:val="0"/>
        </w:rPr>
        <w:t> — </w:t>
      </w:r>
      <w:r>
        <w:rPr>
          <w:rStyle w:val="CharSDivText"/>
        </w:rPr>
        <w:t>Draw 3443 on 19 July 2014 and subsequent draws</w:t>
      </w:r>
      <w:bookmarkEnd w:id="185"/>
      <w:bookmarkEnd w:id="186"/>
      <w:bookmarkEnd w:id="187"/>
      <w:bookmarkEnd w:id="188"/>
      <w:bookmarkEnd w:id="189"/>
      <w:bookmarkEnd w:id="190"/>
    </w:p>
    <w:p>
      <w:pPr>
        <w:pStyle w:val="yFootnoteheading"/>
      </w:pPr>
      <w:r>
        <w:tab/>
        <w:t>[Heading inserted in Gazette 21 Dec 2010 p. 6767; amended in Gazette 6 May 2014 p. 1390.]</w:t>
      </w:r>
    </w:p>
    <w:p>
      <w:pPr>
        <w:rPr>
          <w:sz w:val="16"/>
          <w:szCs w:val="16"/>
        </w:rPr>
      </w:pPr>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spacing w:before="0"/>
              <w:rPr>
                <w:sz w:val="20"/>
              </w:rPr>
            </w:pPr>
            <w:r>
              <w:rPr>
                <w:sz w:val="20"/>
              </w:rPr>
              <w:t>Unit cost for a Saturday lotto draw</w:t>
            </w:r>
          </w:p>
        </w:tc>
        <w:tc>
          <w:tcPr>
            <w:tcW w:w="2048" w:type="dxa"/>
            <w:gridSpan w:val="2"/>
          </w:tcPr>
          <w:p>
            <w:pPr>
              <w:pStyle w:val="yTableNAm"/>
              <w:spacing w:before="0"/>
              <w:rPr>
                <w:sz w:val="20"/>
              </w:rPr>
            </w:pPr>
            <w:r>
              <w:rPr>
                <w:sz w:val="20"/>
              </w:rPr>
              <w:t>$0.65 (+ a 9% agent’s component)</w:t>
            </w:r>
          </w:p>
        </w:tc>
      </w:tr>
      <w:tr>
        <w:tc>
          <w:tcPr>
            <w:tcW w:w="5040" w:type="dxa"/>
          </w:tcPr>
          <w:p>
            <w:pPr>
              <w:pStyle w:val="yTableNAm"/>
              <w:spacing w:before="0"/>
              <w:rPr>
                <w:sz w:val="20"/>
              </w:rPr>
            </w:pPr>
            <w:r>
              <w:rPr>
                <w:sz w:val="20"/>
              </w:rPr>
              <w:t>Prize fund — % of subscriptions</w:t>
            </w:r>
          </w:p>
        </w:tc>
        <w:tc>
          <w:tcPr>
            <w:tcW w:w="2048" w:type="dxa"/>
            <w:gridSpan w:val="2"/>
          </w:tcPr>
          <w:p>
            <w:pPr>
              <w:pStyle w:val="yTableNAm"/>
              <w:spacing w:before="0"/>
              <w:rPr>
                <w:sz w:val="20"/>
              </w:rPr>
            </w:pPr>
            <w:r>
              <w:rPr>
                <w:sz w:val="20"/>
              </w:rPr>
              <w:t>60.0%</w:t>
            </w:r>
          </w:p>
        </w:tc>
      </w:tr>
      <w:tr>
        <w:trPr>
          <w:gridAfter w:val="1"/>
          <w:wAfter w:w="8" w:type="dxa"/>
        </w:trPr>
        <w:tc>
          <w:tcPr>
            <w:tcW w:w="5040" w:type="dxa"/>
          </w:tcPr>
          <w:p>
            <w:pPr>
              <w:pStyle w:val="yTableNAm"/>
              <w:spacing w:before="0"/>
              <w:rPr>
                <w:sz w:val="20"/>
              </w:rPr>
            </w:pPr>
            <w:r>
              <w:rPr>
                <w:sz w:val="20"/>
              </w:rPr>
              <w:t>Prize pool — % of subscriptions</w:t>
            </w:r>
          </w:p>
        </w:tc>
        <w:tc>
          <w:tcPr>
            <w:tcW w:w="2040" w:type="dxa"/>
          </w:tcPr>
          <w:p>
            <w:pPr>
              <w:pStyle w:val="yTableNAm"/>
              <w:spacing w:before="0"/>
              <w:rPr>
                <w:sz w:val="20"/>
              </w:rPr>
            </w:pPr>
            <w:r>
              <w:rPr>
                <w:sz w:val="20"/>
              </w:rPr>
              <w:t>no less than 55%</w:t>
            </w:r>
          </w:p>
        </w:tc>
      </w:tr>
      <w:tr>
        <w:trPr>
          <w:gridAfter w:val="1"/>
          <w:wAfter w:w="8" w:type="dxa"/>
        </w:trPr>
        <w:tc>
          <w:tcPr>
            <w:tcW w:w="5040" w:type="dxa"/>
          </w:tcPr>
          <w:p>
            <w:pPr>
              <w:pStyle w:val="yTableNAm"/>
              <w:spacing w:before="0"/>
              <w:rPr>
                <w:sz w:val="20"/>
              </w:rPr>
            </w:pPr>
            <w:r>
              <w:rPr>
                <w:sz w:val="20"/>
              </w:rPr>
              <w:t>Prize reserve fund — % of subscriptions</w:t>
            </w:r>
          </w:p>
        </w:tc>
        <w:tc>
          <w:tcPr>
            <w:tcW w:w="2040" w:type="dxa"/>
          </w:tcPr>
          <w:p>
            <w:pPr>
              <w:pStyle w:val="yTableNAm"/>
              <w:spacing w:before="0"/>
              <w:rPr>
                <w:sz w:val="20"/>
              </w:rPr>
            </w:pPr>
            <w:r>
              <w:rPr>
                <w:sz w:val="20"/>
              </w:rPr>
              <w:t>balance of prize fund after prize pool</w:t>
            </w:r>
            <w:r>
              <w:rPr>
                <w:sz w:val="20"/>
              </w:rPr>
              <w:br/>
              <w:t>(up to 5.0%)</w:t>
            </w:r>
          </w:p>
        </w:tc>
      </w:tr>
      <w:tr>
        <w:trPr>
          <w:gridAfter w:val="1"/>
          <w:wAfter w:w="8" w:type="dxa"/>
        </w:trPr>
        <w:tc>
          <w:tcPr>
            <w:tcW w:w="5040" w:type="dxa"/>
          </w:tcPr>
          <w:p>
            <w:pPr>
              <w:pStyle w:val="yTableNAm"/>
              <w:spacing w:before="0"/>
              <w:rPr>
                <w:sz w:val="20"/>
              </w:rPr>
            </w:pPr>
            <w:r>
              <w:rPr>
                <w:sz w:val="20"/>
              </w:rPr>
              <w:t>Number of divisions</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Winning numbers drawn</w:t>
            </w:r>
          </w:p>
        </w:tc>
        <w:tc>
          <w:tcPr>
            <w:tcW w:w="2040" w:type="dxa"/>
          </w:tcPr>
          <w:p>
            <w:pPr>
              <w:pStyle w:val="yTableNAm"/>
              <w:spacing w:before="0"/>
              <w:rPr>
                <w:sz w:val="20"/>
              </w:rPr>
            </w:pPr>
            <w:r>
              <w:rPr>
                <w:sz w:val="20"/>
              </w:rPr>
              <w:t>6</w:t>
            </w:r>
          </w:p>
        </w:tc>
      </w:tr>
      <w:tr>
        <w:trPr>
          <w:gridAfter w:val="1"/>
          <w:wAfter w:w="8" w:type="dxa"/>
        </w:trPr>
        <w:tc>
          <w:tcPr>
            <w:tcW w:w="5040" w:type="dxa"/>
          </w:tcPr>
          <w:p>
            <w:pPr>
              <w:pStyle w:val="yTableNAm"/>
              <w:spacing w:before="0"/>
              <w:rPr>
                <w:sz w:val="20"/>
              </w:rPr>
            </w:pPr>
            <w:r>
              <w:rPr>
                <w:sz w:val="20"/>
              </w:rPr>
              <w:t>Supplementary numbers drawn</w:t>
            </w:r>
          </w:p>
        </w:tc>
        <w:tc>
          <w:tcPr>
            <w:tcW w:w="2040" w:type="dxa"/>
          </w:tcPr>
          <w:p>
            <w:pPr>
              <w:pStyle w:val="yTableNAm"/>
              <w:spacing w:before="0"/>
              <w:rPr>
                <w:sz w:val="20"/>
              </w:rPr>
            </w:pPr>
            <w:r>
              <w:rPr>
                <w:sz w:val="20"/>
              </w:rPr>
              <w:t>2</w:t>
            </w:r>
          </w:p>
        </w:tc>
      </w:tr>
      <w:tr>
        <w:trPr>
          <w:gridAfter w:val="1"/>
          <w:wAfter w:w="8" w:type="dxa"/>
        </w:trPr>
        <w:tc>
          <w:tcPr>
            <w:tcW w:w="5040" w:type="dxa"/>
          </w:tcPr>
          <w:p>
            <w:pPr>
              <w:pStyle w:val="yTableNAm"/>
              <w:spacing w:before="0"/>
              <w:rPr>
                <w:sz w:val="20"/>
              </w:rPr>
            </w:pPr>
            <w:r>
              <w:rPr>
                <w:sz w:val="20"/>
              </w:rPr>
              <w:t>Forecast range </w:t>
            </w:r>
          </w:p>
        </w:tc>
        <w:tc>
          <w:tcPr>
            <w:tcW w:w="2040" w:type="dxa"/>
          </w:tcPr>
          <w:p>
            <w:pPr>
              <w:pStyle w:val="yTableNAm"/>
              <w:spacing w:before="0"/>
              <w:rPr>
                <w:sz w:val="20"/>
              </w:rPr>
            </w:pPr>
            <w:r>
              <w:rPr>
                <w:sz w:val="20"/>
              </w:rPr>
              <w:t>1 to 45 inclusive</w:t>
            </w:r>
          </w:p>
        </w:tc>
      </w:tr>
      <w:tr>
        <w:trPr>
          <w:gridAfter w:val="1"/>
          <w:wAfter w:w="8" w:type="dxa"/>
        </w:trPr>
        <w:tc>
          <w:tcPr>
            <w:tcW w:w="5040" w:type="dxa"/>
          </w:tcPr>
          <w:p>
            <w:pPr>
              <w:pStyle w:val="yTableNAm"/>
              <w:spacing w:before="0"/>
              <w:rPr>
                <w:sz w:val="20"/>
              </w:rPr>
            </w:pPr>
            <w:r>
              <w:rPr>
                <w:sz w:val="20"/>
              </w:rPr>
              <w:t>Odds of winning —</w:t>
            </w:r>
          </w:p>
          <w:p>
            <w:pPr>
              <w:pStyle w:val="yTableNAm"/>
              <w:spacing w:before="0"/>
              <w:rPr>
                <w:sz w:val="20"/>
              </w:rPr>
            </w:pPr>
            <w:r>
              <w:rPr>
                <w:sz w:val="20"/>
              </w:rPr>
              <w:t>division 1</w:t>
            </w:r>
          </w:p>
          <w:p>
            <w:pPr>
              <w:pStyle w:val="yTableNAm"/>
              <w:spacing w:before="0"/>
              <w:rPr>
                <w:sz w:val="20"/>
              </w:rPr>
            </w:pPr>
            <w:r>
              <w:rPr>
                <w:sz w:val="20"/>
              </w:rPr>
              <w:t>division 2</w:t>
            </w:r>
          </w:p>
          <w:p>
            <w:pPr>
              <w:pStyle w:val="yTableNAm"/>
              <w:spacing w:before="0"/>
              <w:rPr>
                <w:sz w:val="20"/>
              </w:rPr>
            </w:pPr>
            <w:r>
              <w:rPr>
                <w:sz w:val="20"/>
              </w:rPr>
              <w:t>division 3</w:t>
            </w:r>
          </w:p>
          <w:p>
            <w:pPr>
              <w:pStyle w:val="yTableNAm"/>
              <w:spacing w:before="0"/>
              <w:rPr>
                <w:sz w:val="20"/>
              </w:rPr>
            </w:pPr>
            <w:r>
              <w:rPr>
                <w:sz w:val="20"/>
              </w:rPr>
              <w:t>division 4</w:t>
            </w:r>
          </w:p>
          <w:p>
            <w:pPr>
              <w:pStyle w:val="yTableNAm"/>
              <w:spacing w:before="0"/>
              <w:rPr>
                <w:sz w:val="20"/>
              </w:rPr>
            </w:pPr>
            <w:r>
              <w:rPr>
                <w:sz w:val="20"/>
              </w:rPr>
              <w:t>division 5</w:t>
            </w:r>
          </w:p>
          <w:p>
            <w:pPr>
              <w:pStyle w:val="yTableNAm"/>
              <w:spacing w:before="0"/>
              <w:rPr>
                <w:sz w:val="20"/>
              </w:rPr>
            </w:pPr>
            <w:r>
              <w:rPr>
                <w:sz w:val="20"/>
              </w:rPr>
              <w:t>division 6</w:t>
            </w:r>
          </w:p>
        </w:tc>
        <w:tc>
          <w:tcPr>
            <w:tcW w:w="2040" w:type="dxa"/>
          </w:tcPr>
          <w:p>
            <w:pPr>
              <w:pStyle w:val="yTableNAm"/>
              <w:spacing w:before="0"/>
              <w:rPr>
                <w:sz w:val="20"/>
              </w:rPr>
            </w:pPr>
          </w:p>
          <w:p>
            <w:pPr>
              <w:pStyle w:val="yTableNAm"/>
              <w:spacing w:before="0"/>
              <w:rPr>
                <w:sz w:val="20"/>
              </w:rPr>
            </w:pPr>
            <w:r>
              <w:rPr>
                <w:sz w:val="20"/>
              </w:rPr>
              <w:t>1 in 8 145 060</w:t>
            </w:r>
          </w:p>
          <w:p>
            <w:pPr>
              <w:pStyle w:val="yTableNAm"/>
              <w:spacing w:before="0"/>
              <w:rPr>
                <w:sz w:val="20"/>
              </w:rPr>
            </w:pPr>
            <w:r>
              <w:rPr>
                <w:sz w:val="20"/>
              </w:rPr>
              <w:t>1 in 678 755</w:t>
            </w:r>
          </w:p>
          <w:p>
            <w:pPr>
              <w:pStyle w:val="yTableNAm"/>
              <w:spacing w:before="0"/>
              <w:rPr>
                <w:sz w:val="20"/>
              </w:rPr>
            </w:pPr>
            <w:r>
              <w:rPr>
                <w:sz w:val="20"/>
              </w:rPr>
              <w:t>1 in 36 690</w:t>
            </w:r>
          </w:p>
          <w:p>
            <w:pPr>
              <w:pStyle w:val="yTableNAm"/>
              <w:spacing w:before="0"/>
              <w:rPr>
                <w:sz w:val="20"/>
              </w:rPr>
            </w:pPr>
            <w:r>
              <w:rPr>
                <w:sz w:val="20"/>
              </w:rPr>
              <w:t>1 in 733</w:t>
            </w:r>
          </w:p>
          <w:p>
            <w:pPr>
              <w:pStyle w:val="yTableNAm"/>
              <w:spacing w:before="0"/>
              <w:rPr>
                <w:sz w:val="20"/>
              </w:rPr>
            </w:pPr>
            <w:r>
              <w:rPr>
                <w:sz w:val="20"/>
              </w:rPr>
              <w:t>1 in 298</w:t>
            </w:r>
          </w:p>
          <w:p>
            <w:pPr>
              <w:pStyle w:val="yTableNAm"/>
              <w:spacing w:before="0"/>
              <w:rPr>
                <w:sz w:val="20"/>
              </w:rPr>
            </w:pPr>
            <w:r>
              <w:rPr>
                <w:sz w:val="20"/>
              </w:rPr>
              <w:t>1 in 144</w:t>
            </w:r>
          </w:p>
        </w:tc>
      </w:tr>
      <w:tr>
        <w:trPr>
          <w:gridAfter w:val="1"/>
          <w:wAfter w:w="8" w:type="dxa"/>
        </w:trPr>
        <w:tc>
          <w:tcPr>
            <w:tcW w:w="5040" w:type="dxa"/>
          </w:tcPr>
          <w:p>
            <w:pPr>
              <w:pStyle w:val="yTableNAm"/>
              <w:spacing w:before="0"/>
              <w:rPr>
                <w:sz w:val="20"/>
              </w:rPr>
            </w:pPr>
            <w:r>
              <w:rPr>
                <w:sz w:val="20"/>
              </w:rPr>
              <w:t>Systems range</w:t>
            </w:r>
          </w:p>
        </w:tc>
        <w:tc>
          <w:tcPr>
            <w:tcW w:w="2040" w:type="dxa"/>
          </w:tcPr>
          <w:p>
            <w:pPr>
              <w:pStyle w:val="yTableNAm"/>
              <w:spacing w:before="0"/>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NAm"/>
              <w:spacing w:before="0"/>
              <w:rPr>
                <w:sz w:val="20"/>
              </w:rPr>
            </w:pPr>
            <w:r>
              <w:rPr>
                <w:sz w:val="20"/>
              </w:rPr>
              <w:t>Multiweek options (</w:t>
            </w:r>
            <w:r>
              <w:rPr>
                <w:i/>
                <w:iCs/>
                <w:sz w:val="20"/>
              </w:rPr>
              <w:t>if available</w:t>
            </w:r>
            <w:r>
              <w:rPr>
                <w:sz w:val="20"/>
              </w:rPr>
              <w:t>)</w:t>
            </w:r>
          </w:p>
        </w:tc>
        <w:tc>
          <w:tcPr>
            <w:tcW w:w="2040" w:type="dxa"/>
          </w:tcPr>
          <w:p>
            <w:pPr>
              <w:pStyle w:val="yTableNAm"/>
              <w:spacing w:before="0"/>
              <w:rPr>
                <w:sz w:val="20"/>
              </w:rPr>
            </w:pPr>
            <w:r>
              <w:rPr>
                <w:sz w:val="20"/>
              </w:rPr>
              <w:t>2, 5 or 10 weeks</w:t>
            </w:r>
          </w:p>
        </w:tc>
      </w:tr>
      <w:tr>
        <w:trPr>
          <w:gridAfter w:val="1"/>
          <w:wAfter w:w="8" w:type="dxa"/>
        </w:trPr>
        <w:tc>
          <w:tcPr>
            <w:tcW w:w="5040" w:type="dxa"/>
          </w:tcPr>
          <w:p>
            <w:pPr>
              <w:pStyle w:val="yTableNAm"/>
              <w:spacing w:before="0"/>
              <w:rPr>
                <w:sz w:val="20"/>
              </w:rPr>
            </w:pPr>
            <w:r>
              <w:rPr>
                <w:sz w:val="20"/>
              </w:rPr>
              <w:t>Advance sales (maximum) (</w:t>
            </w:r>
            <w:r>
              <w:rPr>
                <w:i/>
                <w:iCs/>
                <w:sz w:val="20"/>
              </w:rPr>
              <w:t>if available</w:t>
            </w:r>
            <w:r>
              <w:rPr>
                <w:sz w:val="20"/>
              </w:rPr>
              <w:t>)</w:t>
            </w:r>
          </w:p>
        </w:tc>
        <w:tc>
          <w:tcPr>
            <w:tcW w:w="2040" w:type="dxa"/>
          </w:tcPr>
          <w:p>
            <w:pPr>
              <w:pStyle w:val="yTableNAm"/>
              <w:spacing w:before="0"/>
              <w:rPr>
                <w:sz w:val="20"/>
              </w:rPr>
            </w:pPr>
            <w:r>
              <w:rPr>
                <w:sz w:val="20"/>
              </w:rPr>
              <w:t>10 weeks</w:t>
            </w:r>
          </w:p>
        </w:tc>
      </w:tr>
      <w:tr>
        <w:trPr>
          <w:gridAfter w:val="1"/>
          <w:wAfter w:w="8" w:type="dxa"/>
        </w:trPr>
        <w:tc>
          <w:tcPr>
            <w:tcW w:w="5040" w:type="dxa"/>
          </w:tcPr>
          <w:p>
            <w:pPr>
              <w:pStyle w:val="yTableNAm"/>
              <w:spacing w:before="0"/>
              <w:rPr>
                <w:sz w:val="20"/>
              </w:rPr>
            </w:pPr>
            <w:r>
              <w:rPr>
                <w:sz w:val="20"/>
              </w:rPr>
              <w:t>Games per playslip (minimum)</w:t>
            </w:r>
          </w:p>
        </w:tc>
        <w:tc>
          <w:tcPr>
            <w:tcW w:w="2040" w:type="dxa"/>
          </w:tcPr>
          <w:p>
            <w:pPr>
              <w:pStyle w:val="yTableNAm"/>
              <w:spacing w:before="0"/>
              <w:rPr>
                <w:sz w:val="20"/>
              </w:rPr>
            </w:pPr>
            <w:r>
              <w:rPr>
                <w:sz w:val="20"/>
              </w:rPr>
              <w:t>4</w:t>
            </w:r>
          </w:p>
        </w:tc>
      </w:tr>
      <w:tr>
        <w:trPr>
          <w:gridAfter w:val="1"/>
          <w:wAfter w:w="8" w:type="dxa"/>
        </w:trPr>
        <w:tc>
          <w:tcPr>
            <w:tcW w:w="5040" w:type="dxa"/>
          </w:tcPr>
          <w:p>
            <w:pPr>
              <w:pStyle w:val="yTableNAm"/>
              <w:spacing w:before="0"/>
              <w:rPr>
                <w:sz w:val="20"/>
              </w:rPr>
            </w:pPr>
            <w:r>
              <w:rPr>
                <w:sz w:val="20"/>
              </w:rPr>
              <w:t>Systems entries per playslip (maximum)</w:t>
            </w:r>
          </w:p>
        </w:tc>
        <w:tc>
          <w:tcPr>
            <w:tcW w:w="2040" w:type="dxa"/>
          </w:tcPr>
          <w:p>
            <w:pPr>
              <w:pStyle w:val="yTableNAm"/>
              <w:spacing w:before="0"/>
              <w:rPr>
                <w:sz w:val="20"/>
              </w:rPr>
            </w:pPr>
            <w:r>
              <w:rPr>
                <w:sz w:val="20"/>
              </w:rPr>
              <w:t>18</w:t>
            </w:r>
            <w:r>
              <w:rPr>
                <w:sz w:val="20"/>
              </w:rPr>
              <w:br/>
              <w:t>(subject to maximum aggregate entry cost)</w:t>
            </w:r>
          </w:p>
        </w:tc>
      </w:tr>
      <w:tr>
        <w:trPr>
          <w:gridAfter w:val="1"/>
          <w:wAfter w:w="8" w:type="dxa"/>
        </w:trPr>
        <w:tc>
          <w:tcPr>
            <w:tcW w:w="5040" w:type="dxa"/>
          </w:tcPr>
          <w:p>
            <w:pPr>
              <w:pStyle w:val="yTableNAm"/>
              <w:spacing w:before="0"/>
              <w:rPr>
                <w:sz w:val="20"/>
              </w:rPr>
            </w:pPr>
            <w:r>
              <w:rPr>
                <w:sz w:val="20"/>
              </w:rPr>
              <w:t>Games per playslip (maximum)</w:t>
            </w:r>
          </w:p>
        </w:tc>
        <w:tc>
          <w:tcPr>
            <w:tcW w:w="2040" w:type="dxa"/>
          </w:tcPr>
          <w:p>
            <w:pPr>
              <w:pStyle w:val="yTableNAm"/>
              <w:spacing w:before="0"/>
              <w:rPr>
                <w:sz w:val="20"/>
              </w:rPr>
            </w:pPr>
            <w:r>
              <w:rPr>
                <w:sz w:val="20"/>
              </w:rPr>
              <w:t>18</w:t>
            </w:r>
          </w:p>
        </w:tc>
      </w:tr>
      <w:tr>
        <w:trPr>
          <w:gridAfter w:val="1"/>
          <w:wAfter w:w="8" w:type="dxa"/>
        </w:trPr>
        <w:tc>
          <w:tcPr>
            <w:tcW w:w="5040" w:type="dxa"/>
          </w:tcPr>
          <w:p>
            <w:pPr>
              <w:pStyle w:val="yTableNAm"/>
              <w:spacing w:before="0"/>
              <w:rPr>
                <w:sz w:val="20"/>
              </w:rPr>
            </w:pPr>
            <w:r>
              <w:rPr>
                <w:sz w:val="20"/>
              </w:rPr>
              <w:t>Games per oral request (default)</w:t>
            </w:r>
          </w:p>
        </w:tc>
        <w:tc>
          <w:tcPr>
            <w:tcW w:w="2040" w:type="dxa"/>
          </w:tcPr>
          <w:p>
            <w:pPr>
              <w:pStyle w:val="yTableNAm"/>
              <w:spacing w:before="0"/>
              <w:rPr>
                <w:sz w:val="20"/>
              </w:rPr>
            </w:pPr>
            <w:r>
              <w:rPr>
                <w:sz w:val="20"/>
              </w:rPr>
              <w:t>12, 18, 25, 30 or 50</w:t>
            </w:r>
          </w:p>
        </w:tc>
      </w:tr>
      <w:tr>
        <w:trPr>
          <w:gridAfter w:val="1"/>
          <w:wAfter w:w="8" w:type="dxa"/>
        </w:trPr>
        <w:tc>
          <w:tcPr>
            <w:tcW w:w="5040" w:type="dxa"/>
          </w:tcPr>
          <w:p>
            <w:pPr>
              <w:pStyle w:val="yTableNAm"/>
              <w:spacing w:before="0"/>
              <w:rPr>
                <w:sz w:val="20"/>
              </w:rPr>
            </w:pPr>
            <w:r>
              <w:rPr>
                <w:sz w:val="20"/>
              </w:rPr>
              <w:t>Games per oral request (</w:t>
            </w:r>
            <w:r>
              <w:rPr>
                <w:i/>
                <w:iCs/>
                <w:sz w:val="20"/>
              </w:rPr>
              <w:t>if available</w:t>
            </w:r>
            <w:r>
              <w:rPr>
                <w:sz w:val="20"/>
              </w:rPr>
              <w:t>)</w:t>
            </w:r>
          </w:p>
        </w:tc>
        <w:tc>
          <w:tcPr>
            <w:tcW w:w="2040" w:type="dxa"/>
          </w:tcPr>
          <w:p>
            <w:pPr>
              <w:pStyle w:val="yTableNAm"/>
              <w:spacing w:before="0"/>
              <w:rPr>
                <w:sz w:val="20"/>
              </w:rPr>
            </w:pPr>
            <w:r>
              <w:rPr>
                <w:sz w:val="20"/>
              </w:rPr>
              <w:t>4 to 50</w:t>
            </w:r>
          </w:p>
        </w:tc>
      </w:tr>
      <w:tr>
        <w:trPr>
          <w:gridAfter w:val="1"/>
          <w:wAfter w:w="8" w:type="dxa"/>
        </w:trPr>
        <w:tc>
          <w:tcPr>
            <w:tcW w:w="5040" w:type="dxa"/>
          </w:tcPr>
          <w:p>
            <w:pPr>
              <w:pStyle w:val="yTableNAm"/>
              <w:spacing w:before="0"/>
              <w:rPr>
                <w:sz w:val="20"/>
              </w:rPr>
            </w:pPr>
            <w:r>
              <w:rPr>
                <w:sz w:val="20"/>
              </w:rPr>
              <w:t>Syndicate entries may be purchased (</w:t>
            </w:r>
            <w:r>
              <w:rPr>
                <w:i/>
                <w:iCs/>
                <w:sz w:val="20"/>
              </w:rPr>
              <w:t>if available</w:t>
            </w:r>
            <w:r>
              <w:rPr>
                <w:sz w:val="20"/>
              </w:rPr>
              <w:t>)</w:t>
            </w:r>
          </w:p>
        </w:tc>
        <w:tc>
          <w:tcPr>
            <w:tcW w:w="2040" w:type="dxa"/>
          </w:tcPr>
          <w:p>
            <w:pPr>
              <w:pStyle w:val="yTableNAm"/>
              <w:spacing w:before="0"/>
              <w:rPr>
                <w:sz w:val="20"/>
              </w:rPr>
            </w:pPr>
            <w:r>
              <w:rPr>
                <w:sz w:val="20"/>
              </w:rPr>
              <w:t>(see Part 2A)</w:t>
            </w:r>
          </w:p>
        </w:tc>
      </w:tr>
      <w:tr>
        <w:trPr>
          <w:gridAfter w:val="1"/>
          <w:wAfter w:w="8" w:type="dxa"/>
        </w:trPr>
        <w:tc>
          <w:tcPr>
            <w:tcW w:w="5040" w:type="dxa"/>
          </w:tcPr>
          <w:p>
            <w:pPr>
              <w:pStyle w:val="yTableNAm"/>
              <w:spacing w:before="0"/>
              <w:rPr>
                <w:sz w:val="20"/>
              </w:rPr>
            </w:pPr>
            <w:r>
              <w:rPr>
                <w:sz w:val="20"/>
              </w:rPr>
              <w:t>Systems entries per oral request</w:t>
            </w:r>
          </w:p>
        </w:tc>
        <w:tc>
          <w:tcPr>
            <w:tcW w:w="2040" w:type="dxa"/>
          </w:tcPr>
          <w:p>
            <w:pPr>
              <w:pStyle w:val="yTableNAm"/>
              <w:spacing w:before="0"/>
              <w:rPr>
                <w:sz w:val="20"/>
              </w:rPr>
            </w:pPr>
            <w:r>
              <w:rPr>
                <w:sz w:val="20"/>
              </w:rPr>
              <w:t>1</w:t>
            </w:r>
          </w:p>
        </w:tc>
      </w:tr>
      <w:tr>
        <w:trPr>
          <w:gridAfter w:val="1"/>
          <w:wAfter w:w="8" w:type="dxa"/>
        </w:trPr>
        <w:tc>
          <w:tcPr>
            <w:tcW w:w="5040" w:type="dxa"/>
          </w:tcPr>
          <w:p>
            <w:pPr>
              <w:pStyle w:val="yTableNAm"/>
              <w:spacing w:before="0"/>
              <w:rPr>
                <w:sz w:val="20"/>
              </w:rPr>
            </w:pPr>
            <w:r>
              <w:rPr>
                <w:sz w:val="20"/>
              </w:rPr>
              <w:t>Prize payout period</w:t>
            </w:r>
          </w:p>
        </w:tc>
        <w:tc>
          <w:tcPr>
            <w:tcW w:w="2040" w:type="dxa"/>
          </w:tcPr>
          <w:p>
            <w:pPr>
              <w:pStyle w:val="yTableNAm"/>
              <w:spacing w:before="0"/>
              <w:rPr>
                <w:sz w:val="20"/>
              </w:rPr>
            </w:pPr>
            <w:r>
              <w:rPr>
                <w:sz w:val="20"/>
              </w:rPr>
              <w:t>12 months</w:t>
            </w:r>
          </w:p>
        </w:tc>
      </w:tr>
      <w:tr>
        <w:trPr>
          <w:gridAfter w:val="1"/>
          <w:wAfter w:w="8" w:type="dxa"/>
        </w:trPr>
        <w:tc>
          <w:tcPr>
            <w:tcW w:w="5040" w:type="dxa"/>
          </w:tcPr>
          <w:p>
            <w:pPr>
              <w:pStyle w:val="yTableNAm"/>
              <w:spacing w:before="0"/>
              <w:rPr>
                <w:sz w:val="20"/>
              </w:rPr>
            </w:pPr>
            <w:r>
              <w:rPr>
                <w:sz w:val="20"/>
              </w:rPr>
              <w:t>Maximum aggregate entry cost</w:t>
            </w:r>
          </w:p>
        </w:tc>
        <w:tc>
          <w:tcPr>
            <w:tcW w:w="2040" w:type="dxa"/>
          </w:tcPr>
          <w:p>
            <w:pPr>
              <w:pStyle w:val="yTableNAm"/>
              <w:spacing w:before="0"/>
              <w:rPr>
                <w:sz w:val="20"/>
              </w:rPr>
            </w:pPr>
            <w:r>
              <w:rPr>
                <w:sz w:val="20"/>
              </w:rPr>
              <w:t>$100 000</w:t>
            </w:r>
          </w:p>
        </w:tc>
      </w:tr>
    </w:tbl>
    <w:p>
      <w:pPr>
        <w:pStyle w:val="yFootnotesection"/>
      </w:pPr>
      <w:r>
        <w:tab/>
        <w:t>[Part 2 inserted in Gazette 21 Dec 2010 p. 6767; amended in Gazette 6 May 2014 p. 1390.]</w:t>
      </w:r>
    </w:p>
    <w:p>
      <w:pPr>
        <w:pStyle w:val="CentredBaseLine"/>
        <w:jc w:val="center"/>
      </w:pPr>
      <w:r>
        <w:rPr>
          <w:noProof/>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192" w:name="_Toc391299452"/>
      <w:bookmarkStart w:id="193" w:name="_Toc391299552"/>
      <w:bookmarkStart w:id="194" w:name="_Toc406506954"/>
      <w:bookmarkStart w:id="195" w:name="_Toc421106007"/>
      <w:bookmarkStart w:id="196" w:name="_Toc421106071"/>
      <w:bookmarkStart w:id="197" w:name="_Toc463612475"/>
      <w:r>
        <w:t>Notes</w:t>
      </w:r>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8" w:name="_Toc406506955"/>
      <w:bookmarkStart w:id="199" w:name="_Toc463612476"/>
      <w:r>
        <w:t>Compilation table</w:t>
      </w:r>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Lotteries Commission (Saturday Lotto) Rules 1996</w:t>
            </w:r>
          </w:p>
        </w:tc>
        <w:tc>
          <w:tcPr>
            <w:tcW w:w="1276" w:type="dxa"/>
            <w:tcBorders>
              <w:top w:val="single" w:sz="8" w:space="0" w:color="auto"/>
            </w:tcBorders>
          </w:tcPr>
          <w:p>
            <w:pPr>
              <w:pStyle w:val="nTable"/>
              <w:spacing w:after="40"/>
            </w:pPr>
            <w:r>
              <w:t>15 Nov 1996 p. 6529</w:t>
            </w:r>
            <w:r>
              <w:noBreakHyphen/>
              <w:t>52</w:t>
            </w:r>
          </w:p>
        </w:tc>
        <w:tc>
          <w:tcPr>
            <w:tcW w:w="2693" w:type="dxa"/>
            <w:tcBorders>
              <w:top w:val="single" w:sz="8" w:space="0" w:color="auto"/>
            </w:tcBorders>
          </w:tcPr>
          <w:p>
            <w:pPr>
              <w:pStyle w:val="nTable"/>
              <w:spacing w:after="40"/>
            </w:pPr>
            <w:r>
              <w:t>Rules other than r. 35(1): 18 Nov 1996 (see r. 2(1));</w:t>
            </w:r>
            <w:r>
              <w:br/>
              <w:t>r. 35(1): 31 Jan 1997 (see r. 2(2))</w:t>
            </w:r>
          </w:p>
        </w:tc>
      </w:tr>
      <w:tr>
        <w:trPr>
          <w:cantSplit/>
        </w:trPr>
        <w:tc>
          <w:tcPr>
            <w:tcW w:w="3119" w:type="dxa"/>
          </w:tcPr>
          <w:p>
            <w:pPr>
              <w:pStyle w:val="nTable"/>
              <w:spacing w:after="40"/>
              <w:ind w:right="113"/>
            </w:pPr>
            <w:r>
              <w:rPr>
                <w:i/>
              </w:rPr>
              <w:t>Lotteries Commission (Saturday Lotto) Amendment Rules 1997</w:t>
            </w:r>
          </w:p>
        </w:tc>
        <w:tc>
          <w:tcPr>
            <w:tcW w:w="1276" w:type="dxa"/>
          </w:tcPr>
          <w:p>
            <w:pPr>
              <w:pStyle w:val="nTable"/>
              <w:spacing w:after="40"/>
            </w:pPr>
            <w:r>
              <w:t>29 Apr 1997 p. 2147</w:t>
            </w:r>
          </w:p>
        </w:tc>
        <w:tc>
          <w:tcPr>
            <w:tcW w:w="2693" w:type="dxa"/>
          </w:tcPr>
          <w:p>
            <w:pPr>
              <w:pStyle w:val="nTable"/>
              <w:spacing w:after="40"/>
            </w:pPr>
            <w:r>
              <w:t>5 May 1997 (see r. 2)</w:t>
            </w:r>
          </w:p>
        </w:tc>
      </w:tr>
      <w:tr>
        <w:trPr>
          <w:cantSplit/>
        </w:trPr>
        <w:tc>
          <w:tcPr>
            <w:tcW w:w="3119" w:type="dxa"/>
          </w:tcPr>
          <w:p>
            <w:pPr>
              <w:pStyle w:val="nTable"/>
              <w:spacing w:after="40"/>
              <w:ind w:right="113"/>
            </w:pPr>
            <w:r>
              <w:rPr>
                <w:i/>
              </w:rPr>
              <w:t>Lotteries Commission (Lotto and Soccer Pools) Amendment Rules 1997</w:t>
            </w:r>
          </w:p>
        </w:tc>
        <w:tc>
          <w:tcPr>
            <w:tcW w:w="1276" w:type="dxa"/>
          </w:tcPr>
          <w:p>
            <w:pPr>
              <w:pStyle w:val="nTable"/>
              <w:spacing w:after="40"/>
            </w:pPr>
            <w:r>
              <w:t>31 Oct 1997 p. 6017</w:t>
            </w:r>
          </w:p>
        </w:tc>
        <w:tc>
          <w:tcPr>
            <w:tcW w:w="2693" w:type="dxa"/>
          </w:tcPr>
          <w:p>
            <w:pPr>
              <w:pStyle w:val="nTable"/>
              <w:spacing w:after="40"/>
            </w:pPr>
            <w:r>
              <w:t>3 Nov 1997 (see r. 2)</w:t>
            </w:r>
          </w:p>
        </w:tc>
      </w:tr>
      <w:tr>
        <w:trPr>
          <w:cantSplit/>
        </w:trPr>
        <w:tc>
          <w:tcPr>
            <w:tcW w:w="3119" w:type="dxa"/>
          </w:tcPr>
          <w:p>
            <w:pPr>
              <w:pStyle w:val="nTable"/>
              <w:spacing w:after="40"/>
              <w:ind w:right="113"/>
            </w:pPr>
            <w:r>
              <w:rPr>
                <w:i/>
              </w:rPr>
              <w:t>Lotteries Commission (Saturday Lotto) Amendment Rules (No. 2) 1997</w:t>
            </w:r>
          </w:p>
        </w:tc>
        <w:tc>
          <w:tcPr>
            <w:tcW w:w="1276" w:type="dxa"/>
          </w:tcPr>
          <w:p>
            <w:pPr>
              <w:pStyle w:val="nTable"/>
              <w:spacing w:after="40"/>
            </w:pPr>
            <w:r>
              <w:t>5 Dec 1997 p. 7130</w:t>
            </w:r>
            <w:r>
              <w:noBreakHyphen/>
              <w:t>1</w:t>
            </w:r>
          </w:p>
        </w:tc>
        <w:tc>
          <w:tcPr>
            <w:tcW w:w="2693" w:type="dxa"/>
          </w:tcPr>
          <w:p>
            <w:pPr>
              <w:pStyle w:val="nTable"/>
              <w:spacing w:after="40"/>
            </w:pPr>
            <w:r>
              <w:t>5 Dec 1997</w:t>
            </w:r>
          </w:p>
        </w:tc>
      </w:tr>
      <w:tr>
        <w:trPr>
          <w:cantSplit/>
        </w:trPr>
        <w:tc>
          <w:tcPr>
            <w:tcW w:w="3119" w:type="dxa"/>
          </w:tcPr>
          <w:p>
            <w:pPr>
              <w:pStyle w:val="nTable"/>
              <w:spacing w:after="40"/>
              <w:ind w:right="113"/>
              <w:rPr>
                <w:i/>
              </w:rPr>
            </w:pPr>
            <w:r>
              <w:rPr>
                <w:i/>
              </w:rPr>
              <w:t>Lotteries Commission (Saturday Lotto) Amendment Rules 2001</w:t>
            </w:r>
          </w:p>
        </w:tc>
        <w:tc>
          <w:tcPr>
            <w:tcW w:w="1276" w:type="dxa"/>
          </w:tcPr>
          <w:p>
            <w:pPr>
              <w:pStyle w:val="nTable"/>
              <w:spacing w:after="40"/>
            </w:pPr>
            <w:r>
              <w:t>9 Mar 2001 p. 1325</w:t>
            </w:r>
            <w:r>
              <w:noBreakHyphen/>
              <w:t>8</w:t>
            </w:r>
          </w:p>
        </w:tc>
        <w:tc>
          <w:tcPr>
            <w:tcW w:w="2693" w:type="dxa"/>
          </w:tcPr>
          <w:p>
            <w:pPr>
              <w:pStyle w:val="nTable"/>
              <w:spacing w:after="40"/>
            </w:pPr>
            <w:r>
              <w:t>11 Mar 2001 (see r. 2)</w:t>
            </w:r>
          </w:p>
        </w:tc>
      </w:tr>
      <w:tr>
        <w:trPr>
          <w:cantSplit/>
        </w:trPr>
        <w:tc>
          <w:tcPr>
            <w:tcW w:w="3119" w:type="dxa"/>
          </w:tcPr>
          <w:p>
            <w:pPr>
              <w:pStyle w:val="nTable"/>
              <w:spacing w:after="40"/>
              <w:ind w:right="113"/>
              <w:rPr>
                <w:i/>
              </w:rPr>
            </w:pPr>
            <w:r>
              <w:rPr>
                <w:i/>
              </w:rPr>
              <w:t>Lotteries Commission (Saturday Lotto) Amendment Rules 2002</w:t>
            </w:r>
          </w:p>
        </w:tc>
        <w:tc>
          <w:tcPr>
            <w:tcW w:w="1276" w:type="dxa"/>
          </w:tcPr>
          <w:p>
            <w:pPr>
              <w:pStyle w:val="nTable"/>
              <w:spacing w:after="40"/>
            </w:pPr>
            <w:r>
              <w:t>28 Mar 2002 p. 1765</w:t>
            </w:r>
          </w:p>
        </w:tc>
        <w:tc>
          <w:tcPr>
            <w:tcW w:w="2693" w:type="dxa"/>
          </w:tcPr>
          <w:p>
            <w:pPr>
              <w:pStyle w:val="nTable"/>
              <w:spacing w:after="40"/>
            </w:pPr>
            <w:r>
              <w:t>2 Apr 2002 (see r. 2)</w:t>
            </w:r>
          </w:p>
        </w:tc>
      </w:tr>
      <w:tr>
        <w:trPr>
          <w:cantSplit/>
        </w:trPr>
        <w:tc>
          <w:tcPr>
            <w:tcW w:w="7088" w:type="dxa"/>
            <w:gridSpan w:val="3"/>
          </w:tcPr>
          <w:p>
            <w:pPr>
              <w:pStyle w:val="nTable"/>
              <w:spacing w:after="40"/>
            </w:pPr>
            <w:r>
              <w:rPr>
                <w:b/>
              </w:rPr>
              <w:t xml:space="preserve">Reprint of the </w:t>
            </w:r>
            <w:r>
              <w:rPr>
                <w:b/>
                <w:i/>
              </w:rPr>
              <w:t>Lotteries Commission (Saturday Lotto) Rules 1996</w:t>
            </w:r>
            <w:r>
              <w:rPr>
                <w:b/>
              </w:rPr>
              <w:t xml:space="preserve"> as at 17 May 2002</w:t>
            </w:r>
            <w:r>
              <w:rPr>
                <w:b/>
              </w:rPr>
              <w:br/>
            </w:r>
            <w:r>
              <w:t>(includes amendments listed above)</w:t>
            </w:r>
          </w:p>
        </w:tc>
      </w:tr>
      <w:tr>
        <w:trPr>
          <w:cantSplit/>
        </w:trPr>
        <w:tc>
          <w:tcPr>
            <w:tcW w:w="3119" w:type="dxa"/>
          </w:tcPr>
          <w:p>
            <w:pPr>
              <w:pStyle w:val="nTable"/>
              <w:spacing w:after="40"/>
              <w:ind w:right="113"/>
              <w:rPr>
                <w:i/>
              </w:rPr>
            </w:pPr>
            <w:r>
              <w:rPr>
                <w:i/>
              </w:rPr>
              <w:t>Lotteries Commission (Saturday Lotto) Amendment Rules (No. 2) 2002</w:t>
            </w:r>
          </w:p>
        </w:tc>
        <w:tc>
          <w:tcPr>
            <w:tcW w:w="1276" w:type="dxa"/>
          </w:tcPr>
          <w:p>
            <w:pPr>
              <w:pStyle w:val="nTable"/>
              <w:spacing w:after="40"/>
            </w:pPr>
            <w:r>
              <w:t>10 Sep 2002 p. 4597</w:t>
            </w:r>
            <w:r>
              <w:noBreakHyphen/>
              <w:t>601</w:t>
            </w:r>
          </w:p>
        </w:tc>
        <w:tc>
          <w:tcPr>
            <w:tcW w:w="2693" w:type="dxa"/>
          </w:tcPr>
          <w:p>
            <w:pPr>
              <w:pStyle w:val="nTable"/>
              <w:spacing w:after="40"/>
            </w:pPr>
            <w:r>
              <w:t>29 Sep 2002 (see r. 2)</w:t>
            </w:r>
          </w:p>
        </w:tc>
      </w:tr>
      <w:tr>
        <w:trPr>
          <w:cantSplit/>
        </w:trPr>
        <w:tc>
          <w:tcPr>
            <w:tcW w:w="3119" w:type="dxa"/>
          </w:tcPr>
          <w:p>
            <w:pPr>
              <w:pStyle w:val="nTable"/>
              <w:spacing w:after="40"/>
              <w:ind w:right="113"/>
              <w:rPr>
                <w:i/>
              </w:rPr>
            </w:pPr>
            <w:r>
              <w:rPr>
                <w:i/>
              </w:rPr>
              <w:t>Lotteries Commission (Saturday Lotto) Amendment Rules 2003</w:t>
            </w:r>
          </w:p>
        </w:tc>
        <w:tc>
          <w:tcPr>
            <w:tcW w:w="1276" w:type="dxa"/>
          </w:tcPr>
          <w:p>
            <w:pPr>
              <w:pStyle w:val="nTable"/>
              <w:spacing w:after="40"/>
            </w:pPr>
            <w:r>
              <w:t>8 Aug 2003 p. 3577</w:t>
            </w:r>
            <w:r>
              <w:noBreakHyphen/>
              <w:t>8</w:t>
            </w:r>
          </w:p>
        </w:tc>
        <w:tc>
          <w:tcPr>
            <w:tcW w:w="2693" w:type="dxa"/>
          </w:tcPr>
          <w:p>
            <w:pPr>
              <w:pStyle w:val="nTable"/>
              <w:spacing w:after="40"/>
            </w:pPr>
            <w:r>
              <w:t>10 Aug 2003 (see r. 2)</w:t>
            </w:r>
          </w:p>
        </w:tc>
      </w:tr>
      <w:tr>
        <w:trPr>
          <w:cantSplit/>
        </w:trPr>
        <w:tc>
          <w:tcPr>
            <w:tcW w:w="3119" w:type="dxa"/>
          </w:tcPr>
          <w:p>
            <w:pPr>
              <w:pStyle w:val="nTable"/>
              <w:spacing w:after="40"/>
              <w:ind w:right="113"/>
              <w:rPr>
                <w:i/>
              </w:rPr>
            </w:pPr>
            <w:r>
              <w:rPr>
                <w:i/>
              </w:rPr>
              <w:t>Lotteries Commission (Saturday Lotto) Amendment Rules 2005</w:t>
            </w:r>
          </w:p>
        </w:tc>
        <w:tc>
          <w:tcPr>
            <w:tcW w:w="1276" w:type="dxa"/>
          </w:tcPr>
          <w:p>
            <w:pPr>
              <w:pStyle w:val="nTable"/>
              <w:spacing w:after="40"/>
            </w:pPr>
            <w:r>
              <w:t>23 Dec 2005 p. 6274</w:t>
            </w:r>
            <w:r>
              <w:noBreakHyphen/>
              <w:t>5</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Lotteries Commission (Saturday Lotto) Amendment Rules 2006</w:t>
            </w:r>
          </w:p>
        </w:tc>
        <w:tc>
          <w:tcPr>
            <w:tcW w:w="1276" w:type="dxa"/>
          </w:tcPr>
          <w:p>
            <w:pPr>
              <w:pStyle w:val="nTable"/>
              <w:spacing w:after="40"/>
            </w:pPr>
            <w:r>
              <w:t>10 Feb 2006 p. 661</w:t>
            </w:r>
            <w:r>
              <w:noBreakHyphen/>
              <w:t>5</w:t>
            </w:r>
          </w:p>
        </w:tc>
        <w:tc>
          <w:tcPr>
            <w:tcW w:w="2693" w:type="dxa"/>
          </w:tcPr>
          <w:p>
            <w:pPr>
              <w:pStyle w:val="nTable"/>
              <w:spacing w:after="40"/>
            </w:pPr>
            <w:r>
              <w:t>12 Mar 2006 (see r. 2)</w:t>
            </w:r>
          </w:p>
        </w:tc>
      </w:tr>
      <w:tr>
        <w:trPr>
          <w:cantSplit/>
        </w:trPr>
        <w:tc>
          <w:tcPr>
            <w:tcW w:w="7088" w:type="dxa"/>
            <w:gridSpan w:val="3"/>
          </w:tcPr>
          <w:p>
            <w:pPr>
              <w:pStyle w:val="nTable"/>
              <w:spacing w:after="40"/>
            </w:pPr>
            <w:r>
              <w:rPr>
                <w:b/>
              </w:rPr>
              <w:t xml:space="preserve">Reprint 2: The </w:t>
            </w:r>
            <w:r>
              <w:rPr>
                <w:b/>
                <w:i/>
              </w:rPr>
              <w:t>Lotteries Commission (Saturday Lotto) Rules 1996</w:t>
            </w:r>
            <w:r>
              <w:rPr>
                <w:b/>
              </w:rPr>
              <w:t xml:space="preserve"> as at 4 Aug 2006</w:t>
            </w:r>
            <w:r>
              <w:rPr>
                <w:b/>
              </w:rPr>
              <w:br/>
            </w:r>
            <w:r>
              <w:t>(includes amendments listed above)</w:t>
            </w:r>
          </w:p>
        </w:tc>
      </w:tr>
      <w:tr>
        <w:trPr>
          <w:cantSplit/>
        </w:trPr>
        <w:tc>
          <w:tcPr>
            <w:tcW w:w="3119" w:type="dxa"/>
          </w:tcPr>
          <w:p>
            <w:pPr>
              <w:pStyle w:val="nTable"/>
              <w:spacing w:after="40"/>
              <w:ind w:right="113"/>
              <w:rPr>
                <w:i/>
              </w:rPr>
            </w:pPr>
            <w:r>
              <w:rPr>
                <w:i/>
              </w:rPr>
              <w:t>Lotteries Commission (Saturday Lotto) Amendment Rules (No. 2) 2006</w:t>
            </w:r>
          </w:p>
        </w:tc>
        <w:tc>
          <w:tcPr>
            <w:tcW w:w="1276" w:type="dxa"/>
          </w:tcPr>
          <w:p>
            <w:pPr>
              <w:pStyle w:val="nTable"/>
              <w:spacing w:after="40"/>
            </w:pPr>
            <w:r>
              <w:t>29 Sep 2006 p. 4267</w:t>
            </w:r>
            <w:r>
              <w:noBreakHyphen/>
              <w:t>8</w:t>
            </w:r>
          </w:p>
        </w:tc>
        <w:tc>
          <w:tcPr>
            <w:tcW w:w="2693" w:type="dxa"/>
          </w:tcPr>
          <w:p>
            <w:pPr>
              <w:pStyle w:val="nTable"/>
              <w:spacing w:after="40"/>
            </w:pPr>
            <w:r>
              <w:t>29 Sep 2006</w:t>
            </w:r>
          </w:p>
        </w:tc>
      </w:tr>
      <w:tr>
        <w:trPr>
          <w:cantSplit/>
        </w:trPr>
        <w:tc>
          <w:tcPr>
            <w:tcW w:w="3119" w:type="dxa"/>
          </w:tcPr>
          <w:p>
            <w:pPr>
              <w:pStyle w:val="nTable"/>
              <w:spacing w:after="40"/>
              <w:ind w:right="113"/>
              <w:rPr>
                <w:i/>
              </w:rPr>
            </w:pPr>
            <w:r>
              <w:rPr>
                <w:i/>
              </w:rPr>
              <w:t>Lotteries Commission (Saturday Lotto) Amendment Rules 2007</w:t>
            </w:r>
          </w:p>
        </w:tc>
        <w:tc>
          <w:tcPr>
            <w:tcW w:w="1276" w:type="dxa"/>
          </w:tcPr>
          <w:p>
            <w:pPr>
              <w:pStyle w:val="nTable"/>
              <w:spacing w:after="40"/>
            </w:pPr>
            <w:r>
              <w:t>26 Jun 2007 p. 3053</w:t>
            </w:r>
            <w:r>
              <w:noBreakHyphen/>
              <w:t>4</w:t>
            </w:r>
          </w:p>
        </w:tc>
        <w:tc>
          <w:tcPr>
            <w:tcW w:w="2693" w:type="dxa"/>
          </w:tcPr>
          <w:p>
            <w:pPr>
              <w:pStyle w:val="nTable"/>
              <w:spacing w:after="40"/>
            </w:pPr>
            <w:r>
              <w:rPr>
                <w:snapToGrid w:val="0"/>
              </w:rPr>
              <w:t>r. 1 and 2: 26 Jun 2007 (see r. 2(a));</w:t>
            </w:r>
            <w:r>
              <w:rPr>
                <w:snapToGrid w:val="0"/>
              </w:rPr>
              <w:br/>
              <w:t>Rules other than r. 1 and 2: 27 Jun 2007 (see r. 2(b))</w:t>
            </w:r>
          </w:p>
        </w:tc>
      </w:tr>
      <w:tr>
        <w:trPr>
          <w:cantSplit/>
        </w:trPr>
        <w:tc>
          <w:tcPr>
            <w:tcW w:w="3119" w:type="dxa"/>
          </w:tcPr>
          <w:p>
            <w:pPr>
              <w:pStyle w:val="nTable"/>
              <w:spacing w:after="40"/>
              <w:ind w:right="113"/>
              <w:rPr>
                <w:i/>
              </w:rPr>
            </w:pPr>
            <w:r>
              <w:rPr>
                <w:i/>
              </w:rPr>
              <w:t>Lotteries Commission (Saturday Lotto) Amendment Rules 2008</w:t>
            </w:r>
          </w:p>
        </w:tc>
        <w:tc>
          <w:tcPr>
            <w:tcW w:w="1276" w:type="dxa"/>
          </w:tcPr>
          <w:p>
            <w:pPr>
              <w:pStyle w:val="nTable"/>
              <w:spacing w:after="40"/>
            </w:pPr>
            <w:r>
              <w:t>6 Jun 2008 p. 2253</w:t>
            </w:r>
            <w:r>
              <w:noBreakHyphen/>
              <w:t>74</w:t>
            </w:r>
          </w:p>
        </w:tc>
        <w:tc>
          <w:tcPr>
            <w:tcW w:w="2693" w:type="dxa"/>
          </w:tcPr>
          <w:p>
            <w:pPr>
              <w:pStyle w:val="nTable"/>
              <w:spacing w:after="40"/>
              <w:rPr>
                <w:snapToGrid w:val="0"/>
              </w:rPr>
            </w:pPr>
            <w:r>
              <w:rPr>
                <w:snapToGrid w:val="0"/>
              </w:rPr>
              <w:t>r. 1 and 2: 6 Jun 2008 (see r. 2(a));</w:t>
            </w:r>
            <w:r>
              <w:rPr>
                <w:snapToGrid w:val="0"/>
              </w:rPr>
              <w:br/>
              <w:t>Rules other than r. 1 and 2: 8 Jun 2008 (see r. 2(b))</w:t>
            </w:r>
          </w:p>
        </w:tc>
      </w:tr>
      <w:tr>
        <w:trPr>
          <w:cantSplit/>
        </w:trPr>
        <w:tc>
          <w:tcPr>
            <w:tcW w:w="3119" w:type="dxa"/>
          </w:tcPr>
          <w:p>
            <w:pPr>
              <w:pStyle w:val="nTable"/>
              <w:spacing w:after="40"/>
              <w:ind w:right="113"/>
              <w:rPr>
                <w:i/>
              </w:rPr>
            </w:pPr>
            <w:r>
              <w:rPr>
                <w:i/>
              </w:rPr>
              <w:t>Lotteries Commission (Saturday Lotto) Amendment Rules (No. 2) 2008</w:t>
            </w:r>
          </w:p>
        </w:tc>
        <w:tc>
          <w:tcPr>
            <w:tcW w:w="1276" w:type="dxa"/>
          </w:tcPr>
          <w:p>
            <w:pPr>
              <w:pStyle w:val="nTable"/>
              <w:spacing w:after="40"/>
            </w:pPr>
            <w:r>
              <w:t>3 Oct 2008 p. 4497</w:t>
            </w:r>
            <w:r>
              <w:noBreakHyphen/>
              <w:t>9</w:t>
            </w:r>
          </w:p>
        </w:tc>
        <w:tc>
          <w:tcPr>
            <w:tcW w:w="2693" w:type="dxa"/>
          </w:tcPr>
          <w:p>
            <w:pPr>
              <w:pStyle w:val="nTable"/>
              <w:spacing w:after="40"/>
              <w:rPr>
                <w:snapToGrid w:val="0"/>
              </w:rPr>
            </w:pPr>
            <w:r>
              <w:rPr>
                <w:snapToGrid w:val="0"/>
              </w:rPr>
              <w:t>r. 1 and 2: 3 Oct 2008 (see r. 2(a));</w:t>
            </w:r>
            <w:r>
              <w:rPr>
                <w:snapToGrid w:val="0"/>
              </w:rPr>
              <w:br/>
              <w:t>Rules other than r. 1 and 2: 12 Oct 2008 (see r. 2(b) and applies to Saturday lotto draws conducted on or after 18 Oct 2008)</w:t>
            </w:r>
          </w:p>
        </w:tc>
      </w:tr>
      <w:tr>
        <w:trPr>
          <w:cantSplit/>
        </w:trPr>
        <w:tc>
          <w:tcPr>
            <w:tcW w:w="7088" w:type="dxa"/>
            <w:gridSpan w:val="3"/>
          </w:tcPr>
          <w:p>
            <w:pPr>
              <w:pStyle w:val="nTable"/>
              <w:spacing w:after="40"/>
              <w:rPr>
                <w:snapToGrid w:val="0"/>
              </w:rPr>
            </w:pPr>
            <w:r>
              <w:rPr>
                <w:b/>
              </w:rPr>
              <w:t xml:space="preserve">Reprint 3: The </w:t>
            </w:r>
            <w:r>
              <w:rPr>
                <w:b/>
                <w:i/>
              </w:rPr>
              <w:t>Lotteries Commission (Saturday Lotto) Rules 1996</w:t>
            </w:r>
            <w:r>
              <w:rPr>
                <w:b/>
              </w:rPr>
              <w:t xml:space="preserve"> as at 13 Mar 2009</w:t>
            </w:r>
            <w:r>
              <w:rPr>
                <w:b/>
              </w:rPr>
              <w:br/>
            </w:r>
            <w:r>
              <w:t>(includes amendments listed above)</w:t>
            </w:r>
          </w:p>
        </w:tc>
      </w:tr>
      <w:tr>
        <w:tc>
          <w:tcPr>
            <w:tcW w:w="3119" w:type="dxa"/>
          </w:tcPr>
          <w:p>
            <w:pPr>
              <w:pStyle w:val="nTable"/>
              <w:spacing w:after="40"/>
              <w:rPr>
                <w:iCs/>
              </w:rPr>
            </w:pPr>
            <w:r>
              <w:rPr>
                <w:i/>
              </w:rPr>
              <w:t>Lotteries Commission Amendment Rules 2009</w:t>
            </w:r>
            <w:r>
              <w:rPr>
                <w:iCs/>
              </w:rPr>
              <w:t xml:space="preserve"> Pt. 3</w:t>
            </w:r>
          </w:p>
        </w:tc>
        <w:tc>
          <w:tcPr>
            <w:tcW w:w="1276" w:type="dxa"/>
          </w:tcPr>
          <w:p>
            <w:pPr>
              <w:pStyle w:val="nTable"/>
              <w:spacing w:after="40"/>
            </w:pPr>
            <w:r>
              <w:t>15 May 2009 p. 1632</w:t>
            </w:r>
            <w:r>
              <w:noBreakHyphen/>
              <w:t>5</w:t>
            </w:r>
          </w:p>
        </w:tc>
        <w:tc>
          <w:tcPr>
            <w:tcW w:w="2693" w:type="dxa"/>
          </w:tcPr>
          <w:p>
            <w:pPr>
              <w:pStyle w:val="nTable"/>
              <w:spacing w:after="40"/>
              <w:rPr>
                <w:rFonts w:ascii="Times" w:hAnsi="Times"/>
              </w:rPr>
            </w:pPr>
            <w:r>
              <w:rPr>
                <w:rFonts w:ascii="Times" w:hAnsi="Times"/>
              </w:rPr>
              <w:t>17 May 2009 (see r. 2(b))</w:t>
            </w:r>
          </w:p>
        </w:tc>
      </w:tr>
      <w:tr>
        <w:tc>
          <w:tcPr>
            <w:tcW w:w="3119" w:type="dxa"/>
          </w:tcPr>
          <w:p>
            <w:pPr>
              <w:pStyle w:val="nTable"/>
              <w:spacing w:after="40"/>
              <w:rPr>
                <w:i/>
              </w:rPr>
            </w:pPr>
            <w:r>
              <w:rPr>
                <w:i/>
              </w:rPr>
              <w:t>Lotteries Commission (Saturday Lotto) Amendment Rules 2010</w:t>
            </w:r>
          </w:p>
        </w:tc>
        <w:tc>
          <w:tcPr>
            <w:tcW w:w="1276" w:type="dxa"/>
          </w:tcPr>
          <w:p>
            <w:pPr>
              <w:pStyle w:val="nTable"/>
              <w:spacing w:after="40"/>
            </w:pPr>
            <w:r>
              <w:t>12 Mar 2010 p. 948</w:t>
            </w:r>
            <w:r>
              <w:noBreakHyphen/>
              <w:t>50</w:t>
            </w:r>
          </w:p>
        </w:tc>
        <w:tc>
          <w:tcPr>
            <w:tcW w:w="2693" w:type="dxa"/>
          </w:tcPr>
          <w:p>
            <w:pPr>
              <w:pStyle w:val="nTable"/>
              <w:spacing w:after="40"/>
              <w:rPr>
                <w:rFonts w:ascii="Times" w:hAnsi="Times"/>
              </w:rPr>
            </w:pPr>
            <w:r>
              <w:rPr>
                <w:rFonts w:ascii="Times" w:hAnsi="Times"/>
                <w:snapToGrid w:val="0"/>
              </w:rPr>
              <w:t>r. 1 and 2: 12 Mar 2010 (see r. 2(a));</w:t>
            </w:r>
            <w:r>
              <w:rPr>
                <w:rFonts w:ascii="Times" w:hAnsi="Times"/>
                <w:snapToGrid w:val="0"/>
              </w:rPr>
              <w:br/>
              <w:t>Rules other than r. 1 and 2: 14 Mar 2010 (see r. 2(b))</w:t>
            </w:r>
          </w:p>
        </w:tc>
      </w:tr>
      <w:tr>
        <w:tc>
          <w:tcPr>
            <w:tcW w:w="3119" w:type="dxa"/>
          </w:tcPr>
          <w:p>
            <w:pPr>
              <w:pStyle w:val="nTable"/>
              <w:spacing w:after="40"/>
              <w:rPr>
                <w:i/>
              </w:rPr>
            </w:pPr>
            <w:r>
              <w:rPr>
                <w:i/>
              </w:rPr>
              <w:t>Lotteries Commission (Saturday Lotto) Amendment Rules (No. 2) 2010</w:t>
            </w:r>
          </w:p>
        </w:tc>
        <w:tc>
          <w:tcPr>
            <w:tcW w:w="1276" w:type="dxa"/>
          </w:tcPr>
          <w:p>
            <w:pPr>
              <w:pStyle w:val="nTable"/>
              <w:spacing w:after="40"/>
            </w:pPr>
            <w:r>
              <w:t>19 Nov 2010 p. 5729</w:t>
            </w:r>
            <w:r>
              <w:noBreakHyphen/>
              <w:t>32</w:t>
            </w:r>
          </w:p>
        </w:tc>
        <w:tc>
          <w:tcPr>
            <w:tcW w:w="2693" w:type="dxa"/>
          </w:tcPr>
          <w:p>
            <w:pPr>
              <w:pStyle w:val="nTable"/>
              <w:spacing w:after="40"/>
              <w:rPr>
                <w:rFonts w:ascii="Times" w:hAnsi="Times"/>
                <w:snapToGrid w:val="0"/>
              </w:rPr>
            </w:pPr>
            <w:r>
              <w:rPr>
                <w:rFonts w:ascii="Times" w:hAnsi="Times"/>
                <w:snapToGrid w:val="0"/>
              </w:rPr>
              <w:t>r. 1 and 2: 19 Nov 2010 (see r. 2(a));</w:t>
            </w:r>
            <w:r>
              <w:rPr>
                <w:rFonts w:ascii="Times" w:hAnsi="Times"/>
                <w:snapToGrid w:val="0"/>
              </w:rPr>
              <w:br/>
              <w:t>Rules other than r. 1 and 2: 20 Nov 2010 (see r. 2(b))</w:t>
            </w:r>
          </w:p>
        </w:tc>
      </w:tr>
      <w:tr>
        <w:tc>
          <w:tcPr>
            <w:tcW w:w="3119" w:type="dxa"/>
            <w:shd w:val="clear" w:color="auto" w:fill="auto"/>
          </w:tcPr>
          <w:p>
            <w:pPr>
              <w:pStyle w:val="nTable"/>
              <w:spacing w:after="40"/>
              <w:rPr>
                <w:i/>
              </w:rPr>
            </w:pPr>
            <w:r>
              <w:rPr>
                <w:i/>
              </w:rPr>
              <w:t>Lotteries Commission (Saturday Lotto) Amendment Rules (No. 3) 2010</w:t>
            </w:r>
          </w:p>
        </w:tc>
        <w:tc>
          <w:tcPr>
            <w:tcW w:w="1276" w:type="dxa"/>
            <w:shd w:val="clear" w:color="auto" w:fill="auto"/>
          </w:tcPr>
          <w:p>
            <w:pPr>
              <w:pStyle w:val="nTable"/>
              <w:spacing w:after="40"/>
            </w:pPr>
            <w:r>
              <w:t>21 Dec 2010 p. 6763</w:t>
            </w:r>
            <w:r>
              <w:noBreakHyphen/>
              <w:t>7</w:t>
            </w:r>
          </w:p>
        </w:tc>
        <w:tc>
          <w:tcPr>
            <w:tcW w:w="2693" w:type="dxa"/>
            <w:shd w:val="clear" w:color="auto" w:fill="auto"/>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 xml:space="preserve">Rules other than r. 1 and 2: </w:t>
            </w:r>
            <w:r>
              <w:rPr>
                <w:rFonts w:ascii="Times" w:hAnsi="Times"/>
              </w:rPr>
              <w:t>23 Jan 2011 (see r. 2(b))</w:t>
            </w:r>
          </w:p>
        </w:tc>
      </w:tr>
      <w:tr>
        <w:tc>
          <w:tcPr>
            <w:tcW w:w="7088" w:type="dxa"/>
            <w:gridSpan w:val="3"/>
            <w:shd w:val="clear" w:color="auto" w:fill="auto"/>
          </w:tcPr>
          <w:p>
            <w:pPr>
              <w:pStyle w:val="nTable"/>
              <w:spacing w:after="40"/>
              <w:rPr>
                <w:rFonts w:ascii="Times" w:hAnsi="Times"/>
                <w:snapToGrid w:val="0"/>
              </w:rPr>
            </w:pPr>
            <w:r>
              <w:rPr>
                <w:b/>
              </w:rPr>
              <w:t xml:space="preserve">Reprint 4: The </w:t>
            </w:r>
            <w:r>
              <w:rPr>
                <w:b/>
                <w:i/>
              </w:rPr>
              <w:t>Lotteries Commission (Saturday Lotto) Rules 1996</w:t>
            </w:r>
            <w:r>
              <w:rPr>
                <w:b/>
              </w:rPr>
              <w:t xml:space="preserve"> as at 19 Oct 2012</w:t>
            </w:r>
            <w:r>
              <w:rPr>
                <w:b/>
              </w:rPr>
              <w:br/>
            </w:r>
            <w:r>
              <w:t>(includes amendments listed above)</w:t>
            </w:r>
          </w:p>
        </w:tc>
      </w:tr>
      <w:tr>
        <w:tc>
          <w:tcPr>
            <w:tcW w:w="3119" w:type="dxa"/>
            <w:shd w:val="clear" w:color="auto" w:fill="auto"/>
          </w:tcPr>
          <w:p>
            <w:pPr>
              <w:pStyle w:val="nTable"/>
              <w:spacing w:after="40"/>
              <w:rPr>
                <w:i/>
              </w:rPr>
            </w:pPr>
            <w:r>
              <w:rPr>
                <w:i/>
              </w:rPr>
              <w:t>Lotteries Commission (Saturday Lotto) Amendment Rules 2014</w:t>
            </w:r>
          </w:p>
        </w:tc>
        <w:tc>
          <w:tcPr>
            <w:tcW w:w="1276" w:type="dxa"/>
            <w:shd w:val="clear" w:color="auto" w:fill="auto"/>
          </w:tcPr>
          <w:p>
            <w:pPr>
              <w:pStyle w:val="nTable"/>
              <w:spacing w:after="40"/>
            </w:pPr>
            <w:r>
              <w:t>6 May 2014 p. 1386</w:t>
            </w:r>
            <w:r>
              <w:noBreakHyphen/>
              <w:t>90</w:t>
            </w:r>
          </w:p>
        </w:tc>
        <w:tc>
          <w:tcPr>
            <w:tcW w:w="2693" w:type="dxa"/>
            <w:shd w:val="clear" w:color="auto" w:fill="auto"/>
          </w:tcPr>
          <w:p>
            <w:pPr>
              <w:pStyle w:val="nTable"/>
              <w:spacing w:after="40"/>
              <w:rPr>
                <w:rFonts w:ascii="Times" w:hAnsi="Times"/>
                <w:snapToGrid w:val="0"/>
              </w:rPr>
            </w:pPr>
            <w:r>
              <w:rPr>
                <w:rFonts w:ascii="Times" w:hAnsi="Times"/>
                <w:snapToGrid w:val="0"/>
              </w:rPr>
              <w:t>r. 1 and 2: 6 May 2014 (see r. 2(a));</w:t>
            </w:r>
            <w:r>
              <w:rPr>
                <w:rFonts w:ascii="Times" w:hAnsi="Times"/>
                <w:snapToGrid w:val="0"/>
              </w:rPr>
              <w:br/>
              <w:t xml:space="preserve">Rules other than r. 1 and 2: </w:t>
            </w:r>
            <w:r>
              <w:rPr>
                <w:rFonts w:ascii="Times" w:hAnsi="Times"/>
              </w:rPr>
              <w:t>7 May 2014 (see r. 2(b))</w:t>
            </w:r>
          </w:p>
        </w:tc>
      </w:tr>
      <w:tr>
        <w:tc>
          <w:tcPr>
            <w:tcW w:w="3119" w:type="dxa"/>
            <w:shd w:val="clear" w:color="auto" w:fill="auto"/>
          </w:tcPr>
          <w:p>
            <w:pPr>
              <w:pStyle w:val="nTable"/>
              <w:spacing w:after="40"/>
              <w:rPr>
                <w:i/>
              </w:rPr>
            </w:pPr>
            <w:r>
              <w:rPr>
                <w:i/>
              </w:rPr>
              <w:t>Lotteries Commission (Saturday Lotto) Amendment Rules (No. 2) 2014</w:t>
            </w:r>
          </w:p>
        </w:tc>
        <w:tc>
          <w:tcPr>
            <w:tcW w:w="1276" w:type="dxa"/>
            <w:shd w:val="clear" w:color="auto" w:fill="auto"/>
          </w:tcPr>
          <w:p>
            <w:pPr>
              <w:pStyle w:val="nTable"/>
              <w:spacing w:after="40"/>
            </w:pPr>
            <w:r>
              <w:t>24 Jun 2014 p. 2093</w:t>
            </w:r>
            <w:r>
              <w:noBreakHyphen/>
              <w:t>4</w:t>
            </w:r>
          </w:p>
        </w:tc>
        <w:tc>
          <w:tcPr>
            <w:tcW w:w="2693" w:type="dxa"/>
            <w:shd w:val="clear" w:color="auto" w:fill="auto"/>
          </w:tcPr>
          <w:p>
            <w:pPr>
              <w:pStyle w:val="nTable"/>
              <w:spacing w:after="40"/>
              <w:rPr>
                <w:rFonts w:ascii="Times" w:hAnsi="Times"/>
                <w:snapToGrid w:val="0"/>
              </w:rPr>
            </w:pPr>
            <w:r>
              <w:rPr>
                <w:rFonts w:ascii="Times" w:hAnsi="Times"/>
                <w:snapToGrid w:val="0"/>
              </w:rPr>
              <w:t>r. 1 and 2: 24 Jun 2014 (see r. 2(a));</w:t>
            </w:r>
            <w:r>
              <w:rPr>
                <w:rFonts w:ascii="Times" w:hAnsi="Times"/>
                <w:snapToGrid w:val="0"/>
              </w:rPr>
              <w:br/>
              <w:t>Rules other than r. 1 and 2: 25</w:t>
            </w:r>
            <w:r>
              <w:rPr>
                <w:rFonts w:ascii="Times" w:hAnsi="Times"/>
              </w:rPr>
              <w:t> Jun 2014 (see r. 2(b))</w:t>
            </w:r>
          </w:p>
        </w:tc>
      </w:tr>
      <w:tr>
        <w:tc>
          <w:tcPr>
            <w:tcW w:w="3119" w:type="dxa"/>
            <w:shd w:val="clear" w:color="auto" w:fill="auto"/>
          </w:tcPr>
          <w:p>
            <w:pPr>
              <w:pStyle w:val="nTable"/>
              <w:spacing w:after="40"/>
              <w:rPr>
                <w:i/>
              </w:rPr>
            </w:pPr>
            <w:r>
              <w:rPr>
                <w:i/>
              </w:rPr>
              <w:t>Lotteries Commission (Saturday Lotto) Amendment Rules (No. 3) 2014</w:t>
            </w:r>
          </w:p>
        </w:tc>
        <w:tc>
          <w:tcPr>
            <w:tcW w:w="1276" w:type="dxa"/>
            <w:shd w:val="clear" w:color="auto" w:fill="auto"/>
          </w:tcPr>
          <w:p>
            <w:pPr>
              <w:pStyle w:val="nTable"/>
              <w:spacing w:after="40"/>
            </w:pPr>
            <w:r>
              <w:t>16 Dec 2014 p. 4761</w:t>
            </w:r>
            <w: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spacing w:val="-2"/>
              </w:rPr>
              <w:t>r. 1 and 2: 16 Dec 2014 (see r. 2(a));</w:t>
            </w:r>
            <w:r>
              <w:rPr>
                <w:rFonts w:ascii="Times" w:hAnsi="Times"/>
                <w:bCs/>
                <w:snapToGrid w:val="0"/>
                <w:spacing w:val="-2"/>
              </w:rPr>
              <w:br/>
              <w:t>Rules other than r. 1 and 2: 17 Dec 2014 (see r. 2(b))</w:t>
            </w:r>
          </w:p>
        </w:tc>
      </w:tr>
      <w:tr>
        <w:tc>
          <w:tcPr>
            <w:tcW w:w="7088" w:type="dxa"/>
            <w:gridSpan w:val="3"/>
            <w:tcBorders>
              <w:bottom w:val="single" w:sz="4" w:space="0" w:color="auto"/>
            </w:tcBorders>
            <w:shd w:val="clear" w:color="auto" w:fill="auto"/>
          </w:tcPr>
          <w:p>
            <w:pPr>
              <w:pStyle w:val="nTable"/>
              <w:spacing w:after="40"/>
              <w:rPr>
                <w:rFonts w:ascii="Times" w:hAnsi="Times"/>
                <w:b/>
                <w:bCs/>
                <w:snapToGrid w:val="0"/>
                <w:spacing w:val="-2"/>
              </w:rPr>
            </w:pPr>
            <w:r>
              <w:rPr>
                <w:rFonts w:ascii="Times" w:hAnsi="Times"/>
                <w:b/>
                <w:bCs/>
                <w:snapToGrid w:val="0"/>
                <w:color w:val="FF0000"/>
                <w:spacing w:val="-2"/>
              </w:rPr>
              <w:t xml:space="preserve">These rules were repealed by the </w:t>
            </w:r>
            <w:r>
              <w:rPr>
                <w:rFonts w:ascii="Times" w:hAnsi="Times"/>
                <w:b/>
                <w:bCs/>
                <w:i/>
                <w:snapToGrid w:val="0"/>
                <w:color w:val="FF0000"/>
                <w:spacing w:val="-2"/>
              </w:rPr>
              <w:t>Lotteries Commission (Authorised Lotteries) Rules 2016</w:t>
            </w:r>
            <w:r>
              <w:rPr>
                <w:rFonts w:ascii="Times" w:hAnsi="Times"/>
                <w:b/>
                <w:bCs/>
                <w:snapToGrid w:val="0"/>
                <w:color w:val="FF0000"/>
                <w:spacing w:val="-2"/>
              </w:rPr>
              <w:t xml:space="preserve"> r. 146(f) as at 8 Oct 2016 (see r. 2(b))</w:t>
            </w:r>
          </w:p>
        </w:tc>
      </w:tr>
    </w:tbl>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201" w:name="_Toc421106073"/>
      <w:bookmarkStart w:id="202" w:name="_Toc463612477"/>
      <w:r>
        <w:rPr>
          <w:sz w:val="28"/>
        </w:rPr>
        <w:t>Defined terms</w:t>
      </w:r>
      <w:bookmarkEnd w:id="201"/>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3</w:t>
      </w:r>
    </w:p>
    <w:p>
      <w:pPr>
        <w:pStyle w:val="DefinedTerms"/>
      </w:pPr>
      <w:r>
        <w:t>agent’s component</w:t>
      </w:r>
      <w:r>
        <w:tab/>
        <w:t>3</w:t>
      </w:r>
    </w:p>
    <w:p>
      <w:pPr>
        <w:pStyle w:val="DefinedTerms"/>
      </w:pPr>
      <w:r>
        <w:t>Australian Lotto Bloc</w:t>
      </w:r>
      <w:r>
        <w:tab/>
        <w:t>3</w:t>
      </w:r>
    </w:p>
    <w:p>
      <w:pPr>
        <w:pStyle w:val="DefinedTerms"/>
      </w:pPr>
      <w:r>
        <w:t>authorised payout centre</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Saturday lotto</w:t>
      </w:r>
      <w:r>
        <w:tab/>
        <w:t>3</w:t>
      </w:r>
    </w:p>
    <w:p>
      <w:pPr>
        <w:pStyle w:val="DefinedTerms"/>
      </w:pPr>
      <w:r>
        <w:t>Saturday lotto draw</w:t>
      </w:r>
      <w:r>
        <w:tab/>
        <w:t>3</w:t>
      </w:r>
    </w:p>
    <w:p>
      <w:pPr>
        <w:pStyle w:val="DefinedTerms"/>
      </w:pPr>
      <w:r>
        <w:t>selected number</w:t>
      </w:r>
      <w:r>
        <w:tab/>
        <w:t>3</w:t>
      </w:r>
    </w:p>
    <w:p>
      <w:pPr>
        <w:pStyle w:val="DefinedTerms"/>
      </w:pPr>
      <w:r>
        <w:t>selling period</w:t>
      </w:r>
      <w:r>
        <w:tab/>
        <w:t>3</w:t>
      </w:r>
    </w:p>
    <w:p>
      <w:pPr>
        <w:pStyle w:val="DefinedTerms"/>
      </w:pPr>
      <w:r>
        <w:t>supplementary number</w:t>
      </w:r>
      <w:r>
        <w:tab/>
        <w:t>3</w:t>
      </w:r>
    </w:p>
    <w:p>
      <w:pPr>
        <w:pStyle w:val="DefinedTerms"/>
      </w:pPr>
      <w:r>
        <w:t>syndicate sales (subscription) adjustment</w:t>
      </w:r>
      <w:r>
        <w:tab/>
        <w:t>14B(6)</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08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(Saturday Lotto) Rules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(Saturday Lotto) Rules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1" w:name="Schedule"/>
    <w:bookmarkEnd w:id="1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(Saturday Lotto) Rules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(Saturday Lotto) Rules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(Saturday Lotto) Rules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3" w:name="DefinedTerms"/>
    <w:bookmarkEnd w:id="20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 w:name="Coversheet"/>
    <w:bookmarkEnd w:id="2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3C62E2"/>
    <w:lvl w:ilvl="0">
      <w:start w:val="1"/>
      <w:numFmt w:val="decimal"/>
      <w:lvlText w:val="%1."/>
      <w:lvlJc w:val="left"/>
      <w:pPr>
        <w:tabs>
          <w:tab w:val="num" w:pos="1800"/>
        </w:tabs>
        <w:ind w:left="1800" w:hanging="360"/>
      </w:pPr>
    </w:lvl>
  </w:abstractNum>
  <w:abstractNum w:abstractNumId="1">
    <w:nsid w:val="FFFFFF7D"/>
    <w:multiLevelType w:val="singleLevel"/>
    <w:tmpl w:val="895C1EAE"/>
    <w:lvl w:ilvl="0">
      <w:start w:val="1"/>
      <w:numFmt w:val="decimal"/>
      <w:lvlText w:val="%1."/>
      <w:lvlJc w:val="left"/>
      <w:pPr>
        <w:tabs>
          <w:tab w:val="num" w:pos="1440"/>
        </w:tabs>
        <w:ind w:left="1440" w:hanging="360"/>
      </w:pPr>
    </w:lvl>
  </w:abstractNum>
  <w:abstractNum w:abstractNumId="2">
    <w:nsid w:val="FFFFFF7E"/>
    <w:multiLevelType w:val="singleLevel"/>
    <w:tmpl w:val="64D22FEA"/>
    <w:lvl w:ilvl="0">
      <w:start w:val="1"/>
      <w:numFmt w:val="decimal"/>
      <w:lvlText w:val="%1."/>
      <w:lvlJc w:val="left"/>
      <w:pPr>
        <w:tabs>
          <w:tab w:val="num" w:pos="1080"/>
        </w:tabs>
        <w:ind w:left="1080" w:hanging="360"/>
      </w:pPr>
    </w:lvl>
  </w:abstractNum>
  <w:abstractNum w:abstractNumId="3">
    <w:nsid w:val="FFFFFF7F"/>
    <w:multiLevelType w:val="singleLevel"/>
    <w:tmpl w:val="042EA292"/>
    <w:lvl w:ilvl="0">
      <w:start w:val="1"/>
      <w:numFmt w:val="decimal"/>
      <w:lvlText w:val="%1."/>
      <w:lvlJc w:val="left"/>
      <w:pPr>
        <w:tabs>
          <w:tab w:val="num" w:pos="720"/>
        </w:tabs>
        <w:ind w:left="720" w:hanging="360"/>
      </w:pPr>
    </w:lvl>
  </w:abstractNum>
  <w:abstractNum w:abstractNumId="4">
    <w:nsid w:val="FFFFFF80"/>
    <w:multiLevelType w:val="singleLevel"/>
    <w:tmpl w:val="C3481DB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1237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A909ED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35AA6A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5281E18"/>
    <w:lvl w:ilvl="0">
      <w:start w:val="1"/>
      <w:numFmt w:val="decimal"/>
      <w:lvlText w:val="%1."/>
      <w:lvlJc w:val="left"/>
      <w:pPr>
        <w:tabs>
          <w:tab w:val="num" w:pos="360"/>
        </w:tabs>
        <w:ind w:left="360" w:hanging="360"/>
      </w:pPr>
    </w:lvl>
  </w:abstractNum>
  <w:abstractNum w:abstractNumId="9">
    <w:nsid w:val="FFFFFF89"/>
    <w:multiLevelType w:val="singleLevel"/>
    <w:tmpl w:val="532C12A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0B226BB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706"/>
    <w:docVar w:name="WAFER_20140203160931" w:val="RemoveTocBookmarks,RemoveUnusedBookmarks,RemoveLanguageTags,UsedStyles,ResetPageSize,UpdateArrangement"/>
    <w:docVar w:name="WAFER_20140203160931_GUID" w:val="661ec98e-1977-455c-8975-41af212d2ed8"/>
    <w:docVar w:name="WAFER_20140203161546" w:val="RemoveTocBookmarks,RunningHeaders"/>
    <w:docVar w:name="WAFER_20140203161546_GUID" w:val="369c8709-e82b-494a-8c04-b7cf7c79a1bb"/>
    <w:docVar w:name="WAFER_20140214120234" w:val="ResetStyles"/>
    <w:docVar w:name="WAFER_20140214120234_GUID" w:val="2f90f087-07f5-49fb-882b-5ae84db5547a"/>
    <w:docVar w:name="WAFER_20140505104918" w:val="RemoveTocBookmarks,RemoveUnusedBookmarks,RemoveLanguageTags,UsedStyles,ResetPageSize,UpdateArrangement"/>
    <w:docVar w:name="WAFER_20140505104918_GUID" w:val="0db6f70b-04d1-4a68-9e2e-c26b959be82c"/>
    <w:docVar w:name="WAFER_20140623150712" w:val="RemoveTocBookmarks,RunningHeaders"/>
    <w:docVar w:name="WAFER_20140623150712_GUID" w:val="12dfb3d0-1656-49e4-8d18-030e4d544939"/>
    <w:docVar w:name="WAFER_20150603143450" w:val="ResetPageSize,UpdateArrangement,UpdateNTable"/>
    <w:docVar w:name="WAFER_20150603143450_GUID" w:val="3ff5fc5b-ea0b-42f3-baaf-f47349153793"/>
    <w:docVar w:name="WAFER_20151106100706" w:val="UpdateStyles,UsedStyles"/>
    <w:docVar w:name="WAFER_20151106100706_GUID" w:val="513db667-c81b-4a43-a7f6-22aac964cd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12118</Words>
  <Characters>49082</Characters>
  <Application>Microsoft Office Word</Application>
  <DocSecurity>0</DocSecurity>
  <Lines>4462</Lines>
  <Paragraphs>3599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1996 - 04-e0-00</dc:title>
  <dc:subject/>
  <dc:creator/>
  <cp:keywords/>
  <dc:description/>
  <cp:lastModifiedBy>svcMRProcess</cp:lastModifiedBy>
  <cp:revision>4</cp:revision>
  <cp:lastPrinted>2014-12-04T04:00:00Z</cp:lastPrinted>
  <dcterms:created xsi:type="dcterms:W3CDTF">2018-09-12T19:46:00Z</dcterms:created>
  <dcterms:modified xsi:type="dcterms:W3CDTF">2018-09-12T19:46:00Z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DocumentType">
    <vt:lpwstr>Reg</vt:lpwstr>
  </property>
  <property fmtid="{D5CDD505-2E9C-101B-9397-08002B2CF9AE}" pid="4" name="OwlsUID">
    <vt:i4>4607</vt:i4>
  </property>
  <property fmtid="{D5CDD505-2E9C-101B-9397-08002B2CF9AE}" pid="5" name="ReprintNo">
    <vt:lpwstr>4</vt:lpwstr>
  </property>
  <property fmtid="{D5CDD505-2E9C-101B-9397-08002B2CF9AE}" pid="6" name="ReprintedAsAt">
    <vt:filetime>2012-10-18T16:00:00Z</vt:filetime>
  </property>
  <property fmtid="{D5CDD505-2E9C-101B-9397-08002B2CF9AE}" pid="7" name="AsAtDate">
    <vt:lpwstr>08 Oct 2016</vt:lpwstr>
  </property>
  <property fmtid="{D5CDD505-2E9C-101B-9397-08002B2CF9AE}" pid="8" name="Suffix">
    <vt:lpwstr>04-e0-00</vt:lpwstr>
  </property>
  <property fmtid="{D5CDD505-2E9C-101B-9397-08002B2CF9AE}" pid="9" name="Status">
    <vt:lpwstr>NIF</vt:lpwstr>
  </property>
  <property fmtid="{D5CDD505-2E9C-101B-9397-08002B2CF9AE}" pid="10" name="CommencementDate">
    <vt:lpwstr>20161008</vt:lpwstr>
  </property>
</Properties>
</file>