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_Toc464729566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_Toc464729567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_Toc464729570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_Toc464729571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_Toc464729572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_Toc464729573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_Toc464729574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_Toc464729575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_Toc464729577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_Toc464729578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_Toc464729579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_Toc464729581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_Toc464729582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_Toc464729583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_Toc464729584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_Toc464729589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404150646"/>
      <w:bookmarkStart w:id="4" w:name="_Toc419375034"/>
      <w:bookmarkStart w:id="5" w:name="_Toc419375059"/>
      <w:bookmarkStart w:id="6" w:name="_Toc419453343"/>
      <w:bookmarkStart w:id="7" w:name="_Toc46472956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Footnoteheading"/>
      </w:pPr>
      <w:r>
        <w:tab/>
        <w:t>[Heading inserted in Gazette 11 Jul 2001 p. 3459.]</w:t>
      </w:r>
    </w:p>
    <w:p>
      <w:pPr>
        <w:pStyle w:val="Heading5"/>
      </w:pPr>
      <w:bookmarkStart w:id="8" w:name="_Toc404150647"/>
      <w:bookmarkStart w:id="9" w:name="_Toc464729566"/>
      <w:r>
        <w:rPr>
          <w:rStyle w:val="CharSectno"/>
        </w:rPr>
        <w:t>1</w:t>
      </w:r>
      <w:r>
        <w:t>.</w:t>
      </w:r>
      <w:r>
        <w:tab/>
        <w:t>Citation</w:t>
      </w:r>
      <w:bookmarkEnd w:id="8"/>
      <w:bookmarkEnd w:id="9"/>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0" w:name="_Toc404150648"/>
      <w:bookmarkStart w:id="11" w:name="_Toc46472956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2" w:name="_Toc404150649"/>
      <w:bookmarkStart w:id="13" w:name="_Toc419375037"/>
      <w:bookmarkStart w:id="14" w:name="_Toc419375062"/>
      <w:bookmarkStart w:id="15" w:name="_Toc419453346"/>
      <w:bookmarkStart w:id="16" w:name="_Toc464729568"/>
      <w:r>
        <w:rPr>
          <w:rStyle w:val="CharPartNo"/>
        </w:rPr>
        <w:t>Part 2</w:t>
      </w:r>
      <w:r>
        <w:t> — </w:t>
      </w:r>
      <w:r>
        <w:rPr>
          <w:rStyle w:val="CharPartText"/>
        </w:rPr>
        <w:t>Special provisions about motor fuel</w:t>
      </w:r>
      <w:bookmarkEnd w:id="12"/>
      <w:bookmarkEnd w:id="13"/>
      <w:bookmarkEnd w:id="14"/>
      <w:bookmarkEnd w:id="15"/>
      <w:bookmarkEnd w:id="16"/>
    </w:p>
    <w:p>
      <w:pPr>
        <w:pStyle w:val="Footnoteheading"/>
      </w:pPr>
      <w:r>
        <w:tab/>
        <w:t>[Heading inserted in Gazette 11 Jul 2001 p. 3459.]</w:t>
      </w:r>
    </w:p>
    <w:p>
      <w:pPr>
        <w:pStyle w:val="Heading3"/>
      </w:pPr>
      <w:bookmarkStart w:id="17" w:name="_Toc404150650"/>
      <w:bookmarkStart w:id="18" w:name="_Toc419375038"/>
      <w:bookmarkStart w:id="19" w:name="_Toc419375063"/>
      <w:bookmarkStart w:id="20" w:name="_Toc419453347"/>
      <w:bookmarkStart w:id="21" w:name="_Toc464729569"/>
      <w:r>
        <w:rPr>
          <w:rStyle w:val="CharDivNo"/>
        </w:rPr>
        <w:t>Division 1</w:t>
      </w:r>
      <w:r>
        <w:t> — </w:t>
      </w:r>
      <w:r>
        <w:rPr>
          <w:rStyle w:val="CharDivText"/>
        </w:rPr>
        <w:t>Retail sale</w:t>
      </w:r>
      <w:bookmarkEnd w:id="17"/>
      <w:bookmarkEnd w:id="18"/>
      <w:bookmarkEnd w:id="19"/>
      <w:bookmarkEnd w:id="20"/>
      <w:bookmarkEnd w:id="21"/>
    </w:p>
    <w:p>
      <w:pPr>
        <w:pStyle w:val="Footnoteheading"/>
      </w:pPr>
      <w:r>
        <w:tab/>
        <w:t>[Heading inserted in Gazette 11 Jul 2001 p. 3459.]</w:t>
      </w:r>
    </w:p>
    <w:p>
      <w:pPr>
        <w:pStyle w:val="Heading5"/>
      </w:pPr>
      <w:bookmarkStart w:id="22" w:name="_Toc404150651"/>
      <w:bookmarkStart w:id="23" w:name="_Toc464729570"/>
      <w:r>
        <w:rPr>
          <w:rStyle w:val="CharSectno"/>
        </w:rPr>
        <w:t>2A</w:t>
      </w:r>
      <w:r>
        <w:t>.</w:t>
      </w:r>
      <w:r>
        <w:tab/>
        <w:t>Terms used</w:t>
      </w:r>
      <w:bookmarkEnd w:id="22"/>
      <w:bookmarkEnd w:id="23"/>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4" w:name="_Toc404150652"/>
      <w:bookmarkStart w:id="25" w:name="_Toc464729571"/>
      <w:r>
        <w:rPr>
          <w:rStyle w:val="CharSectno"/>
        </w:rPr>
        <w:t>3</w:t>
      </w:r>
      <w:r>
        <w:t>.</w:t>
      </w:r>
      <w:r>
        <w:tab/>
        <w:t>Standard retail price to be as notified</w:t>
      </w:r>
      <w:bookmarkEnd w:id="24"/>
      <w:bookmarkEnd w:id="25"/>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6" w:name="_Toc404150653"/>
      <w:bookmarkStart w:id="27" w:name="_Toc464729572"/>
      <w:r>
        <w:rPr>
          <w:rStyle w:val="CharSectno"/>
        </w:rPr>
        <w:t>3A</w:t>
      </w:r>
      <w:r>
        <w:t>.</w:t>
      </w:r>
      <w:r>
        <w:tab/>
        <w:t>Requirements for giving notification</w:t>
      </w:r>
      <w:bookmarkEnd w:id="26"/>
      <w:bookmarkEnd w:id="2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28" w:name="_Toc404150654"/>
      <w:bookmarkStart w:id="29" w:name="_Toc464729573"/>
      <w:r>
        <w:rPr>
          <w:rStyle w:val="CharSectno"/>
        </w:rPr>
        <w:t>4</w:t>
      </w:r>
      <w:r>
        <w:t>.</w:t>
      </w:r>
      <w:r>
        <w:tab/>
        <w:t>Price changes in certain places need not be notified</w:t>
      </w:r>
      <w:bookmarkEnd w:id="28"/>
      <w:bookmarkEnd w:id="29"/>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30" w:name="_Toc404150655"/>
      <w:bookmarkStart w:id="31" w:name="_Toc464729574"/>
      <w:r>
        <w:rPr>
          <w:rStyle w:val="CharSectno"/>
        </w:rPr>
        <w:t>5</w:t>
      </w:r>
      <w:r>
        <w:t>.</w:t>
      </w:r>
      <w:r>
        <w:tab/>
        <w:t>Places where regulation 6 applies</w:t>
      </w:r>
      <w:bookmarkEnd w:id="30"/>
      <w:bookmarkEnd w:id="31"/>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32" w:name="_Toc404150656"/>
      <w:bookmarkStart w:id="33" w:name="_Toc464729575"/>
      <w:r>
        <w:rPr>
          <w:rStyle w:val="CharSectno"/>
        </w:rPr>
        <w:t>6</w:t>
      </w:r>
      <w:r>
        <w:t>.</w:t>
      </w:r>
      <w:r>
        <w:tab/>
        <w:t>Retailer to display standard retail prices</w:t>
      </w:r>
      <w:bookmarkEnd w:id="32"/>
      <w:bookmarkEnd w:id="33"/>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34" w:name="_Toc404150657"/>
      <w:bookmarkStart w:id="35" w:name="_Toc419375045"/>
      <w:bookmarkStart w:id="36" w:name="_Toc419375070"/>
      <w:bookmarkStart w:id="37" w:name="_Toc419453354"/>
      <w:bookmarkStart w:id="38" w:name="_Toc464729576"/>
      <w:r>
        <w:rPr>
          <w:rStyle w:val="CharDivNo"/>
        </w:rPr>
        <w:t>Division 2</w:t>
      </w:r>
      <w:r>
        <w:t> — </w:t>
      </w:r>
      <w:r>
        <w:rPr>
          <w:rStyle w:val="CharDivText"/>
        </w:rPr>
        <w:t>Before retail sale</w:t>
      </w:r>
      <w:bookmarkEnd w:id="34"/>
      <w:bookmarkEnd w:id="35"/>
      <w:bookmarkEnd w:id="36"/>
      <w:bookmarkEnd w:id="37"/>
      <w:bookmarkEnd w:id="38"/>
    </w:p>
    <w:p>
      <w:pPr>
        <w:pStyle w:val="Footnoteheading"/>
      </w:pPr>
      <w:r>
        <w:tab/>
        <w:t>[Heading inserted in Gazette 11 Jul 2001 p. 3461.]</w:t>
      </w:r>
    </w:p>
    <w:p>
      <w:pPr>
        <w:pStyle w:val="Heading5"/>
      </w:pPr>
      <w:bookmarkStart w:id="39" w:name="_Toc404150658"/>
      <w:bookmarkStart w:id="40" w:name="_Toc464729577"/>
      <w:r>
        <w:rPr>
          <w:rStyle w:val="CharSectno"/>
        </w:rPr>
        <w:t>7</w:t>
      </w:r>
      <w:r>
        <w:t>.</w:t>
      </w:r>
      <w:r>
        <w:tab/>
        <w:t>How to notify Commissioner of price changes</w:t>
      </w:r>
      <w:bookmarkEnd w:id="39"/>
      <w:bookmarkEnd w:id="40"/>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41" w:name="_Toc404150659"/>
      <w:bookmarkStart w:id="42" w:name="_Toc464729578"/>
      <w:r>
        <w:rPr>
          <w:rStyle w:val="CharSectno"/>
        </w:rPr>
        <w:t>9</w:t>
      </w:r>
      <w:r>
        <w:t>.</w:t>
      </w:r>
      <w:r>
        <w:tab/>
        <w:t>Details of price differences</w:t>
      </w:r>
      <w:bookmarkEnd w:id="41"/>
      <w:bookmarkEnd w:id="42"/>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43" w:name="_Toc404150660"/>
      <w:bookmarkStart w:id="44" w:name="_Toc464729579"/>
      <w:r>
        <w:rPr>
          <w:rStyle w:val="CharSectno"/>
        </w:rPr>
        <w:t>10</w:t>
      </w:r>
      <w:r>
        <w:t>.</w:t>
      </w:r>
      <w:r>
        <w:tab/>
        <w:t>Notifying Commissioner of price differences</w:t>
      </w:r>
      <w:bookmarkEnd w:id="43"/>
      <w:bookmarkEnd w:id="44"/>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45" w:name="_Toc404150661"/>
      <w:bookmarkStart w:id="46" w:name="_Toc419375049"/>
      <w:bookmarkStart w:id="47" w:name="_Toc419375074"/>
      <w:bookmarkStart w:id="48" w:name="_Toc419453358"/>
      <w:bookmarkStart w:id="49" w:name="_Toc46472958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45"/>
      <w:bookmarkEnd w:id="46"/>
      <w:bookmarkEnd w:id="47"/>
      <w:bookmarkEnd w:id="48"/>
      <w:bookmarkEnd w:id="49"/>
    </w:p>
    <w:p>
      <w:pPr>
        <w:pStyle w:val="Footnoteheading"/>
      </w:pPr>
      <w:r>
        <w:tab/>
        <w:t>[Heading inserted in Gazette 9 Nov 2001 p. 5925.]</w:t>
      </w:r>
    </w:p>
    <w:p>
      <w:pPr>
        <w:pStyle w:val="Heading5"/>
      </w:pPr>
      <w:bookmarkStart w:id="50" w:name="_Toc404150662"/>
      <w:bookmarkStart w:id="51" w:name="_Toc464729581"/>
      <w:r>
        <w:rPr>
          <w:rStyle w:val="CharSectno"/>
        </w:rPr>
        <w:t>11</w:t>
      </w:r>
      <w:r>
        <w:t>.</w:t>
      </w:r>
      <w:r>
        <w:tab/>
        <w:t>Prescribed offences (s. 31B)</w:t>
      </w:r>
      <w:bookmarkEnd w:id="50"/>
      <w:bookmarkEnd w:id="51"/>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52" w:name="_Toc404150663"/>
      <w:bookmarkStart w:id="53" w:name="_Toc464729582"/>
      <w:r>
        <w:rPr>
          <w:rStyle w:val="CharSectno"/>
        </w:rPr>
        <w:t>12</w:t>
      </w:r>
      <w:r>
        <w:t>.</w:t>
      </w:r>
      <w:r>
        <w:tab/>
        <w:t>Prescribed modified penalties (s. 31C)</w:t>
      </w:r>
      <w:bookmarkEnd w:id="52"/>
      <w:bookmarkEnd w:id="5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54" w:name="_Toc404150664"/>
      <w:bookmarkStart w:id="55" w:name="_Toc464729583"/>
      <w:r>
        <w:rPr>
          <w:rStyle w:val="CharSectno"/>
        </w:rPr>
        <w:t>13</w:t>
      </w:r>
      <w:r>
        <w:t>.</w:t>
      </w:r>
      <w:r>
        <w:tab/>
        <w:t>Prescribed form of infringement notice (s. 31C)</w:t>
      </w:r>
      <w:bookmarkEnd w:id="54"/>
      <w:bookmarkEnd w:id="5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56" w:name="_Toc404150665"/>
      <w:bookmarkStart w:id="57" w:name="_Toc464729584"/>
      <w:r>
        <w:rPr>
          <w:rStyle w:val="CharSectno"/>
        </w:rPr>
        <w:t>14</w:t>
      </w:r>
      <w:r>
        <w:t>.</w:t>
      </w:r>
      <w:r>
        <w:tab/>
        <w:t>Prescribed form of withdrawal of notice (s. 31E)</w:t>
      </w:r>
      <w:bookmarkEnd w:id="56"/>
      <w:bookmarkEnd w:id="57"/>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8" w:name="_Toc404150666"/>
      <w:bookmarkStart w:id="59" w:name="_Toc419375054"/>
      <w:bookmarkStart w:id="60" w:name="_Toc419375079"/>
      <w:bookmarkStart w:id="61" w:name="_Toc419453363"/>
      <w:bookmarkStart w:id="62" w:name="_Toc464729585"/>
      <w:r>
        <w:rPr>
          <w:rStyle w:val="CharSchNo"/>
        </w:rPr>
        <w:t>Schedule 1</w:t>
      </w:r>
      <w:r>
        <w:t> — </w:t>
      </w:r>
      <w:r>
        <w:rPr>
          <w:rStyle w:val="CharSchText"/>
        </w:rPr>
        <w:t>Places where regulations 3(1) and 6 apply</w:t>
      </w:r>
      <w:bookmarkEnd w:id="58"/>
      <w:bookmarkEnd w:id="59"/>
      <w:bookmarkEnd w:id="60"/>
      <w:bookmarkEnd w:id="61"/>
      <w:bookmarkEnd w:id="62"/>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Meckering</w:t>
            </w:r>
          </w:p>
        </w:tc>
      </w:tr>
      <w:tr>
        <w:trPr>
          <w:cantSplit/>
          <w:trHeight w:val="276"/>
        </w:trPr>
        <w:tc>
          <w:tcPr>
            <w:tcW w:w="2552" w:type="dxa"/>
          </w:tcPr>
          <w:p>
            <w:pPr>
              <w:pStyle w:val="yTable"/>
            </w:pPr>
            <w:r>
              <w:t>Collie</w:t>
            </w:r>
          </w:p>
        </w:tc>
        <w:tc>
          <w:tcPr>
            <w:tcW w:w="2410" w:type="dxa"/>
          </w:tcPr>
          <w:p>
            <w:pPr>
              <w:pStyle w:val="yTable"/>
            </w:pPr>
            <w:r>
              <w:t>Meekatharra</w:t>
            </w:r>
          </w:p>
        </w:tc>
      </w:tr>
      <w:tr>
        <w:trPr>
          <w:cantSplit/>
          <w:trHeight w:val="276"/>
        </w:trPr>
        <w:tc>
          <w:tcPr>
            <w:tcW w:w="2552" w:type="dxa"/>
          </w:tcPr>
          <w:p>
            <w:pPr>
              <w:pStyle w:val="yTable"/>
            </w:pPr>
            <w:r>
              <w:t>Coolgardie</w:t>
            </w:r>
          </w:p>
        </w:tc>
        <w:tc>
          <w:tcPr>
            <w:tcW w:w="2410" w:type="dxa"/>
          </w:tcPr>
          <w:p>
            <w:pPr>
              <w:pStyle w:val="yTable"/>
            </w:pPr>
            <w:r>
              <w:t>Moora</w:t>
            </w:r>
          </w:p>
        </w:tc>
      </w:tr>
      <w:tr>
        <w:trPr>
          <w:cantSplit/>
          <w:trHeight w:val="276"/>
        </w:trPr>
        <w:tc>
          <w:tcPr>
            <w:tcW w:w="2552" w:type="dxa"/>
          </w:tcPr>
          <w:p>
            <w:pPr>
              <w:pStyle w:val="yTable"/>
            </w:pPr>
            <w:r>
              <w:t>Cunderdin</w:t>
            </w:r>
          </w:p>
        </w:tc>
        <w:tc>
          <w:tcPr>
            <w:tcW w:w="2410" w:type="dxa"/>
          </w:tcPr>
          <w:p>
            <w:pPr>
              <w:pStyle w:val="yTable"/>
            </w:pPr>
            <w:r>
              <w:t>Mt Barker</w:t>
            </w:r>
          </w:p>
        </w:tc>
      </w:tr>
      <w:tr>
        <w:trPr>
          <w:cantSplit/>
          <w:trHeight w:val="276"/>
        </w:trPr>
        <w:tc>
          <w:tcPr>
            <w:tcW w:w="2552" w:type="dxa"/>
          </w:tcPr>
          <w:p>
            <w:pPr>
              <w:pStyle w:val="yTable"/>
            </w:pPr>
            <w:r>
              <w:t>Dalwallinu</w:t>
            </w:r>
          </w:p>
        </w:tc>
        <w:tc>
          <w:tcPr>
            <w:tcW w:w="2410" w:type="dxa"/>
          </w:tcPr>
          <w:p>
            <w:pPr>
              <w:pStyle w:val="yTable"/>
            </w:pPr>
            <w:r>
              <w:t>Narrogin</w:t>
            </w:r>
          </w:p>
        </w:tc>
      </w:tr>
      <w:tr>
        <w:trPr>
          <w:cantSplit/>
          <w:trHeight w:val="276"/>
        </w:trPr>
        <w:tc>
          <w:tcPr>
            <w:tcW w:w="2552" w:type="dxa"/>
          </w:tcPr>
          <w:p>
            <w:pPr>
              <w:pStyle w:val="yTable"/>
            </w:pPr>
            <w:r>
              <w:t>Dampier</w:t>
            </w:r>
          </w:p>
        </w:tc>
        <w:tc>
          <w:tcPr>
            <w:tcW w:w="2410" w:type="dxa"/>
          </w:tcPr>
          <w:p>
            <w:pPr>
              <w:pStyle w:val="yTable"/>
            </w:pPr>
            <w:r>
              <w:t>Newman</w:t>
            </w:r>
          </w:p>
        </w:tc>
      </w:tr>
      <w:tr>
        <w:trPr>
          <w:cantSplit/>
          <w:trHeight w:val="276"/>
        </w:trPr>
        <w:tc>
          <w:tcPr>
            <w:tcW w:w="2552" w:type="dxa"/>
          </w:tcPr>
          <w:p>
            <w:pPr>
              <w:pStyle w:val="yTable"/>
            </w:pPr>
            <w:r>
              <w:t>Denmark</w:t>
            </w:r>
          </w:p>
        </w:tc>
        <w:tc>
          <w:tcPr>
            <w:tcW w:w="2410" w:type="dxa"/>
          </w:tcPr>
          <w:p>
            <w:pPr>
              <w:pStyle w:val="yTable"/>
            </w:pPr>
            <w:r>
              <w:t>Norseman</w:t>
            </w:r>
          </w:p>
        </w:tc>
      </w:tr>
      <w:tr>
        <w:trPr>
          <w:cantSplit/>
          <w:trHeight w:val="276"/>
        </w:trPr>
        <w:tc>
          <w:tcPr>
            <w:tcW w:w="2552" w:type="dxa"/>
          </w:tcPr>
          <w:p>
            <w:pPr>
              <w:pStyle w:val="yTable"/>
            </w:pPr>
            <w:r>
              <w:t>Derby</w:t>
            </w:r>
          </w:p>
        </w:tc>
        <w:tc>
          <w:tcPr>
            <w:tcW w:w="2410" w:type="dxa"/>
          </w:tcPr>
          <w:p>
            <w:pPr>
              <w:pStyle w:val="yTable"/>
            </w:pPr>
            <w:r>
              <w:t>Northam</w:t>
            </w:r>
          </w:p>
        </w:tc>
      </w:tr>
      <w:tr>
        <w:trPr>
          <w:cantSplit/>
          <w:trHeight w:val="276"/>
        </w:trPr>
        <w:tc>
          <w:tcPr>
            <w:tcW w:w="2552" w:type="dxa"/>
          </w:tcPr>
          <w:p>
            <w:pPr>
              <w:pStyle w:val="yTable"/>
            </w:pPr>
            <w:r>
              <w:t>Dongara</w:t>
            </w:r>
          </w:p>
        </w:tc>
        <w:tc>
          <w:tcPr>
            <w:tcW w:w="2410" w:type="dxa"/>
          </w:tcPr>
          <w:p>
            <w:pPr>
              <w:pStyle w:val="yTable"/>
            </w:pPr>
            <w:r>
              <w:t>Port Hedland</w:t>
            </w:r>
          </w:p>
        </w:tc>
      </w:tr>
      <w:tr>
        <w:trPr>
          <w:cantSplit/>
          <w:trHeight w:val="276"/>
        </w:trPr>
        <w:tc>
          <w:tcPr>
            <w:tcW w:w="2552" w:type="dxa"/>
          </w:tcPr>
          <w:p>
            <w:pPr>
              <w:pStyle w:val="yTable"/>
            </w:pPr>
            <w:r>
              <w:t>Esperance</w:t>
            </w:r>
          </w:p>
        </w:tc>
        <w:tc>
          <w:tcPr>
            <w:tcW w:w="2410" w:type="dxa"/>
          </w:tcPr>
          <w:p>
            <w:pPr>
              <w:pStyle w:val="yTable"/>
            </w:pPr>
            <w:r>
              <w:t>Ravensthorpe</w:t>
            </w:r>
          </w:p>
        </w:tc>
      </w:tr>
      <w:tr>
        <w:trPr>
          <w:cantSplit/>
          <w:trHeight w:val="276"/>
        </w:trPr>
        <w:tc>
          <w:tcPr>
            <w:tcW w:w="2552" w:type="dxa"/>
          </w:tcPr>
          <w:p>
            <w:pPr>
              <w:pStyle w:val="yTable"/>
            </w:pPr>
            <w:r>
              <w:t>Exmouth</w:t>
            </w:r>
          </w:p>
        </w:tc>
        <w:tc>
          <w:tcPr>
            <w:tcW w:w="2410" w:type="dxa"/>
          </w:tcPr>
          <w:p>
            <w:pPr>
              <w:pStyle w:val="yTable"/>
            </w:pPr>
            <w:r>
              <w:t>Regans Ford</w:t>
            </w:r>
          </w:p>
        </w:tc>
      </w:tr>
      <w:tr>
        <w:trPr>
          <w:cantSplit/>
          <w:trHeight w:val="276"/>
        </w:trPr>
        <w:tc>
          <w:tcPr>
            <w:tcW w:w="2552" w:type="dxa"/>
          </w:tcPr>
          <w:p>
            <w:pPr>
              <w:pStyle w:val="yTable"/>
            </w:pPr>
            <w:r>
              <w:t>Fitzroy Crossing</w:t>
            </w:r>
          </w:p>
        </w:tc>
        <w:tc>
          <w:tcPr>
            <w:tcW w:w="2410" w:type="dxa"/>
          </w:tcPr>
          <w:p>
            <w:pPr>
              <w:pStyle w:val="yTable"/>
            </w:pPr>
            <w:r>
              <w:t>South Hedland</w:t>
            </w:r>
          </w:p>
        </w:tc>
      </w:tr>
      <w:tr>
        <w:trPr>
          <w:cantSplit/>
          <w:trHeight w:val="276"/>
        </w:trPr>
        <w:tc>
          <w:tcPr>
            <w:tcW w:w="2552" w:type="dxa"/>
          </w:tcPr>
          <w:p>
            <w:pPr>
              <w:pStyle w:val="yTable"/>
            </w:pPr>
            <w:r>
              <w:t>Jurien</w:t>
            </w:r>
          </w:p>
        </w:tc>
        <w:tc>
          <w:tcPr>
            <w:tcW w:w="2410" w:type="dxa"/>
          </w:tcPr>
          <w:p>
            <w:pPr>
              <w:pStyle w:val="yTable"/>
              <w:keepNext/>
            </w:pPr>
            <w:r>
              <w:t>Tammin</w:t>
            </w:r>
          </w:p>
        </w:tc>
      </w:tr>
      <w:tr>
        <w:trPr>
          <w:cantSplit/>
          <w:trHeight w:val="276"/>
        </w:trPr>
        <w:tc>
          <w:tcPr>
            <w:tcW w:w="2552" w:type="dxa"/>
          </w:tcPr>
          <w:p>
            <w:pPr>
              <w:pStyle w:val="yTable"/>
              <w:keepNext/>
            </w:pPr>
            <w:r>
              <w:t>Kalgoorlie</w:t>
            </w:r>
          </w:p>
        </w:tc>
        <w:tc>
          <w:tcPr>
            <w:tcW w:w="2410" w:type="dxa"/>
          </w:tcPr>
          <w:p>
            <w:pPr>
              <w:pStyle w:val="yTable"/>
              <w:keepNext/>
            </w:pPr>
            <w:r>
              <w:t>Williams</w:t>
            </w:r>
          </w:p>
        </w:tc>
      </w:tr>
      <w:tr>
        <w:trPr>
          <w:cantSplit/>
          <w:trHeight w:val="276"/>
        </w:trPr>
        <w:tc>
          <w:tcPr>
            <w:tcW w:w="2552" w:type="dxa"/>
          </w:tcPr>
          <w:p>
            <w:pPr>
              <w:pStyle w:val="yTable"/>
              <w:keepNext/>
            </w:pPr>
            <w:r>
              <w:t>Kambalda (East)</w:t>
            </w:r>
          </w:p>
        </w:tc>
        <w:tc>
          <w:tcPr>
            <w:tcW w:w="2410" w:type="dxa"/>
          </w:tcPr>
          <w:p>
            <w:pPr>
              <w:pStyle w:val="yTable"/>
              <w:keepNext/>
            </w:pPr>
            <w:r>
              <w:t>Wubin</w:t>
            </w:r>
          </w:p>
        </w:tc>
      </w:tr>
      <w:tr>
        <w:trPr>
          <w:cantSplit/>
          <w:trHeight w:val="276"/>
        </w:trPr>
        <w:tc>
          <w:tcPr>
            <w:tcW w:w="2552" w:type="dxa"/>
          </w:tcPr>
          <w:p>
            <w:pPr>
              <w:pStyle w:val="yTable"/>
              <w:keepNext/>
            </w:pPr>
            <w:r>
              <w:t>Kambalda (West)</w:t>
            </w:r>
          </w:p>
        </w:tc>
        <w:tc>
          <w:tcPr>
            <w:tcW w:w="2410" w:type="dxa"/>
          </w:tcPr>
          <w:p>
            <w:pPr>
              <w:pStyle w:val="yTable"/>
              <w:keepNext/>
            </w:pPr>
            <w:r>
              <w:t>York</w:t>
            </w:r>
          </w:p>
        </w:tc>
      </w:tr>
    </w:tbl>
    <w:p>
      <w:pPr>
        <w:pStyle w:val="yFootnotesection"/>
      </w:pPr>
      <w:r>
        <w:tab/>
        <w:t>[Schedule 1 inserted in Gazette 13 May 2003 p. 1665</w:t>
      </w:r>
      <w:r>
        <w:noBreakHyphen/>
        <w:t>6; amended in Gazette 3 Oct 2006 p. 4337; 15 May 2015 p. 1720; 21 Oct 2016 p. 4782.]</w:t>
      </w:r>
    </w:p>
    <w:p>
      <w:pPr>
        <w:pStyle w:val="yScheduleHeading"/>
      </w:pPr>
      <w:bookmarkStart w:id="63" w:name="_Toc404150667"/>
      <w:bookmarkStart w:id="64" w:name="_Toc419375055"/>
      <w:bookmarkStart w:id="65" w:name="_Toc419375080"/>
      <w:bookmarkStart w:id="66" w:name="_Toc419453364"/>
      <w:bookmarkStart w:id="67" w:name="_Toc464729586"/>
      <w:r>
        <w:rPr>
          <w:rStyle w:val="CharSchNo"/>
        </w:rPr>
        <w:t>Schedule 2</w:t>
      </w:r>
      <w:r>
        <w:t> — </w:t>
      </w:r>
      <w:r>
        <w:rPr>
          <w:rStyle w:val="CharSchText"/>
        </w:rPr>
        <w:t>Prescribed offences and modified penalties</w:t>
      </w:r>
      <w:bookmarkEnd w:id="63"/>
      <w:bookmarkEnd w:id="64"/>
      <w:bookmarkEnd w:id="65"/>
      <w:bookmarkEnd w:id="66"/>
      <w:bookmarkEnd w:id="67"/>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68" w:name="_Toc404150668"/>
      <w:bookmarkStart w:id="69" w:name="_Toc419375056"/>
      <w:bookmarkStart w:id="70" w:name="_Toc419375081"/>
      <w:bookmarkStart w:id="71" w:name="_Toc419453365"/>
      <w:bookmarkStart w:id="72" w:name="_Toc464729587"/>
      <w:r>
        <w:rPr>
          <w:rStyle w:val="CharSchNo"/>
        </w:rPr>
        <w:t>Schedule 3</w:t>
      </w:r>
      <w:r>
        <w:t> — </w:t>
      </w:r>
      <w:r>
        <w:rPr>
          <w:rStyle w:val="CharSchText"/>
        </w:rPr>
        <w:t>Forms</w:t>
      </w:r>
      <w:bookmarkEnd w:id="68"/>
      <w:bookmarkEnd w:id="69"/>
      <w:bookmarkEnd w:id="70"/>
      <w:bookmarkEnd w:id="71"/>
      <w:bookmarkEnd w:id="72"/>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74" w:name="_Toc404150669"/>
      <w:bookmarkStart w:id="75" w:name="_Toc419375057"/>
      <w:bookmarkStart w:id="76" w:name="_Toc419375082"/>
      <w:bookmarkStart w:id="77" w:name="_Toc419453366"/>
      <w:bookmarkStart w:id="78" w:name="_Toc464729588"/>
      <w:r>
        <w:t>Notes</w:t>
      </w:r>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9" w:name="_Toc404150670"/>
      <w:bookmarkStart w:id="80" w:name="_Toc464729589"/>
      <w:r>
        <w:t>Compilation table</w:t>
      </w:r>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2016</w:t>
            </w:r>
          </w:p>
        </w:tc>
        <w:tc>
          <w:tcPr>
            <w:tcW w:w="1276" w:type="dxa"/>
            <w:tcBorders>
              <w:bottom w:val="single" w:sz="4" w:space="0" w:color="auto"/>
            </w:tcBorders>
          </w:tcPr>
          <w:p>
            <w:pPr>
              <w:pStyle w:val="nTable"/>
              <w:spacing w:after="40"/>
            </w:pPr>
            <w:r>
              <w:t>21 Oct 2016 p. 4782</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21 Oct 2016 (see r. 2(a));</w:t>
            </w:r>
            <w:r>
              <w:rPr>
                <w:rFonts w:ascii="Times" w:hAnsi="Times"/>
                <w:bCs/>
                <w:snapToGrid w:val="0"/>
                <w:spacing w:val="-2"/>
              </w:rPr>
              <w:br/>
              <w:t>Regulations other than r. 1 and 2: 22 Oct 2016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82" w:name="_Toc464729590"/>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4(2)</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4187</Words>
  <Characters>21065</Characters>
  <Application>Microsoft Office Word</Application>
  <DocSecurity>0</DocSecurity>
  <Lines>877</Lines>
  <Paragraphs>515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24737</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2000 - 02-e0-00</dc:title>
  <dc:subject/>
  <dc:creator/>
  <cp:keywords/>
  <dc:description/>
  <cp:lastModifiedBy>svcMRProcess</cp:lastModifiedBy>
  <cp:revision>4</cp:revision>
  <cp:lastPrinted>2009-08-27T00:49:00Z</cp:lastPrinted>
  <dcterms:created xsi:type="dcterms:W3CDTF">2020-02-27T16:07:00Z</dcterms:created>
  <dcterms:modified xsi:type="dcterms:W3CDTF">2020-02-27T16:07:00Z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22 Oct 2016</vt:lpwstr>
  </property>
  <property fmtid="{D5CDD505-2E9C-101B-9397-08002B2CF9AE}" pid="7" name="Suffix">
    <vt:lpwstr>02-e0-00</vt:lpwstr>
  </property>
  <property fmtid="{D5CDD505-2E9C-101B-9397-08002B2CF9AE}" pid="8" name="CommencementDate">
    <vt:lpwstr>20161022</vt:lpwstr>
  </property>
</Properties>
</file>