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University of Western Australia Act 1911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University of Western Australia Act 1911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_Toc465084150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_Toc465084151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Establishment of the University</w:t>
      </w:r>
    </w:p>
    <w:p>
      <w:pPr>
        <w:pStyle w:val="TOC8"/>
        <w:rPr>
          <w:rFonts w:asciiTheme="minorHAnsi" w:eastAsiaTheme="minorEastAsia" w:hAnsiTheme="minorHAnsi" w:cstheme="minorBidi"/>
          <w:szCs w:val="22"/>
        </w:rPr>
      </w:pPr>
      <w:r>
        <w:t>3</w:t>
      </w:r>
      <w:r>
        <w:rPr>
          <w:snapToGrid w:val="0"/>
        </w:rPr>
        <w:t>.</w:t>
      </w:r>
      <w:r>
        <w:rPr>
          <w:snapToGrid w:val="0"/>
        </w:rPr>
        <w:tab/>
        <w:t>The University of Western Australia</w:t>
      </w:r>
      <w:r>
        <w:tab/>
      </w:r>
      <w:r>
        <w:fldChar w:fldCharType="begin"/>
      </w:r>
      <w:r>
        <w:instrText xml:space="preserve"> PAGEREF _Toc465084153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ab/>
        <w:t>University to consist of Senate, Convocation, staff and students</w:t>
      </w:r>
      <w:r>
        <w:tab/>
      </w:r>
      <w:r>
        <w:fldChar w:fldCharType="begin"/>
      </w:r>
      <w:r>
        <w:instrText xml:space="preserve"> PAGEREF _Toc465084154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Senate is governing authority</w:t>
      </w:r>
      <w:r>
        <w:tab/>
      </w:r>
      <w:r>
        <w:fldChar w:fldCharType="begin"/>
      </w:r>
      <w:r>
        <w:instrText xml:space="preserve"> PAGEREF _Toc465084155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University is a body corporate</w:t>
      </w:r>
      <w:r>
        <w:tab/>
      </w:r>
      <w:r>
        <w:fldChar w:fldCharType="begin"/>
      </w:r>
      <w:r>
        <w:instrText xml:space="preserve"> PAGEREF _Toc465084156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Visitor</w:t>
      </w:r>
    </w:p>
    <w:p>
      <w:pPr>
        <w:pStyle w:val="TOC8"/>
        <w:rPr>
          <w:rFonts w:asciiTheme="minorHAnsi" w:eastAsiaTheme="minorEastAsia" w:hAnsiTheme="minorHAnsi" w:cstheme="minorBidi"/>
          <w:szCs w:val="22"/>
        </w:rPr>
      </w:pPr>
      <w:r>
        <w:t>7.</w:t>
      </w:r>
      <w:r>
        <w:tab/>
        <w:t>Governor is the Visitor</w:t>
      </w:r>
      <w:r>
        <w:tab/>
      </w:r>
      <w:r>
        <w:fldChar w:fldCharType="begin"/>
      </w:r>
      <w:r>
        <w:instrText xml:space="preserve"> PAGEREF _Toc465084158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Senate, officers and Convocation</w:t>
      </w:r>
    </w:p>
    <w:p>
      <w:pPr>
        <w:pStyle w:val="TOC4"/>
        <w:tabs>
          <w:tab w:val="right" w:leader="dot" w:pos="7077"/>
        </w:tabs>
        <w:rPr>
          <w:rFonts w:asciiTheme="minorHAnsi" w:eastAsiaTheme="minorEastAsia" w:hAnsiTheme="minorHAnsi" w:cstheme="minorBidi"/>
          <w:b w:val="0"/>
          <w:szCs w:val="22"/>
        </w:rPr>
      </w:pPr>
      <w:r>
        <w:t>Division 1 — Senate</w:t>
      </w:r>
    </w:p>
    <w:p>
      <w:pPr>
        <w:pStyle w:val="TOC8"/>
        <w:rPr>
          <w:rFonts w:asciiTheme="minorHAnsi" w:eastAsiaTheme="minorEastAsia" w:hAnsiTheme="minorHAnsi" w:cstheme="minorBidi"/>
          <w:szCs w:val="22"/>
        </w:rPr>
      </w:pPr>
      <w:r>
        <w:t>8.</w:t>
      </w:r>
      <w:r>
        <w:tab/>
        <w:t>Members</w:t>
      </w:r>
      <w:r>
        <w:tab/>
      </w:r>
      <w:r>
        <w:fldChar w:fldCharType="begin"/>
      </w:r>
      <w:r>
        <w:instrText xml:space="preserve"> PAGEREF _Toc465084161 \h </w:instrText>
      </w:r>
      <w:r>
        <w:fldChar w:fldCharType="separate"/>
      </w:r>
      <w:r>
        <w:t>5</w:t>
      </w:r>
      <w:r>
        <w:fldChar w:fldCharType="end"/>
      </w:r>
    </w:p>
    <w:p>
      <w:pPr>
        <w:pStyle w:val="TOC8"/>
        <w:rPr>
          <w:rFonts w:asciiTheme="minorHAnsi" w:eastAsiaTheme="minorEastAsia" w:hAnsiTheme="minorHAnsi" w:cstheme="minorBidi"/>
          <w:szCs w:val="22"/>
        </w:rPr>
      </w:pPr>
      <w:r>
        <w:t>9.</w:t>
      </w:r>
      <w:r>
        <w:tab/>
        <w:t>Terms of members</w:t>
      </w:r>
      <w:r>
        <w:tab/>
      </w:r>
      <w:r>
        <w:fldChar w:fldCharType="begin"/>
      </w:r>
      <w:r>
        <w:instrText xml:space="preserve"> PAGEREF _Toc465084162 \h </w:instrText>
      </w:r>
      <w:r>
        <w:fldChar w:fldCharType="separate"/>
      </w:r>
      <w:r>
        <w:t>6</w:t>
      </w:r>
      <w:r>
        <w:fldChar w:fldCharType="end"/>
      </w:r>
    </w:p>
    <w:p>
      <w:pPr>
        <w:pStyle w:val="TOC8"/>
        <w:rPr>
          <w:rFonts w:asciiTheme="minorHAnsi" w:eastAsiaTheme="minorEastAsia" w:hAnsiTheme="minorHAnsi" w:cstheme="minorBidi"/>
          <w:szCs w:val="22"/>
        </w:rPr>
      </w:pPr>
      <w:r>
        <w:t>10.</w:t>
      </w:r>
      <w:r>
        <w:tab/>
        <w:t>Duties of members (Sch. 1 Div. 1)</w:t>
      </w:r>
      <w:r>
        <w:tab/>
      </w:r>
      <w:r>
        <w:fldChar w:fldCharType="begin"/>
      </w:r>
      <w:r>
        <w:instrText xml:space="preserve"> PAGEREF _Toc465084163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People disqualified from being Chancellor, Pro-Chancellor or Senate member</w:t>
      </w:r>
      <w:r>
        <w:tab/>
      </w:r>
      <w:r>
        <w:fldChar w:fldCharType="begin"/>
      </w:r>
      <w:r>
        <w:instrText xml:space="preserve"> PAGEREF _Toc465084164 \h </w:instrText>
      </w:r>
      <w:r>
        <w:fldChar w:fldCharType="separate"/>
      </w:r>
      <w:r>
        <w:t>7</w:t>
      </w:r>
      <w:r>
        <w:fldChar w:fldCharType="end"/>
      </w:r>
    </w:p>
    <w:p>
      <w:pPr>
        <w:pStyle w:val="TOC8"/>
        <w:rPr>
          <w:rFonts w:asciiTheme="minorHAnsi" w:eastAsiaTheme="minorEastAsia" w:hAnsiTheme="minorHAnsi" w:cstheme="minorBidi"/>
          <w:szCs w:val="22"/>
        </w:rPr>
      </w:pPr>
      <w:r>
        <w:t>11A.</w:t>
      </w:r>
      <w:r>
        <w:tab/>
        <w:t>Removal of members for breach of certain duties and suspension pending removal</w:t>
      </w:r>
      <w:r>
        <w:tab/>
      </w:r>
      <w:r>
        <w:fldChar w:fldCharType="begin"/>
      </w:r>
      <w:r>
        <w:instrText xml:space="preserve"> PAGEREF _Toc465084165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Chancellor and Pro-Chancellor</w:t>
      </w:r>
    </w:p>
    <w:p>
      <w:pPr>
        <w:pStyle w:val="TOC8"/>
        <w:rPr>
          <w:rFonts w:asciiTheme="minorHAnsi" w:eastAsiaTheme="minorEastAsia" w:hAnsiTheme="minorHAnsi" w:cstheme="minorBidi"/>
          <w:szCs w:val="22"/>
        </w:rPr>
      </w:pPr>
      <w:r>
        <w:t>12.</w:t>
      </w:r>
      <w:r>
        <w:tab/>
        <w:t>Chancellor</w:t>
      </w:r>
      <w:r>
        <w:tab/>
      </w:r>
      <w:r>
        <w:fldChar w:fldCharType="begin"/>
      </w:r>
      <w:r>
        <w:instrText xml:space="preserve"> PAGEREF _Toc465084167 \h </w:instrText>
      </w:r>
      <w:r>
        <w:fldChar w:fldCharType="separate"/>
      </w:r>
      <w:r>
        <w:t>10</w:t>
      </w:r>
      <w:r>
        <w:fldChar w:fldCharType="end"/>
      </w:r>
    </w:p>
    <w:p>
      <w:pPr>
        <w:pStyle w:val="TOC8"/>
        <w:rPr>
          <w:rFonts w:asciiTheme="minorHAnsi" w:eastAsiaTheme="minorEastAsia" w:hAnsiTheme="minorHAnsi" w:cstheme="minorBidi"/>
          <w:szCs w:val="22"/>
        </w:rPr>
      </w:pPr>
      <w:r>
        <w:t>12A.</w:t>
      </w:r>
      <w:r>
        <w:tab/>
        <w:t>Pro</w:t>
      </w:r>
      <w:r>
        <w:noBreakHyphen/>
        <w:t>Chancellor</w:t>
      </w:r>
      <w:r>
        <w:tab/>
      </w:r>
      <w:r>
        <w:fldChar w:fldCharType="begin"/>
      </w:r>
      <w:r>
        <w:instrText xml:space="preserve"> PAGEREF _Toc465084168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Powers of Senate</w:t>
      </w:r>
    </w:p>
    <w:p>
      <w:pPr>
        <w:pStyle w:val="TOC8"/>
        <w:rPr>
          <w:rFonts w:asciiTheme="minorHAnsi" w:eastAsiaTheme="minorEastAsia" w:hAnsiTheme="minorHAnsi" w:cstheme="minorBidi"/>
          <w:szCs w:val="22"/>
        </w:rPr>
      </w:pPr>
      <w:r>
        <w:t>13</w:t>
      </w:r>
      <w:r>
        <w:rPr>
          <w:snapToGrid w:val="0"/>
        </w:rPr>
        <w:t>.</w:t>
      </w:r>
      <w:r>
        <w:rPr>
          <w:snapToGrid w:val="0"/>
        </w:rPr>
        <w:tab/>
        <w:t>Appointment of officers and management of affairs</w:t>
      </w:r>
      <w:r>
        <w:tab/>
      </w:r>
      <w:r>
        <w:fldChar w:fldCharType="begin"/>
      </w:r>
      <w:r>
        <w:instrText xml:space="preserve"> PAGEREF _Toc465084170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Control and management of property</w:t>
      </w:r>
      <w:r>
        <w:tab/>
      </w:r>
      <w:r>
        <w:fldChar w:fldCharType="begin"/>
      </w:r>
      <w:r>
        <w:instrText xml:space="preserve"> PAGEREF _Toc465084171 \h </w:instrText>
      </w:r>
      <w:r>
        <w:fldChar w:fldCharType="separate"/>
      </w:r>
      <w:r>
        <w:t>12</w:t>
      </w:r>
      <w:r>
        <w:fldChar w:fldCharType="end"/>
      </w:r>
    </w:p>
    <w:p>
      <w:pPr>
        <w:pStyle w:val="TOC8"/>
        <w:rPr>
          <w:rFonts w:asciiTheme="minorHAnsi" w:eastAsiaTheme="minorEastAsia" w:hAnsiTheme="minorHAnsi" w:cstheme="minorBidi"/>
          <w:szCs w:val="22"/>
        </w:rPr>
      </w:pPr>
      <w:r>
        <w:t>14A.</w:t>
      </w:r>
      <w:r>
        <w:tab/>
        <w:t>Sale of endowment land</w:t>
      </w:r>
      <w:r>
        <w:tab/>
      </w:r>
      <w:r>
        <w:fldChar w:fldCharType="begin"/>
      </w:r>
      <w:r>
        <w:instrText xml:space="preserve"> PAGEREF _Toc465084172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Leasing University lands</w:t>
      </w:r>
      <w:r>
        <w:tab/>
      </w:r>
      <w:r>
        <w:fldChar w:fldCharType="begin"/>
      </w:r>
      <w:r>
        <w:instrText xml:space="preserve"> PAGEREF _Toc465084173 \h </w:instrText>
      </w:r>
      <w:r>
        <w:fldChar w:fldCharType="separate"/>
      </w:r>
      <w:r>
        <w:t>12</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Trust moneys not immediately required may be used to erect buildings etc.</w:t>
      </w:r>
      <w:r>
        <w:tab/>
      </w:r>
      <w:r>
        <w:fldChar w:fldCharType="begin"/>
      </w:r>
      <w:r>
        <w:instrText xml:space="preserve"> PAGEREF _Toc465084174 \h </w:instrText>
      </w:r>
      <w:r>
        <w:fldChar w:fldCharType="separate"/>
      </w:r>
      <w:r>
        <w:t>13</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Raising loans</w:t>
      </w:r>
      <w:r>
        <w:tab/>
      </w:r>
      <w:r>
        <w:fldChar w:fldCharType="begin"/>
      </w:r>
      <w:r>
        <w:instrText xml:space="preserve"> PAGEREF _Toc465084175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Disposal of property acquired by gift etc.</w:t>
      </w:r>
      <w:r>
        <w:tab/>
      </w:r>
      <w:r>
        <w:fldChar w:fldCharType="begin"/>
      </w:r>
      <w:r>
        <w:instrText xml:space="preserve"> PAGEREF _Toc465084176 \h </w:instrText>
      </w:r>
      <w:r>
        <w:fldChar w:fldCharType="separate"/>
      </w:r>
      <w:r>
        <w:t>15</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By</w:t>
      </w:r>
      <w:r>
        <w:rPr>
          <w:snapToGrid w:val="0"/>
        </w:rPr>
        <w:noBreakHyphen/>
        <w:t>laws regulating use etc. of University lands</w:t>
      </w:r>
      <w:r>
        <w:tab/>
      </w:r>
      <w:r>
        <w:fldChar w:fldCharType="begin"/>
      </w:r>
      <w:r>
        <w:instrText xml:space="preserve"> PAGEREF _Toc465084177 \h </w:instrText>
      </w:r>
      <w:r>
        <w:fldChar w:fldCharType="separate"/>
      </w:r>
      <w:r>
        <w:t>16</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Approval and publication of by</w:t>
      </w:r>
      <w:r>
        <w:rPr>
          <w:snapToGrid w:val="0"/>
        </w:rPr>
        <w:noBreakHyphen/>
        <w:t>laws</w:t>
      </w:r>
      <w:r>
        <w:tab/>
      </w:r>
      <w:r>
        <w:fldChar w:fldCharType="begin"/>
      </w:r>
      <w:r>
        <w:instrText xml:space="preserve"> PAGEREF _Toc465084178 \h </w:instrText>
      </w:r>
      <w:r>
        <w:fldChar w:fldCharType="separate"/>
      </w:r>
      <w:r>
        <w:t>21</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Penalty etc.</w:t>
      </w:r>
      <w:r>
        <w:tab/>
      </w:r>
      <w:r>
        <w:fldChar w:fldCharType="begin"/>
      </w:r>
      <w:r>
        <w:instrText xml:space="preserve"> PAGEREF _Toc465084179 \h </w:instrText>
      </w:r>
      <w:r>
        <w:fldChar w:fldCharType="separate"/>
      </w:r>
      <w:r>
        <w:t>21</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Regulations</w:t>
      </w:r>
      <w:r>
        <w:tab/>
      </w:r>
      <w:r>
        <w:fldChar w:fldCharType="begin"/>
      </w:r>
      <w:r>
        <w:instrText xml:space="preserve"> PAGEREF _Toc465084180 \h </w:instrText>
      </w:r>
      <w:r>
        <w:fldChar w:fldCharType="separate"/>
      </w:r>
      <w:r>
        <w:t>22</w:t>
      </w:r>
      <w:r>
        <w:fldChar w:fldCharType="end"/>
      </w:r>
    </w:p>
    <w:p>
      <w:pPr>
        <w:pStyle w:val="TOC8"/>
        <w:rPr>
          <w:rFonts w:asciiTheme="minorHAnsi" w:eastAsiaTheme="minorEastAsia" w:hAnsiTheme="minorHAnsi" w:cstheme="minorBidi"/>
          <w:szCs w:val="22"/>
        </w:rPr>
      </w:pPr>
      <w:r>
        <w:t>16EA.</w:t>
      </w:r>
      <w:r>
        <w:tab/>
        <w:t>Relief of Senate members from liability</w:t>
      </w:r>
      <w:r>
        <w:tab/>
      </w:r>
      <w:r>
        <w:fldChar w:fldCharType="begin"/>
      </w:r>
      <w:r>
        <w:instrText xml:space="preserve"> PAGEREF _Toc465084181 \h </w:instrText>
      </w:r>
      <w:r>
        <w:fldChar w:fldCharType="separate"/>
      </w:r>
      <w:r>
        <w:t>22</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 xml:space="preserve">Certain certificates of Chancellor etc. to be </w:t>
      </w:r>
      <w:r>
        <w:rPr>
          <w:i/>
          <w:snapToGrid w:val="0"/>
        </w:rPr>
        <w:t>prima facie</w:t>
      </w:r>
      <w:r>
        <w:rPr>
          <w:snapToGrid w:val="0"/>
        </w:rPr>
        <w:t xml:space="preserve"> evidence</w:t>
      </w:r>
      <w:r>
        <w:tab/>
      </w:r>
      <w:r>
        <w:fldChar w:fldCharType="begin"/>
      </w:r>
      <w:r>
        <w:instrText xml:space="preserve"> PAGEREF _Toc465084182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Convocation</w:t>
      </w:r>
    </w:p>
    <w:p>
      <w:pPr>
        <w:pStyle w:val="TOC8"/>
        <w:rPr>
          <w:rFonts w:asciiTheme="minorHAnsi" w:eastAsiaTheme="minorEastAsia" w:hAnsiTheme="minorHAnsi" w:cstheme="minorBidi"/>
          <w:szCs w:val="22"/>
        </w:rPr>
      </w:pPr>
      <w:r>
        <w:t>17</w:t>
      </w:r>
      <w:r>
        <w:rPr>
          <w:snapToGrid w:val="0"/>
        </w:rPr>
        <w:t>.</w:t>
      </w:r>
      <w:r>
        <w:rPr>
          <w:snapToGrid w:val="0"/>
        </w:rPr>
        <w:tab/>
        <w:t>Members</w:t>
      </w:r>
      <w:r>
        <w:tab/>
      </w:r>
      <w:r>
        <w:fldChar w:fldCharType="begin"/>
      </w:r>
      <w:r>
        <w:instrText xml:space="preserve"> PAGEREF _Toc465084184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Warden</w:t>
      </w:r>
      <w:r>
        <w:tab/>
      </w:r>
      <w:r>
        <w:fldChar w:fldCharType="begin"/>
      </w:r>
      <w:r>
        <w:instrText xml:space="preserve"> PAGEREF _Toc465084185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Vacancies</w:t>
      </w:r>
    </w:p>
    <w:p>
      <w:pPr>
        <w:pStyle w:val="TOC8"/>
        <w:rPr>
          <w:rFonts w:asciiTheme="minorHAnsi" w:eastAsiaTheme="minorEastAsia" w:hAnsiTheme="minorHAnsi" w:cstheme="minorBidi"/>
          <w:szCs w:val="22"/>
        </w:rPr>
      </w:pPr>
      <w:r>
        <w:t>19</w:t>
      </w:r>
      <w:r>
        <w:rPr>
          <w:snapToGrid w:val="0"/>
        </w:rPr>
        <w:t>.</w:t>
      </w:r>
      <w:r>
        <w:rPr>
          <w:snapToGrid w:val="0"/>
        </w:rPr>
        <w:tab/>
        <w:t>Resignation</w:t>
      </w:r>
      <w:r>
        <w:tab/>
      </w:r>
      <w:r>
        <w:fldChar w:fldCharType="begin"/>
      </w:r>
      <w:r>
        <w:instrText xml:space="preserve"> PAGEREF _Toc465084187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Senate office vacated on disqualification etc.</w:t>
      </w:r>
      <w:r>
        <w:tab/>
      </w:r>
      <w:r>
        <w:fldChar w:fldCharType="begin"/>
      </w:r>
      <w:r>
        <w:instrText xml:space="preserve"> PAGEREF _Toc465084188 \h </w:instrText>
      </w:r>
      <w:r>
        <w:fldChar w:fldCharType="separate"/>
      </w:r>
      <w:r>
        <w:t>25</w:t>
      </w:r>
      <w:r>
        <w:fldChar w:fldCharType="end"/>
      </w:r>
    </w:p>
    <w:p>
      <w:pPr>
        <w:pStyle w:val="TOC8"/>
        <w:rPr>
          <w:rFonts w:asciiTheme="minorHAnsi" w:eastAsiaTheme="minorEastAsia" w:hAnsiTheme="minorHAnsi" w:cstheme="minorBidi"/>
          <w:szCs w:val="22"/>
        </w:rPr>
      </w:pPr>
      <w:r>
        <w:t>21.</w:t>
      </w:r>
      <w:r>
        <w:tab/>
        <w:t>Vacancy in office of Warden, how filled</w:t>
      </w:r>
      <w:r>
        <w:tab/>
      </w:r>
      <w:r>
        <w:fldChar w:fldCharType="begin"/>
      </w:r>
      <w:r>
        <w:instrText xml:space="preserve"> PAGEREF _Toc465084189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Vacancies in Senate, how filled</w:t>
      </w:r>
      <w:r>
        <w:tab/>
      </w:r>
      <w:r>
        <w:fldChar w:fldCharType="begin"/>
      </w:r>
      <w:r>
        <w:instrText xml:space="preserve"> PAGEREF _Toc465084190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Reappointment</w:t>
      </w:r>
      <w:r>
        <w:tab/>
      </w:r>
      <w:r>
        <w:fldChar w:fldCharType="begin"/>
      </w:r>
      <w:r>
        <w:instrText xml:space="preserve"> PAGEREF _Toc465084191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Proceedings</w:t>
      </w:r>
    </w:p>
    <w:p>
      <w:pPr>
        <w:pStyle w:val="TOC8"/>
        <w:rPr>
          <w:rFonts w:asciiTheme="minorHAnsi" w:eastAsiaTheme="minorEastAsia" w:hAnsiTheme="minorHAnsi" w:cstheme="minorBidi"/>
          <w:szCs w:val="22"/>
        </w:rPr>
      </w:pPr>
      <w:r>
        <w:t>24</w:t>
      </w:r>
      <w:r>
        <w:rPr>
          <w:snapToGrid w:val="0"/>
        </w:rPr>
        <w:t>.</w:t>
      </w:r>
      <w:r>
        <w:rPr>
          <w:snapToGrid w:val="0"/>
        </w:rPr>
        <w:tab/>
        <w:t>Chairman</w:t>
      </w:r>
      <w:r>
        <w:tab/>
      </w:r>
      <w:r>
        <w:fldChar w:fldCharType="begin"/>
      </w:r>
      <w:r>
        <w:instrText xml:space="preserve"> PAGEREF _Toc465084193 \h </w:instrText>
      </w:r>
      <w:r>
        <w:fldChar w:fldCharType="separate"/>
      </w:r>
      <w:r>
        <w:t>27</w:t>
      </w:r>
      <w:r>
        <w:fldChar w:fldCharType="end"/>
      </w:r>
    </w:p>
    <w:p>
      <w:pPr>
        <w:pStyle w:val="TOC8"/>
        <w:rPr>
          <w:rFonts w:asciiTheme="minorHAnsi" w:eastAsiaTheme="minorEastAsia" w:hAnsiTheme="minorHAnsi" w:cstheme="minorBidi"/>
          <w:szCs w:val="22"/>
        </w:rPr>
      </w:pPr>
      <w:r>
        <w:t>24A.</w:t>
      </w:r>
      <w:r>
        <w:tab/>
        <w:t>Disclosure of interests (Sch. 1 Div. 2)</w:t>
      </w:r>
      <w:r>
        <w:tab/>
      </w:r>
      <w:r>
        <w:fldChar w:fldCharType="begin"/>
      </w:r>
      <w:r>
        <w:instrText xml:space="preserve"> PAGEREF _Toc465084194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Quorum</w:t>
      </w:r>
      <w:r>
        <w:tab/>
      </w:r>
      <w:r>
        <w:fldChar w:fldCharType="begin"/>
      </w:r>
      <w:r>
        <w:instrText xml:space="preserve"> PAGEREF _Toc465084195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invalidated in certain circumstances</w:t>
      </w:r>
      <w:r>
        <w:tab/>
      </w:r>
      <w:r>
        <w:fldChar w:fldCharType="begin"/>
      </w:r>
      <w:r>
        <w:instrText xml:space="preserve"> PAGEREF _Toc465084196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Vice-Chancellor</w:t>
      </w:r>
    </w:p>
    <w:p>
      <w:pPr>
        <w:pStyle w:val="TOC8"/>
        <w:rPr>
          <w:rFonts w:asciiTheme="minorHAnsi" w:eastAsiaTheme="minorEastAsia" w:hAnsiTheme="minorHAnsi" w:cstheme="minorBidi"/>
          <w:szCs w:val="22"/>
        </w:rPr>
      </w:pPr>
      <w:r>
        <w:t>27</w:t>
      </w:r>
      <w:r>
        <w:rPr>
          <w:snapToGrid w:val="0"/>
        </w:rPr>
        <w:t>.</w:t>
      </w:r>
      <w:r>
        <w:rPr>
          <w:snapToGrid w:val="0"/>
        </w:rPr>
        <w:tab/>
        <w:t>Vice</w:t>
      </w:r>
      <w:r>
        <w:rPr>
          <w:snapToGrid w:val="0"/>
        </w:rPr>
        <w:noBreakHyphen/>
        <w:t>Chancellor, appointment and functions of</w:t>
      </w:r>
      <w:r>
        <w:tab/>
      </w:r>
      <w:r>
        <w:fldChar w:fldCharType="begin"/>
      </w:r>
      <w:r>
        <w:instrText xml:space="preserve"> PAGEREF _Toc465084198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Guild of Undergraduates</w:t>
      </w:r>
    </w:p>
    <w:p>
      <w:pPr>
        <w:pStyle w:val="TOC8"/>
        <w:rPr>
          <w:rFonts w:asciiTheme="minorHAnsi" w:eastAsiaTheme="minorEastAsia" w:hAnsiTheme="minorHAnsi" w:cstheme="minorBidi"/>
          <w:szCs w:val="22"/>
        </w:rPr>
      </w:pPr>
      <w:r>
        <w:t>28</w:t>
      </w:r>
      <w:r>
        <w:rPr>
          <w:snapToGrid w:val="0"/>
        </w:rPr>
        <w:t>.</w:t>
      </w:r>
      <w:r>
        <w:rPr>
          <w:snapToGrid w:val="0"/>
        </w:rPr>
        <w:tab/>
        <w:t>Guild of Undergraduates</w:t>
      </w:r>
      <w:r>
        <w:tab/>
      </w:r>
      <w:r>
        <w:fldChar w:fldCharType="begin"/>
      </w:r>
      <w:r>
        <w:instrText xml:space="preserve"> PAGEREF _Toc465084200 \h </w:instrText>
      </w:r>
      <w:r>
        <w:fldChar w:fldCharType="separate"/>
      </w:r>
      <w:r>
        <w:t>29</w:t>
      </w:r>
      <w:r>
        <w:fldChar w:fldCharType="end"/>
      </w:r>
    </w:p>
    <w:p>
      <w:pPr>
        <w:pStyle w:val="TOC8"/>
        <w:rPr>
          <w:rFonts w:asciiTheme="minorHAnsi" w:eastAsiaTheme="minorEastAsia" w:hAnsiTheme="minorHAnsi" w:cstheme="minorBidi"/>
          <w:szCs w:val="22"/>
        </w:rPr>
      </w:pPr>
      <w:r>
        <w:t>28A.</w:t>
      </w:r>
      <w:r>
        <w:tab/>
        <w:t>Amenities and services fee</w:t>
      </w:r>
      <w:r>
        <w:tab/>
      </w:r>
      <w:r>
        <w:fldChar w:fldCharType="begin"/>
      </w:r>
      <w:r>
        <w:instrText xml:space="preserve"> PAGEREF _Toc465084201 \h </w:instrText>
      </w:r>
      <w:r>
        <w:fldChar w:fldCharType="separate"/>
      </w:r>
      <w:r>
        <w:t>30</w:t>
      </w:r>
      <w:r>
        <w:fldChar w:fldCharType="end"/>
      </w:r>
    </w:p>
    <w:p>
      <w:pPr>
        <w:pStyle w:val="TOC8"/>
        <w:rPr>
          <w:rFonts w:asciiTheme="minorHAnsi" w:eastAsiaTheme="minorEastAsia" w:hAnsiTheme="minorHAnsi" w:cstheme="minorBidi"/>
          <w:szCs w:val="22"/>
        </w:rPr>
      </w:pPr>
      <w:r>
        <w:t>28B.</w:t>
      </w:r>
      <w:r>
        <w:tab/>
        <w:t>Senate to include detail in Statute</w:t>
      </w:r>
      <w:r>
        <w:tab/>
      </w:r>
      <w:r>
        <w:fldChar w:fldCharType="begin"/>
      </w:r>
      <w:r>
        <w:instrText xml:space="preserve"> PAGEREF _Toc465084202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Instruction, degrees, examination</w:t>
      </w:r>
    </w:p>
    <w:p>
      <w:pPr>
        <w:pStyle w:val="TOC8"/>
        <w:rPr>
          <w:rFonts w:asciiTheme="minorHAnsi" w:eastAsiaTheme="minorEastAsia" w:hAnsiTheme="minorHAnsi" w:cstheme="minorBidi"/>
          <w:szCs w:val="22"/>
        </w:rPr>
      </w:pPr>
      <w:r>
        <w:t>29</w:t>
      </w:r>
      <w:r>
        <w:rPr>
          <w:snapToGrid w:val="0"/>
        </w:rPr>
        <w:t>.</w:t>
      </w:r>
      <w:r>
        <w:rPr>
          <w:snapToGrid w:val="0"/>
        </w:rPr>
        <w:tab/>
        <w:t>Instruction, degrees etc.</w:t>
      </w:r>
      <w:r>
        <w:tab/>
      </w:r>
      <w:r>
        <w:fldChar w:fldCharType="begin"/>
      </w:r>
      <w:r>
        <w:instrText xml:space="preserve"> PAGEREF _Toc465084204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Examinations</w:t>
      </w:r>
      <w:r>
        <w:tab/>
      </w:r>
      <w:r>
        <w:fldChar w:fldCharType="begin"/>
      </w:r>
      <w:r>
        <w:instrText xml:space="preserve"> PAGEREF _Toc465084205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 Statutes</w:t>
      </w:r>
    </w:p>
    <w:p>
      <w:pPr>
        <w:pStyle w:val="TOC8"/>
        <w:rPr>
          <w:rFonts w:asciiTheme="minorHAnsi" w:eastAsiaTheme="minorEastAsia" w:hAnsiTheme="minorHAnsi" w:cstheme="minorBidi"/>
          <w:szCs w:val="22"/>
        </w:rPr>
      </w:pPr>
      <w:r>
        <w:t>31</w:t>
      </w:r>
      <w:r>
        <w:rPr>
          <w:snapToGrid w:val="0"/>
        </w:rPr>
        <w:t>.</w:t>
      </w:r>
      <w:r>
        <w:rPr>
          <w:snapToGrid w:val="0"/>
        </w:rPr>
        <w:tab/>
        <w:t>Power to make Statutes</w:t>
      </w:r>
      <w:r>
        <w:tab/>
      </w:r>
      <w:r>
        <w:fldChar w:fldCharType="begin"/>
      </w:r>
      <w:r>
        <w:instrText xml:space="preserve"> PAGEREF _Toc465084207 \h </w:instrText>
      </w:r>
      <w:r>
        <w:fldChar w:fldCharType="separate"/>
      </w:r>
      <w:r>
        <w:t>33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Statutes to be approved by Governor and published</w:t>
      </w:r>
      <w:r>
        <w:tab/>
      </w:r>
      <w:r>
        <w:fldChar w:fldCharType="begin"/>
      </w:r>
      <w:r>
        <w:instrText xml:space="preserve"> PAGEREF _Toc465084208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Affiliated institutions</w:t>
      </w:r>
      <w:r>
        <w:tab/>
      </w:r>
      <w:r>
        <w:fldChar w:fldCharType="begin"/>
      </w:r>
      <w:r>
        <w:instrText xml:space="preserve"> PAGEREF _Toc465084209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8 — Endowment and revenue</w:t>
      </w:r>
    </w:p>
    <w:p>
      <w:pPr>
        <w:pStyle w:val="TOC8"/>
        <w:rPr>
          <w:rFonts w:asciiTheme="minorHAnsi" w:eastAsiaTheme="minorEastAsia" w:hAnsiTheme="minorHAnsi" w:cstheme="minorBidi"/>
          <w:szCs w:val="22"/>
        </w:rPr>
      </w:pPr>
      <w:r>
        <w:t>35</w:t>
      </w:r>
      <w:r>
        <w:rPr>
          <w:snapToGrid w:val="0"/>
        </w:rPr>
        <w:t>.</w:t>
      </w:r>
      <w:r>
        <w:rPr>
          <w:snapToGrid w:val="0"/>
        </w:rPr>
        <w:tab/>
        <w:t>Endowment of Crown lands etc.</w:t>
      </w:r>
      <w:r>
        <w:tab/>
      </w:r>
      <w:r>
        <w:fldChar w:fldCharType="begin"/>
      </w:r>
      <w:r>
        <w:instrText xml:space="preserve"> PAGEREF _Toc465084211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Exemption of property from taxation</w:t>
      </w:r>
      <w:r>
        <w:tab/>
      </w:r>
      <w:r>
        <w:fldChar w:fldCharType="begin"/>
      </w:r>
      <w:r>
        <w:instrText xml:space="preserve"> PAGEREF _Toc465084212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Parliament may make appropriation to University</w:t>
      </w:r>
      <w:r>
        <w:tab/>
      </w:r>
      <w:r>
        <w:fldChar w:fldCharType="begin"/>
      </w:r>
      <w:r>
        <w:instrText xml:space="preserve"> PAGEREF _Toc465084213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Application of fees etc.</w:t>
      </w:r>
      <w:r>
        <w:tab/>
      </w:r>
      <w:r>
        <w:fldChar w:fldCharType="begin"/>
      </w:r>
      <w:r>
        <w:instrText xml:space="preserve"> PAGEREF _Toc465084214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39</w:t>
      </w:r>
      <w:r>
        <w:rPr>
          <w:snapToGrid w:val="0"/>
        </w:rPr>
        <w:t>.</w:t>
      </w:r>
      <w:r>
        <w:rPr>
          <w:snapToGrid w:val="0"/>
        </w:rPr>
        <w:tab/>
        <w:t>No religious test</w:t>
      </w:r>
      <w:r>
        <w:tab/>
      </w:r>
      <w:r>
        <w:fldChar w:fldCharType="begin"/>
      </w:r>
      <w:r>
        <w:instrText xml:space="preserve"> PAGEREF _Toc465084216 \h </w:instrText>
      </w:r>
      <w:r>
        <w:fldChar w:fldCharType="separate"/>
      </w:r>
      <w:r>
        <w:t>40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Privileges of Act to extend to women</w:t>
      </w:r>
      <w:r>
        <w:tab/>
      </w:r>
      <w:r>
        <w:fldChar w:fldCharType="begin"/>
      </w:r>
      <w:r>
        <w:instrText xml:space="preserve"> PAGEREF _Toc465084217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_Toc465084218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Discharge of Trustees of University Endowment</w:t>
      </w:r>
      <w:r>
        <w:tab/>
      </w:r>
      <w:r>
        <w:fldChar w:fldCharType="begin"/>
      </w:r>
      <w:r>
        <w:instrText xml:space="preserve"> PAGEREF _Toc465084219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 — Senate members</w:t>
      </w:r>
    </w:p>
    <w:p>
      <w:pPr>
        <w:pStyle w:val="TOC4"/>
        <w:tabs>
          <w:tab w:val="right" w:leader="dot" w:pos="7077"/>
        </w:tabs>
        <w:rPr>
          <w:rFonts w:asciiTheme="minorHAnsi" w:eastAsiaTheme="minorEastAsia" w:hAnsiTheme="minorHAnsi" w:cstheme="minorBidi"/>
          <w:b w:val="0"/>
          <w:szCs w:val="22"/>
        </w:rPr>
      </w:pPr>
      <w:r>
        <w:t>Division 1 — 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_Toc465084222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_Toc465084224 \h </w:instrText>
      </w:r>
      <w:r>
        <w:fldChar w:fldCharType="separate"/>
      </w:r>
      <w:r>
        <w:t>43</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_Toc465084225 \h </w:instrText>
      </w:r>
      <w:r>
        <w:fldChar w:fldCharType="separate"/>
      </w:r>
      <w:r>
        <w:t>43</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_Toc465084226 \h </w:instrText>
      </w:r>
      <w:r>
        <w:fldChar w:fldCharType="separate"/>
      </w:r>
      <w:r>
        <w:t>44</w:t>
      </w:r>
      <w:r>
        <w:fldChar w:fldCharType="end"/>
      </w:r>
    </w:p>
    <w:p>
      <w:pPr>
        <w:pStyle w:val="TOC8"/>
        <w:rPr>
          <w:rFonts w:asciiTheme="minorHAnsi" w:eastAsiaTheme="minorEastAsia" w:hAnsiTheme="minorHAnsi" w:cstheme="minorBidi"/>
          <w:szCs w:val="22"/>
        </w:rPr>
      </w:pPr>
      <w:r>
        <w:t>5.</w:t>
      </w:r>
      <w:r>
        <w:tab/>
        <w:t>Quorum where cl. 3 applies</w:t>
      </w:r>
      <w:r>
        <w:tab/>
      </w:r>
      <w:r>
        <w:fldChar w:fldCharType="begin"/>
      </w:r>
      <w:r>
        <w:instrText xml:space="preserve"> PAGEREF _Toc465084227 \h </w:instrText>
      </w:r>
      <w:r>
        <w:fldChar w:fldCharType="separate"/>
      </w:r>
      <w:r>
        <w:t>44</w:t>
      </w:r>
      <w:r>
        <w:fldChar w:fldCharType="end"/>
      </w:r>
    </w:p>
    <w:p>
      <w:pPr>
        <w:pStyle w:val="TOC8"/>
        <w:rPr>
          <w:rFonts w:asciiTheme="minorHAnsi" w:eastAsiaTheme="minorEastAsia" w:hAnsiTheme="minorHAnsi" w:cstheme="minorBidi"/>
          <w:szCs w:val="22"/>
        </w:rPr>
      </w:pPr>
      <w:r>
        <w:t>6.</w:t>
      </w:r>
      <w:r>
        <w:tab/>
        <w:t>Minister may declare cl. 3 and 5 inapplicable</w:t>
      </w:r>
      <w:r>
        <w:tab/>
      </w:r>
      <w:r>
        <w:fldChar w:fldCharType="begin"/>
      </w:r>
      <w:r>
        <w:instrText xml:space="preserve"> PAGEREF _Toc465084228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_Toc465084230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_Toc465084231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r>
        <w:t xml:space="preserve"> Act 1911</w:t>
      </w:r>
    </w:p>
    <w:p>
      <w:pPr>
        <w:pStyle w:val="LongTitle"/>
        <w:rPr>
          <w:snapToGrid w:val="0"/>
        </w:rPr>
      </w:pPr>
      <w:r>
        <w:rPr>
          <w:snapToGrid w:val="0"/>
        </w:rPr>
        <w:t xml:space="preserve">An Act to establish, incorporate, and endow 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w:t>
      </w:r>
    </w:p>
    <w:p>
      <w:pPr>
        <w:pStyle w:val="Preamble1"/>
      </w:pPr>
      <w:r>
        <w:t>Preamble</w:t>
      </w:r>
    </w:p>
    <w:p>
      <w:pPr>
        <w:pStyle w:val="Preamble2"/>
        <w:rPr>
          <w:snapToGrid w:val="0"/>
        </w:rPr>
      </w:pPr>
      <w:r>
        <w:rPr>
          <w:snapToGrid w:val="0"/>
        </w:rPr>
        <w:t xml:space="preserve">Whereas of the States of the Commonwealth Western </w:t>
      </w:r>
      <w:smartTag w:uri="urn:schemas-microsoft-com:office:smarttags" w:element="country-region">
        <w:smartTag w:uri="urn:schemas-microsoft-com:office:smarttags" w:element="place">
          <w:r>
            <w:rPr>
              <w:snapToGrid w:val="0"/>
            </w:rPr>
            <w:t>Australia</w:t>
          </w:r>
        </w:smartTag>
      </w:smartTag>
      <w:r>
        <w:rPr>
          <w:snapToGrid w:val="0"/>
        </w:rPr>
        <w:t xml:space="preserve">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 xml:space="preserve">And whereas for these purposes it is expedient to incorporate and endow a University within the State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377393064"/>
      <w:bookmarkStart w:id="4" w:name="_Toc405542027"/>
      <w:bookmarkStart w:id="5" w:name="_Toc416963234"/>
      <w:bookmarkStart w:id="6" w:name="_Toc416963317"/>
      <w:bookmarkStart w:id="7" w:name="_Toc465083680"/>
      <w:bookmarkStart w:id="8" w:name="_Toc465083764"/>
      <w:bookmarkStart w:id="9" w:name="_Toc46508414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Footnoteheading"/>
      </w:pPr>
      <w:r>
        <w:tab/>
        <w:t>[Heading inserted by No. 19 of 2010 s. 48(3).]</w:t>
      </w:r>
    </w:p>
    <w:p>
      <w:pPr>
        <w:pStyle w:val="Heading5"/>
        <w:rPr>
          <w:snapToGrid w:val="0"/>
        </w:rPr>
      </w:pPr>
      <w:bookmarkStart w:id="10" w:name="_Toc405542028"/>
      <w:bookmarkStart w:id="11" w:name="_Toc465084150"/>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xml:space="preserve"> </w:t>
      </w:r>
      <w:r>
        <w:rPr>
          <w:snapToGrid w:val="0"/>
          <w:vertAlign w:val="superscript"/>
        </w:rPr>
        <w:t>1</w:t>
      </w:r>
      <w:r>
        <w:rPr>
          <w:snapToGrid w:val="0"/>
        </w:rPr>
        <w:t>.</w:t>
      </w:r>
    </w:p>
    <w:p>
      <w:pPr>
        <w:pStyle w:val="Heading5"/>
        <w:rPr>
          <w:snapToGrid w:val="0"/>
        </w:rPr>
      </w:pPr>
      <w:bookmarkStart w:id="12" w:name="_Toc405542029"/>
      <w:bookmarkStart w:id="13" w:name="_Toc465084151"/>
      <w:r>
        <w:rPr>
          <w:rStyle w:val="CharSectno"/>
        </w:rPr>
        <w:t>2</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r>
      <w:r>
        <w:rPr>
          <w:rStyle w:val="CharDefText"/>
        </w:rPr>
        <w:t>Convocation</w:t>
      </w:r>
      <w:r>
        <w:rPr>
          <w:b/>
        </w:rPr>
        <w:t> </w:t>
      </w:r>
      <w:r>
        <w:t>— Convocation of the University;</w:t>
      </w:r>
    </w:p>
    <w:p>
      <w:pPr>
        <w:pStyle w:val="Defstart"/>
      </w:pPr>
      <w:r>
        <w:tab/>
      </w:r>
      <w:r>
        <w:rPr>
          <w:rStyle w:val="CharDefText"/>
        </w:rPr>
        <w:t>Guild</w:t>
      </w:r>
      <w:r>
        <w:rPr>
          <w:b/>
        </w:rPr>
        <w:t> </w:t>
      </w:r>
      <w:r>
        <w:t>— The Guild of Undergraduates established under section 28;</w:t>
      </w:r>
    </w:p>
    <w:p>
      <w:pPr>
        <w:pStyle w:val="Defstart"/>
      </w:pPr>
      <w:r>
        <w:rPr>
          <w:b/>
        </w:rPr>
        <w:tab/>
      </w:r>
      <w:r>
        <w:rPr>
          <w:rStyle w:val="CharDefText"/>
        </w:rPr>
        <w:t>Senate</w:t>
      </w:r>
      <w:r>
        <w:rPr>
          <w:b/>
        </w:rPr>
        <w:t> </w:t>
      </w:r>
      <w:r>
        <w:t>— The Senate of the University;</w:t>
      </w:r>
    </w:p>
    <w:p>
      <w:pPr>
        <w:pStyle w:val="Defstart"/>
      </w:pPr>
      <w:r>
        <w:tab/>
      </w:r>
      <w:r>
        <w:rPr>
          <w:rStyle w:val="CharDefText"/>
        </w:rPr>
        <w:t>Statutes</w:t>
      </w:r>
      <w:r>
        <w:rPr>
          <w:b/>
        </w:rPr>
        <w:t> </w:t>
      </w:r>
      <w:r>
        <w:t>— Statutes of the University made under the authority of this Act;</w:t>
      </w:r>
    </w:p>
    <w:p>
      <w:pPr>
        <w:pStyle w:val="Defstart"/>
      </w:pPr>
      <w:r>
        <w:rPr>
          <w:b/>
        </w:rPr>
        <w:tab/>
      </w:r>
      <w:r>
        <w:rPr>
          <w:rStyle w:val="CharDefText"/>
        </w:rPr>
        <w:t>student</w:t>
      </w:r>
      <w:r>
        <w:rPr>
          <w:b/>
        </w:rPr>
        <w:t> </w:t>
      </w:r>
      <w:r>
        <w:t>— A person enrolled in the University as a student;</w:t>
      </w:r>
    </w:p>
    <w:p>
      <w:pPr>
        <w:pStyle w:val="Defstart"/>
      </w:pPr>
      <w:r>
        <w:rPr>
          <w:b/>
        </w:rPr>
        <w:tab/>
      </w:r>
      <w:r>
        <w:rPr>
          <w:rStyle w:val="CharDefText"/>
        </w:rPr>
        <w:t>University</w:t>
      </w:r>
      <w:r>
        <w:rPr>
          <w:b/>
        </w:rPr>
        <w:t> </w:t>
      </w:r>
      <w:r>
        <w:t>— The University of Western Australia constituted under the authority of this Act.</w:t>
      </w:r>
    </w:p>
    <w:p>
      <w:pPr>
        <w:pStyle w:val="Footnotesection"/>
      </w:pPr>
      <w:r>
        <w:tab/>
        <w:t>[Section 2 amended by No. 44 of 2002 s. 15.]</w:t>
      </w:r>
    </w:p>
    <w:p>
      <w:pPr>
        <w:pStyle w:val="Heading2"/>
      </w:pPr>
      <w:bookmarkStart w:id="14" w:name="_Toc377393067"/>
      <w:bookmarkStart w:id="15" w:name="_Toc405542030"/>
      <w:bookmarkStart w:id="16" w:name="_Toc416963237"/>
      <w:bookmarkStart w:id="17" w:name="_Toc416963320"/>
      <w:bookmarkStart w:id="18" w:name="_Toc465083683"/>
      <w:bookmarkStart w:id="19" w:name="_Toc465083767"/>
      <w:bookmarkStart w:id="20" w:name="_Toc465084152"/>
      <w:r>
        <w:rPr>
          <w:rStyle w:val="CharPartNo"/>
        </w:rPr>
        <w:t>Part 2</w:t>
      </w:r>
      <w:r>
        <w:rPr>
          <w:rStyle w:val="CharDivNo"/>
        </w:rPr>
        <w:t> </w:t>
      </w:r>
      <w:r>
        <w:t>—</w:t>
      </w:r>
      <w:r>
        <w:rPr>
          <w:rStyle w:val="CharDivText"/>
        </w:rPr>
        <w:t> </w:t>
      </w:r>
      <w:r>
        <w:rPr>
          <w:rStyle w:val="CharPartText"/>
        </w:rPr>
        <w:t>Establishment of the University</w:t>
      </w:r>
      <w:bookmarkEnd w:id="14"/>
      <w:bookmarkEnd w:id="15"/>
      <w:bookmarkEnd w:id="16"/>
      <w:bookmarkEnd w:id="17"/>
      <w:bookmarkEnd w:id="18"/>
      <w:bookmarkEnd w:id="19"/>
      <w:bookmarkEnd w:id="20"/>
    </w:p>
    <w:p>
      <w:pPr>
        <w:pStyle w:val="Footnoteheading"/>
      </w:pPr>
      <w:r>
        <w:tab/>
        <w:t>[Heading inserted by No. 19 of 2010 s. 48(3).]</w:t>
      </w:r>
    </w:p>
    <w:p>
      <w:pPr>
        <w:pStyle w:val="Heading5"/>
        <w:spacing w:before="180"/>
        <w:rPr>
          <w:snapToGrid w:val="0"/>
        </w:rPr>
      </w:pPr>
      <w:bookmarkStart w:id="21" w:name="_Toc405542031"/>
      <w:bookmarkStart w:id="22" w:name="_Toc465084153"/>
      <w:r>
        <w:rPr>
          <w:rStyle w:val="CharSectno"/>
        </w:rPr>
        <w:t>3</w:t>
      </w:r>
      <w:r>
        <w:rPr>
          <w:snapToGrid w:val="0"/>
        </w:rPr>
        <w:t>.</w:t>
      </w:r>
      <w:r>
        <w:rPr>
          <w:snapToGrid w:val="0"/>
        </w:rPr>
        <w:tab/>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bookmarkEnd w:id="21"/>
      <w:bookmarkEnd w:id="22"/>
    </w:p>
    <w:p>
      <w:pPr>
        <w:pStyle w:val="Subsection"/>
        <w:rPr>
          <w:snapToGrid w:val="0"/>
        </w:rPr>
      </w:pPr>
      <w:r>
        <w:rPr>
          <w:snapToGrid w:val="0"/>
        </w:rPr>
        <w:tab/>
      </w:r>
      <w:r>
        <w:rPr>
          <w:snapToGrid w:val="0"/>
        </w:rPr>
        <w:tab/>
        <w:t xml:space="preserve">There shall be from henceforth for ever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a University to be called “The University of Western Australia” with such faculties as the Statutes of the University may from time to time prescribe.</w:t>
      </w:r>
    </w:p>
    <w:p>
      <w:pPr>
        <w:pStyle w:val="Heading5"/>
        <w:spacing w:before="180"/>
        <w:rPr>
          <w:snapToGrid w:val="0"/>
        </w:rPr>
      </w:pPr>
      <w:bookmarkStart w:id="23" w:name="_Toc405542032"/>
      <w:bookmarkStart w:id="24" w:name="_Toc465084154"/>
      <w:r>
        <w:rPr>
          <w:rStyle w:val="CharSectno"/>
        </w:rPr>
        <w:t>4</w:t>
      </w:r>
      <w:r>
        <w:t>.</w:t>
      </w:r>
      <w:r>
        <w:rPr>
          <w:snapToGrid w:val="0"/>
        </w:rPr>
        <w:tab/>
        <w:t>University to consist of Senate, Convocation, staff and students</w:t>
      </w:r>
      <w:bookmarkEnd w:id="23"/>
      <w:bookmarkEnd w:id="24"/>
    </w:p>
    <w:p>
      <w:pPr>
        <w:pStyle w:val="Subsection"/>
        <w:rPr>
          <w:snapToGrid w:val="0"/>
        </w:rPr>
      </w:pPr>
      <w:r>
        <w:rPr>
          <w:snapToGrid w:val="0"/>
        </w:rPr>
        <w:tab/>
        <w:t>(1)</w:t>
      </w:r>
      <w:r>
        <w:rPr>
          <w:snapToGrid w:val="0"/>
        </w:rPr>
        <w:tab/>
        <w:t>The University shall consist of a Senate, Convocation,</w:t>
      </w:r>
      <w:r>
        <w:t xml:space="preserve"> staff and graduate and undergraduate students.</w:t>
      </w:r>
    </w:p>
    <w:p>
      <w:pPr>
        <w:pStyle w:val="Subsection"/>
        <w:rPr>
          <w:snapToGrid w:val="0"/>
        </w:rPr>
      </w:pPr>
      <w:r>
        <w:rPr>
          <w:snapToGrid w:val="0"/>
        </w:rPr>
        <w:tab/>
        <w:t>(2)</w:t>
      </w:r>
      <w:r>
        <w:rPr>
          <w:snapToGrid w:val="0"/>
        </w:rPr>
        <w:tab/>
        <w:t>Despite subsection (1), until Convocation is constituted, the University shall consist of a Senate and the members for the time being.</w:t>
      </w:r>
    </w:p>
    <w:p>
      <w:pPr>
        <w:pStyle w:val="Subsection"/>
        <w:rPr>
          <w:snapToGrid w:val="0"/>
        </w:rPr>
      </w:pPr>
      <w:r>
        <w:rPr>
          <w:snapToGrid w:val="0"/>
        </w:rPr>
        <w:tab/>
        <w:t>(3)</w:t>
      </w:r>
      <w:r>
        <w:rPr>
          <w:snapToGrid w:val="0"/>
        </w:rPr>
        <w:tab/>
        <w:t>On the appointment of the first members of the Senate the University shall be lawfully constituted for the purposes of this Act.</w:t>
      </w:r>
    </w:p>
    <w:p>
      <w:pPr>
        <w:pStyle w:val="Footnotesection"/>
      </w:pPr>
      <w:r>
        <w:tab/>
        <w:t>[Section 4 amended by No. 75 of 2000 s. 5; No. 19 of 2010 s. 51.]</w:t>
      </w:r>
    </w:p>
    <w:p>
      <w:pPr>
        <w:pStyle w:val="Heading5"/>
        <w:spacing w:before="180"/>
        <w:rPr>
          <w:snapToGrid w:val="0"/>
        </w:rPr>
      </w:pPr>
      <w:bookmarkStart w:id="25" w:name="_Toc405542033"/>
      <w:bookmarkStart w:id="26" w:name="_Toc465084155"/>
      <w:r>
        <w:rPr>
          <w:rStyle w:val="CharSectno"/>
        </w:rPr>
        <w:t>5</w:t>
      </w:r>
      <w:r>
        <w:rPr>
          <w:snapToGrid w:val="0"/>
        </w:rPr>
        <w:t>.</w:t>
      </w:r>
      <w:r>
        <w:rPr>
          <w:snapToGrid w:val="0"/>
        </w:rPr>
        <w:tab/>
        <w:t>Senate is governing authority</w:t>
      </w:r>
      <w:bookmarkEnd w:id="25"/>
      <w:bookmarkEnd w:id="26"/>
    </w:p>
    <w:p>
      <w:pPr>
        <w:pStyle w:val="Subsection"/>
        <w:spacing w:before="120"/>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spacing w:before="180"/>
        <w:rPr>
          <w:snapToGrid w:val="0"/>
        </w:rPr>
      </w:pPr>
      <w:bookmarkStart w:id="27" w:name="_Toc405542034"/>
      <w:bookmarkStart w:id="28" w:name="_Toc465084156"/>
      <w:r>
        <w:rPr>
          <w:rStyle w:val="CharSectno"/>
        </w:rPr>
        <w:t>6</w:t>
      </w:r>
      <w:r>
        <w:rPr>
          <w:snapToGrid w:val="0"/>
        </w:rPr>
        <w:t>.</w:t>
      </w:r>
      <w:r>
        <w:rPr>
          <w:snapToGrid w:val="0"/>
        </w:rPr>
        <w:tab/>
        <w:t>University is a body corporate</w:t>
      </w:r>
      <w:bookmarkEnd w:id="27"/>
      <w:bookmarkEnd w:id="28"/>
    </w:p>
    <w:p>
      <w:pPr>
        <w:pStyle w:val="Subsection"/>
        <w:spacing w:before="120"/>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Heading2"/>
      </w:pPr>
      <w:bookmarkStart w:id="29" w:name="_Toc377393072"/>
      <w:bookmarkStart w:id="30" w:name="_Toc405542035"/>
      <w:bookmarkStart w:id="31" w:name="_Toc416963242"/>
      <w:bookmarkStart w:id="32" w:name="_Toc416963325"/>
      <w:bookmarkStart w:id="33" w:name="_Toc465083688"/>
      <w:bookmarkStart w:id="34" w:name="_Toc465083772"/>
      <w:bookmarkStart w:id="35" w:name="_Toc465084157"/>
      <w:r>
        <w:rPr>
          <w:rStyle w:val="CharPartNo"/>
        </w:rPr>
        <w:t>Part 3</w:t>
      </w:r>
      <w:r>
        <w:rPr>
          <w:rStyle w:val="CharDivNo"/>
        </w:rPr>
        <w:t> </w:t>
      </w:r>
      <w:r>
        <w:t>—</w:t>
      </w:r>
      <w:r>
        <w:rPr>
          <w:rStyle w:val="CharDivText"/>
        </w:rPr>
        <w:t> </w:t>
      </w:r>
      <w:r>
        <w:rPr>
          <w:rStyle w:val="CharPartText"/>
        </w:rPr>
        <w:t>Visitor</w:t>
      </w:r>
      <w:bookmarkEnd w:id="29"/>
      <w:bookmarkEnd w:id="30"/>
      <w:bookmarkEnd w:id="31"/>
      <w:bookmarkEnd w:id="32"/>
      <w:bookmarkEnd w:id="33"/>
      <w:bookmarkEnd w:id="34"/>
      <w:bookmarkEnd w:id="35"/>
    </w:p>
    <w:p>
      <w:pPr>
        <w:pStyle w:val="Footnoteheading"/>
      </w:pPr>
      <w:r>
        <w:tab/>
        <w:t>[Heading inserted by No. 19 of 2010 s. 48(3).]</w:t>
      </w:r>
    </w:p>
    <w:p>
      <w:pPr>
        <w:pStyle w:val="Heading5"/>
      </w:pPr>
      <w:bookmarkStart w:id="36" w:name="_Toc405542036"/>
      <w:bookmarkStart w:id="37" w:name="_Toc465084158"/>
      <w:r>
        <w:rPr>
          <w:rStyle w:val="CharSectno"/>
        </w:rPr>
        <w:t>7</w:t>
      </w:r>
      <w:r>
        <w:t>.</w:t>
      </w:r>
      <w:r>
        <w:tab/>
        <w:t>Governor is the Visitor</w:t>
      </w:r>
      <w:bookmarkEnd w:id="36"/>
      <w:bookmarkEnd w:id="37"/>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Heading2"/>
      </w:pPr>
      <w:bookmarkStart w:id="38" w:name="_Toc377393074"/>
      <w:bookmarkStart w:id="39" w:name="_Toc405542037"/>
      <w:bookmarkStart w:id="40" w:name="_Toc416963244"/>
      <w:bookmarkStart w:id="41" w:name="_Toc416963327"/>
      <w:bookmarkStart w:id="42" w:name="_Toc465083690"/>
      <w:bookmarkStart w:id="43" w:name="_Toc465083774"/>
      <w:bookmarkStart w:id="44" w:name="_Toc465084159"/>
      <w:r>
        <w:rPr>
          <w:rStyle w:val="CharPartNo"/>
        </w:rPr>
        <w:t>Part 4</w:t>
      </w:r>
      <w:r>
        <w:t> — </w:t>
      </w:r>
      <w:r>
        <w:rPr>
          <w:rStyle w:val="CharPartText"/>
        </w:rPr>
        <w:t>Senate, officers and Convocation</w:t>
      </w:r>
      <w:bookmarkEnd w:id="38"/>
      <w:bookmarkEnd w:id="39"/>
      <w:bookmarkEnd w:id="40"/>
      <w:bookmarkEnd w:id="41"/>
      <w:bookmarkEnd w:id="42"/>
      <w:bookmarkEnd w:id="43"/>
      <w:bookmarkEnd w:id="44"/>
    </w:p>
    <w:p>
      <w:pPr>
        <w:pStyle w:val="Footnoteheading"/>
      </w:pPr>
      <w:r>
        <w:tab/>
        <w:t>[Heading inserted by No. 19 of 2010 s. 48(3).]</w:t>
      </w:r>
    </w:p>
    <w:p>
      <w:pPr>
        <w:pStyle w:val="Heading3"/>
      </w:pPr>
      <w:bookmarkStart w:id="45" w:name="_Toc377393075"/>
      <w:bookmarkStart w:id="46" w:name="_Toc405542038"/>
      <w:bookmarkStart w:id="47" w:name="_Toc416963245"/>
      <w:bookmarkStart w:id="48" w:name="_Toc416963328"/>
      <w:bookmarkStart w:id="49" w:name="_Toc465083691"/>
      <w:bookmarkStart w:id="50" w:name="_Toc465083775"/>
      <w:bookmarkStart w:id="51" w:name="_Toc465084160"/>
      <w:r>
        <w:rPr>
          <w:rStyle w:val="CharDivNo"/>
        </w:rPr>
        <w:t>Division 1</w:t>
      </w:r>
      <w:r>
        <w:t> — </w:t>
      </w:r>
      <w:r>
        <w:rPr>
          <w:rStyle w:val="CharDivText"/>
        </w:rPr>
        <w:t>Senate</w:t>
      </w:r>
      <w:bookmarkEnd w:id="45"/>
      <w:bookmarkEnd w:id="46"/>
      <w:bookmarkEnd w:id="47"/>
      <w:bookmarkEnd w:id="48"/>
      <w:bookmarkEnd w:id="49"/>
      <w:bookmarkEnd w:id="50"/>
      <w:bookmarkEnd w:id="51"/>
    </w:p>
    <w:p>
      <w:pPr>
        <w:pStyle w:val="Footnoteheading"/>
      </w:pPr>
      <w:r>
        <w:tab/>
        <w:t>[Heading inserted by No. 19 of 2010 s. 48(3).]</w:t>
      </w:r>
    </w:p>
    <w:p>
      <w:pPr>
        <w:pStyle w:val="Heading5"/>
      </w:pPr>
      <w:bookmarkStart w:id="52" w:name="_Toc405542039"/>
      <w:bookmarkStart w:id="53" w:name="_Toc465084161"/>
      <w:r>
        <w:rPr>
          <w:rStyle w:val="CharSectno"/>
        </w:rPr>
        <w:t>8</w:t>
      </w:r>
      <w:r>
        <w:t>.</w:t>
      </w:r>
      <w:r>
        <w:tab/>
        <w:t>Members</w:t>
      </w:r>
      <w:bookmarkEnd w:id="52"/>
      <w:bookmarkEnd w:id="53"/>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the Chancellor ex officio;</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Chancellor of the University ex officio;</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54" w:name="_Toc405542040"/>
      <w:bookmarkStart w:id="55" w:name="_Toc465084162"/>
      <w:r>
        <w:rPr>
          <w:rStyle w:val="CharSectno"/>
        </w:rPr>
        <w:t>9</w:t>
      </w:r>
      <w:r>
        <w:t>.</w:t>
      </w:r>
      <w:r>
        <w:tab/>
        <w:t>Terms of members</w:t>
      </w:r>
      <w:bookmarkEnd w:id="54"/>
      <w:bookmarkEnd w:id="55"/>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spacing w:before="120"/>
      </w:pPr>
      <w:r>
        <w:tab/>
        <w:t>(3)</w:t>
      </w:r>
      <w:r>
        <w:tab/>
        <w:t>Subject to section 11, the term of office of a member of the Senate referred to in section 8(1)(h) is one year from the date of the election of the member.</w:t>
      </w:r>
    </w:p>
    <w:p>
      <w:pPr>
        <w:pStyle w:val="Subsection"/>
        <w:spacing w:before="120"/>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spacing w:before="180"/>
      </w:pPr>
      <w:bookmarkStart w:id="56" w:name="_Toc405542041"/>
      <w:bookmarkStart w:id="57" w:name="_Toc465084163"/>
      <w:r>
        <w:rPr>
          <w:rStyle w:val="CharSectno"/>
        </w:rPr>
        <w:t>10</w:t>
      </w:r>
      <w:r>
        <w:t>.</w:t>
      </w:r>
      <w:r>
        <w:tab/>
        <w:t>Duties of members (Sch. 1 Div. 1)</w:t>
      </w:r>
      <w:bookmarkEnd w:id="56"/>
      <w:bookmarkEnd w:id="57"/>
    </w:p>
    <w:p>
      <w:pPr>
        <w:pStyle w:val="Subsection"/>
        <w:spacing w:before="120"/>
      </w:pPr>
      <w:r>
        <w:tab/>
      </w:r>
      <w:r>
        <w:tab/>
        <w:t>Schedule 1 Division 1 has effect.</w:t>
      </w:r>
    </w:p>
    <w:p>
      <w:pPr>
        <w:pStyle w:val="Footnotesection"/>
      </w:pPr>
      <w:r>
        <w:tab/>
        <w:t>[Section 10 inserted by No.</w:t>
      </w:r>
      <w:r>
        <w:rPr>
          <w:sz w:val="28"/>
        </w:rPr>
        <w:t> </w:t>
      </w:r>
      <w:r>
        <w:t>8 of 2005 s. 52.]</w:t>
      </w:r>
    </w:p>
    <w:p>
      <w:pPr>
        <w:pStyle w:val="Ednotesection"/>
        <w:spacing w:before="180"/>
      </w:pPr>
      <w:r>
        <w:t>[</w:t>
      </w:r>
      <w:r>
        <w:rPr>
          <w:b/>
        </w:rPr>
        <w:t>10A, 10B.</w:t>
      </w:r>
      <w:r>
        <w:tab/>
        <w:t>Deleted by No. 8 of 2005 s. 52.]</w:t>
      </w:r>
    </w:p>
    <w:p>
      <w:pPr>
        <w:pStyle w:val="Ednotesection"/>
        <w:spacing w:before="180"/>
        <w:ind w:left="0" w:firstLine="0"/>
      </w:pPr>
      <w:r>
        <w:t>[</w:t>
      </w:r>
      <w:r>
        <w:rPr>
          <w:b/>
        </w:rPr>
        <w:t>10C.</w:t>
      </w:r>
      <w:r>
        <w:tab/>
        <w:t>Deleted by No. 113 of 1970 s. 9.]</w:t>
      </w:r>
    </w:p>
    <w:p>
      <w:pPr>
        <w:pStyle w:val="Heading5"/>
        <w:spacing w:before="180"/>
        <w:rPr>
          <w:snapToGrid w:val="0"/>
        </w:rPr>
      </w:pPr>
      <w:bookmarkStart w:id="58" w:name="_Toc405542042"/>
      <w:bookmarkStart w:id="59" w:name="_Toc465084164"/>
      <w:r>
        <w:rPr>
          <w:rStyle w:val="CharSectno"/>
        </w:rPr>
        <w:t>11</w:t>
      </w:r>
      <w:r>
        <w:rPr>
          <w:snapToGrid w:val="0"/>
        </w:rPr>
        <w:t>.</w:t>
      </w:r>
      <w:r>
        <w:rPr>
          <w:snapToGrid w:val="0"/>
        </w:rPr>
        <w:tab/>
        <w:t>People disqualified from being Chancellor, Pro-Chancellor or Senate member</w:t>
      </w:r>
      <w:bookmarkEnd w:id="58"/>
      <w:bookmarkEnd w:id="59"/>
    </w:p>
    <w:p>
      <w:pPr>
        <w:pStyle w:val="Subsection"/>
        <w:spacing w:before="120"/>
        <w:rPr>
          <w:snapToGrid w:val="0"/>
        </w:rPr>
      </w:pPr>
      <w:r>
        <w:rPr>
          <w:snapToGrid w:val="0"/>
        </w:rPr>
        <w:tab/>
      </w:r>
      <w:r>
        <w:rPr>
          <w:snapToGrid w:val="0"/>
        </w:rPr>
        <w:tab/>
        <w:t>No person who —</w:t>
      </w:r>
    </w:p>
    <w:p>
      <w:pPr>
        <w:pStyle w:val="Ednotepara"/>
        <w:spacing w:before="80"/>
        <w:ind w:left="1610" w:hanging="1610"/>
        <w:rPr>
          <w:snapToGrid w:val="0"/>
        </w:rPr>
      </w:pPr>
      <w:r>
        <w:rPr>
          <w:snapToGrid w:val="0"/>
        </w:rPr>
        <w:tab/>
        <w:t>[(a), (b)</w:t>
      </w:r>
      <w:r>
        <w:rPr>
          <w:snapToGrid w:val="0"/>
        </w:rPr>
        <w:tab/>
        <w:t>deleted]</w:t>
      </w:r>
    </w:p>
    <w:p>
      <w:pPr>
        <w:pStyle w:val="Indenta"/>
      </w:pPr>
      <w:r>
        <w:rPr>
          <w:iCs/>
          <w:snapToGrid w:val="0"/>
        </w:rPr>
        <w:tab/>
      </w:r>
      <w:r>
        <w:t>(c)</w:t>
      </w:r>
      <w:r>
        <w:tab/>
        <w:t xml:space="preserve">is, according to the </w:t>
      </w:r>
      <w:r>
        <w:rPr>
          <w:i/>
          <w:iCs/>
        </w:rPr>
        <w:t>Interpretation Act 1984</w:t>
      </w:r>
      <w:r>
        <w:t xml:space="preserve"> section 13D, a bankrupt or a person whose affairs are under insolvency laws; or</w:t>
      </w:r>
    </w:p>
    <w:p>
      <w:pPr>
        <w:pStyle w:val="Indenta"/>
      </w:pPr>
      <w:r>
        <w:tab/>
        <w:t>(ca)</w:t>
      </w:r>
      <w:r>
        <w:tab/>
        <w:t>is removed from office by the Senate under section 11A; or</w:t>
      </w:r>
    </w:p>
    <w:p>
      <w:pPr>
        <w:pStyle w:val="Indenta"/>
      </w:pPr>
      <w:r>
        <w:tab/>
        <w:t>(cb)</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54; No. 18 of 2009 s. 86.]</w:t>
      </w:r>
    </w:p>
    <w:p>
      <w:pPr>
        <w:pStyle w:val="Heading5"/>
      </w:pPr>
      <w:bookmarkStart w:id="60" w:name="_Toc405542043"/>
      <w:bookmarkStart w:id="61" w:name="_Toc465084165"/>
      <w:r>
        <w:rPr>
          <w:rStyle w:val="CharSectno"/>
        </w:rPr>
        <w:t>11A</w:t>
      </w:r>
      <w:r>
        <w:t>.</w:t>
      </w:r>
      <w:r>
        <w:tab/>
        <w:t>Removal of members for breach of certain duties and suspension pending removal</w:t>
      </w:r>
      <w:bookmarkEnd w:id="60"/>
      <w:bookmarkEnd w:id="61"/>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Heading3"/>
      </w:pPr>
      <w:bookmarkStart w:id="62" w:name="_Toc377393081"/>
      <w:bookmarkStart w:id="63" w:name="_Toc405542044"/>
      <w:bookmarkStart w:id="64" w:name="_Toc416963251"/>
      <w:bookmarkStart w:id="65" w:name="_Toc416963334"/>
      <w:bookmarkStart w:id="66" w:name="_Toc465083697"/>
      <w:bookmarkStart w:id="67" w:name="_Toc465083781"/>
      <w:bookmarkStart w:id="68" w:name="_Toc465084166"/>
      <w:r>
        <w:rPr>
          <w:rStyle w:val="CharDivNo"/>
        </w:rPr>
        <w:t>Division 2</w:t>
      </w:r>
      <w:r>
        <w:t> — </w:t>
      </w:r>
      <w:r>
        <w:rPr>
          <w:rStyle w:val="CharDivText"/>
        </w:rPr>
        <w:t>Chancellor and Pro-Chancellor</w:t>
      </w:r>
      <w:bookmarkEnd w:id="62"/>
      <w:bookmarkEnd w:id="63"/>
      <w:bookmarkEnd w:id="64"/>
      <w:bookmarkEnd w:id="65"/>
      <w:bookmarkEnd w:id="66"/>
      <w:bookmarkEnd w:id="67"/>
      <w:bookmarkEnd w:id="68"/>
    </w:p>
    <w:p>
      <w:pPr>
        <w:pStyle w:val="Footnoteheading"/>
      </w:pPr>
      <w:r>
        <w:tab/>
        <w:t>[Heading inserted by No. 19 of 2010 s. 48(3).]</w:t>
      </w:r>
    </w:p>
    <w:p>
      <w:pPr>
        <w:pStyle w:val="Heading5"/>
      </w:pPr>
      <w:bookmarkStart w:id="69" w:name="_Toc405542045"/>
      <w:bookmarkStart w:id="70" w:name="_Toc465084167"/>
      <w:r>
        <w:rPr>
          <w:rStyle w:val="CharSectno"/>
        </w:rPr>
        <w:t>12</w:t>
      </w:r>
      <w:r>
        <w:t>.</w:t>
      </w:r>
      <w:r>
        <w:tab/>
        <w:t>Chancellor</w:t>
      </w:r>
      <w:bookmarkEnd w:id="69"/>
      <w:bookmarkEnd w:id="70"/>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If a member of the Senate, other than an ex officio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71" w:name="_Toc405542046"/>
      <w:bookmarkStart w:id="72" w:name="_Toc465084168"/>
      <w:r>
        <w:rPr>
          <w:rStyle w:val="CharSectno"/>
        </w:rPr>
        <w:t>12A</w:t>
      </w:r>
      <w:r>
        <w:t>.</w:t>
      </w:r>
      <w:r>
        <w:tab/>
        <w:t>Pro</w:t>
      </w:r>
      <w:r>
        <w:noBreakHyphen/>
        <w:t>Chancellor</w:t>
      </w:r>
      <w:bookmarkEnd w:id="71"/>
      <w:bookmarkEnd w:id="72"/>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Heading3"/>
      </w:pPr>
      <w:bookmarkStart w:id="73" w:name="_Toc377393084"/>
      <w:bookmarkStart w:id="74" w:name="_Toc405542047"/>
      <w:bookmarkStart w:id="75" w:name="_Toc416963254"/>
      <w:bookmarkStart w:id="76" w:name="_Toc416963337"/>
      <w:bookmarkStart w:id="77" w:name="_Toc465083700"/>
      <w:bookmarkStart w:id="78" w:name="_Toc465083784"/>
      <w:bookmarkStart w:id="79" w:name="_Toc465084169"/>
      <w:r>
        <w:rPr>
          <w:rStyle w:val="CharDivNo"/>
        </w:rPr>
        <w:t>Division 3</w:t>
      </w:r>
      <w:r>
        <w:t> — </w:t>
      </w:r>
      <w:r>
        <w:rPr>
          <w:rStyle w:val="CharDivText"/>
        </w:rPr>
        <w:t>Powers of Senate</w:t>
      </w:r>
      <w:bookmarkEnd w:id="73"/>
      <w:bookmarkEnd w:id="74"/>
      <w:bookmarkEnd w:id="75"/>
      <w:bookmarkEnd w:id="76"/>
      <w:bookmarkEnd w:id="77"/>
      <w:bookmarkEnd w:id="78"/>
      <w:bookmarkEnd w:id="79"/>
    </w:p>
    <w:p>
      <w:pPr>
        <w:pStyle w:val="Footnoteheading"/>
      </w:pPr>
      <w:r>
        <w:tab/>
        <w:t>[Heading inserted by No. 19 of 2010 s. 48(3).]</w:t>
      </w:r>
    </w:p>
    <w:p>
      <w:pPr>
        <w:pStyle w:val="Heading5"/>
        <w:rPr>
          <w:snapToGrid w:val="0"/>
        </w:rPr>
      </w:pPr>
      <w:bookmarkStart w:id="80" w:name="_Toc405542048"/>
      <w:bookmarkStart w:id="81" w:name="_Toc465084170"/>
      <w:r>
        <w:rPr>
          <w:rStyle w:val="CharSectno"/>
        </w:rPr>
        <w:t>13</w:t>
      </w:r>
      <w:r>
        <w:rPr>
          <w:snapToGrid w:val="0"/>
        </w:rPr>
        <w:t>.</w:t>
      </w:r>
      <w:r>
        <w:rPr>
          <w:snapToGrid w:val="0"/>
        </w:rPr>
        <w:tab/>
        <w:t>Appointment of officers and management of affairs</w:t>
      </w:r>
      <w:bookmarkEnd w:id="80"/>
      <w:bookmarkEnd w:id="81"/>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82" w:name="_Toc405542049"/>
      <w:bookmarkStart w:id="83" w:name="_Toc465084171"/>
      <w:r>
        <w:rPr>
          <w:rStyle w:val="CharSectno"/>
        </w:rPr>
        <w:t>14</w:t>
      </w:r>
      <w:r>
        <w:rPr>
          <w:snapToGrid w:val="0"/>
        </w:rPr>
        <w:t>.</w:t>
      </w:r>
      <w:r>
        <w:rPr>
          <w:snapToGrid w:val="0"/>
        </w:rPr>
        <w:tab/>
        <w:t>Control and management of property</w:t>
      </w:r>
      <w:bookmarkEnd w:id="82"/>
      <w:bookmarkEnd w:id="83"/>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84" w:name="_Toc405542050"/>
      <w:bookmarkStart w:id="85" w:name="_Toc465084172"/>
      <w:r>
        <w:rPr>
          <w:rStyle w:val="CharSectno"/>
        </w:rPr>
        <w:t>14A</w:t>
      </w:r>
      <w:r>
        <w:t>.</w:t>
      </w:r>
      <w:r>
        <w:tab/>
      </w:r>
      <w:smartTag w:uri="urn:schemas-microsoft-com:office:smarttags" w:element="City">
        <w:smartTag w:uri="urn:schemas-microsoft-com:office:smarttags" w:element="place">
          <w:r>
            <w:t>Sale</w:t>
          </w:r>
        </w:smartTag>
      </w:smartTag>
      <w:r>
        <w:t xml:space="preserve"> of endowment land</w:t>
      </w:r>
      <w:bookmarkEnd w:id="84"/>
      <w:bookmarkEnd w:id="85"/>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86" w:name="_Toc405542051"/>
      <w:bookmarkStart w:id="87" w:name="_Toc465084173"/>
      <w:r>
        <w:rPr>
          <w:rStyle w:val="CharSectno"/>
        </w:rPr>
        <w:t>15</w:t>
      </w:r>
      <w:r>
        <w:rPr>
          <w:snapToGrid w:val="0"/>
        </w:rPr>
        <w:t>.</w:t>
      </w:r>
      <w:r>
        <w:rPr>
          <w:snapToGrid w:val="0"/>
        </w:rPr>
        <w:tab/>
        <w:t>Leasing University lands</w:t>
      </w:r>
      <w:bookmarkEnd w:id="86"/>
      <w:bookmarkEnd w:id="87"/>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88" w:name="_Toc405542052"/>
      <w:bookmarkStart w:id="89" w:name="_Toc465084174"/>
      <w:r>
        <w:rPr>
          <w:rStyle w:val="CharSectno"/>
        </w:rPr>
        <w:t>15A</w:t>
      </w:r>
      <w:r>
        <w:rPr>
          <w:snapToGrid w:val="0"/>
        </w:rPr>
        <w:t>.</w:t>
      </w:r>
      <w:r>
        <w:rPr>
          <w:snapToGrid w:val="0"/>
        </w:rPr>
        <w:tab/>
        <w:t>Trust moneys not immediately required may be used to erect buildings etc.</w:t>
      </w:r>
      <w:bookmarkEnd w:id="88"/>
      <w:bookmarkEnd w:id="89"/>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(3B)</w:t>
      </w:r>
      <w:r>
        <w:rPr>
          <w:snapToGrid w:val="0"/>
        </w:rPr>
        <w:tab/>
        <w:t>The rate of the said interest shall be such as the Governor shall approve.</w:t>
      </w:r>
    </w:p>
    <w:p>
      <w:pPr>
        <w:pStyle w:val="Subsection"/>
        <w:rPr>
          <w:snapToGrid w:val="0"/>
        </w:rPr>
      </w:pPr>
      <w:r>
        <w:rPr>
          <w:snapToGrid w:val="0"/>
        </w:rPr>
        <w:tab/>
        <w:t>(3C)</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(3D)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(3E)</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5; amended by No. 19 of 2010 s. 51.]</w:t>
      </w:r>
    </w:p>
    <w:p>
      <w:pPr>
        <w:pStyle w:val="Heading5"/>
        <w:rPr>
          <w:snapToGrid w:val="0"/>
        </w:rPr>
      </w:pPr>
      <w:bookmarkStart w:id="90" w:name="_Toc405542053"/>
      <w:bookmarkStart w:id="91" w:name="_Toc465084175"/>
      <w:r>
        <w:rPr>
          <w:rStyle w:val="CharSectno"/>
        </w:rPr>
        <w:t>15B</w:t>
      </w:r>
      <w:r>
        <w:rPr>
          <w:snapToGrid w:val="0"/>
        </w:rPr>
        <w:t>.</w:t>
      </w:r>
      <w:r>
        <w:rPr>
          <w:snapToGrid w:val="0"/>
        </w:rPr>
        <w:tab/>
        <w:t>Raising loans</w:t>
      </w:r>
      <w:bookmarkEnd w:id="90"/>
      <w:bookmarkEnd w:id="91"/>
    </w:p>
    <w:p>
      <w:pPr>
        <w:pStyle w:val="Subsection"/>
      </w:pPr>
      <w:r>
        <w:tab/>
        <w:t>(1)</w:t>
      </w:r>
      <w:r>
        <w:tab/>
        <w:t>The provisions of this section are in addition to, and do not derogate from, those of section 15A.</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[Section 15B inserted by No. 25 of 1957 s. 2; amended by No. 98 of 1985 s. 3; No. 6 of 1993 s. 11; No. 49 of 1996 s. 64; No. 37 of 2006 s. 9; No. 77 of 2006 s. 4; No. 32 of 2014 s. 13.]</w:t>
      </w:r>
    </w:p>
    <w:p>
      <w:pPr>
        <w:pStyle w:val="Heading5"/>
        <w:rPr>
          <w:snapToGrid w:val="0"/>
        </w:rPr>
      </w:pPr>
      <w:bookmarkStart w:id="92" w:name="_Toc405542054"/>
      <w:bookmarkStart w:id="93" w:name="_Toc465084176"/>
      <w:r>
        <w:rPr>
          <w:rStyle w:val="CharSectno"/>
        </w:rPr>
        <w:t>16</w:t>
      </w:r>
      <w:r>
        <w:rPr>
          <w:snapToGrid w:val="0"/>
        </w:rPr>
        <w:t>.</w:t>
      </w:r>
      <w:r>
        <w:rPr>
          <w:snapToGrid w:val="0"/>
        </w:rPr>
        <w:tab/>
        <w:t>Disposal of property acquired by gift etc.</w:t>
      </w:r>
      <w:bookmarkEnd w:id="92"/>
      <w:bookmarkEnd w:id="93"/>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94" w:name="_Toc405542055"/>
      <w:bookmarkStart w:id="95" w:name="_Toc465084177"/>
      <w:r>
        <w:rPr>
          <w:rStyle w:val="CharSectno"/>
        </w:rPr>
        <w:t>16A</w:t>
      </w:r>
      <w:r>
        <w:rPr>
          <w:snapToGrid w:val="0"/>
        </w:rPr>
        <w:t>.</w:t>
      </w:r>
      <w:r>
        <w:rPr>
          <w:snapToGrid w:val="0"/>
        </w:rPr>
        <w:tab/>
        <w:t>By</w:t>
      </w:r>
      <w:r>
        <w:rPr>
          <w:snapToGrid w:val="0"/>
        </w:rPr>
        <w:noBreakHyphen/>
        <w:t>laws regulating use etc. of University lands</w:t>
      </w:r>
      <w:bookmarkEnd w:id="94"/>
      <w:bookmarkEnd w:id="95"/>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r>
      <w:r>
        <w:rPr>
          <w:rStyle w:val="CharDefText"/>
        </w:rPr>
        <w:t>authorised person</w:t>
      </w:r>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r>
      <w:r>
        <w:rPr>
          <w:rStyle w:val="CharDefText"/>
        </w:rPr>
        <w:t>lands of the University</w:t>
      </w:r>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r>
      <w:r>
        <w:rPr>
          <w:rStyle w:val="CharDefText"/>
        </w:rPr>
        <w:t>owner</w:t>
      </w:r>
      <w:r>
        <w:t xml:space="preserve"> in relation to a vehicle means a person who is the owner of that vehicle for the purposes of the </w:t>
      </w:r>
      <w:r>
        <w:rPr>
          <w:i/>
        </w:rPr>
        <w:t>Road Traffic (Administration) Act 2008</w:t>
      </w:r>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r>
        <w:rPr>
          <w:snapToGrid w:val="0"/>
        </w:rPr>
        <w:tab/>
        <w:t>(3A)</w:t>
      </w:r>
      <w:r>
        <w:rPr>
          <w:snapToGrid w:val="0"/>
        </w:rPr>
        <w:tab/>
        <w:t>No by</w:t>
      </w:r>
      <w:r>
        <w:rPr>
          <w:snapToGrid w:val="0"/>
        </w:rPr>
        <w:noBreakHyphen/>
        <w:t>law shall be contrary to the express provisions of this Act, or any amendment thereof, or of any Statute made by the governing body of the University.</w:t>
      </w:r>
    </w:p>
    <w:p>
      <w:pPr>
        <w:pStyle w:val="Subsection"/>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 and</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 and</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keepNext/>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 and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keepLines/>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 No. 19 of 2010 s. 51; No. 8 of 2012 s. 197.]</w:t>
      </w:r>
    </w:p>
    <w:p>
      <w:pPr>
        <w:pStyle w:val="Heading5"/>
        <w:rPr>
          <w:snapToGrid w:val="0"/>
        </w:rPr>
      </w:pPr>
      <w:bookmarkStart w:id="96" w:name="_Toc405542056"/>
      <w:bookmarkStart w:id="97" w:name="_Toc465084178"/>
      <w:r>
        <w:rPr>
          <w:rStyle w:val="CharSectno"/>
        </w:rPr>
        <w:t>16B</w:t>
      </w:r>
      <w:r>
        <w:rPr>
          <w:snapToGrid w:val="0"/>
        </w:rPr>
        <w:t>.</w:t>
      </w:r>
      <w:r>
        <w:rPr>
          <w:snapToGrid w:val="0"/>
        </w:rPr>
        <w:tab/>
        <w:t>Approval and publication of by</w:t>
      </w:r>
      <w:r>
        <w:rPr>
          <w:snapToGrid w:val="0"/>
        </w:rPr>
        <w:noBreakHyphen/>
        <w:t>laws</w:t>
      </w:r>
      <w:bookmarkEnd w:id="96"/>
      <w:bookmarkEnd w:id="97"/>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98" w:name="_Toc405542057"/>
      <w:bookmarkStart w:id="99" w:name="_Toc465084179"/>
      <w:r>
        <w:rPr>
          <w:rStyle w:val="CharSectno"/>
        </w:rPr>
        <w:t>16C</w:t>
      </w:r>
      <w:r>
        <w:rPr>
          <w:snapToGrid w:val="0"/>
        </w:rPr>
        <w:t>.</w:t>
      </w:r>
      <w:r>
        <w:rPr>
          <w:snapToGrid w:val="0"/>
        </w:rPr>
        <w:tab/>
        <w:t>Penalty etc.</w:t>
      </w:r>
      <w:bookmarkEnd w:id="98"/>
      <w:bookmarkEnd w:id="99"/>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r>
        <w:t>[</w:t>
      </w:r>
      <w:r>
        <w:rPr>
          <w:b/>
        </w:rPr>
        <w:t>16D.</w:t>
      </w:r>
      <w:r>
        <w:tab/>
        <w:t>Deleted by No. 59 of 2004 s. 141.]</w:t>
      </w:r>
    </w:p>
    <w:p>
      <w:pPr>
        <w:pStyle w:val="Heading5"/>
        <w:rPr>
          <w:snapToGrid w:val="0"/>
        </w:rPr>
      </w:pPr>
      <w:bookmarkStart w:id="100" w:name="_Toc405542058"/>
      <w:bookmarkStart w:id="101" w:name="_Toc465084180"/>
      <w:r>
        <w:rPr>
          <w:rStyle w:val="CharSectno"/>
        </w:rPr>
        <w:t>16E</w:t>
      </w:r>
      <w:r>
        <w:rPr>
          <w:snapToGrid w:val="0"/>
        </w:rPr>
        <w:t>.</w:t>
      </w:r>
      <w:r>
        <w:rPr>
          <w:snapToGrid w:val="0"/>
        </w:rPr>
        <w:tab/>
        <w:t>Regulations</w:t>
      </w:r>
      <w:bookmarkEnd w:id="100"/>
      <w:bookmarkEnd w:id="101"/>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102" w:name="_Toc405542059"/>
      <w:bookmarkStart w:id="103" w:name="_Toc465084181"/>
      <w:r>
        <w:rPr>
          <w:rStyle w:val="CharSectno"/>
        </w:rPr>
        <w:t>16EA</w:t>
      </w:r>
      <w:r>
        <w:t>.</w:t>
      </w:r>
      <w:r>
        <w:tab/>
        <w:t>Relief of Senate members from liability</w:t>
      </w:r>
      <w:bookmarkEnd w:id="102"/>
      <w:bookmarkEnd w:id="103"/>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104" w:name="_Toc405542060"/>
      <w:bookmarkStart w:id="105" w:name="_Toc465084182"/>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104"/>
      <w:bookmarkEnd w:id="105"/>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Heading3"/>
      </w:pPr>
      <w:bookmarkStart w:id="106" w:name="_Toc377393098"/>
      <w:bookmarkStart w:id="107" w:name="_Toc405542061"/>
      <w:bookmarkStart w:id="108" w:name="_Toc416963268"/>
      <w:bookmarkStart w:id="109" w:name="_Toc416963351"/>
      <w:bookmarkStart w:id="110" w:name="_Toc465083714"/>
      <w:bookmarkStart w:id="111" w:name="_Toc465083798"/>
      <w:bookmarkStart w:id="112" w:name="_Toc465084183"/>
      <w:r>
        <w:rPr>
          <w:rStyle w:val="CharDivNo"/>
        </w:rPr>
        <w:t>Division 4</w:t>
      </w:r>
      <w:r>
        <w:t> — </w:t>
      </w:r>
      <w:r>
        <w:rPr>
          <w:rStyle w:val="CharDivText"/>
        </w:rPr>
        <w:t>Convocation</w:t>
      </w:r>
      <w:bookmarkEnd w:id="106"/>
      <w:bookmarkEnd w:id="107"/>
      <w:bookmarkEnd w:id="108"/>
      <w:bookmarkEnd w:id="109"/>
      <w:bookmarkEnd w:id="110"/>
      <w:bookmarkEnd w:id="111"/>
      <w:bookmarkEnd w:id="112"/>
    </w:p>
    <w:p>
      <w:pPr>
        <w:pStyle w:val="Footnoteheading"/>
      </w:pPr>
      <w:r>
        <w:tab/>
        <w:t>[Heading inserted by No. 19 of 2010 s. 48(3).]</w:t>
      </w:r>
    </w:p>
    <w:p>
      <w:pPr>
        <w:pStyle w:val="Heading5"/>
        <w:rPr>
          <w:snapToGrid w:val="0"/>
        </w:rPr>
      </w:pPr>
      <w:bookmarkStart w:id="113" w:name="_Toc405542062"/>
      <w:bookmarkStart w:id="114" w:name="_Toc465084184"/>
      <w:r>
        <w:rPr>
          <w:rStyle w:val="CharSectno"/>
        </w:rPr>
        <w:t>17</w:t>
      </w:r>
      <w:r>
        <w:rPr>
          <w:snapToGrid w:val="0"/>
        </w:rPr>
        <w:t>.</w:t>
      </w:r>
      <w:r>
        <w:rPr>
          <w:snapToGrid w:val="0"/>
        </w:rPr>
        <w:tab/>
        <w:t>Members</w:t>
      </w:r>
      <w:bookmarkEnd w:id="113"/>
      <w:bookmarkEnd w:id="114"/>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spacing w:before="120"/>
        <w:rPr>
          <w:snapToGrid w:val="0"/>
        </w:rPr>
      </w:pPr>
      <w:r>
        <w:rPr>
          <w:snapToGrid w:val="0"/>
        </w:rPr>
        <w:tab/>
        <w:t>(2)</w:t>
      </w:r>
      <w:r>
        <w:rPr>
          <w:snapToGrid w:val="0"/>
        </w:rPr>
        <w:tab/>
        <w:t>The Senate shall cause to be kept a roll of the members of Convocation.</w:t>
      </w:r>
    </w:p>
    <w:p>
      <w:pPr>
        <w:pStyle w:val="Subsection"/>
        <w:spacing w:before="120"/>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 xml:space="preserve">in such other manner as is so prescribed, </w:t>
      </w:r>
    </w:p>
    <w:p>
      <w:pPr>
        <w:pStyle w:val="Subsection"/>
        <w:spacing w:before="120"/>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ind w:left="890" w:hanging="890"/>
      </w:pPr>
      <w:r>
        <w:tab/>
        <w:t>[Section 17 inserted by No. 113 of 1970 s. 11.]</w:t>
      </w:r>
    </w:p>
    <w:p>
      <w:pPr>
        <w:pStyle w:val="Heading5"/>
        <w:spacing w:before="180"/>
        <w:rPr>
          <w:snapToGrid w:val="0"/>
        </w:rPr>
      </w:pPr>
      <w:bookmarkStart w:id="115" w:name="_Toc405542063"/>
      <w:bookmarkStart w:id="116" w:name="_Toc465084185"/>
      <w:r>
        <w:rPr>
          <w:rStyle w:val="CharSectno"/>
        </w:rPr>
        <w:t>18</w:t>
      </w:r>
      <w:r>
        <w:rPr>
          <w:snapToGrid w:val="0"/>
        </w:rPr>
        <w:t>.</w:t>
      </w:r>
      <w:r>
        <w:rPr>
          <w:snapToGrid w:val="0"/>
        </w:rPr>
        <w:tab/>
        <w:t>Warden</w:t>
      </w:r>
      <w:bookmarkEnd w:id="115"/>
      <w:bookmarkEnd w:id="116"/>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spacing w:before="80"/>
        <w:ind w:left="890" w:hanging="890"/>
      </w:pPr>
      <w:r>
        <w:tab/>
        <w:t>[Section 18 inserted by No. 113 of 1970 s. 12.]</w:t>
      </w:r>
    </w:p>
    <w:p>
      <w:pPr>
        <w:pStyle w:val="Heading3"/>
      </w:pPr>
      <w:bookmarkStart w:id="117" w:name="_Toc377393101"/>
      <w:bookmarkStart w:id="118" w:name="_Toc405542064"/>
      <w:bookmarkStart w:id="119" w:name="_Toc416963271"/>
      <w:bookmarkStart w:id="120" w:name="_Toc416963354"/>
      <w:bookmarkStart w:id="121" w:name="_Toc465083717"/>
      <w:bookmarkStart w:id="122" w:name="_Toc465083801"/>
      <w:bookmarkStart w:id="123" w:name="_Toc465084186"/>
      <w:r>
        <w:rPr>
          <w:rStyle w:val="CharDivNo"/>
        </w:rPr>
        <w:t>Division 5</w:t>
      </w:r>
      <w:r>
        <w:t> — </w:t>
      </w:r>
      <w:r>
        <w:rPr>
          <w:rStyle w:val="CharDivText"/>
        </w:rPr>
        <w:t>Vacancies</w:t>
      </w:r>
      <w:bookmarkEnd w:id="117"/>
      <w:bookmarkEnd w:id="118"/>
      <w:bookmarkEnd w:id="119"/>
      <w:bookmarkEnd w:id="120"/>
      <w:bookmarkEnd w:id="121"/>
      <w:bookmarkEnd w:id="122"/>
      <w:bookmarkEnd w:id="123"/>
    </w:p>
    <w:p>
      <w:pPr>
        <w:pStyle w:val="Footnoteheading"/>
      </w:pPr>
      <w:r>
        <w:tab/>
        <w:t>[Heading inserted by No. 19 of 2010 s. 48(3).]</w:t>
      </w:r>
    </w:p>
    <w:p>
      <w:pPr>
        <w:pStyle w:val="Heading5"/>
        <w:rPr>
          <w:snapToGrid w:val="0"/>
        </w:rPr>
      </w:pPr>
      <w:bookmarkStart w:id="124" w:name="_Toc405542065"/>
      <w:bookmarkStart w:id="125" w:name="_Toc465084187"/>
      <w:r>
        <w:rPr>
          <w:rStyle w:val="CharSectno"/>
        </w:rPr>
        <w:t>19</w:t>
      </w:r>
      <w:r>
        <w:rPr>
          <w:snapToGrid w:val="0"/>
        </w:rPr>
        <w:t>.</w:t>
      </w:r>
      <w:r>
        <w:rPr>
          <w:snapToGrid w:val="0"/>
        </w:rPr>
        <w:tab/>
        <w:t>Resignation</w:t>
      </w:r>
      <w:bookmarkEnd w:id="124"/>
      <w:bookmarkEnd w:id="125"/>
    </w:p>
    <w:p>
      <w:pPr>
        <w:pStyle w:val="Subsection"/>
        <w:rPr>
          <w:snapToGrid w:val="0"/>
        </w:rPr>
      </w:pPr>
      <w:r>
        <w:rPr>
          <w:snapToGrid w:val="0"/>
        </w:rPr>
        <w:tab/>
        <w:t>(1)</w:t>
      </w:r>
      <w:r>
        <w:rPr>
          <w:snapToGrid w:val="0"/>
        </w:rPr>
        <w:tab/>
        <w:t>A member of the Senate may resign his office by writing under his hand addressed to the Chancellor.</w:t>
      </w:r>
    </w:p>
    <w:p>
      <w:pPr>
        <w:pStyle w:val="Subsection"/>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rPr>
          <w:snapToGrid w:val="0"/>
        </w:rPr>
      </w:pPr>
      <w:r>
        <w:rPr>
          <w:snapToGrid w:val="0"/>
        </w:rPr>
        <w:tab/>
        <w:t>(3)</w:t>
      </w:r>
      <w:r>
        <w:rPr>
          <w:snapToGrid w:val="0"/>
        </w:rPr>
        <w:tab/>
        <w:t>The Warden of Convocation may resign his office by writing under his hand, addressed to the Chancellor.</w:t>
      </w:r>
    </w:p>
    <w:p>
      <w:pPr>
        <w:pStyle w:val="Subsection"/>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rPr>
          <w:snapToGrid w:val="0"/>
        </w:rPr>
      </w:pPr>
      <w:bookmarkStart w:id="126" w:name="_Toc405542066"/>
      <w:bookmarkStart w:id="127" w:name="_Toc465084188"/>
      <w:r>
        <w:rPr>
          <w:rStyle w:val="CharSectno"/>
        </w:rPr>
        <w:t>20</w:t>
      </w:r>
      <w:r>
        <w:rPr>
          <w:snapToGrid w:val="0"/>
        </w:rPr>
        <w:t>.</w:t>
      </w:r>
      <w:r>
        <w:rPr>
          <w:snapToGrid w:val="0"/>
        </w:rPr>
        <w:tab/>
        <w:t>Senate office vacated on disqualification etc.</w:t>
      </w:r>
      <w:bookmarkEnd w:id="126"/>
      <w:bookmarkEnd w:id="127"/>
    </w:p>
    <w:p>
      <w:pPr>
        <w:pStyle w:val="Subsection"/>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pPr>
      <w:bookmarkStart w:id="128" w:name="_Toc405542067"/>
      <w:bookmarkStart w:id="129" w:name="_Toc465084189"/>
      <w:r>
        <w:rPr>
          <w:rStyle w:val="CharSectno"/>
        </w:rPr>
        <w:t>21</w:t>
      </w:r>
      <w:r>
        <w:t>.</w:t>
      </w:r>
      <w:r>
        <w:tab/>
        <w:t>Vacancy in office of Warden, how filled</w:t>
      </w:r>
      <w:bookmarkEnd w:id="128"/>
      <w:bookmarkEnd w:id="129"/>
    </w:p>
    <w:p>
      <w:pPr>
        <w:pStyle w:val="Subsection"/>
      </w:pPr>
      <w:r>
        <w:tab/>
        <w:t>(1)</w:t>
      </w:r>
      <w:r>
        <w:tab/>
        <w:t>A vacancy which occurs in the office of Warden from any cause other than annual retirement shall be filled by election.</w:t>
      </w:r>
    </w:p>
    <w:p>
      <w:pPr>
        <w:pStyle w:val="Subsection"/>
      </w:pPr>
      <w:r>
        <w:tab/>
        <w:t>(2)</w:t>
      </w:r>
      <w:r>
        <w:tab/>
        <w:t>If a vacancy which occurs in the office of Warden is not filled within 3 months after it occurred, then it shall be filled by the Governor by the appointment of a qualified person to the office.</w:t>
      </w:r>
    </w:p>
    <w:p>
      <w:pPr>
        <w:pStyle w:val="Subsection"/>
        <w:keepNext/>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rPr>
          <w:snapToGrid w:val="0"/>
        </w:rPr>
      </w:pPr>
      <w:bookmarkStart w:id="130" w:name="_Toc405542068"/>
      <w:bookmarkStart w:id="131" w:name="_Toc465084190"/>
      <w:r>
        <w:rPr>
          <w:rStyle w:val="CharSectno"/>
        </w:rPr>
        <w:t>22</w:t>
      </w:r>
      <w:r>
        <w:rPr>
          <w:snapToGrid w:val="0"/>
        </w:rPr>
        <w:t>.</w:t>
      </w:r>
      <w:r>
        <w:rPr>
          <w:snapToGrid w:val="0"/>
        </w:rPr>
        <w:tab/>
        <w:t>Vacancies in Senate, how filled</w:t>
      </w:r>
      <w:bookmarkEnd w:id="130"/>
      <w:bookmarkEnd w:id="131"/>
    </w:p>
    <w:p>
      <w:pPr>
        <w:pStyle w:val="Subsection"/>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ind w:left="890" w:hanging="890"/>
      </w:pPr>
      <w:r>
        <w:tab/>
        <w:t>[Section 22 inserted by No. 43 of 1944 s. 7 (as amended by No. 113 of 1970 s. 14).]</w:t>
      </w:r>
    </w:p>
    <w:p>
      <w:pPr>
        <w:pStyle w:val="Heading5"/>
        <w:rPr>
          <w:snapToGrid w:val="0"/>
        </w:rPr>
      </w:pPr>
      <w:bookmarkStart w:id="132" w:name="_Toc405542069"/>
      <w:bookmarkStart w:id="133" w:name="_Toc465084191"/>
      <w:r>
        <w:rPr>
          <w:rStyle w:val="CharSectno"/>
        </w:rPr>
        <w:t>23</w:t>
      </w:r>
      <w:r>
        <w:rPr>
          <w:snapToGrid w:val="0"/>
        </w:rPr>
        <w:t>.</w:t>
      </w:r>
      <w:r>
        <w:rPr>
          <w:snapToGrid w:val="0"/>
        </w:rPr>
        <w:tab/>
        <w:t>Reappointment</w:t>
      </w:r>
      <w:bookmarkEnd w:id="132"/>
      <w:bookmarkEnd w:id="133"/>
    </w:p>
    <w:p>
      <w:pPr>
        <w:pStyle w:val="Subsection"/>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ind w:left="890" w:hanging="890"/>
      </w:pPr>
      <w:r>
        <w:tab/>
        <w:t>[Section 23 amended by No. 75 of 2000 s. 14; No.</w:t>
      </w:r>
      <w:r>
        <w:rPr>
          <w:sz w:val="28"/>
        </w:rPr>
        <w:t> </w:t>
      </w:r>
      <w:r>
        <w:t>8 of 2005 s. 60.]</w:t>
      </w:r>
    </w:p>
    <w:p>
      <w:pPr>
        <w:pStyle w:val="Heading3"/>
      </w:pPr>
      <w:bookmarkStart w:id="134" w:name="_Toc377393107"/>
      <w:bookmarkStart w:id="135" w:name="_Toc405542070"/>
      <w:bookmarkStart w:id="136" w:name="_Toc416963277"/>
      <w:bookmarkStart w:id="137" w:name="_Toc416963360"/>
      <w:bookmarkStart w:id="138" w:name="_Toc465083723"/>
      <w:bookmarkStart w:id="139" w:name="_Toc465083807"/>
      <w:bookmarkStart w:id="140" w:name="_Toc465084192"/>
      <w:r>
        <w:rPr>
          <w:rStyle w:val="CharDivNo"/>
        </w:rPr>
        <w:t>Division 6</w:t>
      </w:r>
      <w:r>
        <w:t> — </w:t>
      </w:r>
      <w:r>
        <w:rPr>
          <w:rStyle w:val="CharDivText"/>
        </w:rPr>
        <w:t>Proceedings</w:t>
      </w:r>
      <w:bookmarkEnd w:id="134"/>
      <w:bookmarkEnd w:id="135"/>
      <w:bookmarkEnd w:id="136"/>
      <w:bookmarkEnd w:id="137"/>
      <w:bookmarkEnd w:id="138"/>
      <w:bookmarkEnd w:id="139"/>
      <w:bookmarkEnd w:id="140"/>
    </w:p>
    <w:p>
      <w:pPr>
        <w:pStyle w:val="Footnoteheading"/>
      </w:pPr>
      <w:r>
        <w:tab/>
        <w:t>[Heading inserted by No. 19 of 2010 s. 48(3).]</w:t>
      </w:r>
    </w:p>
    <w:p>
      <w:pPr>
        <w:pStyle w:val="Heading5"/>
        <w:rPr>
          <w:snapToGrid w:val="0"/>
        </w:rPr>
      </w:pPr>
      <w:bookmarkStart w:id="141" w:name="_Toc405542071"/>
      <w:bookmarkStart w:id="142" w:name="_Toc465084193"/>
      <w:r>
        <w:rPr>
          <w:rStyle w:val="CharSectno"/>
        </w:rPr>
        <w:t>24</w:t>
      </w:r>
      <w:r>
        <w:rPr>
          <w:snapToGrid w:val="0"/>
        </w:rPr>
        <w:t>.</w:t>
      </w:r>
      <w:r>
        <w:rPr>
          <w:snapToGrid w:val="0"/>
        </w:rPr>
        <w:tab/>
        <w:t>Chairman</w:t>
      </w:r>
      <w:bookmarkEnd w:id="141"/>
      <w:bookmarkEnd w:id="142"/>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143" w:name="_Toc405542072"/>
      <w:bookmarkStart w:id="144" w:name="_Toc465084194"/>
      <w:r>
        <w:rPr>
          <w:rStyle w:val="CharSectno"/>
        </w:rPr>
        <w:t>24</w:t>
      </w:r>
      <w:r>
        <w:t>A.</w:t>
      </w:r>
      <w:r>
        <w:tab/>
        <w:t>Disclosure of interests (Sch. 1 Div. 2)</w:t>
      </w:r>
      <w:bookmarkEnd w:id="143"/>
      <w:bookmarkEnd w:id="144"/>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145" w:name="_Toc405542073"/>
      <w:bookmarkStart w:id="146" w:name="_Toc465084195"/>
      <w:r>
        <w:rPr>
          <w:rStyle w:val="CharSectno"/>
        </w:rPr>
        <w:t>25</w:t>
      </w:r>
      <w:r>
        <w:rPr>
          <w:snapToGrid w:val="0"/>
        </w:rPr>
        <w:t>.</w:t>
      </w:r>
      <w:r>
        <w:rPr>
          <w:snapToGrid w:val="0"/>
        </w:rPr>
        <w:tab/>
        <w:t>Quorum</w:t>
      </w:r>
      <w:bookmarkEnd w:id="145"/>
      <w:bookmarkEnd w:id="146"/>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147" w:name="_Toc405542074"/>
      <w:bookmarkStart w:id="148" w:name="_Toc465084196"/>
      <w:r>
        <w:rPr>
          <w:rStyle w:val="CharSectno"/>
        </w:rPr>
        <w:t>26</w:t>
      </w:r>
      <w:r>
        <w:rPr>
          <w:snapToGrid w:val="0"/>
        </w:rPr>
        <w:t>.</w:t>
      </w:r>
      <w:r>
        <w:rPr>
          <w:snapToGrid w:val="0"/>
        </w:rPr>
        <w:tab/>
        <w:t>Proceedings not invalidated in certain circumstances</w:t>
      </w:r>
      <w:bookmarkEnd w:id="147"/>
      <w:bookmarkEnd w:id="148"/>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Heading3"/>
      </w:pPr>
      <w:bookmarkStart w:id="149" w:name="_Toc377393112"/>
      <w:bookmarkStart w:id="150" w:name="_Toc405542075"/>
      <w:bookmarkStart w:id="151" w:name="_Toc416963282"/>
      <w:bookmarkStart w:id="152" w:name="_Toc416963365"/>
      <w:bookmarkStart w:id="153" w:name="_Toc465083728"/>
      <w:bookmarkStart w:id="154" w:name="_Toc465083812"/>
      <w:bookmarkStart w:id="155" w:name="_Toc465084197"/>
      <w:r>
        <w:rPr>
          <w:rStyle w:val="CharDivNo"/>
        </w:rPr>
        <w:t>Division 7</w:t>
      </w:r>
      <w:r>
        <w:t> — </w:t>
      </w:r>
      <w:r>
        <w:rPr>
          <w:rStyle w:val="CharDivText"/>
        </w:rPr>
        <w:t>Vice-Chancellor</w:t>
      </w:r>
      <w:bookmarkEnd w:id="149"/>
      <w:bookmarkEnd w:id="150"/>
      <w:bookmarkEnd w:id="151"/>
      <w:bookmarkEnd w:id="152"/>
      <w:bookmarkEnd w:id="153"/>
      <w:bookmarkEnd w:id="154"/>
      <w:bookmarkEnd w:id="155"/>
    </w:p>
    <w:p>
      <w:pPr>
        <w:pStyle w:val="Footnoteheading"/>
      </w:pPr>
      <w:r>
        <w:tab/>
        <w:t>[Heading inserted by No. 19 of 2010 s. 48(3).]</w:t>
      </w:r>
    </w:p>
    <w:p>
      <w:pPr>
        <w:pStyle w:val="Heading5"/>
        <w:rPr>
          <w:snapToGrid w:val="0"/>
        </w:rPr>
      </w:pPr>
      <w:bookmarkStart w:id="156" w:name="_Toc405542076"/>
      <w:bookmarkStart w:id="157" w:name="_Toc465084198"/>
      <w:r>
        <w:rPr>
          <w:rStyle w:val="CharSectno"/>
        </w:rPr>
        <w:t>27</w:t>
      </w:r>
      <w:r>
        <w:rPr>
          <w:snapToGrid w:val="0"/>
        </w:rPr>
        <w:t>.</w:t>
      </w:r>
      <w:r>
        <w:rPr>
          <w:snapToGrid w:val="0"/>
        </w:rPr>
        <w:tab/>
        <w:t>Vice</w:t>
      </w:r>
      <w:r>
        <w:rPr>
          <w:snapToGrid w:val="0"/>
        </w:rPr>
        <w:noBreakHyphen/>
        <w:t>Chancellor, appointment and functions of</w:t>
      </w:r>
      <w:bookmarkEnd w:id="156"/>
      <w:bookmarkEnd w:id="157"/>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Heading2"/>
      </w:pPr>
      <w:bookmarkStart w:id="158" w:name="_Toc377393114"/>
      <w:bookmarkStart w:id="159" w:name="_Toc405542077"/>
      <w:bookmarkStart w:id="160" w:name="_Toc416963284"/>
      <w:bookmarkStart w:id="161" w:name="_Toc416963367"/>
      <w:bookmarkStart w:id="162" w:name="_Toc465083730"/>
      <w:bookmarkStart w:id="163" w:name="_Toc465083814"/>
      <w:bookmarkStart w:id="164" w:name="_Toc465084199"/>
      <w:r>
        <w:rPr>
          <w:rStyle w:val="CharPartNo"/>
        </w:rPr>
        <w:t>Part 5</w:t>
      </w:r>
      <w:r>
        <w:rPr>
          <w:rStyle w:val="CharDivNo"/>
        </w:rPr>
        <w:t> </w:t>
      </w:r>
      <w:r>
        <w:t>—</w:t>
      </w:r>
      <w:r>
        <w:rPr>
          <w:rStyle w:val="CharDivText"/>
        </w:rPr>
        <w:t> </w:t>
      </w:r>
      <w:r>
        <w:rPr>
          <w:rStyle w:val="CharPartText"/>
        </w:rPr>
        <w:t>Guild of Undergraduates</w:t>
      </w:r>
      <w:bookmarkEnd w:id="158"/>
      <w:bookmarkEnd w:id="159"/>
      <w:bookmarkEnd w:id="160"/>
      <w:bookmarkEnd w:id="161"/>
      <w:bookmarkEnd w:id="162"/>
      <w:bookmarkEnd w:id="163"/>
      <w:bookmarkEnd w:id="164"/>
    </w:p>
    <w:p>
      <w:pPr>
        <w:pStyle w:val="Footnoteheading"/>
      </w:pPr>
      <w:r>
        <w:tab/>
        <w:t>[Heading inserted by No. 19 of 2010 s. 48(3).]</w:t>
      </w:r>
    </w:p>
    <w:p>
      <w:pPr>
        <w:pStyle w:val="Heading5"/>
        <w:rPr>
          <w:snapToGrid w:val="0"/>
        </w:rPr>
      </w:pPr>
      <w:bookmarkStart w:id="165" w:name="_Toc405542078"/>
      <w:bookmarkStart w:id="166" w:name="_Toc465084200"/>
      <w:r>
        <w:rPr>
          <w:rStyle w:val="CharSectno"/>
        </w:rPr>
        <w:t>28</w:t>
      </w:r>
      <w:r>
        <w:rPr>
          <w:snapToGrid w:val="0"/>
        </w:rPr>
        <w:t>.</w:t>
      </w:r>
      <w:r>
        <w:rPr>
          <w:snapToGrid w:val="0"/>
        </w:rPr>
        <w:tab/>
        <w:t>Guild of Undergraduates</w:t>
      </w:r>
      <w:bookmarkEnd w:id="165"/>
      <w:bookmarkEnd w:id="166"/>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t>deleted]</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167" w:name="_Toc405542079"/>
      <w:bookmarkStart w:id="168" w:name="_Toc465084201"/>
      <w:r>
        <w:rPr>
          <w:rStyle w:val="CharSectno"/>
        </w:rPr>
        <w:t>28A</w:t>
      </w:r>
      <w:r>
        <w:t>.</w:t>
      </w:r>
      <w:r>
        <w:tab/>
        <w:t>Amenities and services fee</w:t>
      </w:r>
      <w:bookmarkEnd w:id="167"/>
      <w:bookmarkEnd w:id="168"/>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169" w:name="_Toc405542080"/>
      <w:bookmarkStart w:id="170" w:name="_Toc465084202"/>
      <w:r>
        <w:rPr>
          <w:rStyle w:val="CharSectno"/>
        </w:rPr>
        <w:t>28B</w:t>
      </w:r>
      <w:r>
        <w:t>.</w:t>
      </w:r>
      <w:r>
        <w:tab/>
        <w:t>Senate to include detail in Statute</w:t>
      </w:r>
      <w:bookmarkEnd w:id="169"/>
      <w:bookmarkEnd w:id="170"/>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Heading2"/>
      </w:pPr>
      <w:bookmarkStart w:id="171" w:name="_Toc377393118"/>
      <w:bookmarkStart w:id="172" w:name="_Toc405542081"/>
      <w:bookmarkStart w:id="173" w:name="_Toc416963288"/>
      <w:bookmarkStart w:id="174" w:name="_Toc416963371"/>
      <w:bookmarkStart w:id="175" w:name="_Toc465083734"/>
      <w:bookmarkStart w:id="176" w:name="_Toc465083818"/>
      <w:bookmarkStart w:id="177" w:name="_Toc465084203"/>
      <w:r>
        <w:rPr>
          <w:rStyle w:val="CharPartNo"/>
        </w:rPr>
        <w:t>Part 6</w:t>
      </w:r>
      <w:r>
        <w:rPr>
          <w:rStyle w:val="CharDivNo"/>
        </w:rPr>
        <w:t> </w:t>
      </w:r>
      <w:r>
        <w:t>—</w:t>
      </w:r>
      <w:r>
        <w:rPr>
          <w:rStyle w:val="CharDivText"/>
        </w:rPr>
        <w:t> </w:t>
      </w:r>
      <w:r>
        <w:rPr>
          <w:rStyle w:val="CharPartText"/>
        </w:rPr>
        <w:t>Instruction, degrees, examination</w:t>
      </w:r>
      <w:bookmarkEnd w:id="171"/>
      <w:bookmarkEnd w:id="172"/>
      <w:bookmarkEnd w:id="173"/>
      <w:bookmarkEnd w:id="174"/>
      <w:bookmarkEnd w:id="175"/>
      <w:bookmarkEnd w:id="176"/>
      <w:bookmarkEnd w:id="177"/>
    </w:p>
    <w:p>
      <w:pPr>
        <w:pStyle w:val="Footnoteheading"/>
      </w:pPr>
      <w:r>
        <w:tab/>
        <w:t>[Heading inserted by No. 19 of 2010 s. 48(3).]</w:t>
      </w:r>
    </w:p>
    <w:p>
      <w:pPr>
        <w:pStyle w:val="Heading5"/>
        <w:rPr>
          <w:snapToGrid w:val="0"/>
        </w:rPr>
      </w:pPr>
      <w:bookmarkStart w:id="178" w:name="_Toc405542082"/>
      <w:bookmarkStart w:id="179" w:name="_Toc465084204"/>
      <w:r>
        <w:rPr>
          <w:rStyle w:val="CharSectno"/>
        </w:rPr>
        <w:t>29</w:t>
      </w:r>
      <w:r>
        <w:rPr>
          <w:snapToGrid w:val="0"/>
        </w:rPr>
        <w:t>.</w:t>
      </w:r>
      <w:r>
        <w:rPr>
          <w:snapToGrid w:val="0"/>
        </w:rPr>
        <w:tab/>
        <w:t>Instruction, degrees etc.</w:t>
      </w:r>
      <w:bookmarkEnd w:id="178"/>
      <w:bookmarkEnd w:id="179"/>
    </w:p>
    <w:p>
      <w:pPr>
        <w:pStyle w:val="Subsection"/>
        <w:rPr>
          <w:snapToGrid w:val="0"/>
        </w:rPr>
      </w:pPr>
      <w:r>
        <w:rPr>
          <w:snapToGrid w:val="0"/>
        </w:rPr>
        <w:tab/>
        <w:t>(1)</w:t>
      </w:r>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p>
    <w:p>
      <w:pPr>
        <w:pStyle w:val="Subsection"/>
        <w:rPr>
          <w:snapToGrid w:val="0"/>
        </w:rPr>
      </w:pPr>
      <w:r>
        <w:rPr>
          <w:snapToGrid w:val="0"/>
        </w:rPr>
        <w:tab/>
        <w:t>(2)</w:t>
      </w:r>
      <w:r>
        <w:rPr>
          <w:snapToGrid w:val="0"/>
        </w:rPr>
        <w:tab/>
        <w:t>All degrees and other distinctions shall be conferred and held subject to any provisions which may be made in reference thereto by the Statutes.</w:t>
      </w:r>
    </w:p>
    <w:p>
      <w:pPr>
        <w:pStyle w:val="Footnotesection"/>
      </w:pPr>
      <w:r>
        <w:tab/>
        <w:t>[Section 29 amended by No. 19 of 2010 s. 51.]</w:t>
      </w:r>
    </w:p>
    <w:p>
      <w:pPr>
        <w:pStyle w:val="Heading5"/>
        <w:rPr>
          <w:snapToGrid w:val="0"/>
        </w:rPr>
      </w:pPr>
      <w:bookmarkStart w:id="180" w:name="_Toc405542083"/>
      <w:bookmarkStart w:id="181" w:name="_Toc465084205"/>
      <w:r>
        <w:rPr>
          <w:rStyle w:val="CharSectno"/>
        </w:rPr>
        <w:t>30</w:t>
      </w:r>
      <w:r>
        <w:rPr>
          <w:snapToGrid w:val="0"/>
        </w:rPr>
        <w:t>.</w:t>
      </w:r>
      <w:r>
        <w:rPr>
          <w:snapToGrid w:val="0"/>
        </w:rPr>
        <w:tab/>
        <w:t>Examinations</w:t>
      </w:r>
      <w:bookmarkEnd w:id="180"/>
      <w:bookmarkEnd w:id="181"/>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Heading2"/>
      </w:pPr>
      <w:bookmarkStart w:id="182" w:name="_Toc377393121"/>
      <w:bookmarkStart w:id="183" w:name="_Toc405542084"/>
      <w:bookmarkStart w:id="184" w:name="_Toc416963291"/>
      <w:bookmarkStart w:id="185" w:name="_Toc416963374"/>
      <w:bookmarkStart w:id="186" w:name="_Toc465083737"/>
      <w:bookmarkStart w:id="187" w:name="_Toc465083821"/>
      <w:bookmarkStart w:id="188" w:name="_Toc465084206"/>
      <w:r>
        <w:rPr>
          <w:rStyle w:val="CharPartNo"/>
        </w:rPr>
        <w:t>Part 7</w:t>
      </w:r>
      <w:r>
        <w:rPr>
          <w:rStyle w:val="CharDivNo"/>
        </w:rPr>
        <w:t> </w:t>
      </w:r>
      <w:r>
        <w:t>—</w:t>
      </w:r>
      <w:r>
        <w:rPr>
          <w:rStyle w:val="CharDivText"/>
        </w:rPr>
        <w:t> </w:t>
      </w:r>
      <w:r>
        <w:rPr>
          <w:rStyle w:val="CharPartText"/>
        </w:rPr>
        <w:t>Statutes</w:t>
      </w:r>
      <w:bookmarkEnd w:id="182"/>
      <w:bookmarkEnd w:id="183"/>
      <w:bookmarkEnd w:id="184"/>
      <w:bookmarkEnd w:id="185"/>
      <w:bookmarkEnd w:id="186"/>
      <w:bookmarkEnd w:id="187"/>
      <w:bookmarkEnd w:id="188"/>
    </w:p>
    <w:p>
      <w:pPr>
        <w:pStyle w:val="Footnoteheading"/>
      </w:pPr>
      <w:r>
        <w:tab/>
        <w:t>[Heading inserted by No. 19 of 2010 s. 48(3).]</w:t>
      </w:r>
    </w:p>
    <w:p>
      <w:pPr>
        <w:pStyle w:val="Heading5"/>
        <w:rPr>
          <w:snapToGrid w:val="0"/>
        </w:rPr>
      </w:pPr>
      <w:bookmarkStart w:id="189" w:name="_Toc405542085"/>
      <w:bookmarkStart w:id="190" w:name="_Toc465084207"/>
      <w:r>
        <w:rPr>
          <w:rStyle w:val="CharSectno"/>
        </w:rPr>
        <w:t>31</w:t>
      </w:r>
      <w:r>
        <w:rPr>
          <w:snapToGrid w:val="0"/>
        </w:rPr>
        <w:t>.</w:t>
      </w:r>
      <w:r>
        <w:rPr>
          <w:snapToGrid w:val="0"/>
        </w:rPr>
        <w:tab/>
        <w:t>Power to make Statutes</w:t>
      </w:r>
      <w:bookmarkEnd w:id="189"/>
      <w:bookmarkEnd w:id="190"/>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and</w:t>
      </w:r>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 and</w:t>
      </w:r>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 and</w:t>
      </w:r>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 and</w:t>
      </w:r>
    </w:p>
    <w:p>
      <w:pPr>
        <w:pStyle w:val="Indenta"/>
        <w:rPr>
          <w:snapToGrid w:val="0"/>
        </w:rPr>
      </w:pPr>
      <w:r>
        <w:rPr>
          <w:snapToGrid w:val="0"/>
        </w:rPr>
        <w:tab/>
        <w:t>(f)</w:t>
      </w:r>
      <w:r>
        <w:rPr>
          <w:snapToGrid w:val="0"/>
        </w:rPr>
        <w:tab/>
        <w:t>The tenure of office, stipend, and powers and duties of the Vice</w:t>
      </w:r>
      <w:r>
        <w:rPr>
          <w:snapToGrid w:val="0"/>
        </w:rPr>
        <w:noBreakHyphen/>
        <w:t>Chancellor; and</w:t>
      </w:r>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 and</w:t>
      </w:r>
    </w:p>
    <w:p>
      <w:pPr>
        <w:pStyle w:val="Indenta"/>
        <w:rPr>
          <w:snapToGrid w:val="0"/>
        </w:rPr>
      </w:pPr>
      <w:r>
        <w:rPr>
          <w:snapToGrid w:val="0"/>
        </w:rPr>
        <w:tab/>
        <w:t>(h)</w:t>
      </w:r>
      <w:r>
        <w:rPr>
          <w:snapToGrid w:val="0"/>
        </w:rPr>
        <w:tab/>
        <w:t>The matriculation of students; and</w:t>
      </w:r>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 and</w:t>
      </w:r>
    </w:p>
    <w:p>
      <w:pPr>
        <w:pStyle w:val="Indenta"/>
        <w:rPr>
          <w:snapToGrid w:val="0"/>
        </w:rPr>
      </w:pPr>
      <w:r>
        <w:rPr>
          <w:snapToGrid w:val="0"/>
        </w:rPr>
        <w:tab/>
        <w:t>(j)</w:t>
      </w:r>
      <w:r>
        <w:rPr>
          <w:snapToGrid w:val="0"/>
        </w:rPr>
        <w:tab/>
        <w:t>The promotion and extension of University teaching; and</w:t>
      </w:r>
    </w:p>
    <w:p>
      <w:pPr>
        <w:pStyle w:val="Indenta"/>
        <w:rPr>
          <w:snapToGrid w:val="0"/>
        </w:rPr>
      </w:pPr>
      <w:r>
        <w:rPr>
          <w:snapToGrid w:val="0"/>
        </w:rPr>
        <w:tab/>
        <w:t>(k)</w:t>
      </w:r>
      <w:r>
        <w:rPr>
          <w:snapToGrid w:val="0"/>
        </w:rPr>
        <w:tab/>
        <w:t>The granting of degrees, diplomas, certificates, and honours; and</w:t>
      </w:r>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 and</w:t>
      </w:r>
    </w:p>
    <w:p>
      <w:pPr>
        <w:pStyle w:val="Indenta"/>
        <w:rPr>
          <w:snapToGrid w:val="0"/>
        </w:rPr>
      </w:pPr>
      <w:r>
        <w:rPr>
          <w:snapToGrid w:val="0"/>
        </w:rPr>
        <w:tab/>
        <w:t>(m)</w:t>
      </w:r>
      <w:r>
        <w:rPr>
          <w:snapToGrid w:val="0"/>
        </w:rPr>
        <w:tab/>
        <w:t>The granting of fellowships, scholarships, exhibitions, bursaries, and prizes; and</w:t>
      </w:r>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 and</w:t>
      </w:r>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 and</w:t>
      </w:r>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 and</w:t>
      </w:r>
    </w:p>
    <w:p>
      <w:pPr>
        <w:pStyle w:val="Indenta"/>
        <w:rPr>
          <w:snapToGrid w:val="0"/>
        </w:rPr>
      </w:pPr>
      <w:r>
        <w:rPr>
          <w:snapToGrid w:val="0"/>
        </w:rPr>
        <w:tab/>
        <w:t>(q)</w:t>
      </w:r>
      <w:r>
        <w:rPr>
          <w:snapToGrid w:val="0"/>
        </w:rPr>
        <w:tab/>
        <w:t>The establishment, management, and control of libraries and museums in connection with the University; and</w:t>
      </w:r>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 and</w:t>
      </w:r>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 and</w:t>
      </w:r>
    </w:p>
    <w:p>
      <w:pPr>
        <w:pStyle w:val="Indenta"/>
        <w:rPr>
          <w:snapToGrid w:val="0"/>
        </w:rPr>
      </w:pPr>
      <w:r>
        <w:rPr>
          <w:snapToGrid w:val="0"/>
        </w:rPr>
        <w:tab/>
        <w:t>(t)</w:t>
      </w:r>
      <w:r>
        <w:rPr>
          <w:snapToGrid w:val="0"/>
        </w:rPr>
        <w:tab/>
        <w:t>Providing for a scheme of superannuation for the salaried teachers and officers upon retirement; and</w:t>
      </w:r>
    </w:p>
    <w:p>
      <w:pPr>
        <w:pStyle w:val="Indenta"/>
        <w:rPr>
          <w:snapToGrid w:val="0"/>
        </w:rPr>
      </w:pPr>
      <w:r>
        <w:rPr>
          <w:snapToGrid w:val="0"/>
        </w:rPr>
        <w:tab/>
        <w:t>(u)</w:t>
      </w:r>
      <w:r>
        <w:rPr>
          <w:snapToGrid w:val="0"/>
        </w:rPr>
        <w:tab/>
        <w:t>The control and investment of the property of the University; and</w:t>
      </w:r>
    </w:p>
    <w:p>
      <w:pPr>
        <w:pStyle w:val="Indenta"/>
        <w:rPr>
          <w:snapToGrid w:val="0"/>
        </w:rPr>
      </w:pPr>
      <w:r>
        <w:rPr>
          <w:snapToGrid w:val="0"/>
        </w:rPr>
        <w:tab/>
        <w:t>(v)</w:t>
      </w:r>
      <w:r>
        <w:rPr>
          <w:snapToGrid w:val="0"/>
        </w:rPr>
        <w:tab/>
        <w:t>Classes of membership and conditions or qualifications for membership of the Guild; and</w:t>
      </w:r>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 and</w:t>
      </w:r>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(4B)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 No. 77 of 2006 Sch. 1 cl. 172(1); No. 19 of 2010 s. 51.]</w:t>
      </w:r>
    </w:p>
    <w:p>
      <w:pPr>
        <w:pStyle w:val="Ednotesection"/>
      </w:pPr>
      <w:r>
        <w:t>[</w:t>
      </w:r>
      <w:r>
        <w:rPr>
          <w:b/>
        </w:rPr>
        <w:t>32.</w:t>
      </w:r>
      <w:r>
        <w:tab/>
        <w:t>Deleted by No. 43 of 1944 s. 10.]</w:t>
      </w:r>
    </w:p>
    <w:p>
      <w:pPr>
        <w:pStyle w:val="Heading5"/>
        <w:rPr>
          <w:snapToGrid w:val="0"/>
        </w:rPr>
      </w:pPr>
      <w:bookmarkStart w:id="191" w:name="_Toc405542086"/>
      <w:bookmarkStart w:id="192" w:name="_Toc465084208"/>
      <w:r>
        <w:rPr>
          <w:rStyle w:val="CharSectno"/>
        </w:rPr>
        <w:t>33</w:t>
      </w:r>
      <w:r>
        <w:rPr>
          <w:snapToGrid w:val="0"/>
        </w:rPr>
        <w:t>.</w:t>
      </w:r>
      <w:r>
        <w:rPr>
          <w:snapToGrid w:val="0"/>
        </w:rPr>
        <w:tab/>
        <w:t>Statutes to be approved by Governor and published</w:t>
      </w:r>
      <w:bookmarkEnd w:id="191"/>
      <w:bookmarkEnd w:id="192"/>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Ednotepart"/>
      </w:pPr>
      <w:r>
        <w:t>[Heading deleted by No. 19 of 2010 s. 48(2).]</w:t>
      </w:r>
    </w:p>
    <w:p>
      <w:pPr>
        <w:pStyle w:val="Heading5"/>
        <w:rPr>
          <w:snapToGrid w:val="0"/>
        </w:rPr>
      </w:pPr>
      <w:bookmarkStart w:id="193" w:name="_Toc405542087"/>
      <w:bookmarkStart w:id="194" w:name="_Toc465084209"/>
      <w:r>
        <w:rPr>
          <w:rStyle w:val="CharSectno"/>
        </w:rPr>
        <w:t>34</w:t>
      </w:r>
      <w:r>
        <w:rPr>
          <w:snapToGrid w:val="0"/>
        </w:rPr>
        <w:t>.</w:t>
      </w:r>
      <w:r>
        <w:rPr>
          <w:snapToGrid w:val="0"/>
        </w:rPr>
        <w:tab/>
        <w:t>Affiliated institutions</w:t>
      </w:r>
      <w:bookmarkEnd w:id="193"/>
      <w:bookmarkEnd w:id="194"/>
    </w:p>
    <w:p>
      <w:pPr>
        <w:pStyle w:val="Subsection"/>
        <w:spacing w:before="120"/>
        <w:rPr>
          <w:snapToGrid w:val="0"/>
        </w:rPr>
      </w:pPr>
      <w:r>
        <w:rPr>
          <w:snapToGrid w:val="0"/>
        </w:rPr>
        <w:tab/>
        <w:t>(1)</w:t>
      </w:r>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p>
    <w:p>
      <w:pPr>
        <w:pStyle w:val="Subsection"/>
        <w:spacing w:before="120"/>
        <w:rPr>
          <w:snapToGrid w:val="0"/>
        </w:rPr>
      </w:pPr>
      <w:r>
        <w:rPr>
          <w:snapToGrid w:val="0"/>
        </w:rPr>
        <w:tab/>
        <w:t>(2)</w:t>
      </w:r>
      <w:r>
        <w:rPr>
          <w:snapToGrid w:val="0"/>
        </w:rPr>
        <w:tab/>
        <w:t>No Statutes shall affect the religious observances or regulations enforced in such colleges or educational establishments or boarding</w:t>
      </w:r>
      <w:r>
        <w:rPr>
          <w:snapToGrid w:val="0"/>
        </w:rPr>
        <w:noBreakHyphen/>
        <w:t>houses.</w:t>
      </w:r>
    </w:p>
    <w:p>
      <w:pPr>
        <w:pStyle w:val="Footnotesection"/>
      </w:pPr>
      <w:r>
        <w:tab/>
        <w:t>[Section 34 amended by No. 19 of 2010 s. 51.]</w:t>
      </w:r>
    </w:p>
    <w:p>
      <w:pPr>
        <w:pStyle w:val="Heading2"/>
      </w:pPr>
      <w:bookmarkStart w:id="195" w:name="_Toc377393125"/>
      <w:bookmarkStart w:id="196" w:name="_Toc405542088"/>
      <w:bookmarkStart w:id="197" w:name="_Toc416963295"/>
      <w:bookmarkStart w:id="198" w:name="_Toc416963378"/>
      <w:bookmarkStart w:id="199" w:name="_Toc465083741"/>
      <w:bookmarkStart w:id="200" w:name="_Toc465083825"/>
      <w:bookmarkStart w:id="201" w:name="_Toc465084210"/>
      <w:r>
        <w:rPr>
          <w:rStyle w:val="CharPartNo"/>
        </w:rPr>
        <w:t>Part 8</w:t>
      </w:r>
      <w:r>
        <w:rPr>
          <w:rStyle w:val="CharDivNo"/>
        </w:rPr>
        <w:t> </w:t>
      </w:r>
      <w:r>
        <w:t>—</w:t>
      </w:r>
      <w:r>
        <w:rPr>
          <w:rStyle w:val="CharDivText"/>
        </w:rPr>
        <w:t> </w:t>
      </w:r>
      <w:r>
        <w:rPr>
          <w:rStyle w:val="CharPartText"/>
        </w:rPr>
        <w:t>Endowment and revenue</w:t>
      </w:r>
      <w:bookmarkEnd w:id="195"/>
      <w:bookmarkEnd w:id="196"/>
      <w:bookmarkEnd w:id="197"/>
      <w:bookmarkEnd w:id="198"/>
      <w:bookmarkEnd w:id="199"/>
      <w:bookmarkEnd w:id="200"/>
      <w:bookmarkEnd w:id="201"/>
    </w:p>
    <w:p>
      <w:pPr>
        <w:pStyle w:val="Footnoteheading"/>
      </w:pPr>
      <w:r>
        <w:tab/>
        <w:t>[Heading inserted by No. 19 of 2010 s. 48(3).]</w:t>
      </w:r>
    </w:p>
    <w:p>
      <w:pPr>
        <w:pStyle w:val="Heading5"/>
        <w:rPr>
          <w:snapToGrid w:val="0"/>
        </w:rPr>
      </w:pPr>
      <w:bookmarkStart w:id="202" w:name="_Toc405542089"/>
      <w:bookmarkStart w:id="203" w:name="_Toc465084211"/>
      <w:r>
        <w:rPr>
          <w:rStyle w:val="CharSectno"/>
        </w:rPr>
        <w:t>35</w:t>
      </w:r>
      <w:r>
        <w:rPr>
          <w:snapToGrid w:val="0"/>
        </w:rPr>
        <w:t>.</w:t>
      </w:r>
      <w:r>
        <w:rPr>
          <w:snapToGrid w:val="0"/>
        </w:rPr>
        <w:tab/>
        <w:t>Endowment of Crown lands etc.</w:t>
      </w:r>
      <w:bookmarkEnd w:id="202"/>
      <w:bookmarkEnd w:id="203"/>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204" w:name="_Toc405542090"/>
      <w:bookmarkStart w:id="205" w:name="_Toc465084212"/>
      <w:r>
        <w:rPr>
          <w:rStyle w:val="CharSectno"/>
        </w:rPr>
        <w:t>36</w:t>
      </w:r>
      <w:r>
        <w:rPr>
          <w:snapToGrid w:val="0"/>
        </w:rPr>
        <w:t>.</w:t>
      </w:r>
      <w:r>
        <w:rPr>
          <w:snapToGrid w:val="0"/>
        </w:rPr>
        <w:tab/>
        <w:t>Exemption of property from taxation</w:t>
      </w:r>
      <w:bookmarkEnd w:id="204"/>
      <w:bookmarkEnd w:id="205"/>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206" w:name="_Toc405542091"/>
      <w:bookmarkStart w:id="207" w:name="_Toc465084213"/>
      <w:r>
        <w:rPr>
          <w:rStyle w:val="CharSectno"/>
        </w:rPr>
        <w:t>37</w:t>
      </w:r>
      <w:r>
        <w:rPr>
          <w:snapToGrid w:val="0"/>
        </w:rPr>
        <w:t>.</w:t>
      </w:r>
      <w:r>
        <w:rPr>
          <w:snapToGrid w:val="0"/>
        </w:rPr>
        <w:tab/>
        <w:t>Parliament may make appropriation to University</w:t>
      </w:r>
      <w:bookmarkEnd w:id="206"/>
      <w:bookmarkEnd w:id="207"/>
    </w:p>
    <w:p>
      <w:pPr>
        <w:pStyle w:val="Subsection"/>
        <w:rPr>
          <w:snapToGrid w:val="0"/>
        </w:rPr>
      </w:pPr>
      <w:r>
        <w:rPr>
          <w:snapToGrid w:val="0"/>
        </w:rPr>
        <w:tab/>
      </w:r>
      <w:r>
        <w:rPr>
          <w:snapToGrid w:val="0"/>
        </w:rPr>
        <w:tab/>
        <w:t xml:space="preserve">There shall be paid to the Senate for the purpose of defraying the charges and expenses connected with the establishment, management and control of the </w:t>
      </w:r>
      <w:r>
        <w:t>University such amounts</w:t>
      </w:r>
      <w:r>
        <w:rPr>
          <w:snapToGrid w:val="0"/>
        </w:rPr>
        <w:t xml:space="preserve"> as may be appropriated by Parliament from time to time for the purposes aforesaid.</w:t>
      </w:r>
    </w:p>
    <w:p>
      <w:pPr>
        <w:pStyle w:val="Footnotesection"/>
      </w:pPr>
      <w:r>
        <w:tab/>
        <w:t>[Section 37 inserted by No. 43 of 1944 s. 12; amended by No. 3 of 1955 s. 2; No. 113 of 1965 s. 8; No. 58 of 1973 s. 3; No. 19 of 2010 s. 51.]</w:t>
      </w:r>
    </w:p>
    <w:p>
      <w:pPr>
        <w:pStyle w:val="Heading5"/>
        <w:rPr>
          <w:snapToGrid w:val="0"/>
        </w:rPr>
      </w:pPr>
      <w:bookmarkStart w:id="208" w:name="_Toc405542092"/>
      <w:bookmarkStart w:id="209" w:name="_Toc465084214"/>
      <w:r>
        <w:rPr>
          <w:rStyle w:val="CharSectno"/>
        </w:rPr>
        <w:t>38</w:t>
      </w:r>
      <w:r>
        <w:rPr>
          <w:snapToGrid w:val="0"/>
        </w:rPr>
        <w:t>.</w:t>
      </w:r>
      <w:r>
        <w:rPr>
          <w:snapToGrid w:val="0"/>
        </w:rPr>
        <w:tab/>
        <w:t>Application of fees etc.</w:t>
      </w:r>
      <w:bookmarkEnd w:id="208"/>
      <w:bookmarkEnd w:id="209"/>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Heading2"/>
      </w:pPr>
      <w:bookmarkStart w:id="210" w:name="_Toc377393130"/>
      <w:bookmarkStart w:id="211" w:name="_Toc405542093"/>
      <w:bookmarkStart w:id="212" w:name="_Toc416963300"/>
      <w:bookmarkStart w:id="213" w:name="_Toc416963383"/>
      <w:bookmarkStart w:id="214" w:name="_Toc465083746"/>
      <w:bookmarkStart w:id="215" w:name="_Toc465083830"/>
      <w:bookmarkStart w:id="216" w:name="_Toc465084215"/>
      <w:r>
        <w:rPr>
          <w:rStyle w:val="CharPartNo"/>
        </w:rPr>
        <w:t>Part 9</w:t>
      </w:r>
      <w:r>
        <w:rPr>
          <w:rStyle w:val="CharDivNo"/>
        </w:rPr>
        <w:t> </w:t>
      </w:r>
      <w:r>
        <w:t>—</w:t>
      </w:r>
      <w:r>
        <w:rPr>
          <w:rStyle w:val="CharDivText"/>
        </w:rPr>
        <w:t> </w:t>
      </w:r>
      <w:r>
        <w:rPr>
          <w:rStyle w:val="CharPartText"/>
        </w:rPr>
        <w:t>General provisions</w:t>
      </w:r>
      <w:bookmarkEnd w:id="210"/>
      <w:bookmarkEnd w:id="211"/>
      <w:bookmarkEnd w:id="212"/>
      <w:bookmarkEnd w:id="213"/>
      <w:bookmarkEnd w:id="214"/>
      <w:bookmarkEnd w:id="215"/>
      <w:bookmarkEnd w:id="216"/>
    </w:p>
    <w:p>
      <w:pPr>
        <w:pStyle w:val="Footnoteheading"/>
      </w:pPr>
      <w:r>
        <w:tab/>
        <w:t>[Heading inserted by No. 19 of 2010 s. 48(3).]</w:t>
      </w:r>
    </w:p>
    <w:p>
      <w:pPr>
        <w:pStyle w:val="Heading5"/>
        <w:rPr>
          <w:snapToGrid w:val="0"/>
        </w:rPr>
      </w:pPr>
      <w:bookmarkStart w:id="217" w:name="_Toc405542094"/>
      <w:bookmarkStart w:id="218" w:name="_Toc465084216"/>
      <w:r>
        <w:rPr>
          <w:rStyle w:val="CharSectno"/>
        </w:rPr>
        <w:t>39</w:t>
      </w:r>
      <w:r>
        <w:rPr>
          <w:snapToGrid w:val="0"/>
        </w:rPr>
        <w:t>.</w:t>
      </w:r>
      <w:r>
        <w:rPr>
          <w:snapToGrid w:val="0"/>
        </w:rPr>
        <w:tab/>
        <w:t>No religious test</w:t>
      </w:r>
      <w:bookmarkEnd w:id="217"/>
      <w:bookmarkEnd w:id="218"/>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219" w:name="_Toc405542095"/>
      <w:bookmarkStart w:id="220" w:name="_Toc465084217"/>
      <w:r>
        <w:rPr>
          <w:rStyle w:val="CharSectno"/>
        </w:rPr>
        <w:t>40</w:t>
      </w:r>
      <w:r>
        <w:rPr>
          <w:snapToGrid w:val="0"/>
        </w:rPr>
        <w:t>.</w:t>
      </w:r>
      <w:r>
        <w:rPr>
          <w:snapToGrid w:val="0"/>
        </w:rPr>
        <w:tab/>
        <w:t>Privileges of Act to extend to women</w:t>
      </w:r>
      <w:bookmarkEnd w:id="219"/>
      <w:bookmarkEnd w:id="220"/>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221" w:name="_Toc405542096"/>
      <w:bookmarkStart w:id="222" w:name="_Toc465084218"/>
      <w:r>
        <w:rPr>
          <w:rStyle w:val="CharSectno"/>
        </w:rPr>
        <w:t>41</w:t>
      </w:r>
      <w:r>
        <w:rPr>
          <w:snapToGrid w:val="0"/>
        </w:rPr>
        <w:t>.</w:t>
      </w:r>
      <w:r>
        <w:rPr>
          <w:snapToGrid w:val="0"/>
        </w:rPr>
        <w:tab/>
        <w:t xml:space="preserve">Application of </w:t>
      </w:r>
      <w:r>
        <w:rPr>
          <w:i/>
        </w:rPr>
        <w:t>Financial Management Act 2006</w:t>
      </w:r>
      <w:r>
        <w:t xml:space="preserve"> and </w:t>
      </w:r>
      <w:r>
        <w:rPr>
          <w:i/>
        </w:rPr>
        <w:t>Auditor General Act 2006</w:t>
      </w:r>
      <w:bookmarkEnd w:id="221"/>
      <w:bookmarkEnd w:id="222"/>
    </w:p>
    <w:p>
      <w:pPr>
        <w:pStyle w:val="Subsection"/>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[Section 41 inserted by No. 98 of 1985 s. 3; amended by No. 92 of 1990 s. 39(4); No. 77 of 2006 Sch. 1 cl. 172(2)-(4).]</w:t>
      </w:r>
    </w:p>
    <w:p>
      <w:pPr>
        <w:pStyle w:val="Heading5"/>
        <w:rPr>
          <w:snapToGrid w:val="0"/>
        </w:rPr>
      </w:pPr>
      <w:bookmarkStart w:id="223" w:name="_Toc405542097"/>
      <w:bookmarkStart w:id="224" w:name="_Toc465084219"/>
      <w:r>
        <w:rPr>
          <w:rStyle w:val="CharSectno"/>
        </w:rPr>
        <w:t>42</w:t>
      </w:r>
      <w:r>
        <w:rPr>
          <w:snapToGrid w:val="0"/>
        </w:rPr>
        <w:t>.</w:t>
      </w:r>
      <w:r>
        <w:rPr>
          <w:snapToGrid w:val="0"/>
        </w:rPr>
        <w:tab/>
        <w:t>Discharge of Trustees of University Endowment</w:t>
      </w:r>
      <w:bookmarkEnd w:id="223"/>
      <w:bookmarkEnd w:id="224"/>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25" w:name="_Toc377393135"/>
      <w:bookmarkStart w:id="226" w:name="_Toc405542098"/>
      <w:bookmarkStart w:id="227" w:name="_Toc416963305"/>
      <w:bookmarkStart w:id="228" w:name="_Toc416963388"/>
      <w:bookmarkStart w:id="229" w:name="_Toc465083751"/>
      <w:bookmarkStart w:id="230" w:name="_Toc465083835"/>
      <w:bookmarkStart w:id="231" w:name="_Toc465084220"/>
      <w:r>
        <w:rPr>
          <w:rStyle w:val="CharSchNo"/>
        </w:rPr>
        <w:t>Schedule 1</w:t>
      </w:r>
      <w:r>
        <w:t> — </w:t>
      </w:r>
      <w:r>
        <w:rPr>
          <w:rStyle w:val="CharSchText"/>
        </w:rPr>
        <w:t>Senate members</w:t>
      </w:r>
      <w:bookmarkEnd w:id="225"/>
      <w:bookmarkEnd w:id="226"/>
      <w:bookmarkEnd w:id="227"/>
      <w:bookmarkEnd w:id="228"/>
      <w:bookmarkEnd w:id="229"/>
      <w:bookmarkEnd w:id="230"/>
      <w:bookmarkEnd w:id="231"/>
    </w:p>
    <w:p>
      <w:pPr>
        <w:pStyle w:val="yShoulderClause"/>
      </w:pPr>
      <w:r>
        <w:t>[s. 10, 11A, 24A]</w:t>
      </w:r>
    </w:p>
    <w:p>
      <w:pPr>
        <w:pStyle w:val="yFootnoteheading"/>
      </w:pPr>
      <w:r>
        <w:tab/>
        <w:t>[Heading inserted by No.</w:t>
      </w:r>
      <w:r>
        <w:rPr>
          <w:sz w:val="28"/>
        </w:rPr>
        <w:t> </w:t>
      </w:r>
      <w:r>
        <w:rPr>
          <w:sz w:val="24"/>
        </w:rPr>
        <w:t>8 of 2005 s. </w:t>
      </w:r>
      <w:r>
        <w:t>62.]</w:t>
      </w:r>
    </w:p>
    <w:p>
      <w:pPr>
        <w:pStyle w:val="yHeading3"/>
      </w:pPr>
      <w:bookmarkStart w:id="232" w:name="_Toc377393136"/>
      <w:bookmarkStart w:id="233" w:name="_Toc405542099"/>
      <w:bookmarkStart w:id="234" w:name="_Toc416963306"/>
      <w:bookmarkStart w:id="235" w:name="_Toc416963389"/>
      <w:bookmarkStart w:id="236" w:name="_Toc465083752"/>
      <w:bookmarkStart w:id="237" w:name="_Toc465083836"/>
      <w:bookmarkStart w:id="238" w:name="_Toc465084221"/>
      <w:r>
        <w:rPr>
          <w:rStyle w:val="CharSDivNo"/>
        </w:rPr>
        <w:t>Division 1</w:t>
      </w:r>
      <w:r>
        <w:t> — </w:t>
      </w:r>
      <w:r>
        <w:rPr>
          <w:rStyle w:val="CharSDivText"/>
        </w:rPr>
        <w:t>Duties</w:t>
      </w:r>
      <w:bookmarkEnd w:id="232"/>
      <w:bookmarkEnd w:id="233"/>
      <w:bookmarkEnd w:id="234"/>
      <w:bookmarkEnd w:id="235"/>
      <w:bookmarkEnd w:id="236"/>
      <w:bookmarkEnd w:id="237"/>
      <w:bookmarkEnd w:id="238"/>
    </w:p>
    <w:p>
      <w:pPr>
        <w:pStyle w:val="yFootnoteheading"/>
      </w:pPr>
      <w:r>
        <w:tab/>
        <w:t>[Heading inserted by No.</w:t>
      </w:r>
      <w:r>
        <w:rPr>
          <w:sz w:val="28"/>
        </w:rPr>
        <w:t> </w:t>
      </w:r>
      <w:r>
        <w:rPr>
          <w:sz w:val="24"/>
        </w:rPr>
        <w:t>8 of 2005 s. </w:t>
      </w:r>
      <w:r>
        <w:t>62.]</w:t>
      </w:r>
    </w:p>
    <w:p>
      <w:pPr>
        <w:pStyle w:val="yHeading5"/>
        <w:outlineLvl w:val="9"/>
      </w:pPr>
      <w:bookmarkStart w:id="239" w:name="_Toc405542100"/>
      <w:bookmarkStart w:id="240" w:name="_Toc465084222"/>
      <w:r>
        <w:rPr>
          <w:rStyle w:val="CharSClsNo"/>
        </w:rPr>
        <w:t>1</w:t>
      </w:r>
      <w:r>
        <w:t>.</w:t>
      </w:r>
      <w:r>
        <w:rPr>
          <w:b w:val="0"/>
        </w:rPr>
        <w:tab/>
      </w:r>
      <w:r>
        <w:t>Duties</w:t>
      </w:r>
      <w:bookmarkEnd w:id="239"/>
      <w:bookmarkEnd w:id="240"/>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241" w:name="_Toc377393138"/>
      <w:bookmarkStart w:id="242" w:name="_Toc405542101"/>
      <w:bookmarkStart w:id="243" w:name="_Toc416963308"/>
      <w:bookmarkStart w:id="244" w:name="_Toc416963391"/>
      <w:bookmarkStart w:id="245" w:name="_Toc465083754"/>
      <w:bookmarkStart w:id="246" w:name="_Toc465083838"/>
      <w:bookmarkStart w:id="247" w:name="_Toc465084223"/>
      <w:r>
        <w:rPr>
          <w:rStyle w:val="CharSDivNo"/>
        </w:rPr>
        <w:t>Division 2</w:t>
      </w:r>
      <w:r>
        <w:t> — </w:t>
      </w:r>
      <w:r>
        <w:rPr>
          <w:rStyle w:val="CharSDivText"/>
        </w:rPr>
        <w:t>Disclosure of interests</w:t>
      </w:r>
      <w:bookmarkEnd w:id="241"/>
      <w:bookmarkEnd w:id="242"/>
      <w:bookmarkEnd w:id="243"/>
      <w:bookmarkEnd w:id="244"/>
      <w:bookmarkEnd w:id="245"/>
      <w:bookmarkEnd w:id="246"/>
      <w:bookmarkEnd w:id="247"/>
    </w:p>
    <w:p>
      <w:pPr>
        <w:pStyle w:val="yHeading5"/>
      </w:pPr>
      <w:bookmarkStart w:id="248" w:name="_Toc405542102"/>
      <w:bookmarkStart w:id="249" w:name="_Toc465084224"/>
      <w:r>
        <w:rPr>
          <w:rStyle w:val="CharSClsNo"/>
        </w:rPr>
        <w:t>2</w:t>
      </w:r>
      <w:r>
        <w:t>.</w:t>
      </w:r>
      <w:r>
        <w:rPr>
          <w:b w:val="0"/>
        </w:rPr>
        <w:tab/>
      </w:r>
      <w:r>
        <w:t>Disclosure of interests</w:t>
      </w:r>
      <w:bookmarkEnd w:id="248"/>
      <w:bookmarkEnd w:id="249"/>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250" w:name="_Toc405542103"/>
      <w:bookmarkStart w:id="251" w:name="_Toc465084225"/>
      <w:r>
        <w:rPr>
          <w:rStyle w:val="CharSClsNo"/>
        </w:rPr>
        <w:t>3</w:t>
      </w:r>
      <w:r>
        <w:t>.</w:t>
      </w:r>
      <w:r>
        <w:rPr>
          <w:b w:val="0"/>
        </w:rPr>
        <w:tab/>
      </w:r>
      <w:r>
        <w:t>Voting by interested members</w:t>
      </w:r>
      <w:bookmarkEnd w:id="250"/>
      <w:bookmarkEnd w:id="251"/>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252" w:name="_Toc405542104"/>
      <w:bookmarkStart w:id="253" w:name="_Toc465084226"/>
      <w:r>
        <w:rPr>
          <w:rStyle w:val="CharSClsNo"/>
        </w:rPr>
        <w:t>4</w:t>
      </w:r>
      <w:r>
        <w:t>.</w:t>
      </w:r>
      <w:r>
        <w:rPr>
          <w:b w:val="0"/>
        </w:rPr>
        <w:tab/>
      </w:r>
      <w:r>
        <w:t>Clause 3 may be declared inapplicable</w:t>
      </w:r>
      <w:bookmarkEnd w:id="252"/>
      <w:bookmarkEnd w:id="253"/>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254" w:name="_Toc405542105"/>
      <w:bookmarkStart w:id="255" w:name="_Toc465084227"/>
      <w:r>
        <w:rPr>
          <w:rStyle w:val="CharSClsNo"/>
        </w:rPr>
        <w:t>5</w:t>
      </w:r>
      <w:r>
        <w:t>.</w:t>
      </w:r>
      <w:r>
        <w:rPr>
          <w:b w:val="0"/>
        </w:rPr>
        <w:tab/>
      </w:r>
      <w:r>
        <w:t>Quorum where cl. 3 applies</w:t>
      </w:r>
      <w:bookmarkEnd w:id="254"/>
      <w:bookmarkEnd w:id="255"/>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256" w:name="_Toc405542106"/>
      <w:bookmarkStart w:id="257" w:name="_Toc465084228"/>
      <w:r>
        <w:rPr>
          <w:rStyle w:val="CharSClsNo"/>
        </w:rPr>
        <w:t>6</w:t>
      </w:r>
      <w:r>
        <w:t>.</w:t>
      </w:r>
      <w:r>
        <w:rPr>
          <w:b w:val="0"/>
        </w:rPr>
        <w:tab/>
      </w:r>
      <w:r>
        <w:t>Minister may declare cl. 3 and 5 inapplicable</w:t>
      </w:r>
      <w:bookmarkEnd w:id="256"/>
      <w:bookmarkEnd w:id="257"/>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59" w:name="_Toc377393144"/>
      <w:bookmarkStart w:id="260" w:name="_Toc405542107"/>
      <w:bookmarkStart w:id="261" w:name="_Toc416963314"/>
      <w:bookmarkStart w:id="262" w:name="_Toc416963397"/>
      <w:bookmarkStart w:id="263" w:name="_Toc465083760"/>
      <w:bookmarkStart w:id="264" w:name="_Toc465083844"/>
      <w:bookmarkStart w:id="265" w:name="_Toc465084229"/>
      <w:r>
        <w:t>Notes</w:t>
      </w:r>
      <w:bookmarkEnd w:id="259"/>
      <w:bookmarkEnd w:id="260"/>
      <w:bookmarkEnd w:id="261"/>
      <w:bookmarkEnd w:id="262"/>
      <w:bookmarkEnd w:id="263"/>
      <w:bookmarkEnd w:id="264"/>
      <w:bookmarkEnd w:id="26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University</w:t>
          </w:r>
        </w:smartTag>
        <w:r>
          <w:rPr>
            <w:i/>
            <w:noProof/>
            <w:snapToGrid w:val="0"/>
          </w:rPr>
          <w:t xml:space="preserve"> of </w:t>
        </w:r>
        <w:smartTag w:uri="urn:schemas-microsoft-com:office:smarttags" w:element="PlaceName">
          <w:r>
            <w:rPr>
              <w:i/>
              <w:noProof/>
              <w:snapToGrid w:val="0"/>
            </w:rPr>
            <w:t>Western Australia Act</w:t>
          </w:r>
        </w:smartTag>
      </w:smartTag>
      <w:r>
        <w:rPr>
          <w:i/>
          <w:noProof/>
          <w:snapToGrid w:val="0"/>
        </w:rPr>
        <w:t xml:space="preserve"> 1911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66" w:name="_Toc405542108"/>
      <w:bookmarkStart w:id="267" w:name="_Toc465084230"/>
      <w:r>
        <w:t>Compilation table</w:t>
      </w:r>
      <w:bookmarkEnd w:id="266"/>
      <w:bookmarkEnd w:id="267"/>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134" w:type="dxa"/>
          </w:tcPr>
          <w:p>
            <w:pPr>
              <w:pStyle w:val="nTable"/>
              <w:spacing w:after="40"/>
            </w:pPr>
            <w:r>
              <w:t>37 of 1911</w:t>
            </w:r>
            <w:r>
              <w:rPr>
                <w:color w:val="000000"/>
              </w:rPr>
              <w:t xml:space="preserve"> (1 Geo. V No. 48)</w:t>
            </w:r>
          </w:p>
        </w:tc>
        <w:tc>
          <w:tcPr>
            <w:tcW w:w="1134" w:type="dxa"/>
          </w:tcPr>
          <w:p>
            <w:pPr>
              <w:pStyle w:val="nTable"/>
              <w:spacing w:after="40"/>
            </w:pPr>
            <w:r>
              <w:t>16 Feb 1911</w:t>
            </w:r>
          </w:p>
        </w:tc>
        <w:tc>
          <w:tcPr>
            <w:tcW w:w="2551" w:type="dxa"/>
          </w:tcPr>
          <w:p>
            <w:pPr>
              <w:pStyle w:val="nTable"/>
              <w:spacing w:after="40"/>
            </w:pPr>
            <w:r>
              <w:t>16 Feb 1911</w:t>
            </w:r>
          </w:p>
        </w:tc>
      </w:tr>
      <w:tr>
        <w:trPr>
          <w:cantSplit/>
        </w:trPr>
        <w:tc>
          <w:tcPr>
            <w:tcW w:w="2269" w:type="dxa"/>
          </w:tcPr>
          <w:p>
            <w:pPr>
              <w:pStyle w:val="nTable"/>
              <w:spacing w:after="40"/>
              <w:ind w:right="113"/>
            </w:pPr>
            <w:r>
              <w:rPr>
                <w:i/>
              </w:rPr>
              <w:t>University Act Amendment Act 1917</w:t>
            </w:r>
          </w:p>
        </w:tc>
        <w:tc>
          <w:tcPr>
            <w:tcW w:w="1134" w:type="dxa"/>
          </w:tcPr>
          <w:p>
            <w:pPr>
              <w:pStyle w:val="nTable"/>
              <w:spacing w:after="40"/>
            </w:pPr>
            <w:r>
              <w:t xml:space="preserve">23 of 1917 </w:t>
            </w:r>
            <w:r>
              <w:rPr>
                <w:color w:val="000000"/>
              </w:rPr>
              <w:t>(8 Geo. V No. 4)</w:t>
            </w:r>
          </w:p>
        </w:tc>
        <w:tc>
          <w:tcPr>
            <w:tcW w:w="1134" w:type="dxa"/>
          </w:tcPr>
          <w:p>
            <w:pPr>
              <w:pStyle w:val="nTable"/>
              <w:spacing w:after="40"/>
            </w:pPr>
            <w:r>
              <w:t>7 Aug 1917</w:t>
            </w:r>
          </w:p>
        </w:tc>
        <w:tc>
          <w:tcPr>
            <w:tcW w:w="2551" w:type="dxa"/>
          </w:tcPr>
          <w:p>
            <w:pPr>
              <w:pStyle w:val="nTable"/>
              <w:spacing w:after="40"/>
            </w:pPr>
            <w:r>
              <w:t>7 Aug 1917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1929</w:t>
            </w:r>
          </w:p>
        </w:tc>
        <w:tc>
          <w:tcPr>
            <w:tcW w:w="1134" w:type="dxa"/>
          </w:tcPr>
          <w:p>
            <w:pPr>
              <w:pStyle w:val="nTable"/>
              <w:spacing w:after="40"/>
            </w:pPr>
            <w:r>
              <w:t xml:space="preserve">17 of 1929 </w:t>
            </w:r>
            <w:r>
              <w:rPr>
                <w:color w:val="000000"/>
              </w:rPr>
              <w:t xml:space="preserve">(20 Geo. V No. 15) </w:t>
            </w:r>
            <w:r>
              <w:t>(as amended by No. 113 of 1970 s. 14)</w:t>
            </w:r>
          </w:p>
        </w:tc>
        <w:tc>
          <w:tcPr>
            <w:tcW w:w="1134" w:type="dxa"/>
          </w:tcPr>
          <w:p>
            <w:pPr>
              <w:pStyle w:val="nTable"/>
              <w:spacing w:after="40"/>
            </w:pPr>
            <w:r>
              <w:t>22 Nov 1929</w:t>
            </w:r>
          </w:p>
        </w:tc>
        <w:tc>
          <w:tcPr>
            <w:tcW w:w="2551" w:type="dxa"/>
          </w:tcPr>
          <w:p>
            <w:pPr>
              <w:pStyle w:val="nTable"/>
              <w:spacing w:after="40"/>
            </w:pPr>
            <w:r>
              <w:t>22 Nov 1929</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1944</w:t>
            </w:r>
          </w:p>
        </w:tc>
        <w:tc>
          <w:tcPr>
            <w:tcW w:w="1134" w:type="dxa"/>
          </w:tcPr>
          <w:p>
            <w:pPr>
              <w:pStyle w:val="nTable"/>
              <w:spacing w:after="40"/>
            </w:pPr>
            <w:r>
              <w:t xml:space="preserve">43 of 1944 </w:t>
            </w:r>
            <w:r>
              <w:rPr>
                <w:color w:val="000000"/>
              </w:rPr>
              <w:t>(8 and 9 Geo. VI No. 43)</w:t>
            </w:r>
            <w:r>
              <w:t xml:space="preserve"> (as amended by No. 113 of 1970 s. 14)</w:t>
            </w:r>
          </w:p>
        </w:tc>
        <w:tc>
          <w:tcPr>
            <w:tcW w:w="1134" w:type="dxa"/>
          </w:tcPr>
          <w:p>
            <w:pPr>
              <w:pStyle w:val="nTable"/>
              <w:spacing w:after="40"/>
            </w:pPr>
            <w:r>
              <w:t>12 Jan 1945</w:t>
            </w:r>
          </w:p>
        </w:tc>
        <w:tc>
          <w:tcPr>
            <w:tcW w:w="2551" w:type="dxa"/>
          </w:tcPr>
          <w:p>
            <w:pPr>
              <w:pStyle w:val="nTable"/>
              <w:spacing w:after="40"/>
            </w:pPr>
            <w:r>
              <w:t>Act other than s. 4(1), 7(1) and 8(1): 12 Jan 1945;</w:t>
            </w:r>
            <w:r>
              <w:br/>
              <w:t xml:space="preserve">s. 4(1), 7(1) and 8(1):  14 Mar 1945 (see s. 4(2)(i), 7(2) and 8(2) and </w:t>
            </w:r>
            <w:r>
              <w:rPr>
                <w:i/>
              </w:rPr>
              <w:t>Gazette</w:t>
            </w:r>
            <w:r>
              <w:t xml:space="preserve"> 9 Feb 1945 p. 169)</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1947</w:t>
            </w:r>
          </w:p>
        </w:tc>
        <w:tc>
          <w:tcPr>
            <w:tcW w:w="1134" w:type="dxa"/>
          </w:tcPr>
          <w:p>
            <w:pPr>
              <w:pStyle w:val="nTable"/>
              <w:spacing w:after="40"/>
            </w:pPr>
            <w:r>
              <w:t xml:space="preserve">40 of 1947 </w:t>
            </w:r>
            <w:r>
              <w:rPr>
                <w:color w:val="000000"/>
              </w:rPr>
              <w:t>(11 and 12 Geo. VI No. 40)</w:t>
            </w:r>
          </w:p>
        </w:tc>
        <w:tc>
          <w:tcPr>
            <w:tcW w:w="1134" w:type="dxa"/>
          </w:tcPr>
          <w:p>
            <w:pPr>
              <w:pStyle w:val="nTable"/>
              <w:spacing w:after="40"/>
            </w:pPr>
            <w:r>
              <w:t>11 Dec 1947</w:t>
            </w:r>
          </w:p>
        </w:tc>
        <w:tc>
          <w:tcPr>
            <w:tcW w:w="2551" w:type="dxa"/>
          </w:tcPr>
          <w:p>
            <w:pPr>
              <w:pStyle w:val="nTable"/>
              <w:spacing w:after="40"/>
            </w:pPr>
            <w:r>
              <w:t>11 Dec 1947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1955</w:t>
            </w:r>
          </w:p>
        </w:tc>
        <w:tc>
          <w:tcPr>
            <w:tcW w:w="1134" w:type="dxa"/>
          </w:tcPr>
          <w:p>
            <w:pPr>
              <w:pStyle w:val="nTable"/>
              <w:spacing w:after="40"/>
            </w:pPr>
            <w:r>
              <w:t xml:space="preserve">3 of 1955 </w:t>
            </w:r>
            <w:r>
              <w:rPr>
                <w:color w:val="000000"/>
              </w:rPr>
              <w:t>(4 Eliz. II No. 3)</w:t>
            </w:r>
          </w:p>
        </w:tc>
        <w:tc>
          <w:tcPr>
            <w:tcW w:w="1134" w:type="dxa"/>
          </w:tcPr>
          <w:p>
            <w:pPr>
              <w:pStyle w:val="nTable"/>
              <w:spacing w:after="40"/>
            </w:pPr>
            <w:r>
              <w:t>13 Oct 1955</w:t>
            </w:r>
          </w:p>
        </w:tc>
        <w:tc>
          <w:tcPr>
            <w:tcW w:w="2551" w:type="dxa"/>
          </w:tcPr>
          <w:p>
            <w:pPr>
              <w:pStyle w:val="nTable"/>
              <w:spacing w:after="40"/>
            </w:pPr>
            <w:r>
              <w:t>13 Oct 1955</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1957</w:t>
            </w:r>
          </w:p>
        </w:tc>
        <w:tc>
          <w:tcPr>
            <w:tcW w:w="1134" w:type="dxa"/>
          </w:tcPr>
          <w:p>
            <w:pPr>
              <w:pStyle w:val="nTable"/>
              <w:spacing w:after="40"/>
            </w:pPr>
            <w:r>
              <w:t xml:space="preserve">25 of 1957 </w:t>
            </w:r>
            <w:r>
              <w:rPr>
                <w:color w:val="000000"/>
              </w:rPr>
              <w:t>(6 Eliz. II No. 25)</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1964</w:t>
            </w:r>
          </w:p>
        </w:tc>
        <w:tc>
          <w:tcPr>
            <w:tcW w:w="1134" w:type="dxa"/>
          </w:tcPr>
          <w:p>
            <w:pPr>
              <w:pStyle w:val="nTable"/>
              <w:spacing w:after="40"/>
            </w:pPr>
            <w:r>
              <w:t xml:space="preserve">4 of 1964 </w:t>
            </w:r>
            <w:r>
              <w:rPr>
                <w:color w:val="000000"/>
              </w:rPr>
              <w:t>(13 Eliz. II No. 4)</w:t>
            </w:r>
          </w:p>
        </w:tc>
        <w:tc>
          <w:tcPr>
            <w:tcW w:w="1134" w:type="dxa"/>
          </w:tcPr>
          <w:p>
            <w:pPr>
              <w:pStyle w:val="nTable"/>
              <w:spacing w:after="40"/>
            </w:pPr>
            <w:r>
              <w:t>2 Oct 1964</w:t>
            </w:r>
          </w:p>
        </w:tc>
        <w:tc>
          <w:tcPr>
            <w:tcW w:w="2551" w:type="dxa"/>
          </w:tcPr>
          <w:p>
            <w:pPr>
              <w:pStyle w:val="nTable"/>
              <w:spacing w:after="40"/>
            </w:pPr>
            <w:r>
              <w:t>2 Oct 1964</w:t>
            </w:r>
          </w:p>
        </w:tc>
      </w:tr>
      <w:tr>
        <w:trPr>
          <w:cantSplit/>
        </w:trPr>
        <w:tc>
          <w:tcPr>
            <w:tcW w:w="2269"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keepNext/>
              <w:spacing w:after="40"/>
            </w:pPr>
            <w:r>
              <w:t>21 Dec 1965</w:t>
            </w:r>
          </w:p>
        </w:tc>
        <w:tc>
          <w:tcPr>
            <w:tcW w:w="2551" w:type="dxa"/>
          </w:tcPr>
          <w:p>
            <w:pPr>
              <w:pStyle w:val="nTable"/>
              <w:keepNext/>
              <w:spacing w:after="40"/>
            </w:pPr>
            <w:r>
              <w:t>Act other than s. 4</w:t>
            </w:r>
            <w:r>
              <w:noBreakHyphen/>
              <w:t>9: 21 Dec 1965 (see s. 2(1));</w:t>
            </w:r>
            <w:r>
              <w:br/>
              <w:t>s. 4</w:t>
            </w:r>
            <w:r>
              <w:noBreakHyphen/>
              <w:t>9: 14 Feb 1966 (see s. 2(2))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1969</w:t>
            </w:r>
          </w:p>
        </w:tc>
        <w:tc>
          <w:tcPr>
            <w:tcW w:w="1134" w:type="dxa"/>
          </w:tcPr>
          <w:p>
            <w:pPr>
              <w:pStyle w:val="nTable"/>
              <w:spacing w:after="40"/>
            </w:pPr>
            <w:r>
              <w:t>46 of 1969</w:t>
            </w:r>
          </w:p>
        </w:tc>
        <w:tc>
          <w:tcPr>
            <w:tcW w:w="1134" w:type="dxa"/>
          </w:tcPr>
          <w:p>
            <w:pPr>
              <w:pStyle w:val="nTable"/>
              <w:spacing w:after="40"/>
            </w:pPr>
            <w:r>
              <w:t>21 May 1969</w:t>
            </w:r>
          </w:p>
        </w:tc>
        <w:tc>
          <w:tcPr>
            <w:tcW w:w="2551" w:type="dxa"/>
          </w:tcPr>
          <w:p>
            <w:pPr>
              <w:pStyle w:val="nTable"/>
              <w:spacing w:after="40"/>
            </w:pPr>
            <w:r>
              <w:t xml:space="preserve">27 Jun 1969 (see s. 2 and </w:t>
            </w:r>
            <w:r>
              <w:rPr>
                <w:i/>
              </w:rPr>
              <w:t>Gazette</w:t>
            </w:r>
            <w:r>
              <w:t xml:space="preserve"> 27 Jun 1969 p. 1876)</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1970</w:t>
            </w:r>
          </w:p>
        </w:tc>
        <w:tc>
          <w:tcPr>
            <w:tcW w:w="1134" w:type="dxa"/>
          </w:tcPr>
          <w:p>
            <w:pPr>
              <w:pStyle w:val="nTable"/>
              <w:spacing w:after="40"/>
            </w:pPr>
            <w:r>
              <w:t>113 of 1970</w:t>
            </w:r>
          </w:p>
        </w:tc>
        <w:tc>
          <w:tcPr>
            <w:tcW w:w="1134" w:type="dxa"/>
          </w:tcPr>
          <w:p>
            <w:pPr>
              <w:pStyle w:val="nTable"/>
              <w:spacing w:after="40"/>
            </w:pPr>
            <w:r>
              <w:t>10 Dec 1970</w:t>
            </w:r>
          </w:p>
        </w:tc>
        <w:tc>
          <w:tcPr>
            <w:tcW w:w="2551" w:type="dxa"/>
          </w:tcPr>
          <w:p>
            <w:pPr>
              <w:pStyle w:val="nTable"/>
              <w:spacing w:after="40"/>
            </w:pPr>
            <w:r>
              <w:t xml:space="preserve">1 Jan 1971 (see s. 2 and </w:t>
            </w:r>
            <w:r>
              <w:rPr>
                <w:i/>
              </w:rPr>
              <w:t>Gazette</w:t>
            </w:r>
            <w:r>
              <w:t xml:space="preserve"> 15 Jan 1971 p. 98)</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approved 21 Jun 1971</w:t>
            </w:r>
            <w:r>
              <w:t xml:space="preserve"> (includes amendments listed above)</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1973</w:t>
            </w:r>
          </w:p>
        </w:tc>
        <w:tc>
          <w:tcPr>
            <w:tcW w:w="1134" w:type="dxa"/>
          </w:tcPr>
          <w:p>
            <w:pPr>
              <w:pStyle w:val="nTable"/>
              <w:spacing w:after="40"/>
            </w:pPr>
            <w:r>
              <w:t>58 of 1973</w:t>
            </w:r>
          </w:p>
        </w:tc>
        <w:tc>
          <w:tcPr>
            <w:tcW w:w="1134" w:type="dxa"/>
          </w:tcPr>
          <w:p>
            <w:pPr>
              <w:pStyle w:val="nTable"/>
              <w:spacing w:after="40"/>
            </w:pPr>
            <w:r>
              <w:t>19 Nov 1973</w:t>
            </w:r>
          </w:p>
        </w:tc>
        <w:tc>
          <w:tcPr>
            <w:tcW w:w="2551" w:type="dxa"/>
          </w:tcPr>
          <w:p>
            <w:pPr>
              <w:pStyle w:val="nTable"/>
              <w:spacing w:after="40"/>
            </w:pPr>
            <w:r>
              <w:t>1 Jan 1974 (see s. 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1975</w:t>
            </w:r>
          </w:p>
        </w:tc>
        <w:tc>
          <w:tcPr>
            <w:tcW w:w="1134" w:type="dxa"/>
          </w:tcPr>
          <w:p>
            <w:pPr>
              <w:pStyle w:val="nTable"/>
              <w:spacing w:after="40"/>
            </w:pPr>
            <w:r>
              <w:t>40 of 1975</w:t>
            </w:r>
          </w:p>
        </w:tc>
        <w:tc>
          <w:tcPr>
            <w:tcW w:w="1134" w:type="dxa"/>
          </w:tcPr>
          <w:p>
            <w:pPr>
              <w:pStyle w:val="nTable"/>
              <w:spacing w:after="40"/>
            </w:pPr>
            <w:r>
              <w:t>11 Sep 1975</w:t>
            </w:r>
          </w:p>
        </w:tc>
        <w:tc>
          <w:tcPr>
            <w:tcW w:w="2551" w:type="dxa"/>
          </w:tcPr>
          <w:p>
            <w:pPr>
              <w:pStyle w:val="nTable"/>
              <w:spacing w:after="40"/>
            </w:pPr>
            <w:r>
              <w:t>11 Sep 1975</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1976</w:t>
            </w:r>
          </w:p>
        </w:tc>
        <w:tc>
          <w:tcPr>
            <w:tcW w:w="1134" w:type="dxa"/>
          </w:tcPr>
          <w:p>
            <w:pPr>
              <w:pStyle w:val="nTable"/>
              <w:spacing w:after="40"/>
            </w:pPr>
            <w:r>
              <w:t>37 of 1976</w:t>
            </w:r>
          </w:p>
        </w:tc>
        <w:tc>
          <w:tcPr>
            <w:tcW w:w="1134" w:type="dxa"/>
          </w:tcPr>
          <w:p>
            <w:pPr>
              <w:pStyle w:val="nTable"/>
              <w:spacing w:after="40"/>
            </w:pPr>
            <w:r>
              <w:t>9 Jun 1976</w:t>
            </w:r>
          </w:p>
        </w:tc>
        <w:tc>
          <w:tcPr>
            <w:tcW w:w="2551" w:type="dxa"/>
          </w:tcPr>
          <w:p>
            <w:pPr>
              <w:pStyle w:val="nTable"/>
              <w:spacing w:after="40"/>
            </w:pPr>
            <w:r>
              <w:t>9 Jun 1976</w:t>
            </w:r>
          </w:p>
        </w:tc>
      </w:tr>
      <w:tr>
        <w:trPr>
          <w:cantSplit/>
        </w:trPr>
        <w:tc>
          <w:tcPr>
            <w:tcW w:w="2269" w:type="dxa"/>
          </w:tcPr>
          <w:p>
            <w:pPr>
              <w:pStyle w:val="nTable"/>
              <w:spacing w:after="40"/>
              <w:ind w:right="113"/>
            </w:pPr>
            <w:r>
              <w:rPr>
                <w:i/>
              </w:rPr>
              <w:t>Acts Amendment (Student Guilds and Associations) Act 1977</w:t>
            </w:r>
            <w:r>
              <w:t xml:space="preserve"> Pt. I</w:t>
            </w:r>
          </w:p>
        </w:tc>
        <w:tc>
          <w:tcPr>
            <w:tcW w:w="1134" w:type="dxa"/>
          </w:tcPr>
          <w:p>
            <w:pPr>
              <w:pStyle w:val="nTable"/>
              <w:spacing w:after="40"/>
            </w:pPr>
            <w:r>
              <w:t>61 of 1977</w:t>
            </w:r>
          </w:p>
        </w:tc>
        <w:tc>
          <w:tcPr>
            <w:tcW w:w="1134" w:type="dxa"/>
          </w:tcPr>
          <w:p>
            <w:pPr>
              <w:pStyle w:val="nTable"/>
              <w:spacing w:after="40"/>
            </w:pPr>
            <w:r>
              <w:t>23 Nov 1977</w:t>
            </w:r>
          </w:p>
        </w:tc>
        <w:tc>
          <w:tcPr>
            <w:tcW w:w="2551" w:type="dxa"/>
          </w:tcPr>
          <w:p>
            <w:pPr>
              <w:pStyle w:val="nTable"/>
              <w:spacing w:after="40"/>
            </w:pPr>
            <w:r>
              <w:t>1 Jan 1978 (see s. 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1978</w:t>
            </w:r>
          </w:p>
        </w:tc>
        <w:tc>
          <w:tcPr>
            <w:tcW w:w="1134" w:type="dxa"/>
          </w:tcPr>
          <w:p>
            <w:pPr>
              <w:pStyle w:val="nTable"/>
              <w:spacing w:after="40"/>
            </w:pPr>
            <w:r>
              <w:t>62 of 1978</w:t>
            </w:r>
          </w:p>
        </w:tc>
        <w:tc>
          <w:tcPr>
            <w:tcW w:w="1134" w:type="dxa"/>
          </w:tcPr>
          <w:p>
            <w:pPr>
              <w:pStyle w:val="nTable"/>
              <w:spacing w:after="40"/>
            </w:pPr>
            <w:r>
              <w:t>21 Sep 1978</w:t>
            </w:r>
          </w:p>
        </w:tc>
        <w:tc>
          <w:tcPr>
            <w:tcW w:w="2551" w:type="dxa"/>
          </w:tcPr>
          <w:p>
            <w:pPr>
              <w:pStyle w:val="nTable"/>
              <w:spacing w:after="40"/>
            </w:pPr>
            <w:r>
              <w:t>21 Sep 1978</w:t>
            </w:r>
          </w:p>
        </w:tc>
      </w:tr>
      <w:tr>
        <w:trPr>
          <w:cantSplit/>
        </w:trPr>
        <w:tc>
          <w:tcPr>
            <w:tcW w:w="2269" w:type="dxa"/>
          </w:tcPr>
          <w:p>
            <w:pPr>
              <w:pStyle w:val="nTable"/>
              <w:spacing w:after="40"/>
              <w:ind w:right="113"/>
              <w:rPr>
                <w:vertAlign w:val="superscript"/>
              </w:rPr>
            </w:pPr>
            <w:r>
              <w:rPr>
                <w:i/>
              </w:rPr>
              <w:t>Acts Amendment (Student Guilds and Associations) Act 1983</w:t>
            </w:r>
            <w:r>
              <w:t xml:space="preserve"> Pt. II</w:t>
            </w:r>
            <w:r>
              <w:rPr>
                <w:vertAlign w:val="superscript"/>
              </w:rPr>
              <w:t> 3</w:t>
            </w:r>
          </w:p>
        </w:tc>
        <w:tc>
          <w:tcPr>
            <w:tcW w:w="1134" w:type="dxa"/>
          </w:tcPr>
          <w:p>
            <w:pPr>
              <w:pStyle w:val="nTable"/>
              <w:spacing w:after="40"/>
            </w:pPr>
            <w:r>
              <w:t>51 of 1983</w:t>
            </w:r>
          </w:p>
        </w:tc>
        <w:tc>
          <w:tcPr>
            <w:tcW w:w="1134" w:type="dxa"/>
          </w:tcPr>
          <w:p>
            <w:pPr>
              <w:pStyle w:val="nTable"/>
              <w:spacing w:after="40"/>
            </w:pPr>
            <w:r>
              <w:t>5 Dec 1983</w:t>
            </w:r>
          </w:p>
        </w:tc>
        <w:tc>
          <w:tcPr>
            <w:tcW w:w="2551" w:type="dxa"/>
          </w:tcPr>
          <w:p>
            <w:pPr>
              <w:pStyle w:val="nTable"/>
              <w:spacing w:after="40"/>
            </w:pPr>
            <w:r>
              <w:t>5 Dec 1983</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keepNext/>
              <w:spacing w:after="40"/>
            </w:pPr>
            <w:r>
              <w:t>98 of 1985</w:t>
            </w:r>
          </w:p>
        </w:tc>
        <w:tc>
          <w:tcPr>
            <w:tcW w:w="1134" w:type="dxa"/>
          </w:tcPr>
          <w:p>
            <w:pPr>
              <w:pStyle w:val="nTable"/>
              <w:keepNext/>
              <w:spacing w:after="40"/>
            </w:pPr>
            <w:r>
              <w:t>4 Dec 1985</w:t>
            </w:r>
          </w:p>
        </w:tc>
        <w:tc>
          <w:tcPr>
            <w:tcW w:w="2551" w:type="dxa"/>
          </w:tcPr>
          <w:p>
            <w:pPr>
              <w:pStyle w:val="nTable"/>
              <w:keepNext/>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 xml:space="preserve">Acts Amendment (Education) Act 1988 </w:t>
            </w:r>
            <w:r>
              <w:t>Pt. 13</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69" w:type="dxa"/>
          </w:tcPr>
          <w:p>
            <w:pPr>
              <w:pStyle w:val="nTable"/>
              <w:spacing w:after="40"/>
              <w:ind w:right="113"/>
            </w:pPr>
            <w:r>
              <w:rPr>
                <w:i/>
              </w:rPr>
              <w:t>Financial Administration and Audit Amendment Act 1990</w:t>
            </w:r>
            <w:r>
              <w:t xml:space="preserve"> s. 39(4)</w:t>
            </w:r>
          </w:p>
        </w:tc>
        <w:tc>
          <w:tcPr>
            <w:tcW w:w="1134" w:type="dxa"/>
          </w:tcPr>
          <w:p>
            <w:pPr>
              <w:pStyle w:val="nTable"/>
              <w:spacing w:after="40"/>
            </w:pPr>
            <w:r>
              <w:t>92 of 1990</w:t>
            </w:r>
          </w:p>
        </w:tc>
        <w:tc>
          <w:tcPr>
            <w:tcW w:w="1134" w:type="dxa"/>
          </w:tcPr>
          <w:p>
            <w:pPr>
              <w:pStyle w:val="nTable"/>
              <w:spacing w:after="40"/>
            </w:pPr>
            <w:r>
              <w:t>20 Dec 1990</w:t>
            </w:r>
          </w:p>
        </w:tc>
        <w:tc>
          <w:tcPr>
            <w:tcW w:w="2551" w:type="dxa"/>
          </w:tcPr>
          <w:p>
            <w:pPr>
              <w:pStyle w:val="nTable"/>
              <w:spacing w:after="40"/>
            </w:pPr>
            <w:r>
              <w:t xml:space="preserve">8 Mar 1991 (see s. 2 and </w:t>
            </w:r>
            <w:r>
              <w:rPr>
                <w:i/>
              </w:rPr>
              <w:t>Gazette</w:t>
            </w:r>
            <w:r>
              <w:t xml:space="preserve"> 8 Mar 1991 p. 1029)</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31 Mar 1993</w:t>
            </w:r>
            <w:r>
              <w:t xml:space="preserve"> (includes amendments listed above) (correction in </w:t>
            </w:r>
            <w:r>
              <w:rPr>
                <w:i/>
              </w:rPr>
              <w:t>Gazette</w:t>
            </w:r>
            <w:r>
              <w:t xml:space="preserve"> 4 May 1993 p. 2297)</w:t>
            </w:r>
          </w:p>
        </w:tc>
      </w:tr>
      <w:tr>
        <w:trPr>
          <w:cantSplit/>
        </w:trPr>
        <w:tc>
          <w:tcPr>
            <w:tcW w:w="2269"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9" w:type="dxa"/>
          </w:tcPr>
          <w:p>
            <w:pPr>
              <w:pStyle w:val="nTable"/>
              <w:spacing w:after="40"/>
              <w:ind w:right="113"/>
              <w:rPr>
                <w:vertAlign w:val="superscript"/>
              </w:rPr>
            </w:pPr>
            <w:r>
              <w:rPr>
                <w:i/>
              </w:rPr>
              <w:t>Voluntary Membership of Student Guilds and Associations Act 1994</w:t>
            </w:r>
            <w:r>
              <w:t xml:space="preserve"> Pt. 7</w:t>
            </w:r>
            <w:r>
              <w:rPr>
                <w:vertAlign w:val="superscript"/>
              </w:rPr>
              <w:t> 5</w:t>
            </w:r>
          </w:p>
        </w:tc>
        <w:tc>
          <w:tcPr>
            <w:tcW w:w="1134" w:type="dxa"/>
          </w:tcPr>
          <w:p>
            <w:pPr>
              <w:pStyle w:val="nTable"/>
              <w:spacing w:after="40"/>
            </w:pPr>
            <w:r>
              <w:t>91 of 1994</w:t>
            </w:r>
          </w:p>
        </w:tc>
        <w:tc>
          <w:tcPr>
            <w:tcW w:w="1134" w:type="dxa"/>
          </w:tcPr>
          <w:p>
            <w:pPr>
              <w:pStyle w:val="nTable"/>
              <w:spacing w:after="40"/>
            </w:pPr>
            <w:r>
              <w:t>5 Jan 1995</w:t>
            </w:r>
          </w:p>
        </w:tc>
        <w:tc>
          <w:tcPr>
            <w:tcW w:w="2551" w:type="dxa"/>
          </w:tcPr>
          <w:p>
            <w:pPr>
              <w:pStyle w:val="nTable"/>
              <w:spacing w:after="40"/>
            </w:pPr>
            <w:r>
              <w:t>5 Jan 1995 (see s. 2)</w:t>
            </w:r>
          </w:p>
        </w:tc>
      </w:tr>
      <w:tr>
        <w:trPr>
          <w:cantSplit/>
        </w:trPr>
        <w:tc>
          <w:tcPr>
            <w:tcW w:w="2269" w:type="dxa"/>
          </w:tcPr>
          <w:p>
            <w:pPr>
              <w:pStyle w:val="nTable"/>
              <w:spacing w:after="40"/>
              <w:ind w:right="113"/>
            </w:pPr>
            <w:r>
              <w:rPr>
                <w:i/>
              </w:rPr>
              <w:t>Sentencing (Consequential Provisions) Act 1995</w:t>
            </w:r>
            <w:r>
              <w:t xml:space="preserve"> Pt. 78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13"/>
            </w:pPr>
            <w:r>
              <w:rPr>
                <w:i/>
              </w:rPr>
              <w:t>Education Amendment Act 1996</w:t>
            </w:r>
            <w:r>
              <w:t xml:space="preserve"> s. 16(12)</w:t>
            </w:r>
          </w:p>
        </w:tc>
        <w:tc>
          <w:tcPr>
            <w:tcW w:w="1134" w:type="dxa"/>
          </w:tcPr>
          <w:p>
            <w:pPr>
              <w:pStyle w:val="nTable"/>
              <w:spacing w:after="40"/>
            </w:pPr>
            <w:r>
              <w:t>22 of 1996</w:t>
            </w:r>
          </w:p>
        </w:tc>
        <w:tc>
          <w:tcPr>
            <w:tcW w:w="1134" w:type="dxa"/>
          </w:tcPr>
          <w:p>
            <w:pPr>
              <w:pStyle w:val="nTable"/>
              <w:spacing w:after="40"/>
            </w:pPr>
            <w:r>
              <w:t>11 Jul 1996</w:t>
            </w:r>
          </w:p>
        </w:tc>
        <w:tc>
          <w:tcPr>
            <w:tcW w:w="2551" w:type="dxa"/>
          </w:tcPr>
          <w:p>
            <w:pPr>
              <w:pStyle w:val="nTable"/>
              <w:spacing w:after="40"/>
            </w:pPr>
            <w:r>
              <w:t>11 Jul 1996 (see s. 2(1))</w:t>
            </w:r>
          </w:p>
        </w:tc>
      </w:tr>
      <w:tr>
        <w:trPr>
          <w:cantSplit/>
        </w:trPr>
        <w:tc>
          <w:tcPr>
            <w:tcW w:w="2269"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9" w:type="dxa"/>
          </w:tcPr>
          <w:p>
            <w:pPr>
              <w:pStyle w:val="nTable"/>
              <w:spacing w:after="40"/>
              <w:ind w:right="113"/>
            </w:pPr>
            <w:r>
              <w:rPr>
                <w:i/>
              </w:rPr>
              <w:t>Statutes (Repeals and Minor Amendments) Act 1997</w:t>
            </w:r>
            <w:r>
              <w:t xml:space="preserve"> s. 124</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9" w:type="dxa"/>
          </w:tcPr>
          <w:p>
            <w:pPr>
              <w:pStyle w:val="nTable"/>
              <w:spacing w:after="40"/>
              <w:ind w:right="113"/>
            </w:pPr>
            <w:r>
              <w:rPr>
                <w:i/>
              </w:rPr>
              <w:t>Statutes (Repeals and Minor Amendments) Act (No. 2) 1998</w:t>
            </w:r>
            <w:r>
              <w:t xml:space="preserve"> s. 70</w:t>
            </w:r>
          </w:p>
        </w:tc>
        <w:tc>
          <w:tcPr>
            <w:tcW w:w="1134" w:type="dxa"/>
          </w:tcPr>
          <w:p>
            <w:pPr>
              <w:pStyle w:val="nTable"/>
              <w:keepNext/>
              <w:keepLines/>
              <w:spacing w:after="40"/>
            </w:pPr>
            <w:r>
              <w:t>10 of 1998</w:t>
            </w:r>
          </w:p>
        </w:tc>
        <w:tc>
          <w:tcPr>
            <w:tcW w:w="1134" w:type="dxa"/>
          </w:tcPr>
          <w:p>
            <w:pPr>
              <w:pStyle w:val="nTable"/>
              <w:keepNext/>
              <w:keepLines/>
              <w:spacing w:after="40"/>
            </w:pPr>
            <w:r>
              <w:t>30 Apr 1998</w:t>
            </w:r>
          </w:p>
        </w:tc>
        <w:tc>
          <w:tcPr>
            <w:tcW w:w="2551" w:type="dxa"/>
          </w:tcPr>
          <w:p>
            <w:pPr>
              <w:pStyle w:val="nTable"/>
              <w:keepNext/>
              <w:keepLines/>
              <w:spacing w:after="40"/>
            </w:pPr>
            <w:r>
              <w:t>30 Apr 1998 (see s. 2(1))</w:t>
            </w:r>
          </w:p>
        </w:tc>
      </w:tr>
      <w:tr>
        <w:trPr>
          <w:cantSplit/>
        </w:trPr>
        <w:tc>
          <w:tcPr>
            <w:tcW w:w="2269" w:type="dxa"/>
          </w:tcPr>
          <w:p>
            <w:pPr>
              <w:pStyle w:val="nTable"/>
              <w:spacing w:after="40"/>
              <w:ind w:right="113"/>
              <w:rPr>
                <w:i/>
              </w:rPr>
            </w:pPr>
            <w:r>
              <w:rPr>
                <w:i/>
              </w:rPr>
              <w:t>School Education Act 1999</w:t>
            </w:r>
            <w:r>
              <w:t xml:space="preserve"> s. 247</w:t>
            </w:r>
          </w:p>
        </w:tc>
        <w:tc>
          <w:tcPr>
            <w:tcW w:w="1134" w:type="dxa"/>
          </w:tcPr>
          <w:p>
            <w:pPr>
              <w:pStyle w:val="nTable"/>
              <w:keepNext/>
              <w:keepLines/>
              <w:spacing w:after="40"/>
            </w:pPr>
            <w:r>
              <w:t>36 of 1999</w:t>
            </w:r>
          </w:p>
        </w:tc>
        <w:tc>
          <w:tcPr>
            <w:tcW w:w="1134" w:type="dxa"/>
          </w:tcPr>
          <w:p>
            <w:pPr>
              <w:pStyle w:val="nTable"/>
              <w:keepNext/>
              <w:keepLines/>
              <w:spacing w:after="40"/>
            </w:pPr>
            <w:r>
              <w:t>2 Nov 1999</w:t>
            </w:r>
          </w:p>
        </w:tc>
        <w:tc>
          <w:tcPr>
            <w:tcW w:w="2551" w:type="dxa"/>
          </w:tcPr>
          <w:p>
            <w:pPr>
              <w:pStyle w:val="nTable"/>
              <w:keepNext/>
              <w:keepLines/>
              <w:spacing w:after="40"/>
            </w:pPr>
            <w:r>
              <w:t xml:space="preserve">1 Jan 2001 (see s. 2 and </w:t>
            </w:r>
            <w:r>
              <w:rPr>
                <w:i/>
              </w:rPr>
              <w:t>Gazette</w:t>
            </w:r>
            <w:r>
              <w:t xml:space="preserve"> 29 Dec 2000 p. 7904)</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11 Feb 2000</w:t>
            </w:r>
            <w:r>
              <w:t xml:space="preserve"> (includes amendments listed above except those in the </w:t>
            </w:r>
            <w:r>
              <w:rPr>
                <w:i/>
              </w:rPr>
              <w:t>School Education Act 1999</w:t>
            </w:r>
            <w:r>
              <w:t>)</w:t>
            </w:r>
          </w:p>
        </w:tc>
      </w:tr>
      <w:tr>
        <w:trPr>
          <w:cantSplit/>
        </w:trPr>
        <w:tc>
          <w:tcPr>
            <w:tcW w:w="2269" w:type="dxa"/>
          </w:tcPr>
          <w:p>
            <w:pPr>
              <w:pStyle w:val="nTable"/>
              <w:spacing w:after="40"/>
              <w:ind w:right="113"/>
              <w:rPr>
                <w:vertAlign w:val="superscript"/>
              </w:rPr>
            </w:pPr>
            <w:r>
              <w:rPr>
                <w:i/>
              </w:rPr>
              <w:t xml:space="preserve">Universities Legislation Amendment Act 2000 </w:t>
            </w:r>
            <w:r>
              <w:t>Pt. 3</w:t>
            </w:r>
            <w:r>
              <w:rPr>
                <w:vertAlign w:val="superscript"/>
              </w:rPr>
              <w:t> 6</w:t>
            </w:r>
          </w:p>
        </w:tc>
        <w:tc>
          <w:tcPr>
            <w:tcW w:w="1134" w:type="dxa"/>
          </w:tcPr>
          <w:p>
            <w:pPr>
              <w:pStyle w:val="nTable"/>
              <w:keepNext/>
              <w:keepLines/>
              <w:spacing w:after="40"/>
            </w:pPr>
            <w:r>
              <w:t>75 of 2000</w:t>
            </w:r>
          </w:p>
        </w:tc>
        <w:tc>
          <w:tcPr>
            <w:tcW w:w="1134" w:type="dxa"/>
          </w:tcPr>
          <w:p>
            <w:pPr>
              <w:pStyle w:val="nTable"/>
              <w:keepNext/>
              <w:keepLines/>
              <w:spacing w:after="40"/>
            </w:pPr>
            <w:r>
              <w:t>7 Dec 2000</w:t>
            </w:r>
          </w:p>
        </w:tc>
        <w:tc>
          <w:tcPr>
            <w:tcW w:w="2551" w:type="dxa"/>
          </w:tcPr>
          <w:p>
            <w:pPr>
              <w:pStyle w:val="nTable"/>
              <w:keepNext/>
              <w:keepLines/>
              <w:spacing w:after="40"/>
            </w:pPr>
            <w:r>
              <w:t xml:space="preserve">13 Jan 2001 (see s. 2 and </w:t>
            </w:r>
            <w:r>
              <w:rPr>
                <w:i/>
              </w:rPr>
              <w:t>Gazette</w:t>
            </w:r>
            <w:r>
              <w:t xml:space="preserve"> 12 Jan 2001 p. 245)</w:t>
            </w:r>
          </w:p>
        </w:tc>
      </w:tr>
      <w:tr>
        <w:trPr>
          <w:cantSplit/>
        </w:trPr>
        <w:tc>
          <w:tcPr>
            <w:tcW w:w="2269" w:type="dxa"/>
          </w:tcPr>
          <w:p>
            <w:pPr>
              <w:pStyle w:val="nTable"/>
              <w:spacing w:after="40"/>
              <w:ind w:right="113"/>
              <w:rPr>
                <w:i/>
              </w:rPr>
            </w:pPr>
            <w:r>
              <w:rPr>
                <w:i/>
                <w:snapToGrid w:val="0"/>
              </w:rPr>
              <w:t xml:space="preserve">Acts Amendment (Student Guilds and Associations) Act 2002 </w:t>
            </w:r>
            <w:r>
              <w:rPr>
                <w:snapToGrid w:val="0"/>
              </w:rPr>
              <w:t>Pt. 6</w:t>
            </w:r>
          </w:p>
        </w:tc>
        <w:tc>
          <w:tcPr>
            <w:tcW w:w="1134" w:type="dxa"/>
          </w:tcPr>
          <w:p>
            <w:pPr>
              <w:pStyle w:val="nTable"/>
              <w:keepNext/>
              <w:keepLines/>
              <w:spacing w:after="40"/>
            </w:pPr>
            <w:r>
              <w:t>44 of 2002</w:t>
            </w:r>
          </w:p>
        </w:tc>
        <w:tc>
          <w:tcPr>
            <w:tcW w:w="1134" w:type="dxa"/>
          </w:tcPr>
          <w:p>
            <w:pPr>
              <w:pStyle w:val="nTable"/>
              <w:keepNext/>
              <w:keepLines/>
              <w:spacing w:after="40"/>
            </w:pPr>
            <w:r>
              <w:t>3 Jan 2003</w:t>
            </w:r>
          </w:p>
        </w:tc>
        <w:tc>
          <w:tcPr>
            <w:tcW w:w="2551" w:type="dxa"/>
          </w:tcPr>
          <w:p>
            <w:pPr>
              <w:pStyle w:val="nTable"/>
              <w:keepNext/>
              <w:keepLines/>
              <w:spacing w:after="40"/>
            </w:pPr>
            <w:r>
              <w:t xml:space="preserve">25 Jan 2003 (see s. 2 and </w:t>
            </w:r>
            <w:r>
              <w:rPr>
                <w:i/>
              </w:rPr>
              <w:t>Gazette</w:t>
            </w:r>
            <w:r>
              <w:t xml:space="preserve"> 24 Jan 2003 p. 141)</w:t>
            </w:r>
          </w:p>
        </w:tc>
      </w:tr>
      <w:tr>
        <w:trPr>
          <w:cantSplit/>
        </w:trPr>
        <w:tc>
          <w:tcPr>
            <w:tcW w:w="2269" w:type="dxa"/>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4"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keepLines/>
              <w:spacing w:after="40"/>
              <w:rPr>
                <w:snapToGrid w:val="0"/>
              </w:rPr>
            </w:pPr>
            <w:r>
              <w:rPr>
                <w:snapToGrid w:val="0"/>
              </w:rPr>
              <w:t>84 of 2004</w:t>
            </w:r>
          </w:p>
        </w:tc>
        <w:tc>
          <w:tcPr>
            <w:tcW w:w="1134" w:type="dxa"/>
          </w:tcPr>
          <w:p>
            <w:pPr>
              <w:pStyle w:val="nTable"/>
              <w:keepNext/>
              <w:keepLines/>
              <w:spacing w:after="40"/>
            </w:pPr>
            <w:r>
              <w:t>16 Dec 2004</w:t>
            </w:r>
          </w:p>
        </w:tc>
        <w:tc>
          <w:tcPr>
            <w:tcW w:w="2551" w:type="dxa"/>
          </w:tcPr>
          <w:p>
            <w:pPr>
              <w:pStyle w:val="nTable"/>
              <w:keepNext/>
              <w:keepLines/>
              <w:spacing w:after="40"/>
              <w:rPr>
                <w:snapToGrid w:val="0"/>
              </w:rPr>
            </w:pPr>
            <w:r>
              <w:t xml:space="preserve">2 May 2005 (see s. 2 and </w:t>
            </w:r>
            <w:r>
              <w:rPr>
                <w:i/>
                <w:iCs/>
              </w:rPr>
              <w:t xml:space="preserve">Gazette </w:t>
            </w:r>
            <w:r>
              <w:t xml:space="preserve">31 Dec 2004 p. 7129 (correction in </w:t>
            </w:r>
            <w:r>
              <w:rPr>
                <w:i/>
                <w:iCs/>
              </w:rPr>
              <w:t>Gazette</w:t>
            </w:r>
            <w:r>
              <w:t xml:space="preserve"> 7 Jan 2005 p. 53))</w:t>
            </w:r>
          </w:p>
        </w:tc>
      </w:tr>
      <w:tr>
        <w:trPr>
          <w:cantSplit/>
        </w:trPr>
        <w:tc>
          <w:tcPr>
            <w:tcW w:w="2269" w:type="dxa"/>
          </w:tcPr>
          <w:p>
            <w:pPr>
              <w:pStyle w:val="nTable"/>
              <w:spacing w:after="40"/>
              <w:ind w:right="113"/>
              <w:rPr>
                <w:i/>
                <w:snapToGrid w:val="0"/>
              </w:rPr>
            </w:pPr>
            <w:r>
              <w:rPr>
                <w:i/>
              </w:rPr>
              <w:t>Universities Legislation Amendment Act 2005</w:t>
            </w:r>
            <w:r>
              <w:t xml:space="preserve"> Pt. 6</w:t>
            </w:r>
            <w:r>
              <w:rPr>
                <w:vertAlign w:val="superscript"/>
              </w:rPr>
              <w:t> 7</w:t>
            </w:r>
          </w:p>
        </w:tc>
        <w:tc>
          <w:tcPr>
            <w:tcW w:w="1134" w:type="dxa"/>
          </w:tcPr>
          <w:p>
            <w:pPr>
              <w:pStyle w:val="nTable"/>
              <w:spacing w:after="40"/>
              <w:rPr>
                <w:snapToGrid w:val="0"/>
              </w:rPr>
            </w:pPr>
            <w:r>
              <w:t>8 of 2005</w:t>
            </w:r>
          </w:p>
        </w:tc>
        <w:tc>
          <w:tcPr>
            <w:tcW w:w="1134" w:type="dxa"/>
          </w:tcPr>
          <w:p>
            <w:pPr>
              <w:pStyle w:val="nTable"/>
              <w:spacing w:after="40"/>
            </w:pPr>
            <w:r>
              <w:t>7 Jul 2005</w:t>
            </w:r>
          </w:p>
        </w:tc>
        <w:tc>
          <w:tcPr>
            <w:tcW w:w="2551" w:type="dxa"/>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7088" w:type="dxa"/>
            <w:gridSpan w:val="4"/>
          </w:tcPr>
          <w:p>
            <w:pPr>
              <w:pStyle w:val="nTable"/>
              <w:spacing w:after="40"/>
              <w:rPr>
                <w:snapToGrid w:val="0"/>
              </w:rPr>
            </w:pPr>
            <w:r>
              <w:rPr>
                <w:b/>
              </w:rPr>
              <w:t xml:space="preserve">Reprint 4: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18 Nov 2005</w:t>
            </w:r>
            <w:r>
              <w:t xml:space="preserve"> (includes amendments listed above) </w:t>
            </w:r>
          </w:p>
        </w:tc>
      </w:tr>
      <w:tr>
        <w:trPr>
          <w:cantSplit/>
        </w:trPr>
        <w:tc>
          <w:tcPr>
            <w:tcW w:w="2269" w:type="dxa"/>
          </w:tcPr>
          <w:p>
            <w:pPr>
              <w:pStyle w:val="nTable"/>
              <w:spacing w:after="40"/>
              <w:ind w:right="113"/>
              <w:rPr>
                <w:snapToGrid w:val="0"/>
              </w:rPr>
            </w:pPr>
            <w:r>
              <w:rPr>
                <w:i/>
                <w:snapToGrid w:val="0"/>
              </w:rPr>
              <w:t>Statute Law Revision Act 2006</w:t>
            </w:r>
            <w:r>
              <w:rPr>
                <w:snapToGrid w:val="0"/>
              </w:rPr>
              <w:t xml:space="preserve"> s. 9</w:t>
            </w:r>
          </w:p>
        </w:tc>
        <w:tc>
          <w:tcPr>
            <w:tcW w:w="1134" w:type="dxa"/>
          </w:tcPr>
          <w:p>
            <w:pPr>
              <w:pStyle w:val="nTable"/>
              <w:spacing w:after="40"/>
              <w:rPr>
                <w:snapToGrid w:val="0"/>
              </w:rPr>
            </w:pPr>
            <w:r>
              <w:rPr>
                <w:snapToGrid w:val="0"/>
              </w:rPr>
              <w:t>37 of 2006</w:t>
            </w:r>
          </w:p>
        </w:tc>
        <w:tc>
          <w:tcPr>
            <w:tcW w:w="1134" w:type="dxa"/>
          </w:tcPr>
          <w:p>
            <w:pPr>
              <w:pStyle w:val="nTable"/>
              <w:spacing w:after="40"/>
            </w:pPr>
            <w:r>
              <w:t>4 Jul 2006</w:t>
            </w:r>
          </w:p>
        </w:tc>
        <w:tc>
          <w:tcPr>
            <w:tcW w:w="2551" w:type="dxa"/>
          </w:tcPr>
          <w:p>
            <w:pPr>
              <w:pStyle w:val="nTable"/>
              <w:spacing w:after="40"/>
            </w:pPr>
            <w:r>
              <w:t>4 Jul 2006 (see s. 2)</w:t>
            </w:r>
          </w:p>
        </w:tc>
      </w:tr>
      <w:tr>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 and Sch. 1 cl. 172</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rPr>
              <w:t>Gazette</w:t>
            </w:r>
            <w: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86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48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5: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10 Dec 2010</w:t>
            </w:r>
            <w:r>
              <w:t xml:space="preserve"> (includes amendments listed above)</w:t>
            </w:r>
          </w:p>
        </w:tc>
      </w:tr>
      <w:tr>
        <w:trPr>
          <w:cantSplit/>
        </w:trPr>
        <w:tc>
          <w:tcPr>
            <w:tcW w:w="2269" w:type="dxa"/>
          </w:tcPr>
          <w:p>
            <w:pPr>
              <w:pStyle w:val="nTable"/>
              <w:spacing w:after="40"/>
              <w:ind w:right="113"/>
              <w:rPr>
                <w:i/>
                <w:snapToGrid w:val="0"/>
              </w:rPr>
            </w:pPr>
            <w:r>
              <w:rPr>
                <w:i/>
                <w:snapToGrid w:val="0"/>
              </w:rPr>
              <w:t xml:space="preserve">Road Traffic Legislation Amendment Act 2012 </w:t>
            </w:r>
            <w:r>
              <w:rPr>
                <w:snapToGrid w:val="0"/>
              </w:rPr>
              <w:t>Pt. 4 Div. 52</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tcBorders>
              <w:bottom w:val="single" w:sz="4" w:space="0" w:color="auto"/>
            </w:tcBorders>
          </w:tcPr>
          <w:p>
            <w:pPr>
              <w:pStyle w:val="nTable"/>
              <w:spacing w:after="40"/>
              <w:ind w:right="113"/>
              <w:rPr>
                <w:iCs/>
                <w:snapToGrid w:val="0"/>
              </w:rPr>
            </w:pPr>
            <w:r>
              <w:rPr>
                <w:i/>
                <w:snapToGrid w:val="0"/>
              </w:rPr>
              <w:t>Statutes (Repeals) Act 2014</w:t>
            </w:r>
            <w:r>
              <w:rPr>
                <w:snapToGrid w:val="0"/>
              </w:rPr>
              <w:t xml:space="preserve"> s. 13</w:t>
            </w:r>
          </w:p>
        </w:tc>
        <w:tc>
          <w:tcPr>
            <w:tcW w:w="1134" w:type="dxa"/>
            <w:tcBorders>
              <w:bottom w:val="single" w:sz="4" w:space="0" w:color="auto"/>
            </w:tcBorders>
          </w:tcPr>
          <w:p>
            <w:pPr>
              <w:pStyle w:val="nTable"/>
              <w:spacing w:after="40"/>
              <w:rPr>
                <w:snapToGrid w:val="0"/>
              </w:rPr>
            </w:pPr>
            <w:r>
              <w:rPr>
                <w:snapToGrid w:val="0"/>
              </w:rPr>
              <w:t>32 of 2014</w:t>
            </w:r>
          </w:p>
        </w:tc>
        <w:tc>
          <w:tcPr>
            <w:tcW w:w="1134" w:type="dxa"/>
            <w:tcBorders>
              <w:bottom w:val="single" w:sz="4" w:space="0" w:color="auto"/>
            </w:tcBorders>
          </w:tcPr>
          <w:p>
            <w:pPr>
              <w:pStyle w:val="nTable"/>
              <w:spacing w:after="40"/>
              <w:rPr>
                <w:snapToGrid w:val="0"/>
              </w:rPr>
            </w:pPr>
            <w:r>
              <w:rPr>
                <w:snapToGrid w:val="0"/>
              </w:rPr>
              <w:t>3 Dec 2014</w:t>
            </w:r>
          </w:p>
        </w:tc>
        <w:tc>
          <w:tcPr>
            <w:tcW w:w="2551" w:type="dxa"/>
            <w:tcBorders>
              <w:bottom w:val="single" w:sz="4" w:space="0" w:color="auto"/>
            </w:tcBorders>
          </w:tcPr>
          <w:p>
            <w:pPr>
              <w:pStyle w:val="nTable"/>
              <w:spacing w:after="40"/>
              <w:rPr>
                <w:snapToGrid w:val="0"/>
              </w:rPr>
            </w:pPr>
            <w:r>
              <w:rPr>
                <w:snapToGrid w:val="0"/>
              </w:rPr>
              <w:t>4 Dec 2014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8" w:name="_Toc378171673"/>
      <w:bookmarkStart w:id="269" w:name="_Toc416685757"/>
      <w:bookmarkStart w:id="270" w:name="_Toc465084231"/>
      <w:r>
        <w:t>Provisions that have not come into operation</w:t>
      </w:r>
      <w:bookmarkEnd w:id="268"/>
      <w:bookmarkEnd w:id="269"/>
      <w:bookmarkEnd w:id="270"/>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rPr>
            </w:pPr>
            <w:r>
              <w:rPr>
                <w:b/>
              </w:rPr>
              <w:t>Short title</w:t>
            </w:r>
          </w:p>
        </w:tc>
        <w:tc>
          <w:tcPr>
            <w:tcW w:w="1135" w:type="dxa"/>
            <w:tcBorders>
              <w:top w:val="single" w:sz="8" w:space="0" w:color="auto"/>
              <w:bottom w:val="single" w:sz="4" w:space="0" w:color="auto"/>
            </w:tcBorders>
          </w:tcPr>
          <w:p>
            <w:pPr>
              <w:pStyle w:val="nTable"/>
              <w:keepNext/>
              <w:keepLines/>
              <w:spacing w:after="40"/>
              <w:rPr>
                <w:b/>
              </w:rPr>
            </w:pPr>
            <w:r>
              <w:rPr>
                <w:b/>
              </w:rPr>
              <w:t>Number and year</w:t>
            </w:r>
          </w:p>
        </w:tc>
        <w:tc>
          <w:tcPr>
            <w:tcW w:w="1135" w:type="dxa"/>
            <w:tcBorders>
              <w:top w:val="single" w:sz="8" w:space="0" w:color="auto"/>
              <w:bottom w:val="single" w:sz="4" w:space="0" w:color="auto"/>
            </w:tcBorders>
          </w:tcPr>
          <w:p>
            <w:pPr>
              <w:pStyle w:val="nTable"/>
              <w:keepNext/>
              <w:keepLines/>
              <w:spacing w:after="40"/>
              <w:rPr>
                <w:b/>
              </w:rPr>
            </w:pPr>
            <w:r>
              <w:rPr>
                <w:b/>
              </w:rPr>
              <w:t>Assent</w:t>
            </w:r>
          </w:p>
        </w:tc>
        <w:tc>
          <w:tcPr>
            <w:tcW w:w="2564"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46" w:type="dxa"/>
            <w:tcBorders>
              <w:bottom w:val="single" w:sz="4" w:space="0" w:color="auto"/>
            </w:tcBorders>
          </w:tcPr>
          <w:p>
            <w:pPr>
              <w:pStyle w:val="nTable"/>
              <w:spacing w:after="40"/>
              <w:ind w:right="113"/>
              <w:rPr>
                <w:i/>
                <w:snapToGrid w:val="0"/>
              </w:rPr>
            </w:pPr>
            <w:r>
              <w:rPr>
                <w:i/>
                <w:snapToGrid w:val="0"/>
              </w:rPr>
              <w:t>Universities Legislation Amendment Act 2016</w:t>
            </w:r>
            <w:r>
              <w:rPr>
                <w:snapToGrid w:val="0"/>
              </w:rPr>
              <w:t xml:space="preserve"> Pt. 6 </w:t>
            </w:r>
            <w:r>
              <w:rPr>
                <w:snapToGrid w:val="0"/>
                <w:vertAlign w:val="superscript"/>
              </w:rPr>
              <w:t>8</w:t>
            </w:r>
          </w:p>
        </w:tc>
        <w:tc>
          <w:tcPr>
            <w:tcW w:w="1135" w:type="dxa"/>
            <w:tcBorders>
              <w:bottom w:val="single" w:sz="4" w:space="0" w:color="auto"/>
            </w:tcBorders>
          </w:tcPr>
          <w:p>
            <w:pPr>
              <w:pStyle w:val="nTable"/>
              <w:keepNext/>
              <w:keepLines/>
              <w:spacing w:after="40"/>
            </w:pPr>
            <w:r>
              <w:t>32 of 2016</w:t>
            </w:r>
          </w:p>
        </w:tc>
        <w:tc>
          <w:tcPr>
            <w:tcW w:w="1135" w:type="dxa"/>
            <w:tcBorders>
              <w:bottom w:val="single" w:sz="4" w:space="0" w:color="auto"/>
            </w:tcBorders>
          </w:tcPr>
          <w:p>
            <w:pPr>
              <w:pStyle w:val="nTable"/>
              <w:keepNext/>
              <w:keepLines/>
              <w:spacing w:after="40"/>
            </w:pPr>
            <w:r>
              <w:t>19 Oct 2016</w:t>
            </w:r>
          </w:p>
        </w:tc>
        <w:tc>
          <w:tcPr>
            <w:tcW w:w="2564" w:type="dxa"/>
            <w:tcBorders>
              <w:bottom w:val="single" w:sz="4" w:space="0" w:color="auto"/>
            </w:tcBorders>
          </w:tcPr>
          <w:p>
            <w:pPr>
              <w:pStyle w:val="nTable"/>
              <w:keepNext/>
              <w:keepLines/>
              <w:spacing w:after="40"/>
            </w:pPr>
            <w:r>
              <w:t xml:space="preserve">Pt. 6 (other than s. 139): 2 Jan 2017 (see s. 2(b) and </w:t>
            </w:r>
            <w:r>
              <w:rPr>
                <w:i/>
              </w:rPr>
              <w:t>Gazette</w:t>
            </w:r>
            <w:r>
              <w:t xml:space="preserve"> 9 Dec 2016 p. 5557);</w:t>
            </w:r>
            <w:r>
              <w:br/>
              <w:t xml:space="preserve">s. 139: 1 Oct 2017 (see s. 2(b) and </w:t>
            </w:r>
            <w:r>
              <w:rPr>
                <w:i/>
              </w:rPr>
              <w:t>Gazette</w:t>
            </w:r>
            <w:r>
              <w:t xml:space="preserve"> 9 Dec 2016 p. 5557)</w:t>
            </w:r>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BlankOpen"/>
        <w:rPr>
          <w:snapToGrid w:val="0"/>
        </w:rPr>
      </w:pP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BlankClose"/>
        <w:rPr>
          <w:snapToGrid w:val="0"/>
        </w:rPr>
      </w:pP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is a transitional provision that is of no further effect. </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BlankOpen"/>
        <w:rPr>
          <w:snapToGrid w:val="0"/>
        </w:rPr>
      </w:pPr>
    </w:p>
    <w:p>
      <w:pPr>
        <w:pStyle w:val="nzHeading5"/>
      </w:pPr>
      <w:r>
        <w:rPr>
          <w:rStyle w:val="CharSectno"/>
        </w:rPr>
        <w:t>53</w:t>
      </w:r>
      <w:r>
        <w:t>.</w:t>
      </w:r>
      <w:r>
        <w:tab/>
        <w:t>Transitional provisions</w:t>
      </w:r>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 Senate</w:t>
          </w:r>
        </w:smartTag>
      </w:smartTag>
      <w:r>
        <w:t>.</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keepLines/>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p>
    <w:p>
      <w:pPr>
        <w:ind w:left="567" w:hanging="567"/>
        <w:rPr>
          <w:snapToGrid w:val="0"/>
          <w:sz w:val="20"/>
        </w:rPr>
      </w:pPr>
      <w:r>
        <w:rPr>
          <w:snapToGrid w:val="0"/>
          <w:sz w:val="20"/>
          <w:vertAlign w:val="superscript"/>
        </w:rPr>
        <w:t>8</w:t>
      </w:r>
      <w:r>
        <w:rPr>
          <w:snapToGrid w:val="0"/>
          <w:sz w:val="20"/>
        </w:rPr>
        <w:tab/>
        <w:t xml:space="preserve">On the date as at which this compilation was prepared, the </w:t>
      </w:r>
      <w:r>
        <w:rPr>
          <w:i/>
          <w:snapToGrid w:val="0"/>
          <w:sz w:val="20"/>
        </w:rPr>
        <w:t>Universities Legislation Amendment Act 2016</w:t>
      </w:r>
      <w:r>
        <w:rPr>
          <w:snapToGrid w:val="0"/>
          <w:sz w:val="20"/>
        </w:rPr>
        <w:t xml:space="preserve"> Pt. 6 had not come into operation. It reads as follows:</w:t>
      </w:r>
    </w:p>
    <w:p>
      <w:pPr>
        <w:pStyle w:val="BlankOpen"/>
      </w:pPr>
    </w:p>
    <w:p>
      <w:pPr>
        <w:pStyle w:val="nzHeading2"/>
      </w:pPr>
      <w:bookmarkStart w:id="271" w:name="_Toc433968128"/>
      <w:bookmarkStart w:id="272" w:name="_Toc433968517"/>
      <w:bookmarkStart w:id="273" w:name="_Toc433968906"/>
      <w:bookmarkStart w:id="274" w:name="_Toc433969295"/>
      <w:bookmarkStart w:id="275" w:name="_Toc433979991"/>
      <w:bookmarkStart w:id="276" w:name="_Toc433980379"/>
      <w:bookmarkStart w:id="277" w:name="_Toc433980767"/>
      <w:bookmarkStart w:id="278" w:name="_Toc433981155"/>
      <w:bookmarkStart w:id="279" w:name="_Toc433983121"/>
      <w:bookmarkStart w:id="280" w:name="_Toc434333118"/>
      <w:bookmarkStart w:id="281" w:name="_Toc434333512"/>
      <w:bookmarkStart w:id="282" w:name="_Toc434487281"/>
      <w:bookmarkStart w:id="283" w:name="_Toc434487676"/>
      <w:bookmarkStart w:id="284" w:name="_Toc434497049"/>
      <w:bookmarkStart w:id="285" w:name="_Toc434497444"/>
      <w:bookmarkStart w:id="286" w:name="_Toc434585006"/>
      <w:bookmarkStart w:id="287" w:name="_Toc435024492"/>
      <w:bookmarkStart w:id="288" w:name="_Toc435024907"/>
      <w:bookmarkStart w:id="289" w:name="_Toc435176410"/>
      <w:bookmarkStart w:id="290" w:name="_Toc435176807"/>
      <w:bookmarkStart w:id="291" w:name="_Toc435177577"/>
      <w:bookmarkStart w:id="292" w:name="_Toc435436425"/>
      <w:bookmarkStart w:id="293" w:name="_Toc443472856"/>
      <w:bookmarkStart w:id="294" w:name="_Toc443919900"/>
      <w:bookmarkStart w:id="295" w:name="_Toc449098349"/>
      <w:bookmarkStart w:id="296" w:name="_Toc449099145"/>
      <w:bookmarkStart w:id="297" w:name="_Toc449099542"/>
      <w:bookmarkStart w:id="298" w:name="_Toc449099939"/>
      <w:bookmarkStart w:id="299" w:name="_Toc449603375"/>
      <w:bookmarkStart w:id="300" w:name="_Toc449603770"/>
      <w:bookmarkStart w:id="301" w:name="_Toc449952909"/>
      <w:bookmarkStart w:id="302" w:name="_Toc449953406"/>
      <w:bookmarkStart w:id="303" w:name="_Toc449953802"/>
      <w:bookmarkStart w:id="304" w:name="_Toc449954287"/>
      <w:bookmarkStart w:id="305" w:name="_Toc450124129"/>
      <w:bookmarkStart w:id="306" w:name="_Toc450295935"/>
      <w:bookmarkStart w:id="307" w:name="_Toc450296330"/>
      <w:bookmarkStart w:id="308" w:name="_Toc450296725"/>
      <w:bookmarkStart w:id="309" w:name="_Toc450297495"/>
      <w:bookmarkStart w:id="310" w:name="_Toc450551039"/>
      <w:bookmarkStart w:id="311" w:name="_Toc450639577"/>
      <w:bookmarkStart w:id="312" w:name="_Toc461651984"/>
      <w:bookmarkStart w:id="313" w:name="_Toc461702000"/>
      <w:bookmarkStart w:id="314" w:name="_Toc464449991"/>
      <w:bookmarkStart w:id="315" w:name="_Toc464726675"/>
      <w:bookmarkStart w:id="316" w:name="_Toc464727070"/>
      <w:r>
        <w:rPr>
          <w:rStyle w:val="CharPartNo"/>
        </w:rPr>
        <w:t>Part 6</w:t>
      </w:r>
      <w:r>
        <w:rPr>
          <w:rStyle w:val="CharDivNo"/>
        </w:rPr>
        <w:t> </w:t>
      </w:r>
      <w:r>
        <w:t>—</w:t>
      </w:r>
      <w:r>
        <w:rPr>
          <w:rStyle w:val="CharDivText"/>
        </w:rPr>
        <w:t> </w:t>
      </w:r>
      <w:r>
        <w:rPr>
          <w:rStyle w:val="CharPartText"/>
          <w:i/>
        </w:rPr>
        <w:t>University of Western Australia Act 1911</w:t>
      </w:r>
      <w:r>
        <w:rPr>
          <w:rStyle w:val="CharPartText"/>
        </w:rPr>
        <w:t> amended</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nzHeading5"/>
      </w:pPr>
      <w:bookmarkStart w:id="317" w:name="_Toc443919901"/>
      <w:bookmarkStart w:id="318" w:name="_Toc449099940"/>
      <w:bookmarkStart w:id="319" w:name="_Toc464449992"/>
      <w:bookmarkStart w:id="320" w:name="_Toc464726676"/>
      <w:bookmarkStart w:id="321" w:name="_Toc464727071"/>
      <w:r>
        <w:rPr>
          <w:rStyle w:val="CharSectno"/>
        </w:rPr>
        <w:t>131</w:t>
      </w:r>
      <w:r>
        <w:t>.</w:t>
      </w:r>
      <w:r>
        <w:tab/>
        <w:t>Act amended</w:t>
      </w:r>
      <w:bookmarkEnd w:id="317"/>
      <w:bookmarkEnd w:id="318"/>
      <w:bookmarkEnd w:id="319"/>
      <w:bookmarkEnd w:id="320"/>
      <w:bookmarkEnd w:id="321"/>
    </w:p>
    <w:p>
      <w:pPr>
        <w:pStyle w:val="nzSubsection"/>
      </w:pPr>
      <w:r>
        <w:tab/>
      </w:r>
      <w:r>
        <w:tab/>
        <w:t xml:space="preserve">This Part amends the </w:t>
      </w:r>
      <w:r>
        <w:rPr>
          <w:i/>
        </w:rPr>
        <w:t>University of Western Australia Act 1911</w:t>
      </w:r>
      <w:r>
        <w:t>.</w:t>
      </w:r>
    </w:p>
    <w:p>
      <w:pPr>
        <w:pStyle w:val="nzHeading5"/>
      </w:pPr>
      <w:bookmarkStart w:id="322" w:name="_Toc443919902"/>
      <w:bookmarkStart w:id="323" w:name="_Toc449099941"/>
      <w:bookmarkStart w:id="324" w:name="_Toc464449993"/>
      <w:bookmarkStart w:id="325" w:name="_Toc464726677"/>
      <w:bookmarkStart w:id="326" w:name="_Toc464727072"/>
      <w:r>
        <w:rPr>
          <w:rStyle w:val="CharSectno"/>
        </w:rPr>
        <w:t>132</w:t>
      </w:r>
      <w:r>
        <w:t>.</w:t>
      </w:r>
      <w:r>
        <w:tab/>
        <w:t>Section 2 replaced</w:t>
      </w:r>
      <w:bookmarkEnd w:id="322"/>
      <w:bookmarkEnd w:id="323"/>
      <w:bookmarkEnd w:id="324"/>
      <w:bookmarkEnd w:id="325"/>
      <w:bookmarkEnd w:id="326"/>
    </w:p>
    <w:p>
      <w:pPr>
        <w:pStyle w:val="nzSubsection"/>
        <w:keepNext/>
      </w:pPr>
      <w:r>
        <w:tab/>
      </w:r>
      <w:r>
        <w:tab/>
        <w:t>Delete section 2 and insert:</w:t>
      </w:r>
    </w:p>
    <w:p>
      <w:pPr>
        <w:pStyle w:val="BlankOpen"/>
      </w:pPr>
    </w:p>
    <w:p>
      <w:pPr>
        <w:pStyle w:val="nzHeading5"/>
      </w:pPr>
      <w:bookmarkStart w:id="327" w:name="_Toc443919903"/>
      <w:bookmarkStart w:id="328" w:name="_Toc449099942"/>
      <w:bookmarkStart w:id="329" w:name="_Toc464449994"/>
      <w:bookmarkStart w:id="330" w:name="_Toc464726678"/>
      <w:bookmarkStart w:id="331" w:name="_Toc464727073"/>
      <w:r>
        <w:t>2.</w:t>
      </w:r>
      <w:r>
        <w:tab/>
        <w:t>Terms used</w:t>
      </w:r>
      <w:bookmarkEnd w:id="327"/>
      <w:bookmarkEnd w:id="328"/>
      <w:bookmarkEnd w:id="329"/>
      <w:bookmarkEnd w:id="330"/>
      <w:bookmarkEnd w:id="331"/>
    </w:p>
    <w:p>
      <w:pPr>
        <w:pStyle w:val="nzSubsection"/>
      </w:pPr>
      <w:r>
        <w:tab/>
      </w:r>
      <w:r>
        <w:tab/>
        <w:t xml:space="preserve">In this Act — </w:t>
      </w:r>
    </w:p>
    <w:p>
      <w:pPr>
        <w:pStyle w:val="nzDefstart"/>
      </w:pPr>
      <w:r>
        <w:tab/>
      </w:r>
      <w:r>
        <w:rPr>
          <w:rStyle w:val="CharDefText"/>
        </w:rPr>
        <w:t>casual vacancy</w:t>
      </w:r>
      <w:r>
        <w:t xml:space="preserve"> means a vacancy arising in the office of a member of the Senate otherwise than by reason of the effluxion of time;</w:t>
      </w:r>
    </w:p>
    <w:p>
      <w:pPr>
        <w:pStyle w:val="nzDefstart"/>
      </w:pPr>
      <w:r>
        <w:rPr>
          <w:b/>
        </w:rPr>
        <w:tab/>
      </w:r>
      <w:r>
        <w:rPr>
          <w:rStyle w:val="CharDefText"/>
        </w:rPr>
        <w:t>Convocation</w:t>
      </w:r>
      <w:r>
        <w:rPr>
          <w:b/>
        </w:rPr>
        <w:t> </w:t>
      </w:r>
      <w:r>
        <w:t>means Convocation of the University;</w:t>
      </w:r>
    </w:p>
    <w:p>
      <w:pPr>
        <w:pStyle w:val="nzDefstart"/>
      </w:pPr>
      <w:r>
        <w:tab/>
      </w:r>
      <w:r>
        <w:rPr>
          <w:rStyle w:val="CharDefText"/>
        </w:rPr>
        <w:t>regulations</w:t>
      </w:r>
      <w:r>
        <w:rPr>
          <w:b/>
          <w:i/>
        </w:rPr>
        <w:t xml:space="preserve"> </w:t>
      </w:r>
      <w:r>
        <w:t>means regulations made by the Senate under section 16E;</w:t>
      </w:r>
    </w:p>
    <w:p>
      <w:pPr>
        <w:pStyle w:val="nzDefstart"/>
      </w:pPr>
      <w:r>
        <w:tab/>
      </w:r>
      <w:r>
        <w:rPr>
          <w:rStyle w:val="CharDefText"/>
        </w:rPr>
        <w:t>residential accommodation</w:t>
      </w:r>
      <w:r>
        <w:t xml:space="preserve"> — </w:t>
      </w:r>
    </w:p>
    <w:p>
      <w:pPr>
        <w:pStyle w:val="nzDefpara"/>
      </w:pPr>
      <w:r>
        <w:tab/>
        <w:t>(a)</w:t>
      </w:r>
      <w:r>
        <w:tab/>
        <w:t>means any form of accommodation (including, without limitation, a residential college, hostel, hall of residence or form of independent living); and</w:t>
      </w:r>
    </w:p>
    <w:p>
      <w:pPr>
        <w:pStyle w:val="nzDefpara"/>
      </w:pPr>
      <w:r>
        <w:tab/>
        <w:t>(b)</w:t>
      </w:r>
      <w:r>
        <w:tab/>
        <w:t xml:space="preserve">includes facilities that are — </w:t>
      </w:r>
    </w:p>
    <w:p>
      <w:pPr>
        <w:pStyle w:val="nzDefsubpara"/>
      </w:pPr>
      <w:r>
        <w:tab/>
        <w:t>(i)</w:t>
      </w:r>
      <w:r>
        <w:tab/>
        <w:t>ancillary to residential accommodation; and</w:t>
      </w:r>
    </w:p>
    <w:p>
      <w:pPr>
        <w:pStyle w:val="nzDefsubpara"/>
      </w:pPr>
      <w:r>
        <w:tab/>
        <w:t xml:space="preserve">(ii) </w:t>
      </w:r>
      <w:r>
        <w:tab/>
        <w:t>primarily for the use of staff of the University, or students, or both;</w:t>
      </w:r>
    </w:p>
    <w:p>
      <w:pPr>
        <w:pStyle w:val="nzDefstart"/>
      </w:pPr>
      <w:r>
        <w:rPr>
          <w:b/>
        </w:rPr>
        <w:tab/>
      </w:r>
      <w:r>
        <w:rPr>
          <w:rStyle w:val="CharDefText"/>
        </w:rPr>
        <w:t>Senate</w:t>
      </w:r>
      <w:r>
        <w:rPr>
          <w:b/>
        </w:rPr>
        <w:t> </w:t>
      </w:r>
      <w:r>
        <w:t>means the Senate of the University;</w:t>
      </w:r>
    </w:p>
    <w:p>
      <w:pPr>
        <w:pStyle w:val="nzDefstart"/>
      </w:pPr>
      <w:r>
        <w:tab/>
      </w:r>
      <w:r>
        <w:rPr>
          <w:rStyle w:val="CharDefText"/>
        </w:rPr>
        <w:t>Statutes</w:t>
      </w:r>
      <w:r>
        <w:rPr>
          <w:b/>
        </w:rPr>
        <w:t> </w:t>
      </w:r>
      <w:r>
        <w:t>means</w:t>
      </w:r>
      <w:r>
        <w:rPr>
          <w:b/>
        </w:rPr>
        <w:t xml:space="preserve"> </w:t>
      </w:r>
      <w:r>
        <w:t>Statutes of the University made under this Act;</w:t>
      </w:r>
    </w:p>
    <w:p>
      <w:pPr>
        <w:pStyle w:val="nzDefstart"/>
      </w:pPr>
      <w:r>
        <w:rPr>
          <w:b/>
        </w:rPr>
        <w:tab/>
      </w:r>
      <w:r>
        <w:rPr>
          <w:rStyle w:val="CharDefText"/>
        </w:rPr>
        <w:t>student</w:t>
      </w:r>
      <w:r>
        <w:rPr>
          <w:b/>
        </w:rPr>
        <w:t> </w:t>
      </w:r>
      <w:r>
        <w:t>means a person enrolled in the University as a student;</w:t>
      </w:r>
    </w:p>
    <w:p>
      <w:pPr>
        <w:pStyle w:val="nzDefstart"/>
      </w:pPr>
      <w:r>
        <w:tab/>
      </w:r>
      <w:r>
        <w:rPr>
          <w:rStyle w:val="CharDefText"/>
        </w:rPr>
        <w:t>Student Guild</w:t>
      </w:r>
      <w:r>
        <w:t xml:space="preserve"> means</w:t>
      </w:r>
      <w:r>
        <w:rPr>
          <w:b/>
        </w:rPr>
        <w:t xml:space="preserve"> </w:t>
      </w:r>
      <w:r>
        <w:t>the Student Guild referred to in section 28(1);</w:t>
      </w:r>
    </w:p>
    <w:p>
      <w:pPr>
        <w:pStyle w:val="nzDefstart"/>
      </w:pPr>
      <w:r>
        <w:rPr>
          <w:b/>
        </w:rPr>
        <w:tab/>
      </w:r>
      <w:r>
        <w:rPr>
          <w:rStyle w:val="CharDefText"/>
        </w:rPr>
        <w:t>University</w:t>
      </w:r>
      <w:r>
        <w:rPr>
          <w:b/>
          <w:i/>
        </w:rPr>
        <w:t xml:space="preserve"> </w:t>
      </w:r>
      <w:r>
        <w:t xml:space="preserve">means the University of Western Australia; </w:t>
      </w:r>
    </w:p>
    <w:p>
      <w:pPr>
        <w:pStyle w:val="nzDefstart"/>
      </w:pPr>
      <w:r>
        <w:tab/>
      </w:r>
      <w:r>
        <w:rPr>
          <w:rStyle w:val="CharDefText"/>
        </w:rPr>
        <w:t>University lands</w:t>
      </w:r>
      <w:r>
        <w:t xml:space="preserve"> — </w:t>
      </w:r>
    </w:p>
    <w:p>
      <w:pPr>
        <w:pStyle w:val="nzDefpara"/>
      </w:pPr>
      <w:r>
        <w:tab/>
        <w:t>(a)</w:t>
      </w:r>
      <w:r>
        <w:tab/>
        <w:t>means the land being Reserve 17331 leased to the University under Crown Lease 195321 and any other land vested in, held by, leased to or under the care, control and management of the University for the purposes of this Act; and</w:t>
      </w:r>
    </w:p>
    <w:p>
      <w:pPr>
        <w:pStyle w:val="nzDefpara"/>
      </w:pPr>
      <w:r>
        <w:tab/>
        <w:t>(b)</w:t>
      </w:r>
      <w:r>
        <w:tab/>
        <w:t>includes all buildings, structures and erections of any kind (whether permanent or temporary) on that land.</w:t>
      </w:r>
    </w:p>
    <w:p>
      <w:pPr>
        <w:pStyle w:val="BlankClose"/>
      </w:pPr>
    </w:p>
    <w:p>
      <w:pPr>
        <w:pStyle w:val="nzHeading5"/>
      </w:pPr>
      <w:bookmarkStart w:id="332" w:name="_Toc443919904"/>
      <w:bookmarkStart w:id="333" w:name="_Toc449099943"/>
      <w:bookmarkStart w:id="334" w:name="_Toc464449995"/>
      <w:bookmarkStart w:id="335" w:name="_Toc464726679"/>
      <w:bookmarkStart w:id="336" w:name="_Toc464727074"/>
      <w:r>
        <w:rPr>
          <w:rStyle w:val="CharSectno"/>
        </w:rPr>
        <w:t>133</w:t>
      </w:r>
      <w:r>
        <w:t>.</w:t>
      </w:r>
      <w:r>
        <w:tab/>
        <w:t xml:space="preserve">Section 4 </w:t>
      </w:r>
      <w:bookmarkEnd w:id="332"/>
      <w:bookmarkEnd w:id="333"/>
      <w:r>
        <w:t>replaced</w:t>
      </w:r>
      <w:bookmarkEnd w:id="334"/>
      <w:bookmarkEnd w:id="335"/>
      <w:bookmarkEnd w:id="336"/>
    </w:p>
    <w:p>
      <w:pPr>
        <w:pStyle w:val="nzSubsection"/>
      </w:pPr>
      <w:r>
        <w:tab/>
      </w:r>
      <w:r>
        <w:tab/>
        <w:t>Delete section 4 and insert:</w:t>
      </w:r>
    </w:p>
    <w:p>
      <w:pPr>
        <w:pStyle w:val="BlankOpen"/>
      </w:pPr>
    </w:p>
    <w:p>
      <w:pPr>
        <w:pStyle w:val="nzHeading5"/>
      </w:pPr>
      <w:bookmarkStart w:id="337" w:name="_Toc464449996"/>
      <w:bookmarkStart w:id="338" w:name="_Toc464726680"/>
      <w:bookmarkStart w:id="339" w:name="_Toc464727075"/>
      <w:r>
        <w:t>4.</w:t>
      </w:r>
      <w:r>
        <w:tab/>
        <w:t>University to consist of Senate, Convocation, staff and students</w:t>
      </w:r>
      <w:bookmarkEnd w:id="337"/>
      <w:bookmarkEnd w:id="338"/>
      <w:bookmarkEnd w:id="339"/>
    </w:p>
    <w:p>
      <w:pPr>
        <w:pStyle w:val="nzSubsection"/>
      </w:pPr>
      <w:r>
        <w:tab/>
      </w:r>
      <w:r>
        <w:tab/>
        <w:t>The University consists of a Senate, Convocation, staff and students.</w:t>
      </w:r>
    </w:p>
    <w:p>
      <w:pPr>
        <w:pStyle w:val="BlankClose"/>
      </w:pPr>
    </w:p>
    <w:p>
      <w:pPr>
        <w:pStyle w:val="nzHeading5"/>
      </w:pPr>
      <w:bookmarkStart w:id="340" w:name="_Toc443919905"/>
      <w:bookmarkStart w:id="341" w:name="_Toc449099944"/>
      <w:bookmarkStart w:id="342" w:name="_Toc464449997"/>
      <w:bookmarkStart w:id="343" w:name="_Toc464726681"/>
      <w:bookmarkStart w:id="344" w:name="_Toc464727076"/>
      <w:r>
        <w:rPr>
          <w:rStyle w:val="CharSectno"/>
        </w:rPr>
        <w:t>134</w:t>
      </w:r>
      <w:r>
        <w:t>.</w:t>
      </w:r>
      <w:r>
        <w:tab/>
        <w:t>Section 7 amended</w:t>
      </w:r>
      <w:bookmarkEnd w:id="340"/>
      <w:bookmarkEnd w:id="341"/>
      <w:bookmarkEnd w:id="342"/>
      <w:bookmarkEnd w:id="343"/>
      <w:bookmarkEnd w:id="344"/>
    </w:p>
    <w:p>
      <w:pPr>
        <w:pStyle w:val="nzSubsection"/>
      </w:pPr>
      <w:r>
        <w:tab/>
      </w:r>
      <w:r>
        <w:tab/>
        <w:t>Delete section 7(1) and insert:</w:t>
      </w:r>
    </w:p>
    <w:p>
      <w:pPr>
        <w:pStyle w:val="BlankOpen"/>
      </w:pPr>
    </w:p>
    <w:p>
      <w:pPr>
        <w:pStyle w:val="nzSubsection"/>
      </w:pPr>
      <w:r>
        <w:tab/>
        <w:t>(1)</w:t>
      </w:r>
      <w:r>
        <w:tab/>
        <w:t xml:space="preserve">The Governor is the Visitor of the University, and has the functions that Visitors usually have. </w:t>
      </w:r>
    </w:p>
    <w:p>
      <w:pPr>
        <w:pStyle w:val="BlankClose"/>
      </w:pPr>
    </w:p>
    <w:p>
      <w:pPr>
        <w:pStyle w:val="nzHeading5"/>
      </w:pPr>
      <w:bookmarkStart w:id="345" w:name="_Toc443919906"/>
      <w:bookmarkStart w:id="346" w:name="_Toc449099945"/>
      <w:bookmarkStart w:id="347" w:name="_Toc464449998"/>
      <w:bookmarkStart w:id="348" w:name="_Toc464726682"/>
      <w:bookmarkStart w:id="349" w:name="_Toc464727077"/>
      <w:r>
        <w:rPr>
          <w:rStyle w:val="CharSectno"/>
        </w:rPr>
        <w:t>135</w:t>
      </w:r>
      <w:r>
        <w:t>.</w:t>
      </w:r>
      <w:r>
        <w:tab/>
        <w:t>Section 8 amended</w:t>
      </w:r>
      <w:bookmarkEnd w:id="345"/>
      <w:bookmarkEnd w:id="346"/>
      <w:bookmarkEnd w:id="347"/>
      <w:bookmarkEnd w:id="348"/>
      <w:bookmarkEnd w:id="349"/>
    </w:p>
    <w:p>
      <w:pPr>
        <w:pStyle w:val="nzSubsection"/>
      </w:pPr>
      <w:r>
        <w:tab/>
        <w:t>(1)</w:t>
      </w:r>
      <w:r>
        <w:tab/>
        <w:t>Delete section 8(1) and (2) and insert:</w:t>
      </w:r>
    </w:p>
    <w:p>
      <w:pPr>
        <w:pStyle w:val="BlankOpen"/>
      </w:pPr>
    </w:p>
    <w:p>
      <w:pPr>
        <w:pStyle w:val="nzSubsection"/>
      </w:pPr>
      <w:r>
        <w:tab/>
        <w:t>(1)</w:t>
      </w:r>
      <w:r>
        <w:tab/>
        <w:t>The Senate consists of the following members —</w:t>
      </w:r>
    </w:p>
    <w:p>
      <w:pPr>
        <w:pStyle w:val="nzIndenta"/>
      </w:pPr>
      <w:r>
        <w:tab/>
        <w:t>(a)</w:t>
      </w:r>
      <w:r>
        <w:tab/>
        <w:t>3 persons appointed by the Governor on the recommendation of the Minister;</w:t>
      </w:r>
    </w:p>
    <w:p>
      <w:pPr>
        <w:pStyle w:val="nzIndenta"/>
      </w:pPr>
      <w:r>
        <w:tab/>
        <w:t>(b)</w:t>
      </w:r>
      <w:r>
        <w:tab/>
        <w:t>one person who is a member of the non</w:t>
      </w:r>
      <w:r>
        <w:noBreakHyphen/>
        <w:t>academic salaried staff of the University, and who is elected by the non</w:t>
      </w:r>
      <w:r>
        <w:noBreakHyphen/>
        <w:t xml:space="preserve">academic salaried staff of the University in the manner prescribed by regulations; </w:t>
      </w:r>
    </w:p>
    <w:p>
      <w:pPr>
        <w:pStyle w:val="nzIndenta"/>
      </w:pPr>
      <w:r>
        <w:tab/>
        <w:t>(c)</w:t>
      </w:r>
      <w:r>
        <w:tab/>
        <w:t>one person who is a member of the academic staff of the University and who is elected by the academic staff of the University in the manner prescribed by regulations;</w:t>
      </w:r>
    </w:p>
    <w:p>
      <w:pPr>
        <w:pStyle w:val="nzIndenta"/>
      </w:pPr>
      <w:r>
        <w:tab/>
        <w:t>(d)</w:t>
      </w:r>
      <w:r>
        <w:tab/>
        <w:t>the Chancellor ex officio;</w:t>
      </w:r>
    </w:p>
    <w:p>
      <w:pPr>
        <w:pStyle w:val="nzIndenta"/>
      </w:pPr>
      <w:r>
        <w:tab/>
        <w:t>(e)</w:t>
      </w:r>
      <w:r>
        <w:tab/>
        <w:t>the Chair of the Academic Board of the University, as established under Statute;</w:t>
      </w:r>
    </w:p>
    <w:p>
      <w:pPr>
        <w:pStyle w:val="nzIndenta"/>
      </w:pPr>
      <w:r>
        <w:tab/>
        <w:t>(f)</w:t>
      </w:r>
      <w:r>
        <w:tab/>
        <w:t>the Vice</w:t>
      </w:r>
      <w:r>
        <w:noBreakHyphen/>
        <w:t>Chancellor of the University ex officio;</w:t>
      </w:r>
    </w:p>
    <w:p>
      <w:pPr>
        <w:pStyle w:val="nzIndenta"/>
      </w:pPr>
      <w:r>
        <w:tab/>
        <w:t>(g)</w:t>
      </w:r>
      <w:r>
        <w:tab/>
        <w:t>2 persons who are students and are elected by the students in the manner prescribed by regulations;</w:t>
      </w:r>
    </w:p>
    <w:p>
      <w:pPr>
        <w:pStyle w:val="nzIndenta"/>
      </w:pPr>
      <w:r>
        <w:tab/>
        <w:t>(h)</w:t>
      </w:r>
      <w:r>
        <w:tab/>
        <w:t>2 persons who are members of Convocation and who are elected by Convocation in the manner prescribed by Statute;</w:t>
      </w:r>
    </w:p>
    <w:p>
      <w:pPr>
        <w:pStyle w:val="nzIndenta"/>
      </w:pPr>
      <w:r>
        <w:tab/>
        <w:t>(i)</w:t>
      </w:r>
      <w:r>
        <w:tab/>
        <w:t>not more than 5 persons coopted as members of the Senate by the Senate.</w:t>
      </w:r>
    </w:p>
    <w:p>
      <w:pPr>
        <w:pStyle w:val="nzSubsection"/>
      </w:pPr>
      <w:r>
        <w:tab/>
        <w:t>(2)</w:t>
      </w:r>
      <w:r>
        <w:tab/>
        <w:t>The fact that a person holds an elective office (for example, an elective office of the Student Guild) does not disqualify that person from being appointed or holding office under subsection (1).</w:t>
      </w:r>
    </w:p>
    <w:p>
      <w:pPr>
        <w:pStyle w:val="BlankClose"/>
      </w:pPr>
    </w:p>
    <w:p>
      <w:pPr>
        <w:pStyle w:val="nzSubsection"/>
        <w:keepNext/>
      </w:pPr>
      <w:r>
        <w:tab/>
        <w:t>(2)</w:t>
      </w:r>
      <w:r>
        <w:tab/>
        <w:t>After section 8(3) insert:</w:t>
      </w:r>
    </w:p>
    <w:p>
      <w:pPr>
        <w:pStyle w:val="BlankOpen"/>
      </w:pPr>
    </w:p>
    <w:p>
      <w:pPr>
        <w:pStyle w:val="nzSubsection"/>
      </w:pPr>
      <w:r>
        <w:tab/>
        <w:t>(3A)</w:t>
      </w:r>
      <w:r>
        <w:tab/>
        <w:t>A person who is a member of the staff of the University is not eligible to be a member of the Senate under subsection (1)(h).</w:t>
      </w:r>
    </w:p>
    <w:p>
      <w:pPr>
        <w:pStyle w:val="BlankClose"/>
      </w:pPr>
    </w:p>
    <w:p>
      <w:pPr>
        <w:pStyle w:val="nzSubsection"/>
      </w:pPr>
      <w:r>
        <w:tab/>
        <w:t>(3)</w:t>
      </w:r>
      <w:r>
        <w:tab/>
        <w:t>Delete section 8(5) and insert:</w:t>
      </w:r>
    </w:p>
    <w:p>
      <w:pPr>
        <w:pStyle w:val="BlankOpen"/>
      </w:pPr>
    </w:p>
    <w:p>
      <w:pPr>
        <w:pStyle w:val="nzSubsection"/>
      </w:pPr>
      <w:r>
        <w:tab/>
        <w:t>(5)</w:t>
      </w:r>
      <w:r>
        <w:tab/>
        <w:t>At least 4 members of the Senate must be graduates of the University.</w:t>
      </w:r>
    </w:p>
    <w:p>
      <w:pPr>
        <w:pStyle w:val="BlankClose"/>
      </w:pPr>
    </w:p>
    <w:p>
      <w:pPr>
        <w:pStyle w:val="nzHeading5"/>
      </w:pPr>
      <w:bookmarkStart w:id="350" w:name="_Toc443919907"/>
      <w:bookmarkStart w:id="351" w:name="_Toc449099946"/>
      <w:bookmarkStart w:id="352" w:name="_Toc464449999"/>
      <w:bookmarkStart w:id="353" w:name="_Toc464726683"/>
      <w:bookmarkStart w:id="354" w:name="_Toc464727078"/>
      <w:r>
        <w:rPr>
          <w:rStyle w:val="CharSectno"/>
        </w:rPr>
        <w:t>136</w:t>
      </w:r>
      <w:r>
        <w:t>.</w:t>
      </w:r>
      <w:r>
        <w:tab/>
        <w:t>Section 9 replaced</w:t>
      </w:r>
      <w:bookmarkEnd w:id="350"/>
      <w:bookmarkEnd w:id="351"/>
      <w:bookmarkEnd w:id="352"/>
      <w:bookmarkEnd w:id="353"/>
      <w:bookmarkEnd w:id="354"/>
    </w:p>
    <w:p>
      <w:pPr>
        <w:pStyle w:val="nzSubsection"/>
      </w:pPr>
      <w:r>
        <w:tab/>
      </w:r>
      <w:r>
        <w:tab/>
        <w:t>Delete section 9 and insert:</w:t>
      </w:r>
    </w:p>
    <w:p>
      <w:pPr>
        <w:pStyle w:val="BlankOpen"/>
      </w:pPr>
    </w:p>
    <w:p>
      <w:pPr>
        <w:pStyle w:val="nzHeading5"/>
      </w:pPr>
      <w:bookmarkStart w:id="355" w:name="_Toc443919908"/>
      <w:bookmarkStart w:id="356" w:name="_Toc449099947"/>
      <w:bookmarkStart w:id="357" w:name="_Toc464450000"/>
      <w:bookmarkStart w:id="358" w:name="_Toc464726684"/>
      <w:bookmarkStart w:id="359" w:name="_Toc464727079"/>
      <w:r>
        <w:t>9A.</w:t>
      </w:r>
      <w:r>
        <w:tab/>
        <w:t>Nominations Committee</w:t>
      </w:r>
      <w:bookmarkEnd w:id="355"/>
      <w:bookmarkEnd w:id="356"/>
      <w:bookmarkEnd w:id="357"/>
      <w:bookmarkEnd w:id="358"/>
      <w:bookmarkEnd w:id="359"/>
    </w:p>
    <w:p>
      <w:pPr>
        <w:pStyle w:val="nzSubsection"/>
      </w:pPr>
      <w:r>
        <w:tab/>
        <w:t>(1)</w:t>
      </w:r>
      <w:r>
        <w:tab/>
        <w:t>The Senate must establish and maintain a committee of the Senate called the Nominations Committee.</w:t>
      </w:r>
    </w:p>
    <w:p>
      <w:pPr>
        <w:pStyle w:val="nzSubsection"/>
      </w:pPr>
      <w:r>
        <w:tab/>
        <w:t>(2)</w:t>
      </w:r>
      <w:r>
        <w:tab/>
        <w:t>The Nominations Committee is to consist of not more than 6 members of the Senate appointed by the Senate.</w:t>
      </w:r>
    </w:p>
    <w:p>
      <w:pPr>
        <w:pStyle w:val="nzSubsection"/>
      </w:pPr>
      <w:r>
        <w:tab/>
        <w:t>(3)</w:t>
      </w:r>
      <w:r>
        <w:tab/>
        <w:t xml:space="preserve">The following members are not eligible to be appointed to the Nominations Committee — </w:t>
      </w:r>
    </w:p>
    <w:p>
      <w:pPr>
        <w:pStyle w:val="nzIndenta"/>
      </w:pPr>
      <w:r>
        <w:tab/>
        <w:t>(a)</w:t>
      </w:r>
      <w:r>
        <w:tab/>
        <w:t>the Vice</w:t>
      </w:r>
      <w:r>
        <w:noBreakHyphen/>
        <w:t>Chancellor;</w:t>
      </w:r>
    </w:p>
    <w:p>
      <w:pPr>
        <w:pStyle w:val="nzIndenta"/>
      </w:pPr>
      <w:r>
        <w:tab/>
        <w:t>(b)</w:t>
      </w:r>
      <w:r>
        <w:tab/>
        <w:t>the member referred to in section 8(1)(b);</w:t>
      </w:r>
    </w:p>
    <w:p>
      <w:pPr>
        <w:pStyle w:val="nzIndenta"/>
      </w:pPr>
      <w:r>
        <w:tab/>
        <w:t>(c)</w:t>
      </w:r>
      <w:r>
        <w:tab/>
        <w:t>the member referred to in section 8(1)(c);</w:t>
      </w:r>
    </w:p>
    <w:p>
      <w:pPr>
        <w:pStyle w:val="nzIndenta"/>
      </w:pPr>
      <w:r>
        <w:tab/>
        <w:t>(d)</w:t>
      </w:r>
      <w:r>
        <w:tab/>
        <w:t>the members referred to in section 8(1)(g);</w:t>
      </w:r>
    </w:p>
    <w:p>
      <w:pPr>
        <w:pStyle w:val="nzIndenta"/>
      </w:pPr>
      <w:r>
        <w:tab/>
        <w:t>(e)</w:t>
      </w:r>
      <w:r>
        <w:tab/>
        <w:t>the members referred to in section 8(1)(h);</w:t>
      </w:r>
    </w:p>
    <w:p>
      <w:pPr>
        <w:pStyle w:val="nzIndenta"/>
      </w:pPr>
      <w:r>
        <w:tab/>
        <w:t>(f)</w:t>
      </w:r>
      <w:r>
        <w:tab/>
        <w:t>the Chair of the Academic Board of the University.</w:t>
      </w:r>
    </w:p>
    <w:p>
      <w:pPr>
        <w:pStyle w:val="nzSubsection"/>
      </w:pPr>
      <w:r>
        <w:tab/>
        <w:t>(4)</w:t>
      </w:r>
      <w:r>
        <w:tab/>
        <w:t xml:space="preserve">The functions of the Nominations Committee are — </w:t>
      </w:r>
    </w:p>
    <w:p>
      <w:pPr>
        <w:pStyle w:val="nzIndenta"/>
      </w:pPr>
      <w:r>
        <w:tab/>
        <w:t>(a)</w:t>
      </w:r>
      <w:r>
        <w:tab/>
        <w:t>to maintain lists of persons who are eligible and willing to be appointed to any vacancy or casual vacancy in the office of any member of the Senate who is appointed by the Governor or the Senate;</w:t>
      </w:r>
    </w:p>
    <w:p>
      <w:pPr>
        <w:pStyle w:val="nzIndenta"/>
      </w:pPr>
      <w:r>
        <w:tab/>
        <w:t>(b)</w:t>
      </w:r>
      <w:r>
        <w:tab/>
        <w:t>to recommend to the Minister suitable candidates for appointment to a vacancy or casual vacancy in the office of any member of the Senate who is appointed under section 8(1)(a);</w:t>
      </w:r>
    </w:p>
    <w:p>
      <w:pPr>
        <w:pStyle w:val="nzIndenta"/>
      </w:pPr>
      <w:r>
        <w:tab/>
        <w:t>(c)</w:t>
      </w:r>
      <w:r>
        <w:tab/>
        <w:t>to recommend to the Senate suitable candidates for appointment by cooption under section 8(1)(i).</w:t>
      </w:r>
    </w:p>
    <w:p>
      <w:pPr>
        <w:pStyle w:val="nzSubsection"/>
      </w:pPr>
      <w:r>
        <w:tab/>
        <w:t>(5)</w:t>
      </w:r>
      <w:r>
        <w:tab/>
        <w:t>The fact that the Nominations Committee or the Senate has not recommended a person for appointment under section 8(1) does not prevent the person from being appointed or holding office under section 8(1).</w:t>
      </w:r>
    </w:p>
    <w:p>
      <w:pPr>
        <w:pStyle w:val="nzSubsection"/>
        <w:rPr>
          <w:b/>
        </w:rPr>
      </w:pPr>
      <w:r>
        <w:tab/>
        <w:t>(6)</w:t>
      </w:r>
      <w:r>
        <w:tab/>
        <w:t>The Nominations Committee may regulate its own procedure, but it must comply with any direction given by the Senate.</w:t>
      </w:r>
    </w:p>
    <w:p>
      <w:pPr>
        <w:pStyle w:val="nzHeading5"/>
      </w:pPr>
      <w:bookmarkStart w:id="360" w:name="_Toc443919909"/>
      <w:bookmarkStart w:id="361" w:name="_Toc449099948"/>
      <w:bookmarkStart w:id="362" w:name="_Toc464450001"/>
      <w:bookmarkStart w:id="363" w:name="_Toc464726685"/>
      <w:bookmarkStart w:id="364" w:name="_Toc464727080"/>
      <w:r>
        <w:t>9.</w:t>
      </w:r>
      <w:r>
        <w:tab/>
        <w:t>Terms of members</w:t>
      </w:r>
      <w:bookmarkEnd w:id="360"/>
      <w:bookmarkEnd w:id="361"/>
      <w:bookmarkEnd w:id="362"/>
      <w:bookmarkEnd w:id="363"/>
      <w:bookmarkEnd w:id="364"/>
    </w:p>
    <w:p>
      <w:pPr>
        <w:pStyle w:val="nzSubsection"/>
      </w:pPr>
      <w:r>
        <w:tab/>
        <w:t>(1)</w:t>
      </w:r>
      <w:r>
        <w:tab/>
        <w:t>Subject to section 11, the term of office of a member of the Senate referred to in section 8(1)(a) or (i) is 3 years from the date of the appointment of the member or the date the member is coopted as a member.</w:t>
      </w:r>
    </w:p>
    <w:p>
      <w:pPr>
        <w:pStyle w:val="nzSubsection"/>
      </w:pPr>
      <w:r>
        <w:tab/>
        <w:t>(2)</w:t>
      </w:r>
      <w:r>
        <w:tab/>
        <w:t>Subject to section 11, the term of office of a member of the Senate referred to in section 8(1)(b), (c) or (h) is 3 years from the date their election takes effect.</w:t>
      </w:r>
    </w:p>
    <w:p>
      <w:pPr>
        <w:pStyle w:val="nzSubsection"/>
      </w:pPr>
      <w:r>
        <w:tab/>
        <w:t>(3)</w:t>
      </w:r>
      <w:r>
        <w:tab/>
        <w:t>Subject to section 11, the term of office of a member of the Senate referred to in section 8(1)(g) is one year from the date their election takes effect.</w:t>
      </w:r>
    </w:p>
    <w:p>
      <w:pPr>
        <w:pStyle w:val="nzSubsection"/>
      </w:pPr>
      <w:r>
        <w:tab/>
        <w:t>(4)</w:t>
      </w:r>
      <w:r>
        <w:tab/>
        <w:t>A member of the Senate, other than a member referred to in section 8(1)(g), is not eligible to be reappointed or re</w:t>
      </w:r>
      <w:r>
        <w:noBreakHyphen/>
        <w:t>elected on the expiry of a third successive term of office until 12 months have elapsed after that expiry.</w:t>
      </w:r>
    </w:p>
    <w:p>
      <w:pPr>
        <w:pStyle w:val="nzSubsection"/>
      </w:pPr>
      <w:r>
        <w:tab/>
        <w:t>(5)</w:t>
      </w:r>
      <w:r>
        <w:tab/>
        <w:t>A member of the Senate referred to in section 8(1)(g) is not eligible for re</w:t>
      </w:r>
      <w:r>
        <w:noBreakHyphen/>
        <w:t>election more than once.</w:t>
      </w:r>
    </w:p>
    <w:p>
      <w:pPr>
        <w:pStyle w:val="nzSubsection"/>
      </w:pPr>
      <w:r>
        <w:tab/>
        <w:t>(6)</w:t>
      </w:r>
      <w:r>
        <w:tab/>
        <w:t>The Senate may, in the case of a particular member of the Senate, increase the number of successive terms that member may have under subsection (4) if the Senate is of the view that there are exceptional circumstances in that member’s case.</w:t>
      </w:r>
    </w:p>
    <w:p>
      <w:pPr>
        <w:pStyle w:val="BlankClose"/>
      </w:pPr>
    </w:p>
    <w:p>
      <w:pPr>
        <w:pStyle w:val="nzHeading5"/>
      </w:pPr>
      <w:bookmarkStart w:id="365" w:name="_Toc443919910"/>
      <w:bookmarkStart w:id="366" w:name="_Toc449099949"/>
      <w:bookmarkStart w:id="367" w:name="_Toc464450002"/>
      <w:bookmarkStart w:id="368" w:name="_Toc464726686"/>
      <w:bookmarkStart w:id="369" w:name="_Toc464727081"/>
      <w:r>
        <w:rPr>
          <w:rStyle w:val="CharSectno"/>
        </w:rPr>
        <w:t>137</w:t>
      </w:r>
      <w:r>
        <w:t>.</w:t>
      </w:r>
      <w:r>
        <w:tab/>
        <w:t>Section 11 replaced</w:t>
      </w:r>
      <w:bookmarkEnd w:id="365"/>
      <w:bookmarkEnd w:id="366"/>
      <w:bookmarkEnd w:id="367"/>
      <w:bookmarkEnd w:id="368"/>
      <w:bookmarkEnd w:id="369"/>
    </w:p>
    <w:p>
      <w:pPr>
        <w:pStyle w:val="nzSubsection"/>
      </w:pPr>
      <w:r>
        <w:tab/>
      </w:r>
      <w:r>
        <w:tab/>
        <w:t>Delete section 11 and insert:</w:t>
      </w:r>
    </w:p>
    <w:p>
      <w:pPr>
        <w:pStyle w:val="BlankOpen"/>
      </w:pPr>
    </w:p>
    <w:p>
      <w:pPr>
        <w:pStyle w:val="nzHeading5"/>
      </w:pPr>
      <w:bookmarkStart w:id="370" w:name="_Toc443919911"/>
      <w:bookmarkStart w:id="371" w:name="_Toc449099950"/>
      <w:bookmarkStart w:id="372" w:name="_Toc464450003"/>
      <w:bookmarkStart w:id="373" w:name="_Toc464726687"/>
      <w:bookmarkStart w:id="374" w:name="_Toc464727082"/>
      <w:r>
        <w:t>11.</w:t>
      </w:r>
      <w:r>
        <w:tab/>
        <w:t>People disqualified from being Chancellor, Pro</w:t>
      </w:r>
      <w:r>
        <w:noBreakHyphen/>
        <w:t>Chancellor or Senate member</w:t>
      </w:r>
      <w:bookmarkEnd w:id="370"/>
      <w:bookmarkEnd w:id="371"/>
      <w:bookmarkEnd w:id="372"/>
      <w:bookmarkEnd w:id="373"/>
      <w:bookmarkEnd w:id="374"/>
    </w:p>
    <w:p>
      <w:pPr>
        <w:pStyle w:val="nzSubsection"/>
      </w:pPr>
      <w:r>
        <w:tab/>
      </w:r>
      <w:r>
        <w:tab/>
        <w:t>A person must not be appointed or continue to hold office as Chancellor, Pro</w:t>
      </w:r>
      <w:r>
        <w:noBreakHyphen/>
        <w:t>Chancellor or a member of the Senate if the person —</w:t>
      </w:r>
    </w:p>
    <w:p>
      <w:pPr>
        <w:pStyle w:val="nzIndenta"/>
      </w:pPr>
      <w:r>
        <w:tab/>
        <w:t>(a)</w:t>
      </w:r>
      <w:r>
        <w:tab/>
        <w:t xml:space="preserve">is, according to the </w:t>
      </w:r>
      <w:r>
        <w:rPr>
          <w:i/>
        </w:rPr>
        <w:t>Interpretation Act 1984</w:t>
      </w:r>
      <w:r>
        <w:t xml:space="preserve"> section 13D, a bankrupt or a person whose affairs are under insolvency laws; or</w:t>
      </w:r>
    </w:p>
    <w:p>
      <w:pPr>
        <w:pStyle w:val="nzIndenta"/>
      </w:pPr>
      <w:r>
        <w:tab/>
        <w:t>(b)</w:t>
      </w:r>
      <w:r>
        <w:tab/>
        <w:t>is removed from office by the Senate under section 11A; or</w:t>
      </w:r>
    </w:p>
    <w:p>
      <w:pPr>
        <w:pStyle w:val="nzIndenta"/>
      </w:pPr>
      <w:r>
        <w:tab/>
        <w:t>(c)</w:t>
      </w:r>
      <w:r>
        <w:tab/>
        <w:t xml:space="preserve">is, or becomes, disqualified from managing corporations under the </w:t>
      </w:r>
      <w:r>
        <w:rPr>
          <w:i/>
        </w:rPr>
        <w:t>Corporations Act 2001</w:t>
      </w:r>
      <w:r>
        <w:t xml:space="preserve"> (Commonwealth) Part 2D.6; or</w:t>
      </w:r>
    </w:p>
    <w:p>
      <w:pPr>
        <w:pStyle w:val="nzIndenta"/>
      </w:pPr>
      <w:r>
        <w:tab/>
        <w:t>(d)</w:t>
      </w:r>
      <w:r>
        <w:tab/>
        <w:t>has been convicted of an offence and sentenced to a term of imprisonment, unless the person has been pardoned or has completed the term of imprisonment; or</w:t>
      </w:r>
    </w:p>
    <w:p>
      <w:pPr>
        <w:pStyle w:val="nzIndenta"/>
      </w:pPr>
      <w:r>
        <w:tab/>
        <w:t>(e)</w:t>
      </w:r>
      <w:r>
        <w:tab/>
        <w:t>ceases to hold the qualification required to be held by the person for appointment as a member of the Senate; or</w:t>
      </w:r>
    </w:p>
    <w:p>
      <w:pPr>
        <w:pStyle w:val="nzIndenta"/>
      </w:pPr>
      <w:r>
        <w:tab/>
        <w:t>(f)</w:t>
      </w:r>
      <w:r>
        <w:tab/>
        <w:t xml:space="preserve">is a person in respect of whom an administration order is in force under the </w:t>
      </w:r>
      <w:r>
        <w:rPr>
          <w:i/>
        </w:rPr>
        <w:t>Guardianship and Administration Act 1990</w:t>
      </w:r>
      <w:r>
        <w:t xml:space="preserve"> Part 6.</w:t>
      </w:r>
    </w:p>
    <w:p>
      <w:pPr>
        <w:pStyle w:val="BlankClose"/>
      </w:pPr>
    </w:p>
    <w:p>
      <w:pPr>
        <w:pStyle w:val="nzHeading5"/>
      </w:pPr>
      <w:bookmarkStart w:id="375" w:name="_Toc443919912"/>
      <w:bookmarkStart w:id="376" w:name="_Toc449099951"/>
      <w:bookmarkStart w:id="377" w:name="_Toc464450004"/>
      <w:bookmarkStart w:id="378" w:name="_Toc464726688"/>
      <w:bookmarkStart w:id="379" w:name="_Toc464727083"/>
      <w:r>
        <w:rPr>
          <w:rStyle w:val="CharSectno"/>
        </w:rPr>
        <w:t>138</w:t>
      </w:r>
      <w:r>
        <w:t>.</w:t>
      </w:r>
      <w:r>
        <w:tab/>
        <w:t>Section 11A amended</w:t>
      </w:r>
      <w:bookmarkEnd w:id="375"/>
      <w:bookmarkEnd w:id="376"/>
      <w:bookmarkEnd w:id="377"/>
      <w:bookmarkEnd w:id="378"/>
      <w:bookmarkEnd w:id="379"/>
    </w:p>
    <w:p>
      <w:pPr>
        <w:pStyle w:val="nzSubsection"/>
      </w:pPr>
      <w:r>
        <w:tab/>
      </w:r>
      <w:r>
        <w:tab/>
        <w:t>In section 11A(3) delete “2/3” and insert:</w:t>
      </w:r>
    </w:p>
    <w:p>
      <w:pPr>
        <w:pStyle w:val="BlankOpen"/>
      </w:pPr>
    </w:p>
    <w:p>
      <w:pPr>
        <w:pStyle w:val="nzSubsection"/>
      </w:pPr>
      <w:r>
        <w:tab/>
      </w:r>
      <w:r>
        <w:tab/>
        <w:t>two</w:t>
      </w:r>
      <w:r>
        <w:noBreakHyphen/>
        <w:t xml:space="preserve">thirds </w:t>
      </w:r>
    </w:p>
    <w:p>
      <w:pPr>
        <w:pStyle w:val="BlankClose"/>
      </w:pPr>
    </w:p>
    <w:p>
      <w:pPr>
        <w:pStyle w:val="nzHeading5"/>
      </w:pPr>
      <w:bookmarkStart w:id="380" w:name="_Toc443919913"/>
      <w:bookmarkStart w:id="381" w:name="_Toc449099952"/>
      <w:bookmarkStart w:id="382" w:name="_Toc464450005"/>
      <w:bookmarkStart w:id="383" w:name="_Toc464726689"/>
      <w:bookmarkStart w:id="384" w:name="_Toc464727084"/>
      <w:r>
        <w:rPr>
          <w:rStyle w:val="CharSectno"/>
        </w:rPr>
        <w:t>139</w:t>
      </w:r>
      <w:r>
        <w:t>.</w:t>
      </w:r>
      <w:r>
        <w:tab/>
        <w:t>Section 11B inserted</w:t>
      </w:r>
      <w:bookmarkEnd w:id="380"/>
      <w:bookmarkEnd w:id="381"/>
      <w:bookmarkEnd w:id="382"/>
      <w:bookmarkEnd w:id="383"/>
      <w:bookmarkEnd w:id="384"/>
    </w:p>
    <w:p>
      <w:pPr>
        <w:pStyle w:val="nzSubsection"/>
      </w:pPr>
      <w:r>
        <w:tab/>
      </w:r>
      <w:r>
        <w:tab/>
        <w:t>After section 11A insert:</w:t>
      </w:r>
    </w:p>
    <w:p>
      <w:pPr>
        <w:pStyle w:val="BlankOpen"/>
      </w:pPr>
    </w:p>
    <w:p>
      <w:pPr>
        <w:pStyle w:val="nzHeading5"/>
      </w:pPr>
      <w:bookmarkStart w:id="385" w:name="_Toc443919914"/>
      <w:bookmarkStart w:id="386" w:name="_Toc449099953"/>
      <w:bookmarkStart w:id="387" w:name="_Toc464450006"/>
      <w:bookmarkStart w:id="388" w:name="_Toc464726690"/>
      <w:bookmarkStart w:id="389" w:name="_Toc464727085"/>
      <w:r>
        <w:t>11B.</w:t>
      </w:r>
      <w:r>
        <w:tab/>
        <w:t>Remuneration and allowances for Senate members</w:t>
      </w:r>
      <w:bookmarkEnd w:id="385"/>
      <w:bookmarkEnd w:id="386"/>
      <w:bookmarkEnd w:id="387"/>
      <w:bookmarkEnd w:id="388"/>
      <w:bookmarkEnd w:id="389"/>
    </w:p>
    <w:p>
      <w:pPr>
        <w:pStyle w:val="nzSubsection"/>
      </w:pPr>
      <w:r>
        <w:tab/>
        <w:t>(1)</w:t>
      </w:r>
      <w:r>
        <w:tab/>
        <w:t xml:space="preserve">A member of the Senate is entitled to be paid the remuneration (if any) and allowances (if any) determined by the Salaries and Allowances Tribunal under the </w:t>
      </w:r>
      <w:r>
        <w:rPr>
          <w:i/>
        </w:rPr>
        <w:t>Salaries and Allowances Act 1975</w:t>
      </w:r>
      <w:r>
        <w:t>.</w:t>
      </w:r>
    </w:p>
    <w:p>
      <w:pPr>
        <w:pStyle w:val="nzSubsection"/>
      </w:pPr>
      <w:r>
        <w:tab/>
        <w:t>(2)</w:t>
      </w:r>
      <w:r>
        <w:tab/>
        <w:t xml:space="preserve">Any remuneration and allowances payable — </w:t>
      </w:r>
    </w:p>
    <w:p>
      <w:pPr>
        <w:pStyle w:val="nzIndenta"/>
      </w:pPr>
      <w:r>
        <w:tab/>
        <w:t>(a)</w:t>
      </w:r>
      <w:r>
        <w:tab/>
        <w:t>are expenditure for the purposes of the University; and</w:t>
      </w:r>
    </w:p>
    <w:p>
      <w:pPr>
        <w:pStyle w:val="nzIndenta"/>
      </w:pPr>
      <w:r>
        <w:tab/>
        <w:t>(b)</w:t>
      </w:r>
      <w:r>
        <w:tab/>
        <w:t>are to be paid out of the funds of the University.</w:t>
      </w:r>
    </w:p>
    <w:p>
      <w:pPr>
        <w:pStyle w:val="BlankClose"/>
      </w:pPr>
    </w:p>
    <w:p>
      <w:pPr>
        <w:pStyle w:val="nzHeading5"/>
      </w:pPr>
      <w:bookmarkStart w:id="390" w:name="_Toc443919915"/>
      <w:bookmarkStart w:id="391" w:name="_Toc449099954"/>
      <w:bookmarkStart w:id="392" w:name="_Toc464450007"/>
      <w:bookmarkStart w:id="393" w:name="_Toc464726691"/>
      <w:bookmarkStart w:id="394" w:name="_Toc464727086"/>
      <w:r>
        <w:rPr>
          <w:rStyle w:val="CharSectno"/>
        </w:rPr>
        <w:t>140</w:t>
      </w:r>
      <w:r>
        <w:t>.</w:t>
      </w:r>
      <w:r>
        <w:tab/>
        <w:t>Section 12 amended</w:t>
      </w:r>
      <w:bookmarkEnd w:id="390"/>
      <w:bookmarkEnd w:id="391"/>
      <w:bookmarkEnd w:id="392"/>
      <w:bookmarkEnd w:id="393"/>
      <w:bookmarkEnd w:id="394"/>
    </w:p>
    <w:p>
      <w:pPr>
        <w:pStyle w:val="nzSubsection"/>
      </w:pPr>
      <w:r>
        <w:tab/>
        <w:t>(1)</w:t>
      </w:r>
      <w:r>
        <w:tab/>
        <w:t>In section 12(3) delete “4 years,” and insert:</w:t>
      </w:r>
    </w:p>
    <w:p>
      <w:pPr>
        <w:pStyle w:val="BlankOpen"/>
      </w:pPr>
    </w:p>
    <w:p>
      <w:pPr>
        <w:pStyle w:val="nzSubsection"/>
      </w:pPr>
      <w:r>
        <w:tab/>
      </w:r>
      <w:r>
        <w:tab/>
        <w:t>3 years,</w:t>
      </w:r>
    </w:p>
    <w:p>
      <w:pPr>
        <w:pStyle w:val="BlankClose"/>
      </w:pPr>
    </w:p>
    <w:p>
      <w:pPr>
        <w:pStyle w:val="nzSubsection"/>
        <w:keepNext/>
      </w:pPr>
      <w:r>
        <w:tab/>
        <w:t>(2)</w:t>
      </w:r>
      <w:r>
        <w:tab/>
        <w:t>In section 12(4) delete “12 years.” and insert:</w:t>
      </w:r>
    </w:p>
    <w:p>
      <w:pPr>
        <w:pStyle w:val="BlankOpen"/>
      </w:pPr>
    </w:p>
    <w:p>
      <w:pPr>
        <w:pStyle w:val="nzSubsection"/>
      </w:pPr>
      <w:r>
        <w:tab/>
      </w:r>
      <w:r>
        <w:tab/>
        <w:t>9 years.</w:t>
      </w:r>
    </w:p>
    <w:p>
      <w:pPr>
        <w:pStyle w:val="BlankClose"/>
      </w:pPr>
    </w:p>
    <w:p>
      <w:pPr>
        <w:pStyle w:val="nzSubsection"/>
      </w:pPr>
      <w:r>
        <w:tab/>
        <w:t>(3)</w:t>
      </w:r>
      <w:r>
        <w:tab/>
        <w:t>Delete section 12(5) and insert:</w:t>
      </w:r>
    </w:p>
    <w:p>
      <w:pPr>
        <w:pStyle w:val="BlankOpen"/>
      </w:pPr>
    </w:p>
    <w:p>
      <w:pPr>
        <w:pStyle w:val="nzSubsection"/>
      </w:pPr>
      <w:r>
        <w:tab/>
        <w:t>(5)</w:t>
      </w:r>
      <w:r>
        <w:tab/>
        <w:t>If the Chancellor is elected from among the members of the Senate, the election creates a casual vacancy in the office of member of the Senate.</w:t>
      </w:r>
    </w:p>
    <w:p>
      <w:pPr>
        <w:pStyle w:val="BlankClose"/>
      </w:pPr>
    </w:p>
    <w:p>
      <w:pPr>
        <w:pStyle w:val="nzHeading5"/>
      </w:pPr>
      <w:bookmarkStart w:id="395" w:name="_Toc443919916"/>
      <w:bookmarkStart w:id="396" w:name="_Toc449099955"/>
      <w:bookmarkStart w:id="397" w:name="_Toc464450008"/>
      <w:bookmarkStart w:id="398" w:name="_Toc464726692"/>
      <w:bookmarkStart w:id="399" w:name="_Toc464727087"/>
      <w:r>
        <w:rPr>
          <w:rStyle w:val="CharSectno"/>
        </w:rPr>
        <w:t>141</w:t>
      </w:r>
      <w:r>
        <w:t>.</w:t>
      </w:r>
      <w:r>
        <w:tab/>
        <w:t>Section 12A amended</w:t>
      </w:r>
      <w:bookmarkEnd w:id="395"/>
      <w:bookmarkEnd w:id="396"/>
      <w:bookmarkEnd w:id="397"/>
      <w:bookmarkEnd w:id="398"/>
      <w:bookmarkEnd w:id="399"/>
    </w:p>
    <w:p>
      <w:pPr>
        <w:pStyle w:val="nzSubsection"/>
      </w:pPr>
      <w:r>
        <w:tab/>
        <w:t>(1)</w:t>
      </w:r>
      <w:r>
        <w:tab/>
        <w:t>In section 12A(2) delete “4 years,” and insert:</w:t>
      </w:r>
    </w:p>
    <w:p>
      <w:pPr>
        <w:pStyle w:val="BlankOpen"/>
      </w:pPr>
    </w:p>
    <w:p>
      <w:pPr>
        <w:pStyle w:val="nzSubsection"/>
      </w:pPr>
      <w:r>
        <w:tab/>
      </w:r>
      <w:r>
        <w:tab/>
        <w:t>3 years,</w:t>
      </w:r>
    </w:p>
    <w:p>
      <w:pPr>
        <w:pStyle w:val="BlankClose"/>
      </w:pPr>
    </w:p>
    <w:p>
      <w:pPr>
        <w:pStyle w:val="nzSubsection"/>
      </w:pPr>
      <w:r>
        <w:tab/>
        <w:t>(2)</w:t>
      </w:r>
      <w:r>
        <w:tab/>
        <w:t>In section 12A(3)(a) delete “12 years; and” and insert:</w:t>
      </w:r>
    </w:p>
    <w:p>
      <w:pPr>
        <w:pStyle w:val="BlankOpen"/>
      </w:pPr>
    </w:p>
    <w:p>
      <w:pPr>
        <w:pStyle w:val="nzSubsection"/>
      </w:pPr>
      <w:r>
        <w:tab/>
      </w:r>
      <w:r>
        <w:tab/>
        <w:t>9 years; and</w:t>
      </w:r>
    </w:p>
    <w:p>
      <w:pPr>
        <w:pStyle w:val="BlankClose"/>
      </w:pPr>
    </w:p>
    <w:p>
      <w:pPr>
        <w:pStyle w:val="nzHeading5"/>
      </w:pPr>
      <w:bookmarkStart w:id="400" w:name="_Toc443919917"/>
      <w:bookmarkStart w:id="401" w:name="_Toc449099956"/>
      <w:bookmarkStart w:id="402" w:name="_Toc464450009"/>
      <w:bookmarkStart w:id="403" w:name="_Toc464726693"/>
      <w:bookmarkStart w:id="404" w:name="_Toc464727088"/>
      <w:r>
        <w:rPr>
          <w:rStyle w:val="CharSectno"/>
        </w:rPr>
        <w:t>142</w:t>
      </w:r>
      <w:r>
        <w:t>.</w:t>
      </w:r>
      <w:r>
        <w:tab/>
        <w:t>Section 13 amended</w:t>
      </w:r>
      <w:bookmarkEnd w:id="400"/>
      <w:bookmarkEnd w:id="401"/>
      <w:bookmarkEnd w:id="402"/>
      <w:bookmarkEnd w:id="403"/>
      <w:bookmarkEnd w:id="404"/>
    </w:p>
    <w:p>
      <w:pPr>
        <w:pStyle w:val="nzSubsection"/>
      </w:pPr>
      <w:r>
        <w:tab/>
      </w:r>
      <w:r>
        <w:tab/>
        <w:t>In section 13:</w:t>
      </w:r>
    </w:p>
    <w:p>
      <w:pPr>
        <w:pStyle w:val="nzIndenta"/>
      </w:pPr>
      <w:r>
        <w:tab/>
        <w:t>(a)</w:t>
      </w:r>
      <w:r>
        <w:tab/>
        <w:t>delete “Act” and insert:</w:t>
      </w:r>
    </w:p>
    <w:p>
      <w:pPr>
        <w:pStyle w:val="BlankOpen"/>
      </w:pPr>
    </w:p>
    <w:p>
      <w:pPr>
        <w:pStyle w:val="nzIndenta"/>
      </w:pPr>
      <w:r>
        <w:tab/>
      </w:r>
      <w:r>
        <w:tab/>
        <w:t>Act, any relevant written law, any relevant industrial award or industrial agreement</w:t>
      </w:r>
    </w:p>
    <w:p>
      <w:pPr>
        <w:pStyle w:val="BlankClose"/>
      </w:pPr>
    </w:p>
    <w:p>
      <w:pPr>
        <w:pStyle w:val="nzIndenta"/>
      </w:pPr>
      <w:r>
        <w:tab/>
        <w:t>(b)</w:t>
      </w:r>
      <w:r>
        <w:tab/>
        <w:t>delete “servants” and insert:</w:t>
      </w:r>
    </w:p>
    <w:p>
      <w:pPr>
        <w:pStyle w:val="BlankOpen"/>
      </w:pPr>
    </w:p>
    <w:p>
      <w:pPr>
        <w:pStyle w:val="nzIndenta"/>
      </w:pPr>
      <w:r>
        <w:tab/>
      </w:r>
      <w:r>
        <w:tab/>
        <w:t>employees</w:t>
      </w:r>
    </w:p>
    <w:p>
      <w:pPr>
        <w:pStyle w:val="BlankClose"/>
      </w:pPr>
    </w:p>
    <w:p>
      <w:pPr>
        <w:pStyle w:val="nzHeading5"/>
      </w:pPr>
      <w:bookmarkStart w:id="405" w:name="_Toc443919918"/>
      <w:bookmarkStart w:id="406" w:name="_Toc449099957"/>
      <w:bookmarkStart w:id="407" w:name="_Toc464450010"/>
      <w:bookmarkStart w:id="408" w:name="_Toc464726694"/>
      <w:bookmarkStart w:id="409" w:name="_Toc464727089"/>
      <w:r>
        <w:rPr>
          <w:rStyle w:val="CharSectno"/>
        </w:rPr>
        <w:t>143</w:t>
      </w:r>
      <w:r>
        <w:t>.</w:t>
      </w:r>
      <w:r>
        <w:tab/>
        <w:t>Section 15 replaced</w:t>
      </w:r>
      <w:bookmarkEnd w:id="405"/>
      <w:bookmarkEnd w:id="406"/>
      <w:bookmarkEnd w:id="407"/>
      <w:bookmarkEnd w:id="408"/>
      <w:bookmarkEnd w:id="409"/>
    </w:p>
    <w:p>
      <w:pPr>
        <w:pStyle w:val="nzSubsection"/>
      </w:pPr>
      <w:r>
        <w:tab/>
      </w:r>
      <w:r>
        <w:tab/>
        <w:t>Delete section 15 and insert:</w:t>
      </w:r>
    </w:p>
    <w:p>
      <w:pPr>
        <w:pStyle w:val="BlankOpen"/>
      </w:pPr>
    </w:p>
    <w:p>
      <w:pPr>
        <w:pStyle w:val="nzHeading5"/>
      </w:pPr>
      <w:bookmarkStart w:id="410" w:name="_Toc443919919"/>
      <w:bookmarkStart w:id="411" w:name="_Toc449099958"/>
      <w:bookmarkStart w:id="412" w:name="_Toc464450011"/>
      <w:bookmarkStart w:id="413" w:name="_Toc464726695"/>
      <w:bookmarkStart w:id="414" w:name="_Toc464727090"/>
      <w:r>
        <w:t>15.</w:t>
      </w:r>
      <w:r>
        <w:tab/>
        <w:t>Leasing University lands</w:t>
      </w:r>
      <w:bookmarkEnd w:id="410"/>
      <w:bookmarkEnd w:id="411"/>
      <w:bookmarkEnd w:id="412"/>
      <w:bookmarkEnd w:id="413"/>
      <w:bookmarkEnd w:id="414"/>
    </w:p>
    <w:p>
      <w:pPr>
        <w:pStyle w:val="nzSubsection"/>
      </w:pPr>
      <w:r>
        <w:tab/>
        <w:t>(1)</w:t>
      </w:r>
      <w:r>
        <w:tab/>
        <w:t xml:space="preserve">In this section — </w:t>
      </w:r>
    </w:p>
    <w:p>
      <w:pPr>
        <w:pStyle w:val="nzDefstart"/>
      </w:pPr>
      <w:r>
        <w:tab/>
      </w:r>
      <w:r>
        <w:rPr>
          <w:rStyle w:val="CharDefText"/>
        </w:rPr>
        <w:t xml:space="preserve">lease </w:t>
      </w:r>
      <w:r>
        <w:t>includes a sublease.</w:t>
      </w:r>
    </w:p>
    <w:p>
      <w:pPr>
        <w:pStyle w:val="nzSubsection"/>
      </w:pPr>
      <w:r>
        <w:tab/>
        <w:t>(2)</w:t>
      </w:r>
      <w:r>
        <w:tab/>
        <w:t>The University may grant a lease of any University lands for a term not exceeding 21 years.</w:t>
      </w:r>
    </w:p>
    <w:p>
      <w:pPr>
        <w:pStyle w:val="nzSubsection"/>
      </w:pPr>
      <w:r>
        <w:tab/>
        <w:t>(3)</w:t>
      </w:r>
      <w:r>
        <w:tab/>
        <w:t xml:space="preserve">The University may, with the approval of the Minister — </w:t>
      </w:r>
    </w:p>
    <w:p>
      <w:pPr>
        <w:pStyle w:val="nzIndenta"/>
      </w:pPr>
      <w:r>
        <w:tab/>
        <w:t>(a)</w:t>
      </w:r>
      <w:r>
        <w:tab/>
        <w:t>grant a lease of any University lands for a term that exceeds 21 years but does not exceed 99 years; or</w:t>
      </w:r>
    </w:p>
    <w:p>
      <w:pPr>
        <w:pStyle w:val="nzIndenta"/>
      </w:pPr>
      <w:r>
        <w:tab/>
        <w:t>(b)</w:t>
      </w:r>
      <w:r>
        <w:tab/>
        <w:t>mortgage any University lands.</w:t>
      </w:r>
    </w:p>
    <w:p>
      <w:pPr>
        <w:pStyle w:val="BlankClose"/>
      </w:pPr>
    </w:p>
    <w:p>
      <w:pPr>
        <w:pStyle w:val="nzHeading5"/>
      </w:pPr>
      <w:bookmarkStart w:id="415" w:name="_Toc443919920"/>
      <w:bookmarkStart w:id="416" w:name="_Toc449099959"/>
      <w:bookmarkStart w:id="417" w:name="_Toc464450012"/>
      <w:bookmarkStart w:id="418" w:name="_Toc464726696"/>
      <w:bookmarkStart w:id="419" w:name="_Toc464727091"/>
      <w:r>
        <w:rPr>
          <w:rStyle w:val="CharSectno"/>
        </w:rPr>
        <w:t>144</w:t>
      </w:r>
      <w:r>
        <w:t>.</w:t>
      </w:r>
      <w:r>
        <w:tab/>
        <w:t>Section 15A amended</w:t>
      </w:r>
      <w:bookmarkEnd w:id="415"/>
      <w:bookmarkEnd w:id="416"/>
      <w:bookmarkEnd w:id="417"/>
      <w:bookmarkEnd w:id="418"/>
      <w:bookmarkEnd w:id="419"/>
    </w:p>
    <w:p>
      <w:pPr>
        <w:pStyle w:val="nzSubsection"/>
      </w:pPr>
      <w:r>
        <w:tab/>
        <w:t>(1)</w:t>
      </w:r>
      <w:r>
        <w:tab/>
        <w:t>In section 15A(3B) delete “Governor shall approve.” and insert:</w:t>
      </w:r>
    </w:p>
    <w:p>
      <w:pPr>
        <w:pStyle w:val="BlankOpen"/>
      </w:pPr>
    </w:p>
    <w:p>
      <w:pPr>
        <w:pStyle w:val="nzSubsection"/>
      </w:pPr>
      <w:r>
        <w:tab/>
      </w:r>
      <w:r>
        <w:tab/>
        <w:t>Minister approves.</w:t>
      </w:r>
    </w:p>
    <w:p>
      <w:pPr>
        <w:pStyle w:val="BlankClose"/>
      </w:pPr>
    </w:p>
    <w:p>
      <w:pPr>
        <w:pStyle w:val="nzSubsection"/>
      </w:pPr>
      <w:r>
        <w:tab/>
        <w:t>(2)</w:t>
      </w:r>
      <w:r>
        <w:tab/>
        <w:t>In section 15A(3C) delete “shall be repaid shall be such number as the Governor shall approve, but in any case shall not” and insert:</w:t>
      </w:r>
    </w:p>
    <w:p>
      <w:pPr>
        <w:pStyle w:val="BlankOpen"/>
      </w:pPr>
    </w:p>
    <w:p>
      <w:pPr>
        <w:pStyle w:val="nzSubsection"/>
      </w:pPr>
      <w:r>
        <w:tab/>
      </w:r>
      <w:r>
        <w:tab/>
        <w:t xml:space="preserve">are to be repaid is the number approved by the Minister, but in any case is not to </w:t>
      </w:r>
    </w:p>
    <w:p>
      <w:pPr>
        <w:pStyle w:val="BlankClose"/>
      </w:pPr>
    </w:p>
    <w:p>
      <w:pPr>
        <w:pStyle w:val="nzSubsection"/>
      </w:pPr>
      <w:r>
        <w:tab/>
        <w:t>(3)</w:t>
      </w:r>
      <w:r>
        <w:tab/>
        <w:t>In section 15A(3E) delete “him” and insert:</w:t>
      </w:r>
    </w:p>
    <w:p>
      <w:pPr>
        <w:pStyle w:val="BlankOpen"/>
      </w:pPr>
    </w:p>
    <w:p>
      <w:pPr>
        <w:pStyle w:val="nzSubsection"/>
      </w:pPr>
      <w:r>
        <w:tab/>
      </w:r>
      <w:r>
        <w:tab/>
        <w:t>the Treasurer</w:t>
      </w:r>
    </w:p>
    <w:p>
      <w:pPr>
        <w:pStyle w:val="BlankClose"/>
      </w:pPr>
    </w:p>
    <w:p>
      <w:pPr>
        <w:pStyle w:val="nzSubsection"/>
      </w:pPr>
      <w:r>
        <w:tab/>
        <w:t>(4)</w:t>
      </w:r>
      <w:r>
        <w:tab/>
        <w:t>After section 15A(5) insert:</w:t>
      </w:r>
    </w:p>
    <w:p>
      <w:pPr>
        <w:pStyle w:val="BlankOpen"/>
      </w:pPr>
    </w:p>
    <w:p>
      <w:pPr>
        <w:pStyle w:val="nzSubsection"/>
      </w:pPr>
      <w:r>
        <w:tab/>
        <w:t>(6)</w:t>
      </w:r>
      <w:r>
        <w:tab/>
        <w:t>Sections 15B, 15C and 15D do not affect or apply to trust moneys used and applied in the manner provided and authorised by subsection (1).</w:t>
      </w:r>
    </w:p>
    <w:p>
      <w:pPr>
        <w:pStyle w:val="BlankClose"/>
      </w:pPr>
    </w:p>
    <w:p>
      <w:pPr>
        <w:pStyle w:val="nzHeading5"/>
      </w:pPr>
      <w:bookmarkStart w:id="420" w:name="_Toc443919921"/>
      <w:bookmarkStart w:id="421" w:name="_Toc449099960"/>
      <w:bookmarkStart w:id="422" w:name="_Toc464450013"/>
      <w:bookmarkStart w:id="423" w:name="_Toc464726697"/>
      <w:bookmarkStart w:id="424" w:name="_Toc464727092"/>
      <w:r>
        <w:rPr>
          <w:rStyle w:val="CharSectno"/>
        </w:rPr>
        <w:t>145</w:t>
      </w:r>
      <w:r>
        <w:t>.</w:t>
      </w:r>
      <w:r>
        <w:tab/>
        <w:t>Section 15B replaced</w:t>
      </w:r>
      <w:bookmarkEnd w:id="420"/>
      <w:bookmarkEnd w:id="421"/>
      <w:bookmarkEnd w:id="422"/>
      <w:bookmarkEnd w:id="423"/>
      <w:bookmarkEnd w:id="424"/>
    </w:p>
    <w:p>
      <w:pPr>
        <w:pStyle w:val="nzSubsection"/>
      </w:pPr>
      <w:r>
        <w:tab/>
      </w:r>
      <w:r>
        <w:tab/>
        <w:t>Delete section 15B and insert:</w:t>
      </w:r>
    </w:p>
    <w:p>
      <w:pPr>
        <w:pStyle w:val="BlankOpen"/>
      </w:pPr>
    </w:p>
    <w:p>
      <w:pPr>
        <w:pStyle w:val="nzHeading5"/>
      </w:pPr>
      <w:bookmarkStart w:id="425" w:name="_Toc443919922"/>
      <w:bookmarkStart w:id="426" w:name="_Toc449099961"/>
      <w:bookmarkStart w:id="427" w:name="_Toc464450014"/>
      <w:bookmarkStart w:id="428" w:name="_Toc464726698"/>
      <w:bookmarkStart w:id="429" w:name="_Toc464727093"/>
      <w:r>
        <w:t>15B.</w:t>
      </w:r>
      <w:r>
        <w:tab/>
        <w:t>Borrowing and other ways of raising money</w:t>
      </w:r>
      <w:bookmarkEnd w:id="425"/>
      <w:bookmarkEnd w:id="426"/>
      <w:bookmarkEnd w:id="427"/>
      <w:bookmarkEnd w:id="428"/>
      <w:bookmarkEnd w:id="429"/>
    </w:p>
    <w:p>
      <w:pPr>
        <w:pStyle w:val="nzSubsection"/>
      </w:pPr>
      <w:r>
        <w:tab/>
        <w:t>(1)</w:t>
      </w:r>
      <w:r>
        <w:tab/>
        <w:t xml:space="preserve">In this section — </w:t>
      </w:r>
    </w:p>
    <w:p>
      <w:pPr>
        <w:pStyle w:val="nz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nzSubsection"/>
        <w:keepNext/>
      </w:pPr>
      <w:r>
        <w:tab/>
        <w:t>(2)</w:t>
      </w:r>
      <w:r>
        <w:tab/>
        <w:t xml:space="preserve">The University may do all or any of the following — </w:t>
      </w:r>
    </w:p>
    <w:p>
      <w:pPr>
        <w:pStyle w:val="nzIndenta"/>
      </w:pPr>
      <w:r>
        <w:tab/>
        <w:t>(a)</w:t>
      </w:r>
      <w:r>
        <w:tab/>
        <w:t>borrow money;</w:t>
      </w:r>
    </w:p>
    <w:p>
      <w:pPr>
        <w:pStyle w:val="nzIndenta"/>
      </w:pPr>
      <w:r>
        <w:tab/>
        <w:t>(b)</w:t>
      </w:r>
      <w:r>
        <w:tab/>
        <w:t>obtain credit;</w:t>
      </w:r>
    </w:p>
    <w:p>
      <w:pPr>
        <w:pStyle w:val="nzIndenta"/>
      </w:pPr>
      <w:r>
        <w:tab/>
        <w:t>(c)</w:t>
      </w:r>
      <w:r>
        <w:tab/>
        <w:t>issue, acquire, hold or dispose of debt paper;</w:t>
      </w:r>
    </w:p>
    <w:p>
      <w:pPr>
        <w:pStyle w:val="nzIndenta"/>
      </w:pPr>
      <w:r>
        <w:tab/>
        <w:t>(d)</w:t>
      </w:r>
      <w:r>
        <w:tab/>
        <w:t>create and issue capital instruments;</w:t>
      </w:r>
    </w:p>
    <w:p>
      <w:pPr>
        <w:pStyle w:val="nzIndenta"/>
      </w:pPr>
      <w:r>
        <w:tab/>
        <w:t>(e)</w:t>
      </w:r>
      <w:r>
        <w:tab/>
        <w:t>arrange for financial accommodation to be extended to the University.</w:t>
      </w:r>
    </w:p>
    <w:p>
      <w:pPr>
        <w:pStyle w:val="nzSubsection"/>
      </w:pPr>
      <w:r>
        <w:tab/>
        <w:t>(3)</w:t>
      </w:r>
      <w:r>
        <w:tab/>
        <w:t xml:space="preserve">Capital instruments created and issued by the University under subsection (2)(d) — </w:t>
      </w:r>
    </w:p>
    <w:p>
      <w:pPr>
        <w:pStyle w:val="nzIndenta"/>
      </w:pPr>
      <w:r>
        <w:tab/>
        <w:t>(a)</w:t>
      </w:r>
      <w:r>
        <w:tab/>
        <w:t>may be described in any way determined by the University; and</w:t>
      </w:r>
    </w:p>
    <w:p>
      <w:pPr>
        <w:pStyle w:val="nzIndenta"/>
      </w:pPr>
      <w:r>
        <w:tab/>
        <w:t>(b)</w:t>
      </w:r>
      <w:r>
        <w:tab/>
        <w:t>are to be created and issued on whatever terms the University determines.</w:t>
      </w:r>
    </w:p>
    <w:p>
      <w:pPr>
        <w:pStyle w:val="nzSubsection"/>
      </w:pPr>
      <w:r>
        <w:tab/>
        <w:t>(4)</w:t>
      </w:r>
      <w:r>
        <w:tab/>
        <w:t>The University must keep whatever registers for the purposes of this section as are prescribed by regulations made under subsection (5).</w:t>
      </w:r>
    </w:p>
    <w:p>
      <w:pPr>
        <w:pStyle w:val="nzSubsection"/>
      </w:pPr>
      <w:r>
        <w:tab/>
        <w:t>(5)</w:t>
      </w:r>
      <w:r>
        <w:tab/>
        <w:t>The Governor may make regulations prescribing registers that are to be kept for the purposes of this section and the keeping of those registers.</w:t>
      </w:r>
    </w:p>
    <w:p>
      <w:pPr>
        <w:pStyle w:val="nzSubsection"/>
      </w:pPr>
      <w:r>
        <w:tab/>
        <w:t>(6)</w:t>
      </w:r>
      <w:r>
        <w:tab/>
        <w:t>Nothing in this section or section 15C or 15D affects or applies to trust moneys used and applied in the manner provided and authorised by section 15A(1).</w:t>
      </w:r>
    </w:p>
    <w:p>
      <w:pPr>
        <w:pStyle w:val="nzHeading5"/>
      </w:pPr>
      <w:bookmarkStart w:id="430" w:name="_Toc443919923"/>
      <w:bookmarkStart w:id="431" w:name="_Toc449099962"/>
      <w:bookmarkStart w:id="432" w:name="_Toc464450015"/>
      <w:bookmarkStart w:id="433" w:name="_Toc464726699"/>
      <w:bookmarkStart w:id="434" w:name="_Toc464727094"/>
      <w:r>
        <w:t>15C.</w:t>
      </w:r>
      <w:r>
        <w:tab/>
        <w:t>Notice of borrowing</w:t>
      </w:r>
      <w:bookmarkEnd w:id="430"/>
      <w:bookmarkEnd w:id="431"/>
      <w:bookmarkEnd w:id="432"/>
      <w:bookmarkEnd w:id="433"/>
      <w:bookmarkEnd w:id="434"/>
    </w:p>
    <w:p>
      <w:pPr>
        <w:pStyle w:val="nzSubsection"/>
      </w:pPr>
      <w:r>
        <w:tab/>
        <w:t>(1)</w:t>
      </w:r>
      <w:r>
        <w:tab/>
        <w:t xml:space="preserve">If the University intends to borrow money and seek a guarantee under section 15D in respect of that borrowing, the University must — </w:t>
      </w:r>
    </w:p>
    <w:p>
      <w:pPr>
        <w:pStyle w:val="nzIndenta"/>
      </w:pPr>
      <w:r>
        <w:tab/>
        <w:t>(a)</w:t>
      </w:r>
      <w:r>
        <w:tab/>
        <w:t>give the Minister reasonable advance notice of its intention to borrow that money and to seek a guarantee; and</w:t>
      </w:r>
    </w:p>
    <w:p>
      <w:pPr>
        <w:pStyle w:val="nzIndenta"/>
      </w:pPr>
      <w:r>
        <w:tab/>
        <w:t>(b)</w:t>
      </w:r>
      <w:r>
        <w:tab/>
        <w:t>notify the Minister of the outcome of the University’s application to borrow that money.</w:t>
      </w:r>
    </w:p>
    <w:p>
      <w:pPr>
        <w:pStyle w:val="nzSubsection"/>
      </w:pPr>
      <w:r>
        <w:tab/>
        <w:t>(2)</w:t>
      </w:r>
      <w:r>
        <w:tab/>
        <w:t>A liability of the University is not unenforceable or in any way affected by the University’s failure to comply with subsection (1).</w:t>
      </w:r>
    </w:p>
    <w:p>
      <w:pPr>
        <w:pStyle w:val="nzHeading5"/>
      </w:pPr>
      <w:bookmarkStart w:id="435" w:name="_Toc443919924"/>
      <w:bookmarkStart w:id="436" w:name="_Toc449099963"/>
      <w:bookmarkStart w:id="437" w:name="_Toc464450016"/>
      <w:bookmarkStart w:id="438" w:name="_Toc464726700"/>
      <w:bookmarkStart w:id="439" w:name="_Toc464727095"/>
      <w:r>
        <w:t>15D.</w:t>
      </w:r>
      <w:r>
        <w:tab/>
        <w:t>Guarantees</w:t>
      </w:r>
      <w:bookmarkEnd w:id="435"/>
      <w:bookmarkEnd w:id="436"/>
      <w:bookmarkEnd w:id="437"/>
      <w:bookmarkEnd w:id="438"/>
      <w:bookmarkEnd w:id="439"/>
    </w:p>
    <w:p>
      <w:pPr>
        <w:pStyle w:val="nzSubsection"/>
      </w:pPr>
      <w:r>
        <w:tab/>
        <w:t>(1)</w:t>
      </w:r>
      <w:r>
        <w:tab/>
        <w:t>The Treasurer, on the Minister’s recommendation, may guarantee the performance by the University in the State or elsewhere, of any financial obligation of the University.</w:t>
      </w:r>
    </w:p>
    <w:p>
      <w:pPr>
        <w:pStyle w:val="nzSubsection"/>
      </w:pPr>
      <w:r>
        <w:tab/>
        <w:t>(2)</w:t>
      </w:r>
      <w:r>
        <w:tab/>
        <w:t xml:space="preserve">A guarantee — </w:t>
      </w:r>
    </w:p>
    <w:p>
      <w:pPr>
        <w:pStyle w:val="nzIndenta"/>
      </w:pPr>
      <w:r>
        <w:tab/>
        <w:t>(a)</w:t>
      </w:r>
      <w:r>
        <w:tab/>
        <w:t>is given in the name and on behalf of the State; and</w:t>
      </w:r>
    </w:p>
    <w:p>
      <w:pPr>
        <w:pStyle w:val="nzIndenta"/>
      </w:pPr>
      <w:r>
        <w:tab/>
        <w:t>(b)</w:t>
      </w:r>
      <w:r>
        <w:tab/>
        <w:t>must be in the form, and contain the terms and conditions, that the Treasurer determines; and</w:t>
      </w:r>
    </w:p>
    <w:p>
      <w:pPr>
        <w:pStyle w:val="nz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nzSubsection"/>
      </w:pPr>
      <w:r>
        <w:tab/>
        <w:t>(3)</w:t>
      </w:r>
      <w:r>
        <w:tab/>
        <w:t xml:space="preserve">Before a guarantee is given, the University must — </w:t>
      </w:r>
    </w:p>
    <w:p>
      <w:pPr>
        <w:pStyle w:val="nzIndenta"/>
      </w:pPr>
      <w:r>
        <w:tab/>
        <w:t>(a)</w:t>
      </w:r>
      <w:r>
        <w:tab/>
        <w:t>give the Treasurer any security that the Treasurer requires; and</w:t>
      </w:r>
    </w:p>
    <w:p>
      <w:pPr>
        <w:pStyle w:val="nzIndenta"/>
      </w:pPr>
      <w:r>
        <w:tab/>
        <w:t>(b)</w:t>
      </w:r>
      <w:r>
        <w:tab/>
        <w:t>execute all instruments that are required for that purpose.</w:t>
      </w:r>
    </w:p>
    <w:p>
      <w:pPr>
        <w:pStyle w:val="nzSubsection"/>
      </w:pPr>
      <w:r>
        <w:tab/>
        <w:t>(4)</w:t>
      </w:r>
      <w:r>
        <w:tab/>
        <w:t>Payments made by the Treasurer under a guarantee are to be charged to the Consolidated Account, and this subsection appropriates that Account accordingly.</w:t>
      </w:r>
    </w:p>
    <w:p>
      <w:pPr>
        <w:pStyle w:val="nzSubsection"/>
      </w:pPr>
      <w:r>
        <w:tab/>
        <w:t>(5)</w:t>
      </w:r>
      <w:r>
        <w:tab/>
        <w:t>The Treasurer must cause to be credited to the Consolidated Account any amounts received or recovered from the University or otherwise in respect of any payment made by the Treasurer under a guarantee.</w:t>
      </w:r>
    </w:p>
    <w:p>
      <w:pPr>
        <w:pStyle w:val="nzHeading5"/>
      </w:pPr>
      <w:bookmarkStart w:id="440" w:name="_Toc443919925"/>
      <w:bookmarkStart w:id="441" w:name="_Toc449099964"/>
      <w:bookmarkStart w:id="442" w:name="_Toc464450017"/>
      <w:bookmarkStart w:id="443" w:name="_Toc464726701"/>
      <w:bookmarkStart w:id="444" w:name="_Toc464727096"/>
      <w:r>
        <w:t>15E.</w:t>
      </w:r>
      <w:r>
        <w:tab/>
        <w:t>Charges for guarantee</w:t>
      </w:r>
      <w:bookmarkEnd w:id="440"/>
      <w:bookmarkEnd w:id="441"/>
      <w:bookmarkEnd w:id="442"/>
      <w:bookmarkEnd w:id="443"/>
      <w:bookmarkEnd w:id="444"/>
    </w:p>
    <w:p>
      <w:pPr>
        <w:pStyle w:val="nzSubsection"/>
      </w:pPr>
      <w:r>
        <w:tab/>
        <w:t>(1)</w:t>
      </w:r>
      <w:r>
        <w:tab/>
        <w:t>The Treasurer may, from time to time, after consultation with the University, fix charges to be paid by the University in respect of a guarantee under section 15D.</w:t>
      </w:r>
    </w:p>
    <w:p>
      <w:pPr>
        <w:pStyle w:val="nzSubsection"/>
      </w:pPr>
      <w:r>
        <w:tab/>
        <w:t>(2)</w:t>
      </w:r>
      <w:r>
        <w:tab/>
        <w:t xml:space="preserve">Payments by the University in respect of charges fixed under subsection (1) — </w:t>
      </w:r>
    </w:p>
    <w:p>
      <w:pPr>
        <w:pStyle w:val="nzIndenta"/>
      </w:pPr>
      <w:r>
        <w:tab/>
        <w:t>(a)</w:t>
      </w:r>
      <w:r>
        <w:tab/>
        <w:t>must be made at the times, and in the instalments, that the Treasurer determines and notifies to the University; and</w:t>
      </w:r>
    </w:p>
    <w:p>
      <w:pPr>
        <w:pStyle w:val="nzIndenta"/>
      </w:pPr>
      <w:r>
        <w:tab/>
        <w:t>(b)</w:t>
      </w:r>
      <w:r>
        <w:tab/>
        <w:t>must be credited to the Consolidated Account.</w:t>
      </w:r>
    </w:p>
    <w:p>
      <w:pPr>
        <w:pStyle w:val="nzHeading5"/>
      </w:pPr>
      <w:bookmarkStart w:id="445" w:name="_Toc443919926"/>
      <w:bookmarkStart w:id="446" w:name="_Toc449099965"/>
      <w:bookmarkStart w:id="447" w:name="_Toc464450018"/>
      <w:bookmarkStart w:id="448" w:name="_Toc464726702"/>
      <w:bookmarkStart w:id="449" w:name="_Toc464727097"/>
      <w:r>
        <w:t>15F.</w:t>
      </w:r>
      <w:r>
        <w:tab/>
        <w:t>Power of University to provide residential accommodation for staff and students</w:t>
      </w:r>
      <w:bookmarkEnd w:id="445"/>
      <w:bookmarkEnd w:id="446"/>
      <w:bookmarkEnd w:id="447"/>
      <w:bookmarkEnd w:id="448"/>
      <w:bookmarkEnd w:id="449"/>
    </w:p>
    <w:p>
      <w:pPr>
        <w:pStyle w:val="nzSubsection"/>
      </w:pPr>
      <w:r>
        <w:tab/>
        <w:t>(1)</w:t>
      </w:r>
      <w:r>
        <w:tab/>
        <w:t>The University may provide residential accommodation for staff of the University, or students, or both.</w:t>
      </w:r>
    </w:p>
    <w:p>
      <w:pPr>
        <w:pStyle w:val="nzSubsection"/>
      </w:pPr>
      <w:r>
        <w:tab/>
        <w:t>(2)</w:t>
      </w:r>
      <w:r>
        <w:tab/>
        <w:t>The restrictions imposed by section 15(3) do not apply to the lease of any part of University lands referred to in section 15(3) if the purpose of the lease is the provision of residential accommodation in accordance with this section.</w:t>
      </w:r>
    </w:p>
    <w:p>
      <w:pPr>
        <w:pStyle w:val="BlankClose"/>
      </w:pPr>
    </w:p>
    <w:p>
      <w:pPr>
        <w:pStyle w:val="nzHeading5"/>
      </w:pPr>
      <w:bookmarkStart w:id="450" w:name="_Toc443919927"/>
      <w:bookmarkStart w:id="451" w:name="_Toc449099966"/>
      <w:bookmarkStart w:id="452" w:name="_Toc464450019"/>
      <w:bookmarkStart w:id="453" w:name="_Toc464726703"/>
      <w:bookmarkStart w:id="454" w:name="_Toc464727098"/>
      <w:r>
        <w:rPr>
          <w:rStyle w:val="CharSectno"/>
        </w:rPr>
        <w:t>146</w:t>
      </w:r>
      <w:r>
        <w:t>.</w:t>
      </w:r>
      <w:r>
        <w:tab/>
        <w:t>Section 16AA inserted</w:t>
      </w:r>
      <w:bookmarkEnd w:id="450"/>
      <w:bookmarkEnd w:id="451"/>
      <w:bookmarkEnd w:id="452"/>
      <w:bookmarkEnd w:id="453"/>
      <w:bookmarkEnd w:id="454"/>
    </w:p>
    <w:p>
      <w:pPr>
        <w:pStyle w:val="nzSubsection"/>
        <w:keepNext/>
      </w:pPr>
      <w:r>
        <w:tab/>
      </w:r>
      <w:r>
        <w:tab/>
        <w:t>Before section 16A insert:</w:t>
      </w:r>
    </w:p>
    <w:p>
      <w:pPr>
        <w:pStyle w:val="nzHeading5"/>
      </w:pPr>
      <w:bookmarkStart w:id="455" w:name="_Toc443919928"/>
      <w:bookmarkStart w:id="456" w:name="_Toc449099967"/>
      <w:bookmarkStart w:id="457" w:name="_Toc464450020"/>
      <w:bookmarkStart w:id="458" w:name="_Toc464726704"/>
      <w:bookmarkStart w:id="459" w:name="_Toc464727099"/>
      <w:r>
        <w:t>16AA.</w:t>
      </w:r>
      <w:r>
        <w:tab/>
        <w:t>Authorised persons</w:t>
      </w:r>
      <w:bookmarkEnd w:id="455"/>
      <w:bookmarkEnd w:id="456"/>
      <w:bookmarkEnd w:id="457"/>
      <w:bookmarkEnd w:id="458"/>
      <w:bookmarkEnd w:id="459"/>
    </w:p>
    <w:p>
      <w:pPr>
        <w:pStyle w:val="nzSubsection"/>
      </w:pPr>
      <w:r>
        <w:tab/>
        <w:t>(1)</w:t>
      </w:r>
      <w:r>
        <w:tab/>
        <w:t xml:space="preserve">For the purposes of sections 16A to 16F — </w:t>
      </w:r>
    </w:p>
    <w:p>
      <w:pPr>
        <w:pStyle w:val="nzDefstart"/>
      </w:pPr>
      <w:r>
        <w:tab/>
      </w:r>
      <w:r>
        <w:rPr>
          <w:rStyle w:val="CharDefText"/>
        </w:rPr>
        <w:t>authorised person</w:t>
      </w:r>
      <w:r>
        <w:t xml:space="preserve"> means — </w:t>
      </w:r>
    </w:p>
    <w:p>
      <w:pPr>
        <w:pStyle w:val="nzDefpara"/>
      </w:pPr>
      <w:r>
        <w:tab/>
        <w:t>(a)</w:t>
      </w:r>
      <w:r>
        <w:tab/>
        <w:t>a police officer; or</w:t>
      </w:r>
    </w:p>
    <w:p>
      <w:pPr>
        <w:pStyle w:val="nzDefpara"/>
      </w:pPr>
      <w:r>
        <w:tab/>
        <w:t>(b)</w:t>
      </w:r>
      <w:r>
        <w:tab/>
        <w:t>the Vice</w:t>
      </w:r>
      <w:r>
        <w:noBreakHyphen/>
        <w:t>Chancellor; or</w:t>
      </w:r>
    </w:p>
    <w:p>
      <w:pPr>
        <w:pStyle w:val="nzDefpara"/>
      </w:pPr>
      <w:r>
        <w:tab/>
        <w:t>(c)</w:t>
      </w:r>
      <w:r>
        <w:tab/>
        <w:t>a member of the staff of the University, or a contractor, who is authorised under subsection (2) for the purposes of the provision of this section in which the term is used;</w:t>
      </w:r>
    </w:p>
    <w:p>
      <w:pPr>
        <w:pStyle w:val="nzDefstart"/>
      </w:pPr>
      <w:r>
        <w:tab/>
      </w:r>
      <w:r>
        <w:rPr>
          <w:rStyle w:val="CharDefText"/>
        </w:rPr>
        <w:t>contractor</w:t>
      </w:r>
      <w:r>
        <w:t xml:space="preserve"> means — </w:t>
      </w:r>
    </w:p>
    <w:p>
      <w:pPr>
        <w:pStyle w:val="nzDefpara"/>
      </w:pPr>
      <w:r>
        <w:tab/>
        <w:t>(a)</w:t>
      </w:r>
      <w:r>
        <w:tab/>
        <w:t>an individual who works under a contract for services for the University; or</w:t>
      </w:r>
    </w:p>
    <w:p>
      <w:pPr>
        <w:pStyle w:val="nzDefpara"/>
      </w:pPr>
      <w:r>
        <w:tab/>
        <w:t>(b)</w:t>
      </w:r>
      <w:r>
        <w:tab/>
        <w:t>an employee of a body that provides services to the University under a contract;</w:t>
      </w:r>
    </w:p>
    <w:p>
      <w:pPr>
        <w:pStyle w:val="nzDefstart"/>
      </w:pPr>
      <w:r>
        <w:tab/>
      </w:r>
      <w:r>
        <w:rPr>
          <w:rStyle w:val="CharDefText"/>
        </w:rPr>
        <w:t>owner</w:t>
      </w:r>
      <w:r>
        <w:t xml:space="preserve">, in relation to a vehicle, means a person who is the owner of that vehicle for the purposes of the </w:t>
      </w:r>
      <w:r>
        <w:rPr>
          <w:i/>
        </w:rPr>
        <w:t>Road Traffic (Administration) Act 2008</w:t>
      </w:r>
      <w:r>
        <w:t>.</w:t>
      </w:r>
    </w:p>
    <w:p>
      <w:pPr>
        <w:pStyle w:val="nzSubsection"/>
      </w:pPr>
      <w:r>
        <w:tab/>
        <w:t>(2)</w:t>
      </w:r>
      <w:r>
        <w:tab/>
        <w:t>The Vice</w:t>
      </w:r>
      <w:r>
        <w:noBreakHyphen/>
        <w:t xml:space="preserve">Chancellor may, in writing — </w:t>
      </w:r>
    </w:p>
    <w:p>
      <w:pPr>
        <w:pStyle w:val="nzIndenta"/>
      </w:pPr>
      <w:r>
        <w:tab/>
        <w:t>(a)</w:t>
      </w:r>
      <w:r>
        <w:tab/>
        <w:t>designate a member of the staff of the University to be an authorised person for the purposes of any or all of section 16A(2)(j) or (k) or (3) or 16C(2); and</w:t>
      </w:r>
    </w:p>
    <w:p>
      <w:pPr>
        <w:pStyle w:val="nzIndenta"/>
      </w:pPr>
      <w:r>
        <w:tab/>
        <w:t>(b)</w:t>
      </w:r>
      <w:r>
        <w:tab/>
        <w:t>authorise a contractor to be an authorised person for the purposes of any or all of section 16A(2)(j) or (k) or (3) or 16C(2); and</w:t>
      </w:r>
    </w:p>
    <w:p>
      <w:pPr>
        <w:pStyle w:val="nzIndenta"/>
      </w:pPr>
      <w:r>
        <w:tab/>
        <w:t>(c)</w:t>
      </w:r>
      <w:r>
        <w:tab/>
        <w:t>revoke a designation or authorisation made under this subsection.</w:t>
      </w:r>
    </w:p>
    <w:p>
      <w:pPr>
        <w:pStyle w:val="nzSubsection"/>
      </w:pPr>
      <w:r>
        <w:tab/>
        <w:t>(3)</w:t>
      </w:r>
      <w:r>
        <w:tab/>
        <w:t xml:space="preserve">A designation or authorisation of a person under subsection (2) ceases to have effect if — </w:t>
      </w:r>
    </w:p>
    <w:p>
      <w:pPr>
        <w:pStyle w:val="nzIndenta"/>
      </w:pPr>
      <w:r>
        <w:tab/>
        <w:t>(a)</w:t>
      </w:r>
      <w:r>
        <w:tab/>
        <w:t>the designation or authorisation is revoked; or</w:t>
      </w:r>
    </w:p>
    <w:p>
      <w:pPr>
        <w:pStyle w:val="nzIndenta"/>
      </w:pPr>
      <w:r>
        <w:tab/>
        <w:t>(b)</w:t>
      </w:r>
      <w:r>
        <w:tab/>
        <w:t>the person ceases to be a member of the staff of the University or a contractor.</w:t>
      </w:r>
    </w:p>
    <w:p>
      <w:pPr>
        <w:pStyle w:val="BlankClose"/>
      </w:pPr>
    </w:p>
    <w:p>
      <w:pPr>
        <w:pStyle w:val="nzHeading5"/>
      </w:pPr>
      <w:bookmarkStart w:id="460" w:name="_Toc443919929"/>
      <w:bookmarkStart w:id="461" w:name="_Toc449099968"/>
      <w:bookmarkStart w:id="462" w:name="_Toc464450021"/>
      <w:bookmarkStart w:id="463" w:name="_Toc464726705"/>
      <w:bookmarkStart w:id="464" w:name="_Toc464727100"/>
      <w:r>
        <w:rPr>
          <w:rStyle w:val="CharSectno"/>
        </w:rPr>
        <w:t>147</w:t>
      </w:r>
      <w:r>
        <w:t>.</w:t>
      </w:r>
      <w:r>
        <w:tab/>
        <w:t>Section 16A amended</w:t>
      </w:r>
      <w:bookmarkEnd w:id="460"/>
      <w:bookmarkEnd w:id="461"/>
      <w:bookmarkEnd w:id="462"/>
      <w:bookmarkEnd w:id="463"/>
      <w:bookmarkEnd w:id="464"/>
    </w:p>
    <w:p>
      <w:pPr>
        <w:pStyle w:val="nzSubsection"/>
      </w:pPr>
      <w:r>
        <w:tab/>
        <w:t>(1)</w:t>
      </w:r>
      <w:r>
        <w:tab/>
        <w:t>Delete section 16A(1) and insert:</w:t>
      </w:r>
    </w:p>
    <w:p>
      <w:pPr>
        <w:pStyle w:val="BlankOpen"/>
      </w:pPr>
    </w:p>
    <w:p>
      <w:pPr>
        <w:pStyle w:val="nzSubsection"/>
      </w:pPr>
      <w:r>
        <w:tab/>
        <w:t>(1)</w:t>
      </w:r>
      <w:r>
        <w:tab/>
        <w:t xml:space="preserve">In this section — </w:t>
      </w:r>
    </w:p>
    <w:p>
      <w:pPr>
        <w:pStyle w:val="nzDefstart"/>
      </w:pPr>
      <w:r>
        <w:tab/>
      </w:r>
      <w:r>
        <w:rPr>
          <w:rStyle w:val="CharDefText"/>
        </w:rPr>
        <w:t>lands of the University</w:t>
      </w:r>
      <w:r>
        <w:t xml:space="preserve"> means the lands described in subsection (4) and includes all buildings, structures and erections of any kind (whether permanent or temporary) on that land.</w:t>
      </w:r>
    </w:p>
    <w:p>
      <w:pPr>
        <w:pStyle w:val="BlankClose"/>
      </w:pPr>
    </w:p>
    <w:p>
      <w:pPr>
        <w:pStyle w:val="nzSubsection"/>
      </w:pPr>
      <w:r>
        <w:tab/>
        <w:t>(2)</w:t>
      </w:r>
      <w:r>
        <w:tab/>
        <w:t>In section 16A(2):</w:t>
      </w:r>
    </w:p>
    <w:p>
      <w:pPr>
        <w:pStyle w:val="nzIndenta"/>
      </w:pPr>
      <w:r>
        <w:tab/>
        <w:t>(a)</w:t>
      </w:r>
      <w:r>
        <w:tab/>
        <w:t>delete “time, with the approval of the Governor,” and insert:</w:t>
      </w:r>
    </w:p>
    <w:p>
      <w:pPr>
        <w:pStyle w:val="BlankOpen"/>
      </w:pPr>
    </w:p>
    <w:p>
      <w:pPr>
        <w:pStyle w:val="nzIndenta"/>
      </w:pPr>
      <w:r>
        <w:tab/>
      </w:r>
      <w:r>
        <w:tab/>
        <w:t>time</w:t>
      </w:r>
    </w:p>
    <w:p>
      <w:pPr>
        <w:pStyle w:val="BlankClose"/>
      </w:pPr>
    </w:p>
    <w:p>
      <w:pPr>
        <w:pStyle w:val="nzIndenta"/>
      </w:pPr>
      <w:r>
        <w:tab/>
        <w:t>(b)</w:t>
      </w:r>
      <w:r>
        <w:tab/>
        <w:t>delete “University, hereafter described,” and insert:</w:t>
      </w:r>
    </w:p>
    <w:p>
      <w:pPr>
        <w:pStyle w:val="BlankOpen"/>
      </w:pPr>
    </w:p>
    <w:p>
      <w:pPr>
        <w:pStyle w:val="nzIndenta"/>
      </w:pPr>
      <w:r>
        <w:tab/>
      </w:r>
      <w:r>
        <w:tab/>
        <w:t>University</w:t>
      </w:r>
    </w:p>
    <w:p>
      <w:pPr>
        <w:pStyle w:val="BlankClose"/>
      </w:pPr>
    </w:p>
    <w:p>
      <w:pPr>
        <w:pStyle w:val="nzIndenta"/>
      </w:pPr>
      <w:r>
        <w:tab/>
        <w:t>(c)</w:t>
      </w:r>
      <w:r>
        <w:tab/>
        <w:t>in paragraph (d) delete “police constable or an”;</w:t>
      </w:r>
    </w:p>
    <w:p>
      <w:pPr>
        <w:pStyle w:val="nzIndenta"/>
      </w:pPr>
      <w:r>
        <w:tab/>
        <w:t>(d)</w:t>
      </w:r>
      <w:r>
        <w:tab/>
        <w:t>delete paragraphs (j) and (k) and insert:</w:t>
      </w:r>
    </w:p>
    <w:p>
      <w:pPr>
        <w:pStyle w:val="BlankOpen"/>
      </w:pPr>
    </w:p>
    <w:p>
      <w:pPr>
        <w:pStyle w:val="nzIndenta"/>
      </w:pPr>
      <w:r>
        <w:tab/>
        <w:t>(j)</w:t>
      </w:r>
      <w:r>
        <w:tab/>
        <w:t>authorise an authorised person to remove from such lands any person guilty of a breach of a by</w:t>
      </w:r>
      <w:r>
        <w:noBreakHyphen/>
        <w:t>law and to prohibit the obstruction of an authorised person; and</w:t>
      </w:r>
    </w:p>
    <w:p>
      <w:pPr>
        <w:pStyle w:val="nzIndenta"/>
      </w:pPr>
      <w:r>
        <w:tab/>
        <w:t>(k)</w:t>
      </w:r>
      <w:r>
        <w:tab/>
        <w:t>require any person using such lands to give their name and address if required to do so by an authorised person; and</w:t>
      </w:r>
    </w:p>
    <w:p>
      <w:pPr>
        <w:pStyle w:val="BlankClose"/>
      </w:pPr>
    </w:p>
    <w:p>
      <w:pPr>
        <w:pStyle w:val="nzIndenta"/>
      </w:pPr>
      <w:r>
        <w:tab/>
        <w:t>(e)</w:t>
      </w:r>
      <w:r>
        <w:tab/>
        <w:t>in paragraph (l) delete “and”.</w:t>
      </w:r>
    </w:p>
    <w:p>
      <w:pPr>
        <w:pStyle w:val="nzSubsection"/>
      </w:pPr>
      <w:r>
        <w:tab/>
        <w:t>(3)</w:t>
      </w:r>
      <w:r>
        <w:tab/>
        <w:t>In section 16A(3):</w:t>
      </w:r>
    </w:p>
    <w:p>
      <w:pPr>
        <w:pStyle w:val="nzIndenta"/>
      </w:pPr>
      <w:r>
        <w:tab/>
        <w:t>(a)</w:t>
      </w:r>
      <w:r>
        <w:tab/>
        <w:t>in paragraph (d)(i) delete “his” and insert:</w:t>
      </w:r>
    </w:p>
    <w:p>
      <w:pPr>
        <w:pStyle w:val="BlankOpen"/>
      </w:pPr>
    </w:p>
    <w:p>
      <w:pPr>
        <w:pStyle w:val="nzIndenta"/>
      </w:pPr>
      <w:r>
        <w:tab/>
      </w:r>
      <w:r>
        <w:tab/>
        <w:t>the owner’s</w:t>
      </w:r>
    </w:p>
    <w:p>
      <w:pPr>
        <w:pStyle w:val="BlankClose"/>
      </w:pPr>
    </w:p>
    <w:p>
      <w:pPr>
        <w:pStyle w:val="nzIndenta"/>
      </w:pPr>
      <w:r>
        <w:tab/>
        <w:t>(b)</w:t>
      </w:r>
      <w:r>
        <w:tab/>
        <w:t>in paragraph (e) delete “his” and insert:</w:t>
      </w:r>
    </w:p>
    <w:p>
      <w:pPr>
        <w:pStyle w:val="BlankOpen"/>
      </w:pPr>
    </w:p>
    <w:p>
      <w:pPr>
        <w:pStyle w:val="nzIndenta"/>
      </w:pPr>
      <w:r>
        <w:tab/>
      </w:r>
      <w:r>
        <w:tab/>
        <w:t>the authorised person’s</w:t>
      </w:r>
    </w:p>
    <w:p>
      <w:pPr>
        <w:pStyle w:val="BlankClose"/>
      </w:pPr>
    </w:p>
    <w:p>
      <w:pPr>
        <w:pStyle w:val="nzIndenta"/>
      </w:pPr>
      <w:r>
        <w:tab/>
        <w:t>(c)</w:t>
      </w:r>
      <w:r>
        <w:tab/>
        <w:t>in paragraph (g) delete “he” and insert:</w:t>
      </w:r>
    </w:p>
    <w:p>
      <w:pPr>
        <w:pStyle w:val="BlankOpen"/>
      </w:pPr>
    </w:p>
    <w:p>
      <w:pPr>
        <w:pStyle w:val="nzIndenta"/>
      </w:pPr>
      <w:r>
        <w:tab/>
      </w:r>
      <w:r>
        <w:tab/>
        <w:t>the person</w:t>
      </w:r>
    </w:p>
    <w:p>
      <w:pPr>
        <w:pStyle w:val="BlankClose"/>
      </w:pPr>
    </w:p>
    <w:p>
      <w:pPr>
        <w:pStyle w:val="nzSubsection"/>
      </w:pPr>
      <w:r>
        <w:tab/>
        <w:t>(4)</w:t>
      </w:r>
      <w:r>
        <w:tab/>
        <w:t>Delete section 16A(7).</w:t>
      </w:r>
    </w:p>
    <w:p>
      <w:pPr>
        <w:pStyle w:val="nzSubsection"/>
      </w:pPr>
      <w:r>
        <w:tab/>
        <w:t>(5)</w:t>
      </w:r>
      <w:r>
        <w:tab/>
        <w:t>In section 16A(2) after each of paragraphs (a) to (i) insert:</w:t>
      </w:r>
    </w:p>
    <w:p>
      <w:pPr>
        <w:pStyle w:val="BlankOpen"/>
      </w:pPr>
    </w:p>
    <w:p>
      <w:pPr>
        <w:pStyle w:val="nzSubsection"/>
      </w:pPr>
      <w:r>
        <w:tab/>
      </w:r>
      <w:r>
        <w:tab/>
        <w:t>and</w:t>
      </w:r>
    </w:p>
    <w:p>
      <w:pPr>
        <w:pStyle w:val="BlankClose"/>
      </w:pPr>
    </w:p>
    <w:p>
      <w:pPr>
        <w:pStyle w:val="nzHeading5"/>
      </w:pPr>
      <w:bookmarkStart w:id="465" w:name="_Toc443919930"/>
      <w:bookmarkStart w:id="466" w:name="_Toc449099969"/>
      <w:bookmarkStart w:id="467" w:name="_Toc464450022"/>
      <w:bookmarkStart w:id="468" w:name="_Toc464726706"/>
      <w:bookmarkStart w:id="469" w:name="_Toc464727101"/>
      <w:r>
        <w:rPr>
          <w:rStyle w:val="CharSectno"/>
        </w:rPr>
        <w:t>148</w:t>
      </w:r>
      <w:r>
        <w:t>.</w:t>
      </w:r>
      <w:r>
        <w:tab/>
        <w:t>Sections 16B and 16C replaced</w:t>
      </w:r>
      <w:bookmarkEnd w:id="465"/>
      <w:bookmarkEnd w:id="466"/>
      <w:bookmarkEnd w:id="467"/>
      <w:bookmarkEnd w:id="468"/>
      <w:bookmarkEnd w:id="469"/>
    </w:p>
    <w:p>
      <w:pPr>
        <w:pStyle w:val="nzSubsection"/>
      </w:pPr>
      <w:r>
        <w:tab/>
      </w:r>
      <w:r>
        <w:tab/>
        <w:t>Delete sections 16B and 16C and insert:</w:t>
      </w:r>
    </w:p>
    <w:p>
      <w:pPr>
        <w:pStyle w:val="BlankOpen"/>
      </w:pPr>
    </w:p>
    <w:p>
      <w:pPr>
        <w:pStyle w:val="nzHeading5"/>
      </w:pPr>
      <w:bookmarkStart w:id="470" w:name="_Toc443919931"/>
      <w:bookmarkStart w:id="471" w:name="_Toc449099970"/>
      <w:bookmarkStart w:id="472" w:name="_Toc464450023"/>
      <w:bookmarkStart w:id="473" w:name="_Toc464726707"/>
      <w:bookmarkStart w:id="474" w:name="_Toc464727102"/>
      <w:r>
        <w:t>16B.</w:t>
      </w:r>
      <w:r>
        <w:tab/>
        <w:t>Approval, publication, disallowance and proof of by</w:t>
      </w:r>
      <w:r>
        <w:noBreakHyphen/>
        <w:t>laws</w:t>
      </w:r>
      <w:bookmarkEnd w:id="470"/>
      <w:bookmarkEnd w:id="471"/>
      <w:bookmarkEnd w:id="472"/>
      <w:bookmarkEnd w:id="473"/>
      <w:bookmarkEnd w:id="474"/>
    </w:p>
    <w:p>
      <w:pPr>
        <w:pStyle w:val="nzSubsection"/>
      </w:pPr>
      <w:r>
        <w:tab/>
        <w:t>(1)</w:t>
      </w:r>
      <w:r>
        <w:tab/>
        <w:t>A by</w:t>
      </w:r>
      <w:r>
        <w:noBreakHyphen/>
        <w:t xml:space="preserve">law made by the Senate — </w:t>
      </w:r>
    </w:p>
    <w:p>
      <w:pPr>
        <w:pStyle w:val="nzIndenta"/>
      </w:pPr>
      <w:r>
        <w:tab/>
        <w:t>(a)</w:t>
      </w:r>
      <w:r>
        <w:tab/>
        <w:t>must be sealed with the common seal of the University; and</w:t>
      </w:r>
    </w:p>
    <w:p>
      <w:pPr>
        <w:pStyle w:val="nzIndenta"/>
      </w:pPr>
      <w:r>
        <w:tab/>
        <w:t>(b)</w:t>
      </w:r>
      <w:r>
        <w:tab/>
        <w:t>must be submitted to the Governor for approval; and</w:t>
      </w:r>
    </w:p>
    <w:p>
      <w:pPr>
        <w:pStyle w:val="nzIndenta"/>
      </w:pPr>
      <w:r>
        <w:tab/>
        <w:t>(c)</w:t>
      </w:r>
      <w:r>
        <w:tab/>
        <w:t xml:space="preserve">if approved by the Governor, must be published in the </w:t>
      </w:r>
      <w:r>
        <w:rPr>
          <w:i/>
        </w:rPr>
        <w:t>Gazette</w:t>
      </w:r>
      <w:r>
        <w:t>; and</w:t>
      </w:r>
    </w:p>
    <w:p>
      <w:pPr>
        <w:pStyle w:val="nzIndenta"/>
      </w:pPr>
      <w:r>
        <w:tab/>
        <w:t>(d)</w:t>
      </w:r>
      <w:r>
        <w:tab/>
        <w:t xml:space="preserve">takes effect on the later of — </w:t>
      </w:r>
    </w:p>
    <w:p>
      <w:pPr>
        <w:pStyle w:val="nzIndenti"/>
      </w:pPr>
      <w:r>
        <w:tab/>
        <w:t>(i)</w:t>
      </w:r>
      <w:r>
        <w:tab/>
        <w:t xml:space="preserve">the day after publication in the </w:t>
      </w:r>
      <w:r>
        <w:rPr>
          <w:i/>
        </w:rPr>
        <w:t>Gazette</w:t>
      </w:r>
      <w:r>
        <w:t>; or</w:t>
      </w:r>
    </w:p>
    <w:p>
      <w:pPr>
        <w:pStyle w:val="nzIndenti"/>
      </w:pPr>
      <w:r>
        <w:tab/>
        <w:t>(ii)</w:t>
      </w:r>
      <w:r>
        <w:tab/>
        <w:t>if a later day is specified for that purpose in the by</w:t>
      </w:r>
      <w:r>
        <w:noBreakHyphen/>
        <w:t>law, that day.</w:t>
      </w:r>
    </w:p>
    <w:p>
      <w:pPr>
        <w:pStyle w:val="nzSubsection"/>
      </w:pPr>
      <w:r>
        <w:tab/>
        <w:t>(2)</w:t>
      </w:r>
      <w:r>
        <w:tab/>
        <w:t>In any proceedings in any court or before any person acting judicially, any of the following is sufficient evidence of a by</w:t>
      </w:r>
      <w:r>
        <w:noBreakHyphen/>
        <w:t xml:space="preserve">law — </w:t>
      </w:r>
    </w:p>
    <w:p>
      <w:pPr>
        <w:pStyle w:val="nzIndenta"/>
      </w:pPr>
      <w:r>
        <w:tab/>
        <w:t>(a)</w:t>
      </w:r>
      <w:r>
        <w:tab/>
        <w:t>a copy of the by</w:t>
      </w:r>
      <w:r>
        <w:noBreakHyphen/>
        <w:t>law under the common seal of the University;</w:t>
      </w:r>
    </w:p>
    <w:p>
      <w:pPr>
        <w:pStyle w:val="nzIndenta"/>
      </w:pPr>
      <w:r>
        <w:tab/>
        <w:t>(b)</w:t>
      </w:r>
      <w:r>
        <w:tab/>
        <w:t>a document purporting to be a copy of the by</w:t>
      </w:r>
      <w:r>
        <w:noBreakHyphen/>
        <w:t>law and to have been printed by the Government Printer;</w:t>
      </w:r>
    </w:p>
    <w:p>
      <w:pPr>
        <w:pStyle w:val="nzIndenta"/>
      </w:pPr>
      <w:r>
        <w:tab/>
        <w:t>(c)</w:t>
      </w:r>
      <w:r>
        <w:tab/>
        <w:t xml:space="preserve">a copy of the </w:t>
      </w:r>
      <w:r>
        <w:rPr>
          <w:i/>
        </w:rPr>
        <w:t>Gazette</w:t>
      </w:r>
      <w:r>
        <w:t xml:space="preserve"> purporting to contain a copy of the by</w:t>
      </w:r>
      <w:r>
        <w:noBreakHyphen/>
        <w:t>law.</w:t>
      </w:r>
    </w:p>
    <w:p>
      <w:pPr>
        <w:pStyle w:val="nzHeading5"/>
      </w:pPr>
      <w:bookmarkStart w:id="475" w:name="_Toc443919932"/>
      <w:bookmarkStart w:id="476" w:name="_Toc449099971"/>
      <w:bookmarkStart w:id="477" w:name="_Toc464450024"/>
      <w:bookmarkStart w:id="478" w:name="_Toc464726708"/>
      <w:bookmarkStart w:id="479" w:name="_Toc464727103"/>
      <w:r>
        <w:t>16C.</w:t>
      </w:r>
      <w:r>
        <w:tab/>
        <w:t>Penalties</w:t>
      </w:r>
      <w:bookmarkEnd w:id="475"/>
      <w:bookmarkEnd w:id="476"/>
      <w:bookmarkEnd w:id="477"/>
      <w:bookmarkEnd w:id="478"/>
      <w:bookmarkEnd w:id="479"/>
    </w:p>
    <w:p>
      <w:pPr>
        <w:pStyle w:val="nzSubsection"/>
      </w:pPr>
      <w:r>
        <w:tab/>
        <w:t>(1)</w:t>
      </w:r>
      <w:r>
        <w:tab/>
        <w:t>A by</w:t>
      </w:r>
      <w:r>
        <w:noBreakHyphen/>
        <w:t>law may impose a penalty not exceeding a fine of $1 000 for any breach or non</w:t>
      </w:r>
      <w:r>
        <w:noBreakHyphen/>
        <w:t>observance of the by</w:t>
      </w:r>
      <w:r>
        <w:noBreakHyphen/>
        <w:t>law.</w:t>
      </w:r>
    </w:p>
    <w:p>
      <w:pPr>
        <w:pStyle w:val="nzSubsection"/>
      </w:pPr>
      <w:r>
        <w:tab/>
        <w:t>(2)</w:t>
      </w:r>
      <w:r>
        <w:tab/>
        <w:t>Proceedings for the recovery of a penalty imposed under a by</w:t>
      </w:r>
      <w:r>
        <w:noBreakHyphen/>
        <w:t>law may be taken by an authorised person in the name of the authorised person.</w:t>
      </w:r>
    </w:p>
    <w:p>
      <w:pPr>
        <w:pStyle w:val="nzSubsection"/>
      </w:pPr>
      <w:r>
        <w:tab/>
        <w:t>(3)</w:t>
      </w:r>
      <w:r>
        <w:tab/>
        <w:t>All penalties are to be paid to the Senate for the use of the University.</w:t>
      </w:r>
    </w:p>
    <w:p>
      <w:pPr>
        <w:pStyle w:val="nzHeading5"/>
      </w:pPr>
      <w:bookmarkStart w:id="480" w:name="_Toc443919933"/>
      <w:bookmarkStart w:id="481" w:name="_Toc449099972"/>
      <w:bookmarkStart w:id="482" w:name="_Toc464450025"/>
      <w:bookmarkStart w:id="483" w:name="_Toc464726709"/>
      <w:bookmarkStart w:id="484" w:name="_Toc464727104"/>
      <w:r>
        <w:t>16D.</w:t>
      </w:r>
      <w:r>
        <w:tab/>
        <w:t>By</w:t>
      </w:r>
      <w:r>
        <w:noBreakHyphen/>
        <w:t>laws to be made readily available to public</w:t>
      </w:r>
      <w:bookmarkEnd w:id="480"/>
      <w:bookmarkEnd w:id="481"/>
      <w:bookmarkEnd w:id="482"/>
      <w:bookmarkEnd w:id="483"/>
      <w:bookmarkEnd w:id="484"/>
    </w:p>
    <w:p>
      <w:pPr>
        <w:pStyle w:val="nzSubsection"/>
        <w:keepNext/>
      </w:pPr>
      <w:r>
        <w:tab/>
        <w:t>(1)</w:t>
      </w:r>
      <w:r>
        <w:tab/>
        <w:t xml:space="preserve">The Senate must ensure that the following are readily available to the public by whatever means the Senate considers appropriate — </w:t>
      </w:r>
    </w:p>
    <w:p>
      <w:pPr>
        <w:pStyle w:val="nzIndenta"/>
      </w:pPr>
      <w:r>
        <w:tab/>
        <w:t>(a)</w:t>
      </w:r>
      <w:r>
        <w:tab/>
        <w:t>all by</w:t>
      </w:r>
      <w:r>
        <w:noBreakHyphen/>
        <w:t>laws approved and published under section 16B(1);</w:t>
      </w:r>
    </w:p>
    <w:p>
      <w:pPr>
        <w:pStyle w:val="nzIndenta"/>
      </w:pPr>
      <w:r>
        <w:tab/>
        <w:t>(b)</w:t>
      </w:r>
      <w:r>
        <w:tab/>
        <w:t>all by</w:t>
      </w:r>
      <w:r>
        <w:noBreakHyphen/>
        <w:t xml:space="preserve">laws that are in effect immediately before the </w:t>
      </w:r>
      <w:r>
        <w:rPr>
          <w:i/>
        </w:rPr>
        <w:t xml:space="preserve">Universities Legislation Amendment Act 2016 </w:t>
      </w:r>
      <w:r>
        <w:t>section 148 comes into operation.</w:t>
      </w:r>
    </w:p>
    <w:p>
      <w:pPr>
        <w:pStyle w:val="nzSubsection"/>
      </w:pPr>
      <w:r>
        <w:tab/>
        <w:t>(2)</w:t>
      </w:r>
      <w:r>
        <w:tab/>
        <w:t xml:space="preserve">Publication in the </w:t>
      </w:r>
      <w:r>
        <w:rPr>
          <w:i/>
        </w:rPr>
        <w:t>Gazette</w:t>
      </w:r>
      <w:r>
        <w:t xml:space="preserve"> is not sufficient compliance with subsection (1).</w:t>
      </w:r>
    </w:p>
    <w:p>
      <w:pPr>
        <w:pStyle w:val="nzSubsection"/>
      </w:pPr>
      <w:r>
        <w:tab/>
        <w:t>(3)</w:t>
      </w:r>
      <w:r>
        <w:tab/>
        <w:t>Subsection (1) ceases to apply to a by</w:t>
      </w:r>
      <w:r>
        <w:noBreakHyphen/>
        <w:t>law once it ceases to be in effect.</w:t>
      </w:r>
    </w:p>
    <w:p>
      <w:pPr>
        <w:pStyle w:val="BlankClose"/>
      </w:pPr>
    </w:p>
    <w:p>
      <w:pPr>
        <w:pStyle w:val="nzHeading5"/>
      </w:pPr>
      <w:bookmarkStart w:id="485" w:name="_Toc443919934"/>
      <w:bookmarkStart w:id="486" w:name="_Toc449099973"/>
      <w:bookmarkStart w:id="487" w:name="_Toc464450026"/>
      <w:bookmarkStart w:id="488" w:name="_Toc464726710"/>
      <w:bookmarkStart w:id="489" w:name="_Toc464727105"/>
      <w:r>
        <w:rPr>
          <w:rStyle w:val="CharSectno"/>
        </w:rPr>
        <w:t>149</w:t>
      </w:r>
      <w:r>
        <w:t>.</w:t>
      </w:r>
      <w:r>
        <w:tab/>
        <w:t>Section 16E amended</w:t>
      </w:r>
      <w:bookmarkEnd w:id="485"/>
      <w:bookmarkEnd w:id="486"/>
      <w:bookmarkEnd w:id="487"/>
      <w:bookmarkEnd w:id="488"/>
      <w:bookmarkEnd w:id="489"/>
    </w:p>
    <w:p>
      <w:pPr>
        <w:pStyle w:val="nzSubsection"/>
      </w:pPr>
      <w:r>
        <w:tab/>
        <w:t>(1)</w:t>
      </w:r>
      <w:r>
        <w:tab/>
        <w:t>In section 16E(1) delete “servants” and insert:</w:t>
      </w:r>
    </w:p>
    <w:p>
      <w:pPr>
        <w:pStyle w:val="BlankOpen"/>
      </w:pPr>
    </w:p>
    <w:p>
      <w:pPr>
        <w:pStyle w:val="nzSubsection"/>
      </w:pPr>
      <w:r>
        <w:tab/>
      </w:r>
      <w:r>
        <w:tab/>
        <w:t>employees</w:t>
      </w:r>
    </w:p>
    <w:p>
      <w:pPr>
        <w:pStyle w:val="BlankClose"/>
      </w:pPr>
    </w:p>
    <w:p>
      <w:pPr>
        <w:pStyle w:val="nzSubsection"/>
      </w:pPr>
      <w:r>
        <w:tab/>
        <w:t>(2)</w:t>
      </w:r>
      <w:r>
        <w:tab/>
        <w:t xml:space="preserve">In section 16E(2) delete “provisions of section 36 of the </w:t>
      </w:r>
      <w:r>
        <w:rPr>
          <w:i/>
        </w:rPr>
        <w:t>Interpretation Act 1918</w:t>
      </w:r>
      <w:r>
        <w:t>, do not” and insert:</w:t>
      </w:r>
    </w:p>
    <w:p>
      <w:pPr>
        <w:pStyle w:val="BlankOpen"/>
      </w:pPr>
    </w:p>
    <w:p>
      <w:pPr>
        <w:pStyle w:val="nzSubsection"/>
      </w:pPr>
      <w:r>
        <w:tab/>
      </w:r>
      <w:r>
        <w:tab/>
      </w:r>
      <w:r>
        <w:rPr>
          <w:i/>
        </w:rPr>
        <w:t>Interpretation Act 1984</w:t>
      </w:r>
      <w:r>
        <w:t xml:space="preserve"> section 42 does not</w:t>
      </w:r>
    </w:p>
    <w:p>
      <w:pPr>
        <w:pStyle w:val="BlankClose"/>
      </w:pPr>
    </w:p>
    <w:p>
      <w:pPr>
        <w:pStyle w:val="nzHeading5"/>
      </w:pPr>
      <w:bookmarkStart w:id="490" w:name="_Toc443919935"/>
      <w:bookmarkStart w:id="491" w:name="_Toc449099974"/>
      <w:bookmarkStart w:id="492" w:name="_Toc464450027"/>
      <w:bookmarkStart w:id="493" w:name="_Toc464726711"/>
      <w:bookmarkStart w:id="494" w:name="_Toc464727106"/>
      <w:r>
        <w:rPr>
          <w:rStyle w:val="CharSectno"/>
        </w:rPr>
        <w:t>150</w:t>
      </w:r>
      <w:r>
        <w:t>.</w:t>
      </w:r>
      <w:r>
        <w:tab/>
        <w:t>Section 16F amended</w:t>
      </w:r>
      <w:bookmarkEnd w:id="490"/>
      <w:bookmarkEnd w:id="491"/>
      <w:bookmarkEnd w:id="492"/>
      <w:bookmarkEnd w:id="493"/>
      <w:bookmarkEnd w:id="494"/>
    </w:p>
    <w:p>
      <w:pPr>
        <w:pStyle w:val="nzSubsection"/>
      </w:pPr>
      <w:r>
        <w:tab/>
      </w:r>
      <w:r>
        <w:tab/>
        <w:t>In section 16F:</w:t>
      </w:r>
    </w:p>
    <w:p>
      <w:pPr>
        <w:pStyle w:val="nzIndenta"/>
      </w:pPr>
      <w:r>
        <w:tab/>
        <w:t>(a)</w:t>
      </w:r>
      <w:r>
        <w:tab/>
        <w:t>delete “Pro</w:t>
      </w:r>
      <w:r>
        <w:noBreakHyphen/>
        <w:t>Chancellor, Vice</w:t>
      </w:r>
      <w:r>
        <w:noBreakHyphen/>
        <w:t>Chancellor, or Registrar of the University” and insert:</w:t>
      </w:r>
    </w:p>
    <w:p>
      <w:pPr>
        <w:pStyle w:val="BlankOpen"/>
      </w:pPr>
    </w:p>
    <w:p>
      <w:pPr>
        <w:pStyle w:val="nzIndenta"/>
      </w:pPr>
      <w:r>
        <w:tab/>
      </w:r>
      <w:r>
        <w:tab/>
        <w:t>Pro</w:t>
      </w:r>
      <w:r>
        <w:noBreakHyphen/>
        <w:t>Chancellor or Vice</w:t>
      </w:r>
      <w:r>
        <w:noBreakHyphen/>
        <w:t>Chancellor</w:t>
      </w:r>
    </w:p>
    <w:p>
      <w:pPr>
        <w:pStyle w:val="BlankClose"/>
      </w:pPr>
    </w:p>
    <w:p>
      <w:pPr>
        <w:pStyle w:val="nzIndenta"/>
      </w:pPr>
      <w:r>
        <w:tab/>
        <w:t>(b)</w:t>
      </w:r>
      <w:r>
        <w:tab/>
        <w:t>delete “servant” and insert:</w:t>
      </w:r>
    </w:p>
    <w:p>
      <w:pPr>
        <w:pStyle w:val="BlankOpen"/>
      </w:pPr>
    </w:p>
    <w:p>
      <w:pPr>
        <w:pStyle w:val="nzIndenta"/>
      </w:pPr>
      <w:r>
        <w:tab/>
      </w:r>
      <w:r>
        <w:tab/>
        <w:t>employee</w:t>
      </w:r>
    </w:p>
    <w:p>
      <w:pPr>
        <w:pStyle w:val="BlankClose"/>
      </w:pPr>
    </w:p>
    <w:p>
      <w:pPr>
        <w:pStyle w:val="nzHeading5"/>
      </w:pPr>
      <w:bookmarkStart w:id="495" w:name="_Toc443919936"/>
      <w:bookmarkStart w:id="496" w:name="_Toc449099975"/>
      <w:bookmarkStart w:id="497" w:name="_Toc464450028"/>
      <w:bookmarkStart w:id="498" w:name="_Toc464726712"/>
      <w:bookmarkStart w:id="499" w:name="_Toc464727107"/>
      <w:r>
        <w:rPr>
          <w:rStyle w:val="CharSectno"/>
        </w:rPr>
        <w:t>151</w:t>
      </w:r>
      <w:r>
        <w:t>.</w:t>
      </w:r>
      <w:r>
        <w:tab/>
        <w:t>Section 16G inserted</w:t>
      </w:r>
      <w:bookmarkEnd w:id="495"/>
      <w:bookmarkEnd w:id="496"/>
      <w:bookmarkEnd w:id="497"/>
      <w:bookmarkEnd w:id="498"/>
      <w:bookmarkEnd w:id="499"/>
    </w:p>
    <w:p>
      <w:pPr>
        <w:pStyle w:val="nzSubsection"/>
        <w:keepNext/>
      </w:pPr>
      <w:r>
        <w:tab/>
      </w:r>
      <w:r>
        <w:tab/>
        <w:t>After section 16F insert:</w:t>
      </w:r>
    </w:p>
    <w:p>
      <w:pPr>
        <w:pStyle w:val="BlankOpen"/>
      </w:pPr>
    </w:p>
    <w:p>
      <w:pPr>
        <w:pStyle w:val="nzHeading5"/>
      </w:pPr>
      <w:bookmarkStart w:id="500" w:name="_Toc443919937"/>
      <w:bookmarkStart w:id="501" w:name="_Toc449099976"/>
      <w:bookmarkStart w:id="502" w:name="_Toc464450029"/>
      <w:bookmarkStart w:id="503" w:name="_Toc464726713"/>
      <w:bookmarkStart w:id="504" w:name="_Toc464727108"/>
      <w:r>
        <w:t>16G.</w:t>
      </w:r>
      <w:r>
        <w:tab/>
        <w:t>Delegation by Senate</w:t>
      </w:r>
      <w:bookmarkEnd w:id="500"/>
      <w:bookmarkEnd w:id="501"/>
      <w:bookmarkEnd w:id="502"/>
      <w:bookmarkEnd w:id="503"/>
      <w:bookmarkEnd w:id="504"/>
    </w:p>
    <w:p>
      <w:pPr>
        <w:pStyle w:val="nzSubsection"/>
      </w:pPr>
      <w:r>
        <w:tab/>
        <w:t>(1)</w:t>
      </w:r>
      <w:r>
        <w:tab/>
        <w:t>The Senate may in relation to any matter or class of matters, or in relation to any activity or function of the University, by resolution delegate all or any of its powers, authorities, duties and functions under this Act (except its powers in relation to the making of Statutes, regulations and by</w:t>
      </w:r>
      <w:r>
        <w:noBreakHyphen/>
        <w:t>laws) to — </w:t>
      </w:r>
    </w:p>
    <w:p>
      <w:pPr>
        <w:pStyle w:val="nzIndenta"/>
      </w:pPr>
      <w:r>
        <w:tab/>
        <w:t>(a)</w:t>
      </w:r>
      <w:r>
        <w:tab/>
        <w:t>any member of the Senate; or</w:t>
      </w:r>
    </w:p>
    <w:p>
      <w:pPr>
        <w:pStyle w:val="nzIndenta"/>
      </w:pPr>
      <w:r>
        <w:tab/>
        <w:t>(b)</w:t>
      </w:r>
      <w:r>
        <w:tab/>
        <w:t>a committee, council or other body of the University; or</w:t>
      </w:r>
    </w:p>
    <w:p>
      <w:pPr>
        <w:pStyle w:val="nzIndenta"/>
      </w:pPr>
      <w:r>
        <w:tab/>
        <w:t>(c)</w:t>
      </w:r>
      <w:r>
        <w:tab/>
        <w:t>any officer of the University.</w:t>
      </w:r>
    </w:p>
    <w:p>
      <w:pPr>
        <w:pStyle w:val="nzSubsection"/>
      </w:pPr>
      <w:r>
        <w:tab/>
        <w:t>(2)</w:t>
      </w:r>
      <w:r>
        <w:tab/>
        <w:t>The Senate may by resolution revoke a delegation given under this section.</w:t>
      </w:r>
    </w:p>
    <w:p>
      <w:pPr>
        <w:pStyle w:val="nzSubsection"/>
      </w:pPr>
      <w:r>
        <w:tab/>
        <w:t>(3)</w:t>
      </w:r>
      <w:r>
        <w:tab/>
        <w:t>A resolution delegating a power, authority, duty or function may authorise the delegate to further delegate the delegated power, authority, duty or function to a person or body.</w:t>
      </w:r>
    </w:p>
    <w:p>
      <w:pPr>
        <w:pStyle w:val="nzSubsection"/>
      </w:pPr>
      <w:r>
        <w:tab/>
        <w:t>(4)</w:t>
      </w:r>
      <w:r>
        <w:tab/>
        <w:t>A subdelegation under this section must be in writing.</w:t>
      </w:r>
    </w:p>
    <w:p>
      <w:pPr>
        <w:pStyle w:val="nz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BlankClose"/>
      </w:pPr>
    </w:p>
    <w:p>
      <w:pPr>
        <w:pStyle w:val="nzHeading5"/>
      </w:pPr>
      <w:bookmarkStart w:id="505" w:name="_Toc443919938"/>
      <w:bookmarkStart w:id="506" w:name="_Toc449099977"/>
      <w:bookmarkStart w:id="507" w:name="_Toc464450030"/>
      <w:bookmarkStart w:id="508" w:name="_Toc464726714"/>
      <w:bookmarkStart w:id="509" w:name="_Toc464727109"/>
      <w:r>
        <w:rPr>
          <w:rStyle w:val="CharSectno"/>
        </w:rPr>
        <w:t>152</w:t>
      </w:r>
      <w:r>
        <w:t>.</w:t>
      </w:r>
      <w:r>
        <w:tab/>
        <w:t>Section 17 amended</w:t>
      </w:r>
      <w:bookmarkEnd w:id="505"/>
      <w:bookmarkEnd w:id="506"/>
      <w:bookmarkEnd w:id="507"/>
      <w:bookmarkEnd w:id="508"/>
      <w:bookmarkEnd w:id="509"/>
    </w:p>
    <w:p>
      <w:pPr>
        <w:pStyle w:val="nzSubsection"/>
      </w:pPr>
      <w:r>
        <w:tab/>
      </w:r>
      <w:r>
        <w:tab/>
        <w:t>Delete section 17(1) and insert:</w:t>
      </w:r>
    </w:p>
    <w:p>
      <w:pPr>
        <w:pStyle w:val="BlankOpen"/>
      </w:pPr>
    </w:p>
    <w:p>
      <w:pPr>
        <w:pStyle w:val="nzSubsection"/>
      </w:pPr>
      <w:r>
        <w:tab/>
        <w:t>(1)</w:t>
      </w:r>
      <w:r>
        <w:tab/>
        <w:t>Convocation consists of the following persons —</w:t>
      </w:r>
    </w:p>
    <w:p>
      <w:pPr>
        <w:pStyle w:val="nzIndenta"/>
      </w:pPr>
      <w:r>
        <w:tab/>
        <w:t>(a)</w:t>
      </w:r>
      <w:r>
        <w:tab/>
        <w:t>members and past members of the Senate;</w:t>
      </w:r>
    </w:p>
    <w:p>
      <w:pPr>
        <w:pStyle w:val="nzIndenta"/>
      </w:pPr>
      <w:r>
        <w:tab/>
        <w:t>(b)</w:t>
      </w:r>
      <w:r>
        <w:tab/>
        <w:t>graduates of the University;</w:t>
      </w:r>
    </w:p>
    <w:p>
      <w:pPr>
        <w:pStyle w:val="nzIndenta"/>
      </w:pPr>
      <w:r>
        <w:tab/>
        <w:t>(c)</w:t>
      </w:r>
      <w:r>
        <w:tab/>
        <w:t xml:space="preserve">persons not referred to in paragraph (a) or (b) who were members of Convocation immediately before the coming into operation of the </w:t>
      </w:r>
      <w:r>
        <w:rPr>
          <w:i/>
        </w:rPr>
        <w:t xml:space="preserve">Universities Legislation Amendment Act 2016 </w:t>
      </w:r>
      <w:r>
        <w:t>section 152;</w:t>
      </w:r>
    </w:p>
    <w:p>
      <w:pPr>
        <w:pStyle w:val="nzIndenta"/>
      </w:pPr>
      <w:r>
        <w:tab/>
        <w:t>(d)</w:t>
      </w:r>
      <w:r>
        <w:tab/>
        <w:t>persons who the Senate may, from time to time, admit to be members of Convocation.</w:t>
      </w:r>
    </w:p>
    <w:p>
      <w:pPr>
        <w:pStyle w:val="BlankClose"/>
      </w:pPr>
    </w:p>
    <w:p>
      <w:pPr>
        <w:pStyle w:val="nzHeading5"/>
      </w:pPr>
      <w:bookmarkStart w:id="510" w:name="_Toc443919939"/>
      <w:bookmarkStart w:id="511" w:name="_Toc449099978"/>
      <w:bookmarkStart w:id="512" w:name="_Toc464450031"/>
      <w:bookmarkStart w:id="513" w:name="_Toc464726715"/>
      <w:bookmarkStart w:id="514" w:name="_Toc464727110"/>
      <w:r>
        <w:rPr>
          <w:rStyle w:val="CharSectno"/>
        </w:rPr>
        <w:t>153</w:t>
      </w:r>
      <w:r>
        <w:t>.</w:t>
      </w:r>
      <w:r>
        <w:tab/>
        <w:t>Section 18A inserted</w:t>
      </w:r>
      <w:bookmarkEnd w:id="510"/>
      <w:bookmarkEnd w:id="511"/>
      <w:bookmarkEnd w:id="512"/>
      <w:bookmarkEnd w:id="513"/>
      <w:bookmarkEnd w:id="514"/>
    </w:p>
    <w:p>
      <w:pPr>
        <w:pStyle w:val="nzSubsection"/>
        <w:keepNext/>
      </w:pPr>
      <w:r>
        <w:tab/>
      </w:r>
      <w:r>
        <w:tab/>
        <w:t>After section 17 insert:</w:t>
      </w:r>
    </w:p>
    <w:p>
      <w:pPr>
        <w:pStyle w:val="BlankOpen"/>
      </w:pPr>
    </w:p>
    <w:p>
      <w:pPr>
        <w:pStyle w:val="nzHeading5"/>
      </w:pPr>
      <w:bookmarkStart w:id="515" w:name="_Toc443919940"/>
      <w:bookmarkStart w:id="516" w:name="_Toc449099979"/>
      <w:bookmarkStart w:id="517" w:name="_Toc464450032"/>
      <w:bookmarkStart w:id="518" w:name="_Toc464726716"/>
      <w:bookmarkStart w:id="519" w:name="_Toc464727111"/>
      <w:r>
        <w:t>18A.</w:t>
      </w:r>
      <w:r>
        <w:tab/>
        <w:t>Functions of Convocation</w:t>
      </w:r>
      <w:bookmarkEnd w:id="515"/>
      <w:bookmarkEnd w:id="516"/>
      <w:bookmarkEnd w:id="517"/>
      <w:bookmarkEnd w:id="518"/>
      <w:bookmarkEnd w:id="519"/>
    </w:p>
    <w:p>
      <w:pPr>
        <w:pStyle w:val="nzSubsection"/>
      </w:pPr>
      <w:r>
        <w:tab/>
      </w:r>
      <w:r>
        <w:tab/>
        <w:t>Convocation has the functions prescribed by Statute.</w:t>
      </w:r>
    </w:p>
    <w:p>
      <w:pPr>
        <w:pStyle w:val="BlankClose"/>
      </w:pPr>
    </w:p>
    <w:p>
      <w:pPr>
        <w:pStyle w:val="nzHeading5"/>
      </w:pPr>
      <w:bookmarkStart w:id="520" w:name="_Toc443919941"/>
      <w:bookmarkStart w:id="521" w:name="_Toc449099980"/>
      <w:bookmarkStart w:id="522" w:name="_Toc464450033"/>
      <w:bookmarkStart w:id="523" w:name="_Toc464726717"/>
      <w:bookmarkStart w:id="524" w:name="_Toc464727112"/>
      <w:r>
        <w:rPr>
          <w:rStyle w:val="CharSectno"/>
        </w:rPr>
        <w:t>154</w:t>
      </w:r>
      <w:r>
        <w:t>.</w:t>
      </w:r>
      <w:r>
        <w:tab/>
        <w:t>Section 18 amended</w:t>
      </w:r>
      <w:bookmarkEnd w:id="520"/>
      <w:bookmarkEnd w:id="521"/>
      <w:bookmarkEnd w:id="522"/>
      <w:bookmarkEnd w:id="523"/>
      <w:bookmarkEnd w:id="524"/>
    </w:p>
    <w:p>
      <w:pPr>
        <w:pStyle w:val="nzSubsection"/>
      </w:pPr>
      <w:r>
        <w:tab/>
      </w:r>
      <w:r>
        <w:tab/>
        <w:t>After section 18(2) insert:</w:t>
      </w:r>
    </w:p>
    <w:p>
      <w:pPr>
        <w:pStyle w:val="BlankOpen"/>
      </w:pPr>
    </w:p>
    <w:p>
      <w:pPr>
        <w:pStyle w:val="nzSubsection"/>
      </w:pPr>
      <w:r>
        <w:tab/>
        <w:t>(3)</w:t>
      </w:r>
      <w:r>
        <w:tab/>
        <w:t>The Warden may resign their office by written notice given to the Chancellor.</w:t>
      </w:r>
    </w:p>
    <w:p>
      <w:pPr>
        <w:pStyle w:val="BlankClose"/>
      </w:pPr>
    </w:p>
    <w:p>
      <w:pPr>
        <w:pStyle w:val="nzHeading5"/>
      </w:pPr>
      <w:bookmarkStart w:id="525" w:name="_Toc443919942"/>
      <w:bookmarkStart w:id="526" w:name="_Toc449099981"/>
      <w:bookmarkStart w:id="527" w:name="_Toc464450034"/>
      <w:bookmarkStart w:id="528" w:name="_Toc464726718"/>
      <w:bookmarkStart w:id="529" w:name="_Toc464727113"/>
      <w:r>
        <w:rPr>
          <w:rStyle w:val="CharSectno"/>
        </w:rPr>
        <w:t>155</w:t>
      </w:r>
      <w:r>
        <w:t>.</w:t>
      </w:r>
      <w:r>
        <w:tab/>
        <w:t>Sections 19 to 23 replaced</w:t>
      </w:r>
      <w:bookmarkEnd w:id="525"/>
      <w:bookmarkEnd w:id="526"/>
      <w:bookmarkEnd w:id="527"/>
      <w:bookmarkEnd w:id="528"/>
      <w:bookmarkEnd w:id="529"/>
    </w:p>
    <w:p>
      <w:pPr>
        <w:pStyle w:val="nzSubsection"/>
      </w:pPr>
      <w:r>
        <w:tab/>
      </w:r>
      <w:r>
        <w:tab/>
        <w:t>Delete sections 19 to 23 and insert:</w:t>
      </w:r>
    </w:p>
    <w:p>
      <w:pPr>
        <w:pStyle w:val="BlankOpen"/>
      </w:pPr>
    </w:p>
    <w:p>
      <w:pPr>
        <w:pStyle w:val="nzHeading5"/>
      </w:pPr>
      <w:bookmarkStart w:id="530" w:name="_Toc443919943"/>
      <w:bookmarkStart w:id="531" w:name="_Toc449099982"/>
      <w:bookmarkStart w:id="532" w:name="_Toc464450035"/>
      <w:bookmarkStart w:id="533" w:name="_Toc464726719"/>
      <w:bookmarkStart w:id="534" w:name="_Toc464727114"/>
      <w:r>
        <w:t>19.</w:t>
      </w:r>
      <w:r>
        <w:tab/>
        <w:t>Resignation</w:t>
      </w:r>
      <w:bookmarkEnd w:id="530"/>
      <w:bookmarkEnd w:id="531"/>
      <w:bookmarkEnd w:id="532"/>
      <w:bookmarkEnd w:id="533"/>
      <w:bookmarkEnd w:id="534"/>
    </w:p>
    <w:p>
      <w:pPr>
        <w:pStyle w:val="nzSubsection"/>
      </w:pPr>
      <w:r>
        <w:tab/>
        <w:t>(1)</w:t>
      </w:r>
      <w:r>
        <w:tab/>
        <w:t>A Chancellor, Pro</w:t>
      </w:r>
      <w:r>
        <w:noBreakHyphen/>
        <w:t>Chancellor or a member of the Senate described in section 8(1)(a) may resign their office by written notice given to the Minister.</w:t>
      </w:r>
    </w:p>
    <w:p>
      <w:pPr>
        <w:pStyle w:val="nzSubsection"/>
      </w:pPr>
      <w:r>
        <w:tab/>
        <w:t>(2)</w:t>
      </w:r>
      <w:r>
        <w:tab/>
        <w:t>Any other member of the Senate may resign their office by written notice given to the Chancellor.</w:t>
      </w:r>
    </w:p>
    <w:p>
      <w:pPr>
        <w:pStyle w:val="nzHeading5"/>
      </w:pPr>
      <w:bookmarkStart w:id="535" w:name="_Toc443919944"/>
      <w:bookmarkStart w:id="536" w:name="_Toc449099983"/>
      <w:bookmarkStart w:id="537" w:name="_Toc464450036"/>
      <w:bookmarkStart w:id="538" w:name="_Toc464726720"/>
      <w:bookmarkStart w:id="539" w:name="_Toc464727115"/>
      <w:r>
        <w:t>20.</w:t>
      </w:r>
      <w:r>
        <w:tab/>
        <w:t>Vacation of Senate office</w:t>
      </w:r>
      <w:bookmarkEnd w:id="535"/>
      <w:bookmarkEnd w:id="536"/>
      <w:bookmarkEnd w:id="537"/>
      <w:bookmarkEnd w:id="538"/>
      <w:bookmarkEnd w:id="539"/>
      <w:r>
        <w:t xml:space="preserve"> </w:t>
      </w:r>
    </w:p>
    <w:p>
      <w:pPr>
        <w:pStyle w:val="nzSubsection"/>
      </w:pPr>
      <w:r>
        <w:tab/>
      </w:r>
      <w:r>
        <w:tab/>
        <w:t>A member of the Senate vacates office if —</w:t>
      </w:r>
    </w:p>
    <w:p>
      <w:pPr>
        <w:pStyle w:val="nzIndenta"/>
      </w:pPr>
      <w:r>
        <w:tab/>
        <w:t>(a)</w:t>
      </w:r>
      <w:r>
        <w:tab/>
        <w:t>the member is or has become disqualified under the provisions of this Act; or</w:t>
      </w:r>
    </w:p>
    <w:p>
      <w:pPr>
        <w:pStyle w:val="nzIndenta"/>
      </w:pPr>
      <w:r>
        <w:tab/>
        <w:t>(b)</w:t>
      </w:r>
      <w:r>
        <w:tab/>
        <w:t>the member has, without the leave of the Senate, been absent from all meetings of the Senate held during a period of at least 6 months; or</w:t>
      </w:r>
    </w:p>
    <w:p>
      <w:pPr>
        <w:pStyle w:val="nzIndenta"/>
      </w:pPr>
      <w:r>
        <w:tab/>
        <w:t>(c)</w:t>
      </w:r>
      <w:r>
        <w:tab/>
        <w:t>the member dies or resigns.</w:t>
      </w:r>
    </w:p>
    <w:p>
      <w:pPr>
        <w:pStyle w:val="nzHeading5"/>
      </w:pPr>
      <w:bookmarkStart w:id="540" w:name="_Toc443919945"/>
      <w:bookmarkStart w:id="541" w:name="_Toc449099984"/>
      <w:bookmarkStart w:id="542" w:name="_Toc464450037"/>
      <w:bookmarkStart w:id="543" w:name="_Toc464726721"/>
      <w:bookmarkStart w:id="544" w:name="_Toc464727116"/>
      <w:r>
        <w:t>22.</w:t>
      </w:r>
      <w:r>
        <w:tab/>
        <w:t>Casual vacancies</w:t>
      </w:r>
      <w:bookmarkEnd w:id="540"/>
      <w:bookmarkEnd w:id="541"/>
      <w:bookmarkEnd w:id="542"/>
      <w:bookmarkEnd w:id="543"/>
      <w:bookmarkEnd w:id="544"/>
    </w:p>
    <w:p>
      <w:pPr>
        <w:pStyle w:val="nzSubsection"/>
      </w:pPr>
      <w:r>
        <w:tab/>
      </w:r>
      <w:r>
        <w:tab/>
        <w:t>If a casual vacancy occurs in the office of a member of the Senate, the vacancy is to be filled in the same manner as if that member’s term of office had expired.</w:t>
      </w:r>
    </w:p>
    <w:p>
      <w:pPr>
        <w:pStyle w:val="nzHeading5"/>
      </w:pPr>
      <w:bookmarkStart w:id="545" w:name="_Toc443919946"/>
      <w:bookmarkStart w:id="546" w:name="_Toc449099985"/>
      <w:bookmarkStart w:id="547" w:name="_Toc464450038"/>
      <w:bookmarkStart w:id="548" w:name="_Toc464726722"/>
      <w:bookmarkStart w:id="549" w:name="_Toc464727117"/>
      <w:r>
        <w:t>23.</w:t>
      </w:r>
      <w:r>
        <w:tab/>
        <w:t>Reappointment</w:t>
      </w:r>
      <w:bookmarkEnd w:id="545"/>
      <w:bookmarkEnd w:id="546"/>
      <w:bookmarkEnd w:id="547"/>
      <w:bookmarkEnd w:id="548"/>
      <w:bookmarkEnd w:id="549"/>
    </w:p>
    <w:p>
      <w:pPr>
        <w:pStyle w:val="nzSubsection"/>
      </w:pPr>
      <w:r>
        <w:tab/>
      </w:r>
      <w:r>
        <w:tab/>
        <w:t>Subject to sections 9(4), 12(4) and 12A(3), a person may at any time be reappointed or re</w:t>
      </w:r>
      <w:r>
        <w:noBreakHyphen/>
        <w:t>elected to the office of Chancellor, Pro</w:t>
      </w:r>
      <w:r>
        <w:noBreakHyphen/>
        <w:t>Chancellor, Warden or member of the Senate, if the person is capable under this Act of holding that office.</w:t>
      </w:r>
    </w:p>
    <w:p>
      <w:pPr>
        <w:pStyle w:val="BlankClose"/>
      </w:pPr>
    </w:p>
    <w:p>
      <w:pPr>
        <w:pStyle w:val="nzHeading5"/>
      </w:pPr>
      <w:bookmarkStart w:id="550" w:name="_Toc443919947"/>
      <w:bookmarkStart w:id="551" w:name="_Toc449099986"/>
      <w:bookmarkStart w:id="552" w:name="_Toc464450039"/>
      <w:bookmarkStart w:id="553" w:name="_Toc464726723"/>
      <w:bookmarkStart w:id="554" w:name="_Toc464727118"/>
      <w:r>
        <w:rPr>
          <w:rStyle w:val="CharSectno"/>
        </w:rPr>
        <w:t>156</w:t>
      </w:r>
      <w:r>
        <w:t>.</w:t>
      </w:r>
      <w:r>
        <w:tab/>
        <w:t>Section 24 replaced</w:t>
      </w:r>
      <w:bookmarkEnd w:id="550"/>
      <w:bookmarkEnd w:id="551"/>
      <w:bookmarkEnd w:id="552"/>
      <w:bookmarkEnd w:id="553"/>
      <w:bookmarkEnd w:id="554"/>
    </w:p>
    <w:p>
      <w:pPr>
        <w:pStyle w:val="nzSubsection"/>
      </w:pPr>
      <w:r>
        <w:tab/>
      </w:r>
      <w:r>
        <w:tab/>
        <w:t>Delete section 24 and insert:</w:t>
      </w:r>
    </w:p>
    <w:p>
      <w:pPr>
        <w:pStyle w:val="BlankOpen"/>
      </w:pPr>
    </w:p>
    <w:p>
      <w:pPr>
        <w:pStyle w:val="nzHeading5"/>
      </w:pPr>
      <w:bookmarkStart w:id="555" w:name="_Toc443919948"/>
      <w:bookmarkStart w:id="556" w:name="_Toc449099987"/>
      <w:bookmarkStart w:id="557" w:name="_Toc464450040"/>
      <w:bookmarkStart w:id="558" w:name="_Toc464726724"/>
      <w:bookmarkStart w:id="559" w:name="_Toc464727119"/>
      <w:r>
        <w:t>23A.</w:t>
      </w:r>
      <w:r>
        <w:tab/>
        <w:t>Chair of Senate</w:t>
      </w:r>
      <w:bookmarkEnd w:id="555"/>
      <w:bookmarkEnd w:id="556"/>
      <w:bookmarkEnd w:id="557"/>
      <w:bookmarkEnd w:id="558"/>
      <w:bookmarkEnd w:id="559"/>
    </w:p>
    <w:p>
      <w:pPr>
        <w:pStyle w:val="nzSubsection"/>
      </w:pPr>
      <w:r>
        <w:tab/>
        <w:t>(1)</w:t>
      </w:r>
      <w:r>
        <w:tab/>
        <w:t>The Chancellor, or in the absence of the Chancellor the Pro</w:t>
      </w:r>
      <w:r>
        <w:noBreakHyphen/>
        <w:t>Chancellor, is to preside as the chair of a meeting of the Senate.</w:t>
      </w:r>
    </w:p>
    <w:p>
      <w:pPr>
        <w:pStyle w:val="nzSubsection"/>
      </w:pPr>
      <w:r>
        <w:tab/>
        <w:t>(2)</w:t>
      </w:r>
      <w:r>
        <w:tab/>
        <w:t>If the Chancellor and the Pro</w:t>
      </w:r>
      <w:r>
        <w:noBreakHyphen/>
        <w:t>Chancellor are not present at a meeting of the Senate, the members of the Senate present at the meeting are to elect a person to preside as the chair of the meeting.</w:t>
      </w:r>
    </w:p>
    <w:p>
      <w:pPr>
        <w:pStyle w:val="nzHeading5"/>
      </w:pPr>
      <w:bookmarkStart w:id="560" w:name="_Toc443919949"/>
      <w:bookmarkStart w:id="561" w:name="_Toc449099988"/>
      <w:bookmarkStart w:id="562" w:name="_Toc464450041"/>
      <w:bookmarkStart w:id="563" w:name="_Toc464726725"/>
      <w:bookmarkStart w:id="564" w:name="_Toc464727120"/>
      <w:r>
        <w:t>24.</w:t>
      </w:r>
      <w:r>
        <w:tab/>
        <w:t>Chair of Convocation</w:t>
      </w:r>
      <w:bookmarkEnd w:id="560"/>
      <w:bookmarkEnd w:id="561"/>
      <w:bookmarkEnd w:id="562"/>
      <w:bookmarkEnd w:id="563"/>
      <w:bookmarkEnd w:id="564"/>
    </w:p>
    <w:p>
      <w:pPr>
        <w:pStyle w:val="nzSubsection"/>
      </w:pPr>
      <w:r>
        <w:tab/>
        <w:t>(1)</w:t>
      </w:r>
      <w:r>
        <w:tab/>
        <w:t>The Warden is to preside as the chair of a meeting of Convocation.</w:t>
      </w:r>
    </w:p>
    <w:p>
      <w:pPr>
        <w:pStyle w:val="nzSubsection"/>
      </w:pPr>
      <w:r>
        <w:tab/>
        <w:t>(2)</w:t>
      </w:r>
      <w:r>
        <w:tab/>
        <w:t>If the Warden is not present at a meeting of Convocation, the members of Convocation present at the meeting are to elect a person to preside as the chair of the meeting.</w:t>
      </w:r>
    </w:p>
    <w:p>
      <w:pPr>
        <w:pStyle w:val="BlankClose"/>
      </w:pPr>
    </w:p>
    <w:p>
      <w:pPr>
        <w:pStyle w:val="nzHeading5"/>
      </w:pPr>
      <w:bookmarkStart w:id="565" w:name="_Toc443919950"/>
      <w:bookmarkStart w:id="566" w:name="_Toc449099989"/>
      <w:bookmarkStart w:id="567" w:name="_Toc464450042"/>
      <w:bookmarkStart w:id="568" w:name="_Toc464726726"/>
      <w:bookmarkStart w:id="569" w:name="_Toc464727121"/>
      <w:r>
        <w:rPr>
          <w:rStyle w:val="CharSectno"/>
        </w:rPr>
        <w:t>157</w:t>
      </w:r>
      <w:r>
        <w:t>.</w:t>
      </w:r>
      <w:r>
        <w:tab/>
        <w:t>Section 27 amended</w:t>
      </w:r>
      <w:bookmarkEnd w:id="565"/>
      <w:bookmarkEnd w:id="566"/>
      <w:bookmarkEnd w:id="567"/>
      <w:bookmarkEnd w:id="568"/>
      <w:bookmarkEnd w:id="569"/>
    </w:p>
    <w:p>
      <w:pPr>
        <w:pStyle w:val="nzSubsection"/>
      </w:pPr>
      <w:r>
        <w:tab/>
        <w:t>(1)</w:t>
      </w:r>
      <w:r>
        <w:tab/>
        <w:t>Delete section 27(1).</w:t>
      </w:r>
    </w:p>
    <w:p>
      <w:pPr>
        <w:pStyle w:val="nzSubsection"/>
      </w:pPr>
      <w:r>
        <w:tab/>
        <w:t>(2)</w:t>
      </w:r>
      <w:r>
        <w:tab/>
        <w:t>In section 27(3):</w:t>
      </w:r>
    </w:p>
    <w:p>
      <w:pPr>
        <w:pStyle w:val="nzIndenta"/>
      </w:pPr>
      <w:r>
        <w:tab/>
        <w:t>(a)</w:t>
      </w:r>
      <w:r>
        <w:tab/>
        <w:t>delete “by writing under his hand,” and insert:</w:t>
      </w:r>
    </w:p>
    <w:p>
      <w:pPr>
        <w:pStyle w:val="BlankOpen"/>
      </w:pPr>
    </w:p>
    <w:p>
      <w:pPr>
        <w:pStyle w:val="nzIndenta"/>
      </w:pPr>
      <w:r>
        <w:tab/>
      </w:r>
      <w:r>
        <w:tab/>
        <w:t>in writing,</w:t>
      </w:r>
    </w:p>
    <w:p>
      <w:pPr>
        <w:pStyle w:val="BlankClose"/>
      </w:pPr>
    </w:p>
    <w:p>
      <w:pPr>
        <w:pStyle w:val="nzIndenta"/>
      </w:pPr>
      <w:r>
        <w:tab/>
        <w:t>(b)</w:t>
      </w:r>
      <w:r>
        <w:tab/>
        <w:t>delete “him” and insert:</w:t>
      </w:r>
    </w:p>
    <w:p>
      <w:pPr>
        <w:pStyle w:val="BlankOpen"/>
      </w:pPr>
    </w:p>
    <w:p>
      <w:pPr>
        <w:pStyle w:val="nzIndenta"/>
      </w:pPr>
      <w:r>
        <w:tab/>
      </w:r>
      <w:r>
        <w:tab/>
        <w:t>the Vice</w:t>
      </w:r>
      <w:r>
        <w:noBreakHyphen/>
        <w:t>Chancellor</w:t>
      </w:r>
    </w:p>
    <w:p>
      <w:pPr>
        <w:pStyle w:val="BlankClose"/>
      </w:pPr>
    </w:p>
    <w:p>
      <w:pPr>
        <w:pStyle w:val="nzSubsection"/>
      </w:pPr>
      <w:r>
        <w:tab/>
        <w:t>(3)</w:t>
      </w:r>
      <w:r>
        <w:tab/>
        <w:t>After section 27(3) insert:</w:t>
      </w:r>
    </w:p>
    <w:p>
      <w:pPr>
        <w:pStyle w:val="BlankOpen"/>
      </w:pPr>
    </w:p>
    <w:p>
      <w:pPr>
        <w:pStyle w:val="nzSubsection"/>
      </w:pPr>
      <w:r>
        <w:tab/>
        <w:t>(4)</w:t>
      </w:r>
      <w:r>
        <w:tab/>
        <w:t>In addition to or instead of the title of Vice</w:t>
      </w:r>
      <w:r>
        <w:noBreakHyphen/>
        <w:t>Chancellor, the Vice</w:t>
      </w:r>
      <w:r>
        <w:noBreakHyphen/>
        <w:t xml:space="preserve">Chancellor may use any other title that is — </w:t>
      </w:r>
    </w:p>
    <w:p>
      <w:pPr>
        <w:pStyle w:val="nzIndenta"/>
      </w:pPr>
      <w:r>
        <w:tab/>
        <w:t>(a)</w:t>
      </w:r>
      <w:r>
        <w:tab/>
        <w:t>approved by the Senate; or</w:t>
      </w:r>
    </w:p>
    <w:p>
      <w:pPr>
        <w:pStyle w:val="nzIndenta"/>
      </w:pPr>
      <w:r>
        <w:tab/>
        <w:t>(b)</w:t>
      </w:r>
      <w:r>
        <w:tab/>
        <w:t>prescribed by Statute, regulation or by</w:t>
      </w:r>
      <w:r>
        <w:noBreakHyphen/>
        <w:t>law.</w:t>
      </w:r>
    </w:p>
    <w:p>
      <w:pPr>
        <w:pStyle w:val="nzSubsection"/>
      </w:pPr>
      <w:r>
        <w:tab/>
        <w:t>(5)</w:t>
      </w:r>
      <w:r>
        <w:tab/>
        <w:t>The use by the Vice</w:t>
      </w:r>
      <w:r>
        <w:noBreakHyphen/>
        <w:t>Chancellor, in accordance with subsection (4), of any title in addition to or instead of the title of Vice</w:t>
      </w:r>
      <w:r>
        <w:noBreakHyphen/>
        <w:t>Chancellor does not affect the validity of anything done or omitted to be done by, to or in relation to the Vice</w:t>
      </w:r>
      <w:r>
        <w:noBreakHyphen/>
        <w:t>Chancellor.</w:t>
      </w:r>
    </w:p>
    <w:p>
      <w:pPr>
        <w:pStyle w:val="BlankClose"/>
      </w:pPr>
    </w:p>
    <w:p>
      <w:pPr>
        <w:pStyle w:val="nzSectAltNote"/>
      </w:pPr>
      <w:r>
        <w:tab/>
        <w:t>Note:</w:t>
      </w:r>
      <w:r>
        <w:tab/>
        <w:t>The heading to amended section 27 is to read:</w:t>
      </w:r>
    </w:p>
    <w:p>
      <w:pPr>
        <w:pStyle w:val="nzSectAltHeading"/>
      </w:pPr>
      <w:r>
        <w:rPr>
          <w:b w:val="0"/>
        </w:rPr>
        <w:tab/>
      </w:r>
      <w:r>
        <w:rPr>
          <w:b w:val="0"/>
        </w:rPr>
        <w:tab/>
      </w:r>
      <w:r>
        <w:t>Vice</w:t>
      </w:r>
      <w:r>
        <w:noBreakHyphen/>
        <w:t>Chancellor</w:t>
      </w:r>
    </w:p>
    <w:p>
      <w:pPr>
        <w:pStyle w:val="nzHeading5"/>
      </w:pPr>
      <w:bookmarkStart w:id="570" w:name="_Toc443919951"/>
      <w:bookmarkStart w:id="571" w:name="_Toc449099990"/>
      <w:bookmarkStart w:id="572" w:name="_Toc464450043"/>
      <w:bookmarkStart w:id="573" w:name="_Toc464726727"/>
      <w:bookmarkStart w:id="574" w:name="_Toc464727122"/>
      <w:r>
        <w:rPr>
          <w:rStyle w:val="CharSectno"/>
        </w:rPr>
        <w:t>158</w:t>
      </w:r>
      <w:r>
        <w:t>.</w:t>
      </w:r>
      <w:r>
        <w:tab/>
        <w:t>Part 5 heading replaced</w:t>
      </w:r>
      <w:bookmarkEnd w:id="570"/>
      <w:bookmarkEnd w:id="571"/>
      <w:bookmarkEnd w:id="572"/>
      <w:bookmarkEnd w:id="573"/>
      <w:bookmarkEnd w:id="574"/>
    </w:p>
    <w:p>
      <w:pPr>
        <w:pStyle w:val="nzSubsection"/>
      </w:pPr>
      <w:r>
        <w:tab/>
      </w:r>
      <w:r>
        <w:tab/>
        <w:t>Delete the heading to Part 5 and insert:</w:t>
      </w:r>
    </w:p>
    <w:p>
      <w:pPr>
        <w:pStyle w:val="BlankOpen"/>
      </w:pPr>
    </w:p>
    <w:p>
      <w:pPr>
        <w:pStyle w:val="nzHeading2"/>
      </w:pPr>
      <w:bookmarkStart w:id="575" w:name="_Toc433968177"/>
      <w:bookmarkStart w:id="576" w:name="_Toc433968566"/>
      <w:bookmarkStart w:id="577" w:name="_Toc433968955"/>
      <w:bookmarkStart w:id="578" w:name="_Toc433969344"/>
      <w:bookmarkStart w:id="579" w:name="_Toc433980040"/>
      <w:bookmarkStart w:id="580" w:name="_Toc433980428"/>
      <w:bookmarkStart w:id="581" w:name="_Toc433980816"/>
      <w:bookmarkStart w:id="582" w:name="_Toc433981204"/>
      <w:bookmarkStart w:id="583" w:name="_Toc433983170"/>
      <w:bookmarkStart w:id="584" w:name="_Toc434333168"/>
      <w:bookmarkStart w:id="585" w:name="_Toc434333562"/>
      <w:bookmarkStart w:id="586" w:name="_Toc434487332"/>
      <w:bookmarkStart w:id="587" w:name="_Toc434487727"/>
      <w:bookmarkStart w:id="588" w:name="_Toc434497100"/>
      <w:bookmarkStart w:id="589" w:name="_Toc434497495"/>
      <w:bookmarkStart w:id="590" w:name="_Toc434585057"/>
      <w:bookmarkStart w:id="591" w:name="_Toc435024544"/>
      <w:bookmarkStart w:id="592" w:name="_Toc435024959"/>
      <w:bookmarkStart w:id="593" w:name="_Toc435176462"/>
      <w:bookmarkStart w:id="594" w:name="_Toc435176859"/>
      <w:bookmarkStart w:id="595" w:name="_Toc435177629"/>
      <w:bookmarkStart w:id="596" w:name="_Toc435436477"/>
      <w:bookmarkStart w:id="597" w:name="_Toc443472908"/>
      <w:bookmarkStart w:id="598" w:name="_Toc443919952"/>
      <w:bookmarkStart w:id="599" w:name="_Toc449098401"/>
      <w:bookmarkStart w:id="600" w:name="_Toc449099197"/>
      <w:bookmarkStart w:id="601" w:name="_Toc449099594"/>
      <w:bookmarkStart w:id="602" w:name="_Toc449099991"/>
      <w:bookmarkStart w:id="603" w:name="_Toc449603427"/>
      <w:bookmarkStart w:id="604" w:name="_Toc449603822"/>
      <w:bookmarkStart w:id="605" w:name="_Toc449952962"/>
      <w:bookmarkStart w:id="606" w:name="_Toc449953459"/>
      <w:bookmarkStart w:id="607" w:name="_Toc449953855"/>
      <w:bookmarkStart w:id="608" w:name="_Toc449954340"/>
      <w:bookmarkStart w:id="609" w:name="_Toc450124182"/>
      <w:bookmarkStart w:id="610" w:name="_Toc450295988"/>
      <w:bookmarkStart w:id="611" w:name="_Toc450296383"/>
      <w:bookmarkStart w:id="612" w:name="_Toc450296778"/>
      <w:bookmarkStart w:id="613" w:name="_Toc450297548"/>
      <w:bookmarkStart w:id="614" w:name="_Toc450551092"/>
      <w:bookmarkStart w:id="615" w:name="_Toc450639630"/>
      <w:bookmarkStart w:id="616" w:name="_Toc461652037"/>
      <w:bookmarkStart w:id="617" w:name="_Toc461702053"/>
      <w:bookmarkStart w:id="618" w:name="_Toc464450044"/>
      <w:bookmarkStart w:id="619" w:name="_Toc464726728"/>
      <w:bookmarkStart w:id="620" w:name="_Toc464727123"/>
      <w:r>
        <w:t>Part 5 — Student Guild</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t xml:space="preserve"> </w:t>
      </w:r>
    </w:p>
    <w:p>
      <w:pPr>
        <w:pStyle w:val="BlankClose"/>
      </w:pPr>
    </w:p>
    <w:p>
      <w:pPr>
        <w:pStyle w:val="nzHeading5"/>
      </w:pPr>
      <w:bookmarkStart w:id="621" w:name="_Toc443919953"/>
      <w:bookmarkStart w:id="622" w:name="_Toc449099992"/>
      <w:bookmarkStart w:id="623" w:name="_Toc464450045"/>
      <w:bookmarkStart w:id="624" w:name="_Toc464726729"/>
      <w:bookmarkStart w:id="625" w:name="_Toc464727124"/>
      <w:r>
        <w:rPr>
          <w:rStyle w:val="CharSectno"/>
        </w:rPr>
        <w:t>159</w:t>
      </w:r>
      <w:r>
        <w:t>.</w:t>
      </w:r>
      <w:r>
        <w:tab/>
        <w:t>Section 28 amended</w:t>
      </w:r>
      <w:bookmarkEnd w:id="621"/>
      <w:bookmarkEnd w:id="622"/>
      <w:bookmarkEnd w:id="623"/>
      <w:bookmarkEnd w:id="624"/>
      <w:bookmarkEnd w:id="625"/>
    </w:p>
    <w:p>
      <w:pPr>
        <w:pStyle w:val="nzSubsection"/>
      </w:pPr>
      <w:r>
        <w:tab/>
        <w:t>(1)</w:t>
      </w:r>
      <w:r>
        <w:tab/>
        <w:t>Delete section 28(1) and insert:</w:t>
      </w:r>
    </w:p>
    <w:p>
      <w:pPr>
        <w:pStyle w:val="BlankOpen"/>
      </w:pPr>
    </w:p>
    <w:p>
      <w:pPr>
        <w:pStyle w:val="nzSubsection"/>
      </w:pPr>
      <w:r>
        <w:tab/>
        <w:t>(1)</w:t>
      </w:r>
      <w:r>
        <w:tab/>
        <w:t>There continues to be a body corporate, to be called the Student Guild.</w:t>
      </w:r>
    </w:p>
    <w:p>
      <w:pPr>
        <w:pStyle w:val="nzSubsection"/>
      </w:pPr>
      <w:r>
        <w:tab/>
        <w:t>(1A)</w:t>
      </w:r>
      <w:r>
        <w:tab/>
        <w:t>The Student Guild is the same body corporate that was established under this Act and originally called the Guild of Undergraduates.</w:t>
      </w:r>
    </w:p>
    <w:p>
      <w:pPr>
        <w:pStyle w:val="BlankClose"/>
      </w:pPr>
    </w:p>
    <w:p>
      <w:pPr>
        <w:pStyle w:val="nzSubsection"/>
      </w:pPr>
      <w:r>
        <w:tab/>
        <w:t>(2)</w:t>
      </w:r>
      <w:r>
        <w:tab/>
        <w:t>In section 28(2) and (2a) before “Guild” (each occurrence) insert:</w:t>
      </w:r>
    </w:p>
    <w:p>
      <w:pPr>
        <w:pStyle w:val="BlankOpen"/>
      </w:pPr>
    </w:p>
    <w:p>
      <w:pPr>
        <w:pStyle w:val="nzSubsection"/>
      </w:pPr>
      <w:r>
        <w:tab/>
      </w:r>
      <w:r>
        <w:tab/>
        <w:t>Student</w:t>
      </w:r>
    </w:p>
    <w:p>
      <w:pPr>
        <w:pStyle w:val="BlankClose"/>
      </w:pPr>
    </w:p>
    <w:p>
      <w:pPr>
        <w:pStyle w:val="nzSubsection"/>
      </w:pPr>
      <w:r>
        <w:tab/>
        <w:t>(3)</w:t>
      </w:r>
      <w:r>
        <w:tab/>
        <w:t>In section 28(2c) delete “not being a member of the Guild.” and insert:</w:t>
      </w:r>
    </w:p>
    <w:p>
      <w:pPr>
        <w:pStyle w:val="BlankOpen"/>
      </w:pPr>
    </w:p>
    <w:p>
      <w:pPr>
        <w:pStyle w:val="nzSubsection"/>
      </w:pPr>
      <w:r>
        <w:tab/>
      </w:r>
      <w:r>
        <w:tab/>
        <w:t>being or not being a member of the Student Guild.</w:t>
      </w:r>
    </w:p>
    <w:p>
      <w:pPr>
        <w:pStyle w:val="BlankClose"/>
      </w:pPr>
    </w:p>
    <w:p>
      <w:pPr>
        <w:pStyle w:val="nzSubsection"/>
      </w:pPr>
      <w:r>
        <w:tab/>
        <w:t>(4)</w:t>
      </w:r>
      <w:r>
        <w:tab/>
        <w:t>In section 28(3) before “Guild” insert:</w:t>
      </w:r>
    </w:p>
    <w:p>
      <w:pPr>
        <w:pStyle w:val="BlankOpen"/>
      </w:pPr>
    </w:p>
    <w:p>
      <w:pPr>
        <w:pStyle w:val="nzSubsection"/>
      </w:pPr>
      <w:r>
        <w:tab/>
      </w:r>
      <w:r>
        <w:tab/>
        <w:t>Student</w:t>
      </w:r>
    </w:p>
    <w:p>
      <w:pPr>
        <w:pStyle w:val="BlankClose"/>
      </w:pPr>
    </w:p>
    <w:p>
      <w:pPr>
        <w:pStyle w:val="nzSubsection"/>
      </w:pPr>
      <w:r>
        <w:tab/>
        <w:t>(5)</w:t>
      </w:r>
      <w:r>
        <w:tab/>
        <w:t>Delete section 28(4) and insert:</w:t>
      </w:r>
    </w:p>
    <w:p>
      <w:pPr>
        <w:pStyle w:val="BlankOpen"/>
      </w:pPr>
    </w:p>
    <w:p>
      <w:pPr>
        <w:pStyle w:val="nzSubsection"/>
      </w:pPr>
      <w:r>
        <w:tab/>
        <w:t>(4)</w:t>
      </w:r>
      <w:r>
        <w:tab/>
        <w:t xml:space="preserve">The Student Guild — </w:t>
      </w:r>
    </w:p>
    <w:p>
      <w:pPr>
        <w:pStyle w:val="nzIndenta"/>
      </w:pPr>
      <w:r>
        <w:tab/>
        <w:t>(a)</w:t>
      </w:r>
      <w:r>
        <w:tab/>
        <w:t>has perpetual succession; and</w:t>
      </w:r>
    </w:p>
    <w:p>
      <w:pPr>
        <w:pStyle w:val="nzIndenta"/>
      </w:pPr>
      <w:r>
        <w:tab/>
        <w:t>(b)</w:t>
      </w:r>
      <w:r>
        <w:tab/>
        <w:t>is to have a common seal; and</w:t>
      </w:r>
    </w:p>
    <w:p>
      <w:pPr>
        <w:pStyle w:val="nzIndenta"/>
      </w:pPr>
      <w:r>
        <w:tab/>
        <w:t>(c)</w:t>
      </w:r>
      <w:r>
        <w:tab/>
        <w:t>may sue and be sued; and</w:t>
      </w:r>
    </w:p>
    <w:p>
      <w:pPr>
        <w:pStyle w:val="nzIndenta"/>
      </w:pPr>
      <w:r>
        <w:tab/>
        <w:t>(d)</w:t>
      </w:r>
      <w:r>
        <w:tab/>
        <w:t>subject to the Statutes, may do and suffer all other acts and things that bodies corporate may by law do and suffer.</w:t>
      </w:r>
    </w:p>
    <w:p>
      <w:pPr>
        <w:pStyle w:val="BlankClose"/>
      </w:pPr>
    </w:p>
    <w:p>
      <w:pPr>
        <w:pStyle w:val="nzSubsection"/>
      </w:pPr>
      <w:r>
        <w:tab/>
        <w:t>(6)</w:t>
      </w:r>
      <w:r>
        <w:tab/>
        <w:t>In section 28(5), (6) and (7) before “Guild” (each occurrence) insert:</w:t>
      </w:r>
    </w:p>
    <w:p>
      <w:pPr>
        <w:pStyle w:val="BlankOpen"/>
      </w:pPr>
    </w:p>
    <w:p>
      <w:pPr>
        <w:pStyle w:val="nzSubsection"/>
      </w:pPr>
      <w:r>
        <w:tab/>
      </w:r>
      <w:r>
        <w:tab/>
        <w:t>Student</w:t>
      </w:r>
    </w:p>
    <w:p>
      <w:pPr>
        <w:pStyle w:val="BlankClose"/>
      </w:pPr>
    </w:p>
    <w:p>
      <w:pPr>
        <w:pStyle w:val="nzSectAltNote"/>
      </w:pPr>
      <w:r>
        <w:tab/>
        <w:t>Note:</w:t>
      </w:r>
      <w:r>
        <w:tab/>
        <w:t>The heading to amended section 28 is to read:</w:t>
      </w:r>
    </w:p>
    <w:p>
      <w:pPr>
        <w:pStyle w:val="nzSectAltHeading"/>
      </w:pPr>
      <w:r>
        <w:rPr>
          <w:b w:val="0"/>
        </w:rPr>
        <w:tab/>
      </w:r>
      <w:r>
        <w:rPr>
          <w:b w:val="0"/>
        </w:rPr>
        <w:tab/>
      </w:r>
      <w:r>
        <w:t>Student Guild</w:t>
      </w:r>
    </w:p>
    <w:p>
      <w:pPr>
        <w:pStyle w:val="nzHeading5"/>
      </w:pPr>
      <w:bookmarkStart w:id="626" w:name="_Toc443919954"/>
      <w:bookmarkStart w:id="627" w:name="_Toc449099993"/>
      <w:bookmarkStart w:id="628" w:name="_Toc464450046"/>
      <w:bookmarkStart w:id="629" w:name="_Toc464726730"/>
      <w:bookmarkStart w:id="630" w:name="_Toc464727125"/>
      <w:r>
        <w:rPr>
          <w:rStyle w:val="CharSectno"/>
        </w:rPr>
        <w:t>160</w:t>
      </w:r>
      <w:r>
        <w:t>.</w:t>
      </w:r>
      <w:r>
        <w:tab/>
        <w:t>Section 28A replaced</w:t>
      </w:r>
      <w:bookmarkEnd w:id="626"/>
      <w:bookmarkEnd w:id="627"/>
      <w:bookmarkEnd w:id="628"/>
      <w:bookmarkEnd w:id="629"/>
      <w:bookmarkEnd w:id="630"/>
    </w:p>
    <w:p>
      <w:pPr>
        <w:pStyle w:val="nzSubsection"/>
      </w:pPr>
      <w:r>
        <w:tab/>
      </w:r>
      <w:r>
        <w:tab/>
        <w:t>Delete section 28A and insert:</w:t>
      </w:r>
    </w:p>
    <w:p>
      <w:pPr>
        <w:pStyle w:val="BlankOpen"/>
      </w:pPr>
    </w:p>
    <w:p>
      <w:pPr>
        <w:pStyle w:val="nzHeading5"/>
      </w:pPr>
      <w:bookmarkStart w:id="631" w:name="_Toc443919955"/>
      <w:bookmarkStart w:id="632" w:name="_Toc449099994"/>
      <w:bookmarkStart w:id="633" w:name="_Toc464450047"/>
      <w:bookmarkStart w:id="634" w:name="_Toc464726731"/>
      <w:bookmarkStart w:id="635" w:name="_Toc464727126"/>
      <w:r>
        <w:t>28A.</w:t>
      </w:r>
      <w:r>
        <w:tab/>
        <w:t>Amenities and services fee</w:t>
      </w:r>
      <w:bookmarkEnd w:id="631"/>
      <w:bookmarkEnd w:id="632"/>
      <w:bookmarkEnd w:id="633"/>
      <w:bookmarkEnd w:id="634"/>
      <w:bookmarkEnd w:id="635"/>
    </w:p>
    <w:p>
      <w:pPr>
        <w:pStyle w:val="nzSubsection"/>
      </w:pPr>
      <w:r>
        <w:tab/>
        <w:t>(1)</w:t>
      </w:r>
      <w:r>
        <w:tab/>
        <w:t xml:space="preserve">A Statute made under section 31 may provide for an annual amenities and services fee to be payable by students, and (without limitation) for that purpose may — </w:t>
      </w:r>
    </w:p>
    <w:p>
      <w:pPr>
        <w:pStyle w:val="nzIndenta"/>
      </w:pPr>
      <w:r>
        <w:tab/>
        <w:t>(a)</w:t>
      </w:r>
      <w:r>
        <w:tab/>
        <w:t>prescribe the procedures to be followed in setting that fee;</w:t>
      </w:r>
    </w:p>
    <w:p>
      <w:pPr>
        <w:pStyle w:val="nzIndenta"/>
      </w:pPr>
      <w:r>
        <w:tab/>
        <w:t>(b)</w:t>
      </w:r>
      <w:r>
        <w:tab/>
        <w:t>prescribe the persons by whom the fee is payable, and exempt or provide for the exemption of persons or classes of persons from payment of the fee;</w:t>
      </w:r>
    </w:p>
    <w:p>
      <w:pPr>
        <w:pStyle w:val="nzIndenta"/>
      </w:pPr>
      <w:r>
        <w:tab/>
        <w:t>(c)</w:t>
      </w:r>
      <w:r>
        <w:tab/>
        <w:t>provide for different levels of the fee to be payable by different classes of persons;</w:t>
      </w:r>
    </w:p>
    <w:p>
      <w:pPr>
        <w:pStyle w:val="nzIndenta"/>
      </w:pPr>
      <w:r>
        <w:tab/>
        <w:t>(d)</w:t>
      </w:r>
      <w:r>
        <w:tab/>
        <w:t>provide for the reduction, waiver or refund, in whole or in part, of the fee;</w:t>
      </w:r>
    </w:p>
    <w:p>
      <w:pPr>
        <w:pStyle w:val="nzIndenta"/>
      </w:pPr>
      <w:r>
        <w:tab/>
        <w:t>(e)</w:t>
      </w:r>
      <w:r>
        <w:tab/>
        <w:t>prescribe terms and conditions on which any amount of the total fees collected is to be paid to the Student Guild, including conditions to be met before some or all of the amount may be paid to the Student Guild;</w:t>
      </w:r>
    </w:p>
    <w:p>
      <w:pPr>
        <w:pStyle w:val="nzIndenta"/>
      </w:pPr>
      <w:r>
        <w:tab/>
        <w:t>(f)</w:t>
      </w:r>
      <w:r>
        <w:tab/>
        <w:t>provide for the Senate to decide how the amount of the total fees collected (after deducting the amount that is paid to the Student Guild) is to be spent, after consultation by the Senate with the Student Guild.</w:t>
      </w:r>
    </w:p>
    <w:p>
      <w:pPr>
        <w:pStyle w:val="nzSubsection"/>
      </w:pPr>
      <w:r>
        <w:tab/>
        <w:t>(2)</w:t>
      </w:r>
      <w:r>
        <w:tab/>
        <w:t>This section does not limit section 31.</w:t>
      </w:r>
    </w:p>
    <w:p>
      <w:pPr>
        <w:pStyle w:val="nzSubsection"/>
      </w:pPr>
      <w:r>
        <w:tab/>
        <w:t>(3)</w:t>
      </w:r>
      <w:r>
        <w:tab/>
        <w:t>The Senate must pay to the Student Guild an amount that is not less than 50% of the total amount of the annual amenities and services fees collected.</w:t>
      </w:r>
    </w:p>
    <w:p>
      <w:pPr>
        <w:pStyle w:val="nzSubsection"/>
      </w:pPr>
      <w:r>
        <w:tab/>
        <w:t>(4)</w:t>
      </w:r>
      <w:r>
        <w:tab/>
        <w:t>This section overrides section 38.</w:t>
      </w:r>
    </w:p>
    <w:p>
      <w:pPr>
        <w:pStyle w:val="BlankClose"/>
      </w:pPr>
    </w:p>
    <w:p>
      <w:pPr>
        <w:pStyle w:val="nzHeading5"/>
      </w:pPr>
      <w:bookmarkStart w:id="636" w:name="_Toc443919956"/>
      <w:bookmarkStart w:id="637" w:name="_Toc449099995"/>
      <w:bookmarkStart w:id="638" w:name="_Toc464450048"/>
      <w:bookmarkStart w:id="639" w:name="_Toc464726732"/>
      <w:bookmarkStart w:id="640" w:name="_Toc464727127"/>
      <w:r>
        <w:rPr>
          <w:rStyle w:val="CharSectno"/>
        </w:rPr>
        <w:t>161</w:t>
      </w:r>
      <w:r>
        <w:t>.</w:t>
      </w:r>
      <w:r>
        <w:tab/>
        <w:t>Section 28B amended</w:t>
      </w:r>
      <w:bookmarkEnd w:id="636"/>
      <w:bookmarkEnd w:id="637"/>
      <w:bookmarkEnd w:id="638"/>
      <w:bookmarkEnd w:id="639"/>
      <w:bookmarkEnd w:id="640"/>
    </w:p>
    <w:p>
      <w:pPr>
        <w:pStyle w:val="nzSubsection"/>
      </w:pPr>
      <w:r>
        <w:tab/>
      </w:r>
      <w:r>
        <w:tab/>
        <w:t>In section 28B:</w:t>
      </w:r>
    </w:p>
    <w:p>
      <w:pPr>
        <w:pStyle w:val="nzIndenta"/>
      </w:pPr>
      <w:r>
        <w:tab/>
        <w:t>(a)</w:t>
      </w:r>
      <w:r>
        <w:tab/>
        <w:t>before “Guild” (each occurrence) insert:</w:t>
      </w:r>
    </w:p>
    <w:p>
      <w:pPr>
        <w:pStyle w:val="BlankOpen"/>
      </w:pPr>
    </w:p>
    <w:p>
      <w:pPr>
        <w:pStyle w:val="nzIndenta"/>
      </w:pPr>
      <w:r>
        <w:tab/>
      </w:r>
      <w:r>
        <w:tab/>
        <w:t>Student</w:t>
      </w:r>
    </w:p>
    <w:p>
      <w:pPr>
        <w:pStyle w:val="BlankClose"/>
      </w:pPr>
    </w:p>
    <w:p>
      <w:pPr>
        <w:pStyle w:val="nzIndenta"/>
      </w:pPr>
      <w:r>
        <w:tab/>
        <w:t>(b)</w:t>
      </w:r>
      <w:r>
        <w:tab/>
        <w:t>before “Guild’s” insert:</w:t>
      </w:r>
    </w:p>
    <w:p>
      <w:pPr>
        <w:pStyle w:val="BlankOpen"/>
      </w:pPr>
    </w:p>
    <w:p>
      <w:pPr>
        <w:pStyle w:val="nzIndenta"/>
      </w:pPr>
      <w:r>
        <w:tab/>
      </w:r>
      <w:r>
        <w:tab/>
        <w:t>Student</w:t>
      </w:r>
    </w:p>
    <w:p>
      <w:pPr>
        <w:pStyle w:val="BlankClose"/>
      </w:pPr>
    </w:p>
    <w:p>
      <w:pPr>
        <w:pStyle w:val="nzHeading5"/>
      </w:pPr>
      <w:bookmarkStart w:id="641" w:name="_Toc443919957"/>
      <w:bookmarkStart w:id="642" w:name="_Toc449099996"/>
      <w:bookmarkStart w:id="643" w:name="_Toc464450049"/>
      <w:bookmarkStart w:id="644" w:name="_Toc464726733"/>
      <w:bookmarkStart w:id="645" w:name="_Toc464727128"/>
      <w:r>
        <w:rPr>
          <w:rStyle w:val="CharSectno"/>
        </w:rPr>
        <w:t>162</w:t>
      </w:r>
      <w:r>
        <w:t>.</w:t>
      </w:r>
      <w:r>
        <w:tab/>
        <w:t>Section 29 replaced</w:t>
      </w:r>
      <w:bookmarkEnd w:id="641"/>
      <w:bookmarkEnd w:id="642"/>
      <w:bookmarkEnd w:id="643"/>
      <w:bookmarkEnd w:id="644"/>
      <w:bookmarkEnd w:id="645"/>
    </w:p>
    <w:p>
      <w:pPr>
        <w:pStyle w:val="nzSubsection"/>
      </w:pPr>
      <w:r>
        <w:tab/>
      </w:r>
      <w:r>
        <w:tab/>
        <w:t>Delete section 29 and insert:</w:t>
      </w:r>
    </w:p>
    <w:p>
      <w:pPr>
        <w:pStyle w:val="BlankOpen"/>
      </w:pPr>
    </w:p>
    <w:p>
      <w:pPr>
        <w:pStyle w:val="nzHeading5"/>
      </w:pPr>
      <w:bookmarkStart w:id="646" w:name="_Toc443919958"/>
      <w:bookmarkStart w:id="647" w:name="_Toc449099997"/>
      <w:bookmarkStart w:id="648" w:name="_Toc464450050"/>
      <w:bookmarkStart w:id="649" w:name="_Toc464726734"/>
      <w:bookmarkStart w:id="650" w:name="_Toc464727129"/>
      <w:r>
        <w:t>29.</w:t>
      </w:r>
      <w:r>
        <w:tab/>
        <w:t>Courses of study and degrees</w:t>
      </w:r>
      <w:bookmarkEnd w:id="646"/>
      <w:bookmarkEnd w:id="647"/>
      <w:bookmarkEnd w:id="648"/>
      <w:bookmarkEnd w:id="649"/>
      <w:bookmarkEnd w:id="650"/>
    </w:p>
    <w:p>
      <w:pPr>
        <w:pStyle w:val="nzSubsection"/>
      </w:pPr>
      <w:r>
        <w:tab/>
        <w:t>(1)</w:t>
      </w:r>
      <w:r>
        <w:tab/>
        <w:t xml:space="preserve">The Senate may — </w:t>
      </w:r>
    </w:p>
    <w:p>
      <w:pPr>
        <w:pStyle w:val="nzIndenta"/>
      </w:pPr>
      <w:r>
        <w:tab/>
        <w:t>(a)</w:t>
      </w:r>
      <w:r>
        <w:tab/>
        <w:t>cause to be provided to students courses of study appropriate to a university, and other tertiary courses; and</w:t>
      </w:r>
    </w:p>
    <w:p>
      <w:pPr>
        <w:pStyle w:val="nzIndenta"/>
      </w:pPr>
      <w:r>
        <w:tab/>
        <w:t>(b)</w:t>
      </w:r>
      <w:r>
        <w:tab/>
        <w:t>grant degrees, diplomas and certificates in any branch of knowledge appropriate to a university; and</w:t>
      </w:r>
    </w:p>
    <w:p>
      <w:pPr>
        <w:pStyle w:val="nzIndenta"/>
      </w:pPr>
      <w:r>
        <w:tab/>
        <w:t>(c)</w:t>
      </w:r>
      <w:r>
        <w:tab/>
        <w:t>confer honorary degrees or other distinctions on persons approved by the Senate.</w:t>
      </w:r>
    </w:p>
    <w:p>
      <w:pPr>
        <w:pStyle w:val="nzSubsection"/>
      </w:pPr>
      <w:r>
        <w:tab/>
        <w:t>(2)</w:t>
      </w:r>
      <w:r>
        <w:tab/>
        <w:t>Subsection (1) is subject to any provision in the Statutes relating to the grant or conferral of a degree, diploma, certificate or other distinction.</w:t>
      </w:r>
    </w:p>
    <w:p>
      <w:pPr>
        <w:pStyle w:val="BlankClose"/>
      </w:pPr>
    </w:p>
    <w:p>
      <w:pPr>
        <w:pStyle w:val="nzHeading5"/>
      </w:pPr>
      <w:bookmarkStart w:id="651" w:name="_Toc443919959"/>
      <w:bookmarkStart w:id="652" w:name="_Toc449099998"/>
      <w:bookmarkStart w:id="653" w:name="_Toc464450051"/>
      <w:bookmarkStart w:id="654" w:name="_Toc464726735"/>
      <w:bookmarkStart w:id="655" w:name="_Toc464727130"/>
      <w:r>
        <w:rPr>
          <w:rStyle w:val="CharSectno"/>
        </w:rPr>
        <w:t>163</w:t>
      </w:r>
      <w:r>
        <w:t>.</w:t>
      </w:r>
      <w:r>
        <w:tab/>
        <w:t>Section 30 amended</w:t>
      </w:r>
      <w:bookmarkEnd w:id="651"/>
      <w:bookmarkEnd w:id="652"/>
      <w:bookmarkEnd w:id="653"/>
      <w:bookmarkEnd w:id="654"/>
      <w:bookmarkEnd w:id="655"/>
    </w:p>
    <w:p>
      <w:pPr>
        <w:pStyle w:val="nzSubsection"/>
      </w:pPr>
      <w:r>
        <w:tab/>
      </w:r>
      <w:r>
        <w:tab/>
        <w:t>In section 30(2):</w:t>
      </w:r>
    </w:p>
    <w:p>
      <w:pPr>
        <w:pStyle w:val="nzIndenta"/>
      </w:pPr>
      <w:r>
        <w:tab/>
        <w:t>(a)</w:t>
      </w:r>
      <w:r>
        <w:tab/>
        <w:t>delete “his” and insert:</w:t>
      </w:r>
    </w:p>
    <w:p>
      <w:pPr>
        <w:pStyle w:val="BlankOpen"/>
      </w:pPr>
    </w:p>
    <w:p>
      <w:pPr>
        <w:pStyle w:val="nzIndenta"/>
      </w:pPr>
      <w:r>
        <w:tab/>
      </w:r>
      <w:r>
        <w:tab/>
        <w:t>the person’s</w:t>
      </w:r>
    </w:p>
    <w:p>
      <w:pPr>
        <w:pStyle w:val="BlankClose"/>
      </w:pPr>
    </w:p>
    <w:p>
      <w:pPr>
        <w:pStyle w:val="nzIndenta"/>
        <w:keepNext/>
      </w:pPr>
      <w:r>
        <w:tab/>
        <w:t>(b)</w:t>
      </w:r>
      <w:r>
        <w:tab/>
        <w:t>delete “Governor” and insert:</w:t>
      </w:r>
    </w:p>
    <w:p>
      <w:pPr>
        <w:pStyle w:val="BlankOpen"/>
      </w:pPr>
    </w:p>
    <w:p>
      <w:pPr>
        <w:pStyle w:val="nzIndenta"/>
      </w:pPr>
      <w:r>
        <w:tab/>
      </w:r>
      <w:r>
        <w:tab/>
        <w:t>Minister</w:t>
      </w:r>
    </w:p>
    <w:p>
      <w:pPr>
        <w:pStyle w:val="BlankClose"/>
      </w:pPr>
    </w:p>
    <w:p>
      <w:pPr>
        <w:pStyle w:val="nzHeading5"/>
      </w:pPr>
      <w:bookmarkStart w:id="656" w:name="_Toc443919960"/>
      <w:bookmarkStart w:id="657" w:name="_Toc449099999"/>
      <w:bookmarkStart w:id="658" w:name="_Toc464450052"/>
      <w:bookmarkStart w:id="659" w:name="_Toc464726736"/>
      <w:bookmarkStart w:id="660" w:name="_Toc464727131"/>
      <w:r>
        <w:rPr>
          <w:rStyle w:val="CharSectno"/>
        </w:rPr>
        <w:t>164</w:t>
      </w:r>
      <w:r>
        <w:t>.</w:t>
      </w:r>
      <w:r>
        <w:tab/>
        <w:t xml:space="preserve">Section 31 </w:t>
      </w:r>
      <w:bookmarkEnd w:id="656"/>
      <w:bookmarkEnd w:id="657"/>
      <w:r>
        <w:t>amended</w:t>
      </w:r>
      <w:bookmarkEnd w:id="658"/>
      <w:bookmarkEnd w:id="659"/>
      <w:bookmarkEnd w:id="660"/>
    </w:p>
    <w:p>
      <w:pPr>
        <w:pStyle w:val="nzSubsection"/>
      </w:pPr>
      <w:r>
        <w:tab/>
        <w:t>(1)</w:t>
      </w:r>
      <w:r>
        <w:tab/>
        <w:t>Delete section 31(1) and insert:</w:t>
      </w:r>
    </w:p>
    <w:p>
      <w:pPr>
        <w:pStyle w:val="BlankOpen"/>
      </w:pPr>
    </w:p>
    <w:p>
      <w:pPr>
        <w:pStyle w:val="nzSubsection"/>
      </w:pPr>
      <w:r>
        <w:tab/>
        <w:t>(1)</w:t>
      </w:r>
      <w:r>
        <w:tab/>
        <w:t>The Senate may make Statutes with respect to any of the following matters —</w:t>
      </w:r>
    </w:p>
    <w:p>
      <w:pPr>
        <w:pStyle w:val="nzIndenta"/>
      </w:pPr>
      <w:r>
        <w:tab/>
        <w:t>(a)</w:t>
      </w:r>
      <w:r>
        <w:tab/>
        <w:t xml:space="preserve">the management, good government, and discipline of the University; </w:t>
      </w:r>
    </w:p>
    <w:p>
      <w:pPr>
        <w:pStyle w:val="nzIndenta"/>
      </w:pPr>
      <w:r>
        <w:tab/>
        <w:t>(b)</w:t>
      </w:r>
      <w:r>
        <w:tab/>
        <w:t xml:space="preserve">the use and custody of the common seal; </w:t>
      </w:r>
    </w:p>
    <w:p>
      <w:pPr>
        <w:pStyle w:val="nzIndenta"/>
      </w:pPr>
      <w:r>
        <w:tab/>
        <w:t>(c)</w:t>
      </w:r>
      <w:r>
        <w:tab/>
        <w:t xml:space="preserve">the election of — </w:t>
      </w:r>
    </w:p>
    <w:p>
      <w:pPr>
        <w:pStyle w:val="nzIndenti"/>
      </w:pPr>
      <w:r>
        <w:tab/>
        <w:t>(i)</w:t>
      </w:r>
      <w:r>
        <w:tab/>
        <w:t>the Warden;</w:t>
      </w:r>
    </w:p>
    <w:p>
      <w:pPr>
        <w:pStyle w:val="nzIndenti"/>
      </w:pPr>
      <w:r>
        <w:tab/>
        <w:t>(ii)</w:t>
      </w:r>
      <w:r>
        <w:tab/>
        <w:t>officers of Convocation or of a committee of Convocation;</w:t>
      </w:r>
    </w:p>
    <w:p>
      <w:pPr>
        <w:pStyle w:val="nzIndenta"/>
      </w:pPr>
      <w:r>
        <w:tab/>
        <w:t>(d)</w:t>
      </w:r>
      <w:r>
        <w:tab/>
        <w:t xml:space="preserve">procedures for meetings of the Senate and Convocation; </w:t>
      </w:r>
    </w:p>
    <w:p>
      <w:pPr>
        <w:pStyle w:val="nzIndenta"/>
      </w:pPr>
      <w:r>
        <w:tab/>
        <w:t>(e)</w:t>
      </w:r>
      <w:r>
        <w:tab/>
        <w:t>the tenure of office, and powers and duties of the Vice</w:t>
      </w:r>
      <w:r>
        <w:noBreakHyphen/>
        <w:t xml:space="preserve">Chancellor; </w:t>
      </w:r>
    </w:p>
    <w:p>
      <w:pPr>
        <w:pStyle w:val="nzIndenta"/>
      </w:pPr>
      <w:r>
        <w:tab/>
        <w:t>(f)</w:t>
      </w:r>
      <w:r>
        <w:tab/>
        <w:t>the number, manner of appointment and dismissal of deans, professors, lecturers, examiners, and other officers and employees of the University;</w:t>
      </w:r>
    </w:p>
    <w:p>
      <w:pPr>
        <w:pStyle w:val="nzIndenta"/>
      </w:pPr>
      <w:r>
        <w:tab/>
        <w:t>(g)</w:t>
      </w:r>
      <w:r>
        <w:tab/>
        <w:t xml:space="preserve">the holding of lectures, classes, and examinations; </w:t>
      </w:r>
    </w:p>
    <w:p>
      <w:pPr>
        <w:pStyle w:val="nzIndenta"/>
      </w:pPr>
      <w:r>
        <w:tab/>
        <w:t>(h)</w:t>
      </w:r>
      <w:r>
        <w:tab/>
        <w:t xml:space="preserve">the promotion and extension of University teaching; </w:t>
      </w:r>
    </w:p>
    <w:p>
      <w:pPr>
        <w:pStyle w:val="nzIndenta"/>
      </w:pPr>
      <w:r>
        <w:tab/>
        <w:t>(i)</w:t>
      </w:r>
      <w:r>
        <w:tab/>
        <w:t xml:space="preserve">the granting of degrees, diplomas, certificates, and honours; </w:t>
      </w:r>
    </w:p>
    <w:p>
      <w:pPr>
        <w:pStyle w:val="nzIndenta"/>
      </w:pPr>
      <w:r>
        <w:tab/>
        <w:t>(j)</w:t>
      </w:r>
      <w:r>
        <w:tab/>
        <w:t xml:space="preserve">the conditions on which degrees, diplomas, certificates, and honours may be granted to students who are not residents of Australia; </w:t>
      </w:r>
    </w:p>
    <w:p>
      <w:pPr>
        <w:pStyle w:val="nzIndenta"/>
      </w:pPr>
      <w:r>
        <w:tab/>
        <w:t>(k)</w:t>
      </w:r>
      <w:r>
        <w:tab/>
        <w:t xml:space="preserve">the granting of fellowships, scholarships, exhibitions, bursaries, and prizes; </w:t>
      </w:r>
    </w:p>
    <w:p>
      <w:pPr>
        <w:pStyle w:val="nzIndenta"/>
      </w:pPr>
      <w:r>
        <w:tab/>
        <w:t>(l)</w:t>
      </w:r>
      <w:r>
        <w:tab/>
        <w:t xml:space="preserve">the admission of students of other universities to any corresponding status or of graduates of other universities to any corresponding degree or diploma without examination; </w:t>
      </w:r>
    </w:p>
    <w:p>
      <w:pPr>
        <w:pStyle w:val="nzIndenta"/>
      </w:pPr>
      <w:r>
        <w:tab/>
        <w:t>(m)</w:t>
      </w:r>
      <w:r>
        <w:tab/>
        <w:t xml:space="preserve">the fees, if any, to be paid for examinations, for the granting of degrees, diplomas, and certificates, and for attendance at the lectures and classes of the University; </w:t>
      </w:r>
    </w:p>
    <w:p>
      <w:pPr>
        <w:pStyle w:val="nzIndenta"/>
      </w:pPr>
      <w:r>
        <w:tab/>
        <w:t>(n)</w:t>
      </w:r>
      <w:r>
        <w:tab/>
        <w:t xml:space="preserve">the annual amenities and services fee in accordance with section 28A; </w:t>
      </w:r>
    </w:p>
    <w:p>
      <w:pPr>
        <w:pStyle w:val="nzIndenta"/>
      </w:pPr>
      <w:r>
        <w:tab/>
        <w:t>(o)</w:t>
      </w:r>
      <w:r>
        <w:tab/>
        <w:t xml:space="preserve">the matters required by section 28B to be specified or prescribed by Statute; </w:t>
      </w:r>
    </w:p>
    <w:p>
      <w:pPr>
        <w:pStyle w:val="nzIndenta"/>
      </w:pPr>
      <w:r>
        <w:tab/>
        <w:t>(p)</w:t>
      </w:r>
      <w:r>
        <w:tab/>
        <w:t xml:space="preserve">the establishment, management, and control of libraries and museums in connection with the University; </w:t>
      </w:r>
    </w:p>
    <w:p>
      <w:pPr>
        <w:pStyle w:val="nzIndenta"/>
      </w:pPr>
      <w:r>
        <w:tab/>
        <w:t>(q)</w:t>
      </w:r>
      <w:r>
        <w:tab/>
        <w:t>the establishment by the Senate of residential accommodation for staff of the University, or students, or both, and the management, control and closing of any residential accommodation;</w:t>
      </w:r>
    </w:p>
    <w:p>
      <w:pPr>
        <w:pStyle w:val="nzIndenta"/>
      </w:pPr>
      <w:r>
        <w:tab/>
        <w:t>(r)</w:t>
      </w:r>
      <w:r>
        <w:tab/>
        <w:t>the affiliation of residential accommodation for staff of the University, or students, or both, where the residential accommodation is not under the control of the Senate;</w:t>
      </w:r>
    </w:p>
    <w:p>
      <w:pPr>
        <w:pStyle w:val="nzIndenta"/>
      </w:pPr>
      <w:r>
        <w:tab/>
        <w:t>(s)</w:t>
      </w:r>
      <w:r>
        <w:tab/>
        <w:t xml:space="preserve">providing for a scheme of superannuation for the salaried teachers and officers on retirement; </w:t>
      </w:r>
    </w:p>
    <w:p>
      <w:pPr>
        <w:pStyle w:val="nzIndenta"/>
      </w:pPr>
      <w:r>
        <w:tab/>
        <w:t>(t)</w:t>
      </w:r>
      <w:r>
        <w:tab/>
        <w:t xml:space="preserve">the control and investment of the property of the University; </w:t>
      </w:r>
    </w:p>
    <w:p>
      <w:pPr>
        <w:pStyle w:val="nzIndenta"/>
      </w:pPr>
      <w:r>
        <w:tab/>
        <w:t>(u)</w:t>
      </w:r>
      <w:r>
        <w:tab/>
        <w:t xml:space="preserve">classes of membership and conditions or qualifications for membership of the Student Guild; </w:t>
      </w:r>
    </w:p>
    <w:p>
      <w:pPr>
        <w:pStyle w:val="nzIndenta"/>
      </w:pPr>
      <w:r>
        <w:tab/>
        <w:t>(v)</w:t>
      </w:r>
      <w:r>
        <w:tab/>
        <w:t xml:space="preserve">the powers, authorities and obligations of the Student Guild, the use and custody of the common seal of the Student Guild and any other matters necessary or convenient for the effective functioning of that body; </w:t>
      </w:r>
    </w:p>
    <w:p>
      <w:pPr>
        <w:pStyle w:val="nzIndenta"/>
      </w:pPr>
      <w:r>
        <w:tab/>
        <w:t>(w)</w:t>
      </w:r>
      <w:r>
        <w:tab/>
        <w:t xml:space="preserve">academic costume; </w:t>
      </w:r>
    </w:p>
    <w:p>
      <w:pPr>
        <w:pStyle w:val="nzIndenta"/>
      </w:pPr>
      <w:r>
        <w:tab/>
        <w:t>(x)</w:t>
      </w:r>
      <w:r>
        <w:tab/>
        <w:t>any other matters not inconsistent with the provisions of this Act.</w:t>
      </w:r>
    </w:p>
    <w:p>
      <w:pPr>
        <w:pStyle w:val="BlankClose"/>
      </w:pPr>
    </w:p>
    <w:p>
      <w:pPr>
        <w:pStyle w:val="nzSubsection"/>
      </w:pPr>
      <w:r>
        <w:tab/>
        <w:t>(2)</w:t>
      </w:r>
      <w:r>
        <w:tab/>
        <w:t>In section 31(2) delete “3 months” and insert:</w:t>
      </w:r>
    </w:p>
    <w:p>
      <w:pPr>
        <w:pStyle w:val="BlankOpen"/>
      </w:pPr>
    </w:p>
    <w:p>
      <w:pPr>
        <w:pStyle w:val="nzSubsection"/>
      </w:pPr>
      <w:r>
        <w:tab/>
      </w:r>
      <w:r>
        <w:tab/>
        <w:t>28 days</w:t>
      </w:r>
    </w:p>
    <w:p>
      <w:pPr>
        <w:pStyle w:val="BlankClose"/>
      </w:pPr>
    </w:p>
    <w:p>
      <w:pPr>
        <w:pStyle w:val="nzHeading5"/>
      </w:pPr>
      <w:bookmarkStart w:id="661" w:name="_Toc464450053"/>
      <w:bookmarkStart w:id="662" w:name="_Toc464726737"/>
      <w:bookmarkStart w:id="663" w:name="_Toc464727132"/>
      <w:r>
        <w:rPr>
          <w:rStyle w:val="CharSectno"/>
        </w:rPr>
        <w:t>165</w:t>
      </w:r>
      <w:r>
        <w:t>.</w:t>
      </w:r>
      <w:r>
        <w:tab/>
        <w:t>Section 33 replaced</w:t>
      </w:r>
      <w:bookmarkEnd w:id="661"/>
      <w:bookmarkEnd w:id="662"/>
      <w:bookmarkEnd w:id="663"/>
    </w:p>
    <w:p>
      <w:pPr>
        <w:pStyle w:val="nzSubsection"/>
      </w:pPr>
      <w:r>
        <w:tab/>
      </w:r>
      <w:r>
        <w:tab/>
        <w:t>Delete section 33 and insert:</w:t>
      </w:r>
    </w:p>
    <w:p>
      <w:pPr>
        <w:pStyle w:val="BlankOpen"/>
      </w:pPr>
    </w:p>
    <w:p>
      <w:pPr>
        <w:pStyle w:val="nzHeading5"/>
      </w:pPr>
      <w:bookmarkStart w:id="664" w:name="_Toc443919962"/>
      <w:bookmarkStart w:id="665" w:name="_Toc449100001"/>
      <w:bookmarkStart w:id="666" w:name="_Toc464450054"/>
      <w:bookmarkStart w:id="667" w:name="_Toc464726738"/>
      <w:bookmarkStart w:id="668" w:name="_Toc464727133"/>
      <w:r>
        <w:t>33.</w:t>
      </w:r>
      <w:r>
        <w:tab/>
        <w:t>Approval, publication, disallowance and proof of Statutes</w:t>
      </w:r>
      <w:bookmarkEnd w:id="664"/>
      <w:bookmarkEnd w:id="665"/>
      <w:bookmarkEnd w:id="666"/>
      <w:bookmarkEnd w:id="667"/>
      <w:bookmarkEnd w:id="668"/>
    </w:p>
    <w:p>
      <w:pPr>
        <w:pStyle w:val="nzSubsection"/>
      </w:pPr>
      <w:r>
        <w:tab/>
        <w:t>(1)</w:t>
      </w:r>
      <w:r>
        <w:tab/>
        <w:t xml:space="preserve">A Statute made by the Senate — </w:t>
      </w:r>
    </w:p>
    <w:p>
      <w:pPr>
        <w:pStyle w:val="nzIndenta"/>
      </w:pPr>
      <w:r>
        <w:tab/>
        <w:t>(a)</w:t>
      </w:r>
      <w:r>
        <w:tab/>
        <w:t>must be sealed with the common seal of the University; and</w:t>
      </w:r>
    </w:p>
    <w:p>
      <w:pPr>
        <w:pStyle w:val="nzIndenta"/>
      </w:pPr>
      <w:r>
        <w:tab/>
        <w:t>(b)</w:t>
      </w:r>
      <w:r>
        <w:tab/>
        <w:t>must be submitted to the Governor for approval; and</w:t>
      </w:r>
    </w:p>
    <w:p>
      <w:pPr>
        <w:pStyle w:val="nzIndenta"/>
      </w:pPr>
      <w:r>
        <w:tab/>
        <w:t>(c)</w:t>
      </w:r>
      <w:r>
        <w:tab/>
        <w:t xml:space="preserve">if approved by the Governor, must be published in the </w:t>
      </w:r>
      <w:r>
        <w:rPr>
          <w:i/>
        </w:rPr>
        <w:t>Gazette</w:t>
      </w:r>
      <w:r>
        <w:t>; and</w:t>
      </w:r>
    </w:p>
    <w:p>
      <w:pPr>
        <w:pStyle w:val="nzIndenta"/>
      </w:pPr>
      <w:r>
        <w:tab/>
        <w:t>(d)</w:t>
      </w:r>
      <w:r>
        <w:tab/>
        <w:t xml:space="preserve">takes effect on the later of — </w:t>
      </w:r>
    </w:p>
    <w:p>
      <w:pPr>
        <w:pStyle w:val="nzIndenti"/>
      </w:pPr>
      <w:r>
        <w:tab/>
        <w:t>(i)</w:t>
      </w:r>
      <w:r>
        <w:tab/>
        <w:t xml:space="preserve">the day after publication in the </w:t>
      </w:r>
      <w:r>
        <w:rPr>
          <w:i/>
        </w:rPr>
        <w:t>Gazette</w:t>
      </w:r>
      <w:r>
        <w:t>; or</w:t>
      </w:r>
    </w:p>
    <w:p>
      <w:pPr>
        <w:pStyle w:val="nzIndenti"/>
      </w:pPr>
      <w:r>
        <w:tab/>
        <w:t>(ii)</w:t>
      </w:r>
      <w:r>
        <w:tab/>
        <w:t>if a later day is specified for that purpose in the Statute, that day.</w:t>
      </w:r>
    </w:p>
    <w:p>
      <w:pPr>
        <w:pStyle w:val="nzSubsection"/>
      </w:pPr>
      <w:r>
        <w:tab/>
        <w:t>(2)</w:t>
      </w:r>
      <w:r>
        <w:tab/>
        <w:t xml:space="preserve">The </w:t>
      </w:r>
      <w:r>
        <w:rPr>
          <w:i/>
        </w:rPr>
        <w:t>Interpretation Act 1984</w:t>
      </w:r>
      <w:r>
        <w:t xml:space="preserve"> section 42 applies to a Statute approved and published under subsection (1) as if the Statute were a regulation.</w:t>
      </w:r>
    </w:p>
    <w:p>
      <w:pPr>
        <w:pStyle w:val="nzSubsection"/>
      </w:pPr>
      <w:r>
        <w:tab/>
        <w:t>(3)</w:t>
      </w:r>
      <w:r>
        <w:tab/>
        <w:t xml:space="preserve">In any proceedings in any court or before any person acting judicially, any of the following is sufficient evidence of a Statute — </w:t>
      </w:r>
    </w:p>
    <w:p>
      <w:pPr>
        <w:pStyle w:val="nzIndenta"/>
      </w:pPr>
      <w:r>
        <w:tab/>
        <w:t>(a)</w:t>
      </w:r>
      <w:r>
        <w:tab/>
        <w:t>a copy of the Statute under the common seal of the University;</w:t>
      </w:r>
    </w:p>
    <w:p>
      <w:pPr>
        <w:pStyle w:val="nzIndenta"/>
      </w:pPr>
      <w:r>
        <w:tab/>
        <w:t>(b)</w:t>
      </w:r>
      <w:r>
        <w:tab/>
        <w:t>a document purporting to be a copy of the Statute and to have been printed by the Government Printer;</w:t>
      </w:r>
    </w:p>
    <w:p>
      <w:pPr>
        <w:pStyle w:val="nzIndenta"/>
      </w:pPr>
      <w:r>
        <w:tab/>
        <w:t>(c)</w:t>
      </w:r>
      <w:r>
        <w:tab/>
        <w:t xml:space="preserve">a copy of the </w:t>
      </w:r>
      <w:r>
        <w:rPr>
          <w:i/>
        </w:rPr>
        <w:t>Gazette</w:t>
      </w:r>
      <w:r>
        <w:t xml:space="preserve"> purporting to contain a copy of the Statute.</w:t>
      </w:r>
    </w:p>
    <w:p>
      <w:pPr>
        <w:pStyle w:val="nzHeading5"/>
      </w:pPr>
      <w:bookmarkStart w:id="669" w:name="_Toc443919963"/>
      <w:bookmarkStart w:id="670" w:name="_Toc449100002"/>
      <w:bookmarkStart w:id="671" w:name="_Toc464450055"/>
      <w:bookmarkStart w:id="672" w:name="_Toc464726739"/>
      <w:bookmarkStart w:id="673" w:name="_Toc464727134"/>
      <w:r>
        <w:t>34A.</w:t>
      </w:r>
      <w:r>
        <w:tab/>
        <w:t>Statutes to be made readily available to public</w:t>
      </w:r>
      <w:bookmarkEnd w:id="669"/>
      <w:bookmarkEnd w:id="670"/>
      <w:bookmarkEnd w:id="671"/>
      <w:bookmarkEnd w:id="672"/>
      <w:bookmarkEnd w:id="673"/>
    </w:p>
    <w:p>
      <w:pPr>
        <w:pStyle w:val="nzSubsection"/>
      </w:pPr>
      <w:r>
        <w:tab/>
        <w:t>(1)</w:t>
      </w:r>
      <w:r>
        <w:tab/>
        <w:t xml:space="preserve">The Senate must ensure that the following are readily available to the public by whatever means the Senate considers appropriate — </w:t>
      </w:r>
    </w:p>
    <w:p>
      <w:pPr>
        <w:pStyle w:val="nzIndenta"/>
      </w:pPr>
      <w:r>
        <w:tab/>
        <w:t>(a)</w:t>
      </w:r>
      <w:r>
        <w:tab/>
        <w:t>all Statutes approved and published under section 33(1);</w:t>
      </w:r>
    </w:p>
    <w:p>
      <w:pPr>
        <w:pStyle w:val="nzIndenta"/>
      </w:pPr>
      <w:r>
        <w:tab/>
        <w:t>(b)</w:t>
      </w:r>
      <w:r>
        <w:tab/>
        <w:t xml:space="preserve">all Statutes that are in effect immediately before the </w:t>
      </w:r>
      <w:r>
        <w:rPr>
          <w:i/>
        </w:rPr>
        <w:t xml:space="preserve">Universities Legislation Amendment Act 2016 </w:t>
      </w:r>
      <w:r>
        <w:t>section 164 comes into operation.</w:t>
      </w:r>
    </w:p>
    <w:p>
      <w:pPr>
        <w:pStyle w:val="nzSubsection"/>
      </w:pPr>
      <w:r>
        <w:tab/>
        <w:t>(2)</w:t>
      </w:r>
      <w:r>
        <w:tab/>
        <w:t xml:space="preserve">Publication in the </w:t>
      </w:r>
      <w:r>
        <w:rPr>
          <w:i/>
        </w:rPr>
        <w:t>Gazette</w:t>
      </w:r>
      <w:r>
        <w:t xml:space="preserve"> is not sufficient compliance with subsection (1).</w:t>
      </w:r>
    </w:p>
    <w:p>
      <w:pPr>
        <w:pStyle w:val="nzSubsection"/>
      </w:pPr>
      <w:r>
        <w:tab/>
        <w:t>(3)</w:t>
      </w:r>
      <w:r>
        <w:tab/>
        <w:t>Subsection (1) ceases to apply to a Statute once it ceases to be in effect.</w:t>
      </w:r>
    </w:p>
    <w:p>
      <w:pPr>
        <w:pStyle w:val="BlankClose"/>
      </w:pPr>
    </w:p>
    <w:p>
      <w:pPr>
        <w:pStyle w:val="nzHeading5"/>
      </w:pPr>
      <w:bookmarkStart w:id="674" w:name="_Toc443919964"/>
      <w:bookmarkStart w:id="675" w:name="_Toc449100003"/>
      <w:bookmarkStart w:id="676" w:name="_Toc464450056"/>
      <w:bookmarkStart w:id="677" w:name="_Toc464726740"/>
      <w:bookmarkStart w:id="678" w:name="_Toc464727135"/>
      <w:r>
        <w:rPr>
          <w:rStyle w:val="CharSectno"/>
        </w:rPr>
        <w:t>166</w:t>
      </w:r>
      <w:r>
        <w:t>.</w:t>
      </w:r>
      <w:r>
        <w:tab/>
        <w:t>Section 34 amended</w:t>
      </w:r>
      <w:bookmarkEnd w:id="674"/>
      <w:bookmarkEnd w:id="675"/>
      <w:bookmarkEnd w:id="676"/>
      <w:bookmarkEnd w:id="677"/>
      <w:bookmarkEnd w:id="678"/>
    </w:p>
    <w:p>
      <w:pPr>
        <w:pStyle w:val="nzSubsection"/>
      </w:pPr>
      <w:r>
        <w:tab/>
        <w:t>(1)</w:t>
      </w:r>
      <w:r>
        <w:tab/>
        <w:t>Delete section 34(1) and insert:</w:t>
      </w:r>
    </w:p>
    <w:p>
      <w:pPr>
        <w:pStyle w:val="BlankOpen"/>
      </w:pPr>
    </w:p>
    <w:p>
      <w:pPr>
        <w:pStyle w:val="nzSubsection"/>
      </w:pPr>
      <w:r>
        <w:tab/>
        <w:t>(1)</w:t>
      </w:r>
      <w:r>
        <w:tab/>
        <w:t xml:space="preserve">The Senate may make Statutes for — </w:t>
      </w:r>
    </w:p>
    <w:p>
      <w:pPr>
        <w:pStyle w:val="nzIndenta"/>
      </w:pPr>
      <w:r>
        <w:tab/>
        <w:t>(a)</w:t>
      </w:r>
      <w:r>
        <w:tab/>
        <w:t>the affiliation to, or connection with, the University of any college or educational institution if the governing body of the college or educational institution consents to the affiliation or connection; and</w:t>
      </w:r>
    </w:p>
    <w:p>
      <w:pPr>
        <w:pStyle w:val="nzIndenta"/>
      </w:pPr>
      <w:r>
        <w:tab/>
        <w:t>(b)</w:t>
      </w:r>
      <w:r>
        <w:tab/>
        <w:t>the licensing of persons to provide residential accommodation for staff of the University, or students, or both.</w:t>
      </w:r>
    </w:p>
    <w:p>
      <w:pPr>
        <w:pStyle w:val="nzSubsection"/>
      </w:pPr>
      <w:r>
        <w:tab/>
        <w:t>(2A)</w:t>
      </w:r>
      <w:r>
        <w:tab/>
        <w:t xml:space="preserve">Statutes referred to in subsection (1) may provide for conditions, including the payment of fees, to apply in respect of any of the matters referred to in that subsection. </w:t>
      </w:r>
    </w:p>
    <w:p>
      <w:pPr>
        <w:pStyle w:val="BlankClose"/>
      </w:pPr>
    </w:p>
    <w:p>
      <w:pPr>
        <w:pStyle w:val="nzSubsection"/>
      </w:pPr>
      <w:r>
        <w:tab/>
        <w:t>(2)</w:t>
      </w:r>
      <w:r>
        <w:tab/>
        <w:t>In section 34(2) delete “boarding</w:t>
      </w:r>
      <w:r>
        <w:noBreakHyphen/>
        <w:t>houses.” and insert:</w:t>
      </w:r>
    </w:p>
    <w:p>
      <w:pPr>
        <w:pStyle w:val="BlankOpen"/>
      </w:pPr>
    </w:p>
    <w:p>
      <w:pPr>
        <w:pStyle w:val="nzSubsection"/>
      </w:pPr>
      <w:r>
        <w:tab/>
      </w:r>
      <w:r>
        <w:tab/>
        <w:t>residential accommodation.</w:t>
      </w:r>
    </w:p>
    <w:p>
      <w:pPr>
        <w:pStyle w:val="BlankClose"/>
      </w:pPr>
    </w:p>
    <w:p>
      <w:pPr>
        <w:pStyle w:val="nzHeading5"/>
      </w:pPr>
      <w:bookmarkStart w:id="679" w:name="_Toc443919965"/>
      <w:bookmarkStart w:id="680" w:name="_Toc449100004"/>
      <w:bookmarkStart w:id="681" w:name="_Toc464450057"/>
      <w:bookmarkStart w:id="682" w:name="_Toc464726741"/>
      <w:bookmarkStart w:id="683" w:name="_Toc464727136"/>
      <w:r>
        <w:rPr>
          <w:rStyle w:val="CharSectno"/>
        </w:rPr>
        <w:t>167</w:t>
      </w:r>
      <w:r>
        <w:t>.</w:t>
      </w:r>
      <w:r>
        <w:tab/>
        <w:t>Section 35 amended</w:t>
      </w:r>
      <w:bookmarkEnd w:id="679"/>
      <w:bookmarkEnd w:id="680"/>
      <w:bookmarkEnd w:id="681"/>
      <w:bookmarkEnd w:id="682"/>
      <w:bookmarkEnd w:id="683"/>
    </w:p>
    <w:p>
      <w:pPr>
        <w:pStyle w:val="nzSubsection"/>
      </w:pPr>
      <w:r>
        <w:tab/>
      </w:r>
      <w:r>
        <w:tab/>
        <w:t>In section 35(1) delete “he may think.” insert:</w:t>
      </w:r>
    </w:p>
    <w:p>
      <w:pPr>
        <w:pStyle w:val="BlankOpen"/>
      </w:pPr>
    </w:p>
    <w:p>
      <w:pPr>
        <w:pStyle w:val="nzSubsection"/>
      </w:pPr>
      <w:r>
        <w:tab/>
      </w:r>
      <w:r>
        <w:tab/>
        <w:t>the Governor thinks.</w:t>
      </w:r>
    </w:p>
    <w:p>
      <w:pPr>
        <w:pStyle w:val="BlankClose"/>
      </w:pPr>
    </w:p>
    <w:p>
      <w:pPr>
        <w:pStyle w:val="nzHeading5"/>
      </w:pPr>
      <w:bookmarkStart w:id="684" w:name="_Toc443919966"/>
      <w:bookmarkStart w:id="685" w:name="_Toc449100005"/>
      <w:bookmarkStart w:id="686" w:name="_Toc464450058"/>
      <w:bookmarkStart w:id="687" w:name="_Toc464726742"/>
      <w:bookmarkStart w:id="688" w:name="_Toc464727137"/>
      <w:r>
        <w:rPr>
          <w:rStyle w:val="CharSectno"/>
        </w:rPr>
        <w:t>168</w:t>
      </w:r>
      <w:r>
        <w:t>.</w:t>
      </w:r>
      <w:r>
        <w:tab/>
        <w:t>Section 36 amended</w:t>
      </w:r>
      <w:bookmarkEnd w:id="684"/>
      <w:bookmarkEnd w:id="685"/>
      <w:bookmarkEnd w:id="686"/>
      <w:bookmarkEnd w:id="687"/>
      <w:bookmarkEnd w:id="688"/>
    </w:p>
    <w:p>
      <w:pPr>
        <w:pStyle w:val="nzSubsection"/>
      </w:pPr>
      <w:r>
        <w:tab/>
        <w:t>(1)</w:t>
      </w:r>
      <w:r>
        <w:tab/>
        <w:t>In section 36 delete “No tax or” and insert:</w:t>
      </w:r>
    </w:p>
    <w:p>
      <w:pPr>
        <w:pStyle w:val="BlankOpen"/>
      </w:pPr>
    </w:p>
    <w:p>
      <w:pPr>
        <w:pStyle w:val="nzSubsection"/>
      </w:pPr>
      <w:r>
        <w:tab/>
        <w:t>(1)</w:t>
      </w:r>
      <w:r>
        <w:tab/>
        <w:t>No</w:t>
      </w:r>
    </w:p>
    <w:p>
      <w:pPr>
        <w:pStyle w:val="BlankClose"/>
      </w:pPr>
    </w:p>
    <w:p>
      <w:pPr>
        <w:pStyle w:val="nzSubsection"/>
      </w:pPr>
      <w:r>
        <w:tab/>
        <w:t>(2)</w:t>
      </w:r>
      <w:r>
        <w:tab/>
        <w:t>At the end of section 36 insert:</w:t>
      </w:r>
    </w:p>
    <w:p>
      <w:pPr>
        <w:pStyle w:val="BlankOpen"/>
      </w:pPr>
    </w:p>
    <w:p>
      <w:pPr>
        <w:pStyle w:val="nzSubsection"/>
      </w:pPr>
      <w:r>
        <w:tab/>
        <w:t>(2)</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BlankClose"/>
      </w:pPr>
    </w:p>
    <w:p>
      <w:pPr>
        <w:pStyle w:val="nzSectAltNote"/>
      </w:pPr>
      <w:r>
        <w:tab/>
        <w:t>Note:</w:t>
      </w:r>
      <w:r>
        <w:tab/>
        <w:t>The heading to amended section 36 is to read:</w:t>
      </w:r>
    </w:p>
    <w:p>
      <w:pPr>
        <w:pStyle w:val="nzSectAltHeading"/>
      </w:pPr>
      <w:r>
        <w:rPr>
          <w:b w:val="0"/>
        </w:rPr>
        <w:tab/>
      </w:r>
      <w:r>
        <w:rPr>
          <w:b w:val="0"/>
        </w:rPr>
        <w:tab/>
      </w:r>
      <w:r>
        <w:t>Exemption from rate or tax</w:t>
      </w:r>
    </w:p>
    <w:p>
      <w:pPr>
        <w:pStyle w:val="nzHeading5"/>
      </w:pPr>
      <w:bookmarkStart w:id="689" w:name="_Toc443919967"/>
      <w:bookmarkStart w:id="690" w:name="_Toc449100006"/>
      <w:bookmarkStart w:id="691" w:name="_Toc464450059"/>
      <w:bookmarkStart w:id="692" w:name="_Toc464726743"/>
      <w:bookmarkStart w:id="693" w:name="_Toc464727138"/>
      <w:r>
        <w:rPr>
          <w:rStyle w:val="CharSectno"/>
        </w:rPr>
        <w:t>169</w:t>
      </w:r>
      <w:r>
        <w:t>.</w:t>
      </w:r>
      <w:r>
        <w:tab/>
        <w:t>Section 37 deleted</w:t>
      </w:r>
      <w:bookmarkEnd w:id="689"/>
      <w:bookmarkEnd w:id="690"/>
      <w:bookmarkEnd w:id="691"/>
      <w:bookmarkEnd w:id="692"/>
      <w:bookmarkEnd w:id="693"/>
    </w:p>
    <w:p>
      <w:pPr>
        <w:pStyle w:val="nzSubsection"/>
      </w:pPr>
      <w:r>
        <w:tab/>
      </w:r>
      <w:r>
        <w:tab/>
        <w:t>Delete section 37.</w:t>
      </w:r>
    </w:p>
    <w:p>
      <w:pPr>
        <w:pStyle w:val="nzHeading5"/>
      </w:pPr>
      <w:bookmarkStart w:id="694" w:name="_Toc443919968"/>
      <w:bookmarkStart w:id="695" w:name="_Toc449100007"/>
      <w:bookmarkStart w:id="696" w:name="_Toc464450060"/>
      <w:bookmarkStart w:id="697" w:name="_Toc464726744"/>
      <w:bookmarkStart w:id="698" w:name="_Toc464727139"/>
      <w:r>
        <w:rPr>
          <w:rStyle w:val="CharSectno"/>
        </w:rPr>
        <w:t>170</w:t>
      </w:r>
      <w:r>
        <w:t>.</w:t>
      </w:r>
      <w:r>
        <w:tab/>
        <w:t>Sections 39 and 40 deleted</w:t>
      </w:r>
      <w:bookmarkEnd w:id="694"/>
      <w:bookmarkEnd w:id="695"/>
      <w:bookmarkEnd w:id="696"/>
      <w:bookmarkEnd w:id="697"/>
      <w:bookmarkEnd w:id="698"/>
    </w:p>
    <w:p>
      <w:pPr>
        <w:pStyle w:val="nzSubsection"/>
      </w:pPr>
      <w:r>
        <w:tab/>
      </w:r>
      <w:r>
        <w:tab/>
        <w:t>Delete sections 39 and 40.</w:t>
      </w:r>
    </w:p>
    <w:p>
      <w:pPr>
        <w:pStyle w:val="nzHeading5"/>
      </w:pPr>
      <w:bookmarkStart w:id="699" w:name="_Toc443919969"/>
      <w:bookmarkStart w:id="700" w:name="_Toc449100008"/>
      <w:bookmarkStart w:id="701" w:name="_Toc464450061"/>
      <w:bookmarkStart w:id="702" w:name="_Toc464726745"/>
      <w:bookmarkStart w:id="703" w:name="_Toc464727140"/>
      <w:r>
        <w:rPr>
          <w:rStyle w:val="CharSectno"/>
        </w:rPr>
        <w:t>171</w:t>
      </w:r>
      <w:r>
        <w:t>.</w:t>
      </w:r>
      <w:r>
        <w:tab/>
        <w:t>Section 42 deleted</w:t>
      </w:r>
      <w:bookmarkEnd w:id="699"/>
      <w:bookmarkEnd w:id="700"/>
      <w:bookmarkEnd w:id="701"/>
      <w:bookmarkEnd w:id="702"/>
      <w:bookmarkEnd w:id="703"/>
    </w:p>
    <w:p>
      <w:pPr>
        <w:pStyle w:val="nzSubsection"/>
      </w:pPr>
      <w:r>
        <w:tab/>
      </w:r>
      <w:r>
        <w:tab/>
        <w:t>Delete section 42.</w:t>
      </w:r>
    </w:p>
    <w:p>
      <w:pPr>
        <w:pStyle w:val="nzHeading5"/>
      </w:pPr>
      <w:bookmarkStart w:id="704" w:name="_Toc443919970"/>
      <w:bookmarkStart w:id="705" w:name="_Toc449100009"/>
      <w:bookmarkStart w:id="706" w:name="_Toc464450062"/>
      <w:bookmarkStart w:id="707" w:name="_Toc464726746"/>
      <w:bookmarkStart w:id="708" w:name="_Toc464727141"/>
      <w:r>
        <w:rPr>
          <w:rStyle w:val="CharSectno"/>
        </w:rPr>
        <w:t>172</w:t>
      </w:r>
      <w:r>
        <w:t>.</w:t>
      </w:r>
      <w:r>
        <w:tab/>
        <w:t>Part 10 inserted</w:t>
      </w:r>
      <w:bookmarkEnd w:id="704"/>
      <w:bookmarkEnd w:id="705"/>
      <w:bookmarkEnd w:id="706"/>
      <w:bookmarkEnd w:id="707"/>
      <w:bookmarkEnd w:id="708"/>
    </w:p>
    <w:p>
      <w:pPr>
        <w:pStyle w:val="nzSubsection"/>
        <w:keepNext/>
      </w:pPr>
      <w:r>
        <w:tab/>
      </w:r>
      <w:r>
        <w:tab/>
        <w:t>After section 42 insert:</w:t>
      </w:r>
    </w:p>
    <w:p>
      <w:pPr>
        <w:pStyle w:val="BlankOpen"/>
      </w:pPr>
    </w:p>
    <w:p>
      <w:pPr>
        <w:pStyle w:val="nzHeading2"/>
      </w:pPr>
      <w:bookmarkStart w:id="709" w:name="_Toc433968195"/>
      <w:bookmarkStart w:id="710" w:name="_Toc433968584"/>
      <w:bookmarkStart w:id="711" w:name="_Toc433968973"/>
      <w:bookmarkStart w:id="712" w:name="_Toc433969362"/>
      <w:bookmarkStart w:id="713" w:name="_Toc433980058"/>
      <w:bookmarkStart w:id="714" w:name="_Toc433980446"/>
      <w:bookmarkStart w:id="715" w:name="_Toc433980834"/>
      <w:bookmarkStart w:id="716" w:name="_Toc433981222"/>
      <w:bookmarkStart w:id="717" w:name="_Toc433983188"/>
      <w:bookmarkStart w:id="718" w:name="_Toc434333186"/>
      <w:bookmarkStart w:id="719" w:name="_Toc434333580"/>
      <w:bookmarkStart w:id="720" w:name="_Toc434487351"/>
      <w:bookmarkStart w:id="721" w:name="_Toc434487746"/>
      <w:bookmarkStart w:id="722" w:name="_Toc434497119"/>
      <w:bookmarkStart w:id="723" w:name="_Toc434497514"/>
      <w:bookmarkStart w:id="724" w:name="_Toc434585076"/>
      <w:bookmarkStart w:id="725" w:name="_Toc435024563"/>
      <w:bookmarkStart w:id="726" w:name="_Toc435024978"/>
      <w:bookmarkStart w:id="727" w:name="_Toc435176481"/>
      <w:bookmarkStart w:id="728" w:name="_Toc435176878"/>
      <w:bookmarkStart w:id="729" w:name="_Toc435177648"/>
      <w:bookmarkStart w:id="730" w:name="_Toc435436496"/>
      <w:bookmarkStart w:id="731" w:name="_Toc443472927"/>
      <w:bookmarkStart w:id="732" w:name="_Toc443919971"/>
      <w:bookmarkStart w:id="733" w:name="_Toc449098420"/>
      <w:bookmarkStart w:id="734" w:name="_Toc449099216"/>
      <w:bookmarkStart w:id="735" w:name="_Toc449099613"/>
      <w:bookmarkStart w:id="736" w:name="_Toc449100010"/>
      <w:bookmarkStart w:id="737" w:name="_Toc449603446"/>
      <w:bookmarkStart w:id="738" w:name="_Toc449603841"/>
      <w:bookmarkStart w:id="739" w:name="_Toc449952981"/>
      <w:bookmarkStart w:id="740" w:name="_Toc449953478"/>
      <w:bookmarkStart w:id="741" w:name="_Toc449953874"/>
      <w:bookmarkStart w:id="742" w:name="_Toc449954359"/>
      <w:bookmarkStart w:id="743" w:name="_Toc450124201"/>
      <w:bookmarkStart w:id="744" w:name="_Toc450296007"/>
      <w:bookmarkStart w:id="745" w:name="_Toc450296402"/>
      <w:bookmarkStart w:id="746" w:name="_Toc450296797"/>
      <w:bookmarkStart w:id="747" w:name="_Toc450297567"/>
      <w:bookmarkStart w:id="748" w:name="_Toc450551111"/>
      <w:bookmarkStart w:id="749" w:name="_Toc450639649"/>
      <w:bookmarkStart w:id="750" w:name="_Toc461652056"/>
      <w:bookmarkStart w:id="751" w:name="_Toc461702072"/>
      <w:bookmarkStart w:id="752" w:name="_Toc464450063"/>
      <w:bookmarkStart w:id="753" w:name="_Toc464726747"/>
      <w:bookmarkStart w:id="754" w:name="_Toc464727142"/>
      <w:r>
        <w:t xml:space="preserve">Part 10 — Transitional provisions for </w:t>
      </w:r>
      <w:r>
        <w:rPr>
          <w:i/>
        </w:rPr>
        <w:t>Universities Legislation Amendment Act 2016</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nzHeading5"/>
      </w:pPr>
      <w:bookmarkStart w:id="755" w:name="_Toc443919972"/>
      <w:bookmarkStart w:id="756" w:name="_Toc449100011"/>
      <w:bookmarkStart w:id="757" w:name="_Toc464450064"/>
      <w:bookmarkStart w:id="758" w:name="_Toc464726748"/>
      <w:bookmarkStart w:id="759" w:name="_Toc464727143"/>
      <w:r>
        <w:t>43.</w:t>
      </w:r>
      <w:r>
        <w:tab/>
        <w:t>Term used: commencement day</w:t>
      </w:r>
      <w:bookmarkEnd w:id="755"/>
      <w:bookmarkEnd w:id="756"/>
      <w:bookmarkEnd w:id="757"/>
      <w:bookmarkEnd w:id="758"/>
      <w:bookmarkEnd w:id="759"/>
    </w:p>
    <w:p>
      <w:pPr>
        <w:pStyle w:val="nzSubsection"/>
      </w:pPr>
      <w:r>
        <w:tab/>
      </w:r>
      <w:r>
        <w:tab/>
        <w:t xml:space="preserve">In this Part — </w:t>
      </w:r>
    </w:p>
    <w:p>
      <w:pPr>
        <w:pStyle w:val="nzDefstart"/>
      </w:pPr>
      <w:r>
        <w:tab/>
      </w:r>
      <w:r>
        <w:rPr>
          <w:rStyle w:val="CharDefText"/>
        </w:rPr>
        <w:t>commencement day</w:t>
      </w:r>
      <w:r>
        <w:t xml:space="preserve"> means the day on which the </w:t>
      </w:r>
      <w:r>
        <w:rPr>
          <w:i/>
        </w:rPr>
        <w:t>Universities Legislation Amendment Act 2016</w:t>
      </w:r>
      <w:r>
        <w:t xml:space="preserve"> section 131 comes into operation.</w:t>
      </w:r>
    </w:p>
    <w:p>
      <w:pPr>
        <w:pStyle w:val="nzHeading5"/>
      </w:pPr>
      <w:bookmarkStart w:id="760" w:name="_Toc443919973"/>
      <w:bookmarkStart w:id="761" w:name="_Toc449100012"/>
      <w:bookmarkStart w:id="762" w:name="_Toc464450065"/>
      <w:bookmarkStart w:id="763" w:name="_Toc464726749"/>
      <w:bookmarkStart w:id="764" w:name="_Toc464727144"/>
      <w:r>
        <w:t>44.</w:t>
      </w:r>
      <w:r>
        <w:tab/>
        <w:t>Transitional provisions (Senate)</w:t>
      </w:r>
      <w:bookmarkEnd w:id="760"/>
      <w:bookmarkEnd w:id="761"/>
      <w:bookmarkEnd w:id="762"/>
      <w:bookmarkEnd w:id="763"/>
      <w:bookmarkEnd w:id="764"/>
    </w:p>
    <w:p>
      <w:pPr>
        <w:pStyle w:val="nzSubsection"/>
      </w:pPr>
      <w:r>
        <w:tab/>
        <w:t>(1)</w:t>
      </w:r>
      <w:r>
        <w:tab/>
        <w:t xml:space="preserve">This section applies despite the amendments made to section 8, and the replacement of section 9 by the </w:t>
      </w:r>
      <w:r>
        <w:rPr>
          <w:i/>
        </w:rPr>
        <w:t>Universities Legislation Amendment Act 2016</w:t>
      </w:r>
      <w:r>
        <w:t xml:space="preserve"> sections 135 and 136.</w:t>
      </w:r>
    </w:p>
    <w:p>
      <w:pPr>
        <w:pStyle w:val="nzSubsection"/>
      </w:pPr>
      <w:r>
        <w:tab/>
        <w:t>(2)</w:t>
      </w:r>
      <w:r>
        <w:tab/>
        <w:t xml:space="preserve">Any person who, immediately before commencement day, holds office under section 8 (as in effect immediately before commencement day) as an appointed or nominated or elected member of the Senate — </w:t>
      </w:r>
    </w:p>
    <w:p>
      <w:pPr>
        <w:pStyle w:val="nzIndenta"/>
      </w:pPr>
      <w:r>
        <w:tab/>
        <w:t>(a)</w:t>
      </w:r>
      <w:r>
        <w:tab/>
        <w:t xml:space="preserve">continues in office — </w:t>
      </w:r>
    </w:p>
    <w:p>
      <w:pPr>
        <w:pStyle w:val="nzIndenti"/>
      </w:pPr>
      <w:r>
        <w:tab/>
        <w:t>(i)</w:t>
      </w:r>
      <w:r>
        <w:tab/>
        <w:t>under and subject to Part 4; and</w:t>
      </w:r>
    </w:p>
    <w:p>
      <w:pPr>
        <w:pStyle w:val="nzIndenti"/>
      </w:pPr>
      <w:r>
        <w:tab/>
        <w:t>(ii)</w:t>
      </w:r>
      <w:r>
        <w:tab/>
        <w:t>for the balance of the person’s term of office remaining immediately before commencement day;</w:t>
      </w:r>
    </w:p>
    <w:p>
      <w:pPr>
        <w:pStyle w:val="nzIndenta"/>
      </w:pPr>
      <w:r>
        <w:tab/>
      </w:r>
      <w:r>
        <w:tab/>
        <w:t>but</w:t>
      </w:r>
    </w:p>
    <w:p>
      <w:pPr>
        <w:pStyle w:val="nzIndenta"/>
      </w:pPr>
      <w:r>
        <w:tab/>
        <w:t>(b)</w:t>
      </w:r>
      <w:r>
        <w:tab/>
        <w:t>vacates office before then in the circumstances set out in section 20 as that section is in effect immediately before commencement day.</w:t>
      </w:r>
    </w:p>
    <w:p>
      <w:pPr>
        <w:pStyle w:val="nzSubsection"/>
      </w:pPr>
      <w:r>
        <w:tab/>
        <w:t>(3)</w:t>
      </w:r>
      <w:r>
        <w:tab/>
        <w:t>For the purposes of subsection (2)(a)(ii), the member who holds office under section 8(1)(e) (as in effect immediately before commencement day) is taken to have a term of office that expires on —</w:t>
      </w:r>
    </w:p>
    <w:p>
      <w:pPr>
        <w:pStyle w:val="nzIndenta"/>
      </w:pPr>
      <w:r>
        <w:tab/>
        <w:t>(a)</w:t>
      </w:r>
      <w:r>
        <w:tab/>
        <w:t xml:space="preserve">31 December 2016, if the </w:t>
      </w:r>
      <w:r>
        <w:rPr>
          <w:i/>
        </w:rPr>
        <w:t>Universities Legislation Amendment Act 2016</w:t>
      </w:r>
      <w:r>
        <w:t xml:space="preserve"> section 135 comes into operation on or before that date; or</w:t>
      </w:r>
    </w:p>
    <w:p>
      <w:pPr>
        <w:pStyle w:val="nzIndenta"/>
      </w:pPr>
      <w:r>
        <w:tab/>
        <w:t>(b)</w:t>
      </w:r>
      <w:r>
        <w:tab/>
        <w:t>the 60</w:t>
      </w:r>
      <w:r>
        <w:rPr>
          <w:vertAlign w:val="superscript"/>
        </w:rPr>
        <w:t>th</w:t>
      </w:r>
      <w:r>
        <w:t xml:space="preserve"> day after the day on which the </w:t>
      </w:r>
      <w:r>
        <w:rPr>
          <w:i/>
        </w:rPr>
        <w:t>Universities Legislation Amendment Act 2016</w:t>
      </w:r>
      <w:r>
        <w:t xml:space="preserve"> section 135 comes into operation, if that section comes into operation after 31 December 2016.</w:t>
      </w:r>
    </w:p>
    <w:p>
      <w:pPr>
        <w:pStyle w:val="nzSubsection"/>
      </w:pPr>
      <w:r>
        <w:tab/>
        <w:t>(4)</w:t>
      </w:r>
      <w:r>
        <w:tab/>
        <w:t>If a question arises under this section as to the balance of a person’s term of office remaining immediately before commencement day, the question is to be determined by the Minister.</w:t>
      </w:r>
    </w:p>
    <w:p>
      <w:pPr>
        <w:pStyle w:val="nzHeading5"/>
      </w:pPr>
      <w:bookmarkStart w:id="765" w:name="_Toc443919974"/>
      <w:bookmarkStart w:id="766" w:name="_Toc449100013"/>
      <w:bookmarkStart w:id="767" w:name="_Toc464450066"/>
      <w:bookmarkStart w:id="768" w:name="_Toc464726750"/>
      <w:bookmarkStart w:id="769" w:name="_Toc464727145"/>
      <w:r>
        <w:t>45.</w:t>
      </w:r>
      <w:r>
        <w:tab/>
        <w:t>Transitional provisions (Chancellor and Pro</w:t>
      </w:r>
      <w:r>
        <w:noBreakHyphen/>
        <w:t>Chancellor)</w:t>
      </w:r>
      <w:bookmarkEnd w:id="765"/>
      <w:bookmarkEnd w:id="766"/>
      <w:bookmarkEnd w:id="767"/>
      <w:bookmarkEnd w:id="768"/>
      <w:bookmarkEnd w:id="769"/>
    </w:p>
    <w:p>
      <w:pPr>
        <w:pStyle w:val="nzSubsection"/>
      </w:pPr>
      <w:r>
        <w:tab/>
        <w:t>(1)</w:t>
      </w:r>
      <w:r>
        <w:tab/>
        <w:t xml:space="preserve">This section applies despite the amendments made to sections 12 and 12A by the </w:t>
      </w:r>
      <w:r>
        <w:rPr>
          <w:i/>
        </w:rPr>
        <w:t>Universities Legislation Amendment Act 2016</w:t>
      </w:r>
      <w:r>
        <w:t xml:space="preserve"> sections 140 and 141.</w:t>
      </w:r>
    </w:p>
    <w:p>
      <w:pPr>
        <w:pStyle w:val="nzSubsection"/>
      </w:pPr>
      <w:r>
        <w:tab/>
        <w:t>(2)</w:t>
      </w:r>
      <w:r>
        <w:tab/>
        <w:t xml:space="preserve">The person who, immediately before commencement day, holds office under section 12 (as in effect immediately before commencement day) as Chancellor — </w:t>
      </w:r>
    </w:p>
    <w:p>
      <w:pPr>
        <w:pStyle w:val="nzIndenta"/>
      </w:pPr>
      <w:r>
        <w:tab/>
        <w:t>(a)</w:t>
      </w:r>
      <w:r>
        <w:tab/>
        <w:t xml:space="preserve">continues in office — </w:t>
      </w:r>
    </w:p>
    <w:p>
      <w:pPr>
        <w:pStyle w:val="nzIndenti"/>
      </w:pPr>
      <w:r>
        <w:tab/>
        <w:t>(i)</w:t>
      </w:r>
      <w:r>
        <w:tab/>
        <w:t>under and subject to Part 4; and</w:t>
      </w:r>
    </w:p>
    <w:p>
      <w:pPr>
        <w:pStyle w:val="nzIndenti"/>
      </w:pPr>
      <w:r>
        <w:tab/>
        <w:t>(ii)</w:t>
      </w:r>
      <w:r>
        <w:tab/>
        <w:t>for the balance of the person’s term of office remaining immediately before commencement day;</w:t>
      </w:r>
    </w:p>
    <w:p>
      <w:pPr>
        <w:pStyle w:val="nzIndenta"/>
      </w:pPr>
      <w:r>
        <w:tab/>
      </w:r>
      <w:r>
        <w:tab/>
        <w:t>but</w:t>
      </w:r>
    </w:p>
    <w:p>
      <w:pPr>
        <w:pStyle w:val="nzIndenta"/>
      </w:pPr>
      <w:r>
        <w:tab/>
        <w:t>(b)</w:t>
      </w:r>
      <w:r>
        <w:tab/>
        <w:t>vacates office before then in the circumstances set out in section 20 as that section is in effect immediately before commencement day.</w:t>
      </w:r>
    </w:p>
    <w:p>
      <w:pPr>
        <w:pStyle w:val="nzSubsection"/>
      </w:pPr>
      <w:r>
        <w:tab/>
        <w:t>(3)</w:t>
      </w:r>
      <w:r>
        <w:tab/>
        <w:t>The person who, immediately before commencement day, holds office under section 12A (as in effect immediately before commencement day) as Pro</w:t>
      </w:r>
      <w:r>
        <w:noBreakHyphen/>
        <w:t xml:space="preserve">Chancellor — </w:t>
      </w:r>
    </w:p>
    <w:p>
      <w:pPr>
        <w:pStyle w:val="nzIndenta"/>
      </w:pPr>
      <w:r>
        <w:tab/>
        <w:t>(a)</w:t>
      </w:r>
      <w:r>
        <w:tab/>
        <w:t xml:space="preserve">continues in office — </w:t>
      </w:r>
    </w:p>
    <w:p>
      <w:pPr>
        <w:pStyle w:val="nzIndenti"/>
      </w:pPr>
      <w:r>
        <w:tab/>
        <w:t>(i)</w:t>
      </w:r>
      <w:r>
        <w:tab/>
        <w:t>under and subject to Part 4; and</w:t>
      </w:r>
    </w:p>
    <w:p>
      <w:pPr>
        <w:pStyle w:val="nzIndenti"/>
      </w:pPr>
      <w:r>
        <w:tab/>
        <w:t>(ii)</w:t>
      </w:r>
      <w:r>
        <w:tab/>
        <w:t>for the balance of the person’s term of office remaining immediately before commencement day;</w:t>
      </w:r>
    </w:p>
    <w:p>
      <w:pPr>
        <w:pStyle w:val="nzIndenta"/>
      </w:pPr>
      <w:r>
        <w:tab/>
      </w:r>
      <w:r>
        <w:tab/>
        <w:t>but</w:t>
      </w:r>
    </w:p>
    <w:p>
      <w:pPr>
        <w:pStyle w:val="nzIndenta"/>
      </w:pPr>
      <w:r>
        <w:tab/>
        <w:t>(b)</w:t>
      </w:r>
      <w:r>
        <w:tab/>
        <w:t>vacates office before then in the circumstances set out in section 20 as that section is in effect immediately before commencement day.</w:t>
      </w:r>
    </w:p>
    <w:p>
      <w:pPr>
        <w:pStyle w:val="nzHeading5"/>
      </w:pPr>
      <w:bookmarkStart w:id="770" w:name="_Toc443919975"/>
      <w:bookmarkStart w:id="771" w:name="_Toc449100014"/>
      <w:bookmarkStart w:id="772" w:name="_Toc464450067"/>
      <w:bookmarkStart w:id="773" w:name="_Toc464726751"/>
      <w:bookmarkStart w:id="774" w:name="_Toc464727146"/>
      <w:r>
        <w:t>46.</w:t>
      </w:r>
      <w:r>
        <w:tab/>
        <w:t>Transitional provisions (guarantees)</w:t>
      </w:r>
      <w:bookmarkEnd w:id="770"/>
      <w:bookmarkEnd w:id="771"/>
      <w:bookmarkEnd w:id="772"/>
      <w:bookmarkEnd w:id="773"/>
      <w:bookmarkEnd w:id="774"/>
    </w:p>
    <w:p>
      <w:pPr>
        <w:pStyle w:val="nzSubsection"/>
      </w:pPr>
      <w:r>
        <w:tab/>
      </w:r>
      <w:r>
        <w:tab/>
        <w:t>A guarantee given under section 15B (as in effect immediately before commencement day) and in force immediately before commencement day continues as if it had been given under section 15D.</w:t>
      </w:r>
    </w:p>
    <w:p>
      <w:pPr>
        <w:pStyle w:val="nzHeading5"/>
      </w:pPr>
      <w:bookmarkStart w:id="775" w:name="_Toc443919976"/>
      <w:bookmarkStart w:id="776" w:name="_Toc449100015"/>
      <w:bookmarkStart w:id="777" w:name="_Toc464450068"/>
      <w:bookmarkStart w:id="778" w:name="_Toc464726752"/>
      <w:bookmarkStart w:id="779" w:name="_Toc464727147"/>
      <w:r>
        <w:t>47.</w:t>
      </w:r>
      <w:r>
        <w:tab/>
        <w:t>Transitional provisions (by</w:t>
      </w:r>
      <w:r>
        <w:noBreakHyphen/>
        <w:t>laws)</w:t>
      </w:r>
      <w:bookmarkEnd w:id="775"/>
      <w:bookmarkEnd w:id="776"/>
      <w:bookmarkEnd w:id="777"/>
      <w:bookmarkEnd w:id="778"/>
      <w:bookmarkEnd w:id="779"/>
    </w:p>
    <w:p>
      <w:pPr>
        <w:pStyle w:val="nzSubsection"/>
        <w:keepNext/>
      </w:pPr>
      <w:r>
        <w:tab/>
        <w:t>(1)</w:t>
      </w:r>
      <w:r>
        <w:tab/>
        <w:t xml:space="preserve">In this section — </w:t>
      </w:r>
    </w:p>
    <w:p>
      <w:pPr>
        <w:pStyle w:val="nzDefstart"/>
      </w:pPr>
      <w:r>
        <w:tab/>
      </w:r>
      <w:r>
        <w:rPr>
          <w:rStyle w:val="CharDefText"/>
        </w:rPr>
        <w:t>former section 16B</w:t>
      </w:r>
      <w:r>
        <w:t xml:space="preserve"> means section 16B as in effect immediately before it was deleted by the </w:t>
      </w:r>
      <w:r>
        <w:rPr>
          <w:i/>
        </w:rPr>
        <w:t>Universities Legislation Amendment Act 2016</w:t>
      </w:r>
      <w:r>
        <w:t xml:space="preserve"> section 148.</w:t>
      </w:r>
    </w:p>
    <w:p>
      <w:pPr>
        <w:pStyle w:val="nzSubsection"/>
      </w:pPr>
      <w:r>
        <w:tab/>
        <w:t>(2)</w:t>
      </w:r>
      <w:r>
        <w:tab/>
        <w:t>Section 16B(2) does not apply to or in relation to any by</w:t>
      </w:r>
      <w:r>
        <w:noBreakHyphen/>
        <w:t xml:space="preserve">law made and published in the </w:t>
      </w:r>
      <w:r>
        <w:rPr>
          <w:i/>
        </w:rPr>
        <w:t>Gazette</w:t>
      </w:r>
      <w:r>
        <w:t xml:space="preserve"> before commencement day, and former section 16B applies instead as if the former section 16B had not been deleted.</w:t>
      </w:r>
    </w:p>
    <w:p>
      <w:pPr>
        <w:pStyle w:val="nzSubsection"/>
      </w:pPr>
      <w:r>
        <w:tab/>
        <w:t>(3)</w:t>
      </w:r>
      <w:r>
        <w:tab/>
        <w:t>If a by</w:t>
      </w:r>
      <w:r>
        <w:noBreakHyphen/>
        <w:t xml:space="preserve">law has been made but not published in the </w:t>
      </w:r>
      <w:r>
        <w:rPr>
          <w:i/>
        </w:rPr>
        <w:t>Gazette</w:t>
      </w:r>
      <w:r>
        <w:t xml:space="preserve"> before commencement day — </w:t>
      </w:r>
    </w:p>
    <w:p>
      <w:pPr>
        <w:pStyle w:val="nzIndenta"/>
      </w:pPr>
      <w:r>
        <w:tab/>
        <w:t>(a)</w:t>
      </w:r>
      <w:r>
        <w:tab/>
        <w:t>section 16B(2) does not apply to and in relation to that by</w:t>
      </w:r>
      <w:r>
        <w:noBreakHyphen/>
        <w:t>law; and</w:t>
      </w:r>
    </w:p>
    <w:p>
      <w:pPr>
        <w:pStyle w:val="nzIndenta"/>
      </w:pPr>
      <w:r>
        <w:tab/>
        <w:t>(b)</w:t>
      </w:r>
      <w:r>
        <w:tab/>
        <w:t>former section 16B applies instead as if the former section 16B had not been deleted.</w:t>
      </w:r>
    </w:p>
    <w:p>
      <w:pPr>
        <w:pStyle w:val="nzHeading5"/>
      </w:pPr>
      <w:bookmarkStart w:id="780" w:name="_Toc443919977"/>
      <w:bookmarkStart w:id="781" w:name="_Toc449100016"/>
      <w:bookmarkStart w:id="782" w:name="_Toc464450069"/>
      <w:bookmarkStart w:id="783" w:name="_Toc464726753"/>
      <w:bookmarkStart w:id="784" w:name="_Toc464727148"/>
      <w:r>
        <w:t>48.</w:t>
      </w:r>
      <w:r>
        <w:tab/>
        <w:t>Transitional provisions (Statutes)</w:t>
      </w:r>
      <w:bookmarkEnd w:id="780"/>
      <w:bookmarkEnd w:id="781"/>
      <w:bookmarkEnd w:id="782"/>
      <w:bookmarkEnd w:id="783"/>
      <w:bookmarkEnd w:id="784"/>
    </w:p>
    <w:p>
      <w:pPr>
        <w:pStyle w:val="nzSubsection"/>
      </w:pPr>
      <w:r>
        <w:tab/>
        <w:t>(1)</w:t>
      </w:r>
      <w:r>
        <w:tab/>
        <w:t xml:space="preserve">In this section — </w:t>
      </w:r>
    </w:p>
    <w:p>
      <w:pPr>
        <w:pStyle w:val="nzDefstart"/>
      </w:pPr>
      <w:r>
        <w:tab/>
      </w:r>
      <w:r>
        <w:rPr>
          <w:rStyle w:val="CharDefText"/>
        </w:rPr>
        <w:t>former section 33</w:t>
      </w:r>
      <w:r>
        <w:t xml:space="preserve"> means section 33 as in effect immediately before it was deleted by the </w:t>
      </w:r>
      <w:r>
        <w:rPr>
          <w:i/>
        </w:rPr>
        <w:t>Universities Legislation Amendment Act 2016</w:t>
      </w:r>
      <w:r>
        <w:t xml:space="preserve"> section 165.</w:t>
      </w:r>
    </w:p>
    <w:p>
      <w:pPr>
        <w:pStyle w:val="nzSubsection"/>
      </w:pPr>
      <w:r>
        <w:tab/>
        <w:t>(2)</w:t>
      </w:r>
      <w:r>
        <w:tab/>
        <w:t xml:space="preserve">Section 33(2) does not apply to or in relation to any Statute made and published in the </w:t>
      </w:r>
      <w:r>
        <w:rPr>
          <w:i/>
        </w:rPr>
        <w:t>Gazette</w:t>
      </w:r>
      <w:r>
        <w:t xml:space="preserve"> before commencement day, and former section 33(2) applies instead as if the former section 33 had not been deleted.</w:t>
      </w:r>
    </w:p>
    <w:p>
      <w:pPr>
        <w:pStyle w:val="nzSubsection"/>
      </w:pPr>
      <w:r>
        <w:tab/>
        <w:t>(3)</w:t>
      </w:r>
      <w:r>
        <w:tab/>
        <w:t xml:space="preserve">If a Statute has been made but not published in the </w:t>
      </w:r>
      <w:r>
        <w:rPr>
          <w:i/>
        </w:rPr>
        <w:t>Gazette</w:t>
      </w:r>
      <w:r>
        <w:t xml:space="preserve"> before commencement day — </w:t>
      </w:r>
    </w:p>
    <w:p>
      <w:pPr>
        <w:pStyle w:val="nzIndenta"/>
      </w:pPr>
      <w:r>
        <w:tab/>
        <w:t>(a)</w:t>
      </w:r>
      <w:r>
        <w:tab/>
        <w:t>section 33(2) does not apply to and in relation to that Statute; and</w:t>
      </w:r>
    </w:p>
    <w:p>
      <w:pPr>
        <w:pStyle w:val="nzIndenta"/>
      </w:pPr>
      <w:r>
        <w:tab/>
        <w:t>(b)</w:t>
      </w:r>
      <w:r>
        <w:tab/>
        <w:t>former section 33(2) applies instead as if the former section 33 had not been deleted.</w:t>
      </w:r>
    </w:p>
    <w:p>
      <w:pPr>
        <w:pStyle w:val="BlankClose"/>
      </w:pPr>
    </w:p>
    <w:p>
      <w:pPr>
        <w:pStyle w:val="nzHeading5"/>
      </w:pPr>
      <w:bookmarkStart w:id="785" w:name="_Toc443919978"/>
      <w:bookmarkStart w:id="786" w:name="_Toc449100017"/>
      <w:bookmarkStart w:id="787" w:name="_Toc464450070"/>
      <w:bookmarkStart w:id="788" w:name="_Toc464726754"/>
      <w:bookmarkStart w:id="789" w:name="_Toc464727149"/>
      <w:r>
        <w:rPr>
          <w:rStyle w:val="CharSectno"/>
        </w:rPr>
        <w:t>173</w:t>
      </w:r>
      <w:r>
        <w:t>.</w:t>
      </w:r>
      <w:r>
        <w:tab/>
        <w:t>Schedule 1 clause 5 deleted</w:t>
      </w:r>
      <w:bookmarkEnd w:id="785"/>
      <w:bookmarkEnd w:id="786"/>
      <w:bookmarkEnd w:id="787"/>
      <w:bookmarkEnd w:id="788"/>
      <w:bookmarkEnd w:id="789"/>
    </w:p>
    <w:p>
      <w:pPr>
        <w:pStyle w:val="nzSubsection"/>
      </w:pPr>
      <w:r>
        <w:tab/>
      </w:r>
      <w:r>
        <w:tab/>
        <w:t>Delete Schedule 1 clause 5.</w:t>
      </w:r>
    </w:p>
    <w:p>
      <w:pPr>
        <w:pStyle w:val="nzHeading5"/>
      </w:pPr>
      <w:bookmarkStart w:id="790" w:name="_Toc443919979"/>
      <w:bookmarkStart w:id="791" w:name="_Toc449100018"/>
      <w:bookmarkStart w:id="792" w:name="_Toc464450071"/>
      <w:bookmarkStart w:id="793" w:name="_Toc464726755"/>
      <w:bookmarkStart w:id="794" w:name="_Toc464727150"/>
      <w:r>
        <w:rPr>
          <w:rStyle w:val="CharSectno"/>
        </w:rPr>
        <w:t>174</w:t>
      </w:r>
      <w:r>
        <w:t>.</w:t>
      </w:r>
      <w:r>
        <w:tab/>
        <w:t>Schedule 1 clause 6 amended</w:t>
      </w:r>
      <w:bookmarkEnd w:id="790"/>
      <w:bookmarkEnd w:id="791"/>
      <w:bookmarkEnd w:id="792"/>
      <w:bookmarkEnd w:id="793"/>
      <w:bookmarkEnd w:id="794"/>
    </w:p>
    <w:p>
      <w:pPr>
        <w:pStyle w:val="nzSubsection"/>
      </w:pPr>
      <w:r>
        <w:tab/>
      </w:r>
      <w:r>
        <w:tab/>
        <w:t>In Schedule 1 clause 6(1) delete “</w:t>
      </w:r>
      <w:r>
        <w:rPr>
          <w:sz w:val="22"/>
        </w:rPr>
        <w:t>or 5 or both of them do not</w:t>
      </w:r>
      <w:r>
        <w:t>” and insert:</w:t>
      </w:r>
    </w:p>
    <w:p>
      <w:pPr>
        <w:pStyle w:val="BlankOpen"/>
      </w:pPr>
    </w:p>
    <w:p>
      <w:pPr>
        <w:pStyle w:val="nzSubsection"/>
      </w:pPr>
      <w:r>
        <w:tab/>
      </w:r>
      <w:r>
        <w:tab/>
      </w:r>
      <w:r>
        <w:rPr>
          <w:sz w:val="22"/>
        </w:rPr>
        <w:t xml:space="preserve">does not </w:t>
      </w:r>
    </w:p>
    <w:p>
      <w:pPr>
        <w:pStyle w:val="BlankClose"/>
        <w:keepNext/>
      </w:pPr>
    </w:p>
    <w:p>
      <w:pPr>
        <w:pStyle w:val="nzSectAltNote"/>
      </w:pPr>
      <w:r>
        <w:tab/>
        <w:t>Note:</w:t>
      </w:r>
      <w:r>
        <w:tab/>
        <w:t>The heading to amended clause 6 is to read:</w:t>
      </w:r>
    </w:p>
    <w:p>
      <w:pPr>
        <w:pStyle w:val="nzSectAltHeading"/>
      </w:pPr>
      <w:r>
        <w:rPr>
          <w:b w:val="0"/>
        </w:rPr>
        <w:tab/>
      </w:r>
      <w:r>
        <w:rPr>
          <w:b w:val="0"/>
        </w:rPr>
        <w:tab/>
      </w:r>
      <w:r>
        <w:t>Minister may declare clause 3 inapplicable</w:t>
      </w:r>
    </w:p>
    <w:p>
      <w:pPr>
        <w:pStyle w:val="BlankClose"/>
        <w:keepNext/>
      </w:pPr>
    </w:p>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796" w:name="_Toc416963400"/>
      <w:bookmarkStart w:id="797" w:name="_Toc465083763"/>
      <w:bookmarkStart w:id="798" w:name="_Toc465083847"/>
      <w:bookmarkStart w:id="799" w:name="_Toc465084232"/>
      <w:r>
        <w:rPr>
          <w:sz w:val="28"/>
        </w:rPr>
        <w:t>Defined terms</w:t>
      </w:r>
      <w:bookmarkEnd w:id="796"/>
      <w:bookmarkEnd w:id="797"/>
      <w:bookmarkEnd w:id="798"/>
      <w:bookmarkEnd w:id="7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16A(1)</w:t>
      </w:r>
    </w:p>
    <w:p>
      <w:pPr>
        <w:pStyle w:val="DefinedTerms"/>
      </w:pPr>
      <w:r>
        <w:t>Convocation</w:t>
      </w:r>
      <w:r>
        <w:tab/>
        <w:t>2</w:t>
      </w:r>
    </w:p>
    <w:p>
      <w:pPr>
        <w:pStyle w:val="DefinedTerms"/>
      </w:pPr>
      <w:r>
        <w:t>Guild</w:t>
      </w:r>
      <w:r>
        <w:tab/>
        <w:t>2</w:t>
      </w:r>
    </w:p>
    <w:p>
      <w:pPr>
        <w:pStyle w:val="DefinedTerms"/>
      </w:pPr>
      <w:r>
        <w:t>lands of the University</w:t>
      </w:r>
      <w:r>
        <w:tab/>
        <w:t>16A(1)</w:t>
      </w:r>
    </w:p>
    <w:p>
      <w:pPr>
        <w:pStyle w:val="DefinedTerms"/>
      </w:pPr>
      <w:r>
        <w:t>owner</w:t>
      </w:r>
      <w:r>
        <w:tab/>
        <w:t>16A(1)</w:t>
      </w:r>
    </w:p>
    <w:p>
      <w:pPr>
        <w:pStyle w:val="DefinedTerms"/>
      </w:pPr>
      <w:r>
        <w:t>Senate</w:t>
      </w:r>
      <w:r>
        <w:tab/>
        <w:t>2</w:t>
      </w:r>
    </w:p>
    <w:p>
      <w:pPr>
        <w:pStyle w:val="DefinedTerms"/>
      </w:pPr>
      <w:r>
        <w:t>Statutes</w:t>
      </w:r>
      <w:r>
        <w:tab/>
        <w:t>2</w:t>
      </w:r>
    </w:p>
    <w:p>
      <w:pPr>
        <w:pStyle w:val="DefinedTerms"/>
      </w:pPr>
      <w:r>
        <w:t>student</w:t>
      </w:r>
      <w:r>
        <w:tab/>
        <w:t>2</w:t>
      </w:r>
    </w:p>
    <w:p>
      <w:pPr>
        <w:pStyle w:val="DefinedTerms"/>
      </w:pPr>
      <w:r>
        <w:t>University</w:t>
      </w:r>
      <w:r>
        <w:tab/>
        <w:t>2</w:t>
      </w:r>
    </w:p>
    <w:p>
      <w:pPr>
        <w:rPr>
          <w:u w:val="double"/>
        </w:rPr>
      </w:pPr>
    </w:p>
    <w:p>
      <w:pPr>
        <w:rPr>
          <w:u w:val="double"/>
        </w:rPr>
        <w:sectPr>
          <w:headerReference w:type="even" r:id="rId32"/>
          <w:headerReference w:type="default" r:id="rId33"/>
          <w:pgSz w:w="11907" w:h="16840" w:code="9"/>
          <w:pgMar w:top="2381" w:right="2409" w:bottom="3543" w:left="2409" w:header="720" w:footer="3380" w:gutter="0"/>
          <w:cols w:space="720"/>
          <w:noEndnote/>
          <w:docGrid w:linePitch="326"/>
        </w:sectPr>
      </w:pPr>
    </w:p>
    <w:p>
      <w:pPr>
        <w:rPr>
          <w:u w:val="double"/>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Oct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58" w:name="Schedule"/>
    <w:bookmarkEnd w:id="2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95" w:name="Compilation"/>
    <w:bookmarkEnd w:id="79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0" w:name="DefinedTerms"/>
    <w:bookmarkEnd w:id="80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1" w:name="Coversheet"/>
    <w:bookmarkEnd w:id="8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E63D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00C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C28E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46DD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E827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BEA3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0409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2021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9E92D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BEE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F4ABD2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648"/>
    <w:docVar w:name="WAFER_20140113150136" w:val="RemoveTocBookmarks,RemoveUnusedBookmarks,RemoveLanguageTags,UsedStyles,ResetPageSize,UpdateArrangement"/>
    <w:docVar w:name="WAFER_20140113150136_GUID" w:val="377fcea3-827b-47a4-8d64-5fbd6784560e"/>
    <w:docVar w:name="WAFER_20140113160819" w:val="RemoveTocBookmarks,RunningHeaders"/>
    <w:docVar w:name="WAFER_20140113160819_GUID" w:val="14d5ddb2-309a-4da7-9900-ba29e0b77e98"/>
    <w:docVar w:name="WAFER_20150416145417" w:val="ResetPageSize,UpdateArrangement,UpdateNTable"/>
    <w:docVar w:name="WAFER_20150416145417_GUID" w:val="ad0c7ecc-d594-43ce-a42e-934ca51c1736"/>
    <w:docVar w:name="WAFER_20151110152648" w:val="UpdateStyles,UsedStyles"/>
    <w:docVar w:name="WAFER_20151110152648_GUID" w:val="382ac113-2e53-46ac-9250-c4bbaf82ae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19943</Words>
  <Characters>94534</Characters>
  <Application>Microsoft Office Word</Application>
  <DocSecurity>0</DocSecurity>
  <Lines>2864</Lines>
  <Paragraphs>1589</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112888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1911 - 05-e0-04</dc:title>
  <dc:subject/>
  <dc:creator/>
  <cp:keywords/>
  <dc:description/>
  <cp:lastModifiedBy>svcMRProcess</cp:lastModifiedBy>
  <cp:revision>4</cp:revision>
  <cp:lastPrinted>2010-12-15T00:21:00Z</cp:lastPrinted>
  <dcterms:created xsi:type="dcterms:W3CDTF">2018-09-09T08:54:00Z</dcterms:created>
  <dcterms:modified xsi:type="dcterms:W3CDTF">2018-09-09T08:54:00Z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DocumentType">
    <vt:lpwstr>Act</vt:lpwstr>
  </property>
  <property fmtid="{D5CDD505-2E9C-101B-9397-08002B2CF9AE}" pid="4" name="OwlsUID">
    <vt:i4>849</vt:i4>
  </property>
  <property fmtid="{D5CDD505-2E9C-101B-9397-08002B2CF9AE}" pid="5" name="ReprintNo">
    <vt:lpwstr>5</vt:lpwstr>
  </property>
  <property fmtid="{D5CDD505-2E9C-101B-9397-08002B2CF9AE}" pid="6" name="ReprintedAsAt">
    <vt:filetime>2010-12-09T16:00:00Z</vt:filetime>
  </property>
  <property fmtid="{D5CDD505-2E9C-101B-9397-08002B2CF9AE}" pid="7" name="AsAtDate">
    <vt:lpwstr>19 Oct 2016</vt:lpwstr>
  </property>
  <property fmtid="{D5CDD505-2E9C-101B-9397-08002B2CF9AE}" pid="8" name="Suffix">
    <vt:lpwstr>05-e0-04</vt:lpwstr>
  </property>
  <property fmtid="{D5CDD505-2E9C-101B-9397-08002B2CF9AE}" pid="9" name="CommencementDate">
    <vt:lpwstr>20161019</vt:lpwstr>
  </property>
</Properties>
</file>