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pStyle w:val="ReprintNo"/>
      </w:pPr>
      <w:r>
        <w:t>Reprint 3:  The Act as at 14 October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96AA1" w:rsidRDefault="00D96AA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96AA1" w:rsidRDefault="00D96AA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96AA1" w:rsidRDefault="00D96AA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96AA1" w:rsidRDefault="00D96AA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num" w:pos="1209"/>
        </w:tabs>
        <w:ind w:left="1200"/>
        <w:rPr>
          <w:sz w:val="20"/>
        </w:rPr>
      </w:pPr>
      <w:r>
        <w:rPr>
          <w:sz w:val="20"/>
        </w:rPr>
        <w:t>removed (because it was repealed or deleted from the law); or</w:t>
      </w:r>
    </w:p>
    <w:p>
      <w:pPr>
        <w:numPr>
          <w:ilvl w:val="0"/>
          <w:numId w:val="19"/>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October 2016</w:t>
            </w:r>
          </w:p>
        </w:tc>
      </w:tr>
    </w:tbl>
    <w:p>
      <w:pPr>
        <w:pStyle w:val="WA"/>
        <w:spacing w:before="12"/>
      </w:pPr>
      <w:r>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_Toc462143770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_Toc462143771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_Toc462143772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_Toc462143773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_Toc462143774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_Toc462143775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_Toc462143776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_Toc462143778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_Toc462143779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_Toc462143780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_Toc462143781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_Toc462143782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_Toc462143783 \h </w:instrText>
      </w:r>
      <w:r>
        <w:fldChar w:fldCharType="separate"/>
      </w:r>
      <w:r>
        <w:t>14</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_Toc462143784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_Toc462143785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_Toc462143788 \h </w:instrText>
      </w:r>
      <w:r>
        <w:fldChar w:fldCharType="separate"/>
      </w:r>
      <w:r>
        <w:t>18</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_Toc462143789 \h </w:instrText>
      </w:r>
      <w:r>
        <w:fldChar w:fldCharType="separate"/>
      </w:r>
      <w:r>
        <w:t>18</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_Toc462143790 \h </w:instrText>
      </w:r>
      <w:r>
        <w:fldChar w:fldCharType="separate"/>
      </w:r>
      <w:r>
        <w:t>18</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_Toc462143791 \h </w:instrText>
      </w:r>
      <w:r>
        <w:fldChar w:fldCharType="separate"/>
      </w:r>
      <w:r>
        <w:t>18</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_Toc462143792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_Toc462143793 \h </w:instrText>
      </w:r>
      <w:r>
        <w:fldChar w:fldCharType="separate"/>
      </w:r>
      <w:r>
        <w:t>20</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_Toc462143794 \h </w:instrText>
      </w:r>
      <w:r>
        <w:fldChar w:fldCharType="separate"/>
      </w:r>
      <w:r>
        <w:t>20</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_Toc462143795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_Toc462143797 \h </w:instrText>
      </w:r>
      <w:r>
        <w:fldChar w:fldCharType="separate"/>
      </w:r>
      <w:r>
        <w:t>22</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_Toc462143798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_Toc462143799 \h </w:instrText>
      </w:r>
      <w:r>
        <w:fldChar w:fldCharType="separate"/>
      </w:r>
      <w:r>
        <w:t>24</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_Toc462143800 \h </w:instrText>
      </w:r>
      <w:r>
        <w:fldChar w:fldCharType="separate"/>
      </w:r>
      <w:r>
        <w:t>25</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_Toc462143801 \h </w:instrText>
      </w:r>
      <w:r>
        <w:fldChar w:fldCharType="separate"/>
      </w:r>
      <w:r>
        <w:t>25</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_Toc462143802 \h </w:instrText>
      </w:r>
      <w:r>
        <w:fldChar w:fldCharType="separate"/>
      </w:r>
      <w:r>
        <w:t>26</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_Toc462143803 \h </w:instrText>
      </w:r>
      <w:r>
        <w:fldChar w:fldCharType="separate"/>
      </w:r>
      <w:r>
        <w:t>26</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_Toc462143804 \h </w:instrText>
      </w:r>
      <w:r>
        <w:fldChar w:fldCharType="separate"/>
      </w:r>
      <w:r>
        <w:t>27</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_Toc462143805 \h </w:instrText>
      </w:r>
      <w:r>
        <w:fldChar w:fldCharType="separate"/>
      </w:r>
      <w:r>
        <w:t>27</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_Toc462143806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_Toc462143808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_Toc462143809 \h </w:instrText>
      </w:r>
      <w:r>
        <w:fldChar w:fldCharType="separate"/>
      </w:r>
      <w:r>
        <w:t>29</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_Toc462143810 \h </w:instrText>
      </w:r>
      <w:r>
        <w:fldChar w:fldCharType="separate"/>
      </w:r>
      <w:r>
        <w:t>31</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_Toc462143811 \h </w:instrText>
      </w:r>
      <w:r>
        <w:fldChar w:fldCharType="separate"/>
      </w:r>
      <w:r>
        <w:t>32</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_Toc462143812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_Toc462143815 \h </w:instrText>
      </w:r>
      <w:r>
        <w:fldChar w:fldCharType="separate"/>
      </w:r>
      <w:r>
        <w:t>35</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_Toc462143816 \h </w:instrText>
      </w:r>
      <w:r>
        <w:fldChar w:fldCharType="separate"/>
      </w:r>
      <w:r>
        <w:t>36</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_Toc462143817 \h </w:instrText>
      </w:r>
      <w:r>
        <w:fldChar w:fldCharType="separate"/>
      </w:r>
      <w:r>
        <w:t>37</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_Toc462143818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_Toc462143819 \h </w:instrText>
      </w:r>
      <w:r>
        <w:fldChar w:fldCharType="separate"/>
      </w:r>
      <w:r>
        <w:t>38</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_Toc462143820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_Toc462143822 \h </w:instrText>
      </w:r>
      <w:r>
        <w:fldChar w:fldCharType="separate"/>
      </w:r>
      <w:r>
        <w:t>41</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_Toc462143823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_Toc462143826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_Toc462143827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_Toc462143828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_Toc462143829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_Toc462143831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_Toc462143832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_Toc462143833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_Toc462143834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_Toc462143835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_Toc462143837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_Toc462143838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_Toc462143839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_Toc462143840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_Toc462143841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_Toc462143842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_Toc462143843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_Toc462143844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_Toc462143845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_Toc462143847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_Toc462143848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_Toc462143850 \h </w:instrText>
      </w:r>
      <w:r>
        <w:fldChar w:fldCharType="separate"/>
      </w:r>
      <w:r>
        <w:t>57</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_Toc462143851 \h </w:instrText>
      </w:r>
      <w:r>
        <w:fldChar w:fldCharType="separate"/>
      </w:r>
      <w:r>
        <w:t>57</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_Toc462143852 \h </w:instrText>
      </w:r>
      <w:r>
        <w:fldChar w:fldCharType="separate"/>
      </w:r>
      <w:r>
        <w:t>57</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_Toc462143853 \h </w:instrText>
      </w:r>
      <w:r>
        <w:fldChar w:fldCharType="separate"/>
      </w:r>
      <w:r>
        <w:t>58</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_Toc462143854 \h </w:instrText>
      </w:r>
      <w:r>
        <w:fldChar w:fldCharType="separate"/>
      </w:r>
      <w:r>
        <w:t>59</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_Toc462143855 \h </w:instrText>
      </w:r>
      <w:r>
        <w:fldChar w:fldCharType="separate"/>
      </w:r>
      <w:r>
        <w:t>60</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_Toc462143856 \h </w:instrText>
      </w:r>
      <w:r>
        <w:fldChar w:fldCharType="separate"/>
      </w:r>
      <w:r>
        <w:t>61</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_Toc462143857 \h </w:instrText>
      </w:r>
      <w:r>
        <w:fldChar w:fldCharType="separate"/>
      </w:r>
      <w:r>
        <w:t>62</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_Toc462143858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_Toc462143859 \h </w:instrText>
      </w:r>
      <w:r>
        <w:fldChar w:fldCharType="separate"/>
      </w:r>
      <w:r>
        <w:t>64</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_Toc462143860 \h </w:instrText>
      </w:r>
      <w:r>
        <w:fldChar w:fldCharType="separate"/>
      </w:r>
      <w:r>
        <w:t>65</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_Toc462143861 \h </w:instrText>
      </w:r>
      <w:r>
        <w:fldChar w:fldCharType="separate"/>
      </w:r>
      <w:r>
        <w:t>66</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_Toc462143862 \h </w:instrText>
      </w:r>
      <w:r>
        <w:fldChar w:fldCharType="separate"/>
      </w:r>
      <w:r>
        <w:t>67</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_Toc462143863 \h </w:instrText>
      </w:r>
      <w:r>
        <w:fldChar w:fldCharType="separate"/>
      </w:r>
      <w:r>
        <w:t>67</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_Toc462143864 \h </w:instrText>
      </w:r>
      <w:r>
        <w:fldChar w:fldCharType="separate"/>
      </w:r>
      <w:r>
        <w:t>69</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_Toc462143865 \h </w:instrText>
      </w:r>
      <w:r>
        <w:fldChar w:fldCharType="separate"/>
      </w:r>
      <w:r>
        <w:t>70</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_Toc462143866 \h </w:instrText>
      </w:r>
      <w:r>
        <w:fldChar w:fldCharType="separate"/>
      </w:r>
      <w:r>
        <w:t>70</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_Toc462143867 \h </w:instrText>
      </w:r>
      <w:r>
        <w:fldChar w:fldCharType="separate"/>
      </w:r>
      <w:r>
        <w:t>71</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_Toc462143868 \h </w:instrText>
      </w:r>
      <w:r>
        <w:fldChar w:fldCharType="separate"/>
      </w:r>
      <w:r>
        <w:t>72</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_Toc462143869 \h </w:instrText>
      </w:r>
      <w:r>
        <w:fldChar w:fldCharType="separate"/>
      </w:r>
      <w:r>
        <w:t>73</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_Toc462143870 \h </w:instrText>
      </w:r>
      <w:r>
        <w:fldChar w:fldCharType="separate"/>
      </w:r>
      <w:r>
        <w:t>73</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_Toc462143871 \h </w:instrText>
      </w:r>
      <w:r>
        <w:fldChar w:fldCharType="separate"/>
      </w:r>
      <w:r>
        <w:t>74</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_Toc462143872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_Toc462143874 \h </w:instrText>
      </w:r>
      <w:r>
        <w:fldChar w:fldCharType="separate"/>
      </w:r>
      <w:r>
        <w:t>76</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_Toc462143875 \h </w:instrText>
      </w:r>
      <w:r>
        <w:fldChar w:fldCharType="separate"/>
      </w:r>
      <w:r>
        <w:t>77</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_Toc462143876 \h </w:instrText>
      </w:r>
      <w:r>
        <w:fldChar w:fldCharType="separate"/>
      </w:r>
      <w:r>
        <w:t>78</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_Toc462143877 \h </w:instrText>
      </w:r>
      <w:r>
        <w:fldChar w:fldCharType="separate"/>
      </w:r>
      <w:r>
        <w:t>79</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_Toc462143878 \h </w:instrText>
      </w:r>
      <w:r>
        <w:fldChar w:fldCharType="separate"/>
      </w:r>
      <w:r>
        <w:t>79</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_Toc462143879 \h </w:instrText>
      </w:r>
      <w:r>
        <w:fldChar w:fldCharType="separate"/>
      </w:r>
      <w:r>
        <w:t>80</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_Toc462143880 \h </w:instrText>
      </w:r>
      <w:r>
        <w:fldChar w:fldCharType="separate"/>
      </w:r>
      <w:r>
        <w:t>81</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_Toc462143881 \h </w:instrText>
      </w:r>
      <w:r>
        <w:fldChar w:fldCharType="separate"/>
      </w:r>
      <w:r>
        <w:t>81</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_Toc462143882 \h </w:instrText>
      </w:r>
      <w:r>
        <w:fldChar w:fldCharType="separate"/>
      </w:r>
      <w:r>
        <w:t>82</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_Toc462143883 \h </w:instrText>
      </w:r>
      <w:r>
        <w:fldChar w:fldCharType="separate"/>
      </w:r>
      <w:r>
        <w:t>83</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_Toc462143884 \h </w:instrText>
      </w:r>
      <w:r>
        <w:fldChar w:fldCharType="separate"/>
      </w:r>
      <w:r>
        <w:t>83</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_Toc462143885 \h </w:instrText>
      </w:r>
      <w:r>
        <w:fldChar w:fldCharType="separate"/>
      </w:r>
      <w:r>
        <w:t>84</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_Toc462143886 \h </w:instrText>
      </w:r>
      <w:r>
        <w:fldChar w:fldCharType="separate"/>
      </w:r>
      <w:r>
        <w:t>84</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_Toc462143887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_Toc462143890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_Toc462143892 \h </w:instrText>
      </w:r>
      <w:r>
        <w:fldChar w:fldCharType="separate"/>
      </w:r>
      <w:r>
        <w:t>86</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_Toc462143893 \h </w:instrText>
      </w:r>
      <w:r>
        <w:fldChar w:fldCharType="separate"/>
      </w:r>
      <w:r>
        <w:t>87</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_Toc462143894 \h </w:instrText>
      </w:r>
      <w:r>
        <w:fldChar w:fldCharType="separate"/>
      </w:r>
      <w:r>
        <w:t>88</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_Toc462143895 \h </w:instrText>
      </w:r>
      <w:r>
        <w:fldChar w:fldCharType="separate"/>
      </w:r>
      <w:r>
        <w:t>89</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_Toc462143896 \h </w:instrText>
      </w:r>
      <w:r>
        <w:fldChar w:fldCharType="separate"/>
      </w:r>
      <w:r>
        <w:t>90</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_Toc462143897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_Toc462143899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_Toc462143900 \h </w:instrText>
      </w:r>
      <w:r>
        <w:fldChar w:fldCharType="separate"/>
      </w:r>
      <w:r>
        <w:t>91</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_Toc462143901 \h </w:instrText>
      </w:r>
      <w:r>
        <w:fldChar w:fldCharType="separate"/>
      </w:r>
      <w:r>
        <w:t>93</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_Toc462143902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_Toc462143904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_Toc462143905 \h </w:instrText>
      </w:r>
      <w:r>
        <w:fldChar w:fldCharType="separate"/>
      </w:r>
      <w:r>
        <w:t>94</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_Toc462143906 \h </w:instrText>
      </w:r>
      <w:r>
        <w:fldChar w:fldCharType="separate"/>
      </w:r>
      <w:r>
        <w:t>95</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_Toc462143907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_Toc462143910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_Toc462143911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_Toc462143912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_Toc462143914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_Toc462143915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_Toc462143917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_Toc462143918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_Toc462143919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_Toc462143921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_Toc462143922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_Toc462143923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_Toc462143924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_Toc462143925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_Toc462143926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_Toc462143928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_Toc462143929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_Toc462143930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_Toc462143931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_Toc462143932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_Toc462143934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_Toc462143935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_Toc462143936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_Toc462143937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_Toc462143938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_Toc462143939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_Toc462143940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_Toc462143941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_Toc462143942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_Toc462143943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_Toc462143944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_Toc462143945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_Toc462143953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_Toc462143954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_Toc462143955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_Toc462143956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_Toc462143957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_Toc462143958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_Toc462143959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_Toc462143960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_Toc462143961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_Toc462143962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_Toc462143963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_Toc462143965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_Toc462143966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_Toc462143967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_Toc462143968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_Toc462143969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_Toc462143970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_Toc462143971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_Toc462143975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_Toc462143976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October 2016</w:t>
            </w:r>
          </w:p>
        </w:tc>
      </w:tr>
    </w:tbl>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60252400"/>
      <w:bookmarkStart w:id="5" w:name="_Toc46214376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6214377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7" w:name="_Toc462143771"/>
      <w:r>
        <w:rPr>
          <w:rStyle w:val="CharSectno"/>
        </w:rPr>
        <w:t>2</w:t>
      </w:r>
      <w:r>
        <w:t>.</w:t>
      </w:r>
      <w:r>
        <w:tab/>
        <w:t>Commencement</w:t>
      </w:r>
      <w:bookmarkEnd w:id="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62143772"/>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9" w:name="_Toc462143773"/>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62143774"/>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462143775"/>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2" w:name="_Toc462143776"/>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460252408"/>
      <w:bookmarkStart w:id="14" w:name="_Toc462143777"/>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462143778"/>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462143779"/>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17" w:name="_Toc462143780"/>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18" w:name="_Toc462143781"/>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19" w:name="_Toc462143782"/>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0" w:name="_Toc462143783"/>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462143784"/>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462143785"/>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460252417"/>
      <w:bookmarkStart w:id="24" w:name="_Toc46214378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3"/>
      <w:bookmarkEnd w:id="24"/>
    </w:p>
    <w:p>
      <w:pPr>
        <w:pStyle w:val="Heading3"/>
      </w:pPr>
      <w:bookmarkStart w:id="25" w:name="_Toc460252418"/>
      <w:bookmarkStart w:id="26" w:name="_Toc462143787"/>
      <w:r>
        <w:rPr>
          <w:rStyle w:val="CharDivNo"/>
        </w:rPr>
        <w:t>Division 1</w:t>
      </w:r>
      <w:r>
        <w:t> — </w:t>
      </w:r>
      <w:r>
        <w:rPr>
          <w:rStyle w:val="CharDivText"/>
        </w:rPr>
        <w:t>Establishment and management</w:t>
      </w:r>
      <w:bookmarkEnd w:id="25"/>
      <w:bookmarkEnd w:id="26"/>
    </w:p>
    <w:p>
      <w:pPr>
        <w:pStyle w:val="Heading5"/>
      </w:pPr>
      <w:bookmarkStart w:id="27" w:name="_Toc462143788"/>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462143789"/>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462143790"/>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462143791"/>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462143792"/>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462143793"/>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3" w:name="_Toc462143794"/>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34" w:name="_Toc462143795"/>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35" w:name="_Toc460252427"/>
      <w:bookmarkStart w:id="36" w:name="_Toc462143796"/>
      <w:r>
        <w:rPr>
          <w:rStyle w:val="CharDivNo"/>
        </w:rPr>
        <w:t>Division 2</w:t>
      </w:r>
      <w:r>
        <w:t> — </w:t>
      </w:r>
      <w:r>
        <w:rPr>
          <w:rStyle w:val="CharDivText"/>
        </w:rPr>
        <w:t>Functions and powers</w:t>
      </w:r>
      <w:bookmarkEnd w:id="35"/>
      <w:bookmarkEnd w:id="36"/>
    </w:p>
    <w:p>
      <w:pPr>
        <w:pStyle w:val="Heading5"/>
        <w:spacing w:before="180"/>
      </w:pPr>
      <w:bookmarkStart w:id="37" w:name="_Toc462143797"/>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38" w:name="_Toc462143798"/>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39" w:name="_Toc462143799"/>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40" w:name="_Toc462143800"/>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41" w:name="_Toc462143801"/>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42" w:name="_Toc462143802"/>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43" w:name="_Toc462143803"/>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44" w:name="_Toc462143804"/>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45" w:name="_Toc462143805"/>
      <w:r>
        <w:rPr>
          <w:rStyle w:val="CharSectno"/>
        </w:rPr>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46" w:name="_Toc462143806"/>
      <w:r>
        <w:rPr>
          <w:rStyle w:val="CharSectno"/>
        </w:rPr>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47" w:name="_Toc460252438"/>
      <w:bookmarkStart w:id="48" w:name="_Toc462143807"/>
      <w:r>
        <w:rPr>
          <w:rStyle w:val="CharPartNo"/>
        </w:rPr>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by No. 6 of 2015 s. 12.]</w:t>
      </w:r>
    </w:p>
    <w:p>
      <w:pPr>
        <w:pStyle w:val="Heading5"/>
        <w:spacing w:before="180"/>
      </w:pPr>
      <w:bookmarkStart w:id="49" w:name="_Toc462143808"/>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50" w:name="_Toc462143809"/>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51" w:name="_Toc462143810"/>
      <w:r>
        <w:rPr>
          <w:rStyle w:val="CharSectno"/>
        </w:rPr>
        <w:t>30</w:t>
      </w:r>
      <w:r>
        <w:t>.</w:t>
      </w:r>
      <w:r>
        <w:tab/>
        <w:t>River reserve lease, consequences of contravening</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52" w:name="_Toc462143811"/>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53" w:name="_Toc462143812"/>
      <w:r>
        <w:rPr>
          <w:rStyle w:val="CharSectno"/>
        </w:rPr>
        <w:t>32</w:t>
      </w:r>
      <w:r>
        <w:t>.</w:t>
      </w:r>
      <w:r>
        <w:tab/>
        <w:t>CEO may grant licences over River reserve</w:t>
      </w:r>
      <w:bookmarkEnd w:id="5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54" w:name="_Toc460252444"/>
      <w:bookmarkStart w:id="55" w:name="_Toc462143813"/>
      <w:r>
        <w:rPr>
          <w:rStyle w:val="CharPartNo"/>
        </w:rPr>
        <w:t>Part 4B</w:t>
      </w:r>
      <w:r>
        <w:rPr>
          <w:b w:val="0"/>
        </w:rPr>
        <w:t> </w:t>
      </w:r>
      <w:r>
        <w:t>—</w:t>
      </w:r>
      <w:r>
        <w:rPr>
          <w:b w:val="0"/>
        </w:rPr>
        <w:t> </w:t>
      </w:r>
      <w:r>
        <w:rPr>
          <w:rStyle w:val="CharPartText"/>
        </w:rPr>
        <w:t>Administration</w:t>
      </w:r>
      <w:bookmarkEnd w:id="54"/>
      <w:bookmarkEnd w:id="55"/>
    </w:p>
    <w:p>
      <w:pPr>
        <w:pStyle w:val="Footnoteheading"/>
      </w:pPr>
      <w:r>
        <w:tab/>
        <w:t>[Heading inserted by No. 6 of 2015 s. 13.]</w:t>
      </w:r>
    </w:p>
    <w:p>
      <w:pPr>
        <w:pStyle w:val="Heading3"/>
      </w:pPr>
      <w:bookmarkStart w:id="56" w:name="_Toc460252445"/>
      <w:bookmarkStart w:id="57" w:name="_Toc462143814"/>
      <w:r>
        <w:rPr>
          <w:rStyle w:val="CharDivNo"/>
        </w:rPr>
        <w:t>Division 1</w:t>
      </w:r>
      <w:r>
        <w:t> — </w:t>
      </w:r>
      <w:r>
        <w:rPr>
          <w:rStyle w:val="CharDivText"/>
        </w:rPr>
        <w:t>Functions and powers of CEO</w:t>
      </w:r>
      <w:bookmarkEnd w:id="56"/>
      <w:bookmarkEnd w:id="57"/>
    </w:p>
    <w:p>
      <w:pPr>
        <w:pStyle w:val="Footnoteheading"/>
      </w:pPr>
      <w:r>
        <w:tab/>
        <w:t>[Heading inserted by No. 6 of 2015 s. 13.]</w:t>
      </w:r>
    </w:p>
    <w:p>
      <w:pPr>
        <w:pStyle w:val="Heading5"/>
      </w:pPr>
      <w:bookmarkStart w:id="58" w:name="_Toc462143815"/>
      <w:r>
        <w:rPr>
          <w:rStyle w:val="CharSectno"/>
        </w:rPr>
        <w:t>33</w:t>
      </w:r>
      <w:r>
        <w:t>.</w:t>
      </w:r>
      <w:r>
        <w:tab/>
        <w:t>Functions of CEO</w:t>
      </w:r>
      <w:bookmarkEnd w:id="5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59" w:name="_Toc462143816"/>
      <w:r>
        <w:rPr>
          <w:rStyle w:val="CharSectno"/>
        </w:rPr>
        <w:t>34</w:t>
      </w:r>
      <w:r>
        <w:t>.</w:t>
      </w:r>
      <w:r>
        <w:tab/>
        <w:t>Consultation and matters to be considered by CEO</w:t>
      </w:r>
      <w:bookmarkEnd w:id="5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60" w:name="_Toc462143817"/>
      <w:r>
        <w:rPr>
          <w:rStyle w:val="CharSectno"/>
        </w:rPr>
        <w:t>35</w:t>
      </w:r>
      <w:r>
        <w:t>.</w:t>
      </w:r>
      <w:r>
        <w:tab/>
        <w:t>Consultation with local governments and Metropolitan Redevelopment Authority</w:t>
      </w:r>
      <w:bookmarkEnd w:id="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61" w:name="_Toc462143818"/>
      <w:r>
        <w:rPr>
          <w:rStyle w:val="CharSectno"/>
        </w:rPr>
        <w:t>36</w:t>
      </w:r>
      <w:r>
        <w:t>.</w:t>
      </w:r>
      <w:r>
        <w:tab/>
        <w:t>Payment for advice and other matters</w:t>
      </w:r>
      <w:bookmarkEnd w:id="6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62" w:name="_Toc462143819"/>
      <w:r>
        <w:rPr>
          <w:rStyle w:val="CharSectno"/>
        </w:rPr>
        <w:t>37</w:t>
      </w:r>
      <w:r>
        <w:t>.</w:t>
      </w:r>
      <w:r>
        <w:tab/>
        <w:t>Collaborative arrangements</w:t>
      </w:r>
      <w:bookmarkEnd w:id="6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63" w:name="_Toc462143820"/>
      <w:r>
        <w:rPr>
          <w:rStyle w:val="CharSectno"/>
        </w:rPr>
        <w:t>38</w:t>
      </w:r>
      <w:r>
        <w:t>.</w:t>
      </w:r>
      <w:r>
        <w:tab/>
        <w:t>Delegation by CEO</w:t>
      </w:r>
      <w:bookmarkEnd w:id="6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64" w:name="_Toc460252452"/>
      <w:bookmarkStart w:id="65" w:name="_Toc462143821"/>
      <w:r>
        <w:rPr>
          <w:rStyle w:val="CharDivNo"/>
        </w:rPr>
        <w:t>Division 2</w:t>
      </w:r>
      <w:r>
        <w:t> — </w:t>
      </w:r>
      <w:r>
        <w:rPr>
          <w:rStyle w:val="CharDivText"/>
        </w:rPr>
        <w:t>Inspectors</w:t>
      </w:r>
      <w:bookmarkEnd w:id="64"/>
      <w:bookmarkEnd w:id="65"/>
    </w:p>
    <w:p>
      <w:pPr>
        <w:pStyle w:val="Footnoteheading"/>
      </w:pPr>
      <w:r>
        <w:tab/>
        <w:t>[Heading inserted by No. 6 of 2015 s. 16.]</w:t>
      </w:r>
    </w:p>
    <w:p>
      <w:pPr>
        <w:pStyle w:val="Ednotedivision"/>
      </w:pPr>
      <w:r>
        <w:t>[Formerly Pt. 3 Div. 4, heading inserted by No. 6 of 2015 s. 16.]</w:t>
      </w:r>
    </w:p>
    <w:p>
      <w:pPr>
        <w:pStyle w:val="Heading5"/>
      </w:pPr>
      <w:bookmarkStart w:id="66" w:name="_Toc462143822"/>
      <w:r>
        <w:rPr>
          <w:rStyle w:val="CharSectno"/>
        </w:rPr>
        <w:t>39</w:t>
      </w:r>
      <w:r>
        <w:t>.</w:t>
      </w:r>
      <w:r>
        <w:tab/>
        <w:t>Inspectors, designating etc.</w:t>
      </w:r>
      <w:bookmarkEnd w:id="6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67" w:name="_Toc462143823"/>
      <w:r>
        <w:rPr>
          <w:rStyle w:val="CharSectno"/>
        </w:rPr>
        <w:t>40</w:t>
      </w:r>
      <w:r>
        <w:t>.</w:t>
      </w:r>
      <w:r>
        <w:tab/>
        <w:t>Identity cards for inspectors</w:t>
      </w:r>
      <w:bookmarkEnd w:id="67"/>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68" w:name="_Toc460252455"/>
      <w:bookmarkStart w:id="69" w:name="_Toc462143824"/>
      <w:r>
        <w:rPr>
          <w:rStyle w:val="CharPartNo"/>
        </w:rPr>
        <w:t>Part 4</w:t>
      </w:r>
      <w:r>
        <w:t> — </w:t>
      </w:r>
      <w:r>
        <w:rPr>
          <w:rStyle w:val="CharPartText"/>
        </w:rPr>
        <w:t>Targets and strategic documents</w:t>
      </w:r>
      <w:bookmarkEnd w:id="68"/>
      <w:bookmarkEnd w:id="69"/>
    </w:p>
    <w:p>
      <w:pPr>
        <w:pStyle w:val="Heading3"/>
      </w:pPr>
      <w:bookmarkStart w:id="70" w:name="_Toc460252456"/>
      <w:bookmarkStart w:id="71" w:name="_Toc462143825"/>
      <w:r>
        <w:rPr>
          <w:rStyle w:val="CharDivNo"/>
        </w:rPr>
        <w:t>Division 1</w:t>
      </w:r>
      <w:r>
        <w:t> — </w:t>
      </w:r>
      <w:r>
        <w:rPr>
          <w:rStyle w:val="CharDivText"/>
        </w:rPr>
        <w:t>Ecological and community benefit and amenity targets</w:t>
      </w:r>
      <w:bookmarkEnd w:id="70"/>
      <w:bookmarkEnd w:id="71"/>
    </w:p>
    <w:p>
      <w:pPr>
        <w:pStyle w:val="Heading5"/>
        <w:spacing w:before="240"/>
      </w:pPr>
      <w:bookmarkStart w:id="72" w:name="_Toc462143826"/>
      <w:r>
        <w:rPr>
          <w:rStyle w:val="CharSectno"/>
        </w:rPr>
        <w:t>47</w:t>
      </w:r>
      <w:r>
        <w:t>.</w:t>
      </w:r>
      <w:r>
        <w:tab/>
        <w:t>Regulations may prescribe targets</w:t>
      </w:r>
      <w:bookmarkEnd w:id="7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3" w:name="_Toc462143827"/>
      <w:r>
        <w:rPr>
          <w:rStyle w:val="CharSectno"/>
        </w:rPr>
        <w:t>48</w:t>
      </w:r>
      <w:r>
        <w:t>.</w:t>
      </w:r>
      <w:r>
        <w:tab/>
        <w:t>Consultation with public authorities etc. about proposed s. 47 regulations</w:t>
      </w:r>
      <w:bookmarkEnd w:id="7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74" w:name="_Toc462143828"/>
      <w:r>
        <w:rPr>
          <w:rStyle w:val="CharSectno"/>
        </w:rPr>
        <w:t>49</w:t>
      </w:r>
      <w:r>
        <w:t>.</w:t>
      </w:r>
      <w:r>
        <w:tab/>
        <w:t>Draft s. 47 regulations to be publicly notified</w:t>
      </w:r>
      <w:bookmarkEnd w:id="7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75" w:name="_Toc462143829"/>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76" w:name="_Toc460252461"/>
      <w:bookmarkStart w:id="77" w:name="_Toc462143830"/>
      <w:r>
        <w:rPr>
          <w:rStyle w:val="CharDivNo"/>
        </w:rPr>
        <w:t>Division 2</w:t>
      </w:r>
      <w:r>
        <w:t> — </w:t>
      </w:r>
      <w:r>
        <w:rPr>
          <w:rStyle w:val="CharDivText"/>
        </w:rPr>
        <w:t>Strategic documents</w:t>
      </w:r>
      <w:bookmarkEnd w:id="76"/>
      <w:bookmarkEnd w:id="77"/>
    </w:p>
    <w:p>
      <w:pPr>
        <w:pStyle w:val="Heading5"/>
        <w:spacing w:before="240"/>
      </w:pPr>
      <w:bookmarkStart w:id="78" w:name="_Toc462143831"/>
      <w:r>
        <w:rPr>
          <w:rStyle w:val="CharSectno"/>
        </w:rPr>
        <w:t>51</w:t>
      </w:r>
      <w:r>
        <w:t>.</w:t>
      </w:r>
      <w:r>
        <w:tab/>
        <w:t>River protection strategy, content of</w:t>
      </w:r>
      <w:bookmarkEnd w:id="7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79" w:name="_Toc462143832"/>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462143833"/>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81" w:name="_Toc462143834"/>
      <w:r>
        <w:rPr>
          <w:rStyle w:val="CharSectno"/>
        </w:rPr>
        <w:t>54</w:t>
      </w:r>
      <w:r>
        <w:t>.</w:t>
      </w:r>
      <w:r>
        <w:tab/>
        <w:t>Codes and subsidiary legislation, river protection strategy and management programme may adopt</w:t>
      </w:r>
      <w:bookmarkEnd w:id="81"/>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2" w:name="_Toc462143835"/>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83" w:name="_Toc460252467"/>
      <w:bookmarkStart w:id="84" w:name="_Toc462143836"/>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462143837"/>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86" w:name="_Toc462143838"/>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87" w:name="_Toc462143839"/>
      <w:r>
        <w:rPr>
          <w:rStyle w:val="CharSectno"/>
        </w:rPr>
        <w:t>58</w:t>
      </w:r>
      <w:r>
        <w:t>.</w:t>
      </w:r>
      <w:r>
        <w:tab/>
        <w:t>Draft document to be publicly notified</w:t>
      </w:r>
      <w:bookmarkEnd w:id="8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88" w:name="_Toc462143840"/>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89" w:name="_Toc462143841"/>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90" w:name="_Toc462143842"/>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462143843"/>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462143844"/>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93" w:name="_Toc462143845"/>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94" w:name="_Toc460252477"/>
      <w:bookmarkStart w:id="95" w:name="_Toc462143846"/>
      <w:r>
        <w:rPr>
          <w:rStyle w:val="CharDivNo"/>
        </w:rPr>
        <w:t>Division 4</w:t>
      </w:r>
      <w:r>
        <w:t> — </w:t>
      </w:r>
      <w:r>
        <w:rPr>
          <w:rStyle w:val="CharDivText"/>
        </w:rPr>
        <w:t>Compliance with strategic documents</w:t>
      </w:r>
      <w:bookmarkEnd w:id="94"/>
      <w:bookmarkEnd w:id="95"/>
    </w:p>
    <w:p>
      <w:pPr>
        <w:pStyle w:val="Heading5"/>
      </w:pPr>
      <w:bookmarkStart w:id="96" w:name="_Toc462143847"/>
      <w:r>
        <w:rPr>
          <w:rStyle w:val="CharSectno"/>
        </w:rPr>
        <w:t>65</w:t>
      </w:r>
      <w:r>
        <w:t>.</w:t>
      </w:r>
      <w:r>
        <w:tab/>
        <w:t>Who has to comply with strategic documents; documents etc. to be publicly available</w:t>
      </w:r>
      <w:bookmarkEnd w:id="9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97" w:name="_Toc462143848"/>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98" w:name="_Toc460252480"/>
      <w:bookmarkStart w:id="99" w:name="_Toc462143849"/>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462143850"/>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01" w:name="_Toc462143851"/>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462143852"/>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462143853"/>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04" w:name="_Toc462143854"/>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05" w:name="_Toc462143855"/>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06" w:name="_Toc462143856"/>
      <w:r>
        <w:rPr>
          <w:rStyle w:val="CharSectno"/>
        </w:rPr>
        <w:t>73</w:t>
      </w:r>
      <w:r>
        <w:t>.</w:t>
      </w:r>
      <w:r>
        <w:tab/>
        <w:t>Consultation with local governments etc. about development application</w:t>
      </w:r>
      <w:bookmarkEnd w:id="10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07" w:name="_Toc462143857"/>
      <w:r>
        <w:rPr>
          <w:rStyle w:val="CharSectno"/>
        </w:rPr>
        <w:t>74</w:t>
      </w:r>
      <w:r>
        <w:t>.</w:t>
      </w:r>
      <w:r>
        <w:tab/>
        <w:t>Development applications to be publicised</w:t>
      </w:r>
      <w:bookmarkEnd w:id="10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08" w:name="_Toc462143858"/>
      <w:r>
        <w:rPr>
          <w:rStyle w:val="CharSectno"/>
        </w:rPr>
        <w:t>75</w:t>
      </w:r>
      <w:r>
        <w:t>.</w:t>
      </w:r>
      <w:r>
        <w:tab/>
        <w:t>Draft report by CEO on proposed development</w:t>
      </w:r>
      <w:bookmarkEnd w:id="10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09" w:name="_Toc462143859"/>
      <w:r>
        <w:rPr>
          <w:rStyle w:val="CharSectno"/>
        </w:rPr>
        <w:t>76</w:t>
      </w:r>
      <w:r>
        <w:t>.</w:t>
      </w:r>
      <w:r>
        <w:tab/>
        <w:t>Report by CEO to Minister on proposed development</w:t>
      </w:r>
      <w:bookmarkEnd w:id="10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10" w:name="_Toc462143860"/>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11" w:name="_Toc462143861"/>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2" w:name="_Toc462143862"/>
      <w:r>
        <w:rPr>
          <w:rStyle w:val="CharSectno"/>
        </w:rPr>
        <w:t>79</w:t>
      </w:r>
      <w:r>
        <w:t>.</w:t>
      </w:r>
      <w:r>
        <w:tab/>
        <w:t>Review committee’s functions as to CEO’s recommendations</w:t>
      </w:r>
      <w:bookmarkEnd w:id="11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13" w:name="_Toc462143863"/>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114" w:name="_Toc462143864"/>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15" w:name="_Toc462143865"/>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16" w:name="_Toc462143866"/>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17" w:name="_Toc462143867"/>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462143868"/>
      <w:r>
        <w:rPr>
          <w:rStyle w:val="CharSectno"/>
        </w:rPr>
        <w:t>85</w:t>
      </w:r>
      <w:r>
        <w:t>.</w:t>
      </w:r>
      <w:r>
        <w:tab/>
        <w:t>Approvals by CEO</w:t>
      </w:r>
      <w:bookmarkEnd w:id="11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19" w:name="_Toc462143869"/>
      <w:r>
        <w:rPr>
          <w:rStyle w:val="CharSectno"/>
        </w:rPr>
        <w:t>86</w:t>
      </w:r>
      <w:r>
        <w:t>.</w:t>
      </w:r>
      <w:r>
        <w:tab/>
        <w:t>CEO must give section 85 decision to Minister</w:t>
      </w:r>
      <w:bookmarkEnd w:id="11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20" w:name="_Toc462143870"/>
      <w:r>
        <w:rPr>
          <w:rStyle w:val="CharSectno"/>
        </w:rPr>
        <w:t>87</w:t>
      </w:r>
      <w:r>
        <w:t>.</w:t>
      </w:r>
      <w:r>
        <w:tab/>
        <w:t>Minister may revoke CEO’s decision</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21" w:name="_Toc462143871"/>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462143872"/>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123" w:name="_Toc460252504"/>
      <w:bookmarkStart w:id="124" w:name="_Toc462143873"/>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spacing w:before="240"/>
      </w:pPr>
      <w:bookmarkStart w:id="125" w:name="_Toc462143874"/>
      <w:r>
        <w:rPr>
          <w:rStyle w:val="CharSectno"/>
        </w:rPr>
        <w:t>90</w:t>
      </w:r>
      <w:r>
        <w:t>.</w:t>
      </w:r>
      <w:r>
        <w:tab/>
        <w:t>CEO may request advice from Trust on issue of river protection notice</w:t>
      </w:r>
      <w:bookmarkEnd w:id="125"/>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26" w:name="_Toc462143875"/>
      <w:r>
        <w:rPr>
          <w:rStyle w:val="CharSectno"/>
        </w:rPr>
        <w:t>91</w:t>
      </w:r>
      <w:r>
        <w:t>.</w:t>
      </w:r>
      <w:r>
        <w:tab/>
        <w:t>Issue of notice by CEO</w:t>
      </w:r>
      <w:bookmarkEnd w:id="12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27" w:name="_Toc462143876"/>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462143877"/>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462143878"/>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30" w:name="_Toc462143879"/>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31" w:name="_Toc462143880"/>
      <w:r>
        <w:rPr>
          <w:rStyle w:val="CharSectno"/>
        </w:rPr>
        <w:t>96</w:t>
      </w:r>
      <w:r>
        <w:t>.</w:t>
      </w:r>
      <w:r>
        <w:tab/>
        <w:t>CEO must give notice of memorial or withdrawal</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32" w:name="_Toc462143881"/>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462143882"/>
      <w:r>
        <w:rPr>
          <w:rStyle w:val="CharSectno"/>
        </w:rPr>
        <w:t>98</w:t>
      </w:r>
      <w:r>
        <w:t>.</w:t>
      </w:r>
      <w:r>
        <w:tab/>
        <w:t>Financial assurance requirement, inclusion of in notice</w:t>
      </w:r>
      <w:bookmarkEnd w:id="13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34" w:name="_Toc462143883"/>
      <w:r>
        <w:rPr>
          <w:rStyle w:val="CharSectno"/>
        </w:rPr>
        <w:t>99</w:t>
      </w:r>
      <w:r>
        <w:t>.</w:t>
      </w:r>
      <w:r>
        <w:tab/>
        <w:t>Amending or cancelling notice</w:t>
      </w:r>
      <w:bookmarkEnd w:id="13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35" w:name="_Toc462143884"/>
      <w:r>
        <w:rPr>
          <w:rStyle w:val="CharSectno"/>
        </w:rPr>
        <w:t>100</w:t>
      </w:r>
      <w:r>
        <w:t>.</w:t>
      </w:r>
      <w:r>
        <w:tab/>
        <w:t>Review by SAT of requirement or amendment in notice</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462143885"/>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462143886"/>
      <w:r>
        <w:rPr>
          <w:rStyle w:val="CharSectno"/>
        </w:rPr>
        <w:t>102</w:t>
      </w:r>
      <w:r>
        <w:t>.</w:t>
      </w:r>
      <w:r>
        <w:tab/>
        <w:t>CEO’s powers in case of contravention of notice</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38" w:name="_Toc462143887"/>
      <w:r>
        <w:rPr>
          <w:rStyle w:val="CharSectno"/>
        </w:rPr>
        <w:t>103</w:t>
      </w:r>
      <w:r>
        <w:t>.</w:t>
      </w:r>
      <w:r>
        <w:tab/>
        <w:t>Entry to land etc. to ensure compliance with notice, powers as to</w:t>
      </w:r>
      <w:bookmarkEnd w:id="13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39" w:name="_Toc460252519"/>
      <w:bookmarkStart w:id="140" w:name="_Toc462143888"/>
      <w:r>
        <w:rPr>
          <w:rStyle w:val="CharPartNo"/>
        </w:rPr>
        <w:t>Part 7</w:t>
      </w:r>
      <w:r>
        <w:t> — </w:t>
      </w:r>
      <w:r>
        <w:rPr>
          <w:rStyle w:val="CharPartText"/>
        </w:rPr>
        <w:t>Investigation and enforcement</w:t>
      </w:r>
      <w:bookmarkEnd w:id="139"/>
      <w:bookmarkEnd w:id="140"/>
    </w:p>
    <w:p>
      <w:pPr>
        <w:pStyle w:val="Heading3"/>
        <w:spacing w:before="220"/>
      </w:pPr>
      <w:bookmarkStart w:id="141" w:name="_Toc460252520"/>
      <w:bookmarkStart w:id="142" w:name="_Toc462143889"/>
      <w:r>
        <w:rPr>
          <w:rStyle w:val="CharDivNo"/>
        </w:rPr>
        <w:t>Division 1</w:t>
      </w:r>
      <w:r>
        <w:t> — </w:t>
      </w:r>
      <w:r>
        <w:rPr>
          <w:rStyle w:val="CharDivText"/>
        </w:rPr>
        <w:t>Preliminary</w:t>
      </w:r>
      <w:bookmarkEnd w:id="141"/>
      <w:bookmarkEnd w:id="142"/>
    </w:p>
    <w:p>
      <w:pPr>
        <w:pStyle w:val="Heading5"/>
      </w:pPr>
      <w:bookmarkStart w:id="143" w:name="_Toc462143890"/>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460252522"/>
      <w:bookmarkStart w:id="145" w:name="_Toc462143891"/>
      <w:r>
        <w:rPr>
          <w:rStyle w:val="CharDivNo"/>
        </w:rPr>
        <w:t>Division 2</w:t>
      </w:r>
      <w:r>
        <w:t> — </w:t>
      </w:r>
      <w:r>
        <w:rPr>
          <w:rStyle w:val="CharDivText"/>
        </w:rPr>
        <w:t>Investigative powers</w:t>
      </w:r>
      <w:bookmarkEnd w:id="144"/>
      <w:bookmarkEnd w:id="145"/>
    </w:p>
    <w:p>
      <w:pPr>
        <w:pStyle w:val="Heading5"/>
        <w:spacing w:before="180"/>
      </w:pPr>
      <w:bookmarkStart w:id="146" w:name="_Toc462143892"/>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462143893"/>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48" w:name="_Toc462143894"/>
      <w:r>
        <w:rPr>
          <w:rStyle w:val="CharSectno"/>
        </w:rPr>
        <w:t>107</w:t>
      </w:r>
      <w:r>
        <w:t>.</w:t>
      </w:r>
      <w:r>
        <w:tab/>
        <w:t>Entry etc. powers</w:t>
      </w:r>
      <w:bookmarkEnd w:id="148"/>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49" w:name="_Toc462143895"/>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462143896"/>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462143897"/>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52" w:name="_Toc460252529"/>
      <w:bookmarkStart w:id="153" w:name="_Toc462143898"/>
      <w:r>
        <w:rPr>
          <w:rStyle w:val="CharDivNo"/>
        </w:rPr>
        <w:t>Division 3</w:t>
      </w:r>
      <w:r>
        <w:t> — </w:t>
      </w:r>
      <w:r>
        <w:rPr>
          <w:rStyle w:val="CharDivText"/>
        </w:rPr>
        <w:t>Entry warrants</w:t>
      </w:r>
      <w:bookmarkEnd w:id="152"/>
      <w:bookmarkEnd w:id="153"/>
    </w:p>
    <w:p>
      <w:pPr>
        <w:pStyle w:val="Heading5"/>
      </w:pPr>
      <w:bookmarkStart w:id="154" w:name="_Toc462143899"/>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55" w:name="_Toc462143900"/>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462143901"/>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7" w:name="_Toc462143902"/>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460252534"/>
      <w:bookmarkStart w:id="159" w:name="_Toc462143903"/>
      <w:r>
        <w:rPr>
          <w:rStyle w:val="CharDivNo"/>
        </w:rPr>
        <w:t>Division 4</w:t>
      </w:r>
      <w:r>
        <w:t> — </w:t>
      </w:r>
      <w:r>
        <w:rPr>
          <w:rStyle w:val="CharDivText"/>
        </w:rPr>
        <w:t>Enforcement provisions</w:t>
      </w:r>
      <w:bookmarkEnd w:id="158"/>
      <w:bookmarkEnd w:id="159"/>
    </w:p>
    <w:p>
      <w:pPr>
        <w:pStyle w:val="Heading5"/>
      </w:pPr>
      <w:bookmarkStart w:id="160" w:name="_Toc462143904"/>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462143905"/>
      <w:r>
        <w:rPr>
          <w:rStyle w:val="CharSectno"/>
        </w:rPr>
        <w:t>116</w:t>
      </w:r>
      <w:r>
        <w:t>.</w:t>
      </w:r>
      <w:r>
        <w:tab/>
        <w:t>CEO’s powers in respect of illegal development</w:t>
      </w:r>
      <w:bookmarkEnd w:id="16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162" w:name="_Toc462143906"/>
      <w:r>
        <w:rPr>
          <w:rStyle w:val="CharSectno"/>
        </w:rPr>
        <w:t>117</w:t>
      </w:r>
      <w:r>
        <w:t>.</w:t>
      </w:r>
      <w:r>
        <w:tab/>
        <w:t>Abandoned etc. property, powers as to</w:t>
      </w:r>
      <w:bookmarkEnd w:id="1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163" w:name="_Toc462143907"/>
      <w:r>
        <w:rPr>
          <w:rStyle w:val="CharSectno"/>
        </w:rPr>
        <w:t>118</w:t>
      </w:r>
      <w:r>
        <w:t>.</w:t>
      </w:r>
      <w:r>
        <w:tab/>
        <w:t>Recovery of costs in case of financial assurance</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164" w:name="_Toc460252539"/>
      <w:bookmarkStart w:id="165" w:name="_Toc462143908"/>
      <w:r>
        <w:rPr>
          <w:rStyle w:val="CharPartNo"/>
        </w:rPr>
        <w:t>Part 8</w:t>
      </w:r>
      <w:r>
        <w:t> — </w:t>
      </w:r>
      <w:r>
        <w:rPr>
          <w:rStyle w:val="CharPartText"/>
        </w:rPr>
        <w:t>Legal proceedings</w:t>
      </w:r>
      <w:bookmarkEnd w:id="164"/>
      <w:bookmarkEnd w:id="165"/>
    </w:p>
    <w:p>
      <w:pPr>
        <w:pStyle w:val="Heading3"/>
      </w:pPr>
      <w:bookmarkStart w:id="166" w:name="_Toc460252540"/>
      <w:bookmarkStart w:id="167" w:name="_Toc462143909"/>
      <w:r>
        <w:rPr>
          <w:rStyle w:val="CharDivNo"/>
        </w:rPr>
        <w:t>Division 1</w:t>
      </w:r>
      <w:r>
        <w:t> — </w:t>
      </w:r>
      <w:r>
        <w:rPr>
          <w:rStyle w:val="CharDivText"/>
        </w:rPr>
        <w:t>General matters</w:t>
      </w:r>
      <w:bookmarkEnd w:id="166"/>
      <w:bookmarkEnd w:id="167"/>
    </w:p>
    <w:p>
      <w:pPr>
        <w:pStyle w:val="Heading5"/>
      </w:pPr>
      <w:bookmarkStart w:id="168" w:name="_Toc462143910"/>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169" w:name="_Toc462143911"/>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462143912"/>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460252544"/>
      <w:bookmarkStart w:id="172" w:name="_Toc462143913"/>
      <w:r>
        <w:rPr>
          <w:rStyle w:val="CharDivNo"/>
        </w:rPr>
        <w:t>Division 2</w:t>
      </w:r>
      <w:r>
        <w:t> — </w:t>
      </w:r>
      <w:r>
        <w:rPr>
          <w:rStyle w:val="CharDivText"/>
        </w:rPr>
        <w:t>Infringement notices</w:t>
      </w:r>
      <w:bookmarkEnd w:id="171"/>
      <w:bookmarkEnd w:id="172"/>
    </w:p>
    <w:p>
      <w:pPr>
        <w:pStyle w:val="Heading5"/>
      </w:pPr>
      <w:bookmarkStart w:id="173" w:name="_Toc462143914"/>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462143915"/>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175" w:name="_Toc460252547"/>
      <w:bookmarkStart w:id="176" w:name="_Toc462143916"/>
      <w:r>
        <w:rPr>
          <w:rStyle w:val="CharDivNo"/>
        </w:rPr>
        <w:t>Division 3</w:t>
      </w:r>
      <w:r>
        <w:t> — </w:t>
      </w:r>
      <w:r>
        <w:rPr>
          <w:rStyle w:val="CharDivText"/>
        </w:rPr>
        <w:t>Offences under other Acts</w:t>
      </w:r>
      <w:bookmarkEnd w:id="175"/>
      <w:bookmarkEnd w:id="176"/>
    </w:p>
    <w:p>
      <w:pPr>
        <w:pStyle w:val="Heading5"/>
      </w:pPr>
      <w:bookmarkStart w:id="177" w:name="_Toc462143917"/>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462143918"/>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462143919"/>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460252551"/>
      <w:bookmarkStart w:id="181" w:name="_Toc462143920"/>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462143921"/>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462143922"/>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462143923"/>
      <w:r>
        <w:rPr>
          <w:rStyle w:val="CharSectno"/>
        </w:rPr>
        <w:t>129</w:t>
      </w:r>
      <w:r>
        <w:t>.</w:t>
      </w:r>
      <w:r>
        <w:tab/>
        <w:t>Functions of Foundation</w:t>
      </w:r>
      <w:bookmarkEnd w:id="18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185" w:name="_Toc462143924"/>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462143925"/>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187" w:name="_Toc462143926"/>
      <w:r>
        <w:rPr>
          <w:rStyle w:val="CharSectno"/>
        </w:rPr>
        <w:t>132</w:t>
      </w:r>
      <w:r>
        <w:t>.</w:t>
      </w:r>
      <w:r>
        <w:tab/>
        <w:t>Rules for this Part</w:t>
      </w:r>
      <w:bookmarkEnd w:id="187"/>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188" w:name="_Toc460252558"/>
      <w:bookmarkStart w:id="189" w:name="_Toc462143927"/>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462143928"/>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462143929"/>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192" w:name="_Toc462143930"/>
      <w:r>
        <w:rPr>
          <w:rStyle w:val="CharSectno"/>
        </w:rPr>
        <w:t>135</w:t>
      </w:r>
      <w:r>
        <w:t>.</w:t>
      </w:r>
      <w:r>
        <w:tab/>
        <w:t>Protection from personal liability</w:t>
      </w:r>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193" w:name="_Toc462143931"/>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194" w:name="_Toc462143932"/>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5" w:name="_Toc460252564"/>
      <w:bookmarkStart w:id="196" w:name="_Toc46214393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195"/>
      <w:bookmarkEnd w:id="196"/>
    </w:p>
    <w:p>
      <w:pPr>
        <w:pStyle w:val="Footnoteheading"/>
      </w:pPr>
      <w:r>
        <w:tab/>
        <w:t>[Heading inserted by No. 6 of 2015 s. 48.]</w:t>
      </w:r>
    </w:p>
    <w:p>
      <w:pPr>
        <w:pStyle w:val="Heading5"/>
      </w:pPr>
      <w:bookmarkStart w:id="197" w:name="_Toc462143934"/>
      <w:r>
        <w:rPr>
          <w:rStyle w:val="CharSectno"/>
        </w:rPr>
        <w:t>138</w:t>
      </w:r>
      <w:r>
        <w:t>.</w:t>
      </w:r>
      <w:r>
        <w:tab/>
        <w:t>Terms used</w:t>
      </w:r>
      <w:bookmarkEnd w:id="1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198" w:name="_Toc462143935"/>
      <w:r>
        <w:rPr>
          <w:rStyle w:val="CharSectno"/>
        </w:rPr>
        <w:t>139</w:t>
      </w:r>
      <w:r>
        <w:t>.</w:t>
      </w:r>
      <w:r>
        <w:tab/>
        <w:t>Completion of things commenced</w:t>
      </w:r>
      <w:bookmarkEnd w:id="19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199" w:name="_Toc462143936"/>
      <w:r>
        <w:rPr>
          <w:rStyle w:val="CharSectno"/>
        </w:rPr>
        <w:t>140</w:t>
      </w:r>
      <w:r>
        <w:t>.</w:t>
      </w:r>
      <w:r>
        <w:tab/>
        <w:t>Continuing effect of things done</w:t>
      </w:r>
      <w:bookmarkEnd w:id="19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00" w:name="_Toc462143937"/>
      <w:r>
        <w:rPr>
          <w:rStyle w:val="CharSectno"/>
        </w:rPr>
        <w:t>141</w:t>
      </w:r>
      <w:r>
        <w:t>.</w:t>
      </w:r>
      <w:r>
        <w:tab/>
        <w:t>Contracts, agreements and other instruments</w:t>
      </w:r>
      <w:bookmarkEnd w:id="20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01" w:name="_Toc462143938"/>
      <w:r>
        <w:rPr>
          <w:rStyle w:val="CharSectno"/>
        </w:rPr>
        <w:t>142</w:t>
      </w:r>
      <w:r>
        <w:t>.</w:t>
      </w:r>
      <w:r>
        <w:tab/>
        <w:t>Assignment to State or CEO</w:t>
      </w:r>
      <w:bookmarkEnd w:id="20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02" w:name="_Toc462143939"/>
      <w:r>
        <w:rPr>
          <w:rStyle w:val="CharSectno"/>
        </w:rPr>
        <w:t>143</w:t>
      </w:r>
      <w:r>
        <w:t>.</w:t>
      </w:r>
      <w:r>
        <w:tab/>
        <w:t>Swan River Trust Account</w:t>
      </w:r>
      <w:bookmarkEnd w:id="20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03" w:name="_Toc462143940"/>
      <w:r>
        <w:rPr>
          <w:rStyle w:val="CharSectno"/>
        </w:rPr>
        <w:t>144</w:t>
      </w:r>
      <w:r>
        <w:t>.</w:t>
      </w:r>
      <w:r>
        <w:tab/>
        <w:t>Registration of documents</w:t>
      </w:r>
      <w:bookmarkEnd w:id="20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04" w:name="_Toc462143941"/>
      <w:r>
        <w:rPr>
          <w:rStyle w:val="CharSectno"/>
        </w:rPr>
        <w:t>145</w:t>
      </w:r>
      <w:r>
        <w:t>.</w:t>
      </w:r>
      <w:r>
        <w:tab/>
        <w:t>Exemption from State taxation</w:t>
      </w:r>
      <w:bookmarkEnd w:id="2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05" w:name="_Toc462143942"/>
      <w:r>
        <w:rPr>
          <w:rStyle w:val="CharSectno"/>
        </w:rPr>
        <w:t>146</w:t>
      </w:r>
      <w:r>
        <w:t>.</w:t>
      </w:r>
      <w:r>
        <w:tab/>
        <w:t>Development applications</w:t>
      </w:r>
      <w:bookmarkEnd w:id="2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06" w:name="_Toc462143943"/>
      <w:r>
        <w:rPr>
          <w:rStyle w:val="CharSectno"/>
        </w:rPr>
        <w:t>147</w:t>
      </w:r>
      <w:r>
        <w:t>.</w:t>
      </w:r>
      <w:r>
        <w:tab/>
        <w:t>River protection notices</w:t>
      </w:r>
      <w:bookmarkEnd w:id="20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07" w:name="_Toc462143944"/>
      <w:r>
        <w:rPr>
          <w:rStyle w:val="CharSectno"/>
        </w:rPr>
        <w:t>148</w:t>
      </w:r>
      <w:r>
        <w:t>.</w:t>
      </w:r>
      <w:r>
        <w:tab/>
        <w:t>Transitional regulations</w:t>
      </w:r>
      <w:bookmarkEnd w:id="2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08" w:name="_Toc462143945"/>
      <w:r>
        <w:rPr>
          <w:rStyle w:val="CharSectno"/>
        </w:rPr>
        <w:t>149</w:t>
      </w:r>
      <w:r>
        <w:t>.</w:t>
      </w:r>
      <w:r>
        <w:tab/>
      </w:r>
      <w:r>
        <w:rPr>
          <w:i/>
        </w:rPr>
        <w:t>Interpretation Act 1984</w:t>
      </w:r>
      <w:r>
        <w:t xml:space="preserve"> not affected</w:t>
      </w:r>
      <w:bookmarkEnd w:id="20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9" w:name="_Toc460252577"/>
      <w:bookmarkStart w:id="210" w:name="_Toc462143946"/>
      <w:r>
        <w:rPr>
          <w:rStyle w:val="CharSchNo"/>
        </w:rPr>
        <w:t>Schedule 1</w:t>
      </w:r>
      <w:r>
        <w:rPr>
          <w:rStyle w:val="CharSDivNo"/>
        </w:rPr>
        <w:t> </w:t>
      </w:r>
      <w:r>
        <w:t>—</w:t>
      </w:r>
      <w:r>
        <w:rPr>
          <w:rStyle w:val="CharSDivText"/>
        </w:rPr>
        <w:t> </w:t>
      </w:r>
      <w:r>
        <w:rPr>
          <w:rStyle w:val="CharSchText"/>
        </w:rPr>
        <w:t>Catchment area</w:t>
      </w:r>
      <w:bookmarkEnd w:id="209"/>
      <w:bookmarkEnd w:id="210"/>
    </w:p>
    <w:p>
      <w:pPr>
        <w:pStyle w:val="yShoulderClause"/>
      </w:pPr>
      <w:r>
        <w:t>[s. 8]</w:t>
      </w:r>
    </w:p>
    <w:p>
      <w:pPr>
        <w:pStyle w:val="ySubsection"/>
      </w:pPr>
      <w:r>
        <w:t>All of the land and waters shown on Deposited Plan 47464.</w:t>
      </w:r>
    </w:p>
    <w:p/>
    <w:p>
      <w:pPr>
        <w:pStyle w:val="yScheduleHeading"/>
        <w:outlineLvl w:val="0"/>
      </w:pPr>
      <w:bookmarkStart w:id="211" w:name="_Toc460252578"/>
      <w:bookmarkStart w:id="212" w:name="_Toc462143947"/>
      <w:r>
        <w:rPr>
          <w:rStyle w:val="CharSchNo"/>
        </w:rPr>
        <w:t>Schedule 2</w:t>
      </w:r>
      <w:r>
        <w:rPr>
          <w:rStyle w:val="CharSDivNo"/>
        </w:rPr>
        <w:t> </w:t>
      </w:r>
      <w:r>
        <w:t>—</w:t>
      </w:r>
      <w:r>
        <w:rPr>
          <w:rStyle w:val="CharSDivText"/>
        </w:rPr>
        <w:t> </w:t>
      </w:r>
      <w:r>
        <w:rPr>
          <w:rStyle w:val="CharSchText"/>
        </w:rPr>
        <w:t>Swan Canning Riverpark</w:t>
      </w:r>
      <w:bookmarkEnd w:id="211"/>
      <w:bookmarkEnd w:id="21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213" w:name="_Toc460252579"/>
      <w:bookmarkStart w:id="214" w:name="_Toc462143948"/>
      <w:r>
        <w:rPr>
          <w:rStyle w:val="CharSchNo"/>
        </w:rPr>
        <w:t>Schedule 3</w:t>
      </w:r>
      <w:r>
        <w:rPr>
          <w:rStyle w:val="CharSDivNo"/>
        </w:rPr>
        <w:t> </w:t>
      </w:r>
      <w:r>
        <w:t>—</w:t>
      </w:r>
      <w:r>
        <w:rPr>
          <w:rStyle w:val="CharSDivText"/>
        </w:rPr>
        <w:t> </w:t>
      </w:r>
      <w:r>
        <w:rPr>
          <w:rStyle w:val="CharSchText"/>
        </w:rPr>
        <w:t>Development control area</w:t>
      </w:r>
      <w:bookmarkEnd w:id="213"/>
      <w:bookmarkEnd w:id="21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215" w:name="_Toc460252580"/>
      <w:bookmarkStart w:id="216" w:name="_Toc462143949"/>
      <w:r>
        <w:rPr>
          <w:rStyle w:val="CharSchNo"/>
        </w:rPr>
        <w:t>Schedule 4</w:t>
      </w:r>
      <w:r>
        <w:rPr>
          <w:rStyle w:val="CharSDivNo"/>
        </w:rPr>
        <w:t> </w:t>
      </w:r>
      <w:r>
        <w:t>—</w:t>
      </w:r>
      <w:r>
        <w:rPr>
          <w:rStyle w:val="CharSDivText"/>
        </w:rPr>
        <w:t> </w:t>
      </w:r>
      <w:r>
        <w:rPr>
          <w:rStyle w:val="CharSchText"/>
        </w:rPr>
        <w:t>River reserve</w:t>
      </w:r>
      <w:bookmarkEnd w:id="215"/>
      <w:bookmarkEnd w:id="216"/>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217" w:name="_Toc460252581"/>
      <w:bookmarkStart w:id="218" w:name="_Toc462143950"/>
      <w:r>
        <w:rPr>
          <w:rStyle w:val="CharSchNo"/>
        </w:rPr>
        <w:t>Schedule 5</w:t>
      </w:r>
      <w:r>
        <w:rPr>
          <w:rStyle w:val="CharSDivNo"/>
        </w:rPr>
        <w:t> </w:t>
      </w:r>
      <w:r>
        <w:t>—</w:t>
      </w:r>
      <w:r>
        <w:rPr>
          <w:rStyle w:val="CharSDivText"/>
        </w:rPr>
        <w:t> </w:t>
      </w:r>
      <w:r>
        <w:rPr>
          <w:rStyle w:val="CharSchText"/>
        </w:rPr>
        <w:t>Authorities</w:t>
      </w:r>
      <w:bookmarkEnd w:id="217"/>
      <w:bookmarkEnd w:id="21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19" w:name="_Toc460252582"/>
      <w:bookmarkStart w:id="220" w:name="_Toc462143951"/>
      <w:r>
        <w:rPr>
          <w:rStyle w:val="CharSchNo"/>
        </w:rPr>
        <w:t>Schedule 6</w:t>
      </w:r>
      <w:r>
        <w:t> — </w:t>
      </w:r>
      <w:r>
        <w:rPr>
          <w:rStyle w:val="CharSchText"/>
        </w:rPr>
        <w:t>Constitution and proceedings of the board</w:t>
      </w:r>
      <w:bookmarkEnd w:id="219"/>
      <w:bookmarkEnd w:id="220"/>
    </w:p>
    <w:p>
      <w:pPr>
        <w:pStyle w:val="yShoulderClause"/>
      </w:pPr>
      <w:r>
        <w:t>[s. 20]</w:t>
      </w:r>
    </w:p>
    <w:p>
      <w:pPr>
        <w:pStyle w:val="yHeading3"/>
        <w:outlineLvl w:val="0"/>
      </w:pPr>
      <w:bookmarkStart w:id="221" w:name="_Toc460252583"/>
      <w:bookmarkStart w:id="222" w:name="_Toc462143952"/>
      <w:r>
        <w:rPr>
          <w:rStyle w:val="CharSDivNo"/>
        </w:rPr>
        <w:t>Division 1</w:t>
      </w:r>
      <w:r>
        <w:t> — </w:t>
      </w:r>
      <w:r>
        <w:rPr>
          <w:rStyle w:val="CharSDivText"/>
        </w:rPr>
        <w:t>General provisions</w:t>
      </w:r>
      <w:bookmarkEnd w:id="221"/>
      <w:bookmarkEnd w:id="222"/>
    </w:p>
    <w:p>
      <w:pPr>
        <w:pStyle w:val="yHeading5"/>
        <w:outlineLvl w:val="0"/>
      </w:pPr>
      <w:bookmarkStart w:id="223" w:name="_Toc462143953"/>
      <w:r>
        <w:rPr>
          <w:rStyle w:val="CharSClsNo"/>
        </w:rPr>
        <w:t>1</w:t>
      </w:r>
      <w:r>
        <w:t>.</w:t>
      </w:r>
      <w:r>
        <w:tab/>
        <w:t>Term used: appointed member</w:t>
      </w:r>
      <w:bookmarkEnd w:id="22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24" w:name="_Toc462143954"/>
      <w:r>
        <w:rPr>
          <w:rStyle w:val="CharSClsNo"/>
        </w:rPr>
        <w:t>2</w:t>
      </w:r>
      <w:r>
        <w:t>.</w:t>
      </w:r>
      <w:r>
        <w:tab/>
        <w:t>Term of office</w:t>
      </w:r>
      <w:bookmarkEnd w:id="22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25" w:name="_Toc462143955"/>
      <w:r>
        <w:rPr>
          <w:rStyle w:val="CharSClsNo"/>
        </w:rPr>
        <w:t>4</w:t>
      </w:r>
      <w:r>
        <w:t>.</w:t>
      </w:r>
      <w:r>
        <w:tab/>
        <w:t>Resignation and removal</w:t>
      </w:r>
      <w:bookmarkEnd w:id="22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26" w:name="_Toc462143956"/>
      <w:r>
        <w:rPr>
          <w:rStyle w:val="CharSClsNo"/>
        </w:rPr>
        <w:t>5</w:t>
      </w:r>
      <w:r>
        <w:t>.</w:t>
      </w:r>
      <w:r>
        <w:tab/>
        <w:t>Leave of absence</w:t>
      </w:r>
      <w:bookmarkEnd w:id="226"/>
    </w:p>
    <w:p>
      <w:pPr>
        <w:pStyle w:val="ySubsection"/>
      </w:pPr>
      <w:r>
        <w:tab/>
      </w:r>
      <w:r>
        <w:tab/>
        <w:t>The Minister may grant leave of absence to a member on such terms and conditions as the Minister thinks fit.</w:t>
      </w:r>
    </w:p>
    <w:p>
      <w:pPr>
        <w:pStyle w:val="yHeading5"/>
        <w:outlineLvl w:val="0"/>
      </w:pPr>
      <w:bookmarkStart w:id="227" w:name="_Toc462143957"/>
      <w:r>
        <w:rPr>
          <w:rStyle w:val="CharSClsNo"/>
        </w:rPr>
        <w:t>6</w:t>
      </w:r>
      <w:r>
        <w:t>.</w:t>
      </w:r>
      <w:r>
        <w:tab/>
        <w:t>Deputy chairman</w:t>
      </w:r>
      <w:bookmarkEnd w:id="22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28" w:name="_Toc462143958"/>
      <w:r>
        <w:rPr>
          <w:rStyle w:val="CharSClsNo"/>
        </w:rPr>
        <w:t>7</w:t>
      </w:r>
      <w:r>
        <w:t>.</w:t>
      </w:r>
      <w:r>
        <w:tab/>
        <w:t>Temporary members</w:t>
      </w:r>
      <w:bookmarkEnd w:id="22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29" w:name="_Toc462143959"/>
      <w:r>
        <w:rPr>
          <w:rStyle w:val="CharSClsNo"/>
        </w:rPr>
        <w:t>8</w:t>
      </w:r>
      <w:r>
        <w:t>.</w:t>
      </w:r>
      <w:r>
        <w:tab/>
        <w:t>Meetings, times and places of, quorum at etc.</w:t>
      </w:r>
      <w:bookmarkEnd w:id="22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30" w:name="_Toc462143960"/>
      <w:r>
        <w:rPr>
          <w:rStyle w:val="CharSClsNo"/>
        </w:rPr>
        <w:t>9</w:t>
      </w:r>
      <w:r>
        <w:t>.</w:t>
      </w:r>
      <w:r>
        <w:tab/>
        <w:t>Resolution may be passed without meeting</w:t>
      </w:r>
      <w:bookmarkEnd w:id="23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31" w:name="_Toc462143961"/>
      <w:r>
        <w:rPr>
          <w:rStyle w:val="CharSClsNo"/>
        </w:rPr>
        <w:t>10</w:t>
      </w:r>
      <w:r>
        <w:t>.</w:t>
      </w:r>
      <w:r>
        <w:tab/>
        <w:t>Meetings by telephone etc.</w:t>
      </w:r>
      <w:bookmarkEnd w:id="23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32" w:name="_Toc462143962"/>
      <w:r>
        <w:rPr>
          <w:rStyle w:val="CharSClsNo"/>
        </w:rPr>
        <w:t>11</w:t>
      </w:r>
      <w:r>
        <w:t>.</w:t>
      </w:r>
      <w:r>
        <w:tab/>
        <w:t>Minutes of meetings</w:t>
      </w:r>
      <w:bookmarkEnd w:id="232"/>
    </w:p>
    <w:p>
      <w:pPr>
        <w:pStyle w:val="ySubsection"/>
      </w:pPr>
      <w:r>
        <w:tab/>
      </w:r>
      <w:r>
        <w:tab/>
        <w:t>The board must cause accurate records to be kept of the proceedings at its meetings.</w:t>
      </w:r>
    </w:p>
    <w:p>
      <w:pPr>
        <w:pStyle w:val="yHeading5"/>
        <w:spacing w:before="240"/>
        <w:outlineLvl w:val="0"/>
      </w:pPr>
      <w:bookmarkStart w:id="233" w:name="_Toc462143963"/>
      <w:r>
        <w:rPr>
          <w:rStyle w:val="CharSClsNo"/>
        </w:rPr>
        <w:t>12</w:t>
      </w:r>
      <w:r>
        <w:t>.</w:t>
      </w:r>
      <w:r>
        <w:tab/>
        <w:t>Procedures</w:t>
      </w:r>
      <w:bookmarkEnd w:id="233"/>
    </w:p>
    <w:p>
      <w:pPr>
        <w:pStyle w:val="ySubsection"/>
      </w:pPr>
      <w:r>
        <w:tab/>
      </w:r>
      <w:r>
        <w:tab/>
        <w:t>Subject to this Act, the board is to determine its own procedures.</w:t>
      </w:r>
    </w:p>
    <w:p>
      <w:pPr>
        <w:pStyle w:val="yHeading3"/>
        <w:outlineLvl w:val="0"/>
      </w:pPr>
      <w:bookmarkStart w:id="234" w:name="_Toc460252595"/>
      <w:bookmarkStart w:id="235" w:name="_Toc462143964"/>
      <w:r>
        <w:rPr>
          <w:rStyle w:val="CharSDivNo"/>
        </w:rPr>
        <w:t>Division 2</w:t>
      </w:r>
      <w:r>
        <w:t> — </w:t>
      </w:r>
      <w:r>
        <w:rPr>
          <w:rStyle w:val="CharSDivText"/>
        </w:rPr>
        <w:t>Disclosure of interests</w:t>
      </w:r>
      <w:bookmarkEnd w:id="234"/>
      <w:bookmarkEnd w:id="235"/>
    </w:p>
    <w:p>
      <w:pPr>
        <w:pStyle w:val="yHeading5"/>
        <w:spacing w:before="240"/>
        <w:outlineLvl w:val="0"/>
      </w:pPr>
      <w:bookmarkStart w:id="236" w:name="_Toc462143965"/>
      <w:r>
        <w:rPr>
          <w:rStyle w:val="CharSClsNo"/>
        </w:rPr>
        <w:t>13</w:t>
      </w:r>
      <w:r>
        <w:t>.</w:t>
      </w:r>
      <w:r>
        <w:tab/>
        <w:t>Term used: member</w:t>
      </w:r>
      <w:bookmarkEnd w:id="236"/>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37" w:name="_Toc462143966"/>
      <w:r>
        <w:rPr>
          <w:rStyle w:val="CharSClsNo"/>
        </w:rPr>
        <w:t>14</w:t>
      </w:r>
      <w:r>
        <w:t>.</w:t>
      </w:r>
      <w:r>
        <w:tab/>
        <w:t>Material personal interests to be disclosed</w:t>
      </w:r>
      <w:bookmarkEnd w:id="23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38" w:name="_Toc462143967"/>
      <w:r>
        <w:rPr>
          <w:rStyle w:val="CharSClsNo"/>
        </w:rPr>
        <w:t>15</w:t>
      </w:r>
      <w:r>
        <w:t>.</w:t>
      </w:r>
      <w:r>
        <w:tab/>
        <w:t>Member with material personal interest not to vote etc.</w:t>
      </w:r>
      <w:bookmarkEnd w:id="238"/>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239" w:name="_Toc462143968"/>
      <w:r>
        <w:rPr>
          <w:rStyle w:val="CharSClsNo"/>
        </w:rPr>
        <w:t>16</w:t>
      </w:r>
      <w:r>
        <w:t>.</w:t>
      </w:r>
      <w:r>
        <w:tab/>
        <w:t>Clause 15 may be declared inapplicable</w:t>
      </w:r>
      <w:bookmarkEnd w:id="23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40" w:name="_Toc462143969"/>
      <w:r>
        <w:rPr>
          <w:rStyle w:val="CharSClsNo"/>
        </w:rPr>
        <w:t>17</w:t>
      </w:r>
      <w:r>
        <w:t>.</w:t>
      </w:r>
      <w:r>
        <w:tab/>
        <w:t>Quorum if cl. 15 applies</w:t>
      </w:r>
      <w:bookmarkEnd w:id="24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41" w:name="_Toc462143970"/>
      <w:r>
        <w:rPr>
          <w:rStyle w:val="CharSClsNo"/>
        </w:rPr>
        <w:t>18</w:t>
      </w:r>
      <w:r>
        <w:t>.</w:t>
      </w:r>
      <w:r>
        <w:tab/>
        <w:t>Minister may declare cl. 15 and 17 inapplicable</w:t>
      </w:r>
      <w:bookmarkEnd w:id="24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42" w:name="_Toc462143971"/>
      <w:r>
        <w:rPr>
          <w:rStyle w:val="CharSClsNo"/>
        </w:rPr>
        <w:t>19</w:t>
      </w:r>
      <w:r>
        <w:t>.</w:t>
      </w:r>
      <w:r>
        <w:tab/>
        <w:t>Supplementary provision about laying documents before Parliament</w:t>
      </w:r>
      <w:bookmarkEnd w:id="242"/>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43" w:name="_Toc460252603"/>
      <w:bookmarkStart w:id="244" w:name="_Toc462143972"/>
      <w:r>
        <w:rPr>
          <w:rStyle w:val="CharSchNo"/>
        </w:rPr>
        <w:t>Schedule 7</w:t>
      </w:r>
      <w:r>
        <w:rPr>
          <w:rStyle w:val="CharSDivNo"/>
        </w:rPr>
        <w:t> </w:t>
      </w:r>
      <w:r>
        <w:t>—</w:t>
      </w:r>
      <w:r>
        <w:rPr>
          <w:rStyle w:val="CharSDivText"/>
        </w:rPr>
        <w:t> </w:t>
      </w:r>
      <w:r>
        <w:rPr>
          <w:rStyle w:val="CharSchText"/>
        </w:rPr>
        <w:t>Local governments</w:t>
      </w:r>
      <w:bookmarkEnd w:id="243"/>
      <w:bookmarkEnd w:id="244"/>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245" w:name="_Toc460252604"/>
      <w:bookmarkStart w:id="246" w:name="_Toc462143973"/>
      <w:r>
        <w:rPr>
          <w:rStyle w:val="CharSchNo"/>
        </w:rPr>
        <w:t>Schedule 8</w:t>
      </w:r>
      <w:r>
        <w:rPr>
          <w:rStyle w:val="CharSDivNo"/>
        </w:rPr>
        <w:t> </w:t>
      </w:r>
      <w:r>
        <w:t>—</w:t>
      </w:r>
      <w:r>
        <w:rPr>
          <w:rStyle w:val="CharSDivText"/>
        </w:rPr>
        <w:t> </w:t>
      </w:r>
      <w:r>
        <w:rPr>
          <w:rStyle w:val="CharSchText"/>
        </w:rPr>
        <w:t>Prescribed regulations</w:t>
      </w:r>
      <w:bookmarkEnd w:id="245"/>
      <w:bookmarkEnd w:id="246"/>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47" w:name="_Toc460252605"/>
      <w:bookmarkStart w:id="248" w:name="_Toc462143974"/>
      <w:r>
        <w:t>Notes</w:t>
      </w:r>
      <w:bookmarkEnd w:id="247"/>
      <w:bookmarkEnd w:id="248"/>
    </w:p>
    <w:p>
      <w:pPr>
        <w:pStyle w:val="nSubsection"/>
      </w:pPr>
      <w:r>
        <w:rPr>
          <w:vertAlign w:val="superscript"/>
        </w:rPr>
        <w:t>1</w:t>
      </w:r>
      <w:r>
        <w:tab/>
        <w:t xml:space="preserve">This reprint is a compilation as at 14 October 2016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49" w:name="_Toc462143975"/>
      <w: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1"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4535"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1" w:type="dxa"/>
          </w:tcPr>
          <w:p>
            <w:pPr>
              <w:pStyle w:val="nTable"/>
              <w:spacing w:after="40"/>
            </w:pPr>
            <w:r>
              <w:t xml:space="preserve">25 Sep 2007 (see note under r. 1 and </w:t>
            </w:r>
            <w:r>
              <w:rPr>
                <w:i/>
                <w:iCs/>
              </w:rPr>
              <w:t>Gazette</w:t>
            </w:r>
            <w:r>
              <w:t xml:space="preserve"> 25 Sep 2007 p. 4835)</w:t>
            </w:r>
          </w:p>
        </w:tc>
      </w:tr>
      <w:tr>
        <w:trPr>
          <w:cantSplit/>
        </w:trPr>
        <w:tc>
          <w:tcPr>
            <w:tcW w:w="7087"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1"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1"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50" w:name="_Toc462143976"/>
      <w:r>
        <w:t>Provisions that have not come into operation</w:t>
      </w:r>
      <w:bookmarkEnd w:id="2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noProof/>
                <w:snapToGrid w:val="0"/>
              </w:rPr>
            </w:pPr>
            <w:r>
              <w:rPr>
                <w:i/>
              </w:rPr>
              <w:t>Public Health (Consequential Provisions) Act 2016</w:t>
            </w:r>
            <w:r>
              <w:t xml:space="preserve"> s. 101 and Pt. 3 Div. 1 and Pt. 5 Div. 24</w:t>
            </w:r>
            <w:r>
              <w:rPr>
                <w:vertAlign w:val="superscript"/>
              </w:rPr>
              <w:t> 2</w:t>
            </w:r>
          </w:p>
        </w:tc>
        <w:tc>
          <w:tcPr>
            <w:tcW w:w="1134" w:type="dxa"/>
            <w:tcBorders>
              <w:top w:val="single" w:sz="8" w:space="0" w:color="auto"/>
              <w:bottom w:val="single" w:sz="8" w:space="0" w:color="auto"/>
            </w:tcBorders>
            <w:shd w:val="clear" w:color="auto" w:fill="auto"/>
          </w:tcPr>
          <w:p>
            <w:pPr>
              <w:pStyle w:val="nTable"/>
              <w:spacing w:after="40"/>
            </w:pPr>
            <w:r>
              <w:t>19 of 2016</w:t>
            </w:r>
          </w:p>
        </w:tc>
        <w:tc>
          <w:tcPr>
            <w:tcW w:w="1134" w:type="dxa"/>
            <w:tcBorders>
              <w:top w:val="single" w:sz="8" w:space="0" w:color="auto"/>
              <w:bottom w:val="single" w:sz="8" w:space="0" w:color="auto"/>
            </w:tcBorders>
            <w:shd w:val="clear" w:color="auto" w:fill="auto"/>
          </w:tcPr>
          <w:p>
            <w:pPr>
              <w:pStyle w:val="nTable"/>
              <w:spacing w:after="40"/>
            </w:pPr>
            <w:r>
              <w:t>25 Jul 2016</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2(1)(b) and (c))</w:t>
            </w:r>
          </w:p>
        </w:tc>
      </w:tr>
    </w:tbl>
    <w:p>
      <w:pPr>
        <w:pStyle w:val="nSubsection"/>
        <w:keepNext/>
        <w:spacing w:before="160"/>
        <w:rPr>
          <w:snapToGrid w:val="0"/>
        </w:rPr>
      </w:pPr>
      <w:r>
        <w:rPr>
          <w:snapToGrid w:val="0"/>
          <w:vertAlign w:val="superscript"/>
        </w:rPr>
        <w:t>2</w:t>
      </w:r>
      <w:r>
        <w:rPr>
          <w:snapToGrid w:val="0"/>
        </w:rPr>
        <w:tab/>
        <w:t xml:space="preserve">On the date as at which this reprint was prepared, the </w:t>
      </w:r>
      <w:r>
        <w:rPr>
          <w:i/>
        </w:rPr>
        <w:t>Public Health (Consequential Provisions) Act 2016</w:t>
      </w:r>
      <w:r>
        <w:t xml:space="preserve"> s. 101 and Pt. 5 Div. 24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rPr>
          <w:b/>
        </w:rPr>
      </w:pPr>
      <w:r>
        <w:rPr>
          <w:b/>
        </w:rPr>
        <w:t>Table</w:t>
      </w:r>
    </w:p>
    <w:p>
      <w:pPr>
        <w:pStyle w:val="nzMiscellaneousHeading"/>
      </w:pPr>
      <w:r>
        <w:t>...</w:t>
      </w:r>
    </w:p>
    <w:p>
      <w:pPr>
        <w:pStyle w:val="nzMiscellaneousHeading"/>
        <w:jc w:val="left"/>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trPr>
        <w:tc>
          <w:tcPr>
            <w:tcW w:w="2904" w:type="dxa"/>
          </w:tcPr>
          <w:p>
            <w:pPr>
              <w:pStyle w:val="TableAm"/>
              <w:rPr>
                <w:iCs/>
                <w:sz w:val="20"/>
              </w:rPr>
            </w:pPr>
            <w:r>
              <w:rPr>
                <w:i/>
                <w:iCs/>
                <w:sz w:val="20"/>
              </w:rPr>
              <w:t>Swan and Canning Rivers Management Act 2006</w:t>
            </w:r>
          </w:p>
        </w:tc>
        <w:tc>
          <w:tcPr>
            <w:tcW w:w="2628" w:type="dxa"/>
          </w:tcPr>
          <w:p>
            <w:pPr>
              <w:pStyle w:val="TableAm"/>
              <w:rPr>
                <w:sz w:val="20"/>
              </w:rPr>
            </w:pPr>
            <w:r>
              <w:rPr>
                <w:sz w:val="20"/>
              </w:rPr>
              <w:t>Sch. 5 it. 1(i)</w:t>
            </w:r>
          </w:p>
        </w:tc>
      </w:tr>
    </w:tbl>
    <w:p>
      <w:pPr>
        <w:pStyle w:val="BlankClose"/>
      </w:pP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spacing w:before="160"/>
      </w:pPr>
    </w:p>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3" w:name="_Toc460252608"/>
      <w:bookmarkStart w:id="254" w:name="_Toc462143977"/>
      <w:r>
        <w:rPr>
          <w:sz w:val="28"/>
        </w:rPr>
        <w:t>Defined terms</w:t>
      </w:r>
      <w:bookmarkEnd w:id="253"/>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9"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9"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nx9Q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713J8fUC&#10;AACBBgAADgAAAAAAAAAAAAAAAAAuAgAAZHJzL2Uyb0RvYy54bWxQSwECLQAUAAYACAAAACEAJix4&#10;QdsAAAAEAQAADwAAAAAAAAAAAAAAAABPBQAAZHJzL2Rvd25yZXYueG1sUEsFBgAAAAAEAAQA8wAA&#10;AFcGAAAAAA==&#10;" stroked="f" strokeweight=".5pt">
                <v:textbox>
                  <w:txbxContent>
                    <w:p w:rsidR="00D96AA1" w:rsidRDefault="00D96AA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1" w:name="Compilation"/>
    <w:bookmarkStart w:id="252" w:name="Schedule"/>
    <w:bookmarkEnd w:id="251"/>
    <w:bookmarkEnd w:id="2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5" w:name="DefinedTerms"/>
    <w:bookmarkEnd w:id="25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91633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790ED-CCAC-409F-9FEE-64CCB07FB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35869</Words>
  <Characters>171098</Characters>
  <Application>Microsoft Office Word</Application>
  <DocSecurity>0</DocSecurity>
  <Lines>4624</Lines>
  <Paragraphs>2796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204171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2006 - 03-00-00</dc:title>
  <dc:subject/>
  <dc:creator/>
  <cp:keywords/>
  <dc:description/>
  <cp:lastModifiedBy>svcMRProcess</cp:lastModifiedBy>
  <cp:revision>4</cp:revision>
  <cp:lastPrinted>2016-10-18T04:36:00Z</cp:lastPrinted>
  <dcterms:created xsi:type="dcterms:W3CDTF">2020-04-26T02:46:00Z</dcterms:created>
  <dcterms:modified xsi:type="dcterms:W3CDTF">2020-04-26T02:46:00Z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CommencementDate">
    <vt:lpwstr>20161014</vt:lpwstr>
  </property>
  <property fmtid="{D5CDD505-2E9C-101B-9397-08002B2CF9AE}" pid="7" name="AsAtDate">
    <vt:lpwstr>14 Oct 2016</vt:lpwstr>
  </property>
  <property fmtid="{D5CDD505-2E9C-101B-9397-08002B2CF9AE}" pid="8" name="Suffix">
    <vt:lpwstr>03-00-00</vt:lpwstr>
  </property>
  <property fmtid="{D5CDD505-2E9C-101B-9397-08002B2CF9AE}" pid="9" name="ReprintedAsAt">
    <vt:filetime>2016-10-13T16:00:00Z</vt:filetime>
  </property>
  <property fmtid="{D5CDD505-2E9C-101B-9397-08002B2CF9AE}" pid="10" name="ReprintNo">
    <vt:lpwstr>3</vt:lpwstr>
  </property>
</Properties>
</file>