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Regulations 1947</w:t>
      </w:r>
      <w:r>
        <w:rPr>
          <w:sz w:val="48"/>
        </w:rPr>
        <w:fldChar w:fldCharType="end"/>
      </w:r>
    </w:p>
    <w:p>
      <w:pPr>
        <w:pStyle w:val="ReprintNo"/>
      </w:pPr>
      <w:r>
        <w:t>Reprint 7:  The regulations as at 21 October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7E0620" w:rsidRDefault="007E0620">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7E0620" w:rsidRDefault="007E0620">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7E0620" w:rsidRDefault="007E0620">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7E0620" w:rsidRDefault="007E062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October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_Toc465070279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Australian/New Zealand Wiring Rules</w:t>
      </w:r>
      <w:r>
        <w:tab/>
      </w:r>
      <w:r>
        <w:fldChar w:fldCharType="begin"/>
      </w:r>
      <w:r>
        <w:instrText xml:space="preserve"> PAGEREF _Toc465070280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_Toc465070282 \h </w:instrText>
      </w:r>
      <w:r>
        <w:fldChar w:fldCharType="separate"/>
      </w:r>
      <w:r>
        <w:t>3</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_Toc465070283 \h </w:instrText>
      </w:r>
      <w:r>
        <w:fldChar w:fldCharType="separate"/>
      </w:r>
      <w:r>
        <w:t>4</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_Toc465070284 \h </w:instrText>
      </w:r>
      <w:r>
        <w:fldChar w:fldCharType="separate"/>
      </w:r>
      <w:r>
        <w:t>4</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_Toc465070285 \h </w:instrText>
      </w:r>
      <w:r>
        <w:fldChar w:fldCharType="separate"/>
      </w:r>
      <w:r>
        <w:t>5</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_Toc465070286 \h </w:instrText>
      </w:r>
      <w:r>
        <w:fldChar w:fldCharType="separate"/>
      </w:r>
      <w:r>
        <w:t>6</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_Toc465070287 \h </w:instrText>
      </w:r>
      <w:r>
        <w:fldChar w:fldCharType="separate"/>
      </w:r>
      <w:r>
        <w:t>6</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_Toc465070288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_Toc465070290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_Toc465070292 \h </w:instrText>
      </w:r>
      <w:r>
        <w:fldChar w:fldCharType="separate"/>
      </w:r>
      <w:r>
        <w:t>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_Toc465070293 \h </w:instrText>
      </w:r>
      <w:r>
        <w:fldChar w:fldCharType="separate"/>
      </w:r>
      <w:r>
        <w:t>9</w:t>
      </w:r>
      <w:r>
        <w:fldChar w:fldCharType="end"/>
      </w:r>
    </w:p>
    <w:p>
      <w:pPr>
        <w:pStyle w:val="TOC8"/>
        <w:rPr>
          <w:rFonts w:asciiTheme="minorHAnsi" w:eastAsiaTheme="minorEastAsia" w:hAnsiTheme="minorHAnsi" w:cstheme="minorBidi"/>
          <w:szCs w:val="22"/>
        </w:rPr>
      </w:pPr>
      <w:r>
        <w:t>243.</w:t>
      </w:r>
      <w:r>
        <w:tab/>
        <w:t>Voltage on the neutral</w:t>
      </w:r>
      <w:r>
        <w:tab/>
      </w:r>
      <w:r>
        <w:fldChar w:fldCharType="begin"/>
      </w:r>
      <w:r>
        <w:instrText xml:space="preserve"> PAGEREF _Toc465070294 \h </w:instrText>
      </w:r>
      <w:r>
        <w:fldChar w:fldCharType="separate"/>
      </w:r>
      <w:r>
        <w:t>10</w:t>
      </w:r>
      <w:r>
        <w:fldChar w:fldCharType="end"/>
      </w:r>
    </w:p>
    <w:p>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_Toc465070295 \h </w:instrText>
      </w:r>
      <w:r>
        <w:fldChar w:fldCharType="separate"/>
      </w:r>
      <w:r>
        <w:t>12</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_Toc465070296 \h </w:instrText>
      </w:r>
      <w:r>
        <w:fldChar w:fldCharType="separate"/>
      </w:r>
      <w:r>
        <w:t>12</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_Toc465070297 \h </w:instrText>
      </w:r>
      <w:r>
        <w:fldChar w:fldCharType="separate"/>
      </w:r>
      <w:r>
        <w:t>12</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_Toc465070298 \h </w:instrText>
      </w:r>
      <w:r>
        <w:fldChar w:fldCharType="separate"/>
      </w:r>
      <w:r>
        <w:t>17</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Supply to large premises</w:t>
      </w:r>
      <w:r>
        <w:tab/>
      </w:r>
      <w:r>
        <w:fldChar w:fldCharType="begin"/>
      </w:r>
      <w:r>
        <w:instrText xml:space="preserve"> PAGEREF _Toc465070299 \h </w:instrText>
      </w:r>
      <w:r>
        <w:fldChar w:fldCharType="separate"/>
      </w:r>
      <w:r>
        <w:t>18</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_Toc465070300 \h </w:instrText>
      </w:r>
      <w:r>
        <w:fldChar w:fldCharType="separate"/>
      </w:r>
      <w:r>
        <w:t>18</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_Toc465070301 \h </w:instrText>
      </w:r>
      <w:r>
        <w:fldChar w:fldCharType="separate"/>
      </w:r>
      <w:r>
        <w:t>19</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_Toc465070302 \h </w:instrText>
      </w:r>
      <w:r>
        <w:fldChar w:fldCharType="separate"/>
      </w:r>
      <w:r>
        <w:t>20</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_Toc465070303 \h </w:instrText>
      </w:r>
      <w:r>
        <w:fldChar w:fldCharType="separate"/>
      </w:r>
      <w:r>
        <w:t>20</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_Toc465070304 \h </w:instrText>
      </w:r>
      <w:r>
        <w:fldChar w:fldCharType="separate"/>
      </w:r>
      <w:r>
        <w:t>20</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_Toc465070305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_Toc465070307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_Toc465070309 \h </w:instrText>
      </w:r>
      <w:r>
        <w:fldChar w:fldCharType="separate"/>
      </w:r>
      <w:r>
        <w:t>24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_Toc465070310 \h </w:instrText>
      </w:r>
      <w:r>
        <w:fldChar w:fldCharType="separate"/>
      </w:r>
      <w:r>
        <w:t>25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_Toc465070311 \h </w:instrText>
      </w:r>
      <w:r>
        <w:fldChar w:fldCharType="separate"/>
      </w:r>
      <w:r>
        <w:t>27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_Toc465070312 \h </w:instrText>
      </w:r>
      <w:r>
        <w:fldChar w:fldCharType="separate"/>
      </w:r>
      <w:r>
        <w:t>28</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_Toc465070313 \h </w:instrText>
      </w:r>
      <w:r>
        <w:fldChar w:fldCharType="separate"/>
      </w:r>
      <w:r>
        <w:t>30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_Toc465070314 \h </w:instrText>
      </w:r>
      <w:r>
        <w:fldChar w:fldCharType="separate"/>
      </w:r>
      <w:r>
        <w:t>32</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_Toc465070315 \h </w:instrText>
      </w:r>
      <w:r>
        <w:fldChar w:fldCharType="separate"/>
      </w:r>
      <w:r>
        <w:t>32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_Toc465070316 \h </w:instrText>
      </w:r>
      <w:r>
        <w:fldChar w:fldCharType="separate"/>
      </w:r>
      <w:r>
        <w:t>33</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_Toc465070317 \h </w:instrText>
      </w:r>
      <w:r>
        <w:fldChar w:fldCharType="separate"/>
      </w:r>
      <w:r>
        <w:t>33</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_Toc465070318 \h </w:instrText>
      </w:r>
      <w:r>
        <w:fldChar w:fldCharType="separate"/>
      </w:r>
      <w:r>
        <w:t>34</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_Toc465070319 \h </w:instrText>
      </w:r>
      <w:r>
        <w:fldChar w:fldCharType="separate"/>
      </w:r>
      <w:r>
        <w:t>36</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_Toc465070320 \h </w:instrText>
      </w:r>
      <w:r>
        <w:fldChar w:fldCharType="separate"/>
      </w:r>
      <w:r>
        <w:t>37</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_Toc465070321 \h </w:instrText>
      </w:r>
      <w:r>
        <w:fldChar w:fldCharType="separate"/>
      </w:r>
      <w:r>
        <w:t>37</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_Toc465070322 \h </w:instrText>
      </w:r>
      <w:r>
        <w:fldChar w:fldCharType="separate"/>
      </w:r>
      <w:r>
        <w:t>38</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_Toc465070323 \h </w:instrText>
      </w:r>
      <w:r>
        <w:fldChar w:fldCharType="separate"/>
      </w:r>
      <w:r>
        <w:t>39</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_Toc465070324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_Toc465070326 \h </w:instrText>
      </w:r>
      <w:r>
        <w:fldChar w:fldCharType="separate"/>
      </w:r>
      <w:r>
        <w:t>41</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_Toc465070327 \h </w:instrText>
      </w:r>
      <w:r>
        <w:fldChar w:fldCharType="separate"/>
      </w:r>
      <w:r>
        <w:t>41</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_Toc465070328 \h </w:instrText>
      </w:r>
      <w:r>
        <w:fldChar w:fldCharType="separate"/>
      </w:r>
      <w:r>
        <w:t>41</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_Toc465070329 \h </w:instrText>
      </w:r>
      <w:r>
        <w:fldChar w:fldCharType="separate"/>
      </w:r>
      <w:r>
        <w:t>41</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_Toc465070330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_Toc465070334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October 2016</w:t>
            </w:r>
          </w:p>
        </w:tc>
      </w:tr>
    </w:tbl>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3" w:name="_Toc462758003"/>
      <w:bookmarkStart w:id="4" w:name="_Toc462759153"/>
      <w:bookmarkStart w:id="5" w:name="_Toc462827223"/>
      <w:bookmarkStart w:id="6" w:name="_Toc462827281"/>
      <w:bookmarkStart w:id="7" w:name="_Toc465070278"/>
      <w:r>
        <w:rPr>
          <w:rStyle w:val="CharPartNo"/>
        </w:rPr>
        <w:t>Part I</w:t>
      </w:r>
      <w:r>
        <w:t xml:space="preserve"> — </w:t>
      </w:r>
      <w:r>
        <w:rPr>
          <w:rStyle w:val="CharPartText"/>
        </w:rPr>
        <w:t>Preliminary</w:t>
      </w:r>
      <w:bookmarkEnd w:id="3"/>
      <w:bookmarkEnd w:id="4"/>
      <w:bookmarkEnd w:id="5"/>
      <w:bookmarkEnd w:id="6"/>
      <w:bookmarkEnd w:id="7"/>
    </w:p>
    <w:p>
      <w:pPr>
        <w:pStyle w:val="Footnoteheading"/>
      </w:pPr>
      <w:r>
        <w:tab/>
        <w:t>[Heading inserted in Gazette 30 May 2000 p. 2567.]</w:t>
      </w:r>
    </w:p>
    <w:p>
      <w:pPr>
        <w:pStyle w:val="Heading5"/>
        <w:spacing w:before="300"/>
      </w:pPr>
      <w:bookmarkStart w:id="8" w:name="_Toc465070279"/>
      <w:r>
        <w:rPr>
          <w:rStyle w:val="CharSectno"/>
        </w:rPr>
        <w:t>1</w:t>
      </w:r>
      <w:r>
        <w:t>.</w:t>
      </w:r>
      <w:r>
        <w:tab/>
        <w:t>Citation</w:t>
      </w:r>
      <w:bookmarkEnd w:id="8"/>
    </w:p>
    <w:p>
      <w:pPr>
        <w:pStyle w:val="Subsection"/>
        <w:spacing w:before="220"/>
      </w:pPr>
      <w:r>
        <w:tab/>
      </w:r>
      <w:r>
        <w:tab/>
        <w:t xml:space="preserve">These regulations may be cited as the </w:t>
      </w:r>
      <w:r>
        <w:rPr>
          <w:i/>
        </w:rPr>
        <w:t xml:space="preserve">Electricity Regulations 1947 </w:t>
      </w:r>
      <w:r>
        <w:rPr>
          <w:vertAlign w:val="superscript"/>
        </w:rPr>
        <w:t>1</w:t>
      </w:r>
      <w:r>
        <w:t>.</w:t>
      </w:r>
    </w:p>
    <w:p>
      <w:pPr>
        <w:pStyle w:val="Footnotesection"/>
        <w:spacing w:before="160"/>
        <w:ind w:left="890" w:hanging="890"/>
      </w:pPr>
      <w:r>
        <w:tab/>
        <w:t>[Regulation 1 inserted in Gazette 30 May 2000 p. 2567.]</w:t>
      </w:r>
    </w:p>
    <w:p>
      <w:pPr>
        <w:pStyle w:val="Heading5"/>
        <w:spacing w:before="300"/>
      </w:pPr>
      <w:bookmarkStart w:id="9" w:name="_Toc465070280"/>
      <w:r>
        <w:rPr>
          <w:rStyle w:val="CharSectno"/>
        </w:rPr>
        <w:t>2</w:t>
      </w:r>
      <w:r>
        <w:t>.</w:t>
      </w:r>
      <w:r>
        <w:tab/>
        <w:t>Term used: Australian/New Zealand Wiring Rules</w:t>
      </w:r>
      <w:bookmarkEnd w:id="9"/>
    </w:p>
    <w:p>
      <w:pPr>
        <w:pStyle w:val="Subsection"/>
        <w:spacing w:before="220"/>
      </w:pPr>
      <w:r>
        <w:tab/>
        <w:t>(1)</w:t>
      </w:r>
      <w:r>
        <w:tab/>
        <w:t>In these regulations —</w:t>
      </w:r>
    </w:p>
    <w:p>
      <w:pPr>
        <w:pStyle w:val="Defstart"/>
        <w:spacing w:before="160"/>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keepNext/>
        <w:spacing w:before="200"/>
      </w:pPr>
      <w:r>
        <w:tab/>
        <w:t>(2)</w:t>
      </w:r>
      <w:r>
        <w:tab/>
        <w:t>Unless the contrary intention appears, words defined in the Australian/New Zealand Wiring Rules have the same respective meanings when used in these regulations.</w:t>
      </w:r>
    </w:p>
    <w:p>
      <w:pPr>
        <w:pStyle w:val="Footnotesection"/>
        <w:keepNext/>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10" w:name="_Toc462758006"/>
      <w:bookmarkStart w:id="11" w:name="_Toc462759156"/>
      <w:bookmarkStart w:id="12" w:name="_Toc462827226"/>
      <w:bookmarkStart w:id="13" w:name="_Toc462827284"/>
      <w:bookmarkStart w:id="14" w:name="_Toc465070281"/>
      <w:r>
        <w:rPr>
          <w:rStyle w:val="CharPartNo"/>
        </w:rPr>
        <w:t>Part IV</w:t>
      </w:r>
      <w:r>
        <w:rPr>
          <w:rStyle w:val="CharDivNo"/>
        </w:rPr>
        <w:t> </w:t>
      </w:r>
      <w:r>
        <w:t>—</w:t>
      </w:r>
      <w:r>
        <w:rPr>
          <w:rStyle w:val="CharDivText"/>
        </w:rPr>
        <w:t> </w:t>
      </w:r>
      <w:r>
        <w:rPr>
          <w:rStyle w:val="CharPartText"/>
        </w:rPr>
        <w:t>Residual current devices</w:t>
      </w:r>
      <w:bookmarkEnd w:id="10"/>
      <w:bookmarkEnd w:id="11"/>
      <w:bookmarkEnd w:id="12"/>
      <w:bookmarkEnd w:id="13"/>
      <w:bookmarkEnd w:id="14"/>
    </w:p>
    <w:p>
      <w:pPr>
        <w:pStyle w:val="Footnoteheading"/>
      </w:pPr>
      <w:r>
        <w:tab/>
        <w:t>[Heading inserted in Gazette 8 May 2009 p. 1493.]</w:t>
      </w:r>
    </w:p>
    <w:p>
      <w:pPr>
        <w:pStyle w:val="Heading5"/>
      </w:pPr>
      <w:bookmarkStart w:id="15" w:name="_Toc465070282"/>
      <w:r>
        <w:rPr>
          <w:rStyle w:val="CharSectno"/>
        </w:rPr>
        <w:t>12</w:t>
      </w:r>
      <w:r>
        <w:t>.</w:t>
      </w:r>
      <w:r>
        <w:tab/>
        <w:t>Terms used</w:t>
      </w:r>
      <w:bookmarkEnd w:id="15"/>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16" w:name="_Toc465070283"/>
      <w:r>
        <w:rPr>
          <w:rStyle w:val="CharSectno"/>
        </w:rPr>
        <w:t>13</w:t>
      </w:r>
      <w:r>
        <w:t>.</w:t>
      </w:r>
      <w:r>
        <w:tab/>
        <w:t>Residential premises occupied by owner</w:t>
      </w:r>
      <w:bookmarkEnd w:id="16"/>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17" w:name="_Toc465070284"/>
      <w:r>
        <w:rPr>
          <w:rStyle w:val="CharSectno"/>
        </w:rPr>
        <w:t>14</w:t>
      </w:r>
      <w:r>
        <w:t>.</w:t>
      </w:r>
      <w:r>
        <w:tab/>
        <w:t>Residential premises not occupied by owner</w:t>
      </w:r>
      <w:bookmarkEnd w:id="17"/>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8" w:name="_Toc465070285"/>
      <w:r>
        <w:rPr>
          <w:rStyle w:val="CharSectno"/>
        </w:rPr>
        <w:t>15A</w:t>
      </w:r>
      <w:r>
        <w:t>.</w:t>
      </w:r>
      <w:r>
        <w:tab/>
        <w:t>New owner’s obligation to install residual current devices and right to recover costs</w:t>
      </w:r>
      <w:bookmarkEnd w:id="18"/>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9" w:name="_Toc465070286"/>
      <w:r>
        <w:rPr>
          <w:rStyle w:val="CharSectno"/>
        </w:rPr>
        <w:t>15</w:t>
      </w:r>
      <w:r>
        <w:t>.</w:t>
      </w:r>
      <w:r>
        <w:tab/>
        <w:t>Common property relating to residential premises</w:t>
      </w:r>
      <w:bookmarkEnd w:id="19"/>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20" w:name="_Toc465070287"/>
      <w:r>
        <w:rPr>
          <w:rStyle w:val="CharSectno"/>
        </w:rPr>
        <w:t>16</w:t>
      </w:r>
      <w:r>
        <w:t>.</w:t>
      </w:r>
      <w:r>
        <w:tab/>
        <w:t>Defences in case of demolition</w:t>
      </w:r>
      <w:bookmarkEnd w:id="20"/>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21" w:name="_Toc465070288"/>
      <w:r>
        <w:rPr>
          <w:rStyle w:val="CharSectno"/>
        </w:rPr>
        <w:t>18</w:t>
      </w:r>
      <w:r>
        <w:t>.</w:t>
      </w:r>
      <w:r>
        <w:tab/>
        <w:t>Director may grant temporary exemptions</w:t>
      </w:r>
      <w:bookmarkEnd w:id="21"/>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22" w:name="_Toc462758014"/>
      <w:bookmarkStart w:id="23" w:name="_Toc462759164"/>
      <w:bookmarkStart w:id="24" w:name="_Toc462827234"/>
      <w:bookmarkStart w:id="25" w:name="_Toc462827292"/>
      <w:bookmarkStart w:id="26" w:name="_Toc465070289"/>
      <w:r>
        <w:rPr>
          <w:rStyle w:val="CharPartNo"/>
        </w:rPr>
        <w:t>Part V</w:t>
      </w:r>
      <w:r>
        <w:t xml:space="preserve"> — </w:t>
      </w:r>
      <w:r>
        <w:rPr>
          <w:rStyle w:val="CharPartText"/>
        </w:rPr>
        <w:t>Interfering with electrical installations</w:t>
      </w:r>
      <w:bookmarkEnd w:id="22"/>
      <w:bookmarkEnd w:id="23"/>
      <w:bookmarkEnd w:id="24"/>
      <w:bookmarkEnd w:id="25"/>
      <w:bookmarkEnd w:id="26"/>
    </w:p>
    <w:p>
      <w:pPr>
        <w:pStyle w:val="Footnoteheading"/>
      </w:pPr>
      <w:r>
        <w:tab/>
        <w:t>[Heading inserted in Gazette 13 Apr 2012 p. 1648.]</w:t>
      </w:r>
    </w:p>
    <w:p>
      <w:pPr>
        <w:pStyle w:val="Heading5"/>
      </w:pPr>
      <w:bookmarkStart w:id="27" w:name="_Toc465070290"/>
      <w:r>
        <w:rPr>
          <w:rStyle w:val="CharSectno"/>
        </w:rPr>
        <w:t>19</w:t>
      </w:r>
      <w:r>
        <w:t>.</w:t>
      </w:r>
      <w:r>
        <w:tab/>
        <w:t>Interfering with electrical installations</w:t>
      </w:r>
      <w:bookmarkEnd w:id="27"/>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28" w:name="_Toc462758016"/>
      <w:bookmarkStart w:id="29" w:name="_Toc462759166"/>
      <w:bookmarkStart w:id="30" w:name="_Toc462827236"/>
      <w:bookmarkStart w:id="31" w:name="_Toc462827294"/>
      <w:bookmarkStart w:id="32" w:name="_Toc465070291"/>
      <w:r>
        <w:rPr>
          <w:rStyle w:val="CharPartNo"/>
        </w:rPr>
        <w:t>Part VIII</w:t>
      </w:r>
      <w:r>
        <w:t xml:space="preserve"> — </w:t>
      </w:r>
      <w:r>
        <w:rPr>
          <w:rStyle w:val="CharPartText"/>
        </w:rPr>
        <w:t>Supply of electricity to consumers</w:t>
      </w:r>
      <w:bookmarkEnd w:id="28"/>
      <w:bookmarkEnd w:id="29"/>
      <w:bookmarkEnd w:id="30"/>
      <w:bookmarkEnd w:id="31"/>
      <w:bookmarkEnd w:id="32"/>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33" w:name="_Toc465070292"/>
      <w:r>
        <w:rPr>
          <w:rStyle w:val="CharSectno"/>
        </w:rPr>
        <w:t>241</w:t>
      </w:r>
      <w:r>
        <w:t>.</w:t>
      </w:r>
      <w:r>
        <w:tab/>
        <w:t>Terms used</w:t>
      </w:r>
      <w:bookmarkEnd w:id="33"/>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34" w:name="_Toc465070293"/>
      <w:r>
        <w:rPr>
          <w:rStyle w:val="CharSectno"/>
        </w:rPr>
        <w:t>242</w:t>
      </w:r>
      <w:r>
        <w:rPr>
          <w:snapToGrid w:val="0"/>
        </w:rPr>
        <w:t>.</w:t>
      </w:r>
      <w:r>
        <w:rPr>
          <w:snapToGrid w:val="0"/>
        </w:rPr>
        <w:tab/>
        <w:t>Connection of supply</w:t>
      </w:r>
      <w:bookmarkEnd w:id="34"/>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35" w:name="_Toc465070294"/>
      <w:r>
        <w:rPr>
          <w:rStyle w:val="CharSectno"/>
        </w:rPr>
        <w:t>243</w:t>
      </w:r>
      <w:r>
        <w:t>.</w:t>
      </w:r>
      <w:r>
        <w:tab/>
        <w:t>Voltage on the neutral</w:t>
      </w:r>
      <w:bookmarkEnd w:id="35"/>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36" w:name="_Toc465070295"/>
      <w:r>
        <w:rPr>
          <w:rStyle w:val="CharSectno"/>
        </w:rPr>
        <w:t>244</w:t>
      </w:r>
      <w:r>
        <w:t>.</w:t>
      </w:r>
      <w:r>
        <w:tab/>
        <w:t>Damage by overloading to network operator’s apparatus</w:t>
      </w:r>
      <w:bookmarkEnd w:id="36"/>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37" w:name="_Toc465070296"/>
      <w:r>
        <w:rPr>
          <w:rStyle w:val="CharSectno"/>
        </w:rPr>
        <w:t>249</w:t>
      </w:r>
      <w:r>
        <w:rPr>
          <w:snapToGrid w:val="0"/>
        </w:rPr>
        <w:t>.</w:t>
      </w:r>
      <w:r>
        <w:rPr>
          <w:snapToGrid w:val="0"/>
        </w:rPr>
        <w:tab/>
        <w:t>Fixing leads in fuses, meters etc.</w:t>
      </w:r>
      <w:bookmarkEnd w:id="37"/>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38" w:name="_Toc465070297"/>
      <w:r>
        <w:rPr>
          <w:rStyle w:val="CharSectno"/>
        </w:rPr>
        <w:t>253</w:t>
      </w:r>
      <w:r>
        <w:rPr>
          <w:snapToGrid w:val="0"/>
        </w:rPr>
        <w:t>.</w:t>
      </w:r>
      <w:r>
        <w:rPr>
          <w:snapToGrid w:val="0"/>
        </w:rPr>
        <w:tab/>
        <w:t>Systems of inspection</w:t>
      </w:r>
      <w:bookmarkEnd w:id="38"/>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39" w:name="_Toc465070298"/>
      <w:r>
        <w:rPr>
          <w:rStyle w:val="CharSectno"/>
        </w:rPr>
        <w:t>254</w:t>
      </w:r>
      <w:r>
        <w:t>.</w:t>
      </w:r>
      <w:r>
        <w:tab/>
        <w:t>Individual inspection and reporting for electric installation</w:t>
      </w:r>
      <w:bookmarkEnd w:id="39"/>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40" w:name="_Toc465070299"/>
      <w:r>
        <w:rPr>
          <w:rStyle w:val="CharSectno"/>
        </w:rPr>
        <w:t>257</w:t>
      </w:r>
      <w:r>
        <w:rPr>
          <w:snapToGrid w:val="0"/>
        </w:rPr>
        <w:t>.</w:t>
      </w:r>
      <w:r>
        <w:rPr>
          <w:snapToGrid w:val="0"/>
        </w:rPr>
        <w:tab/>
        <w:t>Supply to large premises</w:t>
      </w:r>
      <w:bookmarkEnd w:id="40"/>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r>
        <w:t>[</w:t>
      </w:r>
      <w:r>
        <w:rPr>
          <w:b/>
        </w:rPr>
        <w:t>258</w:t>
      </w:r>
      <w:r>
        <w:rPr>
          <w:b/>
        </w:rPr>
        <w:noBreakHyphen/>
        <w:t>264.</w:t>
      </w:r>
      <w:r>
        <w:rPr>
          <w:b/>
        </w:rPr>
        <w:tab/>
      </w:r>
      <w:r>
        <w:t>Deleted in Gazette 19 Dec 2000 p. 7274.]</w:t>
      </w:r>
    </w:p>
    <w:p>
      <w:pPr>
        <w:pStyle w:val="Heading5"/>
        <w:rPr>
          <w:snapToGrid w:val="0"/>
        </w:rPr>
      </w:pPr>
      <w:bookmarkStart w:id="41" w:name="_Toc465070300"/>
      <w:r>
        <w:rPr>
          <w:rStyle w:val="CharSectno"/>
        </w:rPr>
        <w:t>265</w:t>
      </w:r>
      <w:r>
        <w:rPr>
          <w:snapToGrid w:val="0"/>
        </w:rPr>
        <w:t>.</w:t>
      </w:r>
      <w:r>
        <w:rPr>
          <w:snapToGrid w:val="0"/>
        </w:rPr>
        <w:tab/>
        <w:t>Interference with supply to other consumers</w:t>
      </w:r>
      <w:bookmarkEnd w:id="41"/>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42" w:name="_Toc465070301"/>
      <w:r>
        <w:rPr>
          <w:rStyle w:val="CharSectno"/>
        </w:rPr>
        <w:t>271</w:t>
      </w:r>
      <w:r>
        <w:t>.</w:t>
      </w:r>
      <w:r>
        <w:tab/>
        <w:t>Apparatus, interruptions, responsibility</w:t>
      </w:r>
      <w:bookmarkEnd w:id="42"/>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43" w:name="_Toc465070302"/>
      <w:r>
        <w:rPr>
          <w:rStyle w:val="CharSectno"/>
        </w:rPr>
        <w:t>272</w:t>
      </w:r>
      <w:r>
        <w:t>.</w:t>
      </w:r>
      <w:r>
        <w:tab/>
        <w:t>Disconnections</w:t>
      </w:r>
      <w:bookmarkEnd w:id="43"/>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44" w:name="_Toc465070303"/>
      <w:r>
        <w:rPr>
          <w:rStyle w:val="CharSectno"/>
        </w:rPr>
        <w:t>274</w:t>
      </w:r>
      <w:r>
        <w:t>.</w:t>
      </w:r>
      <w:r>
        <w:tab/>
        <w:t>Consumer’s liability for loss</w:t>
      </w:r>
      <w:bookmarkEnd w:id="44"/>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45" w:name="_Toc465070304"/>
      <w:r>
        <w:rPr>
          <w:rStyle w:val="CharSectno"/>
        </w:rPr>
        <w:t>276</w:t>
      </w:r>
      <w:r>
        <w:t>.</w:t>
      </w:r>
      <w:r>
        <w:tab/>
        <w:t>Alteration to system</w:t>
      </w:r>
      <w:bookmarkEnd w:id="45"/>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46" w:name="_Toc465070305"/>
      <w:r>
        <w:rPr>
          <w:rStyle w:val="CharSectno"/>
        </w:rPr>
        <w:t>280</w:t>
      </w:r>
      <w:r>
        <w:t>.</w:t>
      </w:r>
      <w:r>
        <w:tab/>
        <w:t>Charges for services</w:t>
      </w:r>
      <w:bookmarkEnd w:id="46"/>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47" w:name="_Toc462758031"/>
      <w:bookmarkStart w:id="48" w:name="_Toc462759181"/>
      <w:bookmarkStart w:id="49" w:name="_Toc462827251"/>
      <w:bookmarkStart w:id="50" w:name="_Toc462827309"/>
      <w:bookmarkStart w:id="51" w:name="_Toc465070306"/>
      <w:r>
        <w:rPr>
          <w:rStyle w:val="CharPartNo"/>
        </w:rPr>
        <w:t>Part IX</w:t>
      </w:r>
      <w:r>
        <w:rPr>
          <w:b w:val="0"/>
        </w:rPr>
        <w:t> </w:t>
      </w:r>
      <w:r>
        <w:t>—</w:t>
      </w:r>
      <w:r>
        <w:rPr>
          <w:b w:val="0"/>
        </w:rPr>
        <w:t> </w:t>
      </w:r>
      <w:r>
        <w:rPr>
          <w:rStyle w:val="CharPartText"/>
        </w:rPr>
        <w:t>Vegetation control safety requirements</w:t>
      </w:r>
      <w:bookmarkEnd w:id="47"/>
      <w:bookmarkEnd w:id="48"/>
      <w:bookmarkEnd w:id="49"/>
      <w:bookmarkEnd w:id="50"/>
      <w:bookmarkEnd w:id="51"/>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52" w:name="_Toc465070307"/>
      <w:r>
        <w:rPr>
          <w:rStyle w:val="CharSectno"/>
        </w:rPr>
        <w:t>316A</w:t>
      </w:r>
      <w:r>
        <w:rPr>
          <w:snapToGrid w:val="0"/>
        </w:rPr>
        <w:t>.</w:t>
      </w:r>
      <w:r>
        <w:rPr>
          <w:snapToGrid w:val="0"/>
        </w:rPr>
        <w:tab/>
        <w:t>Vegetation control work near overhead power lines</w:t>
      </w:r>
      <w:bookmarkEnd w:id="52"/>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53" w:name="_Toc462758033"/>
      <w:bookmarkStart w:id="54" w:name="_Toc462759183"/>
      <w:bookmarkStart w:id="55" w:name="_Toc462827253"/>
      <w:bookmarkStart w:id="56" w:name="_Toc462827311"/>
      <w:bookmarkStart w:id="57" w:name="_Toc465070308"/>
      <w:r>
        <w:rPr>
          <w:rStyle w:val="CharPartNo"/>
        </w:rPr>
        <w:t>Part X</w:t>
      </w:r>
      <w:r>
        <w:rPr>
          <w:rStyle w:val="CharDivNo"/>
        </w:rPr>
        <w:t> </w:t>
      </w:r>
      <w:r>
        <w:t>—</w:t>
      </w:r>
      <w:r>
        <w:rPr>
          <w:rStyle w:val="CharDivText"/>
        </w:rPr>
        <w:t> </w:t>
      </w:r>
      <w:r>
        <w:rPr>
          <w:rStyle w:val="CharPartText"/>
        </w:rPr>
        <w:t>Approval of electrical appliances</w:t>
      </w:r>
      <w:bookmarkEnd w:id="53"/>
      <w:bookmarkEnd w:id="54"/>
      <w:bookmarkEnd w:id="55"/>
      <w:bookmarkEnd w:id="56"/>
      <w:bookmarkEnd w:id="57"/>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58" w:name="_Toc465070309"/>
      <w:r>
        <w:rPr>
          <w:rStyle w:val="CharSectno"/>
        </w:rPr>
        <w:t>321</w:t>
      </w:r>
      <w:r>
        <w:t>.</w:t>
      </w:r>
      <w:r>
        <w:tab/>
        <w:t>Terms used</w:t>
      </w:r>
      <w:bookmarkEnd w:id="58"/>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59" w:name="_Toc465070310"/>
      <w:r>
        <w:rPr>
          <w:rStyle w:val="CharSectno"/>
        </w:rPr>
        <w:t>322</w:t>
      </w:r>
      <w:r>
        <w:rPr>
          <w:snapToGrid w:val="0"/>
        </w:rPr>
        <w:t>.</w:t>
      </w:r>
      <w:r>
        <w:rPr>
          <w:snapToGrid w:val="0"/>
        </w:rPr>
        <w:tab/>
        <w:t>Application for approval</w:t>
      </w:r>
      <w:bookmarkEnd w:id="59"/>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60" w:name="_Toc465070311"/>
      <w:r>
        <w:rPr>
          <w:rStyle w:val="CharSectno"/>
        </w:rPr>
        <w:t>323</w:t>
      </w:r>
      <w:r>
        <w:rPr>
          <w:snapToGrid w:val="0"/>
        </w:rPr>
        <w:t>.</w:t>
      </w:r>
      <w:r>
        <w:rPr>
          <w:snapToGrid w:val="0"/>
        </w:rPr>
        <w:tab/>
        <w:t>Further testing of electrical appliances approved</w:t>
      </w:r>
      <w:bookmarkEnd w:id="60"/>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61" w:name="_Toc465070312"/>
      <w:r>
        <w:rPr>
          <w:rStyle w:val="CharSectno"/>
        </w:rPr>
        <w:t>326</w:t>
      </w:r>
      <w:r>
        <w:rPr>
          <w:snapToGrid w:val="0"/>
        </w:rPr>
        <w:t>.</w:t>
      </w:r>
      <w:r>
        <w:rPr>
          <w:snapToGrid w:val="0"/>
        </w:rPr>
        <w:tab/>
        <w:t>Certificate of approval</w:t>
      </w:r>
      <w:bookmarkEnd w:id="61"/>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in Gazette 7 Sep 1955 p. 2146</w:t>
      </w:r>
      <w:r>
        <w:noBreakHyphen/>
        <w:t>7; amended in Gazette 22 Dec 1964 p. 4081; 23 Dec 1994 p. 7125 and 7131; 31 Oct 2006 p. 4602; 31 Dec 2010 p. 6888; 5 Jan 2016 p. 3.]</w:t>
      </w:r>
    </w:p>
    <w:p>
      <w:pPr>
        <w:pStyle w:val="Heading5"/>
        <w:spacing w:before="180"/>
        <w:rPr>
          <w:snapToGrid w:val="0"/>
        </w:rPr>
      </w:pPr>
      <w:bookmarkStart w:id="62" w:name="_Toc465070313"/>
      <w:r>
        <w:rPr>
          <w:rStyle w:val="CharSectno"/>
        </w:rPr>
        <w:t>327</w:t>
      </w:r>
      <w:r>
        <w:rPr>
          <w:snapToGrid w:val="0"/>
        </w:rPr>
        <w:t>.</w:t>
      </w:r>
      <w:r>
        <w:rPr>
          <w:snapToGrid w:val="0"/>
        </w:rPr>
        <w:tab/>
        <w:t>Stamping and labelling of approved electrical appliances</w:t>
      </w:r>
      <w:bookmarkEnd w:id="62"/>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pageBreakBefore/>
        <w:spacing w:before="0"/>
        <w:rPr>
          <w:snapToGrid w:val="0"/>
        </w:rPr>
      </w:pPr>
      <w:bookmarkStart w:id="63" w:name="_Toc465070314"/>
      <w:r>
        <w:rPr>
          <w:rStyle w:val="CharSectno"/>
        </w:rPr>
        <w:t>328</w:t>
      </w:r>
      <w:r>
        <w:rPr>
          <w:snapToGrid w:val="0"/>
        </w:rPr>
        <w:t>.</w:t>
      </w:r>
      <w:r>
        <w:rPr>
          <w:snapToGrid w:val="0"/>
        </w:rPr>
        <w:tab/>
        <w:t>Modification of design or construction</w:t>
      </w:r>
      <w:bookmarkEnd w:id="63"/>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64" w:name="_Toc465070315"/>
      <w:r>
        <w:rPr>
          <w:rStyle w:val="CharSectno"/>
        </w:rPr>
        <w:t>329</w:t>
      </w:r>
      <w:r>
        <w:rPr>
          <w:snapToGrid w:val="0"/>
        </w:rPr>
        <w:t>.</w:t>
      </w:r>
      <w:r>
        <w:rPr>
          <w:snapToGrid w:val="0"/>
        </w:rPr>
        <w:tab/>
        <w:t>Transfer of certificate of approval</w:t>
      </w:r>
      <w:bookmarkEnd w:id="6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65" w:name="_Toc465070316"/>
      <w:r>
        <w:rPr>
          <w:rStyle w:val="CharSectno"/>
        </w:rPr>
        <w:t>330</w:t>
      </w:r>
      <w:r>
        <w:rPr>
          <w:snapToGrid w:val="0"/>
        </w:rPr>
        <w:t>.</w:t>
      </w:r>
      <w:r>
        <w:rPr>
          <w:snapToGrid w:val="0"/>
        </w:rPr>
        <w:tab/>
        <w:t>Lost or destroyed certificates of approval</w:t>
      </w:r>
      <w:bookmarkEnd w:id="65"/>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66" w:name="_Toc465070317"/>
      <w:r>
        <w:rPr>
          <w:rStyle w:val="CharSectno"/>
        </w:rPr>
        <w:t>331</w:t>
      </w:r>
      <w:r>
        <w:rPr>
          <w:snapToGrid w:val="0"/>
        </w:rPr>
        <w:t>.</w:t>
      </w:r>
      <w:r>
        <w:rPr>
          <w:snapToGrid w:val="0"/>
        </w:rPr>
        <w:tab/>
        <w:t>Delegation by Director</w:t>
      </w:r>
      <w:bookmarkEnd w:id="66"/>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67" w:name="_Toc465070318"/>
      <w:r>
        <w:rPr>
          <w:rStyle w:val="CharSectno"/>
        </w:rPr>
        <w:t>332</w:t>
      </w:r>
      <w:r>
        <w:rPr>
          <w:snapToGrid w:val="0"/>
        </w:rPr>
        <w:t>.</w:t>
      </w:r>
      <w:r>
        <w:rPr>
          <w:snapToGrid w:val="0"/>
        </w:rPr>
        <w:tab/>
        <w:t>Refusal or withdrawal of approval</w:t>
      </w:r>
      <w:bookmarkEnd w:id="67"/>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68" w:name="_Toc465070319"/>
      <w:r>
        <w:rPr>
          <w:rStyle w:val="CharSectno"/>
        </w:rPr>
        <w:t>333</w:t>
      </w:r>
      <w:r>
        <w:rPr>
          <w:snapToGrid w:val="0"/>
        </w:rPr>
        <w:t>.</w:t>
      </w:r>
      <w:r>
        <w:rPr>
          <w:snapToGrid w:val="0"/>
        </w:rPr>
        <w:tab/>
        <w:t>Notification of withdrawal of approval</w:t>
      </w:r>
      <w:bookmarkEnd w:id="68"/>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69" w:name="_Toc465070320"/>
      <w:r>
        <w:rPr>
          <w:rStyle w:val="CharSectno"/>
        </w:rPr>
        <w:t>334</w:t>
      </w:r>
      <w:r>
        <w:rPr>
          <w:snapToGrid w:val="0"/>
        </w:rPr>
        <w:t>.</w:t>
      </w:r>
      <w:r>
        <w:rPr>
          <w:snapToGrid w:val="0"/>
        </w:rPr>
        <w:tab/>
        <w:t>Deferment of approval</w:t>
      </w:r>
      <w:bookmarkEnd w:id="69"/>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70" w:name="_Toc465070321"/>
      <w:r>
        <w:rPr>
          <w:rStyle w:val="CharSectno"/>
        </w:rPr>
        <w:t>335</w:t>
      </w:r>
      <w:r>
        <w:rPr>
          <w:snapToGrid w:val="0"/>
        </w:rPr>
        <w:t>.</w:t>
      </w:r>
      <w:r>
        <w:rPr>
          <w:snapToGrid w:val="0"/>
        </w:rPr>
        <w:tab/>
        <w:t>Purchase of electrical appliances for inspection</w:t>
      </w:r>
      <w:bookmarkEnd w:id="70"/>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71" w:name="_Toc465070322"/>
      <w:r>
        <w:rPr>
          <w:rStyle w:val="CharSectno"/>
        </w:rPr>
        <w:t>336</w:t>
      </w:r>
      <w:r>
        <w:rPr>
          <w:snapToGrid w:val="0"/>
        </w:rPr>
        <w:t>.</w:t>
      </w:r>
      <w:r>
        <w:rPr>
          <w:snapToGrid w:val="0"/>
        </w:rPr>
        <w:tab/>
        <w:t>Obstruction of officers</w:t>
      </w:r>
      <w:bookmarkEnd w:id="71"/>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72" w:name="_Toc465070323"/>
      <w:r>
        <w:rPr>
          <w:rStyle w:val="CharSectno"/>
        </w:rPr>
        <w:t>337</w:t>
      </w:r>
      <w:r>
        <w:rPr>
          <w:snapToGrid w:val="0"/>
        </w:rPr>
        <w:t>.</w:t>
      </w:r>
      <w:r>
        <w:rPr>
          <w:snapToGrid w:val="0"/>
        </w:rPr>
        <w:tab/>
        <w:t>Register of Prescribed Electrical Appliances and Register of Approved Electrical Appliances</w:t>
      </w:r>
      <w:bookmarkEnd w:id="72"/>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73" w:name="_Toc465070324"/>
      <w:r>
        <w:rPr>
          <w:rStyle w:val="CharSectno"/>
        </w:rPr>
        <w:t>338</w:t>
      </w:r>
      <w:r>
        <w:rPr>
          <w:snapToGrid w:val="0"/>
        </w:rPr>
        <w:t>.</w:t>
      </w:r>
      <w:r>
        <w:rPr>
          <w:snapToGrid w:val="0"/>
        </w:rPr>
        <w:tab/>
        <w:t>Change of address</w:t>
      </w:r>
      <w:bookmarkEnd w:id="73"/>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74" w:name="_Toc462758050"/>
      <w:bookmarkStart w:id="75" w:name="_Toc462759200"/>
      <w:bookmarkStart w:id="76" w:name="_Toc462827270"/>
      <w:bookmarkStart w:id="77" w:name="_Toc462827328"/>
      <w:bookmarkStart w:id="78" w:name="_Toc465070325"/>
      <w:r>
        <w:rPr>
          <w:rStyle w:val="CharPartNo"/>
        </w:rPr>
        <w:t>Part XI</w:t>
      </w:r>
      <w:r>
        <w:rPr>
          <w:rStyle w:val="CharDivNo"/>
        </w:rPr>
        <w:t> </w:t>
      </w:r>
      <w:r>
        <w:t>—</w:t>
      </w:r>
      <w:r>
        <w:rPr>
          <w:rStyle w:val="CharDivText"/>
        </w:rPr>
        <w:t> </w:t>
      </w:r>
      <w:r>
        <w:rPr>
          <w:rStyle w:val="CharPartText"/>
        </w:rPr>
        <w:t>Penalties and enforcement</w:t>
      </w:r>
      <w:bookmarkEnd w:id="74"/>
      <w:bookmarkEnd w:id="75"/>
      <w:bookmarkEnd w:id="76"/>
      <w:bookmarkEnd w:id="77"/>
      <w:bookmarkEnd w:id="78"/>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79" w:name="_Toc465070326"/>
      <w:r>
        <w:rPr>
          <w:rStyle w:val="CharSectno"/>
        </w:rPr>
        <w:t>340</w:t>
      </w:r>
      <w:r>
        <w:rPr>
          <w:snapToGrid w:val="0"/>
        </w:rPr>
        <w:t>.</w:t>
      </w:r>
      <w:r>
        <w:rPr>
          <w:snapToGrid w:val="0"/>
        </w:rPr>
        <w:tab/>
        <w:t>Penalties</w:t>
      </w:r>
      <w:bookmarkEnd w:id="79"/>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80" w:name="_Toc465070327"/>
      <w:r>
        <w:rPr>
          <w:rStyle w:val="CharSectno"/>
        </w:rPr>
        <w:t>341</w:t>
      </w:r>
      <w:r>
        <w:rPr>
          <w:snapToGrid w:val="0"/>
        </w:rPr>
        <w:t>.</w:t>
      </w:r>
      <w:r>
        <w:rPr>
          <w:snapToGrid w:val="0"/>
        </w:rPr>
        <w:tab/>
        <w:t>Proceedings</w:t>
      </w:r>
      <w:bookmarkEnd w:id="80"/>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81" w:name="_Toc465070328"/>
      <w:r>
        <w:rPr>
          <w:rStyle w:val="CharSectno"/>
        </w:rPr>
        <w:t>342</w:t>
      </w:r>
      <w:r>
        <w:t>.</w:t>
      </w:r>
      <w:r>
        <w:tab/>
        <w:t>Prescribed offences and modified penalties</w:t>
      </w:r>
      <w:bookmarkEnd w:id="81"/>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82" w:name="_Toc465070329"/>
      <w:r>
        <w:rPr>
          <w:rStyle w:val="CharSectno"/>
        </w:rPr>
        <w:t>343</w:t>
      </w:r>
      <w:r>
        <w:t>.</w:t>
      </w:r>
      <w:r>
        <w:tab/>
        <w:t>Authorised officers and approved officers</w:t>
      </w:r>
      <w:bookmarkEnd w:id="82"/>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83" w:name="_Toc465070330"/>
      <w:r>
        <w:rPr>
          <w:rStyle w:val="CharSectno"/>
        </w:rPr>
        <w:t>344</w:t>
      </w:r>
      <w:r>
        <w:t>.</w:t>
      </w:r>
      <w:r>
        <w:tab/>
        <w:t>Forms</w:t>
      </w:r>
      <w:bookmarkEnd w:id="83"/>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4" w:name="_Toc462758056"/>
      <w:bookmarkStart w:id="85" w:name="_Toc462759206"/>
      <w:bookmarkStart w:id="86" w:name="_Toc462827276"/>
      <w:bookmarkStart w:id="87" w:name="_Toc462827334"/>
      <w:bookmarkStart w:id="88" w:name="_Toc465070331"/>
      <w:r>
        <w:rPr>
          <w:rStyle w:val="CharSchNo"/>
        </w:rPr>
        <w:t>Schedule 1</w:t>
      </w:r>
      <w:r>
        <w:rPr>
          <w:rStyle w:val="CharSDivNo"/>
        </w:rPr>
        <w:t> </w:t>
      </w:r>
      <w:r>
        <w:t>—</w:t>
      </w:r>
      <w:r>
        <w:rPr>
          <w:rStyle w:val="CharSDivText"/>
        </w:rPr>
        <w:t> </w:t>
      </w:r>
      <w:r>
        <w:rPr>
          <w:rStyle w:val="CharSchText"/>
        </w:rPr>
        <w:t>Prescribed offences and modified penalties</w:t>
      </w:r>
      <w:bookmarkEnd w:id="84"/>
      <w:bookmarkEnd w:id="85"/>
      <w:bookmarkEnd w:id="86"/>
      <w:bookmarkEnd w:id="87"/>
      <w:bookmarkEnd w:id="88"/>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p>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in Gazette 31 Dec 2010 p. 6888-92; amended in Gazette 13 Apr 2012 p. 1649</w:t>
      </w:r>
      <w:r>
        <w:noBreakHyphen/>
        <w:t xml:space="preserve">51; 14 Apr 2015 p. 1324; 5 Aug 2015 p. 3185-6.] </w:t>
      </w:r>
    </w:p>
    <w:p>
      <w:pPr>
        <w:pStyle w:val="yFootnotesection"/>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90" w:name="_Toc462758057"/>
      <w:bookmarkStart w:id="91" w:name="_Toc462759207"/>
      <w:bookmarkStart w:id="92" w:name="_Toc462827277"/>
      <w:bookmarkStart w:id="93" w:name="_Toc462827335"/>
      <w:bookmarkStart w:id="94" w:name="_Toc465070332"/>
      <w:r>
        <w:rPr>
          <w:rStyle w:val="CharSchNo"/>
        </w:rPr>
        <w:t>Schedule 2</w:t>
      </w:r>
      <w:r>
        <w:t> — </w:t>
      </w:r>
      <w:r>
        <w:rPr>
          <w:rStyle w:val="CharSchText"/>
        </w:rPr>
        <w:t>Forms</w:t>
      </w:r>
      <w:bookmarkEnd w:id="90"/>
      <w:bookmarkEnd w:id="91"/>
      <w:bookmarkEnd w:id="92"/>
      <w:bookmarkEnd w:id="93"/>
      <w:bookmarkEnd w:id="94"/>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 amended in Gazette 5 Aug 2015 p. 3186.]</w:t>
      </w:r>
    </w:p>
    <w:p>
      <w:pPr>
        <w:pStyle w:val="CentredBaseLine"/>
        <w:spacing w:before="80"/>
        <w:jc w:val="center"/>
        <w:sectPr>
          <w:headerReference w:type="even" r:id="rId28"/>
          <w:headerReference w:type="default" r:id="rId29"/>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95" w:name="_Toc462758058"/>
      <w:bookmarkStart w:id="96" w:name="_Toc462759208"/>
      <w:bookmarkStart w:id="97" w:name="_Toc462827278"/>
      <w:bookmarkStart w:id="98" w:name="_Toc462827336"/>
      <w:bookmarkStart w:id="99" w:name="_Toc465070333"/>
      <w:r>
        <w:t>Notes</w:t>
      </w:r>
      <w:bookmarkEnd w:id="95"/>
      <w:bookmarkEnd w:id="96"/>
      <w:bookmarkEnd w:id="97"/>
      <w:bookmarkEnd w:id="98"/>
      <w:bookmarkEnd w:id="99"/>
    </w:p>
    <w:p>
      <w:pPr>
        <w:pStyle w:val="nSubsection"/>
      </w:pPr>
      <w:r>
        <w:rPr>
          <w:vertAlign w:val="superscript"/>
        </w:rPr>
        <w:t>1</w:t>
      </w:r>
      <w:r>
        <w:tab/>
        <w:t xml:space="preserve">This reprint is a compilation as at 21 October 2016 of the </w:t>
      </w:r>
      <w:r>
        <w:rPr>
          <w:i/>
        </w:rPr>
        <w:t xml:space="preserve">Electricity Regulations 1947 </w:t>
      </w:r>
      <w:r>
        <w:rPr>
          <w:snapToGrid w:val="0"/>
          <w:vertAlign w:val="superscript"/>
        </w:rPr>
        <w:t xml:space="preserve"> </w:t>
      </w:r>
      <w:r>
        <w:t>and includes the amendments made by the other written laws referred to in the following table.  The table also contains information about any reprint.</w:t>
      </w:r>
    </w:p>
    <w:p>
      <w:pPr>
        <w:pStyle w:val="nHeading3"/>
        <w:rPr>
          <w:snapToGrid w:val="0"/>
        </w:rPr>
      </w:pPr>
      <w:bookmarkStart w:id="100" w:name="_Toc465070334"/>
      <w:r>
        <w:rPr>
          <w:snapToGrid w:val="0"/>
        </w:rPr>
        <w:t>Compilation table</w:t>
      </w:r>
      <w:bookmarkEnd w:id="10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rPr>
          <w:cantSplit/>
        </w:trPr>
        <w:tc>
          <w:tcPr>
            <w:tcW w:w="3118"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rPr>
          <w:cantSplit/>
        </w:trPr>
        <w:tc>
          <w:tcPr>
            <w:tcW w:w="7087"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w:t>
            </w:r>
            <w:r>
              <w:rPr>
                <w:snapToGrid w:val="0"/>
                <w:spacing w:val="-2"/>
              </w:rPr>
              <w:fldChar w:fldCharType="begin"/>
            </w:r>
            <w:r>
              <w:rPr>
                <w:b/>
                <w:snapToGrid w:val="0"/>
                <w:spacing w:val="-2"/>
              </w:rPr>
              <w:instrText xml:space="preserve"> DOCPROPERTY ReprintNo </w:instrText>
            </w:r>
            <w:r>
              <w:rPr>
                <w:snapToGrid w:val="0"/>
                <w:spacing w:val="-2"/>
              </w:rPr>
              <w:fldChar w:fldCharType="separate"/>
            </w:r>
            <w:r>
              <w:rPr>
                <w:b/>
                <w:snapToGrid w:val="0"/>
                <w:spacing w:val="-2"/>
              </w:rPr>
              <w:t>7</w:t>
            </w:r>
            <w:r>
              <w:rPr>
                <w:snapToGrid w:val="0"/>
                <w:spacing w:val="-2"/>
              </w:rPr>
              <w:fldChar w:fldCharType="end"/>
            </w:r>
            <w:r>
              <w:rPr>
                <w:b/>
                <w:snapToGrid w:val="0"/>
                <w:spacing w:val="-2"/>
              </w:rPr>
              <w:t xml:space="preserve">: The </w:t>
            </w:r>
            <w:r>
              <w:rPr>
                <w:snapToGrid w:val="0"/>
                <w:spacing w:val="-2"/>
              </w:rPr>
              <w:fldChar w:fldCharType="begin"/>
            </w:r>
            <w:r>
              <w:rPr>
                <w:b/>
                <w:i/>
                <w:snapToGrid w:val="0"/>
                <w:spacing w:val="-2"/>
              </w:rPr>
              <w:instrText xml:space="preserve"> STYLEREF "Name of Act/Reg" </w:instrText>
            </w:r>
            <w:r>
              <w:rPr>
                <w:snapToGrid w:val="0"/>
                <w:spacing w:val="-2"/>
              </w:rPr>
              <w:fldChar w:fldCharType="separate"/>
            </w:r>
            <w:r>
              <w:rPr>
                <w:b/>
                <w:i/>
                <w:noProof/>
                <w:snapToGrid w:val="0"/>
                <w:spacing w:val="-2"/>
              </w:rPr>
              <w:t>Electricity Regulations 1947</w:t>
            </w:r>
            <w:r>
              <w:rPr>
                <w:snapToGrid w:val="0"/>
                <w:spacing w:val="-2"/>
              </w:rPr>
              <w:fldChar w:fldCharType="end"/>
            </w:r>
            <w:r>
              <w:rPr>
                <w:b/>
                <w:snapToGrid w:val="0"/>
                <w:spacing w:val="-2"/>
              </w:rPr>
              <w:t xml:space="preserve"> as at </w:t>
            </w:r>
            <w:r>
              <w:rPr>
                <w:snapToGrid w:val="0"/>
                <w:spacing w:val="-2"/>
              </w:rPr>
              <w:fldChar w:fldCharType="begin"/>
            </w:r>
            <w:r>
              <w:rPr>
                <w:b/>
                <w:snapToGrid w:val="0"/>
                <w:spacing w:val="-2"/>
              </w:rPr>
              <w:instrText xml:space="preserve"> DOCPROPERTY "ReprintedAsAt" \@ "d MMM yyyy" </w:instrText>
            </w:r>
            <w:r>
              <w:rPr>
                <w:snapToGrid w:val="0"/>
                <w:spacing w:val="-2"/>
              </w:rPr>
              <w:fldChar w:fldCharType="separate"/>
            </w:r>
            <w:r>
              <w:rPr>
                <w:b/>
                <w:snapToGrid w:val="0"/>
                <w:spacing w:val="-2"/>
              </w:rPr>
              <w:t>21 Oct 2016</w:t>
            </w:r>
            <w:r>
              <w:rPr>
                <w:snapToGrid w:val="0"/>
                <w:spacing w:val="-2"/>
              </w:rPr>
              <w:fldChar w:fldCharType="end"/>
            </w:r>
            <w:r>
              <w:rPr>
                <w:snapToGrid w:val="0"/>
                <w:spacing w:val="-2"/>
              </w:rP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02" w:name="_Toc462758060"/>
      <w:bookmarkStart w:id="103" w:name="_Toc462759210"/>
      <w:bookmarkStart w:id="104" w:name="_Toc462827280"/>
      <w:bookmarkStart w:id="105" w:name="_Toc462827338"/>
      <w:bookmarkStart w:id="106" w:name="_Toc465070335"/>
      <w:r>
        <w:rPr>
          <w:sz w:val="28"/>
        </w:rPr>
        <w:t>Defined terms</w:t>
      </w:r>
      <w:bookmarkEnd w:id="102"/>
      <w:bookmarkEnd w:id="103"/>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 xml:space="preserve">conductors </w:t>
      </w:r>
      <w:r>
        <w:tab/>
        <w:t>316A(5)(a)</w:t>
      </w:r>
    </w:p>
    <w:p>
      <w:pPr>
        <w:pStyle w:val="DefinedTerms"/>
      </w:pPr>
      <w:r>
        <w:t>duly constituted authority in another State of the Commonwealth</w:t>
      </w:r>
      <w:r>
        <w:tab/>
        <w:t>321</w:t>
      </w:r>
    </w:p>
    <w:p>
      <w:pPr>
        <w:pStyle w:val="DefinedTerms"/>
      </w:pPr>
      <w:r>
        <w:t>inspection plan</w:t>
      </w:r>
      <w:r>
        <w:tab/>
        <w:t>242(1A)</w:t>
      </w:r>
    </w:p>
    <w:p>
      <w:pPr>
        <w:pStyle w:val="DefinedTerms"/>
      </w:pPr>
      <w:r>
        <w:t>installed</w:t>
      </w:r>
      <w:r>
        <w:tab/>
        <w:t>12</w:t>
      </w:r>
    </w:p>
    <w:p>
      <w:pPr>
        <w:pStyle w:val="DefinedTerms"/>
      </w:pPr>
      <w:r>
        <w:t>network</w:t>
      </w:r>
      <w:r>
        <w:tab/>
        <w:t>241(2)</w:t>
      </w:r>
    </w:p>
    <w:p>
      <w:pPr>
        <w:pStyle w:val="DefinedTerms"/>
      </w:pPr>
      <w:r>
        <w:t>network operator</w:t>
      </w:r>
      <w:r>
        <w:tab/>
        <w:t>241(1), 241(3)</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316A(5)(a)</w:t>
      </w:r>
    </w:p>
    <w:p>
      <w:pPr>
        <w:pStyle w:val="DefinedTerms"/>
      </w:pPr>
      <w:r>
        <w:t>post</w:t>
      </w:r>
      <w:r>
        <w:noBreakHyphen/>
        <w:t>transfer period,</w:t>
      </w:r>
      <w:r>
        <w:tab/>
        <w:t>15A(1)</w:t>
      </w:r>
    </w:p>
    <w:p>
      <w:pPr>
        <w:pStyle w:val="DefinedTerms"/>
      </w:pPr>
      <w:r>
        <w:t>prior owner</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transferred residential premises</w:t>
      </w:r>
      <w:r>
        <w:tab/>
        <w:t>12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DN89QIAAIE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DlgM3z1&#10;AgAAgQYAAA4AAAAAAAAAAAAAAAAALgIAAGRycy9lMm9Eb2MueG1sUEsBAi0AFAAGAAgAAAAhADvR&#10;zUDcAAAABAEAAA8AAAAAAAAAAAAAAAAATwUAAGRycy9kb3ducmV2LnhtbFBLBQYAAAAABAAEAPMA&#10;AABYBgAAAAA=&#10;" stroked="f" strokeweight=".5pt">
                <v:textbox>
                  <w:txbxContent>
                    <w:p w:rsidR="00770A35" w:rsidRDefault="00770A35">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lvlText w:val="%1."/>
      <w:lvlJc w:val="left"/>
      <w:pPr>
        <w:tabs>
          <w:tab w:val="num" w:pos="1800"/>
        </w:tabs>
        <w:ind w:left="1800" w:hanging="360"/>
      </w:pPr>
    </w:lvl>
  </w:abstractNum>
  <w:abstractNum w:abstractNumId="1">
    <w:nsid w:val="FFFFFF7D"/>
    <w:multiLevelType w:val="singleLevel"/>
    <w:tmpl w:val="50484490"/>
    <w:lvl w:ilvl="0">
      <w:start w:val="1"/>
      <w:numFmt w:val="decimal"/>
      <w:lvlText w:val="%1."/>
      <w:lvlJc w:val="left"/>
      <w:pPr>
        <w:tabs>
          <w:tab w:val="num" w:pos="1440"/>
        </w:tabs>
        <w:ind w:left="1440" w:hanging="360"/>
      </w:pPr>
    </w:lvl>
  </w:abstractNum>
  <w:abstractNum w:abstractNumId="2">
    <w:nsid w:val="FFFFFF7E"/>
    <w:multiLevelType w:val="singleLevel"/>
    <w:tmpl w:val="BC60454E"/>
    <w:lvl w:ilvl="0">
      <w:start w:val="1"/>
      <w:numFmt w:val="decimal"/>
      <w:lvlText w:val="%1."/>
      <w:lvlJc w:val="left"/>
      <w:pPr>
        <w:tabs>
          <w:tab w:val="num" w:pos="1080"/>
        </w:tabs>
        <w:ind w:left="1080" w:hanging="360"/>
      </w:pPr>
    </w:lvl>
  </w:abstractNum>
  <w:abstractNum w:abstractNumId="3">
    <w:nsid w:val="FFFFFF7F"/>
    <w:multiLevelType w:val="singleLevel"/>
    <w:tmpl w:val="3ACC0448"/>
    <w:lvl w:ilvl="0">
      <w:start w:val="1"/>
      <w:numFmt w:val="decimal"/>
      <w:lvlText w:val="%1."/>
      <w:lvlJc w:val="left"/>
      <w:pPr>
        <w:tabs>
          <w:tab w:val="num" w:pos="720"/>
        </w:tabs>
        <w:ind w:left="720" w:hanging="360"/>
      </w:pPr>
    </w:lvl>
  </w:abstractNum>
  <w:abstractNum w:abstractNumId="4">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lvlText w:val="%1."/>
      <w:lvlJc w:val="left"/>
      <w:pPr>
        <w:tabs>
          <w:tab w:val="num" w:pos="360"/>
        </w:tabs>
        <w:ind w:left="360" w:hanging="360"/>
      </w:pPr>
    </w:lvl>
  </w:abstractNum>
  <w:abstractNum w:abstractNumId="9">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7160720"/>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69EEA-F88F-4EE3-AA18-9E47AAC05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14752</Words>
  <Characters>72875</Characters>
  <Application>Microsoft Office Word</Application>
  <DocSecurity>0</DocSecurity>
  <Lines>2602</Lines>
  <Paragraphs>1413</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1947 - 07-00-01</dc:title>
  <dc:subject/>
  <dc:creator/>
  <cp:keywords/>
  <dc:description/>
  <cp:lastModifiedBy>svcMRProcess</cp:lastModifiedBy>
  <cp:revision>4</cp:revision>
  <cp:lastPrinted>2016-10-24T03:11:00Z</cp:lastPrinted>
  <dcterms:created xsi:type="dcterms:W3CDTF">2020-03-07T19:09:00Z</dcterms:created>
  <dcterms:modified xsi:type="dcterms:W3CDTF">2020-03-07T19:09:00Z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AsAtDate">
    <vt:lpwstr>21 Oct 2016</vt:lpwstr>
  </property>
  <property fmtid="{D5CDD505-2E9C-101B-9397-08002B2CF9AE}" pid="6" name="Suffix">
    <vt:lpwstr>07-00-01</vt:lpwstr>
  </property>
  <property fmtid="{D5CDD505-2E9C-101B-9397-08002B2CF9AE}" pid="7" name="ReprintedAsAt">
    <vt:filetime>2016-10-20T16:00:00Z</vt:filetime>
  </property>
  <property fmtid="{D5CDD505-2E9C-101B-9397-08002B2CF9AE}" pid="8" name="ReprintNo">
    <vt:lpwstr>7</vt:lpwstr>
  </property>
  <property fmtid="{D5CDD505-2E9C-101B-9397-08002B2CF9AE}" pid="9" name="CommencementDate">
    <vt:lpwstr>20161021</vt:lpwstr>
  </property>
</Properties>
</file>