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Conservation and Land Management Act 1984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Conservation and Land Management Regulations 2002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21 October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Conservation and Land Management Regulations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_Toc462045283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_Toc462045284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_Toc462045285 \h </w:instrText>
      </w:r>
      <w:r>
        <w:fldChar w:fldCharType="separate"/>
      </w:r>
      <w:r>
        <w:t>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Lawful authority</w:t>
      </w:r>
      <w:r>
        <w:tab/>
      </w:r>
      <w:r>
        <w:fldChar w:fldCharType="begin"/>
      </w:r>
      <w:r>
        <w:instrText xml:space="preserve"> PAGEREF _Toc462045286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Restricted areas</w:t>
      </w:r>
      <w:r>
        <w:tab/>
      </w:r>
      <w:r>
        <w:fldChar w:fldCharType="begin"/>
      </w:r>
      <w:r>
        <w:instrText xml:space="preserve"> PAGEREF _Toc462045287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Designated areas</w:t>
      </w:r>
      <w:r>
        <w:tab/>
      </w:r>
      <w:r>
        <w:fldChar w:fldCharType="begin"/>
      </w:r>
      <w:r>
        <w:instrText xml:space="preserve"> PAGEREF _Toc462045288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Protection of the environment</w:t>
      </w:r>
    </w:p>
    <w:p>
      <w:pPr>
        <w:pStyle w:val="TOC4"/>
        <w:tabs>
          <w:tab w:val="right" w:leader="dot" w:pos="7077"/>
        </w:tabs>
        <w:rPr>
          <w:rFonts w:asciiTheme="minorHAnsi" w:eastAsiaTheme="minorEastAsia" w:hAnsiTheme="minorHAnsi" w:cstheme="minorBidi"/>
          <w:b w:val="0"/>
          <w:szCs w:val="22"/>
        </w:rPr>
      </w:pPr>
      <w:r>
        <w:t>Division 1 — Protection of flora and fauna</w:t>
      </w:r>
    </w:p>
    <w:p>
      <w:pPr>
        <w:pStyle w:val="TOC8"/>
        <w:rPr>
          <w:rFonts w:asciiTheme="minorHAnsi" w:eastAsiaTheme="minorEastAsia" w:hAnsiTheme="minorHAnsi" w:cstheme="minorBidi"/>
          <w:szCs w:val="22"/>
        </w:rPr>
      </w:pPr>
      <w:r>
        <w:t>7.</w:t>
      </w:r>
      <w:r>
        <w:tab/>
        <w:t>Limitation on restriction</w:t>
      </w:r>
      <w:r>
        <w:tab/>
      </w:r>
      <w:r>
        <w:fldChar w:fldCharType="begin"/>
      </w:r>
      <w:r>
        <w:instrText xml:space="preserve"> PAGEREF _Toc462045291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Unlawful taking of flora and fauna other than fish</w:t>
      </w:r>
      <w:r>
        <w:tab/>
      </w:r>
      <w:r>
        <w:fldChar w:fldCharType="begin"/>
      </w:r>
      <w:r>
        <w:instrText xml:space="preserve"> PAGEREF _Toc462045292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Fishing in restricted areas</w:t>
      </w:r>
      <w:r>
        <w:tab/>
      </w:r>
      <w:r>
        <w:fldChar w:fldCharType="begin"/>
      </w:r>
      <w:r>
        <w:instrText xml:space="preserve"> PAGEREF _Toc462045293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Feeding of fauna</w:t>
      </w:r>
      <w:r>
        <w:tab/>
      </w:r>
      <w:r>
        <w:fldChar w:fldCharType="begin"/>
      </w:r>
      <w:r>
        <w:instrText xml:space="preserve"> PAGEREF _Toc462045294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Restrictions on approaching certain marine fauna</w:t>
      </w:r>
      <w:r>
        <w:tab/>
      </w:r>
      <w:r>
        <w:fldChar w:fldCharType="begin"/>
      </w:r>
      <w:r>
        <w:instrText xml:space="preserve"> PAGEREF _Toc462045295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Possession or use of firearms, spears, restricted devices etc.</w:t>
      </w:r>
      <w:r>
        <w:tab/>
      </w:r>
      <w:r>
        <w:fldChar w:fldCharType="begin"/>
      </w:r>
      <w:r>
        <w:instrText xml:space="preserve"> PAGEREF _Toc462045296 \h </w:instrText>
      </w:r>
      <w:r>
        <w:fldChar w:fldCharType="separate"/>
      </w:r>
      <w:r>
        <w:t>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Cultivation etc. prohibited</w:t>
      </w:r>
      <w:r>
        <w:tab/>
      </w:r>
      <w:r>
        <w:fldChar w:fldCharType="begin"/>
      </w:r>
      <w:r>
        <w:instrText xml:space="preserve"> PAGEREF _Toc462045297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Removal of plants</w:t>
      </w:r>
      <w:r>
        <w:tab/>
      </w:r>
      <w:r>
        <w:fldChar w:fldCharType="begin"/>
      </w:r>
      <w:r>
        <w:instrText xml:space="preserve"> PAGEREF _Toc462045298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Animals on CALM land</w:t>
      </w:r>
    </w:p>
    <w:p>
      <w:pPr>
        <w:pStyle w:val="TOC8"/>
        <w:rPr>
          <w:rFonts w:asciiTheme="minorHAnsi" w:eastAsiaTheme="minorEastAsia" w:hAnsiTheme="minorHAnsi" w:cstheme="minorBidi"/>
          <w:szCs w:val="22"/>
        </w:rPr>
      </w:pPr>
      <w:r>
        <w:t>15</w:t>
      </w:r>
      <w:r>
        <w:rPr>
          <w:snapToGrid w:val="0"/>
        </w:rPr>
        <w:t>.</w:t>
      </w:r>
      <w:r>
        <w:rPr>
          <w:snapToGrid w:val="0"/>
        </w:rPr>
        <w:tab/>
        <w:t>Bringing animal on to CALM land</w:t>
      </w:r>
      <w:r>
        <w:tab/>
      </w:r>
      <w:r>
        <w:fldChar w:fldCharType="begin"/>
      </w:r>
      <w:r>
        <w:instrText xml:space="preserve"> PAGEREF _Toc462045300 \h </w:instrText>
      </w:r>
      <w:r>
        <w:fldChar w:fldCharType="separate"/>
      </w:r>
      <w:r>
        <w:t>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Dogs on CALM land</w:t>
      </w:r>
      <w:r>
        <w:tab/>
      </w:r>
      <w:r>
        <w:fldChar w:fldCharType="begin"/>
      </w:r>
      <w:r>
        <w:instrText xml:space="preserve"> PAGEREF _Toc462045301 \h </w:instrText>
      </w:r>
      <w:r>
        <w:fldChar w:fldCharType="separate"/>
      </w:r>
      <w:r>
        <w:t>14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Horses on CALM land</w:t>
      </w:r>
      <w:r>
        <w:tab/>
      </w:r>
      <w:r>
        <w:fldChar w:fldCharType="begin"/>
      </w:r>
      <w:r>
        <w:instrText xml:space="preserve"> PAGEREF _Toc462045302 \h </w:instrText>
      </w:r>
      <w:r>
        <w:fldChar w:fldCharType="separate"/>
      </w:r>
      <w:r>
        <w:t>14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Unlawful taking of non</w:t>
      </w:r>
      <w:r>
        <w:rPr>
          <w:snapToGrid w:val="0"/>
        </w:rPr>
        <w:noBreakHyphen/>
        <w:t>indigenous animals</w:t>
      </w:r>
      <w:r>
        <w:tab/>
      </w:r>
      <w:r>
        <w:fldChar w:fldCharType="begin"/>
      </w:r>
      <w:r>
        <w:instrText xml:space="preserve"> PAGEREF _Toc462045303 \h </w:instrText>
      </w:r>
      <w:r>
        <w:fldChar w:fldCharType="separate"/>
      </w:r>
      <w:r>
        <w:t>15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Removal of animal by owner or person in charge</w:t>
      </w:r>
      <w:r>
        <w:tab/>
      </w:r>
      <w:r>
        <w:fldChar w:fldCharType="begin"/>
      </w:r>
      <w:r>
        <w:instrText xml:space="preserve"> PAGEREF _Toc462045304 \h </w:instrText>
      </w:r>
      <w:r>
        <w:fldChar w:fldCharType="separate"/>
      </w:r>
      <w:r>
        <w:t>15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Removal of animals by authorised officer</w:t>
      </w:r>
      <w:r>
        <w:tab/>
      </w:r>
      <w:r>
        <w:fldChar w:fldCharType="begin"/>
      </w:r>
      <w:r>
        <w:instrText xml:space="preserve"> PAGEREF _Toc462045305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Pollution and litter</w:t>
      </w:r>
    </w:p>
    <w:p>
      <w:pPr>
        <w:pStyle w:val="TOC8"/>
        <w:rPr>
          <w:rFonts w:asciiTheme="minorHAnsi" w:eastAsiaTheme="minorEastAsia" w:hAnsiTheme="minorHAnsi" w:cstheme="minorBidi"/>
          <w:szCs w:val="22"/>
        </w:rPr>
      </w:pPr>
      <w:r>
        <w:t>21</w:t>
      </w:r>
      <w:r>
        <w:rPr>
          <w:snapToGrid w:val="0"/>
        </w:rPr>
        <w:t>.</w:t>
      </w:r>
      <w:r>
        <w:rPr>
          <w:snapToGrid w:val="0"/>
        </w:rPr>
        <w:tab/>
        <w:t>Discharging or depositing waste</w:t>
      </w:r>
      <w:r>
        <w:tab/>
      </w:r>
      <w:r>
        <w:fldChar w:fldCharType="begin"/>
      </w:r>
      <w:r>
        <w:instrText xml:space="preserve"> PAGEREF _Toc462045307 \h </w:instrText>
      </w:r>
      <w:r>
        <w:fldChar w:fldCharType="separate"/>
      </w:r>
      <w:r>
        <w:t>15</w:t>
      </w:r>
      <w:r>
        <w:fldChar w:fldCharType="end"/>
      </w:r>
    </w:p>
    <w:p>
      <w:pPr>
        <w:pStyle w:val="TOC8"/>
        <w:rPr>
          <w:rFonts w:asciiTheme="minorHAnsi" w:eastAsiaTheme="minorEastAsia" w:hAnsiTheme="minorHAnsi" w:cstheme="minorBidi"/>
          <w:szCs w:val="22"/>
        </w:rPr>
      </w:pPr>
      <w:r>
        <w:t>22.</w:t>
      </w:r>
      <w:r>
        <w:tab/>
        <w:t>Painting or treating vessels</w:t>
      </w:r>
      <w:r>
        <w:tab/>
      </w:r>
      <w:r>
        <w:fldChar w:fldCharType="begin"/>
      </w:r>
      <w:r>
        <w:instrText xml:space="preserve"> PAGEREF _Toc462045308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Pollution of water supply</w:t>
      </w:r>
      <w:r>
        <w:tab/>
      </w:r>
      <w:r>
        <w:fldChar w:fldCharType="begin"/>
      </w:r>
      <w:r>
        <w:instrText xml:space="preserve"> PAGEREF _Toc462045309 \h </w:instrText>
      </w:r>
      <w:r>
        <w:fldChar w:fldCharType="separate"/>
      </w:r>
      <w:r>
        <w:t>16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Litter</w:t>
      </w:r>
      <w:r>
        <w:tab/>
      </w:r>
      <w:r>
        <w:fldChar w:fldCharType="begin"/>
      </w:r>
      <w:r>
        <w:instrText xml:space="preserve"> PAGEREF _Toc462045310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Building materials and other matter</w:t>
      </w:r>
      <w:r>
        <w:tab/>
      </w:r>
      <w:r>
        <w:fldChar w:fldCharType="begin"/>
      </w:r>
      <w:r>
        <w:instrText xml:space="preserve"> PAGEREF _Toc462045311 \h </w:instrText>
      </w:r>
      <w:r>
        <w:fldChar w:fldCharType="separate"/>
      </w:r>
      <w:r>
        <w:t>18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Glass in restricted areas</w:t>
      </w:r>
      <w:r>
        <w:tab/>
      </w:r>
      <w:r>
        <w:fldChar w:fldCharType="begin"/>
      </w:r>
      <w:r>
        <w:instrText xml:space="preserve"> PAGEREF _Toc462045312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Removal of litter etc.</w:t>
      </w:r>
      <w:r>
        <w:tab/>
      </w:r>
      <w:r>
        <w:fldChar w:fldCharType="begin"/>
      </w:r>
      <w:r>
        <w:instrText xml:space="preserve"> PAGEREF _Toc462045313 \h </w:instrText>
      </w:r>
      <w:r>
        <w:fldChar w:fldCharType="separate"/>
      </w:r>
      <w:r>
        <w:t>18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Cleaning, scaling etc. fish</w:t>
      </w:r>
      <w:r>
        <w:tab/>
      </w:r>
      <w:r>
        <w:fldChar w:fldCharType="begin"/>
      </w:r>
      <w:r>
        <w:instrText xml:space="preserve"> PAGEREF _Toc462045314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Fires and smoking in caves</w:t>
      </w:r>
      <w:r>
        <w:tab/>
      </w:r>
      <w:r>
        <w:fldChar w:fldCharType="begin"/>
      </w:r>
      <w:r>
        <w:instrText xml:space="preserve"> PAGEREF _Toc462045315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Disturbance of the landscape</w:t>
      </w:r>
    </w:p>
    <w:p>
      <w:pPr>
        <w:pStyle w:val="TOC8"/>
        <w:rPr>
          <w:rFonts w:asciiTheme="minorHAnsi" w:eastAsiaTheme="minorEastAsia" w:hAnsiTheme="minorHAnsi" w:cstheme="minorBidi"/>
          <w:szCs w:val="22"/>
        </w:rPr>
      </w:pPr>
      <w:r>
        <w:t>30</w:t>
      </w:r>
      <w:r>
        <w:rPr>
          <w:snapToGrid w:val="0"/>
        </w:rPr>
        <w:t>.</w:t>
      </w:r>
      <w:r>
        <w:rPr>
          <w:snapToGrid w:val="0"/>
        </w:rPr>
        <w:tab/>
        <w:t>Water</w:t>
      </w:r>
      <w:r>
        <w:tab/>
      </w:r>
      <w:r>
        <w:fldChar w:fldCharType="begin"/>
      </w:r>
      <w:r>
        <w:instrText xml:space="preserve"> PAGEREF _Toc462045317 \h </w:instrText>
      </w:r>
      <w:r>
        <w:fldChar w:fldCharType="separate"/>
      </w:r>
      <w:r>
        <w:t>19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Damage etc. to naturally occurring features</w:t>
      </w:r>
      <w:r>
        <w:tab/>
      </w:r>
      <w:r>
        <w:fldChar w:fldCharType="begin"/>
      </w:r>
      <w:r>
        <w:instrText xml:space="preserve"> PAGEREF _Toc462045318 \h </w:instrText>
      </w:r>
      <w:r>
        <w:fldChar w:fldCharType="separate"/>
      </w:r>
      <w:r>
        <w:t>20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Sandboarding</w:t>
      </w:r>
      <w:r>
        <w:tab/>
      </w:r>
      <w:r>
        <w:fldChar w:fldCharType="begin"/>
      </w:r>
      <w:r>
        <w:instrText xml:space="preserve"> PAGEREF _Toc462045319 \h </w:instrText>
      </w:r>
      <w:r>
        <w:fldChar w:fldCharType="separate"/>
      </w:r>
      <w:r>
        <w:t>21</w:t>
      </w:r>
      <w:r>
        <w:fldChar w:fldCharType="end"/>
      </w:r>
    </w:p>
    <w:p>
      <w:pPr>
        <w:pStyle w:val="TOC8"/>
        <w:rPr>
          <w:rFonts w:asciiTheme="minorHAnsi" w:eastAsiaTheme="minorEastAsia" w:hAnsiTheme="minorHAnsi" w:cstheme="minorBidi"/>
          <w:szCs w:val="22"/>
        </w:rPr>
      </w:pPr>
      <w:r>
        <w:t>33.</w:t>
      </w:r>
      <w:r>
        <w:tab/>
        <w:t>Abseiling</w:t>
      </w:r>
      <w:r>
        <w:tab/>
      </w:r>
      <w:r>
        <w:fldChar w:fldCharType="begin"/>
      </w:r>
      <w:r>
        <w:instrText xml:space="preserve"> PAGEREF _Toc462045320 \h </w:instrText>
      </w:r>
      <w:r>
        <w:fldChar w:fldCharType="separate"/>
      </w:r>
      <w:r>
        <w:t>21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Unauthorised buildings etc.</w:t>
      </w:r>
      <w:r>
        <w:tab/>
      </w:r>
      <w:r>
        <w:fldChar w:fldCharType="begin"/>
      </w:r>
      <w:r>
        <w:instrText xml:space="preserve"> PAGEREF _Toc462045321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Unauthorised clearing</w:t>
      </w:r>
      <w:r>
        <w:tab/>
      </w:r>
      <w:r>
        <w:fldChar w:fldCharType="begin"/>
      </w:r>
      <w:r>
        <w:instrText xml:space="preserve"> PAGEREF _Toc462045322 \h </w:instrText>
      </w:r>
      <w:r>
        <w:fldChar w:fldCharType="separate"/>
      </w:r>
      <w:r>
        <w:t>22</w:t>
      </w:r>
      <w:r>
        <w:fldChar w:fldCharType="end"/>
      </w:r>
    </w:p>
    <w:p>
      <w:pPr>
        <w:pStyle w:val="TOC8"/>
        <w:rPr>
          <w:rFonts w:asciiTheme="minorHAnsi" w:eastAsiaTheme="minorEastAsia" w:hAnsiTheme="minorHAnsi" w:cstheme="minorBidi"/>
          <w:szCs w:val="22"/>
        </w:rPr>
      </w:pPr>
      <w:r>
        <w:t>35A.</w:t>
      </w:r>
      <w:r>
        <w:tab/>
        <w:t>Quarrying, removing or disturbing soil etc.</w:t>
      </w:r>
      <w:r>
        <w:tab/>
      </w:r>
      <w:r>
        <w:fldChar w:fldCharType="begin"/>
      </w:r>
      <w:r>
        <w:instrText xml:space="preserve"> PAGEREF _Toc462045323 \h </w:instrText>
      </w:r>
      <w:r>
        <w:fldChar w:fldCharType="separate"/>
      </w:r>
      <w:r>
        <w:t>22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Dumping</w:t>
      </w:r>
      <w:r>
        <w:tab/>
      </w:r>
      <w:r>
        <w:fldChar w:fldCharType="begin"/>
      </w:r>
      <w:r>
        <w:instrText xml:space="preserve"> PAGEREF _Toc462045324 \h </w:instrText>
      </w:r>
      <w:r>
        <w:fldChar w:fldCharType="separate"/>
      </w:r>
      <w:r>
        <w:t>23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Damage to property</w:t>
      </w:r>
      <w:r>
        <w:tab/>
      </w:r>
      <w:r>
        <w:fldChar w:fldCharType="begin"/>
      </w:r>
      <w:r>
        <w:instrText xml:space="preserve"> PAGEREF _Toc462045325 \h </w:instrText>
      </w:r>
      <w:r>
        <w:fldChar w:fldCharType="separate"/>
      </w:r>
      <w:r>
        <w:t>23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Unauthorised signs</w:t>
      </w:r>
      <w:r>
        <w:tab/>
      </w:r>
      <w:r>
        <w:fldChar w:fldCharType="begin"/>
      </w:r>
      <w:r>
        <w:instrText xml:space="preserve"> PAGEREF _Toc462045326 \h </w:instrText>
      </w:r>
      <w:r>
        <w:fldChar w:fldCharType="separate"/>
      </w:r>
      <w:r>
        <w:t>23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Unlawful lighting of campfires etc.</w:t>
      </w:r>
      <w:r>
        <w:tab/>
      </w:r>
      <w:r>
        <w:fldChar w:fldCharType="begin"/>
      </w:r>
      <w:r>
        <w:instrText xml:space="preserve"> PAGEREF _Toc462045327 \h </w:instrText>
      </w:r>
      <w:r>
        <w:fldChar w:fldCharType="separate"/>
      </w:r>
      <w:r>
        <w:t>24</w:t>
      </w:r>
      <w:r>
        <w:fldChar w:fldCharType="end"/>
      </w:r>
    </w:p>
    <w:p>
      <w:pPr>
        <w:pStyle w:val="TOC8"/>
        <w:rPr>
          <w:rFonts w:asciiTheme="minorHAnsi" w:eastAsiaTheme="minorEastAsia" w:hAnsiTheme="minorHAnsi" w:cstheme="minorBidi"/>
          <w:szCs w:val="22"/>
        </w:rPr>
      </w:pPr>
      <w:r>
        <w:t>40.</w:t>
      </w:r>
      <w:r>
        <w:tab/>
        <w:t>Extinguishment of camp fires, barbeques and portable stoves</w:t>
      </w:r>
      <w:r>
        <w:tab/>
      </w:r>
      <w:r>
        <w:fldChar w:fldCharType="begin"/>
      </w:r>
      <w:r>
        <w:instrText xml:space="preserve"> PAGEREF _Toc462045328 \h </w:instrText>
      </w:r>
      <w:r>
        <w:fldChar w:fldCharType="separate"/>
      </w:r>
      <w:r>
        <w:t>25</w:t>
      </w:r>
      <w:r>
        <w:fldChar w:fldCharType="end"/>
      </w:r>
    </w:p>
    <w:p>
      <w:pPr>
        <w:pStyle w:val="TOC8"/>
        <w:rPr>
          <w:rFonts w:asciiTheme="minorHAnsi" w:eastAsiaTheme="minorEastAsia" w:hAnsiTheme="minorHAnsi" w:cstheme="minorBidi"/>
          <w:szCs w:val="22"/>
        </w:rPr>
      </w:pPr>
      <w:r>
        <w:t>40A.</w:t>
      </w:r>
      <w:r>
        <w:tab/>
        <w:t>Unlawful lighting of fires — only one conviction</w:t>
      </w:r>
      <w:r>
        <w:tab/>
      </w:r>
      <w:r>
        <w:fldChar w:fldCharType="begin"/>
      </w:r>
      <w:r>
        <w:instrText xml:space="preserve"> PAGEREF _Toc462045329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3 — Access to CALM land</w:t>
      </w:r>
    </w:p>
    <w:p>
      <w:pPr>
        <w:pStyle w:val="TOC4"/>
        <w:tabs>
          <w:tab w:val="right" w:leader="dot" w:pos="7077"/>
        </w:tabs>
        <w:rPr>
          <w:rFonts w:asciiTheme="minorHAnsi" w:eastAsiaTheme="minorEastAsia" w:hAnsiTheme="minorHAnsi" w:cstheme="minorBidi"/>
          <w:b w:val="0"/>
          <w:szCs w:val="22"/>
        </w:rPr>
      </w:pPr>
      <w:r>
        <w:t>Division 1</w:t>
      </w:r>
      <w:r>
        <w:rPr>
          <w:snapToGrid w:val="0"/>
        </w:rPr>
        <w:t xml:space="preserve"> — </w:t>
      </w:r>
      <w:r>
        <w:t>General</w:t>
      </w:r>
    </w:p>
    <w:p>
      <w:pPr>
        <w:pStyle w:val="TOC8"/>
        <w:rPr>
          <w:rFonts w:asciiTheme="minorHAnsi" w:eastAsiaTheme="minorEastAsia" w:hAnsiTheme="minorHAnsi" w:cstheme="minorBidi"/>
          <w:szCs w:val="22"/>
        </w:rPr>
      </w:pPr>
      <w:r>
        <w:t>41</w:t>
      </w:r>
      <w:r>
        <w:rPr>
          <w:snapToGrid w:val="0"/>
        </w:rPr>
        <w:t>.</w:t>
      </w:r>
      <w:r>
        <w:rPr>
          <w:snapToGrid w:val="0"/>
        </w:rPr>
        <w:tab/>
        <w:t>Access to certain classified areas</w:t>
      </w:r>
      <w:r>
        <w:tab/>
      </w:r>
      <w:r>
        <w:fldChar w:fldCharType="begin"/>
      </w:r>
      <w:r>
        <w:instrText xml:space="preserve"> PAGEREF _Toc462045332 \h </w:instrText>
      </w:r>
      <w:r>
        <w:fldChar w:fldCharType="separate"/>
      </w:r>
      <w:r>
        <w:t>27</w:t>
      </w:r>
      <w:r>
        <w:fldChar w:fldCharType="end"/>
      </w:r>
    </w:p>
    <w:p>
      <w:pPr>
        <w:pStyle w:val="TOC8"/>
        <w:rPr>
          <w:rFonts w:asciiTheme="minorHAnsi" w:eastAsiaTheme="minorEastAsia" w:hAnsiTheme="minorHAnsi" w:cstheme="minorBidi"/>
          <w:szCs w:val="22"/>
        </w:rPr>
      </w:pPr>
      <w:r>
        <w:t>42.</w:t>
      </w:r>
      <w:r>
        <w:tab/>
        <w:t>Access to limited access areas</w:t>
      </w:r>
      <w:r>
        <w:tab/>
      </w:r>
      <w:r>
        <w:fldChar w:fldCharType="begin"/>
      </w:r>
      <w:r>
        <w:instrText xml:space="preserve"> PAGEREF _Toc462045333 \h </w:instrText>
      </w:r>
      <w:r>
        <w:fldChar w:fldCharType="separate"/>
      </w:r>
      <w:r>
        <w:t>27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Access to wilderness areas (Act s. 62(1)(a))</w:t>
      </w:r>
      <w:r>
        <w:tab/>
      </w:r>
      <w:r>
        <w:fldChar w:fldCharType="begin"/>
      </w:r>
      <w:r>
        <w:instrText xml:space="preserve"> PAGEREF _Toc462045334 \h </w:instrText>
      </w:r>
      <w:r>
        <w:fldChar w:fldCharType="separate"/>
      </w:r>
      <w:r>
        <w:t>27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Direction to close area</w:t>
      </w:r>
      <w:r>
        <w:tab/>
      </w:r>
      <w:r>
        <w:fldChar w:fldCharType="begin"/>
      </w:r>
      <w:r>
        <w:instrText xml:space="preserve"> PAGEREF _Toc462045335 \h </w:instrText>
      </w:r>
      <w:r>
        <w:fldChar w:fldCharType="separate"/>
      </w:r>
      <w:r>
        <w:t>28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Closed area</w:t>
      </w:r>
      <w:r>
        <w:tab/>
      </w:r>
      <w:r>
        <w:fldChar w:fldCharType="begin"/>
      </w:r>
      <w:r>
        <w:instrText xml:space="preserve"> PAGEREF _Toc462045336 \h </w:instrText>
      </w:r>
      <w:r>
        <w:fldChar w:fldCharType="separate"/>
      </w:r>
      <w:r>
        <w:t>28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Offences relating to closed areas</w:t>
      </w:r>
      <w:r>
        <w:tab/>
      </w:r>
      <w:r>
        <w:fldChar w:fldCharType="begin"/>
      </w:r>
      <w:r>
        <w:instrText xml:space="preserve"> PAGEREF _Toc462045337 \h </w:instrText>
      </w:r>
      <w:r>
        <w:fldChar w:fldCharType="separate"/>
      </w:r>
      <w:r>
        <w:t>29</w:t>
      </w:r>
      <w:r>
        <w:fldChar w:fldCharType="end"/>
      </w:r>
    </w:p>
    <w:p>
      <w:pPr>
        <w:pStyle w:val="TOC8"/>
        <w:rPr>
          <w:rFonts w:asciiTheme="minorHAnsi" w:eastAsiaTheme="minorEastAsia" w:hAnsiTheme="minorHAnsi" w:cstheme="minorBidi"/>
          <w:szCs w:val="22"/>
        </w:rPr>
      </w:pPr>
      <w:r>
        <w:t>47.</w:t>
      </w:r>
      <w:r>
        <w:tab/>
        <w:t>Entering CALM land via gates etc.</w:t>
      </w:r>
      <w:r>
        <w:tab/>
      </w:r>
      <w:r>
        <w:fldChar w:fldCharType="begin"/>
      </w:r>
      <w:r>
        <w:instrText xml:space="preserve"> PAGEREF _Toc462045338 \h </w:instrText>
      </w:r>
      <w:r>
        <w:fldChar w:fldCharType="separate"/>
      </w:r>
      <w:r>
        <w:t>29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 xml:space="preserve">Areas set 2 </w:t>
      </w:r>
      <w:r>
        <w:t>for purposes of CEO</w:t>
      </w:r>
      <w:r>
        <w:tab/>
      </w:r>
      <w:r>
        <w:fldChar w:fldCharType="begin"/>
      </w:r>
      <w:r>
        <w:instrText xml:space="preserve"> PAGEREF _Toc462045339 \h </w:instrText>
      </w:r>
      <w:r>
        <w:fldChar w:fldCharType="separate"/>
      </w:r>
      <w:r>
        <w:t>30</w:t>
      </w:r>
      <w:r>
        <w:fldChar w:fldCharType="end"/>
      </w:r>
    </w:p>
    <w:p>
      <w:pPr>
        <w:pStyle w:val="TOC8"/>
        <w:rPr>
          <w:rFonts w:asciiTheme="minorHAnsi" w:eastAsiaTheme="minorEastAsia" w:hAnsiTheme="minorHAnsi" w:cstheme="minorBidi"/>
          <w:szCs w:val="22"/>
        </w:rPr>
      </w:pPr>
      <w:r>
        <w:t>49A.</w:t>
      </w:r>
      <w:r>
        <w:tab/>
        <w:t>Access on foot</w:t>
      </w:r>
      <w:r>
        <w:tab/>
      </w:r>
      <w:r>
        <w:fldChar w:fldCharType="begin"/>
      </w:r>
      <w:r>
        <w:instrText xml:space="preserve"> PAGEREF _Toc462045340 \h </w:instrText>
      </w:r>
      <w:r>
        <w:fldChar w:fldCharType="separate"/>
      </w:r>
      <w:r>
        <w:t>30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Caves</w:t>
      </w:r>
      <w:r>
        <w:tab/>
      </w:r>
      <w:r>
        <w:fldChar w:fldCharType="begin"/>
      </w:r>
      <w:r>
        <w:instrText xml:space="preserve"> PAGEREF _Toc462045341 \h </w:instrText>
      </w:r>
      <w:r>
        <w:fldChar w:fldCharType="separate"/>
      </w:r>
      <w:r>
        <w:t>31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Cross country and other events</w:t>
      </w:r>
      <w:r>
        <w:tab/>
      </w:r>
      <w:r>
        <w:fldChar w:fldCharType="begin"/>
      </w:r>
      <w:r>
        <w:instrText xml:space="preserve"> PAGEREF _Toc462045342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Vehicles</w:t>
      </w:r>
    </w:p>
    <w:p>
      <w:pPr>
        <w:pStyle w:val="TOC8"/>
        <w:rPr>
          <w:rFonts w:asciiTheme="minorHAnsi" w:eastAsiaTheme="minorEastAsia" w:hAnsiTheme="minorHAnsi" w:cstheme="minorBidi"/>
          <w:szCs w:val="22"/>
        </w:rPr>
      </w:pPr>
      <w:r>
        <w:t>51</w:t>
      </w:r>
      <w:r>
        <w:rPr>
          <w:snapToGrid w:val="0"/>
        </w:rPr>
        <w:t>.</w:t>
      </w:r>
      <w:r>
        <w:rPr>
          <w:snapToGrid w:val="0"/>
        </w:rPr>
        <w:tab/>
        <w:t>Vehicles</w:t>
      </w:r>
      <w:r>
        <w:tab/>
      </w:r>
      <w:r>
        <w:fldChar w:fldCharType="begin"/>
      </w:r>
      <w:r>
        <w:instrText xml:space="preserve"> PAGEREF _Toc462045344 \h </w:instrText>
      </w:r>
      <w:r>
        <w:fldChar w:fldCharType="separate"/>
      </w:r>
      <w:r>
        <w:t>32</w:t>
      </w:r>
      <w:r>
        <w:fldChar w:fldCharType="end"/>
      </w:r>
    </w:p>
    <w:p>
      <w:pPr>
        <w:pStyle w:val="TOC8"/>
        <w:rPr>
          <w:rFonts w:asciiTheme="minorHAnsi" w:eastAsiaTheme="minorEastAsia" w:hAnsiTheme="minorHAnsi" w:cstheme="minorBidi"/>
          <w:szCs w:val="22"/>
        </w:rPr>
      </w:pPr>
      <w:r>
        <w:t>151A.</w:t>
      </w:r>
      <w:r>
        <w:tab/>
        <w:t>Bicycles</w:t>
      </w:r>
      <w:r>
        <w:tab/>
      </w:r>
      <w:r>
        <w:fldChar w:fldCharType="begin"/>
      </w:r>
      <w:r>
        <w:instrText xml:space="preserve"> PAGEREF _Toc462045345 \h </w:instrText>
      </w:r>
      <w:r>
        <w:fldChar w:fldCharType="separate"/>
      </w:r>
      <w:r>
        <w:t>33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Off</w:t>
      </w:r>
      <w:r>
        <w:rPr>
          <w:snapToGrid w:val="0"/>
        </w:rPr>
        <w:noBreakHyphen/>
        <w:t>road vehicles</w:t>
      </w:r>
      <w:r>
        <w:tab/>
      </w:r>
      <w:r>
        <w:fldChar w:fldCharType="begin"/>
      </w:r>
      <w:r>
        <w:instrText xml:space="preserve"> PAGEREF _Toc462045346 \h </w:instrText>
      </w:r>
      <w:r>
        <w:fldChar w:fldCharType="separate"/>
      </w:r>
      <w:r>
        <w:t>33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Car rallies etc.</w:t>
      </w:r>
      <w:r>
        <w:tab/>
      </w:r>
      <w:r>
        <w:fldChar w:fldCharType="begin"/>
      </w:r>
      <w:r>
        <w:instrText xml:space="preserve"> PAGEREF _Toc462045347 \h </w:instrText>
      </w:r>
      <w:r>
        <w:fldChar w:fldCharType="separate"/>
      </w:r>
      <w:r>
        <w:t>34</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Traffic laws apply</w:t>
      </w:r>
      <w:r>
        <w:tab/>
      </w:r>
      <w:r>
        <w:fldChar w:fldCharType="begin"/>
      </w:r>
      <w:r>
        <w:instrText xml:space="preserve"> PAGEREF _Toc462045348 \h </w:instrText>
      </w:r>
      <w:r>
        <w:fldChar w:fldCharType="separate"/>
      </w:r>
      <w:r>
        <w:t>34</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Driver to obey reasonable direction</w:t>
      </w:r>
      <w:r>
        <w:tab/>
      </w:r>
      <w:r>
        <w:fldChar w:fldCharType="begin"/>
      </w:r>
      <w:r>
        <w:instrText xml:space="preserve"> PAGEREF _Toc462045349 \h </w:instrText>
      </w:r>
      <w:r>
        <w:fldChar w:fldCharType="separate"/>
      </w:r>
      <w:r>
        <w:t>35</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Signs to be obeyed</w:t>
      </w:r>
      <w:r>
        <w:tab/>
      </w:r>
      <w:r>
        <w:fldChar w:fldCharType="begin"/>
      </w:r>
      <w:r>
        <w:instrText xml:space="preserve"> PAGEREF _Toc462045350 \h </w:instrText>
      </w:r>
      <w:r>
        <w:fldChar w:fldCharType="separate"/>
      </w:r>
      <w:r>
        <w:t>35</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Obstructing other vehicles etc.</w:t>
      </w:r>
      <w:r>
        <w:tab/>
      </w:r>
      <w:r>
        <w:fldChar w:fldCharType="begin"/>
      </w:r>
      <w:r>
        <w:instrText xml:space="preserve"> PAGEREF _Toc462045351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Vessels</w:t>
      </w:r>
    </w:p>
    <w:p>
      <w:pPr>
        <w:pStyle w:val="TOC8"/>
        <w:rPr>
          <w:rFonts w:asciiTheme="minorHAnsi" w:eastAsiaTheme="minorEastAsia" w:hAnsiTheme="minorHAnsi" w:cstheme="minorBidi"/>
          <w:szCs w:val="22"/>
        </w:rPr>
      </w:pPr>
      <w:r>
        <w:t>58</w:t>
      </w:r>
      <w:r>
        <w:rPr>
          <w:snapToGrid w:val="0"/>
        </w:rPr>
        <w:t>.</w:t>
      </w:r>
      <w:r>
        <w:rPr>
          <w:snapToGrid w:val="0"/>
        </w:rPr>
        <w:tab/>
        <w:t>Races</w:t>
      </w:r>
      <w:r>
        <w:tab/>
      </w:r>
      <w:r>
        <w:fldChar w:fldCharType="begin"/>
      </w:r>
      <w:r>
        <w:instrText xml:space="preserve"> PAGEREF _Toc462045353 \h </w:instrText>
      </w:r>
      <w:r>
        <w:fldChar w:fldCharType="separate"/>
      </w:r>
      <w:r>
        <w:t>37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Moorings</w:t>
      </w:r>
      <w:r>
        <w:tab/>
      </w:r>
      <w:r>
        <w:fldChar w:fldCharType="begin"/>
      </w:r>
      <w:r>
        <w:instrText xml:space="preserve"> PAGEREF _Toc462045354 \h </w:instrText>
      </w:r>
      <w:r>
        <w:fldChar w:fldCharType="separate"/>
      </w:r>
      <w:r>
        <w:t>37</w:t>
      </w:r>
      <w:r>
        <w:fldChar w:fldCharType="end"/>
      </w:r>
    </w:p>
    <w:p>
      <w:pPr>
        <w:pStyle w:val="TOC8"/>
        <w:rPr>
          <w:rFonts w:asciiTheme="minorHAnsi" w:eastAsiaTheme="minorEastAsia" w:hAnsiTheme="minorHAnsi" w:cstheme="minorBidi"/>
          <w:szCs w:val="22"/>
        </w:rPr>
      </w:pPr>
      <w:r>
        <w:t>60AA.</w:t>
      </w:r>
      <w:r>
        <w:tab/>
        <w:t>Notice of moorings suspected of not being lawfully authorised</w:t>
      </w:r>
      <w:r>
        <w:tab/>
      </w:r>
      <w:r>
        <w:fldChar w:fldCharType="begin"/>
      </w:r>
      <w:r>
        <w:instrText xml:space="preserve"> PAGEREF _Toc462045355 \h </w:instrText>
      </w:r>
      <w:r>
        <w:fldChar w:fldCharType="separate"/>
      </w:r>
      <w:r>
        <w:t>38</w:t>
      </w:r>
      <w:r>
        <w:fldChar w:fldCharType="end"/>
      </w:r>
    </w:p>
    <w:p>
      <w:pPr>
        <w:pStyle w:val="TOC8"/>
        <w:rPr>
          <w:rFonts w:asciiTheme="minorHAnsi" w:eastAsiaTheme="minorEastAsia" w:hAnsiTheme="minorHAnsi" w:cstheme="minorBidi"/>
          <w:szCs w:val="22"/>
        </w:rPr>
      </w:pPr>
      <w:r>
        <w:t>60A.</w:t>
      </w:r>
      <w:r>
        <w:tab/>
        <w:t>Public moorings</w:t>
      </w:r>
      <w:r>
        <w:tab/>
      </w:r>
      <w:r>
        <w:fldChar w:fldCharType="begin"/>
      </w:r>
      <w:r>
        <w:instrText xml:space="preserve"> PAGEREF _Toc462045356 \h </w:instrText>
      </w:r>
      <w:r>
        <w:fldChar w:fldCharType="separate"/>
      </w:r>
      <w:r>
        <w:t>38</w:t>
      </w:r>
      <w:r>
        <w:fldChar w:fldCharType="end"/>
      </w:r>
    </w:p>
    <w:p>
      <w:pPr>
        <w:pStyle w:val="TOC8"/>
        <w:rPr>
          <w:rFonts w:asciiTheme="minorHAnsi" w:eastAsiaTheme="minorEastAsia" w:hAnsiTheme="minorHAnsi" w:cstheme="minorBidi"/>
          <w:szCs w:val="22"/>
        </w:rPr>
      </w:pPr>
      <w:r>
        <w:t>60B.</w:t>
      </w:r>
      <w:r>
        <w:tab/>
        <w:t>Temporary mooring areas</w:t>
      </w:r>
      <w:r>
        <w:tab/>
      </w:r>
      <w:r>
        <w:fldChar w:fldCharType="begin"/>
      </w:r>
      <w:r>
        <w:instrText xml:space="preserve"> PAGEREF _Toc462045357 \h </w:instrText>
      </w:r>
      <w:r>
        <w:fldChar w:fldCharType="separate"/>
      </w:r>
      <w:r>
        <w:t>39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Anchoring vessels</w:t>
      </w:r>
      <w:r>
        <w:tab/>
      </w:r>
      <w:r>
        <w:fldChar w:fldCharType="begin"/>
      </w:r>
      <w:r>
        <w:instrText xml:space="preserve"> PAGEREF _Toc462045358 \h </w:instrText>
      </w:r>
      <w:r>
        <w:fldChar w:fldCharType="separate"/>
      </w:r>
      <w:r>
        <w:t>39</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Operation of certain vessel in restricted area</w:t>
      </w:r>
      <w:r>
        <w:tab/>
      </w:r>
      <w:r>
        <w:fldChar w:fldCharType="begin"/>
      </w:r>
      <w:r>
        <w:instrText xml:space="preserve"> PAGEREF _Toc462045359 \h </w:instrText>
      </w:r>
      <w:r>
        <w:fldChar w:fldCharType="separate"/>
      </w:r>
      <w:r>
        <w:t>40</w:t>
      </w:r>
      <w:r>
        <w:fldChar w:fldCharType="end"/>
      </w:r>
    </w:p>
    <w:p>
      <w:pPr>
        <w:pStyle w:val="TOC8"/>
        <w:rPr>
          <w:rFonts w:asciiTheme="minorHAnsi" w:eastAsiaTheme="minorEastAsia" w:hAnsiTheme="minorHAnsi" w:cstheme="minorBidi"/>
          <w:szCs w:val="22"/>
        </w:rPr>
      </w:pPr>
      <w:r>
        <w:t>61A.</w:t>
      </w:r>
      <w:r>
        <w:tab/>
        <w:t>Operation of vessels in nature reserves</w:t>
      </w:r>
      <w:r>
        <w:tab/>
      </w:r>
      <w:r>
        <w:fldChar w:fldCharType="begin"/>
      </w:r>
      <w:r>
        <w:instrText xml:space="preserve"> PAGEREF _Toc462045360 \h </w:instrText>
      </w:r>
      <w:r>
        <w:fldChar w:fldCharType="separate"/>
      </w:r>
      <w:r>
        <w:t>40</w:t>
      </w:r>
      <w:r>
        <w:fldChar w:fldCharType="end"/>
      </w:r>
    </w:p>
    <w:p>
      <w:pPr>
        <w:pStyle w:val="TOC8"/>
        <w:rPr>
          <w:rFonts w:asciiTheme="minorHAnsi" w:eastAsiaTheme="minorEastAsia" w:hAnsiTheme="minorHAnsi" w:cstheme="minorBidi"/>
          <w:szCs w:val="22"/>
        </w:rPr>
      </w:pPr>
      <w:r>
        <w:t>61B.</w:t>
      </w:r>
      <w:r>
        <w:tab/>
        <w:t>CEO may limit speed of vessels</w:t>
      </w:r>
      <w:r>
        <w:tab/>
      </w:r>
      <w:r>
        <w:fldChar w:fldCharType="begin"/>
      </w:r>
      <w:r>
        <w:instrText xml:space="preserve"> PAGEREF _Toc462045361 \h </w:instrText>
      </w:r>
      <w:r>
        <w:fldChar w:fldCharType="separate"/>
      </w:r>
      <w:r>
        <w:t>40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Safe navigation of vessels</w:t>
      </w:r>
      <w:r>
        <w:tab/>
      </w:r>
      <w:r>
        <w:fldChar w:fldCharType="begin"/>
      </w:r>
      <w:r>
        <w:instrText xml:space="preserve"> PAGEREF _Toc462045362 \h </w:instrText>
      </w:r>
      <w:r>
        <w:fldChar w:fldCharType="separate"/>
      </w:r>
      <w:r>
        <w:t>41</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Owner to obey reasonable direction</w:t>
      </w:r>
      <w:r>
        <w:tab/>
      </w:r>
      <w:r>
        <w:fldChar w:fldCharType="begin"/>
      </w:r>
      <w:r>
        <w:instrText xml:space="preserve"> PAGEREF _Toc462045363 \h </w:instrText>
      </w:r>
      <w:r>
        <w:fldChar w:fldCharType="separate"/>
      </w:r>
      <w:r>
        <w:t>41</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Launching, beaching and retrieving</w:t>
      </w:r>
      <w:r>
        <w:tab/>
      </w:r>
      <w:r>
        <w:fldChar w:fldCharType="begin"/>
      </w:r>
      <w:r>
        <w:instrText xml:space="preserve"> PAGEREF _Toc462045364 \h </w:instrText>
      </w:r>
      <w:r>
        <w:fldChar w:fldCharType="separate"/>
      </w:r>
      <w:r>
        <w:t>42</w:t>
      </w:r>
      <w:r>
        <w:fldChar w:fldCharType="end"/>
      </w:r>
    </w:p>
    <w:p>
      <w:pPr>
        <w:pStyle w:val="TOC8"/>
        <w:rPr>
          <w:rFonts w:asciiTheme="minorHAnsi" w:eastAsiaTheme="minorEastAsia" w:hAnsiTheme="minorHAnsi" w:cstheme="minorBidi"/>
          <w:szCs w:val="22"/>
        </w:rPr>
      </w:pPr>
      <w:r>
        <w:t>65A.</w:t>
      </w:r>
      <w:r>
        <w:tab/>
        <w:t>Unlawful use of vessel storage facility</w:t>
      </w:r>
      <w:r>
        <w:tab/>
      </w:r>
      <w:r>
        <w:fldChar w:fldCharType="begin"/>
      </w:r>
      <w:r>
        <w:instrText xml:space="preserve"> PAGEREF _Toc462045365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Aircraft</w:t>
      </w:r>
    </w:p>
    <w:p>
      <w:pPr>
        <w:pStyle w:val="TOC8"/>
        <w:rPr>
          <w:rFonts w:asciiTheme="minorHAnsi" w:eastAsiaTheme="minorEastAsia" w:hAnsiTheme="minorHAnsi" w:cstheme="minorBidi"/>
          <w:szCs w:val="22"/>
        </w:rPr>
      </w:pPr>
      <w:r>
        <w:t>65</w:t>
      </w:r>
      <w:r>
        <w:rPr>
          <w:snapToGrid w:val="0"/>
        </w:rPr>
        <w:t>.</w:t>
      </w:r>
      <w:r>
        <w:rPr>
          <w:snapToGrid w:val="0"/>
        </w:rPr>
        <w:tab/>
        <w:t>Launching or landing of aircraft</w:t>
      </w:r>
      <w:r>
        <w:tab/>
      </w:r>
      <w:r>
        <w:fldChar w:fldCharType="begin"/>
      </w:r>
      <w:r>
        <w:instrText xml:space="preserve"> PAGEREF _Toc462045367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4 — Camping</w:t>
      </w:r>
    </w:p>
    <w:p>
      <w:pPr>
        <w:pStyle w:val="TOC8"/>
        <w:rPr>
          <w:rFonts w:asciiTheme="minorHAnsi" w:eastAsiaTheme="minorEastAsia" w:hAnsiTheme="minorHAnsi" w:cstheme="minorBidi"/>
          <w:szCs w:val="22"/>
        </w:rPr>
      </w:pPr>
      <w:r>
        <w:t>66</w:t>
      </w:r>
      <w:r>
        <w:rPr>
          <w:snapToGrid w:val="0"/>
        </w:rPr>
        <w:t>.</w:t>
      </w:r>
      <w:r>
        <w:rPr>
          <w:snapToGrid w:val="0"/>
        </w:rPr>
        <w:tab/>
        <w:t>Camping controlled</w:t>
      </w:r>
      <w:r>
        <w:tab/>
      </w:r>
      <w:r>
        <w:fldChar w:fldCharType="begin"/>
      </w:r>
      <w:r>
        <w:instrText xml:space="preserve"> PAGEREF _Toc462045369 \h </w:instrText>
      </w:r>
      <w:r>
        <w:fldChar w:fldCharType="separate"/>
      </w:r>
      <w:r>
        <w:t>45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Direction to vacate camp</w:t>
      </w:r>
      <w:r>
        <w:tab/>
      </w:r>
      <w:r>
        <w:fldChar w:fldCharType="begin"/>
      </w:r>
      <w:r>
        <w:instrText xml:space="preserve"> PAGEREF _Toc462045370 \h </w:instrText>
      </w:r>
      <w:r>
        <w:fldChar w:fldCharType="separate"/>
      </w:r>
      <w:r>
        <w:t>45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Unauthorised persons not to enter camping unit</w:t>
      </w:r>
      <w:r>
        <w:tab/>
      </w:r>
      <w:r>
        <w:fldChar w:fldCharType="begin"/>
      </w:r>
      <w:r>
        <w:instrText xml:space="preserve"> PAGEREF _Toc462045371 \h </w:instrText>
      </w:r>
      <w:r>
        <w:fldChar w:fldCharType="separate"/>
      </w:r>
      <w:r>
        <w:t>46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Construction and positioning of camping units</w:t>
      </w:r>
      <w:r>
        <w:tab/>
      </w:r>
      <w:r>
        <w:fldChar w:fldCharType="begin"/>
      </w:r>
      <w:r>
        <w:instrText xml:space="preserve"> PAGEREF _Toc462045372 \h </w:instrText>
      </w:r>
      <w:r>
        <w:fldChar w:fldCharType="separate"/>
      </w:r>
      <w:r>
        <w:t>46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Power generating devices</w:t>
      </w:r>
      <w:r>
        <w:tab/>
      </w:r>
      <w:r>
        <w:fldChar w:fldCharType="begin"/>
      </w:r>
      <w:r>
        <w:instrText xml:space="preserve"> PAGEREF _Toc462045373 \h </w:instrText>
      </w:r>
      <w:r>
        <w:fldChar w:fldCharType="separate"/>
      </w:r>
      <w:r>
        <w:t>47</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Firewood</w:t>
      </w:r>
      <w:r>
        <w:tab/>
      </w:r>
      <w:r>
        <w:fldChar w:fldCharType="begin"/>
      </w:r>
      <w:r>
        <w:instrText xml:space="preserve"> PAGEREF _Toc462045374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5 — Offensive and dangerous behaviour</w:t>
      </w:r>
    </w:p>
    <w:p>
      <w:pPr>
        <w:pStyle w:val="TOC8"/>
        <w:rPr>
          <w:rFonts w:asciiTheme="minorHAnsi" w:eastAsiaTheme="minorEastAsia" w:hAnsiTheme="minorHAnsi" w:cstheme="minorBidi"/>
          <w:szCs w:val="22"/>
        </w:rPr>
      </w:pPr>
      <w:r>
        <w:t>72</w:t>
      </w:r>
      <w:r>
        <w:rPr>
          <w:snapToGrid w:val="0"/>
        </w:rPr>
        <w:t>.</w:t>
      </w:r>
      <w:r>
        <w:rPr>
          <w:snapToGrid w:val="0"/>
        </w:rPr>
        <w:tab/>
        <w:t>Authorised officer may direct person to stop activity</w:t>
      </w:r>
      <w:r>
        <w:tab/>
      </w:r>
      <w:r>
        <w:fldChar w:fldCharType="begin"/>
      </w:r>
      <w:r>
        <w:instrText xml:space="preserve"> PAGEREF _Toc462045376 \h </w:instrText>
      </w:r>
      <w:r>
        <w:fldChar w:fldCharType="separate"/>
      </w:r>
      <w:r>
        <w:t>49</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Conduct generally</w:t>
      </w:r>
      <w:r>
        <w:tab/>
      </w:r>
      <w:r>
        <w:fldChar w:fldCharType="begin"/>
      </w:r>
      <w:r>
        <w:instrText xml:space="preserve"> PAGEREF _Toc462045377 \h </w:instrText>
      </w:r>
      <w:r>
        <w:fldChar w:fldCharType="separate"/>
      </w:r>
      <w:r>
        <w:t>49</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Offensive noise</w:t>
      </w:r>
      <w:r>
        <w:tab/>
      </w:r>
      <w:r>
        <w:fldChar w:fldCharType="begin"/>
      </w:r>
      <w:r>
        <w:instrText xml:space="preserve"> PAGEREF _Toc462045378 \h </w:instrText>
      </w:r>
      <w:r>
        <w:fldChar w:fldCharType="separate"/>
      </w:r>
      <w:r>
        <w:t>50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Alcohol and drugs</w:t>
      </w:r>
      <w:r>
        <w:tab/>
      </w:r>
      <w:r>
        <w:fldChar w:fldCharType="begin"/>
      </w:r>
      <w:r>
        <w:instrText xml:space="preserve"> PAGEREF _Toc462045379 \h </w:instrText>
      </w:r>
      <w:r>
        <w:fldChar w:fldCharType="separate"/>
      </w:r>
      <w:r>
        <w:t>50</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Removal of CALM property</w:t>
      </w:r>
      <w:r>
        <w:tab/>
      </w:r>
      <w:r>
        <w:fldChar w:fldCharType="begin"/>
      </w:r>
      <w:r>
        <w:instrText xml:space="preserve"> PAGEREF _Toc462045380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6 — Removal and forfeiture of unauthorised property on CALM land</w:t>
      </w:r>
    </w:p>
    <w:p>
      <w:pPr>
        <w:pStyle w:val="TOC8"/>
        <w:rPr>
          <w:rFonts w:asciiTheme="minorHAnsi" w:eastAsiaTheme="minorEastAsia" w:hAnsiTheme="minorHAnsi" w:cstheme="minorBidi"/>
          <w:szCs w:val="22"/>
        </w:rPr>
      </w:pPr>
      <w:r>
        <w:t>77.</w:t>
      </w:r>
      <w:r>
        <w:tab/>
        <w:t>Term used: property</w:t>
      </w:r>
      <w:r>
        <w:tab/>
      </w:r>
      <w:r>
        <w:fldChar w:fldCharType="begin"/>
      </w:r>
      <w:r>
        <w:instrText xml:space="preserve"> PAGEREF _Toc462045382 \h </w:instrText>
      </w:r>
      <w:r>
        <w:fldChar w:fldCharType="separate"/>
      </w:r>
      <w:r>
        <w:t>52</w:t>
      </w:r>
      <w:r>
        <w:fldChar w:fldCharType="end"/>
      </w:r>
    </w:p>
    <w:p>
      <w:pPr>
        <w:pStyle w:val="TOC8"/>
        <w:rPr>
          <w:rFonts w:asciiTheme="minorHAnsi" w:eastAsiaTheme="minorEastAsia" w:hAnsiTheme="minorHAnsi" w:cstheme="minorBidi"/>
          <w:szCs w:val="22"/>
        </w:rPr>
      </w:pPr>
      <w:r>
        <w:t>78.</w:t>
      </w:r>
      <w:r>
        <w:tab/>
        <w:t>Authorised officers may seize and remove unauthorised property</w:t>
      </w:r>
      <w:r>
        <w:tab/>
      </w:r>
      <w:r>
        <w:fldChar w:fldCharType="begin"/>
      </w:r>
      <w:r>
        <w:instrText xml:space="preserve"> PAGEREF _Toc462045383 \h </w:instrText>
      </w:r>
      <w:r>
        <w:fldChar w:fldCharType="separate"/>
      </w:r>
      <w:r>
        <w:t>52</w:t>
      </w:r>
      <w:r>
        <w:fldChar w:fldCharType="end"/>
      </w:r>
    </w:p>
    <w:p>
      <w:pPr>
        <w:pStyle w:val="TOC8"/>
        <w:rPr>
          <w:rFonts w:asciiTheme="minorHAnsi" w:eastAsiaTheme="minorEastAsia" w:hAnsiTheme="minorHAnsi" w:cstheme="minorBidi"/>
          <w:szCs w:val="22"/>
        </w:rPr>
      </w:pPr>
      <w:r>
        <w:t>79.</w:t>
      </w:r>
      <w:r>
        <w:tab/>
        <w:t>Seized property may be claimed</w:t>
      </w:r>
      <w:r>
        <w:tab/>
      </w:r>
      <w:r>
        <w:fldChar w:fldCharType="begin"/>
      </w:r>
      <w:r>
        <w:instrText xml:space="preserve"> PAGEREF _Toc462045384 \h </w:instrText>
      </w:r>
      <w:r>
        <w:fldChar w:fldCharType="separate"/>
      </w:r>
      <w:r>
        <w:t>53</w:t>
      </w:r>
      <w:r>
        <w:fldChar w:fldCharType="end"/>
      </w:r>
    </w:p>
    <w:p>
      <w:pPr>
        <w:pStyle w:val="TOC8"/>
        <w:rPr>
          <w:rFonts w:asciiTheme="minorHAnsi" w:eastAsiaTheme="minorEastAsia" w:hAnsiTheme="minorHAnsi" w:cstheme="minorBidi"/>
          <w:szCs w:val="22"/>
        </w:rPr>
      </w:pPr>
      <w:r>
        <w:t>80.</w:t>
      </w:r>
      <w:r>
        <w:tab/>
        <w:t>Unclaimed property may be forfeited</w:t>
      </w:r>
      <w:r>
        <w:tab/>
      </w:r>
      <w:r>
        <w:fldChar w:fldCharType="begin"/>
      </w:r>
      <w:r>
        <w:instrText xml:space="preserve"> PAGEREF _Toc462045385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6A — Management plans</w:t>
      </w:r>
    </w:p>
    <w:p>
      <w:pPr>
        <w:pStyle w:val="TOC8"/>
        <w:rPr>
          <w:rFonts w:asciiTheme="minorHAnsi" w:eastAsiaTheme="minorEastAsia" w:hAnsiTheme="minorHAnsi" w:cstheme="minorBidi"/>
          <w:szCs w:val="22"/>
        </w:rPr>
      </w:pPr>
      <w:r>
        <w:t>81.</w:t>
      </w:r>
      <w:r>
        <w:tab/>
        <w:t>Purposes of reserves (Act s. 55(1a))</w:t>
      </w:r>
      <w:r>
        <w:tab/>
      </w:r>
      <w:r>
        <w:fldChar w:fldCharType="begin"/>
      </w:r>
      <w:r>
        <w:instrText xml:space="preserve"> PAGEREF _Toc462045387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7 — Licences</w:t>
      </w:r>
    </w:p>
    <w:p>
      <w:pPr>
        <w:pStyle w:val="TOC4"/>
        <w:tabs>
          <w:tab w:val="right" w:leader="dot" w:pos="7077"/>
        </w:tabs>
        <w:rPr>
          <w:rFonts w:asciiTheme="minorHAnsi" w:eastAsiaTheme="minorEastAsia" w:hAnsiTheme="minorHAnsi" w:cstheme="minorBidi"/>
          <w:b w:val="0"/>
          <w:szCs w:val="22"/>
        </w:rPr>
      </w:pPr>
      <w:r>
        <w:t>Division 1</w:t>
      </w:r>
      <w:r>
        <w:rPr>
          <w:snapToGrid w:val="0"/>
        </w:rPr>
        <w:t xml:space="preserve"> — </w:t>
      </w:r>
      <w:r>
        <w:t>General</w:t>
      </w:r>
    </w:p>
    <w:p>
      <w:pPr>
        <w:pStyle w:val="TOC8"/>
        <w:rPr>
          <w:rFonts w:asciiTheme="minorHAnsi" w:eastAsiaTheme="minorEastAsia" w:hAnsiTheme="minorHAnsi" w:cstheme="minorBidi"/>
          <w:szCs w:val="22"/>
        </w:rPr>
      </w:pPr>
      <w:r>
        <w:t>82</w:t>
      </w:r>
      <w:r>
        <w:rPr>
          <w:snapToGrid w:val="0"/>
        </w:rPr>
        <w:t>.</w:t>
      </w:r>
      <w:r>
        <w:rPr>
          <w:snapToGrid w:val="0"/>
        </w:rPr>
        <w:tab/>
        <w:t>Term used: licence</w:t>
      </w:r>
      <w:r>
        <w:tab/>
      </w:r>
      <w:r>
        <w:fldChar w:fldCharType="begin"/>
      </w:r>
      <w:r>
        <w:instrText xml:space="preserve"> PAGEREF _Toc462045390 \h </w:instrText>
      </w:r>
      <w:r>
        <w:fldChar w:fldCharType="separate"/>
      </w:r>
      <w:r>
        <w:t>56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Application for licence</w:t>
      </w:r>
      <w:r>
        <w:tab/>
      </w:r>
      <w:r>
        <w:fldChar w:fldCharType="begin"/>
      </w:r>
      <w:r>
        <w:instrText xml:space="preserve"> PAGEREF _Toc462045391 \h </w:instrText>
      </w:r>
      <w:r>
        <w:fldChar w:fldCharType="separate"/>
      </w:r>
      <w:r>
        <w:t>56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Restriction on exercise of powers</w:t>
      </w:r>
      <w:r>
        <w:tab/>
      </w:r>
      <w:r>
        <w:fldChar w:fldCharType="begin"/>
      </w:r>
      <w:r>
        <w:instrText xml:space="preserve"> PAGEREF _Toc462045392 \h </w:instrText>
      </w:r>
      <w:r>
        <w:fldChar w:fldCharType="separate"/>
      </w:r>
      <w:r>
        <w:t>56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Refusal to renew licence</w:t>
      </w:r>
      <w:r>
        <w:tab/>
      </w:r>
      <w:r>
        <w:fldChar w:fldCharType="begin"/>
      </w:r>
      <w:r>
        <w:instrText xml:space="preserve"> PAGEREF _Toc462045393 \h </w:instrText>
      </w:r>
      <w:r>
        <w:fldChar w:fldCharType="separate"/>
      </w:r>
      <w:r>
        <w:t>57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 xml:space="preserve">Cancellation or suspension of licence by </w:t>
      </w:r>
      <w:r>
        <w:t>CEO</w:t>
      </w:r>
      <w:r>
        <w:tab/>
      </w:r>
      <w:r>
        <w:fldChar w:fldCharType="begin"/>
      </w:r>
      <w:r>
        <w:instrText xml:space="preserve"> PAGEREF _Toc462045394 \h </w:instrText>
      </w:r>
      <w:r>
        <w:fldChar w:fldCharType="separate"/>
      </w:r>
      <w:r>
        <w:t>58</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Notice of proposed cancellation or suspension</w:t>
      </w:r>
      <w:r>
        <w:tab/>
      </w:r>
      <w:r>
        <w:fldChar w:fldCharType="begin"/>
      </w:r>
      <w:r>
        <w:instrText xml:space="preserve"> PAGEREF _Toc462045395 \h </w:instrText>
      </w:r>
      <w:r>
        <w:fldChar w:fldCharType="separate"/>
      </w:r>
      <w:r>
        <w:t>59</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Return of licence</w:t>
      </w:r>
      <w:r>
        <w:tab/>
      </w:r>
      <w:r>
        <w:fldChar w:fldCharType="begin"/>
      </w:r>
      <w:r>
        <w:instrText xml:space="preserve"> PAGEREF _Toc462045396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Scientific purposes licences</w:t>
      </w:r>
    </w:p>
    <w:p>
      <w:pPr>
        <w:pStyle w:val="TOC8"/>
        <w:rPr>
          <w:rFonts w:asciiTheme="minorHAnsi" w:eastAsiaTheme="minorEastAsia" w:hAnsiTheme="minorHAnsi" w:cstheme="minorBidi"/>
          <w:szCs w:val="22"/>
        </w:rPr>
      </w:pPr>
      <w:r>
        <w:t>89</w:t>
      </w:r>
      <w:r>
        <w:rPr>
          <w:snapToGrid w:val="0"/>
        </w:rPr>
        <w:t>.</w:t>
      </w:r>
      <w:r>
        <w:rPr>
          <w:snapToGrid w:val="0"/>
        </w:rPr>
        <w:tab/>
        <w:t>Scientific purposes licence</w:t>
      </w:r>
      <w:r>
        <w:tab/>
      </w:r>
      <w:r>
        <w:fldChar w:fldCharType="begin"/>
      </w:r>
      <w:r>
        <w:instrText xml:space="preserve"> PAGEREF _Toc462045398 \h </w:instrText>
      </w:r>
      <w:r>
        <w:fldChar w:fldCharType="separate"/>
      </w:r>
      <w:r>
        <w:t>60</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Application for scientific purposes licence</w:t>
      </w:r>
      <w:r>
        <w:tab/>
      </w:r>
      <w:r>
        <w:fldChar w:fldCharType="begin"/>
      </w:r>
      <w:r>
        <w:instrText xml:space="preserve"> PAGEREF _Toc462045399 \h </w:instrText>
      </w:r>
      <w:r>
        <w:fldChar w:fldCharType="separate"/>
      </w:r>
      <w:r>
        <w:t>60</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Duration of scientific purposes licence</w:t>
      </w:r>
      <w:r>
        <w:tab/>
      </w:r>
      <w:r>
        <w:fldChar w:fldCharType="begin"/>
      </w:r>
      <w:r>
        <w:instrText xml:space="preserve"> PAGEREF _Toc462045400 \h </w:instrText>
      </w:r>
      <w:r>
        <w:fldChar w:fldCharType="separate"/>
      </w:r>
      <w:r>
        <w:t>60</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Renewal of scientific purposes licence</w:t>
      </w:r>
      <w:r>
        <w:tab/>
      </w:r>
      <w:r>
        <w:fldChar w:fldCharType="begin"/>
      </w:r>
      <w:r>
        <w:instrText xml:space="preserve"> PAGEREF _Toc462045401 \h </w:instrText>
      </w:r>
      <w:r>
        <w:fldChar w:fldCharType="separate"/>
      </w:r>
      <w:r>
        <w:t>60</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Conditions and restrictions</w:t>
      </w:r>
      <w:r>
        <w:tab/>
      </w:r>
      <w:r>
        <w:fldChar w:fldCharType="begin"/>
      </w:r>
      <w:r>
        <w:instrText xml:space="preserve"> PAGEREF _Toc462045402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Commercial operations licences</w:t>
      </w:r>
    </w:p>
    <w:p>
      <w:pPr>
        <w:pStyle w:val="TOC8"/>
        <w:rPr>
          <w:rFonts w:asciiTheme="minorHAnsi" w:eastAsiaTheme="minorEastAsia" w:hAnsiTheme="minorHAnsi" w:cstheme="minorBidi"/>
          <w:szCs w:val="22"/>
        </w:rPr>
      </w:pPr>
      <w:r>
        <w:t>94</w:t>
      </w:r>
      <w:r>
        <w:rPr>
          <w:snapToGrid w:val="0"/>
        </w:rPr>
        <w:t>.</w:t>
      </w:r>
      <w:r>
        <w:rPr>
          <w:snapToGrid w:val="0"/>
        </w:rPr>
        <w:tab/>
        <w:t>Commercial operations licence</w:t>
      </w:r>
      <w:r>
        <w:tab/>
      </w:r>
      <w:r>
        <w:fldChar w:fldCharType="begin"/>
      </w:r>
      <w:r>
        <w:instrText xml:space="preserve"> PAGEREF _Toc462045404 \h </w:instrText>
      </w:r>
      <w:r>
        <w:fldChar w:fldCharType="separate"/>
      </w:r>
      <w:r>
        <w:t>62</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Application for commercial operations licence</w:t>
      </w:r>
      <w:r>
        <w:tab/>
      </w:r>
      <w:r>
        <w:fldChar w:fldCharType="begin"/>
      </w:r>
      <w:r>
        <w:instrText xml:space="preserve"> PAGEREF _Toc462045405 \h </w:instrText>
      </w:r>
      <w:r>
        <w:fldChar w:fldCharType="separate"/>
      </w:r>
      <w:r>
        <w:t>62</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Duration of commercial operations licence</w:t>
      </w:r>
      <w:r>
        <w:tab/>
      </w:r>
      <w:r>
        <w:fldChar w:fldCharType="begin"/>
      </w:r>
      <w:r>
        <w:instrText xml:space="preserve"> PAGEREF _Toc462045406 \h </w:instrText>
      </w:r>
      <w:r>
        <w:fldChar w:fldCharType="separate"/>
      </w:r>
      <w:r>
        <w:t>62</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Renewal of commercial operations licence</w:t>
      </w:r>
      <w:r>
        <w:tab/>
      </w:r>
      <w:r>
        <w:fldChar w:fldCharType="begin"/>
      </w:r>
      <w:r>
        <w:instrText xml:space="preserve"> PAGEREF _Toc462045407 \h </w:instrText>
      </w:r>
      <w:r>
        <w:fldChar w:fldCharType="separate"/>
      </w:r>
      <w:r>
        <w:t>63</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Conditions</w:t>
      </w:r>
      <w:r>
        <w:tab/>
      </w:r>
      <w:r>
        <w:fldChar w:fldCharType="begin"/>
      </w:r>
      <w:r>
        <w:instrText xml:space="preserve"> PAGEREF _Toc462045408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4 — Rental mooring licence</w:t>
      </w:r>
    </w:p>
    <w:p>
      <w:pPr>
        <w:pStyle w:val="TOC8"/>
        <w:rPr>
          <w:rFonts w:asciiTheme="minorHAnsi" w:eastAsiaTheme="minorEastAsia" w:hAnsiTheme="minorHAnsi" w:cstheme="minorBidi"/>
          <w:szCs w:val="22"/>
        </w:rPr>
      </w:pPr>
      <w:r>
        <w:t>98AA.</w:t>
      </w:r>
      <w:r>
        <w:tab/>
        <w:t>Terms used</w:t>
      </w:r>
      <w:r>
        <w:tab/>
      </w:r>
      <w:r>
        <w:fldChar w:fldCharType="begin"/>
      </w:r>
      <w:r>
        <w:instrText xml:space="preserve"> PAGEREF _Toc462045410 \h </w:instrText>
      </w:r>
      <w:r>
        <w:fldChar w:fldCharType="separate"/>
      </w:r>
      <w:r>
        <w:t>64</w:t>
      </w:r>
      <w:r>
        <w:fldChar w:fldCharType="end"/>
      </w:r>
    </w:p>
    <w:p>
      <w:pPr>
        <w:pStyle w:val="TOC8"/>
        <w:rPr>
          <w:rFonts w:asciiTheme="minorHAnsi" w:eastAsiaTheme="minorEastAsia" w:hAnsiTheme="minorHAnsi" w:cstheme="minorBidi"/>
          <w:szCs w:val="22"/>
        </w:rPr>
      </w:pPr>
      <w:r>
        <w:t>98AB.</w:t>
      </w:r>
      <w:r>
        <w:tab/>
        <w:t>CEO may designate rental mooring</w:t>
      </w:r>
      <w:r>
        <w:tab/>
      </w:r>
      <w:r>
        <w:fldChar w:fldCharType="begin"/>
      </w:r>
      <w:r>
        <w:instrText xml:space="preserve"> PAGEREF _Toc462045411 \h </w:instrText>
      </w:r>
      <w:r>
        <w:fldChar w:fldCharType="separate"/>
      </w:r>
      <w:r>
        <w:t>64</w:t>
      </w:r>
      <w:r>
        <w:fldChar w:fldCharType="end"/>
      </w:r>
    </w:p>
    <w:p>
      <w:pPr>
        <w:pStyle w:val="TOC8"/>
        <w:rPr>
          <w:rFonts w:asciiTheme="minorHAnsi" w:eastAsiaTheme="minorEastAsia" w:hAnsiTheme="minorHAnsi" w:cstheme="minorBidi"/>
          <w:szCs w:val="22"/>
        </w:rPr>
      </w:pPr>
      <w:r>
        <w:t>98AC.</w:t>
      </w:r>
      <w:r>
        <w:tab/>
        <w:t>Rental mooring licence</w:t>
      </w:r>
      <w:r>
        <w:tab/>
      </w:r>
      <w:r>
        <w:fldChar w:fldCharType="begin"/>
      </w:r>
      <w:r>
        <w:instrText xml:space="preserve"> PAGEREF _Toc462045412 \h </w:instrText>
      </w:r>
      <w:r>
        <w:fldChar w:fldCharType="separate"/>
      </w:r>
      <w:r>
        <w:t>64</w:t>
      </w:r>
      <w:r>
        <w:fldChar w:fldCharType="end"/>
      </w:r>
    </w:p>
    <w:p>
      <w:pPr>
        <w:pStyle w:val="TOC8"/>
        <w:rPr>
          <w:rFonts w:asciiTheme="minorHAnsi" w:eastAsiaTheme="minorEastAsia" w:hAnsiTheme="minorHAnsi" w:cstheme="minorBidi"/>
          <w:szCs w:val="22"/>
        </w:rPr>
      </w:pPr>
      <w:r>
        <w:t>98AD.</w:t>
      </w:r>
      <w:r>
        <w:tab/>
        <w:t>Application for rental mooring licence</w:t>
      </w:r>
      <w:r>
        <w:tab/>
      </w:r>
      <w:r>
        <w:fldChar w:fldCharType="begin"/>
      </w:r>
      <w:r>
        <w:instrText xml:space="preserve"> PAGEREF _Toc462045413 \h </w:instrText>
      </w:r>
      <w:r>
        <w:fldChar w:fldCharType="separate"/>
      </w:r>
      <w:r>
        <w:t>65</w:t>
      </w:r>
      <w:r>
        <w:fldChar w:fldCharType="end"/>
      </w:r>
    </w:p>
    <w:p>
      <w:pPr>
        <w:pStyle w:val="TOC8"/>
        <w:rPr>
          <w:rFonts w:asciiTheme="minorHAnsi" w:eastAsiaTheme="minorEastAsia" w:hAnsiTheme="minorHAnsi" w:cstheme="minorBidi"/>
          <w:szCs w:val="22"/>
        </w:rPr>
      </w:pPr>
      <w:r>
        <w:t>98AE.</w:t>
      </w:r>
      <w:r>
        <w:tab/>
        <w:t>Duration of rental mooring licence</w:t>
      </w:r>
      <w:r>
        <w:tab/>
      </w:r>
      <w:r>
        <w:fldChar w:fldCharType="begin"/>
      </w:r>
      <w:r>
        <w:instrText xml:space="preserve"> PAGEREF _Toc462045414 \h </w:instrText>
      </w:r>
      <w:r>
        <w:fldChar w:fldCharType="separate"/>
      </w:r>
      <w:r>
        <w:t>65</w:t>
      </w:r>
      <w:r>
        <w:fldChar w:fldCharType="end"/>
      </w:r>
    </w:p>
    <w:p>
      <w:pPr>
        <w:pStyle w:val="TOC8"/>
        <w:rPr>
          <w:rFonts w:asciiTheme="minorHAnsi" w:eastAsiaTheme="minorEastAsia" w:hAnsiTheme="minorHAnsi" w:cstheme="minorBidi"/>
          <w:szCs w:val="22"/>
        </w:rPr>
      </w:pPr>
      <w:r>
        <w:t>98AF.</w:t>
      </w:r>
      <w:r>
        <w:tab/>
        <w:t>Conditions</w:t>
      </w:r>
      <w:r>
        <w:tab/>
      </w:r>
      <w:r>
        <w:fldChar w:fldCharType="begin"/>
      </w:r>
      <w:r>
        <w:instrText xml:space="preserve"> PAGEREF _Toc462045415 \h </w:instrText>
      </w:r>
      <w:r>
        <w:fldChar w:fldCharType="separate"/>
      </w:r>
      <w:r>
        <w:t>65</w:t>
      </w:r>
      <w:r>
        <w:fldChar w:fldCharType="end"/>
      </w:r>
    </w:p>
    <w:p>
      <w:pPr>
        <w:pStyle w:val="TOC8"/>
        <w:rPr>
          <w:rFonts w:asciiTheme="minorHAnsi" w:eastAsiaTheme="minorEastAsia" w:hAnsiTheme="minorHAnsi" w:cstheme="minorBidi"/>
          <w:szCs w:val="22"/>
        </w:rPr>
      </w:pPr>
      <w:r>
        <w:t>98AG.</w:t>
      </w:r>
      <w:r>
        <w:tab/>
        <w:t>Cancellation of licence at request of licence holder</w:t>
      </w:r>
      <w:r>
        <w:tab/>
      </w:r>
      <w:r>
        <w:fldChar w:fldCharType="begin"/>
      </w:r>
      <w:r>
        <w:instrText xml:space="preserve"> PAGEREF _Toc462045416 \h </w:instrText>
      </w:r>
      <w:r>
        <w:fldChar w:fldCharType="separate"/>
      </w:r>
      <w:r>
        <w:t>66</w:t>
      </w:r>
      <w:r>
        <w:fldChar w:fldCharType="end"/>
      </w:r>
    </w:p>
    <w:p>
      <w:pPr>
        <w:pStyle w:val="TOC8"/>
        <w:rPr>
          <w:rFonts w:asciiTheme="minorHAnsi" w:eastAsiaTheme="minorEastAsia" w:hAnsiTheme="minorHAnsi" w:cstheme="minorBidi"/>
          <w:szCs w:val="22"/>
        </w:rPr>
      </w:pPr>
      <w:r>
        <w:t>98AH.</w:t>
      </w:r>
      <w:r>
        <w:tab/>
        <w:t>Damage to rental mooring</w:t>
      </w:r>
      <w:r>
        <w:tab/>
      </w:r>
      <w:r>
        <w:fldChar w:fldCharType="begin"/>
      </w:r>
      <w:r>
        <w:instrText xml:space="preserve"> PAGEREF _Toc462045417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5 — Private mooring licence</w:t>
      </w:r>
    </w:p>
    <w:p>
      <w:pPr>
        <w:pStyle w:val="TOC8"/>
        <w:rPr>
          <w:rFonts w:asciiTheme="minorHAnsi" w:eastAsiaTheme="minorEastAsia" w:hAnsiTheme="minorHAnsi" w:cstheme="minorBidi"/>
          <w:szCs w:val="22"/>
        </w:rPr>
      </w:pPr>
      <w:r>
        <w:t>98AI</w:t>
      </w:r>
      <w:r>
        <w:rPr>
          <w:snapToGrid w:val="0"/>
        </w:rPr>
        <w:t>.</w:t>
      </w:r>
      <w:r>
        <w:rPr>
          <w:snapToGrid w:val="0"/>
        </w:rPr>
        <w:tab/>
        <w:t>Terms used</w:t>
      </w:r>
      <w:r>
        <w:tab/>
      </w:r>
      <w:r>
        <w:fldChar w:fldCharType="begin"/>
      </w:r>
      <w:r>
        <w:instrText xml:space="preserve"> PAGEREF _Toc462045419 \h </w:instrText>
      </w:r>
      <w:r>
        <w:fldChar w:fldCharType="separate"/>
      </w:r>
      <w:r>
        <w:t>67</w:t>
      </w:r>
      <w:r>
        <w:fldChar w:fldCharType="end"/>
      </w:r>
    </w:p>
    <w:p>
      <w:pPr>
        <w:pStyle w:val="TOC8"/>
        <w:rPr>
          <w:rFonts w:asciiTheme="minorHAnsi" w:eastAsiaTheme="minorEastAsia" w:hAnsiTheme="minorHAnsi" w:cstheme="minorBidi"/>
          <w:szCs w:val="22"/>
        </w:rPr>
      </w:pPr>
      <w:r>
        <w:t>98AJ.</w:t>
      </w:r>
      <w:r>
        <w:tab/>
        <w:t>Mooring licence areas</w:t>
      </w:r>
      <w:r>
        <w:tab/>
      </w:r>
      <w:r>
        <w:fldChar w:fldCharType="begin"/>
      </w:r>
      <w:r>
        <w:instrText xml:space="preserve"> PAGEREF _Toc462045420 \h </w:instrText>
      </w:r>
      <w:r>
        <w:fldChar w:fldCharType="separate"/>
      </w:r>
      <w:r>
        <w:t>67</w:t>
      </w:r>
      <w:r>
        <w:fldChar w:fldCharType="end"/>
      </w:r>
    </w:p>
    <w:p>
      <w:pPr>
        <w:pStyle w:val="TOC8"/>
        <w:rPr>
          <w:rFonts w:asciiTheme="minorHAnsi" w:eastAsiaTheme="minorEastAsia" w:hAnsiTheme="minorHAnsi" w:cstheme="minorBidi"/>
          <w:szCs w:val="22"/>
        </w:rPr>
      </w:pPr>
      <w:r>
        <w:t>98AK.</w:t>
      </w:r>
      <w:r>
        <w:tab/>
        <w:t>Private mooring licence</w:t>
      </w:r>
      <w:r>
        <w:tab/>
      </w:r>
      <w:r>
        <w:fldChar w:fldCharType="begin"/>
      </w:r>
      <w:r>
        <w:instrText xml:space="preserve"> PAGEREF _Toc462045421 \h </w:instrText>
      </w:r>
      <w:r>
        <w:fldChar w:fldCharType="separate"/>
      </w:r>
      <w:r>
        <w:t>68</w:t>
      </w:r>
      <w:r>
        <w:fldChar w:fldCharType="end"/>
      </w:r>
    </w:p>
    <w:p>
      <w:pPr>
        <w:pStyle w:val="TOC8"/>
        <w:rPr>
          <w:rFonts w:asciiTheme="minorHAnsi" w:eastAsiaTheme="minorEastAsia" w:hAnsiTheme="minorHAnsi" w:cstheme="minorBidi"/>
          <w:szCs w:val="22"/>
        </w:rPr>
      </w:pPr>
      <w:r>
        <w:t>98AL.</w:t>
      </w:r>
      <w:r>
        <w:tab/>
        <w:t>Effect of private mooring licence</w:t>
      </w:r>
      <w:r>
        <w:tab/>
      </w:r>
      <w:r>
        <w:fldChar w:fldCharType="begin"/>
      </w:r>
      <w:r>
        <w:instrText xml:space="preserve"> PAGEREF _Toc462045422 \h </w:instrText>
      </w:r>
      <w:r>
        <w:fldChar w:fldCharType="separate"/>
      </w:r>
      <w:r>
        <w:t>68</w:t>
      </w:r>
      <w:r>
        <w:fldChar w:fldCharType="end"/>
      </w:r>
    </w:p>
    <w:p>
      <w:pPr>
        <w:pStyle w:val="TOC8"/>
        <w:rPr>
          <w:rFonts w:asciiTheme="minorHAnsi" w:eastAsiaTheme="minorEastAsia" w:hAnsiTheme="minorHAnsi" w:cstheme="minorBidi"/>
          <w:szCs w:val="22"/>
        </w:rPr>
      </w:pPr>
      <w:r>
        <w:t>98AM.</w:t>
      </w:r>
      <w:r>
        <w:tab/>
        <w:t>Application for private mooring licence</w:t>
      </w:r>
      <w:r>
        <w:tab/>
      </w:r>
      <w:r>
        <w:fldChar w:fldCharType="begin"/>
      </w:r>
      <w:r>
        <w:instrText xml:space="preserve"> PAGEREF _Toc462045423 \h </w:instrText>
      </w:r>
      <w:r>
        <w:fldChar w:fldCharType="separate"/>
      </w:r>
      <w:r>
        <w:t>68</w:t>
      </w:r>
      <w:r>
        <w:fldChar w:fldCharType="end"/>
      </w:r>
    </w:p>
    <w:p>
      <w:pPr>
        <w:pStyle w:val="TOC8"/>
        <w:rPr>
          <w:rFonts w:asciiTheme="minorHAnsi" w:eastAsiaTheme="minorEastAsia" w:hAnsiTheme="minorHAnsi" w:cstheme="minorBidi"/>
          <w:szCs w:val="22"/>
        </w:rPr>
      </w:pPr>
      <w:r>
        <w:t>98AN.</w:t>
      </w:r>
      <w:r>
        <w:tab/>
        <w:t>Grant of private mooring licence</w:t>
      </w:r>
      <w:r>
        <w:tab/>
      </w:r>
      <w:r>
        <w:fldChar w:fldCharType="begin"/>
      </w:r>
      <w:r>
        <w:instrText xml:space="preserve"> PAGEREF _Toc462045424 \h </w:instrText>
      </w:r>
      <w:r>
        <w:fldChar w:fldCharType="separate"/>
      </w:r>
      <w:r>
        <w:t>69</w:t>
      </w:r>
      <w:r>
        <w:fldChar w:fldCharType="end"/>
      </w:r>
    </w:p>
    <w:p>
      <w:pPr>
        <w:pStyle w:val="TOC8"/>
        <w:rPr>
          <w:rFonts w:asciiTheme="minorHAnsi" w:eastAsiaTheme="minorEastAsia" w:hAnsiTheme="minorHAnsi" w:cstheme="minorBidi"/>
          <w:szCs w:val="22"/>
        </w:rPr>
      </w:pPr>
      <w:r>
        <w:t>98AO.</w:t>
      </w:r>
      <w:r>
        <w:tab/>
        <w:t>Private mooring licence not transferable</w:t>
      </w:r>
      <w:r>
        <w:tab/>
      </w:r>
      <w:r>
        <w:fldChar w:fldCharType="begin"/>
      </w:r>
      <w:r>
        <w:instrText xml:space="preserve"> PAGEREF _Toc462045425 \h </w:instrText>
      </w:r>
      <w:r>
        <w:fldChar w:fldCharType="separate"/>
      </w:r>
      <w:r>
        <w:t>69</w:t>
      </w:r>
      <w:r>
        <w:fldChar w:fldCharType="end"/>
      </w:r>
    </w:p>
    <w:p>
      <w:pPr>
        <w:pStyle w:val="TOC8"/>
        <w:rPr>
          <w:rFonts w:asciiTheme="minorHAnsi" w:eastAsiaTheme="minorEastAsia" w:hAnsiTheme="minorHAnsi" w:cstheme="minorBidi"/>
          <w:szCs w:val="22"/>
        </w:rPr>
      </w:pPr>
      <w:r>
        <w:t>98AP.</w:t>
      </w:r>
      <w:r>
        <w:tab/>
        <w:t>Duration of private mooring licence</w:t>
      </w:r>
      <w:r>
        <w:tab/>
      </w:r>
      <w:r>
        <w:fldChar w:fldCharType="begin"/>
      </w:r>
      <w:r>
        <w:instrText xml:space="preserve"> PAGEREF _Toc462045426 \h </w:instrText>
      </w:r>
      <w:r>
        <w:fldChar w:fldCharType="separate"/>
      </w:r>
      <w:r>
        <w:t>69</w:t>
      </w:r>
      <w:r>
        <w:fldChar w:fldCharType="end"/>
      </w:r>
    </w:p>
    <w:p>
      <w:pPr>
        <w:pStyle w:val="TOC8"/>
        <w:rPr>
          <w:rFonts w:asciiTheme="minorHAnsi" w:eastAsiaTheme="minorEastAsia" w:hAnsiTheme="minorHAnsi" w:cstheme="minorBidi"/>
          <w:szCs w:val="22"/>
        </w:rPr>
      </w:pPr>
      <w:r>
        <w:t>98AQ.</w:t>
      </w:r>
      <w:r>
        <w:tab/>
        <w:t>Renewal of private mooring licence</w:t>
      </w:r>
      <w:r>
        <w:tab/>
      </w:r>
      <w:r>
        <w:fldChar w:fldCharType="begin"/>
      </w:r>
      <w:r>
        <w:instrText xml:space="preserve"> PAGEREF _Toc462045427 \h </w:instrText>
      </w:r>
      <w:r>
        <w:fldChar w:fldCharType="separate"/>
      </w:r>
      <w:r>
        <w:t>70</w:t>
      </w:r>
      <w:r>
        <w:fldChar w:fldCharType="end"/>
      </w:r>
    </w:p>
    <w:p>
      <w:pPr>
        <w:pStyle w:val="TOC8"/>
        <w:rPr>
          <w:rFonts w:asciiTheme="minorHAnsi" w:eastAsiaTheme="minorEastAsia" w:hAnsiTheme="minorHAnsi" w:cstheme="minorBidi"/>
          <w:szCs w:val="22"/>
        </w:rPr>
      </w:pPr>
      <w:r>
        <w:t>98AR.</w:t>
      </w:r>
      <w:r>
        <w:tab/>
        <w:t>Conditions</w:t>
      </w:r>
      <w:r>
        <w:tab/>
      </w:r>
      <w:r>
        <w:fldChar w:fldCharType="begin"/>
      </w:r>
      <w:r>
        <w:instrText xml:space="preserve"> PAGEREF _Toc462045428 \h </w:instrText>
      </w:r>
      <w:r>
        <w:fldChar w:fldCharType="separate"/>
      </w:r>
      <w:r>
        <w:t>70</w:t>
      </w:r>
      <w:r>
        <w:fldChar w:fldCharType="end"/>
      </w:r>
    </w:p>
    <w:p>
      <w:pPr>
        <w:pStyle w:val="TOC8"/>
        <w:rPr>
          <w:rFonts w:asciiTheme="minorHAnsi" w:eastAsiaTheme="minorEastAsia" w:hAnsiTheme="minorHAnsi" w:cstheme="minorBidi"/>
          <w:szCs w:val="22"/>
        </w:rPr>
      </w:pPr>
      <w:r>
        <w:t>98AS.</w:t>
      </w:r>
      <w:r>
        <w:tab/>
        <w:t>Form of licence</w:t>
      </w:r>
      <w:r>
        <w:tab/>
      </w:r>
      <w:r>
        <w:fldChar w:fldCharType="begin"/>
      </w:r>
      <w:r>
        <w:instrText xml:space="preserve"> PAGEREF _Toc462045429 \h </w:instrText>
      </w:r>
      <w:r>
        <w:fldChar w:fldCharType="separate"/>
      </w:r>
      <w:r>
        <w:t>71</w:t>
      </w:r>
      <w:r>
        <w:fldChar w:fldCharType="end"/>
      </w:r>
    </w:p>
    <w:p>
      <w:pPr>
        <w:pStyle w:val="TOC8"/>
        <w:rPr>
          <w:rFonts w:asciiTheme="minorHAnsi" w:eastAsiaTheme="minorEastAsia" w:hAnsiTheme="minorHAnsi" w:cstheme="minorBidi"/>
          <w:szCs w:val="22"/>
        </w:rPr>
      </w:pPr>
      <w:r>
        <w:t>98AT</w:t>
      </w:r>
      <w:r>
        <w:rPr>
          <w:snapToGrid w:val="0"/>
        </w:rPr>
        <w:t>.</w:t>
      </w:r>
      <w:r>
        <w:rPr>
          <w:snapToGrid w:val="0"/>
        </w:rPr>
        <w:tab/>
        <w:t>Private moorings to be maintained</w:t>
      </w:r>
      <w:r>
        <w:tab/>
      </w:r>
      <w:r>
        <w:fldChar w:fldCharType="begin"/>
      </w:r>
      <w:r>
        <w:instrText xml:space="preserve"> PAGEREF _Toc462045430 \h </w:instrText>
      </w:r>
      <w:r>
        <w:fldChar w:fldCharType="separate"/>
      </w:r>
      <w:r>
        <w:t>71</w:t>
      </w:r>
      <w:r>
        <w:fldChar w:fldCharType="end"/>
      </w:r>
    </w:p>
    <w:p>
      <w:pPr>
        <w:pStyle w:val="TOC8"/>
        <w:rPr>
          <w:rFonts w:asciiTheme="minorHAnsi" w:eastAsiaTheme="minorEastAsia" w:hAnsiTheme="minorHAnsi" w:cstheme="minorBidi"/>
          <w:szCs w:val="22"/>
        </w:rPr>
      </w:pPr>
      <w:r>
        <w:t>98AU</w:t>
      </w:r>
      <w:r>
        <w:rPr>
          <w:snapToGrid w:val="0"/>
        </w:rPr>
        <w:t>.</w:t>
      </w:r>
      <w:r>
        <w:rPr>
          <w:snapToGrid w:val="0"/>
        </w:rPr>
        <w:tab/>
        <w:t>Requirement to repair, relocate or remove private mooring</w:t>
      </w:r>
      <w:r>
        <w:tab/>
      </w:r>
      <w:r>
        <w:fldChar w:fldCharType="begin"/>
      </w:r>
      <w:r>
        <w:instrText xml:space="preserve"> PAGEREF _Toc462045431 \h </w:instrText>
      </w:r>
      <w:r>
        <w:fldChar w:fldCharType="separate"/>
      </w:r>
      <w:r>
        <w:t>71</w:t>
      </w:r>
      <w:r>
        <w:fldChar w:fldCharType="end"/>
      </w:r>
    </w:p>
    <w:p>
      <w:pPr>
        <w:pStyle w:val="TOC8"/>
        <w:rPr>
          <w:rFonts w:asciiTheme="minorHAnsi" w:eastAsiaTheme="minorEastAsia" w:hAnsiTheme="minorHAnsi" w:cstheme="minorBidi"/>
          <w:szCs w:val="22"/>
        </w:rPr>
      </w:pPr>
      <w:r>
        <w:t>98AV</w:t>
      </w:r>
      <w:r>
        <w:rPr>
          <w:snapToGrid w:val="0"/>
        </w:rPr>
        <w:t>.</w:t>
      </w:r>
      <w:r>
        <w:rPr>
          <w:snapToGrid w:val="0"/>
        </w:rPr>
        <w:tab/>
        <w:t>Cancellation of private mooring licence</w:t>
      </w:r>
      <w:r>
        <w:tab/>
      </w:r>
      <w:r>
        <w:fldChar w:fldCharType="begin"/>
      </w:r>
      <w:r>
        <w:instrText xml:space="preserve"> PAGEREF _Toc462045432 \h </w:instrText>
      </w:r>
      <w:r>
        <w:fldChar w:fldCharType="separate"/>
      </w:r>
      <w:r>
        <w:t>72</w:t>
      </w:r>
      <w:r>
        <w:fldChar w:fldCharType="end"/>
      </w:r>
    </w:p>
    <w:p>
      <w:pPr>
        <w:pStyle w:val="TOC8"/>
        <w:rPr>
          <w:rFonts w:asciiTheme="minorHAnsi" w:eastAsiaTheme="minorEastAsia" w:hAnsiTheme="minorHAnsi" w:cstheme="minorBidi"/>
          <w:szCs w:val="22"/>
        </w:rPr>
      </w:pPr>
      <w:r>
        <w:t>98AW</w:t>
      </w:r>
      <w:r>
        <w:rPr>
          <w:snapToGrid w:val="0"/>
        </w:rPr>
        <w:t>.</w:t>
      </w:r>
      <w:r>
        <w:rPr>
          <w:snapToGrid w:val="0"/>
        </w:rPr>
        <w:tab/>
        <w:t>Giving notice of change of registered particulars</w:t>
      </w:r>
      <w:r>
        <w:tab/>
      </w:r>
      <w:r>
        <w:fldChar w:fldCharType="begin"/>
      </w:r>
      <w:r>
        <w:instrText xml:space="preserve"> PAGEREF _Toc462045433 \h </w:instrText>
      </w:r>
      <w:r>
        <w:fldChar w:fldCharType="separate"/>
      </w:r>
      <w:r>
        <w:t>73</w:t>
      </w:r>
      <w:r>
        <w:fldChar w:fldCharType="end"/>
      </w:r>
    </w:p>
    <w:p>
      <w:pPr>
        <w:pStyle w:val="TOC8"/>
        <w:rPr>
          <w:rFonts w:asciiTheme="minorHAnsi" w:eastAsiaTheme="minorEastAsia" w:hAnsiTheme="minorHAnsi" w:cstheme="minorBidi"/>
          <w:szCs w:val="22"/>
        </w:rPr>
      </w:pPr>
      <w:r>
        <w:t>98AX</w:t>
      </w:r>
      <w:r>
        <w:rPr>
          <w:snapToGrid w:val="0"/>
        </w:rPr>
        <w:t>.</w:t>
      </w:r>
      <w:r>
        <w:rPr>
          <w:snapToGrid w:val="0"/>
        </w:rPr>
        <w:tab/>
        <w:t>Surrender of private mooring licence</w:t>
      </w:r>
      <w:r>
        <w:tab/>
      </w:r>
      <w:r>
        <w:fldChar w:fldCharType="begin"/>
      </w:r>
      <w:r>
        <w:instrText xml:space="preserve"> PAGEREF _Toc462045434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8A — Apiary permits and licences</w:t>
      </w:r>
    </w:p>
    <w:p>
      <w:pPr>
        <w:pStyle w:val="TOC8"/>
        <w:rPr>
          <w:rFonts w:asciiTheme="minorHAnsi" w:eastAsiaTheme="minorEastAsia" w:hAnsiTheme="minorHAnsi" w:cstheme="minorBidi"/>
          <w:szCs w:val="22"/>
        </w:rPr>
      </w:pPr>
      <w:r>
        <w:t>98A.</w:t>
      </w:r>
      <w:r>
        <w:tab/>
        <w:t>Terms used</w:t>
      </w:r>
      <w:r>
        <w:tab/>
      </w:r>
      <w:r>
        <w:fldChar w:fldCharType="begin"/>
      </w:r>
      <w:r>
        <w:instrText xml:space="preserve"> PAGEREF _Toc462045436 \h </w:instrText>
      </w:r>
      <w:r>
        <w:fldChar w:fldCharType="separate"/>
      </w:r>
      <w:r>
        <w:t>74</w:t>
      </w:r>
      <w:r>
        <w:fldChar w:fldCharType="end"/>
      </w:r>
    </w:p>
    <w:p>
      <w:pPr>
        <w:pStyle w:val="TOC8"/>
        <w:rPr>
          <w:rFonts w:asciiTheme="minorHAnsi" w:eastAsiaTheme="minorEastAsia" w:hAnsiTheme="minorHAnsi" w:cstheme="minorBidi"/>
          <w:szCs w:val="22"/>
        </w:rPr>
      </w:pPr>
      <w:r>
        <w:t>98B.</w:t>
      </w:r>
      <w:r>
        <w:tab/>
        <w:t>Application of Part 8A</w:t>
      </w:r>
      <w:r>
        <w:tab/>
      </w:r>
      <w:r>
        <w:fldChar w:fldCharType="begin"/>
      </w:r>
      <w:r>
        <w:instrText xml:space="preserve"> PAGEREF _Toc462045437 \h </w:instrText>
      </w:r>
      <w:r>
        <w:fldChar w:fldCharType="separate"/>
      </w:r>
      <w:r>
        <w:t>74</w:t>
      </w:r>
      <w:r>
        <w:fldChar w:fldCharType="end"/>
      </w:r>
    </w:p>
    <w:p>
      <w:pPr>
        <w:pStyle w:val="TOC8"/>
        <w:rPr>
          <w:rFonts w:asciiTheme="minorHAnsi" w:eastAsiaTheme="minorEastAsia" w:hAnsiTheme="minorHAnsi" w:cstheme="minorBidi"/>
          <w:szCs w:val="22"/>
        </w:rPr>
      </w:pPr>
      <w:r>
        <w:t>98C.</w:t>
      </w:r>
      <w:r>
        <w:tab/>
        <w:t>Applications</w:t>
      </w:r>
      <w:r>
        <w:tab/>
      </w:r>
      <w:r>
        <w:fldChar w:fldCharType="begin"/>
      </w:r>
      <w:r>
        <w:instrText xml:space="preserve"> PAGEREF _Toc462045438 \h </w:instrText>
      </w:r>
      <w:r>
        <w:fldChar w:fldCharType="separate"/>
      </w:r>
      <w:r>
        <w:t>75</w:t>
      </w:r>
      <w:r>
        <w:fldChar w:fldCharType="end"/>
      </w:r>
    </w:p>
    <w:p>
      <w:pPr>
        <w:pStyle w:val="TOC8"/>
        <w:rPr>
          <w:rFonts w:asciiTheme="minorHAnsi" w:eastAsiaTheme="minorEastAsia" w:hAnsiTheme="minorHAnsi" w:cstheme="minorBidi"/>
          <w:szCs w:val="22"/>
        </w:rPr>
      </w:pPr>
      <w:r>
        <w:t>98D.</w:t>
      </w:r>
      <w:r>
        <w:tab/>
        <w:t>Maximum area of apiary site</w:t>
      </w:r>
      <w:r>
        <w:tab/>
      </w:r>
      <w:r>
        <w:fldChar w:fldCharType="begin"/>
      </w:r>
      <w:r>
        <w:instrText xml:space="preserve"> PAGEREF _Toc462045439 \h </w:instrText>
      </w:r>
      <w:r>
        <w:fldChar w:fldCharType="separate"/>
      </w:r>
      <w:r>
        <w:t>75</w:t>
      </w:r>
      <w:r>
        <w:fldChar w:fldCharType="end"/>
      </w:r>
    </w:p>
    <w:p>
      <w:pPr>
        <w:pStyle w:val="TOC8"/>
        <w:rPr>
          <w:rFonts w:asciiTheme="minorHAnsi" w:eastAsiaTheme="minorEastAsia" w:hAnsiTheme="minorHAnsi" w:cstheme="minorBidi"/>
          <w:szCs w:val="22"/>
        </w:rPr>
      </w:pPr>
      <w:r>
        <w:t>98E.</w:t>
      </w:r>
      <w:r>
        <w:tab/>
        <w:t>Form of apiary authority</w:t>
      </w:r>
      <w:r>
        <w:tab/>
      </w:r>
      <w:r>
        <w:fldChar w:fldCharType="begin"/>
      </w:r>
      <w:r>
        <w:instrText xml:space="preserve"> PAGEREF _Toc462045440 \h </w:instrText>
      </w:r>
      <w:r>
        <w:fldChar w:fldCharType="separate"/>
      </w:r>
      <w:r>
        <w:t>75</w:t>
      </w:r>
      <w:r>
        <w:fldChar w:fldCharType="end"/>
      </w:r>
    </w:p>
    <w:p>
      <w:pPr>
        <w:pStyle w:val="TOC8"/>
        <w:rPr>
          <w:rFonts w:asciiTheme="minorHAnsi" w:eastAsiaTheme="minorEastAsia" w:hAnsiTheme="minorHAnsi" w:cstheme="minorBidi"/>
          <w:szCs w:val="22"/>
        </w:rPr>
      </w:pPr>
      <w:r>
        <w:t>98F.</w:t>
      </w:r>
      <w:r>
        <w:tab/>
        <w:t>Duration of apiary authority</w:t>
      </w:r>
      <w:r>
        <w:tab/>
      </w:r>
      <w:r>
        <w:fldChar w:fldCharType="begin"/>
      </w:r>
      <w:r>
        <w:instrText xml:space="preserve"> PAGEREF _Toc462045441 \h </w:instrText>
      </w:r>
      <w:r>
        <w:fldChar w:fldCharType="separate"/>
      </w:r>
      <w:r>
        <w:t>76</w:t>
      </w:r>
      <w:r>
        <w:fldChar w:fldCharType="end"/>
      </w:r>
    </w:p>
    <w:p>
      <w:pPr>
        <w:pStyle w:val="TOC8"/>
        <w:rPr>
          <w:rFonts w:asciiTheme="minorHAnsi" w:eastAsiaTheme="minorEastAsia" w:hAnsiTheme="minorHAnsi" w:cstheme="minorBidi"/>
          <w:szCs w:val="22"/>
        </w:rPr>
      </w:pPr>
      <w:r>
        <w:t>98G.</w:t>
      </w:r>
      <w:r>
        <w:tab/>
        <w:t>Conditions</w:t>
      </w:r>
      <w:r>
        <w:tab/>
      </w:r>
      <w:r>
        <w:fldChar w:fldCharType="begin"/>
      </w:r>
      <w:r>
        <w:instrText xml:space="preserve"> PAGEREF _Toc462045442 \h </w:instrText>
      </w:r>
      <w:r>
        <w:fldChar w:fldCharType="separate"/>
      </w:r>
      <w:r>
        <w:t>76</w:t>
      </w:r>
      <w:r>
        <w:fldChar w:fldCharType="end"/>
      </w:r>
    </w:p>
    <w:p>
      <w:pPr>
        <w:pStyle w:val="TOC8"/>
        <w:rPr>
          <w:rFonts w:asciiTheme="minorHAnsi" w:eastAsiaTheme="minorEastAsia" w:hAnsiTheme="minorHAnsi" w:cstheme="minorBidi"/>
          <w:szCs w:val="22"/>
        </w:rPr>
      </w:pPr>
      <w:r>
        <w:t>98H.</w:t>
      </w:r>
      <w:r>
        <w:tab/>
        <w:t>Application of regulations to apiary sites that are not on CALM land</w:t>
      </w:r>
      <w:r>
        <w:tab/>
      </w:r>
      <w:r>
        <w:fldChar w:fldCharType="begin"/>
      </w:r>
      <w:r>
        <w:instrText xml:space="preserve"> PAGEREF _Toc462045443 \h </w:instrText>
      </w:r>
      <w:r>
        <w:fldChar w:fldCharType="separate"/>
      </w:r>
      <w:r>
        <w:t>77</w:t>
      </w:r>
      <w:r>
        <w:fldChar w:fldCharType="end"/>
      </w:r>
    </w:p>
    <w:p>
      <w:pPr>
        <w:pStyle w:val="TOC8"/>
        <w:rPr>
          <w:rFonts w:asciiTheme="minorHAnsi" w:eastAsiaTheme="minorEastAsia" w:hAnsiTheme="minorHAnsi" w:cstheme="minorBidi"/>
          <w:szCs w:val="22"/>
        </w:rPr>
      </w:pPr>
      <w:r>
        <w:t>98I.</w:t>
      </w:r>
      <w:r>
        <w:tab/>
        <w:t>Other operations not affected by apiary</w:t>
      </w:r>
      <w:r>
        <w:tab/>
      </w:r>
      <w:r>
        <w:fldChar w:fldCharType="begin"/>
      </w:r>
      <w:r>
        <w:instrText xml:space="preserve"> PAGEREF _Toc462045444 \h </w:instrText>
      </w:r>
      <w:r>
        <w:fldChar w:fldCharType="separate"/>
      </w:r>
      <w:r>
        <w:t>78</w:t>
      </w:r>
      <w:r>
        <w:fldChar w:fldCharType="end"/>
      </w:r>
    </w:p>
    <w:p>
      <w:pPr>
        <w:pStyle w:val="TOC8"/>
        <w:rPr>
          <w:rFonts w:asciiTheme="minorHAnsi" w:eastAsiaTheme="minorEastAsia" w:hAnsiTheme="minorHAnsi" w:cstheme="minorBidi"/>
          <w:szCs w:val="22"/>
        </w:rPr>
      </w:pPr>
      <w:r>
        <w:t>98J.</w:t>
      </w:r>
      <w:r>
        <w:tab/>
        <w:t>False or misleading information</w:t>
      </w:r>
      <w:r>
        <w:tab/>
      </w:r>
      <w:r>
        <w:fldChar w:fldCharType="begin"/>
      </w:r>
      <w:r>
        <w:instrText xml:space="preserve"> PAGEREF _Toc462045445 \h </w:instrText>
      </w:r>
      <w:r>
        <w:fldChar w:fldCharType="separate"/>
      </w:r>
      <w:r>
        <w:t>79</w:t>
      </w:r>
      <w:r>
        <w:fldChar w:fldCharType="end"/>
      </w:r>
    </w:p>
    <w:p>
      <w:pPr>
        <w:pStyle w:val="TOC8"/>
        <w:rPr>
          <w:rFonts w:asciiTheme="minorHAnsi" w:eastAsiaTheme="minorEastAsia" w:hAnsiTheme="minorHAnsi" w:cstheme="minorBidi"/>
          <w:szCs w:val="22"/>
        </w:rPr>
      </w:pPr>
      <w:r>
        <w:t>98K.</w:t>
      </w:r>
      <w:r>
        <w:tab/>
        <w:t>Rent for apiary sites</w:t>
      </w:r>
      <w:r>
        <w:tab/>
      </w:r>
      <w:r>
        <w:fldChar w:fldCharType="begin"/>
      </w:r>
      <w:r>
        <w:instrText xml:space="preserve"> PAGEREF _Toc462045446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8 — Fees</w:t>
      </w:r>
    </w:p>
    <w:p>
      <w:pPr>
        <w:pStyle w:val="TOC8"/>
        <w:rPr>
          <w:rFonts w:asciiTheme="minorHAnsi" w:eastAsiaTheme="minorEastAsia" w:hAnsiTheme="minorHAnsi" w:cstheme="minorBidi"/>
          <w:szCs w:val="22"/>
        </w:rPr>
      </w:pPr>
      <w:r>
        <w:t>99</w:t>
      </w:r>
      <w:r>
        <w:rPr>
          <w:snapToGrid w:val="0"/>
        </w:rPr>
        <w:t>.</w:t>
      </w:r>
      <w:r>
        <w:rPr>
          <w:snapToGrid w:val="0"/>
        </w:rPr>
        <w:tab/>
        <w:t>Entrance fees</w:t>
      </w:r>
      <w:r>
        <w:t xml:space="preserve"> for motor vehicles</w:t>
      </w:r>
      <w:r>
        <w:tab/>
      </w:r>
      <w:r>
        <w:fldChar w:fldCharType="begin"/>
      </w:r>
      <w:r>
        <w:instrText xml:space="preserve"> PAGEREF _Toc462045448 \h </w:instrText>
      </w:r>
      <w:r>
        <w:fldChar w:fldCharType="separate"/>
      </w:r>
      <w:r>
        <w:t>80</w:t>
      </w:r>
      <w:r>
        <w:fldChar w:fldCharType="end"/>
      </w:r>
    </w:p>
    <w:p>
      <w:pPr>
        <w:pStyle w:val="TOC8"/>
        <w:rPr>
          <w:rFonts w:asciiTheme="minorHAnsi" w:eastAsiaTheme="minorEastAsia" w:hAnsiTheme="minorHAnsi" w:cstheme="minorBidi"/>
          <w:szCs w:val="22"/>
        </w:rPr>
      </w:pPr>
      <w:r>
        <w:t>99A.</w:t>
      </w:r>
      <w:r>
        <w:tab/>
        <w:t>Landing fees for aircraft</w:t>
      </w:r>
      <w:r>
        <w:tab/>
      </w:r>
      <w:r>
        <w:fldChar w:fldCharType="begin"/>
      </w:r>
      <w:r>
        <w:instrText xml:space="preserve"> PAGEREF _Toc462045449 \h </w:instrText>
      </w:r>
      <w:r>
        <w:fldChar w:fldCharType="separate"/>
      </w:r>
      <w:r>
        <w:t>81</w:t>
      </w:r>
      <w:r>
        <w:fldChar w:fldCharType="end"/>
      </w:r>
    </w:p>
    <w:p>
      <w:pPr>
        <w:pStyle w:val="TOC8"/>
        <w:rPr>
          <w:rFonts w:asciiTheme="minorHAnsi" w:eastAsiaTheme="minorEastAsia" w:hAnsiTheme="minorHAnsi" w:cstheme="minorBidi"/>
          <w:szCs w:val="22"/>
        </w:rPr>
      </w:pPr>
      <w:r>
        <w:t>99B.</w:t>
      </w:r>
      <w:r>
        <w:tab/>
        <w:t>Aircraft landing areas</w:t>
      </w:r>
      <w:r>
        <w:tab/>
      </w:r>
      <w:r>
        <w:fldChar w:fldCharType="begin"/>
      </w:r>
      <w:r>
        <w:instrText xml:space="preserve"> PAGEREF _Toc462045450 \h </w:instrText>
      </w:r>
      <w:r>
        <w:fldChar w:fldCharType="separate"/>
      </w:r>
      <w:r>
        <w:t>82</w:t>
      </w:r>
      <w:r>
        <w:fldChar w:fldCharType="end"/>
      </w:r>
    </w:p>
    <w:p>
      <w:pPr>
        <w:pStyle w:val="TOC8"/>
        <w:rPr>
          <w:rFonts w:asciiTheme="minorHAnsi" w:eastAsiaTheme="minorEastAsia" w:hAnsiTheme="minorHAnsi" w:cstheme="minorBidi"/>
          <w:szCs w:val="22"/>
        </w:rPr>
      </w:pPr>
      <w:r>
        <w:t>99C.</w:t>
      </w:r>
      <w:r>
        <w:tab/>
        <w:t>Entrance fees for Monkey Mia Conservation Park</w:t>
      </w:r>
      <w:r>
        <w:tab/>
      </w:r>
      <w:r>
        <w:fldChar w:fldCharType="begin"/>
      </w:r>
      <w:r>
        <w:instrText xml:space="preserve"> PAGEREF _Toc462045451 \h </w:instrText>
      </w:r>
      <w:r>
        <w:fldChar w:fldCharType="separate"/>
      </w:r>
      <w:r>
        <w:t>82</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Entrance fees for Tree Top Walk</w:t>
      </w:r>
      <w:r>
        <w:tab/>
      </w:r>
      <w:r>
        <w:fldChar w:fldCharType="begin"/>
      </w:r>
      <w:r>
        <w:instrText xml:space="preserve"> PAGEREF _Toc462045452 \h </w:instrText>
      </w:r>
      <w:r>
        <w:fldChar w:fldCharType="separate"/>
      </w:r>
      <w:r>
        <w:t>83</w:t>
      </w:r>
      <w:r>
        <w:fldChar w:fldCharType="end"/>
      </w:r>
    </w:p>
    <w:p>
      <w:pPr>
        <w:pStyle w:val="TOC8"/>
        <w:rPr>
          <w:rFonts w:asciiTheme="minorHAnsi" w:eastAsiaTheme="minorEastAsia" w:hAnsiTheme="minorHAnsi" w:cstheme="minorBidi"/>
          <w:szCs w:val="22"/>
        </w:rPr>
      </w:pPr>
      <w:r>
        <w:t>100A.</w:t>
      </w:r>
      <w:r>
        <w:tab/>
        <w:t>Entrance fees for Crystal Cave and Calgardup and Giants Caves</w:t>
      </w:r>
      <w:r>
        <w:tab/>
      </w:r>
      <w:r>
        <w:fldChar w:fldCharType="begin"/>
      </w:r>
      <w:r>
        <w:instrText xml:space="preserve"> PAGEREF _Toc462045453 \h </w:instrText>
      </w:r>
      <w:r>
        <w:fldChar w:fldCharType="separate"/>
      </w:r>
      <w:r>
        <w:t>84</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Fees for Geikie Gorge National Park Boat Trip</w:t>
      </w:r>
      <w:r>
        <w:tab/>
      </w:r>
      <w:r>
        <w:fldChar w:fldCharType="begin"/>
      </w:r>
      <w:r>
        <w:instrText xml:space="preserve"> PAGEREF _Toc462045454 \h </w:instrText>
      </w:r>
      <w:r>
        <w:fldChar w:fldCharType="separate"/>
      </w:r>
      <w:r>
        <w:t>84</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Fees for entry on horseback</w:t>
      </w:r>
      <w:r>
        <w:tab/>
      </w:r>
      <w:r>
        <w:fldChar w:fldCharType="begin"/>
      </w:r>
      <w:r>
        <w:instrText xml:space="preserve"> PAGEREF _Toc462045455 \h </w:instrText>
      </w:r>
      <w:r>
        <w:fldChar w:fldCharType="separate"/>
      </w:r>
      <w:r>
        <w:t>84</w:t>
      </w:r>
      <w:r>
        <w:fldChar w:fldCharType="end"/>
      </w:r>
    </w:p>
    <w:p>
      <w:pPr>
        <w:pStyle w:val="TOC8"/>
        <w:rPr>
          <w:rFonts w:asciiTheme="minorHAnsi" w:eastAsiaTheme="minorEastAsia" w:hAnsiTheme="minorHAnsi" w:cstheme="minorBidi"/>
          <w:szCs w:val="22"/>
        </w:rPr>
      </w:pPr>
      <w:r>
        <w:t>102A.</w:t>
      </w:r>
      <w:r>
        <w:tab/>
        <w:t>Abseiling fee</w:t>
      </w:r>
      <w:r>
        <w:tab/>
      </w:r>
      <w:r>
        <w:fldChar w:fldCharType="begin"/>
      </w:r>
      <w:r>
        <w:instrText xml:space="preserve"> PAGEREF _Toc462045456 \h </w:instrText>
      </w:r>
      <w:r>
        <w:fldChar w:fldCharType="separate"/>
      </w:r>
      <w:r>
        <w:t>85</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Camping fees</w:t>
      </w:r>
      <w:r>
        <w:tab/>
      </w:r>
      <w:r>
        <w:fldChar w:fldCharType="begin"/>
      </w:r>
      <w:r>
        <w:instrText xml:space="preserve"> PAGEREF _Toc462045457 \h </w:instrText>
      </w:r>
      <w:r>
        <w:fldChar w:fldCharType="separate"/>
      </w:r>
      <w:r>
        <w:t>85</w:t>
      </w:r>
      <w:r>
        <w:fldChar w:fldCharType="end"/>
      </w:r>
    </w:p>
    <w:p>
      <w:pPr>
        <w:pStyle w:val="TOC8"/>
        <w:rPr>
          <w:rFonts w:asciiTheme="minorHAnsi" w:eastAsiaTheme="minorEastAsia" w:hAnsiTheme="minorHAnsi" w:cstheme="minorBidi"/>
          <w:szCs w:val="22"/>
        </w:rPr>
      </w:pPr>
      <w:r>
        <w:t>103A.</w:t>
      </w:r>
      <w:r>
        <w:tab/>
        <w:t>Companion of Companion Card holder</w:t>
      </w:r>
      <w:r>
        <w:tab/>
      </w:r>
      <w:r>
        <w:fldChar w:fldCharType="begin"/>
      </w:r>
      <w:r>
        <w:instrText xml:space="preserve"> PAGEREF _Toc462045458 \h </w:instrText>
      </w:r>
      <w:r>
        <w:fldChar w:fldCharType="separate"/>
      </w:r>
      <w:r>
        <w:t>86</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Fees may be waived or reduced</w:t>
      </w:r>
      <w:r>
        <w:tab/>
      </w:r>
      <w:r>
        <w:fldChar w:fldCharType="begin"/>
      </w:r>
      <w:r>
        <w:instrText xml:space="preserve"> PAGEREF _Toc462045459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9</w:t>
      </w:r>
      <w:r>
        <w:rPr>
          <w:b w:val="0"/>
        </w:rPr>
        <w:t> </w:t>
      </w:r>
      <w:r>
        <w:t>—</w:t>
      </w:r>
      <w:r>
        <w:rPr>
          <w:b w:val="0"/>
        </w:rPr>
        <w:t> </w:t>
      </w:r>
      <w:r>
        <w:t>Miscellaneous</w:t>
      </w:r>
    </w:p>
    <w:p>
      <w:pPr>
        <w:pStyle w:val="TOC8"/>
        <w:rPr>
          <w:rFonts w:asciiTheme="minorHAnsi" w:eastAsiaTheme="minorEastAsia" w:hAnsiTheme="minorHAnsi" w:cstheme="minorBidi"/>
          <w:szCs w:val="22"/>
        </w:rPr>
      </w:pPr>
      <w:r>
        <w:t>105</w:t>
      </w:r>
      <w:r>
        <w:rPr>
          <w:snapToGrid w:val="0"/>
        </w:rPr>
        <w:t>.</w:t>
      </w:r>
      <w:r>
        <w:rPr>
          <w:snapToGrid w:val="0"/>
        </w:rPr>
        <w:tab/>
        <w:t>Organised events and meetings</w:t>
      </w:r>
      <w:r>
        <w:tab/>
      </w:r>
      <w:r>
        <w:fldChar w:fldCharType="begin"/>
      </w:r>
      <w:r>
        <w:instrText xml:space="preserve"> PAGEREF _Toc462045461 \h </w:instrText>
      </w:r>
      <w:r>
        <w:fldChar w:fldCharType="separate"/>
      </w:r>
      <w:r>
        <w:t>87</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Unlawful commercial operations</w:t>
      </w:r>
      <w:r>
        <w:tab/>
      </w:r>
      <w:r>
        <w:fldChar w:fldCharType="begin"/>
      </w:r>
      <w:r>
        <w:instrText xml:space="preserve"> PAGEREF _Toc462045462 \h </w:instrText>
      </w:r>
      <w:r>
        <w:fldChar w:fldCharType="separate"/>
      </w:r>
      <w:r>
        <w:t>87</w:t>
      </w:r>
      <w:r>
        <w:fldChar w:fldCharType="end"/>
      </w:r>
    </w:p>
    <w:p>
      <w:pPr>
        <w:pStyle w:val="TOC8"/>
        <w:rPr>
          <w:rFonts w:asciiTheme="minorHAnsi" w:eastAsiaTheme="minorEastAsia" w:hAnsiTheme="minorHAnsi" w:cstheme="minorBidi"/>
          <w:szCs w:val="22"/>
        </w:rPr>
      </w:pPr>
      <w:r>
        <w:t>107.</w:t>
      </w:r>
      <w:r>
        <w:tab/>
        <w:t>Distribution of printed matter and advertising material</w:t>
      </w:r>
      <w:r>
        <w:tab/>
      </w:r>
      <w:r>
        <w:fldChar w:fldCharType="begin"/>
      </w:r>
      <w:r>
        <w:instrText xml:space="preserve"> PAGEREF _Toc462045463 \h </w:instrText>
      </w:r>
      <w:r>
        <w:fldChar w:fldCharType="separate"/>
      </w:r>
      <w:r>
        <w:t>87</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Photography for commercial purposes</w:t>
      </w:r>
      <w:r>
        <w:tab/>
      </w:r>
      <w:r>
        <w:fldChar w:fldCharType="begin"/>
      </w:r>
      <w:r>
        <w:instrText xml:space="preserve"> PAGEREF _Toc462045464 \h </w:instrText>
      </w:r>
      <w:r>
        <w:fldChar w:fldCharType="separate"/>
      </w:r>
      <w:r>
        <w:t>88</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Production of licences etc.</w:t>
      </w:r>
      <w:r>
        <w:tab/>
      </w:r>
      <w:r>
        <w:fldChar w:fldCharType="begin"/>
      </w:r>
      <w:r>
        <w:instrText xml:space="preserve"> PAGEREF _Toc462045465 \h </w:instrText>
      </w:r>
      <w:r>
        <w:fldChar w:fldCharType="separate"/>
      </w:r>
      <w:r>
        <w:t>88</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False or misleading information</w:t>
      </w:r>
      <w:r>
        <w:tab/>
      </w:r>
      <w:r>
        <w:fldChar w:fldCharType="begin"/>
      </w:r>
      <w:r>
        <w:instrText xml:space="preserve"> PAGEREF _Toc462045466 \h </w:instrText>
      </w:r>
      <w:r>
        <w:fldChar w:fldCharType="separate"/>
      </w:r>
      <w:r>
        <w:t>89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Signs — presumption</w:t>
      </w:r>
      <w:r>
        <w:tab/>
      </w:r>
      <w:r>
        <w:fldChar w:fldCharType="begin"/>
      </w:r>
      <w:r>
        <w:instrText xml:space="preserve"> PAGEREF _Toc462045467 \h </w:instrText>
      </w:r>
      <w:r>
        <w:fldChar w:fldCharType="separate"/>
      </w:r>
      <w:r>
        <w:t>89</w:t>
      </w:r>
      <w:r>
        <w:fldChar w:fldCharType="end"/>
      </w:r>
    </w:p>
    <w:p>
      <w:pPr>
        <w:pStyle w:val="TOC8"/>
        <w:rPr>
          <w:rFonts w:asciiTheme="minorHAnsi" w:eastAsiaTheme="minorEastAsia" w:hAnsiTheme="minorHAnsi" w:cstheme="minorBidi"/>
          <w:szCs w:val="22"/>
        </w:rPr>
      </w:pPr>
      <w:r>
        <w:t>111A.</w:t>
      </w:r>
      <w:r>
        <w:tab/>
        <w:t>Reasons for decisions</w:t>
      </w:r>
      <w:r>
        <w:tab/>
      </w:r>
      <w:r>
        <w:fldChar w:fldCharType="begin"/>
      </w:r>
      <w:r>
        <w:instrText xml:space="preserve"> PAGEREF _Toc462045468 \h </w:instrText>
      </w:r>
      <w:r>
        <w:fldChar w:fldCharType="separate"/>
      </w:r>
      <w:r>
        <w:t>89</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Infringement notices</w:t>
      </w:r>
      <w:r>
        <w:tab/>
      </w:r>
      <w:r>
        <w:fldChar w:fldCharType="begin"/>
      </w:r>
      <w:r>
        <w:instrText xml:space="preserve"> PAGEREF _Toc462045469 \h </w:instrText>
      </w:r>
      <w:r>
        <w:fldChar w:fldCharType="separate"/>
      </w:r>
      <w:r>
        <w:t>89</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Evidence</w:t>
      </w:r>
      <w:r>
        <w:tab/>
      </w:r>
      <w:r>
        <w:fldChar w:fldCharType="begin"/>
      </w:r>
      <w:r>
        <w:instrText xml:space="preserve"> PAGEREF _Toc462045470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10 — Exclusion of operation of section 103A(3)</w:t>
      </w:r>
    </w:p>
    <w:p>
      <w:pPr>
        <w:pStyle w:val="TOC8"/>
        <w:rPr>
          <w:rFonts w:asciiTheme="minorHAnsi" w:eastAsiaTheme="minorEastAsia" w:hAnsiTheme="minorHAnsi" w:cstheme="minorBidi"/>
          <w:szCs w:val="22"/>
        </w:rPr>
      </w:pPr>
      <w:r>
        <w:t>114.</w:t>
      </w:r>
      <w:r>
        <w:tab/>
        <w:t>Terms used</w:t>
      </w:r>
      <w:r>
        <w:tab/>
      </w:r>
      <w:r>
        <w:fldChar w:fldCharType="begin"/>
      </w:r>
      <w:r>
        <w:instrText xml:space="preserve"> PAGEREF _Toc462045472 \h </w:instrText>
      </w:r>
      <w:r>
        <w:fldChar w:fldCharType="separate"/>
      </w:r>
      <w:r>
        <w:t>91</w:t>
      </w:r>
      <w:r>
        <w:fldChar w:fldCharType="end"/>
      </w:r>
    </w:p>
    <w:p>
      <w:pPr>
        <w:pStyle w:val="TOC8"/>
        <w:rPr>
          <w:rFonts w:asciiTheme="minorHAnsi" w:eastAsiaTheme="minorEastAsia" w:hAnsiTheme="minorHAnsi" w:cstheme="minorBidi"/>
          <w:szCs w:val="22"/>
        </w:rPr>
      </w:pPr>
      <w:r>
        <w:t>115.</w:t>
      </w:r>
      <w:r>
        <w:tab/>
        <w:t>Exclusion of operation of section 103A(3) of Act: animals</w:t>
      </w:r>
      <w:r>
        <w:tab/>
      </w:r>
      <w:r>
        <w:fldChar w:fldCharType="begin"/>
      </w:r>
      <w:r>
        <w:instrText xml:space="preserve"> PAGEREF _Toc462045473 \h </w:instrText>
      </w:r>
      <w:r>
        <w:fldChar w:fldCharType="separate"/>
      </w:r>
      <w:r>
        <w:t>92</w:t>
      </w:r>
      <w:r>
        <w:fldChar w:fldCharType="end"/>
      </w:r>
    </w:p>
    <w:p>
      <w:pPr>
        <w:pStyle w:val="TOC8"/>
        <w:rPr>
          <w:rFonts w:asciiTheme="minorHAnsi" w:eastAsiaTheme="minorEastAsia" w:hAnsiTheme="minorHAnsi" w:cstheme="minorBidi"/>
          <w:szCs w:val="22"/>
        </w:rPr>
      </w:pPr>
      <w:r>
        <w:t>116.</w:t>
      </w:r>
      <w:r>
        <w:tab/>
        <w:t>Exclusion of operation of section 103A(3) of Act: vehicles</w:t>
      </w:r>
      <w:r>
        <w:tab/>
      </w:r>
      <w:r>
        <w:fldChar w:fldCharType="begin"/>
      </w:r>
      <w:r>
        <w:instrText xml:space="preserve"> PAGEREF _Toc462045474 \h </w:instrText>
      </w:r>
      <w:r>
        <w:fldChar w:fldCharType="separate"/>
      </w:r>
      <w:r>
        <w:t>93</w:t>
      </w:r>
      <w:r>
        <w:fldChar w:fldCharType="end"/>
      </w:r>
    </w:p>
    <w:p>
      <w:pPr>
        <w:pStyle w:val="TOC8"/>
        <w:rPr>
          <w:rFonts w:asciiTheme="minorHAnsi" w:eastAsiaTheme="minorEastAsia" w:hAnsiTheme="minorHAnsi" w:cstheme="minorBidi"/>
          <w:szCs w:val="22"/>
        </w:rPr>
      </w:pPr>
      <w:r>
        <w:t>117.</w:t>
      </w:r>
      <w:r>
        <w:tab/>
        <w:t>Exclusion of operation of section 103A(3) of Act: vessel</w:t>
      </w:r>
      <w:r>
        <w:tab/>
      </w:r>
      <w:r>
        <w:fldChar w:fldCharType="begin"/>
      </w:r>
      <w:r>
        <w:instrText xml:space="preserve"> PAGEREF _Toc462045475 \h </w:instrText>
      </w:r>
      <w:r>
        <w:fldChar w:fldCharType="separate"/>
      </w:r>
      <w:r>
        <w:t>93</w:t>
      </w:r>
      <w:r>
        <w:fldChar w:fldCharType="end"/>
      </w:r>
    </w:p>
    <w:p>
      <w:pPr>
        <w:pStyle w:val="TOC8"/>
        <w:rPr>
          <w:rFonts w:asciiTheme="minorHAnsi" w:eastAsiaTheme="minorEastAsia" w:hAnsiTheme="minorHAnsi" w:cstheme="minorBidi"/>
          <w:szCs w:val="22"/>
        </w:rPr>
      </w:pPr>
      <w:r>
        <w:t>118.</w:t>
      </w:r>
      <w:r>
        <w:tab/>
        <w:t>Exclusion of operation of section 103A(3) of Act: fire</w:t>
      </w:r>
      <w:r>
        <w:tab/>
      </w:r>
      <w:r>
        <w:fldChar w:fldCharType="begin"/>
      </w:r>
      <w:r>
        <w:instrText xml:space="preserve"> PAGEREF _Toc462045476 \h </w:instrText>
      </w:r>
      <w:r>
        <w:fldChar w:fldCharType="separate"/>
      </w:r>
      <w:r>
        <w:t>93</w:t>
      </w:r>
      <w:r>
        <w:fldChar w:fldCharType="end"/>
      </w:r>
    </w:p>
    <w:p>
      <w:pPr>
        <w:pStyle w:val="TOC8"/>
        <w:rPr>
          <w:rFonts w:asciiTheme="minorHAnsi" w:eastAsiaTheme="minorEastAsia" w:hAnsiTheme="minorHAnsi" w:cstheme="minorBidi"/>
          <w:szCs w:val="22"/>
        </w:rPr>
      </w:pPr>
      <w:r>
        <w:t>119.</w:t>
      </w:r>
      <w:r>
        <w:tab/>
        <w:t>Exclusion of operation of section 103A(3) of Act: camping</w:t>
      </w:r>
      <w:r>
        <w:tab/>
      </w:r>
      <w:r>
        <w:fldChar w:fldCharType="begin"/>
      </w:r>
      <w:r>
        <w:instrText xml:space="preserve"> PAGEREF _Toc462045477 \h </w:instrText>
      </w:r>
      <w:r>
        <w:fldChar w:fldCharType="separate"/>
      </w:r>
      <w:r>
        <w:t>95</w:t>
      </w:r>
      <w:r>
        <w:fldChar w:fldCharType="end"/>
      </w:r>
    </w:p>
    <w:p>
      <w:pPr>
        <w:pStyle w:val="TOC8"/>
        <w:rPr>
          <w:rFonts w:asciiTheme="minorHAnsi" w:eastAsiaTheme="minorEastAsia" w:hAnsiTheme="minorHAnsi" w:cstheme="minorBidi"/>
          <w:szCs w:val="22"/>
        </w:rPr>
      </w:pPr>
      <w:r>
        <w:t>120.</w:t>
      </w:r>
      <w:r>
        <w:tab/>
        <w:t>Exclusion of operation of section 103A(3) of Act: entering land</w:t>
      </w:r>
      <w:r>
        <w:tab/>
      </w:r>
      <w:r>
        <w:fldChar w:fldCharType="begin"/>
      </w:r>
      <w:r>
        <w:instrText xml:space="preserve"> PAGEREF _Toc462045478 \h </w:instrText>
      </w:r>
      <w:r>
        <w:fldChar w:fldCharType="separate"/>
      </w:r>
      <w:r>
        <w:t>96</w:t>
      </w:r>
      <w:r>
        <w:fldChar w:fldCharType="end"/>
      </w:r>
    </w:p>
    <w:p>
      <w:pPr>
        <w:pStyle w:val="TOC8"/>
        <w:rPr>
          <w:rFonts w:asciiTheme="minorHAnsi" w:eastAsiaTheme="minorEastAsia" w:hAnsiTheme="minorHAnsi" w:cstheme="minorBidi"/>
          <w:szCs w:val="22"/>
        </w:rPr>
      </w:pPr>
      <w:r>
        <w:t>121.</w:t>
      </w:r>
      <w:r>
        <w:tab/>
        <w:t>Exclusion of operation of section 103A(3) of Act: protected thing</w:t>
      </w:r>
      <w:r>
        <w:tab/>
      </w:r>
      <w:r>
        <w:fldChar w:fldCharType="begin"/>
      </w:r>
      <w:r>
        <w:instrText xml:space="preserve"> PAGEREF _Toc462045479 \h </w:instrText>
      </w:r>
      <w:r>
        <w:fldChar w:fldCharType="separate"/>
      </w:r>
      <w:r>
        <w:t>96</w:t>
      </w:r>
      <w:r>
        <w:fldChar w:fldCharType="end"/>
      </w:r>
    </w:p>
    <w:p>
      <w:pPr>
        <w:pStyle w:val="TOC8"/>
        <w:rPr>
          <w:rFonts w:asciiTheme="minorHAnsi" w:eastAsiaTheme="minorEastAsia" w:hAnsiTheme="minorHAnsi" w:cstheme="minorBidi"/>
          <w:szCs w:val="22"/>
        </w:rPr>
      </w:pPr>
      <w:r>
        <w:t>122.</w:t>
      </w:r>
      <w:r>
        <w:tab/>
        <w:t>Permission of CEO</w:t>
      </w:r>
      <w:r>
        <w:tab/>
      </w:r>
      <w:r>
        <w:fldChar w:fldCharType="begin"/>
      </w:r>
      <w:r>
        <w:instrText xml:space="preserve"> PAGEREF _Toc462045480 \h </w:instrText>
      </w:r>
      <w:r>
        <w:fldChar w:fldCharType="separate"/>
      </w:r>
      <w:r>
        <w:t>99</w:t>
      </w:r>
      <w:r>
        <w:fldChar w:fldCharType="end"/>
      </w:r>
    </w:p>
    <w:p>
      <w:pPr>
        <w:pStyle w:val="TOC8"/>
        <w:rPr>
          <w:rFonts w:asciiTheme="minorHAnsi" w:eastAsiaTheme="minorEastAsia" w:hAnsiTheme="minorHAnsi" w:cstheme="minorBidi"/>
          <w:szCs w:val="22"/>
        </w:rPr>
      </w:pPr>
      <w:r>
        <w:t>123.</w:t>
      </w:r>
      <w:r>
        <w:tab/>
        <w:t>Variation and revocation of permission</w:t>
      </w:r>
      <w:r>
        <w:tab/>
      </w:r>
      <w:r>
        <w:fldChar w:fldCharType="begin"/>
      </w:r>
      <w:r>
        <w:instrText xml:space="preserve"> PAGEREF _Toc462045481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regulations</w:t>
      </w:r>
    </w:p>
    <w:p>
      <w:pPr>
        <w:pStyle w:val="TOC8"/>
        <w:rPr>
          <w:rFonts w:asciiTheme="minorHAnsi" w:eastAsiaTheme="minorEastAsia" w:hAnsiTheme="minorHAnsi" w:cstheme="minorBidi"/>
          <w:szCs w:val="22"/>
        </w:rPr>
      </w:pPr>
      <w:r>
        <w:t>124.</w:t>
      </w:r>
      <w:r>
        <w:tab/>
        <w:t xml:space="preserve">State forests: </w:t>
      </w:r>
      <w:r>
        <w:rPr>
          <w:i/>
        </w:rPr>
        <w:t>Conservation and Land Management Amendment Act 2015</w:t>
      </w:r>
      <w:r>
        <w:t xml:space="preserve"> section 12</w:t>
      </w:r>
      <w:r>
        <w:tab/>
      </w:r>
      <w:r>
        <w:fldChar w:fldCharType="begin"/>
      </w:r>
      <w:r>
        <w:instrText xml:space="preserve"> PAGEREF _Toc462045483 \h </w:instrText>
      </w:r>
      <w:r>
        <w:fldChar w:fldCharType="separate"/>
      </w:r>
      <w:r>
        <w:t>101</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Fees</w:t>
      </w:r>
    </w:p>
    <w:p>
      <w:pPr>
        <w:pStyle w:val="TOC4"/>
        <w:keepNext w:val="0"/>
        <w:tabs>
          <w:tab w:val="right" w:leader="dot" w:pos="7077"/>
        </w:tabs>
        <w:rPr>
          <w:rFonts w:asciiTheme="minorHAnsi" w:eastAsiaTheme="minorEastAsia" w:hAnsiTheme="minorHAnsi" w:cstheme="minorBidi"/>
          <w:b w:val="0"/>
          <w:szCs w:val="22"/>
        </w:rPr>
      </w:pPr>
      <w:r>
        <w:t>Division 1</w:t>
      </w:r>
      <w:r>
        <w:rPr>
          <w:snapToGrid w:val="0"/>
        </w:rPr>
        <w:t> — </w:t>
      </w:r>
      <w:r>
        <w:t>Daily entrance fees where an entrance fee is charged</w:t>
      </w:r>
    </w:p>
    <w:p>
      <w:pPr>
        <w:pStyle w:val="TOC4"/>
        <w:keepNext w:val="0"/>
        <w:tabs>
          <w:tab w:val="right" w:leader="dot" w:pos="7077"/>
        </w:tabs>
        <w:rPr>
          <w:rFonts w:asciiTheme="minorHAnsi" w:eastAsiaTheme="minorEastAsia" w:hAnsiTheme="minorHAnsi" w:cstheme="minorBidi"/>
          <w:b w:val="0"/>
          <w:szCs w:val="22"/>
        </w:rPr>
      </w:pPr>
      <w:r>
        <w:t>Division 2</w:t>
      </w:r>
      <w:r>
        <w:rPr>
          <w:snapToGrid w:val="0"/>
        </w:rPr>
        <w:t> — </w:t>
      </w:r>
      <w:r>
        <w:t>Fees for passes providing extended entrance to CALM land</w:t>
      </w:r>
    </w:p>
    <w:p>
      <w:pPr>
        <w:pStyle w:val="TOC4"/>
        <w:keepNext w:val="0"/>
        <w:tabs>
          <w:tab w:val="right" w:leader="dot" w:pos="7077"/>
        </w:tabs>
        <w:rPr>
          <w:rFonts w:asciiTheme="minorHAnsi" w:eastAsiaTheme="minorEastAsia" w:hAnsiTheme="minorHAnsi" w:cstheme="minorBidi"/>
          <w:b w:val="0"/>
          <w:szCs w:val="22"/>
        </w:rPr>
      </w:pPr>
      <w:r>
        <w:t>Division 3</w:t>
      </w:r>
      <w:r>
        <w:rPr>
          <w:b w:val="0"/>
        </w:rPr>
        <w:t> </w:t>
      </w:r>
      <w:r>
        <w:t>—</w:t>
      </w:r>
      <w:r>
        <w:rPr>
          <w:b w:val="0"/>
        </w:rPr>
        <w:t> </w:t>
      </w:r>
      <w:r>
        <w:t>Daily entrance fees for Tree Top Walk</w:t>
      </w:r>
    </w:p>
    <w:p>
      <w:pPr>
        <w:pStyle w:val="TOC4"/>
        <w:keepNext w:val="0"/>
        <w:tabs>
          <w:tab w:val="right" w:leader="dot" w:pos="7077"/>
        </w:tabs>
        <w:rPr>
          <w:rFonts w:asciiTheme="minorHAnsi" w:eastAsiaTheme="minorEastAsia" w:hAnsiTheme="minorHAnsi" w:cstheme="minorBidi"/>
          <w:b w:val="0"/>
          <w:szCs w:val="22"/>
        </w:rPr>
      </w:pPr>
      <w:r>
        <w:t>Division 4</w:t>
      </w:r>
      <w:r>
        <w:rPr>
          <w:b w:val="0"/>
        </w:rPr>
        <w:t> — </w:t>
      </w:r>
      <w:r>
        <w:t>Fees for Geikie Gorge National Park Boat Trip</w:t>
      </w:r>
    </w:p>
    <w:p>
      <w:pPr>
        <w:pStyle w:val="TOC4"/>
        <w:keepNext w:val="0"/>
        <w:tabs>
          <w:tab w:val="right" w:leader="dot" w:pos="7077"/>
        </w:tabs>
        <w:rPr>
          <w:rFonts w:asciiTheme="minorHAnsi" w:eastAsiaTheme="minorEastAsia" w:hAnsiTheme="minorHAnsi" w:cstheme="minorBidi"/>
          <w:b w:val="0"/>
          <w:szCs w:val="22"/>
        </w:rPr>
      </w:pPr>
      <w:r>
        <w:t>Division 5</w:t>
      </w:r>
      <w:r>
        <w:rPr>
          <w:b w:val="0"/>
        </w:rPr>
        <w:t> — </w:t>
      </w:r>
      <w:r>
        <w:t>Horse riding</w:t>
      </w:r>
    </w:p>
    <w:p>
      <w:pPr>
        <w:pStyle w:val="TOC4"/>
        <w:keepNext w:val="0"/>
        <w:tabs>
          <w:tab w:val="right" w:leader="dot" w:pos="7077"/>
        </w:tabs>
        <w:rPr>
          <w:rFonts w:asciiTheme="minorHAnsi" w:eastAsiaTheme="minorEastAsia" w:hAnsiTheme="minorHAnsi" w:cstheme="minorBidi"/>
          <w:b w:val="0"/>
          <w:szCs w:val="22"/>
        </w:rPr>
      </w:pPr>
      <w:r>
        <w:t>Division 6</w:t>
      </w:r>
      <w:r>
        <w:rPr>
          <w:snapToGrid w:val="0"/>
        </w:rPr>
        <w:t> — </w:t>
      </w:r>
      <w:r>
        <w:t>Camping site fees</w:t>
      </w:r>
    </w:p>
    <w:p>
      <w:pPr>
        <w:pStyle w:val="TOC4"/>
        <w:keepNext w:val="0"/>
        <w:tabs>
          <w:tab w:val="right" w:leader="dot" w:pos="7077"/>
        </w:tabs>
        <w:rPr>
          <w:rFonts w:asciiTheme="minorHAnsi" w:eastAsiaTheme="minorEastAsia" w:hAnsiTheme="minorHAnsi" w:cstheme="minorBidi"/>
          <w:b w:val="0"/>
          <w:szCs w:val="22"/>
        </w:rPr>
      </w:pPr>
      <w:r>
        <w:t>Division 7</w:t>
      </w:r>
      <w:r>
        <w:rPr>
          <w:b w:val="0"/>
        </w:rPr>
        <w:t> — </w:t>
      </w:r>
      <w:r>
        <w:t>Cave entrance fees</w:t>
      </w:r>
    </w:p>
    <w:p>
      <w:pPr>
        <w:pStyle w:val="TOC4"/>
        <w:keepNext w:val="0"/>
        <w:tabs>
          <w:tab w:val="right" w:leader="dot" w:pos="7077"/>
        </w:tabs>
        <w:rPr>
          <w:rFonts w:asciiTheme="minorHAnsi" w:eastAsiaTheme="minorEastAsia" w:hAnsiTheme="minorHAnsi" w:cstheme="minorBidi"/>
          <w:b w:val="0"/>
          <w:szCs w:val="22"/>
        </w:rPr>
      </w:pPr>
      <w:r>
        <w:t>Division 8 — Licence and permit fees</w:t>
      </w:r>
    </w:p>
    <w:p>
      <w:pPr>
        <w:pStyle w:val="TOC4"/>
        <w:keepNext w:val="0"/>
        <w:tabs>
          <w:tab w:val="right" w:leader="dot" w:pos="7077"/>
        </w:tabs>
        <w:rPr>
          <w:rFonts w:asciiTheme="minorHAnsi" w:eastAsiaTheme="minorEastAsia" w:hAnsiTheme="minorHAnsi" w:cstheme="minorBidi"/>
          <w:b w:val="0"/>
          <w:szCs w:val="22"/>
        </w:rPr>
      </w:pPr>
      <w:r>
        <w:t>Division 9</w:t>
      </w:r>
      <w:r>
        <w:rPr>
          <w:b w:val="0"/>
        </w:rPr>
        <w:t> — </w:t>
      </w:r>
      <w:r>
        <w:t>Fees for abseiling</w:t>
      </w:r>
    </w:p>
    <w:p>
      <w:pPr>
        <w:pStyle w:val="TOC4"/>
        <w:keepNext w:val="0"/>
        <w:tabs>
          <w:tab w:val="right" w:leader="dot" w:pos="7077"/>
        </w:tabs>
        <w:rPr>
          <w:rFonts w:asciiTheme="minorHAnsi" w:eastAsiaTheme="minorEastAsia" w:hAnsiTheme="minorHAnsi" w:cstheme="minorBidi"/>
          <w:b w:val="0"/>
          <w:szCs w:val="22"/>
        </w:rPr>
      </w:pPr>
      <w:r>
        <w:t>Division 10</w:t>
      </w:r>
      <w:r>
        <w:rPr>
          <w:b w:val="0"/>
        </w:rPr>
        <w:t> — </w:t>
      </w:r>
      <w:r>
        <w:t>Entrance fees for Monkey Mia Conservation Park</w:t>
      </w:r>
    </w:p>
    <w:p>
      <w:pPr>
        <w:pStyle w:val="TOC4"/>
        <w:keepNext w:val="0"/>
        <w:tabs>
          <w:tab w:val="right" w:leader="dot" w:pos="7077"/>
        </w:tabs>
        <w:rPr>
          <w:rFonts w:asciiTheme="minorHAnsi" w:eastAsiaTheme="minorEastAsia" w:hAnsiTheme="minorHAnsi" w:cstheme="minorBidi"/>
          <w:b w:val="0"/>
          <w:szCs w:val="22"/>
        </w:rPr>
      </w:pPr>
      <w:r>
        <w:t>Division 11</w:t>
      </w:r>
      <w:r>
        <w:rPr>
          <w:b w:val="0"/>
        </w:rPr>
        <w:t> — </w:t>
      </w:r>
      <w:r>
        <w:t>Apiary permit and licence fees</w:t>
      </w:r>
    </w:p>
    <w:p>
      <w:pPr>
        <w:pStyle w:val="TOC4"/>
        <w:keepNext w:val="0"/>
        <w:tabs>
          <w:tab w:val="right" w:leader="dot" w:pos="7077"/>
        </w:tabs>
        <w:rPr>
          <w:rFonts w:asciiTheme="minorHAnsi" w:eastAsiaTheme="minorEastAsia" w:hAnsiTheme="minorHAnsi" w:cstheme="minorBidi"/>
          <w:b w:val="0"/>
          <w:szCs w:val="22"/>
        </w:rPr>
      </w:pPr>
      <w:r>
        <w:t>Division 12</w:t>
      </w:r>
      <w:r>
        <w:rPr>
          <w:b w:val="0"/>
        </w:rPr>
        <w:t> — </w:t>
      </w:r>
      <w:r>
        <w:t>Landing fees for aircraft</w:t>
      </w:r>
    </w:p>
    <w:p>
      <w:pPr>
        <w:pStyle w:val="TOC2"/>
        <w:tabs>
          <w:tab w:val="right" w:leader="dot" w:pos="7077"/>
        </w:tabs>
        <w:rPr>
          <w:rFonts w:asciiTheme="minorHAnsi" w:eastAsiaTheme="minorEastAsia" w:hAnsiTheme="minorHAnsi" w:cstheme="minorBidi"/>
          <w:b w:val="0"/>
          <w:sz w:val="22"/>
          <w:szCs w:val="22"/>
        </w:rPr>
      </w:pPr>
      <w:r>
        <w:t>Schedule 2 — Offences to which modified penalties apply</w:t>
      </w:r>
    </w:p>
    <w:p>
      <w:pPr>
        <w:pStyle w:val="TOC4"/>
        <w:tabs>
          <w:tab w:val="right" w:leader="dot" w:pos="7077"/>
        </w:tabs>
        <w:rPr>
          <w:rFonts w:asciiTheme="minorHAnsi" w:eastAsiaTheme="minorEastAsia" w:hAnsiTheme="minorHAnsi" w:cstheme="minorBidi"/>
          <w:b w:val="0"/>
          <w:szCs w:val="22"/>
        </w:rPr>
      </w:pPr>
      <w:r>
        <w:t>Division 1 — Offences under the Act</w:t>
      </w:r>
    </w:p>
    <w:p>
      <w:pPr>
        <w:pStyle w:val="TOC4"/>
        <w:tabs>
          <w:tab w:val="right" w:leader="dot" w:pos="7077"/>
        </w:tabs>
        <w:rPr>
          <w:rFonts w:asciiTheme="minorHAnsi" w:eastAsiaTheme="minorEastAsia" w:hAnsiTheme="minorHAnsi" w:cstheme="minorBidi"/>
          <w:b w:val="0"/>
          <w:szCs w:val="22"/>
        </w:rPr>
      </w:pPr>
      <w:r>
        <w:t>Division 2 — Offences under these regulations</w:t>
      </w:r>
    </w:p>
    <w:p>
      <w:pPr>
        <w:pStyle w:val="TOC4"/>
        <w:tabs>
          <w:tab w:val="right" w:leader="dot" w:pos="7077"/>
        </w:tabs>
        <w:rPr>
          <w:rFonts w:asciiTheme="minorHAnsi" w:eastAsiaTheme="minorEastAsia" w:hAnsiTheme="minorHAnsi" w:cstheme="minorBidi"/>
          <w:b w:val="0"/>
          <w:szCs w:val="22"/>
        </w:rPr>
      </w:pPr>
      <w:r>
        <w:t xml:space="preserve">Division 3 — Offences under </w:t>
      </w:r>
      <w:r>
        <w:rPr>
          <w:i/>
        </w:rPr>
        <w:t>Forest Management Regulations 1993</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_Toc462045503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21 October 2016</w:t>
            </w:r>
          </w:p>
        </w:tc>
      </w:tr>
    </w:tbl>
    <w:p>
      <w:pPr>
        <w:pStyle w:val="WA"/>
        <w:spacing w:before="12"/>
      </w:pPr>
      <w:r>
        <w:t>Western Australia</w:t>
      </w:r>
    </w:p>
    <w:p>
      <w:pPr>
        <w:pStyle w:val="PrincipalActReg"/>
      </w:pPr>
      <w:r>
        <w:t>Conservation and Land Management Act 1984</w:t>
      </w:r>
    </w:p>
    <w:p>
      <w:pPr>
        <w:pStyle w:val="NameofActReg"/>
      </w:pPr>
      <w:r>
        <w:t>Conservation and Land Management Regulations 2002</w:t>
      </w:r>
    </w:p>
    <w:p>
      <w:pPr>
        <w:pStyle w:val="Heading2"/>
        <w:pageBreakBefore w:val="0"/>
        <w:spacing w:before="240"/>
      </w:pPr>
      <w:bookmarkStart w:id="3" w:name="_Toc436903661"/>
      <w:bookmarkStart w:id="4" w:name="_Toc436905603"/>
      <w:bookmarkStart w:id="5" w:name="_Toc436905824"/>
      <w:bookmarkStart w:id="6" w:name="_Toc437515577"/>
      <w:bookmarkStart w:id="7" w:name="_Toc447533177"/>
      <w:bookmarkStart w:id="8" w:name="_Toc456878085"/>
      <w:bookmarkStart w:id="9" w:name="_Toc456951602"/>
      <w:bookmarkStart w:id="10" w:name="_Toc458590186"/>
      <w:bookmarkStart w:id="11" w:name="_Toc458590408"/>
      <w:bookmarkStart w:id="12" w:name="_Toc458590629"/>
      <w:bookmarkStart w:id="13" w:name="_Toc462045282"/>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bookmarkEnd w:id="10"/>
      <w:bookmarkEnd w:id="11"/>
      <w:bookmarkEnd w:id="12"/>
      <w:bookmarkEnd w:id="13"/>
      <w:r>
        <w:rPr>
          <w:rStyle w:val="CharPartText"/>
        </w:rPr>
        <w:t xml:space="preserve"> </w:t>
      </w:r>
    </w:p>
    <w:p>
      <w:pPr>
        <w:pStyle w:val="Heading5"/>
      </w:pPr>
      <w:bookmarkStart w:id="14" w:name="_Toc462045283"/>
      <w:r>
        <w:rPr>
          <w:rStyle w:val="CharSectno"/>
        </w:rPr>
        <w:t>1</w:t>
      </w:r>
      <w:r>
        <w:t>.</w:t>
      </w:r>
      <w:r>
        <w:tab/>
        <w:t>Citation</w:t>
      </w:r>
      <w:bookmarkEnd w:id="14"/>
    </w:p>
    <w:p>
      <w:pPr>
        <w:pStyle w:val="Subsection"/>
      </w:pPr>
      <w:r>
        <w:tab/>
      </w:r>
      <w:r>
        <w:tab/>
      </w:r>
      <w:r>
        <w:rPr>
          <w:spacing w:val="-2"/>
        </w:rPr>
        <w:t>These</w:t>
      </w:r>
      <w:r>
        <w:t xml:space="preserve"> </w:t>
      </w:r>
      <w:r>
        <w:rPr>
          <w:spacing w:val="-2"/>
        </w:rPr>
        <w:t>regulations</w:t>
      </w:r>
      <w:r>
        <w:t xml:space="preserve"> may be cited as the </w:t>
      </w:r>
      <w:r>
        <w:rPr>
          <w:i/>
        </w:rPr>
        <w:t>Conservation and Land Management Regulations 2002</w:t>
      </w:r>
      <w:r>
        <w:rPr>
          <w:vertAlign w:val="superscript"/>
        </w:rPr>
        <w:t> 1</w:t>
      </w:r>
      <w:r>
        <w:rPr>
          <w:iCs/>
        </w:rPr>
        <w:t>.</w:t>
      </w:r>
    </w:p>
    <w:p>
      <w:pPr>
        <w:pStyle w:val="Heading5"/>
        <w:rPr>
          <w:snapToGrid w:val="0"/>
        </w:rPr>
      </w:pPr>
      <w:bookmarkStart w:id="15" w:name="_Toc462045284"/>
      <w:r>
        <w:rPr>
          <w:rStyle w:val="CharSectno"/>
        </w:rPr>
        <w:t>2</w:t>
      </w:r>
      <w:r>
        <w:rPr>
          <w:snapToGrid w:val="0"/>
        </w:rPr>
        <w:t>.</w:t>
      </w:r>
      <w:r>
        <w:rPr>
          <w:snapToGrid w:val="0"/>
        </w:rPr>
        <w:tab/>
        <w:t>Terms used</w:t>
      </w:r>
      <w:bookmarkEnd w:id="15"/>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Aboriginal artefact</w:t>
      </w:r>
      <w:r>
        <w:t xml:space="preserve"> means an object to which the </w:t>
      </w:r>
      <w:r>
        <w:rPr>
          <w:i/>
        </w:rPr>
        <w:t>Aboriginal Heritage Act 1972</w:t>
      </w:r>
      <w:r>
        <w:t xml:space="preserve"> applies;</w:t>
      </w:r>
    </w:p>
    <w:p>
      <w:pPr>
        <w:pStyle w:val="Defstart"/>
      </w:pPr>
      <w:r>
        <w:rPr>
          <w:b/>
        </w:rPr>
        <w:tab/>
      </w:r>
      <w:r>
        <w:rPr>
          <w:rStyle w:val="CharDefText"/>
        </w:rPr>
        <w:t>Aboriginal site</w:t>
      </w:r>
      <w:r>
        <w:t xml:space="preserve"> means a place to which the </w:t>
      </w:r>
      <w:r>
        <w:rPr>
          <w:i/>
        </w:rPr>
        <w:t>Aboriginal Heritage Act 1972</w:t>
      </w:r>
      <w:r>
        <w:t xml:space="preserve"> applies;</w:t>
      </w:r>
    </w:p>
    <w:p>
      <w:pPr>
        <w:pStyle w:val="Defstart"/>
      </w:pPr>
      <w:r>
        <w:tab/>
      </w:r>
      <w:r>
        <w:rPr>
          <w:rStyle w:val="CharDefText"/>
        </w:rPr>
        <w:t>abseiling area</w:t>
      </w:r>
      <w:r>
        <w:t xml:space="preserve"> means — </w:t>
      </w:r>
    </w:p>
    <w:p>
      <w:pPr>
        <w:pStyle w:val="Defpara"/>
      </w:pPr>
      <w:r>
        <w:tab/>
        <w:t>(a)</w:t>
      </w:r>
      <w:r>
        <w:tab/>
        <w:t>an area declared under regulation 6(1)(a) to be a designated area for the purposes of regulation 33; or</w:t>
      </w:r>
    </w:p>
    <w:p>
      <w:pPr>
        <w:pStyle w:val="Defpara"/>
      </w:pPr>
      <w:r>
        <w:tab/>
        <w:t>(b)</w:t>
      </w:r>
      <w:r>
        <w:tab/>
        <w:t>an area designated by sign as an abseiling area;</w:t>
      </w:r>
    </w:p>
    <w:p>
      <w:pPr>
        <w:pStyle w:val="Defstart"/>
      </w:pPr>
      <w:r>
        <w:tab/>
      </w:r>
      <w:r>
        <w:rPr>
          <w:rStyle w:val="CharDefText"/>
        </w:rPr>
        <w:t>aircraft</w:t>
      </w:r>
      <w:r>
        <w:t xml:space="preserve"> includes an ultra</w:t>
      </w:r>
      <w:r>
        <w:noBreakHyphen/>
        <w:t>light aircraft and a helicopter;</w:t>
      </w:r>
    </w:p>
    <w:p>
      <w:pPr>
        <w:pStyle w:val="Defstart"/>
      </w:pPr>
      <w:r>
        <w:tab/>
      </w:r>
      <w:r>
        <w:rPr>
          <w:rStyle w:val="CharDefText"/>
        </w:rPr>
        <w:t>authorised officer</w:t>
      </w:r>
      <w:r>
        <w:t xml:space="preserve"> means a wildlife officer, forest officer, ranger, conservation and land management officer and a person appointed to an honorary office under section 46 of the Act;</w:t>
      </w:r>
    </w:p>
    <w:p>
      <w:pPr>
        <w:pStyle w:val="Defstart"/>
      </w:pPr>
      <w:r>
        <w:rPr>
          <w:b/>
        </w:rPr>
        <w:tab/>
      </w:r>
      <w:r>
        <w:rPr>
          <w:rStyle w:val="CharDefText"/>
        </w:rPr>
        <w:t>bicycle</w:t>
      </w:r>
      <w:r>
        <w:t xml:space="preserve"> has the meaning given to that term in the </w:t>
      </w:r>
      <w:r>
        <w:rPr>
          <w:i/>
        </w:rPr>
        <w:t>Road Traffic Code 2000</w:t>
      </w:r>
      <w:r>
        <w:t xml:space="preserve"> regulation 3(1);</w:t>
      </w:r>
    </w:p>
    <w:p>
      <w:pPr>
        <w:pStyle w:val="Defstart"/>
      </w:pPr>
      <w:r>
        <w:tab/>
      </w:r>
      <w:r>
        <w:rPr>
          <w:rStyle w:val="CharDefText"/>
        </w:rPr>
        <w:t>CALM land</w:t>
      </w:r>
      <w:r>
        <w:rPr>
          <w:b/>
        </w:rPr>
        <w:t xml:space="preserve"> </w:t>
      </w:r>
      <w:r>
        <w:t>means land, or land and waters, to which these regulations apply, and includes caves and parts of caves on or under that land;</w:t>
      </w:r>
    </w:p>
    <w:p>
      <w:pPr>
        <w:pStyle w:val="Defstart"/>
      </w:pPr>
      <w:r>
        <w:tab/>
      </w:r>
      <w:r>
        <w:rPr>
          <w:rStyle w:val="CharDefText"/>
        </w:rPr>
        <w:t>camp</w:t>
      </w:r>
      <w:r>
        <w:t xml:space="preserve"> means — </w:t>
      </w:r>
    </w:p>
    <w:p>
      <w:pPr>
        <w:pStyle w:val="Defpara"/>
      </w:pPr>
      <w:r>
        <w:tab/>
        <w:t>(a)</w:t>
      </w:r>
      <w:r>
        <w:tab/>
        <w:t>to stay or lodge (whether in a camping unit or otherwise) during any period of the night after 9.00 p.m. and before 6.00 a.m.; or</w:t>
      </w:r>
    </w:p>
    <w:p>
      <w:pPr>
        <w:pStyle w:val="Defpara"/>
      </w:pPr>
      <w:r>
        <w:tab/>
        <w:t>(b)</w:t>
      </w:r>
      <w:r>
        <w:tab/>
        <w:t>to stay or lodge in a camping unit, building or structure during any period of the day after 6.00 a.m. and before 9.00 p.m.;</w:t>
      </w:r>
    </w:p>
    <w:p>
      <w:pPr>
        <w:pStyle w:val="Defstart"/>
      </w:pPr>
      <w:r>
        <w:tab/>
      </w:r>
      <w:r>
        <w:rPr>
          <w:rStyle w:val="CharDefText"/>
        </w:rPr>
        <w:t>camping area</w:t>
      </w:r>
      <w:r>
        <w:t xml:space="preserve"> means — </w:t>
      </w:r>
    </w:p>
    <w:p>
      <w:pPr>
        <w:pStyle w:val="Defpara"/>
      </w:pPr>
      <w:r>
        <w:tab/>
        <w:t>(a)</w:t>
      </w:r>
      <w:r>
        <w:tab/>
        <w:t>an area declared under regulation 6(1)(a) to be a designated area for the purposes of regulation 66; or</w:t>
      </w:r>
    </w:p>
    <w:p>
      <w:pPr>
        <w:pStyle w:val="Defpara"/>
      </w:pPr>
      <w:r>
        <w:tab/>
        <w:t>(b)</w:t>
      </w:r>
      <w:r>
        <w:tab/>
        <w:t>an area designated by sign as a camping area;</w:t>
      </w:r>
    </w:p>
    <w:p>
      <w:pPr>
        <w:pStyle w:val="Defstart"/>
      </w:pPr>
      <w:r>
        <w:tab/>
      </w:r>
      <w:r>
        <w:rPr>
          <w:rStyle w:val="CharDefText"/>
        </w:rPr>
        <w:t>camping unit</w:t>
      </w:r>
      <w:r>
        <w:t xml:space="preserve"> means a tent or other portable thing of any kind used or capable of being used for habitation, and includes a caravan or other vehicle;</w:t>
      </w:r>
    </w:p>
    <w:p>
      <w:pPr>
        <w:pStyle w:val="Defstart"/>
      </w:pPr>
      <w:r>
        <w:tab/>
      </w:r>
      <w:r>
        <w:rPr>
          <w:rStyle w:val="CharDefText"/>
        </w:rPr>
        <w:t>caravan</w:t>
      </w:r>
      <w:r>
        <w:t xml:space="preserve"> means a vehicle fitted or designed for habitation;</w:t>
      </w:r>
    </w:p>
    <w:p>
      <w:pPr>
        <w:pStyle w:val="Defstart"/>
      </w:pPr>
      <w:r>
        <w:tab/>
      </w:r>
      <w:r>
        <w:rPr>
          <w:rStyle w:val="CharDefText"/>
        </w:rPr>
        <w:t>commercial operations licence</w:t>
      </w:r>
      <w:r>
        <w:rPr>
          <w:b/>
        </w:rPr>
        <w:t xml:space="preserve"> </w:t>
      </w:r>
      <w:r>
        <w:t>means a licence issued under  regulation 94;</w:t>
      </w:r>
    </w:p>
    <w:p>
      <w:pPr>
        <w:pStyle w:val="Defstart"/>
      </w:pPr>
      <w:r>
        <w:rPr>
          <w:b/>
        </w:rPr>
        <w:tab/>
      </w:r>
      <w:r>
        <w:rPr>
          <w:rStyle w:val="CharDefText"/>
        </w:rPr>
        <w:t>commercial purpose</w:t>
      </w:r>
      <w:r>
        <w:t xml:space="preserve"> means the purpose of sale for profit or any other purpose that is directed to financial gain or reward;</w:t>
      </w:r>
    </w:p>
    <w:p>
      <w:pPr>
        <w:pStyle w:val="Defstart"/>
      </w:pPr>
      <w:r>
        <w:rPr>
          <w:b/>
        </w:rPr>
        <w:tab/>
      </w:r>
      <w:r>
        <w:rPr>
          <w:rStyle w:val="CharDefText"/>
        </w:rPr>
        <w:t>Companion Card</w:t>
      </w:r>
      <w:r>
        <w:t xml:space="preserve"> means a Companion Card issued by ACROD Limited (ACN 008 445 485);</w:t>
      </w:r>
    </w:p>
    <w:p>
      <w:pPr>
        <w:pStyle w:val="Defstart"/>
      </w:pPr>
      <w:r>
        <w:rPr>
          <w:b/>
        </w:rPr>
        <w:tab/>
      </w:r>
      <w:r>
        <w:rPr>
          <w:rStyle w:val="CharDefText"/>
        </w:rPr>
        <w:t>concession card</w:t>
      </w:r>
      <w:r>
        <w:t xml:space="preserve"> means — </w:t>
      </w:r>
    </w:p>
    <w:p>
      <w:pPr>
        <w:pStyle w:val="Defpara"/>
      </w:pPr>
      <w:r>
        <w:tab/>
        <w:t>(a)</w:t>
      </w:r>
      <w:r>
        <w:tab/>
        <w:t>a Seniors’ Card issued by the Office of Seniors’ Interests in this or another State or Territory; or</w:t>
      </w:r>
    </w:p>
    <w:p>
      <w:pPr>
        <w:pStyle w:val="Defpara"/>
      </w:pPr>
      <w:r>
        <w:tab/>
        <w:t>(b)</w:t>
      </w:r>
      <w:r>
        <w:tab/>
        <w:t>a Pensioner Concession Card issued by Centrelink on the basis of receipt of Aged Pension, Disability Support Pension or Carer Payment; or</w:t>
      </w:r>
    </w:p>
    <w:p>
      <w:pPr>
        <w:pStyle w:val="Defpara"/>
      </w:pPr>
      <w:r>
        <w:tab/>
        <w:t>(c)</w:t>
      </w:r>
      <w:r>
        <w:tab/>
        <w:t>any concession card issued by the Commonwealth Department of Veterans’ Affairs; or</w:t>
      </w:r>
    </w:p>
    <w:p>
      <w:pPr>
        <w:pStyle w:val="Defpara"/>
      </w:pPr>
      <w:r>
        <w:tab/>
        <w:t>(d)</w:t>
      </w:r>
      <w:r>
        <w:tab/>
        <w:t>a Companion Card;</w:t>
      </w:r>
    </w:p>
    <w:p>
      <w:pPr>
        <w:pStyle w:val="Defstart"/>
      </w:pPr>
      <w:r>
        <w:tab/>
      </w:r>
      <w:r>
        <w:rPr>
          <w:rStyle w:val="CharDefText"/>
        </w:rPr>
        <w:t>designated area</w:t>
      </w:r>
      <w:r>
        <w:rPr>
          <w:b/>
        </w:rPr>
        <w:t xml:space="preserve"> </w:t>
      </w:r>
      <w:r>
        <w:t xml:space="preserve">has the meaning given by regulation 6(6); </w:t>
      </w:r>
    </w:p>
    <w:p>
      <w:pPr>
        <w:pStyle w:val="Defstart"/>
      </w:pPr>
      <w:r>
        <w:tab/>
      </w:r>
      <w:r>
        <w:rPr>
          <w:rStyle w:val="CharDefText"/>
        </w:rPr>
        <w:t>dog area</w:t>
      </w:r>
      <w:r>
        <w:t xml:space="preserve"> means — </w:t>
      </w:r>
    </w:p>
    <w:p>
      <w:pPr>
        <w:pStyle w:val="Defpara"/>
      </w:pPr>
      <w:r>
        <w:tab/>
        <w:t>(a)</w:t>
      </w:r>
      <w:r>
        <w:tab/>
        <w:t>an area declared under regulation 6(1)(a) to be a designated area for the purposes of regulation 16; or</w:t>
      </w:r>
    </w:p>
    <w:p>
      <w:pPr>
        <w:pStyle w:val="Defpara"/>
      </w:pPr>
      <w:r>
        <w:tab/>
        <w:t>(b)</w:t>
      </w:r>
      <w:r>
        <w:tab/>
        <w:t>an area designated by sign as a dog area;</w:t>
      </w:r>
    </w:p>
    <w:p>
      <w:pPr>
        <w:pStyle w:val="Defstart"/>
      </w:pPr>
      <w:r>
        <w:tab/>
      </w:r>
      <w:r>
        <w:rPr>
          <w:rStyle w:val="CharDefText"/>
        </w:rPr>
        <w:t>horse area</w:t>
      </w:r>
      <w:r>
        <w:t xml:space="preserve"> means — </w:t>
      </w:r>
    </w:p>
    <w:p>
      <w:pPr>
        <w:pStyle w:val="Defpara"/>
      </w:pPr>
      <w:r>
        <w:tab/>
        <w:t>(a)</w:t>
      </w:r>
      <w:r>
        <w:tab/>
        <w:t>an area declared under regulation 6(1)(a) to be a designated area for the purposes of regulation 17; or</w:t>
      </w:r>
    </w:p>
    <w:p>
      <w:pPr>
        <w:pStyle w:val="Defpara"/>
      </w:pPr>
      <w:r>
        <w:tab/>
        <w:t>(b)</w:t>
      </w:r>
      <w:r>
        <w:tab/>
        <w:t>an area designated by sign as a horse area;</w:t>
      </w:r>
    </w:p>
    <w:p>
      <w:pPr>
        <w:pStyle w:val="Defstart"/>
      </w:pPr>
      <w:r>
        <w:rPr>
          <w:b/>
        </w:rPr>
        <w:tab/>
      </w:r>
      <w:r>
        <w:rPr>
          <w:rStyle w:val="CharDefText"/>
        </w:rPr>
        <w:t>mooring</w:t>
      </w:r>
      <w:r>
        <w:t xml:space="preserve"> means any structure or apparatus (other than a vessel’s anchor that is retrieved by the vessel when not in use) to which a floating vessel may be secured by a chain, cable, wire or rope, whether or not the structure or apparatus is itself beyond the shores of the water;</w:t>
      </w:r>
    </w:p>
    <w:p>
      <w:pPr>
        <w:pStyle w:val="Defstart"/>
      </w:pPr>
      <w:r>
        <w:rPr>
          <w:b/>
        </w:rPr>
        <w:tab/>
      </w:r>
      <w:r>
        <w:rPr>
          <w:rStyle w:val="CharDefText"/>
        </w:rPr>
        <w:t>non</w:t>
      </w:r>
      <w:r>
        <w:rPr>
          <w:rStyle w:val="CharDefText"/>
        </w:rPr>
        <w:noBreakHyphen/>
        <w:t>indigenous animal</w:t>
      </w:r>
      <w:r>
        <w:t>, in relation to a particular locality, means an animal that is not indigenous to that locality;</w:t>
      </w:r>
    </w:p>
    <w:p>
      <w:pPr>
        <w:pStyle w:val="Defstart"/>
      </w:pPr>
      <w:r>
        <w:tab/>
      </w:r>
      <w:r>
        <w:rPr>
          <w:rStyle w:val="CharDefText"/>
        </w:rPr>
        <w:t>public mooring</w:t>
      </w:r>
      <w:r>
        <w:t xml:space="preserve"> means a mooring designated as a public mooring under regulation 60A(1);</w:t>
      </w:r>
    </w:p>
    <w:p>
      <w:pPr>
        <w:pStyle w:val="Defstart"/>
      </w:pPr>
      <w:r>
        <w:tab/>
      </w:r>
      <w:r>
        <w:rPr>
          <w:rStyle w:val="CharDefText"/>
        </w:rPr>
        <w:t>restricted area</w:t>
      </w:r>
      <w:r>
        <w:rPr>
          <w:b/>
        </w:rPr>
        <w:t xml:space="preserve"> </w:t>
      </w:r>
      <w:r>
        <w:t>has the meaning given by regulation 5(6);</w:t>
      </w:r>
    </w:p>
    <w:p>
      <w:pPr>
        <w:pStyle w:val="Defstart"/>
      </w:pPr>
      <w:r>
        <w:rPr>
          <w:b/>
        </w:rPr>
        <w:tab/>
      </w:r>
      <w:r>
        <w:rPr>
          <w:rStyle w:val="CharDefText"/>
        </w:rPr>
        <w:t>school holidays</w:t>
      </w:r>
      <w:r>
        <w:t xml:space="preserve"> means the days between school terms determined for government schools under section 117 of the </w:t>
      </w:r>
      <w:r>
        <w:rPr>
          <w:i/>
        </w:rPr>
        <w:t>School Education Act 1999</w:t>
      </w:r>
      <w:r>
        <w:t>;</w:t>
      </w:r>
    </w:p>
    <w:p>
      <w:pPr>
        <w:pStyle w:val="Defstart"/>
      </w:pPr>
      <w:r>
        <w:tab/>
      </w:r>
      <w:r>
        <w:rPr>
          <w:rStyle w:val="CharDefText"/>
        </w:rPr>
        <w:t>scientific purposes licence</w:t>
      </w:r>
      <w:r>
        <w:rPr>
          <w:b/>
        </w:rPr>
        <w:t xml:space="preserve"> </w:t>
      </w:r>
      <w:r>
        <w:t>means a licence issued under regulation 89;</w:t>
      </w:r>
    </w:p>
    <w:p>
      <w:pPr>
        <w:pStyle w:val="Defstart"/>
      </w:pPr>
      <w:r>
        <w:tab/>
      </w:r>
      <w:r>
        <w:rPr>
          <w:rStyle w:val="CharDefText"/>
        </w:rPr>
        <w:t>sell</w:t>
      </w:r>
      <w:r>
        <w:t xml:space="preserve"> includes —</w:t>
      </w:r>
    </w:p>
    <w:p>
      <w:pPr>
        <w:pStyle w:val="Defpara"/>
      </w:pPr>
      <w:r>
        <w:tab/>
        <w:t>(a)</w:t>
      </w:r>
      <w:r>
        <w:tab/>
        <w:t>sell by wholesale or retail;</w:t>
      </w:r>
    </w:p>
    <w:p>
      <w:pPr>
        <w:pStyle w:val="Defpara"/>
      </w:pPr>
      <w:r>
        <w:tab/>
        <w:t>(b)</w:t>
      </w:r>
      <w:r>
        <w:tab/>
        <w:t>supply or perform for profit;</w:t>
      </w:r>
    </w:p>
    <w:p>
      <w:pPr>
        <w:pStyle w:val="Defpara"/>
      </w:pPr>
      <w:r>
        <w:tab/>
        <w:t>(c)</w:t>
      </w:r>
      <w:r>
        <w:tab/>
        <w:t>receive for sale;</w:t>
      </w:r>
    </w:p>
    <w:p>
      <w:pPr>
        <w:pStyle w:val="Defpara"/>
      </w:pPr>
      <w:r>
        <w:tab/>
        <w:t>(d)</w:t>
      </w:r>
      <w:r>
        <w:tab/>
        <w:t>have in possession for sale;</w:t>
      </w:r>
    </w:p>
    <w:p>
      <w:pPr>
        <w:pStyle w:val="Defpara"/>
      </w:pPr>
      <w:r>
        <w:tab/>
        <w:t>(e)</w:t>
      </w:r>
      <w:r>
        <w:tab/>
        <w:t>send, forward or deliver for sale;</w:t>
      </w:r>
    </w:p>
    <w:p>
      <w:pPr>
        <w:pStyle w:val="Defpara"/>
      </w:pPr>
      <w:r>
        <w:tab/>
        <w:t>(f)</w:t>
      </w:r>
      <w:r>
        <w:tab/>
        <w:t>cause or suffer or allow to be sold;</w:t>
      </w:r>
    </w:p>
    <w:p>
      <w:pPr>
        <w:pStyle w:val="Defpara"/>
      </w:pPr>
      <w:r>
        <w:tab/>
        <w:t>(g)</w:t>
      </w:r>
      <w:r>
        <w:tab/>
        <w:t>dispose or offer for disposal under an hire</w:t>
      </w:r>
      <w:r>
        <w:noBreakHyphen/>
        <w:t>purchase agreement;</w:t>
      </w:r>
    </w:p>
    <w:p>
      <w:pPr>
        <w:pStyle w:val="Defstart"/>
      </w:pPr>
      <w:r>
        <w:tab/>
      </w:r>
      <w:r>
        <w:rPr>
          <w:rStyle w:val="CharDefText"/>
        </w:rPr>
        <w:t>services</w:t>
      </w:r>
      <w:r>
        <w:rPr>
          <w:b/>
        </w:rPr>
        <w:t xml:space="preserve"> </w:t>
      </w:r>
      <w:r>
        <w:t>includes the supply of transport, information, instruction or supervision;</w:t>
      </w:r>
    </w:p>
    <w:p>
      <w:pPr>
        <w:pStyle w:val="Defstart"/>
      </w:pPr>
      <w:r>
        <w:tab/>
      </w:r>
      <w:r>
        <w:rPr>
          <w:rStyle w:val="CharDefText"/>
        </w:rPr>
        <w:t>sign</w:t>
      </w:r>
      <w:r>
        <w:rPr>
          <w:b/>
        </w:rPr>
        <w:t xml:space="preserve"> </w:t>
      </w:r>
      <w:r>
        <w:t>means a sign erected by authority of the CEO and includes lines or other markings on the ground made by authority of the CEO; and such a sign is taken to be a notice for the purposes of section 134 of the Act;</w:t>
      </w:r>
    </w:p>
    <w:p>
      <w:pPr>
        <w:pStyle w:val="Defstart"/>
      </w:pPr>
      <w:r>
        <w:tab/>
      </w:r>
      <w:r>
        <w:rPr>
          <w:rStyle w:val="CharDefText"/>
        </w:rPr>
        <w:t>take</w:t>
      </w:r>
      <w:r>
        <w:t xml:space="preserve"> includes — </w:t>
      </w:r>
    </w:p>
    <w:p>
      <w:pPr>
        <w:pStyle w:val="Defpara"/>
      </w:pPr>
      <w:r>
        <w:tab/>
        <w:t>(a)</w:t>
      </w:r>
      <w:r>
        <w:tab/>
        <w:t>to injure, destroy or otherwise interfere with, or cause or permit the doing of any of those things; and</w:t>
      </w:r>
    </w:p>
    <w:p>
      <w:pPr>
        <w:pStyle w:val="Defpara"/>
      </w:pPr>
      <w:r>
        <w:tab/>
        <w:t>(b)</w:t>
      </w:r>
      <w:r>
        <w:tab/>
        <w:t>to hunt any fauna even though no fauna is actually taken; and</w:t>
      </w:r>
    </w:p>
    <w:p>
      <w:pPr>
        <w:pStyle w:val="Defpara"/>
      </w:pPr>
      <w:r>
        <w:tab/>
        <w:t>(c)</w:t>
      </w:r>
      <w:r>
        <w:tab/>
        <w:t>an attempt to take;</w:t>
      </w:r>
    </w:p>
    <w:p>
      <w:pPr>
        <w:pStyle w:val="Defstart"/>
      </w:pPr>
      <w:r>
        <w:tab/>
      </w:r>
      <w:r>
        <w:rPr>
          <w:rStyle w:val="CharDefText"/>
        </w:rPr>
        <w:t>temporary mooring area</w:t>
      </w:r>
      <w:r>
        <w:t xml:space="preserve"> means — </w:t>
      </w:r>
    </w:p>
    <w:p>
      <w:pPr>
        <w:pStyle w:val="Defpara"/>
      </w:pPr>
      <w:r>
        <w:tab/>
        <w:t>(a)</w:t>
      </w:r>
      <w:r>
        <w:tab/>
        <w:t>an area declared under regulation 6(1)(a) to be a designated area for the purposes of regulation 60B; or</w:t>
      </w:r>
    </w:p>
    <w:p>
      <w:pPr>
        <w:pStyle w:val="Defpara"/>
      </w:pPr>
      <w:r>
        <w:tab/>
        <w:t>(b)</w:t>
      </w:r>
      <w:r>
        <w:tab/>
        <w:t>an area designated by sign as a temporary mooring area;</w:t>
      </w:r>
    </w:p>
    <w:p>
      <w:pPr>
        <w:pStyle w:val="Defstart"/>
      </w:pPr>
      <w:r>
        <w:tab/>
      </w:r>
      <w:r>
        <w:rPr>
          <w:rStyle w:val="CharDefText"/>
        </w:rPr>
        <w:t>tender</w:t>
      </w:r>
      <w:r>
        <w:t xml:space="preserve"> means an auxiliary vessel that is used as a life boat or means of transportation between the parent vessel and another location or for both those purposes;</w:t>
      </w:r>
    </w:p>
    <w:p>
      <w:pPr>
        <w:pStyle w:val="Defstart"/>
      </w:pPr>
      <w:r>
        <w:tab/>
      </w:r>
      <w:r>
        <w:rPr>
          <w:rStyle w:val="CharDefText"/>
        </w:rPr>
        <w:t>tree</w:t>
      </w:r>
      <w:r>
        <w:rPr>
          <w:b/>
        </w:rPr>
        <w:t xml:space="preserve"> </w:t>
      </w:r>
      <w:r>
        <w:t>includes a tree that is dead provided the tree is still standing;</w:t>
      </w:r>
    </w:p>
    <w:p>
      <w:pPr>
        <w:pStyle w:val="Defstart"/>
      </w:pPr>
      <w:r>
        <w:tab/>
      </w:r>
      <w:r>
        <w:rPr>
          <w:rStyle w:val="CharDefText"/>
        </w:rPr>
        <w:t>vehicle</w:t>
      </w:r>
      <w:r>
        <w:rPr>
          <w:b/>
        </w:rPr>
        <w:t xml:space="preserve"> </w:t>
      </w:r>
      <w:r>
        <w:t xml:space="preserve">has the meaning given in the </w:t>
      </w:r>
      <w:r>
        <w:rPr>
          <w:i/>
        </w:rPr>
        <w:t xml:space="preserve">Road Traffic (Administration) Act 2008 </w:t>
      </w:r>
      <w:r>
        <w:t>section 4.</w:t>
      </w:r>
    </w:p>
    <w:p>
      <w:pPr>
        <w:pStyle w:val="Footnotesection"/>
        <w:spacing w:before="100"/>
      </w:pPr>
      <w:r>
        <w:tab/>
        <w:t>[Regulation 2 amended in Gazette 29 Sep 2006 p. 4304</w:t>
      </w:r>
      <w:r>
        <w:noBreakHyphen/>
        <w:t>5 and 4334; 3 Dec 2010 p. 6045</w:t>
      </w:r>
      <w:r>
        <w:noBreakHyphen/>
        <w:t>6; 8 Jan 2015 p. 135</w:t>
      </w:r>
      <w:r>
        <w:noBreakHyphen/>
        <w:t>6; 24 Mar 2015 p. 1033</w:t>
      </w:r>
      <w:r>
        <w:noBreakHyphen/>
        <w:t>4; 6 May 2016 p. 1381.]</w:t>
      </w:r>
    </w:p>
    <w:p>
      <w:pPr>
        <w:pStyle w:val="Heading5"/>
        <w:pageBreakBefore/>
        <w:spacing w:before="180"/>
        <w:rPr>
          <w:snapToGrid w:val="0"/>
        </w:rPr>
      </w:pPr>
      <w:bookmarkStart w:id="16" w:name="_Toc462045285"/>
      <w:r>
        <w:rPr>
          <w:rStyle w:val="CharSectno"/>
        </w:rPr>
        <w:t>3</w:t>
      </w:r>
      <w:r>
        <w:rPr>
          <w:snapToGrid w:val="0"/>
        </w:rPr>
        <w:t>.</w:t>
      </w:r>
      <w:r>
        <w:rPr>
          <w:snapToGrid w:val="0"/>
        </w:rPr>
        <w:tab/>
        <w:t>Application</w:t>
      </w:r>
      <w:bookmarkEnd w:id="16"/>
      <w:r>
        <w:rPr>
          <w:snapToGrid w:val="0"/>
        </w:rPr>
        <w:t xml:space="preserve"> </w:t>
      </w:r>
    </w:p>
    <w:p>
      <w:pPr>
        <w:pStyle w:val="Subsection"/>
        <w:spacing w:before="180"/>
        <w:rPr>
          <w:snapToGrid w:val="0"/>
        </w:rPr>
      </w:pPr>
      <w:r>
        <w:tab/>
        <w:t>(1)</w:t>
      </w:r>
      <w:r>
        <w:tab/>
        <w:t>Unless</w:t>
      </w:r>
      <w:r>
        <w:rPr>
          <w:snapToGrid w:val="0"/>
        </w:rPr>
        <w:t xml:space="preserve"> otherwise stated, these regulations apply to — </w:t>
      </w:r>
    </w:p>
    <w:p>
      <w:pPr>
        <w:pStyle w:val="Indenta"/>
        <w:rPr>
          <w:snapToGrid w:val="0"/>
        </w:rPr>
      </w:pPr>
      <w:r>
        <w:rPr>
          <w:snapToGrid w:val="0"/>
        </w:rPr>
        <w:tab/>
        <w:t>(a)</w:t>
      </w:r>
      <w:r>
        <w:rPr>
          <w:snapToGrid w:val="0"/>
        </w:rPr>
        <w:tab/>
        <w:t>land, and land and waters, specified in section 5 of the Act; and</w:t>
      </w:r>
    </w:p>
    <w:p>
      <w:pPr>
        <w:pStyle w:val="Indenta"/>
      </w:pPr>
      <w:r>
        <w:tab/>
        <w:t>(b)</w:t>
      </w:r>
      <w:r>
        <w:tab/>
        <w:t>subject to section 130(2) of the Act, section 8A land; and</w:t>
      </w:r>
    </w:p>
    <w:p>
      <w:pPr>
        <w:pStyle w:val="Indenta"/>
      </w:pPr>
      <w:r>
        <w:tab/>
        <w:t>(c)</w:t>
      </w:r>
      <w:r>
        <w:tab/>
        <w:t>subject to subregulation (2), section 8C land; and</w:t>
      </w:r>
    </w:p>
    <w:p>
      <w:pPr>
        <w:pStyle w:val="Indenta"/>
        <w:rPr>
          <w:snapToGrid w:val="0"/>
        </w:rPr>
      </w:pPr>
      <w:r>
        <w:rPr>
          <w:snapToGrid w:val="0"/>
        </w:rPr>
        <w:tab/>
        <w:t>(d)</w:t>
      </w:r>
      <w:r>
        <w:rPr>
          <w:snapToGrid w:val="0"/>
        </w:rPr>
        <w:tab/>
        <w:t xml:space="preserve">land to which section 131 of the Act applies. </w:t>
      </w:r>
    </w:p>
    <w:p>
      <w:pPr>
        <w:pStyle w:val="Subsection"/>
        <w:spacing w:before="180"/>
      </w:pPr>
      <w:r>
        <w:tab/>
        <w:t>(2)</w:t>
      </w:r>
      <w:r>
        <w:tab/>
        <w:t>If the Governor, by order under section 8C(2)(b), has specified the CEO’s functions in relation to managing any section 8C land, a regulation does not apply to the land unless it prescribes a matter that is consistent with the functions that the CEO has in respect of the land.</w:t>
      </w:r>
    </w:p>
    <w:p>
      <w:pPr>
        <w:pStyle w:val="Footnotesection"/>
        <w:ind w:left="890" w:hanging="890"/>
      </w:pPr>
      <w:r>
        <w:tab/>
        <w:t>[Regulation 3 amended in Gazette 29 Sep 2006 p. 4305; 7 Dec 2012 p. 5965.]</w:t>
      </w:r>
    </w:p>
    <w:p>
      <w:pPr>
        <w:pStyle w:val="Heading5"/>
        <w:spacing w:before="240"/>
        <w:rPr>
          <w:snapToGrid w:val="0"/>
        </w:rPr>
      </w:pPr>
      <w:bookmarkStart w:id="17" w:name="_Toc462045286"/>
      <w:r>
        <w:rPr>
          <w:rStyle w:val="CharSectno"/>
        </w:rPr>
        <w:t>4</w:t>
      </w:r>
      <w:r>
        <w:rPr>
          <w:snapToGrid w:val="0"/>
        </w:rPr>
        <w:t>.</w:t>
      </w:r>
      <w:r>
        <w:rPr>
          <w:snapToGrid w:val="0"/>
        </w:rPr>
        <w:tab/>
        <w:t>Lawful authority</w:t>
      </w:r>
      <w:bookmarkEnd w:id="17"/>
      <w:r>
        <w:rPr>
          <w:snapToGrid w:val="0"/>
        </w:rPr>
        <w:t xml:space="preserve"> </w:t>
      </w:r>
    </w:p>
    <w:p>
      <w:pPr>
        <w:pStyle w:val="Subsection"/>
        <w:spacing w:before="180"/>
        <w:rPr>
          <w:snapToGrid w:val="0"/>
        </w:rPr>
      </w:pPr>
      <w:r>
        <w:rPr>
          <w:snapToGrid w:val="0"/>
        </w:rPr>
        <w:tab/>
        <w:t>(1)</w:t>
      </w:r>
      <w:r>
        <w:rPr>
          <w:snapToGrid w:val="0"/>
        </w:rPr>
        <w:tab/>
        <w:t xml:space="preserve">The </w:t>
      </w:r>
      <w:r>
        <w:t xml:space="preserve">CEO </w:t>
      </w:r>
      <w:r>
        <w:rPr>
          <w:snapToGrid w:val="0"/>
        </w:rPr>
        <w:t>may, by written notice, authorise a person to do an act that would, but for that notice, be unlawful under these regulations.</w:t>
      </w:r>
    </w:p>
    <w:p>
      <w:pPr>
        <w:pStyle w:val="Subsection"/>
        <w:spacing w:before="180"/>
      </w:pPr>
      <w:r>
        <w:tab/>
        <w:t>(2A)</w:t>
      </w:r>
      <w:r>
        <w:tab/>
        <w:t>The CEO is to specify in a notice under subregulation (1) the person or persons or group, body or association of persons to whom the authorisation applies.</w:t>
      </w:r>
    </w:p>
    <w:p>
      <w:pPr>
        <w:pStyle w:val="Subsection"/>
        <w:spacing w:before="180"/>
        <w:rPr>
          <w:snapToGrid w:val="0"/>
        </w:rPr>
      </w:pPr>
      <w:r>
        <w:rPr>
          <w:snapToGrid w:val="0"/>
        </w:rPr>
        <w:tab/>
        <w:t>(2)</w:t>
      </w:r>
      <w:r>
        <w:rPr>
          <w:snapToGrid w:val="0"/>
        </w:rPr>
        <w:tab/>
        <w:t>A notice under subregulation (1) may be expressed to operate in specified circumstances, for a specified period or subject to any specified condition and may be amended or revoked by the</w:t>
      </w:r>
      <w:r>
        <w:t xml:space="preserve"> CEO</w:t>
      </w:r>
      <w:r>
        <w:rPr>
          <w:snapToGrid w:val="0"/>
        </w:rPr>
        <w:t>.</w:t>
      </w:r>
    </w:p>
    <w:p>
      <w:pPr>
        <w:pStyle w:val="Subsection"/>
        <w:keepNext/>
        <w:spacing w:before="180"/>
        <w:rPr>
          <w:snapToGrid w:val="0"/>
        </w:rPr>
      </w:pPr>
      <w:r>
        <w:rPr>
          <w:snapToGrid w:val="0"/>
        </w:rPr>
        <w:tab/>
        <w:t>(3)</w:t>
      </w:r>
      <w:r>
        <w:rPr>
          <w:snapToGrid w:val="0"/>
        </w:rPr>
        <w:tab/>
        <w:t>In order to avoid any doubt and without limiting the meaning of the expression “without lawful authority”, it is declared that, for the purposes of these regulations, an act is done without lawful authority if it is done — </w:t>
      </w:r>
    </w:p>
    <w:p>
      <w:pPr>
        <w:pStyle w:val="Indenta"/>
        <w:rPr>
          <w:snapToGrid w:val="0"/>
        </w:rPr>
      </w:pPr>
      <w:r>
        <w:rPr>
          <w:snapToGrid w:val="0"/>
        </w:rPr>
        <w:tab/>
        <w:t>(a)</w:t>
      </w:r>
      <w:r>
        <w:rPr>
          <w:snapToGrid w:val="0"/>
        </w:rPr>
        <w:tab/>
        <w:t>in contravention of any term or condition of a contract, permit, lease, licence, notice or other authority under the Act or these regulations; or</w:t>
      </w:r>
    </w:p>
    <w:p>
      <w:pPr>
        <w:pStyle w:val="Indenta"/>
        <w:rPr>
          <w:snapToGrid w:val="0"/>
        </w:rPr>
      </w:pPr>
      <w:r>
        <w:rPr>
          <w:snapToGrid w:val="0"/>
        </w:rPr>
        <w:tab/>
        <w:t>(b)</w:t>
      </w:r>
      <w:r>
        <w:rPr>
          <w:snapToGrid w:val="0"/>
        </w:rPr>
        <w:tab/>
        <w:t xml:space="preserve">in contravention of any term or condition of a licence or other authority under the </w:t>
      </w:r>
      <w:r>
        <w:rPr>
          <w:i/>
          <w:snapToGrid w:val="0"/>
        </w:rPr>
        <w:t>Wildlife Conservation Act 1950</w:t>
      </w:r>
      <w:r>
        <w:rPr>
          <w:snapToGrid w:val="0"/>
        </w:rPr>
        <w:t>; or</w:t>
      </w:r>
    </w:p>
    <w:p>
      <w:pPr>
        <w:pStyle w:val="Indenta"/>
      </w:pPr>
      <w:r>
        <w:tab/>
        <w:t>(c)</w:t>
      </w:r>
      <w:r>
        <w:tab/>
        <w:t xml:space="preserve">in contravention of a direction or authority under the </w:t>
      </w:r>
      <w:r>
        <w:rPr>
          <w:i/>
        </w:rPr>
        <w:t>Biosecurity and Agriculture Management Act 2007</w:t>
      </w:r>
      <w:r>
        <w:t>; or</w:t>
      </w:r>
    </w:p>
    <w:p>
      <w:pPr>
        <w:pStyle w:val="Indenta"/>
      </w:pPr>
      <w:r>
        <w:rPr>
          <w:snapToGrid w:val="0"/>
        </w:rPr>
        <w:tab/>
        <w:t>(d)</w:t>
      </w:r>
      <w:r>
        <w:rPr>
          <w:snapToGrid w:val="0"/>
        </w:rPr>
        <w:tab/>
      </w:r>
      <w:r>
        <w:t xml:space="preserve">in contravention of a direction or authority under the </w:t>
      </w:r>
      <w:r>
        <w:rPr>
          <w:i/>
        </w:rPr>
        <w:t>Fish Resources Management Act 1994</w:t>
      </w:r>
      <w:r>
        <w:t>; or</w:t>
      </w:r>
    </w:p>
    <w:p>
      <w:pPr>
        <w:pStyle w:val="Indenta"/>
      </w:pPr>
      <w:r>
        <w:tab/>
        <w:t>(e)</w:t>
      </w:r>
      <w:r>
        <w:tab/>
        <w:t>in contravention of a direction, or the terms and conditions of an authority (however described), under another written law; or</w:t>
      </w:r>
    </w:p>
    <w:p>
      <w:pPr>
        <w:pStyle w:val="Indenta"/>
        <w:keepNext/>
      </w:pPr>
      <w:r>
        <w:tab/>
        <w:t>(f)</w:t>
      </w:r>
      <w:r>
        <w:tab/>
        <w:t>where the person doing the act has entered the land upon which the act is done without lawful authority.</w:t>
      </w:r>
    </w:p>
    <w:p>
      <w:pPr>
        <w:pStyle w:val="Footnotesection"/>
        <w:ind w:left="890" w:hanging="890"/>
      </w:pPr>
      <w:r>
        <w:tab/>
        <w:t>[Regulation 4 amended in Gazette 29 Sep 2006 p. 4305 and 4334; 5 Feb 2013 p. 834; 19 Sep 2014 p. 3330.]</w:t>
      </w:r>
    </w:p>
    <w:p>
      <w:pPr>
        <w:pStyle w:val="Heading5"/>
        <w:rPr>
          <w:snapToGrid w:val="0"/>
        </w:rPr>
      </w:pPr>
      <w:bookmarkStart w:id="18" w:name="_Toc462045287"/>
      <w:r>
        <w:rPr>
          <w:rStyle w:val="CharSectno"/>
        </w:rPr>
        <w:t>5</w:t>
      </w:r>
      <w:r>
        <w:rPr>
          <w:snapToGrid w:val="0"/>
        </w:rPr>
        <w:t>.</w:t>
      </w:r>
      <w:r>
        <w:rPr>
          <w:snapToGrid w:val="0"/>
        </w:rPr>
        <w:tab/>
        <w:t>Restricted areas</w:t>
      </w:r>
      <w:bookmarkEnd w:id="18"/>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rPr>
          <w:snapToGrid w:val="0"/>
        </w:rPr>
      </w:pPr>
      <w:r>
        <w:rPr>
          <w:snapToGrid w:val="0"/>
        </w:rPr>
        <w:tab/>
        <w:t>(a)</w:t>
      </w:r>
      <w:r>
        <w:rPr>
          <w:snapToGrid w:val="0"/>
        </w:rPr>
        <w:tab/>
        <w:t>declare an area of CALM land to be a restricted area for the purposes of regulations 9 (fishing), 26 (glass), 28 (cleaning etc. fish), 39 (certain fires),</w:t>
      </w:r>
      <w:r>
        <w:t xml:space="preserve"> 49A (access on foot),</w:t>
      </w:r>
      <w:r>
        <w:rPr>
          <w:snapToGrid w:val="0"/>
        </w:rPr>
        <w:t xml:space="preserve"> </w:t>
      </w:r>
      <w:r>
        <w:t xml:space="preserve">51 (vehicles), 51A (bicycles), </w:t>
      </w:r>
      <w:r>
        <w:rPr>
          <w:snapToGrid w:val="0"/>
        </w:rPr>
        <w:t>60 (anchoring), 61 (operation of vessels) and 64 (launching etc. of vessels) or any of those regulations; and</w:t>
      </w:r>
    </w:p>
    <w:p>
      <w:pPr>
        <w:pStyle w:val="Indenta"/>
        <w:rPr>
          <w:snapToGrid w:val="0"/>
        </w:rPr>
      </w:pPr>
      <w:r>
        <w:rPr>
          <w:snapToGrid w:val="0"/>
        </w:rPr>
        <w:tab/>
        <w:t>(b)</w:t>
      </w:r>
      <w:r>
        <w:rPr>
          <w:snapToGrid w:val="0"/>
        </w:rPr>
        <w:tab/>
        <w:t>specify which activities are prohibited or restricted in the restricted area, and the nature of the restrictions.</w:t>
      </w:r>
    </w:p>
    <w:p>
      <w:pPr>
        <w:pStyle w:val="Subsection"/>
        <w:rPr>
          <w:snapToGrid w:val="0"/>
        </w:rPr>
      </w:pPr>
      <w:r>
        <w:rPr>
          <w:snapToGrid w:val="0"/>
        </w:rPr>
        <w:tab/>
        <w:t>(2)</w:t>
      </w:r>
      <w:r>
        <w:rPr>
          <w:snapToGrid w:val="0"/>
        </w:rPr>
        <w:tab/>
        <w:t>An area may be declared to be a restricted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 xml:space="preserve">CEO </w:t>
      </w:r>
      <w:r>
        <w:rPr>
          <w:snapToGrid w:val="0"/>
        </w:rPr>
        <w:t>in or in the vicinity of a restricted area indicating — </w:t>
      </w:r>
    </w:p>
    <w:p>
      <w:pPr>
        <w:pStyle w:val="Indenta"/>
        <w:rPr>
          <w:snapToGrid w:val="0"/>
        </w:rPr>
      </w:pPr>
      <w:r>
        <w:rPr>
          <w:snapToGrid w:val="0"/>
        </w:rPr>
        <w:tab/>
        <w:t>(a)</w:t>
      </w:r>
      <w:r>
        <w:rPr>
          <w:snapToGrid w:val="0"/>
        </w:rPr>
        <w:tab/>
        <w:t>that the area is a restricted area during the periods specified in the notice; and</w:t>
      </w:r>
    </w:p>
    <w:p>
      <w:pPr>
        <w:pStyle w:val="Indenta"/>
        <w:rPr>
          <w:snapToGrid w:val="0"/>
        </w:rPr>
      </w:pPr>
      <w:r>
        <w:rPr>
          <w:snapToGrid w:val="0"/>
        </w:rPr>
        <w:tab/>
        <w:t>(b)</w:t>
      </w:r>
      <w:r>
        <w:rPr>
          <w:snapToGrid w:val="0"/>
        </w:rPr>
        <w:tab/>
        <w:t>the activities in that area that are prohibited or restricted by reason of the area being a restricted area; and</w:t>
      </w:r>
    </w:p>
    <w:p>
      <w:pPr>
        <w:pStyle w:val="Indenta"/>
        <w:rPr>
          <w:snapToGrid w:val="0"/>
        </w:rPr>
      </w:pPr>
      <w:r>
        <w:rPr>
          <w:snapToGrid w:val="0"/>
        </w:rPr>
        <w:tab/>
        <w:t>(c)</w:t>
      </w:r>
      <w:r>
        <w:rPr>
          <w:snapToGrid w:val="0"/>
        </w:rPr>
        <w:tab/>
        <w:t>if activities in the restricted area are subject to restrictions, the nature of the restrictions.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Unless the contrary intention appears, a reference in a </w:t>
      </w:r>
      <w:r>
        <w:t xml:space="preserve">provision of these regulations </w:t>
      </w:r>
      <w:r>
        <w:rPr>
          <w:snapToGrid w:val="0"/>
        </w:rPr>
        <w:t>to a restricted area is a reference to an area declared to be a restricted area under subregulation (1) for the purposes of that</w:t>
      </w:r>
      <w:r>
        <w:t xml:space="preserve"> provision</w:t>
      </w:r>
      <w:r>
        <w:rPr>
          <w:snapToGrid w:val="0"/>
        </w:rPr>
        <w:t>.</w:t>
      </w:r>
    </w:p>
    <w:p>
      <w:pPr>
        <w:pStyle w:val="Subsection"/>
      </w:pPr>
      <w:r>
        <w:tab/>
        <w:t>(7)</w:t>
      </w:r>
      <w:r>
        <w:tab/>
        <w:t>The CEO must not declare an area of CALM land to be a restricted area for the purposes of regulation 49A unless —</w:t>
      </w:r>
    </w:p>
    <w:p>
      <w:pPr>
        <w:pStyle w:val="Indenta"/>
      </w:pPr>
      <w:r>
        <w:tab/>
        <w:t>(a)</w:t>
      </w:r>
      <w:r>
        <w:tab/>
        <w:t xml:space="preserve">the area is in a marine reserve; and </w:t>
      </w:r>
    </w:p>
    <w:p>
      <w:pPr>
        <w:pStyle w:val="Indenta"/>
      </w:pPr>
      <w:r>
        <w:tab/>
        <w:t>(b)</w:t>
      </w:r>
      <w:r>
        <w:tab/>
        <w:t>the purpose of the declaration is to protect and conserve the value of the land to the culture and heritage of Aboriginal persons.</w:t>
      </w:r>
    </w:p>
    <w:p>
      <w:pPr>
        <w:pStyle w:val="Footnotesection"/>
      </w:pPr>
      <w:r>
        <w:tab/>
        <w:t>[Regulation 5 amended in Gazette 29 Sep 2006 p. 4305</w:t>
      </w:r>
      <w:r>
        <w:noBreakHyphen/>
        <w:t>6 and 4334; 10 Nov 2015 p. 4605.]</w:t>
      </w:r>
    </w:p>
    <w:p>
      <w:pPr>
        <w:pStyle w:val="Heading5"/>
        <w:rPr>
          <w:snapToGrid w:val="0"/>
        </w:rPr>
      </w:pPr>
      <w:bookmarkStart w:id="19" w:name="_Toc462045288"/>
      <w:r>
        <w:rPr>
          <w:rStyle w:val="CharSectno"/>
        </w:rPr>
        <w:t>6</w:t>
      </w:r>
      <w:r>
        <w:rPr>
          <w:snapToGrid w:val="0"/>
        </w:rPr>
        <w:t>.</w:t>
      </w:r>
      <w:r>
        <w:rPr>
          <w:snapToGrid w:val="0"/>
        </w:rPr>
        <w:tab/>
        <w:t>Designated areas</w:t>
      </w:r>
      <w:bookmarkEnd w:id="19"/>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pPr>
      <w:r>
        <w:tab/>
        <w:t>(a)</w:t>
      </w:r>
      <w:r>
        <w:tab/>
        <w:t>declare an area of CALM land to be a designated area for the purposes of any regulation listed in the Table relating to an activity listed opposite that regulation; and</w:t>
      </w:r>
    </w:p>
    <w:p>
      <w:pPr>
        <w:pStyle w:val="Indenta"/>
        <w:rPr>
          <w:snapToGrid w:val="0"/>
        </w:rPr>
      </w:pPr>
      <w:r>
        <w:rPr>
          <w:snapToGrid w:val="0"/>
        </w:rPr>
        <w:tab/>
        <w:t>(b)</w:t>
      </w:r>
      <w:r>
        <w:rPr>
          <w:snapToGrid w:val="0"/>
        </w:rPr>
        <w:tab/>
      </w:r>
      <w:r>
        <w:t>specify conditions which apply to the use of the designated area for those purposes</w:t>
      </w:r>
      <w:r>
        <w:rPr>
          <w:snapToGrid w:val="0"/>
        </w:rPr>
        <w:t>.</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3686"/>
      </w:tblGrid>
      <w:tr>
        <w:trPr>
          <w:tblHeader/>
        </w:trPr>
        <w:tc>
          <w:tcPr>
            <w:tcW w:w="1984" w:type="dxa"/>
          </w:tcPr>
          <w:p>
            <w:pPr>
              <w:pStyle w:val="TableNAm"/>
            </w:pPr>
            <w:r>
              <w:rPr>
                <w:b/>
                <w:bCs/>
              </w:rPr>
              <w:t>Regulation</w:t>
            </w:r>
          </w:p>
        </w:tc>
        <w:tc>
          <w:tcPr>
            <w:tcW w:w="3686" w:type="dxa"/>
          </w:tcPr>
          <w:p>
            <w:pPr>
              <w:pStyle w:val="TableNAm"/>
            </w:pPr>
            <w:r>
              <w:rPr>
                <w:b/>
                <w:bCs/>
              </w:rPr>
              <w:t>Activity</w:t>
            </w:r>
          </w:p>
        </w:tc>
      </w:tr>
      <w:tr>
        <w:tc>
          <w:tcPr>
            <w:tcW w:w="1984" w:type="dxa"/>
          </w:tcPr>
          <w:p>
            <w:pPr>
              <w:pStyle w:val="TableNAm"/>
            </w:pPr>
            <w:r>
              <w:t>16</w:t>
            </w:r>
          </w:p>
        </w:tc>
        <w:tc>
          <w:tcPr>
            <w:tcW w:w="3686" w:type="dxa"/>
          </w:tcPr>
          <w:p>
            <w:pPr>
              <w:pStyle w:val="TableNAm"/>
            </w:pPr>
            <w:r>
              <w:t>bringing dogs onto land</w:t>
            </w:r>
          </w:p>
        </w:tc>
      </w:tr>
      <w:tr>
        <w:tc>
          <w:tcPr>
            <w:tcW w:w="1984" w:type="dxa"/>
          </w:tcPr>
          <w:p>
            <w:pPr>
              <w:pStyle w:val="TableNAm"/>
            </w:pPr>
            <w:r>
              <w:t>17</w:t>
            </w:r>
          </w:p>
        </w:tc>
        <w:tc>
          <w:tcPr>
            <w:tcW w:w="3686" w:type="dxa"/>
          </w:tcPr>
          <w:p>
            <w:pPr>
              <w:pStyle w:val="TableNAm"/>
            </w:pPr>
            <w:r>
              <w:t>bringing horses onto land</w:t>
            </w:r>
          </w:p>
        </w:tc>
      </w:tr>
      <w:tr>
        <w:tc>
          <w:tcPr>
            <w:tcW w:w="1984" w:type="dxa"/>
          </w:tcPr>
          <w:p>
            <w:pPr>
              <w:pStyle w:val="TableNAm"/>
            </w:pPr>
            <w:r>
              <w:t>21(3)</w:t>
            </w:r>
          </w:p>
        </w:tc>
        <w:tc>
          <w:tcPr>
            <w:tcW w:w="3686" w:type="dxa"/>
          </w:tcPr>
          <w:p>
            <w:pPr>
              <w:pStyle w:val="TableNAm"/>
            </w:pPr>
            <w:r>
              <w:t>discharging sewage from vessels</w:t>
            </w:r>
          </w:p>
        </w:tc>
      </w:tr>
      <w:tr>
        <w:tc>
          <w:tcPr>
            <w:tcW w:w="1984" w:type="dxa"/>
          </w:tcPr>
          <w:p>
            <w:pPr>
              <w:pStyle w:val="TableNAm"/>
            </w:pPr>
            <w:r>
              <w:t>33</w:t>
            </w:r>
          </w:p>
        </w:tc>
        <w:tc>
          <w:tcPr>
            <w:tcW w:w="3686" w:type="dxa"/>
          </w:tcPr>
          <w:p>
            <w:pPr>
              <w:pStyle w:val="TableNAm"/>
            </w:pPr>
            <w:r>
              <w:t>abseiling</w:t>
            </w:r>
          </w:p>
        </w:tc>
      </w:tr>
      <w:tr>
        <w:tc>
          <w:tcPr>
            <w:tcW w:w="1984" w:type="dxa"/>
          </w:tcPr>
          <w:p>
            <w:pPr>
              <w:pStyle w:val="TableNAm"/>
            </w:pPr>
            <w:r>
              <w:t>51</w:t>
            </w:r>
          </w:p>
        </w:tc>
        <w:tc>
          <w:tcPr>
            <w:tcW w:w="3686" w:type="dxa"/>
          </w:tcPr>
          <w:p>
            <w:pPr>
              <w:pStyle w:val="TableNAm"/>
            </w:pPr>
            <w:r>
              <w:t xml:space="preserve">driving or using vehicles </w:t>
            </w:r>
          </w:p>
        </w:tc>
      </w:tr>
      <w:tr>
        <w:tc>
          <w:tcPr>
            <w:tcW w:w="1984" w:type="dxa"/>
          </w:tcPr>
          <w:p>
            <w:pPr>
              <w:pStyle w:val="TableNAm"/>
            </w:pPr>
            <w:r>
              <w:t>51A</w:t>
            </w:r>
          </w:p>
        </w:tc>
        <w:tc>
          <w:tcPr>
            <w:tcW w:w="3686" w:type="dxa"/>
          </w:tcPr>
          <w:p>
            <w:pPr>
              <w:pStyle w:val="TableNAm"/>
            </w:pPr>
            <w:r>
              <w:t>riding bicycles</w:t>
            </w:r>
          </w:p>
        </w:tc>
      </w:tr>
      <w:tr>
        <w:tc>
          <w:tcPr>
            <w:tcW w:w="1984" w:type="dxa"/>
          </w:tcPr>
          <w:p>
            <w:pPr>
              <w:pStyle w:val="TableNAm"/>
            </w:pPr>
            <w:r>
              <w:t>60B</w:t>
            </w:r>
          </w:p>
        </w:tc>
        <w:tc>
          <w:tcPr>
            <w:tcW w:w="3686" w:type="dxa"/>
          </w:tcPr>
          <w:p>
            <w:pPr>
              <w:pStyle w:val="TableNAm"/>
            </w:pPr>
            <w:r>
              <w:t>mooring vessels</w:t>
            </w:r>
          </w:p>
        </w:tc>
      </w:tr>
      <w:tr>
        <w:tc>
          <w:tcPr>
            <w:tcW w:w="1984" w:type="dxa"/>
          </w:tcPr>
          <w:p>
            <w:pPr>
              <w:pStyle w:val="TableNAm"/>
            </w:pPr>
            <w:r>
              <w:t>61A</w:t>
            </w:r>
          </w:p>
        </w:tc>
        <w:tc>
          <w:tcPr>
            <w:tcW w:w="3686" w:type="dxa"/>
          </w:tcPr>
          <w:p>
            <w:pPr>
              <w:pStyle w:val="TableNAm"/>
            </w:pPr>
            <w:r>
              <w:t>operating vessels in nature reserves</w:t>
            </w:r>
          </w:p>
        </w:tc>
      </w:tr>
      <w:tr>
        <w:tc>
          <w:tcPr>
            <w:tcW w:w="1984" w:type="dxa"/>
          </w:tcPr>
          <w:p>
            <w:pPr>
              <w:pStyle w:val="TableNAm"/>
            </w:pPr>
            <w:r>
              <w:t>66</w:t>
            </w:r>
          </w:p>
        </w:tc>
        <w:tc>
          <w:tcPr>
            <w:tcW w:w="3686" w:type="dxa"/>
          </w:tcPr>
          <w:p>
            <w:pPr>
              <w:pStyle w:val="TableNAm"/>
            </w:pPr>
            <w:r>
              <w:t>camping</w:t>
            </w:r>
          </w:p>
        </w:tc>
      </w:tr>
    </w:tbl>
    <w:p>
      <w:pPr>
        <w:pStyle w:val="Subsection"/>
        <w:rPr>
          <w:snapToGrid w:val="0"/>
        </w:rPr>
      </w:pPr>
      <w:r>
        <w:rPr>
          <w:snapToGrid w:val="0"/>
        </w:rPr>
        <w:tab/>
        <w:t>(2)</w:t>
      </w:r>
      <w:r>
        <w:rPr>
          <w:snapToGrid w:val="0"/>
        </w:rPr>
        <w:tab/>
        <w:t>An area may be declared to be a designated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CEO</w:t>
      </w:r>
      <w:r>
        <w:rPr>
          <w:snapToGrid w:val="0"/>
        </w:rPr>
        <w:t xml:space="preserve"> in or in the vicinity of a designated area indicating — </w:t>
      </w:r>
    </w:p>
    <w:p>
      <w:pPr>
        <w:pStyle w:val="Indenta"/>
        <w:rPr>
          <w:snapToGrid w:val="0"/>
        </w:rPr>
      </w:pPr>
      <w:r>
        <w:rPr>
          <w:snapToGrid w:val="0"/>
        </w:rPr>
        <w:tab/>
        <w:t>(a)</w:t>
      </w:r>
      <w:r>
        <w:rPr>
          <w:snapToGrid w:val="0"/>
        </w:rPr>
        <w:tab/>
        <w:t>that the area is a designated area during the periods specified in the notice; and</w:t>
      </w:r>
    </w:p>
    <w:p>
      <w:pPr>
        <w:pStyle w:val="Indenta"/>
        <w:rPr>
          <w:snapToGrid w:val="0"/>
        </w:rPr>
      </w:pPr>
      <w:r>
        <w:rPr>
          <w:snapToGrid w:val="0"/>
        </w:rPr>
        <w:tab/>
        <w:t>(b)</w:t>
      </w:r>
      <w:r>
        <w:rPr>
          <w:snapToGrid w:val="0"/>
        </w:rPr>
        <w:tab/>
        <w:t>the activities in that area that are permitted by reason of the area being a designated area; and</w:t>
      </w:r>
    </w:p>
    <w:p>
      <w:pPr>
        <w:pStyle w:val="Indenta"/>
        <w:rPr>
          <w:snapToGrid w:val="0"/>
        </w:rPr>
      </w:pPr>
      <w:r>
        <w:rPr>
          <w:snapToGrid w:val="0"/>
        </w:rPr>
        <w:tab/>
        <w:t>(c)</w:t>
      </w:r>
      <w:r>
        <w:rPr>
          <w:snapToGrid w:val="0"/>
        </w:rPr>
        <w:tab/>
        <w:t>if activities are subject to conditions, the nature of the conditions.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A reference in a </w:t>
      </w:r>
      <w:r>
        <w:t xml:space="preserve">provision of these regulations </w:t>
      </w:r>
      <w:r>
        <w:rPr>
          <w:snapToGrid w:val="0"/>
        </w:rPr>
        <w:t>to a designated area is a reference to an area declared to be a designated area under subregulation (1) for the purposes of that</w:t>
      </w:r>
      <w:r>
        <w:t xml:space="preserve"> provision</w:t>
      </w:r>
      <w:r>
        <w:rPr>
          <w:snapToGrid w:val="0"/>
        </w:rPr>
        <w:t>.</w:t>
      </w:r>
    </w:p>
    <w:p>
      <w:pPr>
        <w:pStyle w:val="Footnotesection"/>
      </w:pPr>
      <w:r>
        <w:tab/>
        <w:t>[Regulation 6 amended in Gazette 29 Sep 2006 p. 4306 and 4334; 24 Mar 2015 p. 1034.]</w:t>
      </w:r>
    </w:p>
    <w:p>
      <w:pPr>
        <w:pStyle w:val="Heading2"/>
      </w:pPr>
      <w:bookmarkStart w:id="20" w:name="_Toc436903668"/>
      <w:bookmarkStart w:id="21" w:name="_Toc436905610"/>
      <w:bookmarkStart w:id="22" w:name="_Toc436905831"/>
      <w:bookmarkStart w:id="23" w:name="_Toc437515584"/>
      <w:bookmarkStart w:id="24" w:name="_Toc447533184"/>
      <w:bookmarkStart w:id="25" w:name="_Toc456878092"/>
      <w:bookmarkStart w:id="26" w:name="_Toc456951609"/>
      <w:bookmarkStart w:id="27" w:name="_Toc458590193"/>
      <w:bookmarkStart w:id="28" w:name="_Toc458590415"/>
      <w:bookmarkStart w:id="29" w:name="_Toc458590636"/>
      <w:bookmarkStart w:id="30" w:name="_Toc462045289"/>
      <w:r>
        <w:rPr>
          <w:rStyle w:val="CharPartNo"/>
        </w:rPr>
        <w:t>Part 2</w:t>
      </w:r>
      <w:r>
        <w:t xml:space="preserve"> — </w:t>
      </w:r>
      <w:r>
        <w:rPr>
          <w:rStyle w:val="CharPartText"/>
        </w:rPr>
        <w:t>Protection of the environment</w:t>
      </w:r>
      <w:bookmarkEnd w:id="20"/>
      <w:bookmarkEnd w:id="21"/>
      <w:bookmarkEnd w:id="22"/>
      <w:bookmarkEnd w:id="23"/>
      <w:bookmarkEnd w:id="24"/>
      <w:bookmarkEnd w:id="25"/>
      <w:bookmarkEnd w:id="26"/>
      <w:bookmarkEnd w:id="27"/>
      <w:bookmarkEnd w:id="28"/>
      <w:bookmarkEnd w:id="29"/>
      <w:bookmarkEnd w:id="30"/>
    </w:p>
    <w:p>
      <w:pPr>
        <w:pStyle w:val="Heading3"/>
        <w:spacing w:before="220"/>
      </w:pPr>
      <w:bookmarkStart w:id="31" w:name="_Toc436903669"/>
      <w:bookmarkStart w:id="32" w:name="_Toc436905611"/>
      <w:bookmarkStart w:id="33" w:name="_Toc436905832"/>
      <w:bookmarkStart w:id="34" w:name="_Toc437515585"/>
      <w:bookmarkStart w:id="35" w:name="_Toc447533185"/>
      <w:bookmarkStart w:id="36" w:name="_Toc456878093"/>
      <w:bookmarkStart w:id="37" w:name="_Toc456951610"/>
      <w:bookmarkStart w:id="38" w:name="_Toc458590194"/>
      <w:bookmarkStart w:id="39" w:name="_Toc458590416"/>
      <w:bookmarkStart w:id="40" w:name="_Toc458590637"/>
      <w:bookmarkStart w:id="41" w:name="_Toc462045290"/>
      <w:r>
        <w:rPr>
          <w:rStyle w:val="CharDivNo"/>
        </w:rPr>
        <w:t>Division 1</w:t>
      </w:r>
      <w:r>
        <w:t xml:space="preserve"> — </w:t>
      </w:r>
      <w:r>
        <w:rPr>
          <w:rStyle w:val="CharDivText"/>
        </w:rPr>
        <w:t>Protection of flora and fauna</w:t>
      </w:r>
      <w:bookmarkEnd w:id="31"/>
      <w:bookmarkEnd w:id="32"/>
      <w:bookmarkEnd w:id="33"/>
      <w:bookmarkEnd w:id="34"/>
      <w:bookmarkEnd w:id="35"/>
      <w:bookmarkEnd w:id="36"/>
      <w:bookmarkEnd w:id="37"/>
      <w:bookmarkEnd w:id="38"/>
      <w:bookmarkEnd w:id="39"/>
      <w:bookmarkEnd w:id="40"/>
      <w:bookmarkEnd w:id="41"/>
    </w:p>
    <w:p>
      <w:pPr>
        <w:pStyle w:val="Heading5"/>
      </w:pPr>
      <w:bookmarkStart w:id="42" w:name="_Toc462045291"/>
      <w:r>
        <w:rPr>
          <w:rStyle w:val="CharSectno"/>
        </w:rPr>
        <w:t>7</w:t>
      </w:r>
      <w:r>
        <w:t>.</w:t>
      </w:r>
      <w:r>
        <w:tab/>
        <w:t>Limitation on restriction</w:t>
      </w:r>
      <w:bookmarkEnd w:id="42"/>
    </w:p>
    <w:p>
      <w:pPr>
        <w:pStyle w:val="Subsection"/>
      </w:pPr>
      <w:r>
        <w:tab/>
      </w:r>
      <w:r>
        <w:tab/>
        <w:t xml:space="preserve">Nothing in these regulations imposes any restriction on the taking, in a marine park or marine management area — </w:t>
      </w:r>
    </w:p>
    <w:p>
      <w:pPr>
        <w:pStyle w:val="Indenta"/>
        <w:spacing w:before="60"/>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spacing w:before="60"/>
      </w:pPr>
      <w:r>
        <w:tab/>
        <w:t>(b)</w:t>
      </w:r>
      <w:r>
        <w:tab/>
        <w:t xml:space="preserve">of pearl oyster within the meaning of the </w:t>
      </w:r>
      <w:r>
        <w:rPr>
          <w:i/>
        </w:rPr>
        <w:t>Pearling Act 1990</w:t>
      </w:r>
      <w:r>
        <w:t>, in accordance with that Act,</w:t>
      </w:r>
    </w:p>
    <w:p>
      <w:pPr>
        <w:pStyle w:val="Subsection"/>
        <w:spacing w:before="120"/>
      </w:pPr>
      <w:r>
        <w:tab/>
      </w:r>
      <w:r>
        <w:tab/>
        <w:t>except to the extent that the restriction relates to conduct or activity other than the taking of fish but that incidentally affects the taking of fish.</w:t>
      </w:r>
    </w:p>
    <w:p>
      <w:pPr>
        <w:pStyle w:val="Heading5"/>
        <w:rPr>
          <w:snapToGrid w:val="0"/>
        </w:rPr>
      </w:pPr>
      <w:bookmarkStart w:id="43" w:name="_Toc462045292"/>
      <w:r>
        <w:rPr>
          <w:rStyle w:val="CharSectno"/>
        </w:rPr>
        <w:t>8</w:t>
      </w:r>
      <w:r>
        <w:rPr>
          <w:snapToGrid w:val="0"/>
        </w:rPr>
        <w:t>.</w:t>
      </w:r>
      <w:r>
        <w:rPr>
          <w:snapToGrid w:val="0"/>
        </w:rPr>
        <w:tab/>
        <w:t>Unlawful taking of flora and fauna other than fish</w:t>
      </w:r>
      <w:bookmarkEnd w:id="43"/>
    </w:p>
    <w:p>
      <w:pPr>
        <w:pStyle w:val="Subsection"/>
        <w:spacing w:before="150"/>
        <w:rPr>
          <w:snapToGrid w:val="0"/>
        </w:rPr>
      </w:pPr>
      <w:r>
        <w:rPr>
          <w:snapToGrid w:val="0"/>
        </w:rPr>
        <w:tab/>
        <w:t>(1)</w:t>
      </w:r>
      <w:r>
        <w:rPr>
          <w:snapToGrid w:val="0"/>
        </w:rPr>
        <w:tab/>
        <w:t>Without limiting section 106(b), a person must not, without lawful authority, take any flora or fauna on CALM land.</w:t>
      </w:r>
    </w:p>
    <w:p>
      <w:pPr>
        <w:pStyle w:val="Penstart"/>
        <w:rPr>
          <w:snapToGrid w:val="0"/>
        </w:rPr>
      </w:pPr>
      <w:r>
        <w:rPr>
          <w:snapToGrid w:val="0"/>
        </w:rPr>
        <w:tab/>
        <w:t xml:space="preserve">Penalty: </w:t>
      </w:r>
      <w:r>
        <w:t>a fine of</w:t>
      </w:r>
      <w:r>
        <w:rPr>
          <w:snapToGrid w:val="0"/>
        </w:rPr>
        <w:t xml:space="preserve"> $2 000.</w:t>
      </w:r>
    </w:p>
    <w:p>
      <w:pPr>
        <w:pStyle w:val="Subsection"/>
        <w:spacing w:before="150"/>
        <w:rPr>
          <w:snapToGrid w:val="0"/>
        </w:rPr>
      </w:pPr>
      <w:r>
        <w:rPr>
          <w:snapToGrid w:val="0"/>
        </w:rPr>
        <w:tab/>
        <w:t>(2)</w:t>
      </w:r>
      <w:r>
        <w:rPr>
          <w:snapToGrid w:val="0"/>
        </w:rPr>
        <w:tab/>
        <w:t>Section 101C of the Act applies to the taking of flora or fauna in a marine reserve.</w:t>
      </w:r>
    </w:p>
    <w:p>
      <w:pPr>
        <w:pStyle w:val="Subsection"/>
        <w:spacing w:before="150"/>
        <w:rPr>
          <w:snapToGrid w:val="0"/>
        </w:rPr>
      </w:pPr>
      <w:r>
        <w:rPr>
          <w:snapToGrid w:val="0"/>
        </w:rPr>
        <w:tab/>
        <w:t>(3)</w:t>
      </w:r>
      <w:r>
        <w:rPr>
          <w:snapToGrid w:val="0"/>
        </w:rPr>
        <w:tab/>
        <w:t>In subregulation (1) — </w:t>
      </w:r>
    </w:p>
    <w:p>
      <w:pPr>
        <w:pStyle w:val="Defstart"/>
      </w:pPr>
      <w:r>
        <w:tab/>
      </w:r>
      <w:r>
        <w:rPr>
          <w:rStyle w:val="CharDefText"/>
        </w:rPr>
        <w:t>CALM land</w:t>
      </w:r>
      <w:r>
        <w:rPr>
          <w:b/>
        </w:rPr>
        <w:t xml:space="preserve"> </w:t>
      </w:r>
      <w:r>
        <w:t>does not include a marine reserve;</w:t>
      </w:r>
    </w:p>
    <w:p>
      <w:pPr>
        <w:pStyle w:val="Defstart"/>
      </w:pPr>
      <w:r>
        <w:tab/>
      </w:r>
      <w:r>
        <w:rPr>
          <w:rStyle w:val="CharDefText"/>
        </w:rPr>
        <w:t>fauna</w:t>
      </w:r>
      <w:r>
        <w:rPr>
          <w:b/>
        </w:rPr>
        <w:t xml:space="preserve"> </w:t>
      </w:r>
      <w:r>
        <w:t>does not include fish.</w:t>
      </w:r>
    </w:p>
    <w:p>
      <w:pPr>
        <w:pStyle w:val="Footnotesection"/>
        <w:spacing w:before="100"/>
      </w:pPr>
      <w:r>
        <w:tab/>
        <w:t>[Regulation 8 amended in Gazette 3 Dec 2010 p. 6052.]</w:t>
      </w:r>
    </w:p>
    <w:p>
      <w:pPr>
        <w:pStyle w:val="Heading5"/>
        <w:rPr>
          <w:snapToGrid w:val="0"/>
        </w:rPr>
      </w:pPr>
      <w:bookmarkStart w:id="44" w:name="_Toc462045293"/>
      <w:r>
        <w:rPr>
          <w:rStyle w:val="CharSectno"/>
        </w:rPr>
        <w:t>9</w:t>
      </w:r>
      <w:r>
        <w:rPr>
          <w:snapToGrid w:val="0"/>
        </w:rPr>
        <w:t>.</w:t>
      </w:r>
      <w:r>
        <w:rPr>
          <w:snapToGrid w:val="0"/>
        </w:rPr>
        <w:tab/>
        <w:t>Fishing in restricted areas</w:t>
      </w:r>
      <w:bookmarkEnd w:id="44"/>
    </w:p>
    <w:p>
      <w:pPr>
        <w:pStyle w:val="Subsection"/>
        <w:spacing w:before="150"/>
        <w:rPr>
          <w:snapToGrid w:val="0"/>
        </w:rPr>
      </w:pPr>
      <w:r>
        <w:rPr>
          <w:snapToGrid w:val="0"/>
        </w:rPr>
        <w:tab/>
        <w:t>(1)</w:t>
      </w:r>
      <w:r>
        <w:rPr>
          <w:snapToGrid w:val="0"/>
        </w:rPr>
        <w:tab/>
        <w:t>A person must not, without lawful authority, in a restricted area — </w:t>
      </w:r>
    </w:p>
    <w:p>
      <w:pPr>
        <w:pStyle w:val="Indenta"/>
        <w:spacing w:before="60"/>
        <w:rPr>
          <w:snapToGrid w:val="0"/>
        </w:rPr>
      </w:pPr>
      <w:r>
        <w:rPr>
          <w:snapToGrid w:val="0"/>
        </w:rPr>
        <w:tab/>
        <w:t>(a)</w:t>
      </w:r>
      <w:r>
        <w:rPr>
          <w:snapToGrid w:val="0"/>
        </w:rPr>
        <w:tab/>
        <w:t>engage in a fishing activity prohibited in that area under regulation 5; or</w:t>
      </w:r>
    </w:p>
    <w:p>
      <w:pPr>
        <w:pStyle w:val="Indenta"/>
        <w:rPr>
          <w:snapToGrid w:val="0"/>
        </w:rPr>
      </w:pPr>
      <w:r>
        <w:rPr>
          <w:snapToGrid w:val="0"/>
        </w:rPr>
        <w:tab/>
        <w:t>(b)</w:t>
      </w:r>
      <w:r>
        <w:rPr>
          <w:snapToGrid w:val="0"/>
        </w:rPr>
        <w:tab/>
        <w:t>contravene a restriction imposed on a fishing activity in that area under regulation 5.</w:t>
      </w:r>
    </w:p>
    <w:p>
      <w:pPr>
        <w:pStyle w:val="Penstart"/>
        <w:spacing w:before="70"/>
        <w:rPr>
          <w:snapToGrid w:val="0"/>
        </w:rPr>
      </w:pPr>
      <w:r>
        <w:rPr>
          <w:snapToGrid w:val="0"/>
        </w:rPr>
        <w:tab/>
        <w:t xml:space="preserve">Penalty: </w:t>
      </w:r>
      <w:r>
        <w:t>a fine of</w:t>
      </w:r>
      <w:r>
        <w:rPr>
          <w:snapToGrid w:val="0"/>
        </w:rPr>
        <w:t xml:space="preserve"> $1 000.</w:t>
      </w:r>
    </w:p>
    <w:p>
      <w:pPr>
        <w:pStyle w:val="Subsection"/>
        <w:spacing w:before="140"/>
        <w:rPr>
          <w:snapToGrid w:val="0"/>
        </w:rPr>
      </w:pPr>
      <w:r>
        <w:rPr>
          <w:snapToGrid w:val="0"/>
        </w:rPr>
        <w:tab/>
        <w:t>(2)</w:t>
      </w:r>
      <w:r>
        <w:rPr>
          <w:snapToGrid w:val="0"/>
        </w:rPr>
        <w:tab/>
        <w:t>In this regulation — </w:t>
      </w:r>
    </w:p>
    <w:p>
      <w:pPr>
        <w:pStyle w:val="Defstart"/>
      </w:pPr>
      <w:r>
        <w:tab/>
      </w:r>
      <w:r>
        <w:rPr>
          <w:rStyle w:val="CharDefText"/>
        </w:rPr>
        <w:t>fishing activity</w:t>
      </w:r>
      <w:r>
        <w:rPr>
          <w:b/>
        </w:rPr>
        <w:t xml:space="preserve"> </w:t>
      </w:r>
      <w:r>
        <w:t xml:space="preserve">has the same meaning as in the </w:t>
      </w:r>
      <w:r>
        <w:rPr>
          <w:i/>
        </w:rPr>
        <w:t>Fish Resources Management Act 1994</w:t>
      </w:r>
      <w:r>
        <w:t>.</w:t>
      </w:r>
    </w:p>
    <w:p>
      <w:pPr>
        <w:pStyle w:val="Footnotesection"/>
        <w:spacing w:before="100"/>
      </w:pPr>
      <w:r>
        <w:tab/>
        <w:t>[Regulation 9 amended in Gazette 3 Dec 2010 p. 6052.]</w:t>
      </w:r>
    </w:p>
    <w:p>
      <w:pPr>
        <w:pStyle w:val="Heading5"/>
        <w:spacing w:before="200"/>
        <w:rPr>
          <w:snapToGrid w:val="0"/>
        </w:rPr>
      </w:pPr>
      <w:bookmarkStart w:id="45" w:name="_Toc462045294"/>
      <w:r>
        <w:rPr>
          <w:rStyle w:val="CharSectno"/>
        </w:rPr>
        <w:t>10</w:t>
      </w:r>
      <w:r>
        <w:rPr>
          <w:snapToGrid w:val="0"/>
        </w:rPr>
        <w:t>.</w:t>
      </w:r>
      <w:r>
        <w:rPr>
          <w:snapToGrid w:val="0"/>
        </w:rPr>
        <w:tab/>
        <w:t>Feeding of fauna</w:t>
      </w:r>
      <w:bookmarkEnd w:id="45"/>
      <w:r>
        <w:rPr>
          <w:snapToGrid w:val="0"/>
        </w:rPr>
        <w:t xml:space="preserve"> </w:t>
      </w:r>
    </w:p>
    <w:p>
      <w:pPr>
        <w:pStyle w:val="Subsection"/>
        <w:spacing w:before="140"/>
        <w:rPr>
          <w:snapToGrid w:val="0"/>
        </w:rPr>
      </w:pPr>
      <w:r>
        <w:rPr>
          <w:snapToGrid w:val="0"/>
        </w:rPr>
        <w:tab/>
      </w:r>
      <w:r>
        <w:rPr>
          <w:snapToGrid w:val="0"/>
        </w:rPr>
        <w:tab/>
        <w:t>A person must not, without lawful authority, feed fauna, or entice fauna with food, on CALM land.</w:t>
      </w:r>
    </w:p>
    <w:p>
      <w:pPr>
        <w:pStyle w:val="Penstart"/>
        <w:spacing w:before="70"/>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10 amended in Gazette 3 Dec 2010 p. 6052; 19 Sep 2014 p. 3335.]</w:t>
      </w:r>
    </w:p>
    <w:p>
      <w:pPr>
        <w:pStyle w:val="Heading5"/>
        <w:spacing w:before="200"/>
        <w:rPr>
          <w:snapToGrid w:val="0"/>
        </w:rPr>
      </w:pPr>
      <w:bookmarkStart w:id="46" w:name="_Toc462045295"/>
      <w:r>
        <w:rPr>
          <w:rStyle w:val="CharSectno"/>
        </w:rPr>
        <w:t>11</w:t>
      </w:r>
      <w:r>
        <w:rPr>
          <w:snapToGrid w:val="0"/>
        </w:rPr>
        <w:t>.</w:t>
      </w:r>
      <w:r>
        <w:rPr>
          <w:snapToGrid w:val="0"/>
        </w:rPr>
        <w:tab/>
        <w:t>Restrictions on approaching certain marine fauna</w:t>
      </w:r>
      <w:bookmarkEnd w:id="46"/>
      <w:r>
        <w:rPr>
          <w:snapToGrid w:val="0"/>
        </w:rPr>
        <w:t xml:space="preserve"> </w:t>
      </w:r>
    </w:p>
    <w:p>
      <w:pPr>
        <w:pStyle w:val="Subsection"/>
        <w:spacing w:before="140"/>
        <w:rPr>
          <w:snapToGrid w:val="0"/>
        </w:rPr>
      </w:pPr>
      <w:r>
        <w:rPr>
          <w:snapToGrid w:val="0"/>
        </w:rPr>
        <w:tab/>
        <w:t>(1)</w:t>
      </w:r>
      <w:r>
        <w:rPr>
          <w:snapToGrid w:val="0"/>
        </w:rPr>
        <w:tab/>
        <w:t>A person in a vessel or aircraft must not, without lawful authority, herd, chase, interfere with the movement of, or otherwise prevent the free movement of, a whale, dolphin, dugong, seal, sea lion, whale shark, manta ray, marine turtle or any other marine fauna in a marine reserve.</w:t>
      </w:r>
    </w:p>
    <w:p>
      <w:pPr>
        <w:pStyle w:val="Penstart"/>
        <w:spacing w:before="70"/>
        <w:rPr>
          <w:snapToGrid w:val="0"/>
        </w:rPr>
      </w:pPr>
      <w:r>
        <w:rPr>
          <w:snapToGrid w:val="0"/>
        </w:rPr>
        <w:tab/>
        <w:t xml:space="preserve">Penalty: </w:t>
      </w:r>
      <w:r>
        <w:t>a fine of</w:t>
      </w:r>
      <w:r>
        <w:rPr>
          <w:snapToGrid w:val="0"/>
        </w:rPr>
        <w:t xml:space="preserve"> $2 000.</w:t>
      </w:r>
    </w:p>
    <w:p>
      <w:pPr>
        <w:pStyle w:val="Subsection"/>
        <w:spacing w:before="140"/>
        <w:rPr>
          <w:snapToGrid w:val="0"/>
        </w:rPr>
      </w:pPr>
      <w:r>
        <w:rPr>
          <w:snapToGrid w:val="0"/>
        </w:rPr>
        <w:tab/>
        <w:t>(2)</w:t>
      </w:r>
      <w:r>
        <w:rPr>
          <w:snapToGrid w:val="0"/>
        </w:rPr>
        <w:tab/>
        <w:t>A person does not contravene subregulation (1) if the person is in a vessel that is underway and fauna are riding in or on the bow wave of the vessel.</w:t>
      </w:r>
    </w:p>
    <w:p>
      <w:pPr>
        <w:pStyle w:val="Footnotesection"/>
        <w:spacing w:before="100"/>
      </w:pPr>
      <w:r>
        <w:tab/>
        <w:t>[Regulation 11 amended in Gazette 3 Dec 2010 p. 6052.]</w:t>
      </w:r>
    </w:p>
    <w:p>
      <w:pPr>
        <w:pStyle w:val="Heading5"/>
        <w:spacing w:before="200"/>
        <w:rPr>
          <w:snapToGrid w:val="0"/>
        </w:rPr>
      </w:pPr>
      <w:bookmarkStart w:id="47" w:name="_Toc462045296"/>
      <w:r>
        <w:rPr>
          <w:rStyle w:val="CharSectno"/>
        </w:rPr>
        <w:t>12</w:t>
      </w:r>
      <w:r>
        <w:rPr>
          <w:snapToGrid w:val="0"/>
        </w:rPr>
        <w:t>.</w:t>
      </w:r>
      <w:r>
        <w:rPr>
          <w:snapToGrid w:val="0"/>
        </w:rPr>
        <w:tab/>
        <w:t>Possession or use of firearms, spears, restricted devices etc.</w:t>
      </w:r>
      <w:bookmarkEnd w:id="47"/>
    </w:p>
    <w:p>
      <w:pPr>
        <w:pStyle w:val="Subsection"/>
        <w:spacing w:before="140"/>
        <w:rPr>
          <w:snapToGrid w:val="0"/>
        </w:rPr>
      </w:pPr>
      <w:r>
        <w:rPr>
          <w:snapToGrid w:val="0"/>
        </w:rPr>
        <w:tab/>
        <w:t>(1)</w:t>
      </w:r>
      <w:r>
        <w:rPr>
          <w:snapToGrid w:val="0"/>
        </w:rPr>
        <w:tab/>
        <w:t xml:space="preserve">A person must not, without lawful authority, have in his or her possession on CALM land a firearm or ammunition unless that thing — </w:t>
      </w:r>
    </w:p>
    <w:p>
      <w:pPr>
        <w:pStyle w:val="Indenta"/>
        <w:spacing w:before="60"/>
        <w:rPr>
          <w:snapToGrid w:val="0"/>
        </w:rPr>
      </w:pPr>
      <w:r>
        <w:rPr>
          <w:snapToGrid w:val="0"/>
        </w:rPr>
        <w:tab/>
        <w:t>(a)</w:t>
      </w:r>
      <w:r>
        <w:rPr>
          <w:snapToGrid w:val="0"/>
        </w:rPr>
        <w:tab/>
        <w:t>is completely stowed within a vehicle or vessel; and</w:t>
      </w:r>
    </w:p>
    <w:p>
      <w:pPr>
        <w:pStyle w:val="Indenta"/>
        <w:keepNext/>
        <w:spacing w:before="60"/>
        <w:rPr>
          <w:snapToGrid w:val="0"/>
        </w:rPr>
      </w:pPr>
      <w:r>
        <w:rPr>
          <w:snapToGrid w:val="0"/>
        </w:rPr>
        <w:tab/>
        <w:t>(b)</w:t>
      </w:r>
      <w:r>
        <w:rPr>
          <w:snapToGrid w:val="0"/>
        </w:rPr>
        <w:tab/>
      </w:r>
      <w:r>
        <w:t>in the case of a firearm, is unloaded and disassembled</w:t>
      </w:r>
      <w:r>
        <w:rPr>
          <w:snapToGrid w:val="0"/>
        </w:rPr>
        <w:t>.</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keepNext/>
        <w:rPr>
          <w:snapToGrid w:val="0"/>
        </w:rPr>
      </w:pPr>
      <w:r>
        <w:rPr>
          <w:snapToGrid w:val="0"/>
        </w:rPr>
        <w:tab/>
        <w:t>(2)</w:t>
      </w:r>
      <w:r>
        <w:rPr>
          <w:snapToGrid w:val="0"/>
        </w:rPr>
        <w:tab/>
        <w:t xml:space="preserve">A person must not, without lawful authority, have a spear, speargun, gidgie or Hawaiian sling in his or her possession in — </w:t>
      </w:r>
    </w:p>
    <w:p>
      <w:pPr>
        <w:pStyle w:val="Indenta"/>
        <w:rPr>
          <w:snapToGrid w:val="0"/>
        </w:rPr>
      </w:pPr>
      <w:r>
        <w:rPr>
          <w:snapToGrid w:val="0"/>
        </w:rPr>
        <w:tab/>
        <w:t>(a)</w:t>
      </w:r>
      <w:r>
        <w:rPr>
          <w:snapToGrid w:val="0"/>
        </w:rPr>
        <w:tab/>
        <w:t xml:space="preserve">a restricted area declared for the purposes of regulation 9; or </w:t>
      </w:r>
    </w:p>
    <w:p>
      <w:pPr>
        <w:pStyle w:val="Indenta"/>
        <w:rPr>
          <w:snapToGrid w:val="0"/>
        </w:rPr>
      </w:pPr>
      <w:r>
        <w:rPr>
          <w:snapToGrid w:val="0"/>
        </w:rPr>
        <w:tab/>
        <w:t>(b)</w:t>
      </w:r>
      <w:r>
        <w:rPr>
          <w:snapToGrid w:val="0"/>
        </w:rPr>
        <w:tab/>
        <w:t>an area classified under section 62(1a) of the Act as a sanctuary area,</w:t>
      </w:r>
    </w:p>
    <w:p>
      <w:pPr>
        <w:pStyle w:val="Subsection"/>
        <w:spacing w:before="120"/>
        <w:rPr>
          <w:snapToGrid w:val="0"/>
        </w:rPr>
      </w:pPr>
      <w:r>
        <w:rPr>
          <w:snapToGrid w:val="0"/>
        </w:rPr>
        <w:tab/>
      </w:r>
      <w:r>
        <w:rPr>
          <w:snapToGrid w:val="0"/>
        </w:rPr>
        <w:tab/>
        <w:t>unless that thing is completely stowed within a vehicle or vessel and, if it is practicable to do so, is unloaded and disassembled.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(3)</w:t>
      </w:r>
      <w:r>
        <w:rPr>
          <w:snapToGrid w:val="0"/>
        </w:rPr>
        <w:tab/>
        <w:t xml:space="preserve">A person must not, without lawful authority, have in his or her possession on CALM land any restricted device that is intended to be used for the taking of fauna or that constitutes a danger to the public. </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pPr>
      <w:r>
        <w:tab/>
        <w:t>(3a)</w:t>
      </w:r>
      <w:r>
        <w:tab/>
        <w:t xml:space="preserve">A person must not, without lawful authority — </w:t>
      </w:r>
    </w:p>
    <w:p>
      <w:pPr>
        <w:pStyle w:val="Indenta"/>
      </w:pPr>
      <w:r>
        <w:tab/>
        <w:t>(a)</w:t>
      </w:r>
      <w:r>
        <w:tab/>
        <w:t>discharge a firearm on CALM land; or</w:t>
      </w:r>
    </w:p>
    <w:p>
      <w:pPr>
        <w:pStyle w:val="Indenta"/>
      </w:pPr>
      <w:r>
        <w:tab/>
        <w:t>(b)</w:t>
      </w:r>
      <w:r>
        <w:tab/>
        <w:t xml:space="preserve">use a spear, speargun, gidgie or Hawaiian sling in — </w:t>
      </w:r>
    </w:p>
    <w:p>
      <w:pPr>
        <w:pStyle w:val="Indenti"/>
      </w:pPr>
      <w:r>
        <w:tab/>
        <w:t>(i)</w:t>
      </w:r>
      <w:r>
        <w:tab/>
        <w:t>a restricted area declared for the purposes of regulation 9; or</w:t>
      </w:r>
    </w:p>
    <w:p>
      <w:pPr>
        <w:pStyle w:val="Indenti"/>
      </w:pPr>
      <w:r>
        <w:tab/>
        <w:t>(ii)</w:t>
      </w:r>
      <w:r>
        <w:tab/>
        <w:t>an area classified under section 62(1a) of the Act as a sanctuary area;</w:t>
      </w:r>
    </w:p>
    <w:p>
      <w:pPr>
        <w:pStyle w:val="Indenta"/>
      </w:pPr>
      <w:r>
        <w:tab/>
      </w:r>
      <w:r>
        <w:tab/>
        <w:t>or</w:t>
      </w:r>
    </w:p>
    <w:p>
      <w:pPr>
        <w:pStyle w:val="Indenta"/>
      </w:pPr>
      <w:r>
        <w:tab/>
        <w:t>(c)</w:t>
      </w:r>
      <w:r>
        <w:tab/>
        <w:t>use a restricted device on CALM land for taking fauna or in a manner that constitutes a danger to the public.</w:t>
      </w:r>
    </w:p>
    <w:p>
      <w:pPr>
        <w:pStyle w:val="Penstart"/>
      </w:pPr>
      <w:r>
        <w:tab/>
        <w:t>Penalty: a fine of $2 000.</w:t>
      </w:r>
    </w:p>
    <w:p>
      <w:pPr>
        <w:pStyle w:val="Subsection"/>
      </w:pPr>
      <w:r>
        <w:rPr>
          <w:snapToGrid w:val="0"/>
        </w:rPr>
        <w:tab/>
        <w:t>(4)</w:t>
      </w:r>
      <w:r>
        <w:rPr>
          <w:snapToGrid w:val="0"/>
        </w:rPr>
        <w:tab/>
      </w:r>
      <w:r>
        <w:t>Nothing in this regulation prohibits a person from having or using a thing in his or her possession on CALM land where that person has lawful authority to take fauna using that thing.</w:t>
      </w:r>
    </w:p>
    <w:p>
      <w:pPr>
        <w:pStyle w:val="Subsection"/>
        <w:rPr>
          <w:snapToGrid w:val="0"/>
        </w:rPr>
      </w:pPr>
      <w:r>
        <w:rPr>
          <w:snapToGrid w:val="0"/>
        </w:rPr>
        <w:tab/>
        <w:t>(5)</w:t>
      </w:r>
      <w:r>
        <w:rPr>
          <w:snapToGrid w:val="0"/>
        </w:rPr>
        <w:tab/>
        <w:t xml:space="preserve">In this regulation — </w:t>
      </w:r>
    </w:p>
    <w:p>
      <w:pPr>
        <w:pStyle w:val="Defstart"/>
      </w:pPr>
      <w:r>
        <w:tab/>
      </w:r>
      <w:r>
        <w:rPr>
          <w:rStyle w:val="CharDefText"/>
        </w:rPr>
        <w:t>restricted device</w:t>
      </w:r>
      <w:r>
        <w:t xml:space="preserve"> means — </w:t>
      </w:r>
    </w:p>
    <w:p>
      <w:pPr>
        <w:pStyle w:val="Defpara"/>
      </w:pPr>
      <w:r>
        <w:tab/>
        <w:t>(a)</w:t>
      </w:r>
      <w:r>
        <w:tab/>
        <w:t>a bow or cross</w:t>
      </w:r>
      <w:r>
        <w:noBreakHyphen/>
        <w:t>bow; or</w:t>
      </w:r>
    </w:p>
    <w:p>
      <w:pPr>
        <w:pStyle w:val="Defpara"/>
        <w:spacing w:before="60"/>
      </w:pPr>
      <w:r>
        <w:tab/>
        <w:t>(b)</w:t>
      </w:r>
      <w:r>
        <w:tab/>
        <w:t>an explosive, poisonous, noxious or narcotising substance; or</w:t>
      </w:r>
    </w:p>
    <w:p>
      <w:pPr>
        <w:pStyle w:val="Defpara"/>
        <w:spacing w:before="60"/>
      </w:pPr>
      <w:r>
        <w:tab/>
        <w:t>(c)</w:t>
      </w:r>
      <w:r>
        <w:tab/>
        <w:t>a snare, trap or net; or</w:t>
      </w:r>
    </w:p>
    <w:p>
      <w:pPr>
        <w:pStyle w:val="Defpara"/>
        <w:spacing w:before="60"/>
      </w:pPr>
      <w:r>
        <w:tab/>
        <w:t>(d)</w:t>
      </w:r>
      <w:r>
        <w:tab/>
        <w:t>any other equipment, implement, device, apparatus or other thing that is used, capable of being used, or designed or adapted for use for, or in connection with, taking fauna, and is not referred to in subregulation (1) or (2).</w:t>
      </w:r>
    </w:p>
    <w:p>
      <w:pPr>
        <w:pStyle w:val="Footnotesection"/>
        <w:spacing w:before="80"/>
      </w:pPr>
      <w:r>
        <w:tab/>
        <w:t>[Regulation 12 amended in Gazette 29 Sep 2006 p. 4306</w:t>
      </w:r>
      <w:r>
        <w:noBreakHyphen/>
        <w:t>7; 27 Feb 2007 p. 625; 3 Dec 2010 p. 6052; 19 Sep 2014 p. 3335.]</w:t>
      </w:r>
    </w:p>
    <w:p>
      <w:pPr>
        <w:pStyle w:val="Heading5"/>
        <w:spacing w:before="200"/>
        <w:rPr>
          <w:snapToGrid w:val="0"/>
        </w:rPr>
      </w:pPr>
      <w:bookmarkStart w:id="48" w:name="_Toc462045297"/>
      <w:r>
        <w:rPr>
          <w:rStyle w:val="CharSectno"/>
        </w:rPr>
        <w:t>13</w:t>
      </w:r>
      <w:r>
        <w:rPr>
          <w:snapToGrid w:val="0"/>
        </w:rPr>
        <w:t>.</w:t>
      </w:r>
      <w:r>
        <w:rPr>
          <w:snapToGrid w:val="0"/>
        </w:rPr>
        <w:tab/>
        <w:t>Cultivation etc. prohibited</w:t>
      </w:r>
      <w:bookmarkEnd w:id="48"/>
      <w:r>
        <w:rPr>
          <w:snapToGrid w:val="0"/>
        </w:rPr>
        <w:t xml:space="preserve"> </w:t>
      </w:r>
    </w:p>
    <w:p>
      <w:pPr>
        <w:pStyle w:val="Subsection"/>
        <w:spacing w:before="120"/>
        <w:rPr>
          <w:snapToGrid w:val="0"/>
        </w:rPr>
      </w:pPr>
      <w:r>
        <w:rPr>
          <w:snapToGrid w:val="0"/>
        </w:rPr>
        <w:tab/>
        <w:t>(1)</w:t>
      </w:r>
      <w:r>
        <w:rPr>
          <w:snapToGrid w:val="0"/>
        </w:rPr>
        <w:tab/>
        <w:t>A person must not, without lawful authority, plant, cultivate or abandon any plant on CALM land.</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rPr>
          <w:snapToGrid w:val="0"/>
        </w:rPr>
      </w:pPr>
      <w:r>
        <w:rPr>
          <w:snapToGrid w:val="0"/>
        </w:rPr>
        <w:tab/>
        <w:t>(2)</w:t>
      </w:r>
      <w:r>
        <w:rPr>
          <w:snapToGrid w:val="0"/>
        </w:rPr>
        <w:tab/>
        <w:t xml:space="preserve">In subregulation (1) </w:t>
      </w:r>
      <w:r>
        <w:rPr>
          <w:rStyle w:val="CharDefText"/>
        </w:rPr>
        <w:t>plant</w:t>
      </w:r>
      <w:r>
        <w:rPr>
          <w:snapToGrid w:val="0"/>
        </w:rPr>
        <w:t xml:space="preserve"> includes any part of a plant.</w:t>
      </w:r>
    </w:p>
    <w:p>
      <w:pPr>
        <w:pStyle w:val="Footnotesection"/>
        <w:spacing w:before="80"/>
      </w:pPr>
      <w:r>
        <w:tab/>
        <w:t>[Regulation 13 amended in Gazette 3 Dec 2010 p. 6052; 19 Sep 2014 p. 3335.]</w:t>
      </w:r>
    </w:p>
    <w:p>
      <w:pPr>
        <w:pStyle w:val="Heading5"/>
        <w:spacing w:before="200"/>
        <w:rPr>
          <w:snapToGrid w:val="0"/>
        </w:rPr>
      </w:pPr>
      <w:bookmarkStart w:id="49" w:name="_Toc462045298"/>
      <w:r>
        <w:rPr>
          <w:rStyle w:val="CharSectno"/>
        </w:rPr>
        <w:t>14</w:t>
      </w:r>
      <w:r>
        <w:rPr>
          <w:snapToGrid w:val="0"/>
        </w:rPr>
        <w:t>.</w:t>
      </w:r>
      <w:r>
        <w:rPr>
          <w:snapToGrid w:val="0"/>
        </w:rPr>
        <w:tab/>
        <w:t>Removal of plants</w:t>
      </w:r>
      <w:bookmarkEnd w:id="49"/>
      <w:r>
        <w:rPr>
          <w:snapToGrid w:val="0"/>
        </w:rPr>
        <w:t xml:space="preserve"> </w:t>
      </w:r>
    </w:p>
    <w:p>
      <w:pPr>
        <w:pStyle w:val="Subsection"/>
        <w:spacing w:before="120"/>
        <w:rPr>
          <w:snapToGrid w:val="0"/>
        </w:rPr>
      </w:pPr>
      <w:r>
        <w:rPr>
          <w:snapToGrid w:val="0"/>
        </w:rPr>
        <w:tab/>
        <w:t>(1)</w:t>
      </w:r>
      <w:r>
        <w:rPr>
          <w:snapToGrid w:val="0"/>
        </w:rPr>
        <w:tab/>
        <w:t>An authorised officer who finds a person contravening regulation 13 may direct that person then and there to remove the plant the subject of the offence, and any equipment likely to be used in the cultivation of the plant, from the land.</w:t>
      </w:r>
    </w:p>
    <w:p>
      <w:pPr>
        <w:pStyle w:val="Subsection"/>
        <w:spacing w:before="120"/>
        <w:rPr>
          <w:snapToGrid w:val="0"/>
        </w:rPr>
      </w:pPr>
      <w:r>
        <w:rPr>
          <w:snapToGrid w:val="0"/>
        </w:rPr>
        <w:tab/>
        <w:t>(2)</w:t>
      </w:r>
      <w:r>
        <w:rPr>
          <w:snapToGrid w:val="0"/>
        </w:rPr>
        <w:tab/>
        <w:t>A person must comply with a direction under subregulation (1).</w:t>
      </w:r>
    </w:p>
    <w:p>
      <w:pPr>
        <w:pStyle w:val="Penstart"/>
        <w:spacing w:before="70"/>
        <w:rPr>
          <w:snapToGrid w:val="0"/>
        </w:rPr>
      </w:pPr>
      <w:r>
        <w:rPr>
          <w:snapToGrid w:val="0"/>
        </w:rPr>
        <w:tab/>
        <w:t xml:space="preserve">Penalty: </w:t>
      </w:r>
      <w:r>
        <w:t>a fine of</w:t>
      </w:r>
      <w:r>
        <w:rPr>
          <w:snapToGrid w:val="0"/>
        </w:rPr>
        <w:t xml:space="preserve"> $2 000.</w:t>
      </w:r>
    </w:p>
    <w:p>
      <w:pPr>
        <w:pStyle w:val="Footnotesection"/>
        <w:spacing w:before="80"/>
      </w:pPr>
      <w:r>
        <w:tab/>
        <w:t>[Regulation 14 amended in Gazette 3 Dec 2010 p. 6052.]</w:t>
      </w:r>
    </w:p>
    <w:p>
      <w:pPr>
        <w:pStyle w:val="Heading3"/>
        <w:keepNext w:val="0"/>
        <w:pageBreakBefore/>
        <w:spacing w:before="0"/>
      </w:pPr>
      <w:bookmarkStart w:id="50" w:name="_Toc436903678"/>
      <w:bookmarkStart w:id="51" w:name="_Toc436905620"/>
      <w:bookmarkStart w:id="52" w:name="_Toc436905841"/>
      <w:bookmarkStart w:id="53" w:name="_Toc437515594"/>
      <w:bookmarkStart w:id="54" w:name="_Toc447533194"/>
      <w:bookmarkStart w:id="55" w:name="_Toc456878102"/>
      <w:bookmarkStart w:id="56" w:name="_Toc456951619"/>
      <w:bookmarkStart w:id="57" w:name="_Toc458590203"/>
      <w:bookmarkStart w:id="58" w:name="_Toc458590425"/>
      <w:bookmarkStart w:id="59" w:name="_Toc458590646"/>
      <w:bookmarkStart w:id="60" w:name="_Toc462045299"/>
      <w:r>
        <w:rPr>
          <w:rStyle w:val="CharDivNo"/>
        </w:rPr>
        <w:t>Division 2</w:t>
      </w:r>
      <w:r>
        <w:rPr>
          <w:snapToGrid w:val="0"/>
        </w:rPr>
        <w:t xml:space="preserve"> — </w:t>
      </w:r>
      <w:r>
        <w:rPr>
          <w:rStyle w:val="CharDivText"/>
        </w:rPr>
        <w:t>Animals on CALM land</w:t>
      </w:r>
      <w:bookmarkEnd w:id="50"/>
      <w:bookmarkEnd w:id="51"/>
      <w:bookmarkEnd w:id="52"/>
      <w:bookmarkEnd w:id="53"/>
      <w:bookmarkEnd w:id="54"/>
      <w:bookmarkEnd w:id="55"/>
      <w:bookmarkEnd w:id="56"/>
      <w:bookmarkEnd w:id="57"/>
      <w:bookmarkEnd w:id="58"/>
      <w:bookmarkEnd w:id="59"/>
      <w:bookmarkEnd w:id="60"/>
    </w:p>
    <w:p>
      <w:pPr>
        <w:pStyle w:val="Footnoteheading"/>
        <w:keepNext/>
        <w:keepLines/>
      </w:pPr>
      <w:r>
        <w:tab/>
        <w:t>[Heading amended in Gazette 29 Sep 2006 p. 4307.]</w:t>
      </w:r>
    </w:p>
    <w:p>
      <w:pPr>
        <w:pStyle w:val="Heading5"/>
        <w:keepNext w:val="0"/>
        <w:rPr>
          <w:snapToGrid w:val="0"/>
        </w:rPr>
      </w:pPr>
      <w:bookmarkStart w:id="61" w:name="_Toc462045300"/>
      <w:r>
        <w:rPr>
          <w:rStyle w:val="CharSectno"/>
        </w:rPr>
        <w:t>15</w:t>
      </w:r>
      <w:r>
        <w:rPr>
          <w:snapToGrid w:val="0"/>
        </w:rPr>
        <w:t>.</w:t>
      </w:r>
      <w:r>
        <w:rPr>
          <w:snapToGrid w:val="0"/>
        </w:rPr>
        <w:tab/>
        <w:t>Bringing animal on to CALM land</w:t>
      </w:r>
      <w:bookmarkEnd w:id="61"/>
      <w:r>
        <w:rPr>
          <w:snapToGrid w:val="0"/>
        </w:rPr>
        <w:t xml:space="preserve"> </w:t>
      </w:r>
    </w:p>
    <w:p>
      <w:pPr>
        <w:pStyle w:val="Subsection"/>
        <w:rPr>
          <w:snapToGrid w:val="0"/>
        </w:rPr>
      </w:pPr>
      <w:r>
        <w:rPr>
          <w:snapToGrid w:val="0"/>
        </w:rPr>
        <w:tab/>
      </w:r>
      <w:r>
        <w:rPr>
          <w:snapToGrid w:val="0"/>
        </w:rPr>
        <w:tab/>
        <w:t>Without limiting section 106(a), and subject to regulations 16 and 17, a person must not, without lawful authority — </w:t>
      </w:r>
    </w:p>
    <w:p>
      <w:pPr>
        <w:pStyle w:val="Indenta"/>
        <w:rPr>
          <w:snapToGrid w:val="0"/>
        </w:rPr>
      </w:pPr>
      <w:r>
        <w:rPr>
          <w:snapToGrid w:val="0"/>
        </w:rPr>
        <w:tab/>
        <w:t>(a)</w:t>
      </w:r>
      <w:r>
        <w:rPr>
          <w:snapToGrid w:val="0"/>
        </w:rPr>
        <w:tab/>
        <w:t>bring an animal on to CALM land; or</w:t>
      </w:r>
    </w:p>
    <w:p>
      <w:pPr>
        <w:pStyle w:val="Indenta"/>
        <w:keepNext/>
        <w:rPr>
          <w:snapToGrid w:val="0"/>
        </w:rPr>
      </w:pPr>
      <w:r>
        <w:rPr>
          <w:snapToGrid w:val="0"/>
        </w:rPr>
        <w:tab/>
        <w:t>(b)</w:t>
      </w:r>
      <w:r>
        <w:rPr>
          <w:snapToGrid w:val="0"/>
        </w:rPr>
        <w:tab/>
        <w:t>allow an animal to enter or remain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15 amended in Gazette 3 Dec 2010 p. 6052; 19 Sep 2014 p. 3335.]</w:t>
      </w:r>
    </w:p>
    <w:p>
      <w:pPr>
        <w:pStyle w:val="Heading5"/>
        <w:rPr>
          <w:snapToGrid w:val="0"/>
        </w:rPr>
      </w:pPr>
      <w:bookmarkStart w:id="62" w:name="_Toc462045301"/>
      <w:r>
        <w:rPr>
          <w:rStyle w:val="CharSectno"/>
        </w:rPr>
        <w:t>16</w:t>
      </w:r>
      <w:r>
        <w:rPr>
          <w:snapToGrid w:val="0"/>
        </w:rPr>
        <w:t>.</w:t>
      </w:r>
      <w:r>
        <w:rPr>
          <w:snapToGrid w:val="0"/>
        </w:rPr>
        <w:tab/>
        <w:t>Dogs on CALM land</w:t>
      </w:r>
      <w:bookmarkEnd w:id="62"/>
      <w:r>
        <w:rPr>
          <w:snapToGrid w:val="0"/>
        </w:rPr>
        <w:t xml:space="preserve"> </w:t>
      </w:r>
    </w:p>
    <w:p>
      <w:pPr>
        <w:pStyle w:val="Subsection"/>
        <w:rPr>
          <w:snapToGrid w:val="0"/>
        </w:rPr>
      </w:pPr>
      <w:r>
        <w:rPr>
          <w:snapToGrid w:val="0"/>
        </w:rPr>
        <w:tab/>
        <w:t>(1)</w:t>
      </w:r>
      <w:r>
        <w:rPr>
          <w:snapToGrid w:val="0"/>
        </w:rPr>
        <w:tab/>
        <w:t>A person may bring a dog on to a dog area.</w:t>
      </w:r>
    </w:p>
    <w:p>
      <w:pPr>
        <w:pStyle w:val="Subsection"/>
      </w:pPr>
      <w:r>
        <w:tab/>
        <w:t>(2)</w:t>
      </w:r>
      <w:r>
        <w:tab/>
        <w:t>A person must control and manage a dog in a dog area in accordance with conditions specified on signs erected in or in the vicinity of that area for the purposes of regulation 6(3) or signs designating that area as a dog area.</w:t>
      </w:r>
    </w:p>
    <w:p>
      <w:pPr>
        <w:pStyle w:val="Penstart"/>
      </w:pPr>
      <w:r>
        <w:tab/>
        <w:t>Penalty: a fine of $2 000.</w:t>
      </w:r>
    </w:p>
    <w:p>
      <w:pPr>
        <w:pStyle w:val="Footnotesection"/>
        <w:ind w:left="890" w:hanging="890"/>
      </w:pPr>
      <w:r>
        <w:tab/>
        <w:t>[Regulation 16 amended in Gazette 3 Dec 2010 p. 6046; 19 Sep 2014 p. 3335.]</w:t>
      </w:r>
    </w:p>
    <w:p>
      <w:pPr>
        <w:pStyle w:val="Heading5"/>
        <w:rPr>
          <w:snapToGrid w:val="0"/>
        </w:rPr>
      </w:pPr>
      <w:bookmarkStart w:id="63" w:name="_Toc462045302"/>
      <w:r>
        <w:rPr>
          <w:rStyle w:val="CharSectno"/>
        </w:rPr>
        <w:t>17</w:t>
      </w:r>
      <w:r>
        <w:rPr>
          <w:snapToGrid w:val="0"/>
        </w:rPr>
        <w:t>.</w:t>
      </w:r>
      <w:r>
        <w:rPr>
          <w:snapToGrid w:val="0"/>
        </w:rPr>
        <w:tab/>
        <w:t>Horses on CALM land</w:t>
      </w:r>
      <w:bookmarkEnd w:id="63"/>
      <w:r>
        <w:rPr>
          <w:snapToGrid w:val="0"/>
        </w:rPr>
        <w:t xml:space="preserve"> </w:t>
      </w:r>
    </w:p>
    <w:p>
      <w:pPr>
        <w:pStyle w:val="Subsection"/>
        <w:rPr>
          <w:snapToGrid w:val="0"/>
        </w:rPr>
      </w:pPr>
      <w:r>
        <w:rPr>
          <w:snapToGrid w:val="0"/>
        </w:rPr>
        <w:tab/>
        <w:t>(1)</w:t>
      </w:r>
      <w:r>
        <w:rPr>
          <w:snapToGrid w:val="0"/>
        </w:rPr>
        <w:tab/>
        <w:t>A person may bring a horse on to a horse area.</w:t>
      </w:r>
    </w:p>
    <w:p>
      <w:pPr>
        <w:pStyle w:val="Subsection"/>
      </w:pPr>
      <w:r>
        <w:tab/>
        <w:t>(2)</w:t>
      </w:r>
      <w:r>
        <w:tab/>
        <w:t>A person must control and manage a horse in a horse area in accordance with conditions specified on signs erected in or in the vicinity of that area for the purposes of regulation 6(3) or signs designating that area as a horse area.</w:t>
      </w:r>
    </w:p>
    <w:p>
      <w:pPr>
        <w:pStyle w:val="Penstart"/>
      </w:pPr>
      <w:r>
        <w:tab/>
        <w:t>Penalty: a fine of $2 000.</w:t>
      </w:r>
    </w:p>
    <w:p>
      <w:pPr>
        <w:pStyle w:val="Footnotesection"/>
        <w:ind w:left="890" w:hanging="890"/>
      </w:pPr>
      <w:r>
        <w:tab/>
        <w:t>[Regulation 17 amended in Gazette 3 Dec 2010 p. 6046; 19 Sep 2014 p. 3335.]</w:t>
      </w:r>
    </w:p>
    <w:p>
      <w:pPr>
        <w:pStyle w:val="Heading5"/>
        <w:spacing w:before="180"/>
        <w:rPr>
          <w:snapToGrid w:val="0"/>
        </w:rPr>
      </w:pPr>
      <w:bookmarkStart w:id="64" w:name="_Toc462045303"/>
      <w:r>
        <w:rPr>
          <w:rStyle w:val="CharSectno"/>
        </w:rPr>
        <w:t>18</w:t>
      </w:r>
      <w:r>
        <w:rPr>
          <w:snapToGrid w:val="0"/>
        </w:rPr>
        <w:t>.</w:t>
      </w:r>
      <w:r>
        <w:rPr>
          <w:snapToGrid w:val="0"/>
        </w:rPr>
        <w:tab/>
        <w:t>Unlawful taking of non</w:t>
      </w:r>
      <w:r>
        <w:rPr>
          <w:snapToGrid w:val="0"/>
        </w:rPr>
        <w:noBreakHyphen/>
        <w:t>indigenous animals</w:t>
      </w:r>
      <w:bookmarkEnd w:id="64"/>
      <w:r>
        <w:rPr>
          <w:snapToGrid w:val="0"/>
        </w:rPr>
        <w:t xml:space="preserve"> </w:t>
      </w:r>
    </w:p>
    <w:p>
      <w:pPr>
        <w:pStyle w:val="Subsection"/>
        <w:rPr>
          <w:snapToGrid w:val="0"/>
        </w:rPr>
      </w:pPr>
      <w:r>
        <w:rPr>
          <w:snapToGrid w:val="0"/>
        </w:rPr>
        <w:tab/>
      </w:r>
      <w:r>
        <w:rPr>
          <w:snapToGrid w:val="0"/>
        </w:rPr>
        <w:tab/>
        <w:t>A person must not, without lawful authority, take any non</w:t>
      </w:r>
      <w:r>
        <w:rPr>
          <w:snapToGrid w:val="0"/>
        </w:rPr>
        <w:noBreakHyphen/>
        <w:t>indigenous animal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18 amended in Gazette 3 Dec 2010 p. 6052</w:t>
      </w:r>
      <w:r>
        <w:noBreakHyphen/>
        <w:t>3; 19 Sep 2014 p. 3335.]</w:t>
      </w:r>
    </w:p>
    <w:p>
      <w:pPr>
        <w:pStyle w:val="Heading5"/>
        <w:rPr>
          <w:snapToGrid w:val="0"/>
        </w:rPr>
      </w:pPr>
      <w:bookmarkStart w:id="65" w:name="_Toc462045304"/>
      <w:r>
        <w:rPr>
          <w:rStyle w:val="CharSectno"/>
        </w:rPr>
        <w:t>19</w:t>
      </w:r>
      <w:r>
        <w:rPr>
          <w:snapToGrid w:val="0"/>
        </w:rPr>
        <w:t>.</w:t>
      </w:r>
      <w:r>
        <w:rPr>
          <w:snapToGrid w:val="0"/>
        </w:rPr>
        <w:tab/>
        <w:t>Removal of animal by owner or person in charge</w:t>
      </w:r>
      <w:bookmarkEnd w:id="65"/>
      <w:r>
        <w:rPr>
          <w:snapToGrid w:val="0"/>
        </w:rPr>
        <w:t xml:space="preserve"> </w:t>
      </w:r>
    </w:p>
    <w:p>
      <w:pPr>
        <w:pStyle w:val="Subsection"/>
        <w:rPr>
          <w:snapToGrid w:val="0"/>
        </w:rPr>
      </w:pPr>
      <w:r>
        <w:rPr>
          <w:snapToGrid w:val="0"/>
        </w:rPr>
        <w:tab/>
      </w:r>
      <w:r>
        <w:rPr>
          <w:snapToGrid w:val="0"/>
        </w:rPr>
        <w:tab/>
        <w:t>An owner or person in charge of an animal on CALM land in contravention of regulation 15 must remove the animal from the land when required to do so by an authorised officer.</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19 amended in Gazette 3 Dec 2010 p. 6052</w:t>
      </w:r>
      <w:r>
        <w:noBreakHyphen/>
        <w:t>3; 19 Sep 2014 p. 3335.]</w:t>
      </w:r>
    </w:p>
    <w:p>
      <w:pPr>
        <w:pStyle w:val="Heading5"/>
        <w:keepNext w:val="0"/>
        <w:keepLines w:val="0"/>
        <w:rPr>
          <w:snapToGrid w:val="0"/>
        </w:rPr>
      </w:pPr>
      <w:bookmarkStart w:id="66" w:name="_Toc462045305"/>
      <w:r>
        <w:rPr>
          <w:rStyle w:val="CharSectno"/>
        </w:rPr>
        <w:t>20</w:t>
      </w:r>
      <w:r>
        <w:rPr>
          <w:snapToGrid w:val="0"/>
        </w:rPr>
        <w:t>.</w:t>
      </w:r>
      <w:r>
        <w:rPr>
          <w:snapToGrid w:val="0"/>
        </w:rPr>
        <w:tab/>
        <w:t>Removal of animals by authorised officer</w:t>
      </w:r>
      <w:bookmarkEnd w:id="66"/>
      <w:r>
        <w:rPr>
          <w:snapToGrid w:val="0"/>
        </w:rPr>
        <w:t xml:space="preserve"> </w:t>
      </w:r>
    </w:p>
    <w:p>
      <w:pPr>
        <w:pStyle w:val="Subsection"/>
        <w:rPr>
          <w:snapToGrid w:val="0"/>
        </w:rPr>
      </w:pPr>
      <w:r>
        <w:rPr>
          <w:snapToGrid w:val="0"/>
        </w:rPr>
        <w:tab/>
      </w:r>
      <w:r>
        <w:rPr>
          <w:snapToGrid w:val="0"/>
        </w:rPr>
        <w:tab/>
        <w:t xml:space="preserve">An authorised officer may seize and remove any animal found on CALM land </w:t>
      </w:r>
      <w:r>
        <w:t xml:space="preserve">in contravention of regulation 15 </w:t>
      </w:r>
      <w:r>
        <w:rPr>
          <w:snapToGrid w:val="0"/>
        </w:rPr>
        <w:t>if the authorised officer is unable to find the owner or person in charge of the animal.</w:t>
      </w:r>
    </w:p>
    <w:p>
      <w:pPr>
        <w:pStyle w:val="Footnotesection"/>
        <w:keepLines w:val="0"/>
        <w:ind w:left="890" w:hanging="890"/>
      </w:pPr>
      <w:r>
        <w:tab/>
        <w:t>[Regulation 20 amended in Gazette 29 Sep 2006 p. 4307.]</w:t>
      </w:r>
    </w:p>
    <w:p>
      <w:pPr>
        <w:pStyle w:val="Heading3"/>
        <w:spacing w:before="180"/>
      </w:pPr>
      <w:bookmarkStart w:id="67" w:name="_Toc436903685"/>
      <w:bookmarkStart w:id="68" w:name="_Toc436905627"/>
      <w:bookmarkStart w:id="69" w:name="_Toc436905848"/>
      <w:bookmarkStart w:id="70" w:name="_Toc437515601"/>
      <w:bookmarkStart w:id="71" w:name="_Toc447533201"/>
      <w:bookmarkStart w:id="72" w:name="_Toc456878109"/>
      <w:bookmarkStart w:id="73" w:name="_Toc456951626"/>
      <w:bookmarkStart w:id="74" w:name="_Toc458590210"/>
      <w:bookmarkStart w:id="75" w:name="_Toc458590432"/>
      <w:bookmarkStart w:id="76" w:name="_Toc458590653"/>
      <w:bookmarkStart w:id="77" w:name="_Toc462045306"/>
      <w:r>
        <w:rPr>
          <w:rStyle w:val="CharDivNo"/>
        </w:rPr>
        <w:t>Division 3</w:t>
      </w:r>
      <w:r>
        <w:rPr>
          <w:snapToGrid w:val="0"/>
        </w:rPr>
        <w:t xml:space="preserve"> — </w:t>
      </w:r>
      <w:r>
        <w:rPr>
          <w:rStyle w:val="CharDivText"/>
        </w:rPr>
        <w:t>Pollution and litter</w:t>
      </w:r>
      <w:bookmarkEnd w:id="67"/>
      <w:bookmarkEnd w:id="68"/>
      <w:bookmarkEnd w:id="69"/>
      <w:bookmarkEnd w:id="70"/>
      <w:bookmarkEnd w:id="71"/>
      <w:bookmarkEnd w:id="72"/>
      <w:bookmarkEnd w:id="73"/>
      <w:bookmarkEnd w:id="74"/>
      <w:bookmarkEnd w:id="75"/>
      <w:bookmarkEnd w:id="76"/>
      <w:bookmarkEnd w:id="77"/>
      <w:r>
        <w:rPr>
          <w:rStyle w:val="CharDivText"/>
        </w:rPr>
        <w:t xml:space="preserve"> </w:t>
      </w:r>
    </w:p>
    <w:p>
      <w:pPr>
        <w:pStyle w:val="Heading5"/>
        <w:spacing w:before="180"/>
        <w:rPr>
          <w:snapToGrid w:val="0"/>
        </w:rPr>
      </w:pPr>
      <w:bookmarkStart w:id="78" w:name="_Toc462045307"/>
      <w:r>
        <w:rPr>
          <w:rStyle w:val="CharSectno"/>
        </w:rPr>
        <w:t>21</w:t>
      </w:r>
      <w:r>
        <w:rPr>
          <w:snapToGrid w:val="0"/>
        </w:rPr>
        <w:t>.</w:t>
      </w:r>
      <w:r>
        <w:rPr>
          <w:snapToGrid w:val="0"/>
        </w:rPr>
        <w:tab/>
        <w:t>Discharging or depositing waste</w:t>
      </w:r>
      <w:bookmarkEnd w:id="78"/>
      <w:r>
        <w:rPr>
          <w:snapToGrid w:val="0"/>
        </w:rPr>
        <w:t xml:space="preserve"> </w:t>
      </w:r>
    </w:p>
    <w:p>
      <w:pPr>
        <w:pStyle w:val="Subsection"/>
        <w:rPr>
          <w:snapToGrid w:val="0"/>
        </w:rPr>
      </w:pPr>
      <w:r>
        <w:rPr>
          <w:snapToGrid w:val="0"/>
        </w:rPr>
        <w:tab/>
        <w:t>(1)</w:t>
      </w:r>
      <w:r>
        <w:rPr>
          <w:snapToGrid w:val="0"/>
        </w:rPr>
        <w:tab/>
        <w:t>Subject to subregulations (2) and (3), a person must not, without lawful authority, cause or allow waste to be discharged or placed on CALM land.</w:t>
      </w:r>
    </w:p>
    <w:p>
      <w:pPr>
        <w:pStyle w:val="Penstart"/>
        <w:rPr>
          <w:snapToGrid w:val="0"/>
        </w:rPr>
      </w:pPr>
      <w:r>
        <w:rPr>
          <w:snapToGrid w:val="0"/>
        </w:rPr>
        <w:tab/>
        <w:t xml:space="preserve">Penalty: </w:t>
      </w:r>
      <w:r>
        <w:t xml:space="preserve">a fine of </w:t>
      </w:r>
      <w:r>
        <w:rPr>
          <w:snapToGrid w:val="0"/>
        </w:rPr>
        <w:t>$2 000.</w:t>
      </w:r>
    </w:p>
    <w:p>
      <w:pPr>
        <w:pStyle w:val="Subsection"/>
        <w:rPr>
          <w:snapToGrid w:val="0"/>
        </w:rPr>
      </w:pPr>
      <w:r>
        <w:rPr>
          <w:snapToGrid w:val="0"/>
        </w:rPr>
        <w:tab/>
        <w:t>(2)</w:t>
      </w:r>
      <w:r>
        <w:rPr>
          <w:snapToGrid w:val="0"/>
        </w:rPr>
        <w:tab/>
        <w:t>Subregulation (1) does not apply to fuel discharged during the normal operation of 2 stroke outboard motors on vessels.</w:t>
      </w:r>
    </w:p>
    <w:p>
      <w:pPr>
        <w:pStyle w:val="Subsection"/>
      </w:pPr>
      <w:r>
        <w:rPr>
          <w:snapToGrid w:val="0"/>
        </w:rPr>
        <w:tab/>
        <w:t>(3)</w:t>
      </w:r>
      <w:r>
        <w:rPr>
          <w:snapToGrid w:val="0"/>
        </w:rPr>
        <w:tab/>
      </w:r>
      <w:r>
        <w:t>A person may discharge sewage from a vessel in a designated area.</w:t>
      </w:r>
    </w:p>
    <w:p>
      <w:pPr>
        <w:pStyle w:val="Subsection"/>
      </w:pPr>
      <w:r>
        <w:tab/>
        <w:t>(4)</w:t>
      </w:r>
      <w:r>
        <w:tab/>
        <w:t>A person must discharge sewage in a designated area in accordance with any conditions specified in respect of that discharge in the notice published under regulation 6(1) designating that area for the purposes of this regulation.</w:t>
      </w:r>
    </w:p>
    <w:p>
      <w:pPr>
        <w:pStyle w:val="Penstart"/>
      </w:pPr>
      <w:r>
        <w:tab/>
        <w:t>Penalty: a fine of $2 000.</w:t>
      </w:r>
    </w:p>
    <w:p>
      <w:pPr>
        <w:pStyle w:val="Subsection"/>
        <w:rPr>
          <w:snapToGrid w:val="0"/>
        </w:rPr>
      </w:pPr>
      <w:r>
        <w:rPr>
          <w:snapToGrid w:val="0"/>
        </w:rPr>
        <w:tab/>
        <w:t>(5)</w:t>
      </w:r>
      <w:r>
        <w:rPr>
          <w:snapToGrid w:val="0"/>
        </w:rPr>
        <w:tab/>
        <w:t>In subregulation (1) — </w:t>
      </w:r>
    </w:p>
    <w:p>
      <w:pPr>
        <w:pStyle w:val="Defstart"/>
      </w:pPr>
      <w:r>
        <w:tab/>
      </w:r>
      <w:r>
        <w:rPr>
          <w:rStyle w:val="CharDefText"/>
        </w:rPr>
        <w:t>waste</w:t>
      </w:r>
      <w:r>
        <w:rPr>
          <w:b/>
        </w:rPr>
        <w:t xml:space="preserve"> </w:t>
      </w:r>
      <w:r>
        <w:t xml:space="preserve">means any waste which could reasonably be expected to significantly and adversely affect the land on which it is discharged or placed, and includes liquid, solid, gaseous and radioactive matter, whether useful or useless. </w:t>
      </w:r>
    </w:p>
    <w:p>
      <w:pPr>
        <w:pStyle w:val="Footnotesection"/>
      </w:pPr>
      <w:r>
        <w:tab/>
        <w:t>[Regulation 21 amended in Gazette 3 Dec 2010 p. 6052</w:t>
      </w:r>
      <w:r>
        <w:noBreakHyphen/>
        <w:t>3.]</w:t>
      </w:r>
    </w:p>
    <w:p>
      <w:pPr>
        <w:pStyle w:val="Heading5"/>
      </w:pPr>
      <w:bookmarkStart w:id="79" w:name="_Toc462045308"/>
      <w:r>
        <w:rPr>
          <w:rStyle w:val="CharSectno"/>
        </w:rPr>
        <w:t>22</w:t>
      </w:r>
      <w:r>
        <w:t>.</w:t>
      </w:r>
      <w:r>
        <w:tab/>
        <w:t>Painting or treating vessels</w:t>
      </w:r>
      <w:bookmarkEnd w:id="79"/>
    </w:p>
    <w:p>
      <w:pPr>
        <w:pStyle w:val="Subsection"/>
      </w:pPr>
      <w:r>
        <w:tab/>
      </w:r>
      <w:r>
        <w:tab/>
        <w:t>A person must not, without lawful authority, paint or chemically treat, or cause to be painted or chemically treated, the hull or keel of a vessel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22 amended in Gazette 3 Dec 2010 p. 6052</w:t>
      </w:r>
      <w:r>
        <w:noBreakHyphen/>
        <w:t>3.]</w:t>
      </w:r>
    </w:p>
    <w:p>
      <w:pPr>
        <w:pStyle w:val="Heading5"/>
        <w:rPr>
          <w:snapToGrid w:val="0"/>
        </w:rPr>
      </w:pPr>
      <w:bookmarkStart w:id="80" w:name="_Toc462045309"/>
      <w:r>
        <w:rPr>
          <w:rStyle w:val="CharSectno"/>
        </w:rPr>
        <w:t>23</w:t>
      </w:r>
      <w:r>
        <w:rPr>
          <w:snapToGrid w:val="0"/>
        </w:rPr>
        <w:t>.</w:t>
      </w:r>
      <w:r>
        <w:rPr>
          <w:snapToGrid w:val="0"/>
        </w:rPr>
        <w:tab/>
        <w:t>Pollution of water supply</w:t>
      </w:r>
      <w:bookmarkEnd w:id="80"/>
      <w:r>
        <w:rPr>
          <w:snapToGrid w:val="0"/>
        </w:rPr>
        <w:t xml:space="preserve"> </w:t>
      </w:r>
    </w:p>
    <w:p>
      <w:pPr>
        <w:pStyle w:val="Subsection"/>
        <w:rPr>
          <w:snapToGrid w:val="0"/>
        </w:rPr>
      </w:pPr>
      <w:r>
        <w:rPr>
          <w:snapToGrid w:val="0"/>
        </w:rPr>
        <w:tab/>
        <w:t>(1)</w:t>
      </w:r>
      <w:r>
        <w:rPr>
          <w:snapToGrid w:val="0"/>
        </w:rPr>
        <w:tab/>
        <w:t>A person must not discharge or place any refuse or any poisonous, noxious or polluting matter, or cause any refuse or poisonous, noxious or polluting matter to be discharged or placed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CALM land, or in any area on CALM land where the matter is likely to pass to such a reservoir or tank;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public water catchment area on CALM land, or in any area on CALM land where the matter is likely to pass to a public water catchment area; or</w:t>
      </w:r>
    </w:p>
    <w:p>
      <w:pPr>
        <w:pStyle w:val="Indenta"/>
        <w:rPr>
          <w:snapToGrid w:val="0"/>
        </w:rPr>
      </w:pPr>
      <w:r>
        <w:rPr>
          <w:snapToGrid w:val="0"/>
        </w:rPr>
        <w:tab/>
        <w:t>(c)</w:t>
      </w:r>
      <w:r>
        <w:rPr>
          <w:snapToGrid w:val="0"/>
        </w:rPr>
        <w:tab/>
        <w:t>except as permitted under regulation 21, in any naturally occurring water course or water body on CALM land, or in any area on CALM land where the matter is likely to pass to a naturally occurring water course or water body.</w:t>
      </w:r>
    </w:p>
    <w:p>
      <w:pPr>
        <w:pStyle w:val="Penstart"/>
        <w:rPr>
          <w:snapToGrid w:val="0"/>
        </w:rPr>
      </w:pPr>
      <w:r>
        <w:rPr>
          <w:snapToGrid w:val="0"/>
        </w:rPr>
        <w:tab/>
        <w:t xml:space="preserve">Penalty: </w:t>
      </w:r>
      <w:r>
        <w:t>a fine of</w:t>
      </w:r>
      <w:r>
        <w:rPr>
          <w:snapToGrid w:val="0"/>
        </w:rPr>
        <w:t xml:space="preserve"> $2 000.</w:t>
      </w:r>
    </w:p>
    <w:p>
      <w:pPr>
        <w:pStyle w:val="Subsection"/>
        <w:spacing w:before="120"/>
      </w:pPr>
      <w:r>
        <w:tab/>
        <w:t>(1a)</w:t>
      </w:r>
      <w:r>
        <w:tab/>
        <w:t>Subregulation (1) does not apply to swimming or bathing in a water course or water body that is not used for storing water for human consumption.</w:t>
      </w:r>
    </w:p>
    <w:p>
      <w:pPr>
        <w:pStyle w:val="Subsection"/>
        <w:spacing w:before="120"/>
        <w:rPr>
          <w:snapToGrid w:val="0"/>
        </w:rPr>
      </w:pPr>
      <w:r>
        <w:rPr>
          <w:snapToGrid w:val="0"/>
        </w:rPr>
        <w:tab/>
        <w:t>(2)</w:t>
      </w:r>
      <w:r>
        <w:rPr>
          <w:snapToGrid w:val="0"/>
        </w:rPr>
        <w:tab/>
        <w:t>A person must not swim, bathe or wash in any reservoir or tank containing water stored for human consumption or use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100"/>
      </w:pPr>
      <w:r>
        <w:tab/>
        <w:t>[Regulation 23 amended in Gazette 29 Sep 2006 p. 4308; 3 Dec 2010 p. 6052</w:t>
      </w:r>
      <w:r>
        <w:noBreakHyphen/>
        <w:t>3; 19 Sep 2014 p. 3335.]</w:t>
      </w:r>
    </w:p>
    <w:p>
      <w:pPr>
        <w:pStyle w:val="Heading5"/>
        <w:spacing w:before="180"/>
        <w:rPr>
          <w:snapToGrid w:val="0"/>
        </w:rPr>
      </w:pPr>
      <w:bookmarkStart w:id="81" w:name="_Toc462045310"/>
      <w:r>
        <w:rPr>
          <w:rStyle w:val="CharSectno"/>
        </w:rPr>
        <w:t>24</w:t>
      </w:r>
      <w:r>
        <w:rPr>
          <w:snapToGrid w:val="0"/>
        </w:rPr>
        <w:t>.</w:t>
      </w:r>
      <w:r>
        <w:rPr>
          <w:snapToGrid w:val="0"/>
        </w:rPr>
        <w:tab/>
        <w:t>Litter</w:t>
      </w:r>
      <w:bookmarkEnd w:id="81"/>
      <w:r>
        <w:rPr>
          <w:snapToGrid w:val="0"/>
        </w:rPr>
        <w:t xml:space="preserve"> </w:t>
      </w:r>
    </w:p>
    <w:p>
      <w:pPr>
        <w:pStyle w:val="Subsection"/>
        <w:spacing w:before="120"/>
        <w:rPr>
          <w:snapToGrid w:val="0"/>
        </w:rPr>
      </w:pPr>
      <w:r>
        <w:rPr>
          <w:snapToGrid w:val="0"/>
        </w:rPr>
        <w:tab/>
        <w:t>(1)</w:t>
      </w:r>
      <w:r>
        <w:rPr>
          <w:snapToGrid w:val="0"/>
        </w:rPr>
        <w:tab/>
        <w:t xml:space="preserve">A person must not deposit litter, or cause litter to be deposited, on CALM land (unless the person deposits the litter in a place or receptacle set aside or provided by the </w:t>
      </w:r>
      <w:r>
        <w:t xml:space="preserve">CEO </w:t>
      </w:r>
      <w:r>
        <w:rPr>
          <w:snapToGrid w:val="0"/>
        </w:rPr>
        <w:t>for that purpose).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20"/>
        <w:rPr>
          <w:snapToGrid w:val="0"/>
        </w:rPr>
      </w:pPr>
      <w:r>
        <w:rPr>
          <w:snapToGrid w:val="0"/>
        </w:rPr>
        <w:tab/>
        <w:t>(2)</w:t>
      </w:r>
      <w:r>
        <w:rPr>
          <w:snapToGrid w:val="0"/>
        </w:rPr>
        <w:tab/>
        <w:t>In this regulation — </w:t>
      </w:r>
    </w:p>
    <w:p>
      <w:pPr>
        <w:pStyle w:val="Defstart"/>
      </w:pPr>
      <w:r>
        <w:tab/>
      </w:r>
      <w:r>
        <w:rPr>
          <w:rStyle w:val="CharDefText"/>
        </w:rPr>
        <w:t>litter</w:t>
      </w:r>
      <w:r>
        <w:rPr>
          <w:b/>
        </w:rPr>
        <w:t xml:space="preserve"> </w:t>
      </w:r>
      <w:r>
        <w:t xml:space="preserve">has the same meaning as in the </w:t>
      </w:r>
      <w:r>
        <w:rPr>
          <w:i/>
        </w:rPr>
        <w:t>Litter Act 1979</w:t>
      </w:r>
      <w:r>
        <w:t>.</w:t>
      </w:r>
    </w:p>
    <w:p>
      <w:pPr>
        <w:pStyle w:val="Footnotesection"/>
        <w:spacing w:before="80"/>
        <w:ind w:left="890" w:hanging="890"/>
      </w:pPr>
      <w:r>
        <w:tab/>
        <w:t>[Regulation 24 amended in Gazette 29 Sep 2006 p. 4334; 3 Dec 2010 p. 6052</w:t>
      </w:r>
      <w:r>
        <w:noBreakHyphen/>
        <w:t>3; 19 Sep 2014 p. 3335.]</w:t>
      </w:r>
    </w:p>
    <w:p>
      <w:pPr>
        <w:pStyle w:val="Heading5"/>
        <w:rPr>
          <w:snapToGrid w:val="0"/>
        </w:rPr>
      </w:pPr>
      <w:bookmarkStart w:id="82" w:name="_Toc462045311"/>
      <w:r>
        <w:rPr>
          <w:rStyle w:val="CharSectno"/>
        </w:rPr>
        <w:t>25</w:t>
      </w:r>
      <w:r>
        <w:rPr>
          <w:snapToGrid w:val="0"/>
        </w:rPr>
        <w:t>.</w:t>
      </w:r>
      <w:r>
        <w:rPr>
          <w:snapToGrid w:val="0"/>
        </w:rPr>
        <w:tab/>
        <w:t>Building materials and other matter</w:t>
      </w:r>
      <w:bookmarkEnd w:id="82"/>
      <w:r>
        <w:rPr>
          <w:snapToGrid w:val="0"/>
        </w:rPr>
        <w:t xml:space="preserve"> </w:t>
      </w:r>
    </w:p>
    <w:p>
      <w:pPr>
        <w:pStyle w:val="Subsection"/>
        <w:spacing w:before="150"/>
        <w:rPr>
          <w:snapToGrid w:val="0"/>
        </w:rPr>
      </w:pPr>
      <w:r>
        <w:rPr>
          <w:snapToGrid w:val="0"/>
        </w:rPr>
        <w:tab/>
      </w:r>
      <w:r>
        <w:rPr>
          <w:snapToGrid w:val="0"/>
        </w:rPr>
        <w:tab/>
        <w:t>A person must not discharge or place building materials, soil, rocks, sand, rubble, over</w:t>
      </w:r>
      <w:r>
        <w:rPr>
          <w:snapToGrid w:val="0"/>
        </w:rPr>
        <w:noBreakHyphen/>
        <w:t>burden or waste products from any industry, or cause building materials, soil, rocks, sand, rubble, over</w:t>
      </w:r>
      <w:r>
        <w:rPr>
          <w:snapToGrid w:val="0"/>
        </w:rPr>
        <w:noBreakHyphen/>
        <w:t>burden or waste products from any industry to be discharged or placed, on CALM land.</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[Regulation 25 amended in Gazette 3 Dec 2010 p. 6052</w:t>
      </w:r>
      <w:r>
        <w:noBreakHyphen/>
        <w:t>3.]</w:t>
      </w:r>
    </w:p>
    <w:p>
      <w:pPr>
        <w:pStyle w:val="Heading5"/>
        <w:rPr>
          <w:snapToGrid w:val="0"/>
        </w:rPr>
      </w:pPr>
      <w:bookmarkStart w:id="83" w:name="_Toc462045312"/>
      <w:r>
        <w:rPr>
          <w:rStyle w:val="CharSectno"/>
        </w:rPr>
        <w:t>26</w:t>
      </w:r>
      <w:r>
        <w:rPr>
          <w:snapToGrid w:val="0"/>
        </w:rPr>
        <w:t>.</w:t>
      </w:r>
      <w:r>
        <w:rPr>
          <w:snapToGrid w:val="0"/>
        </w:rPr>
        <w:tab/>
        <w:t>Glass in restricted areas</w:t>
      </w:r>
      <w:bookmarkEnd w:id="83"/>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take, or have in his or her possession, any drinking glass, glass bottle or glass drinking implement in a restricted area where taking or possession of that item is prohibited under regulation 5; or</w:t>
      </w:r>
    </w:p>
    <w:p>
      <w:pPr>
        <w:pStyle w:val="Indenta"/>
        <w:rPr>
          <w:snapToGrid w:val="0"/>
        </w:rPr>
      </w:pPr>
      <w:r>
        <w:rPr>
          <w:snapToGrid w:val="0"/>
        </w:rPr>
        <w:tab/>
        <w:t>(b)</w:t>
      </w:r>
      <w:r>
        <w:rPr>
          <w:snapToGrid w:val="0"/>
        </w:rPr>
        <w:tab/>
        <w:t>contravene a restriction on taking or possession of glass in a restricted area imposed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ind w:left="890" w:hanging="890"/>
      </w:pPr>
      <w:r>
        <w:tab/>
        <w:t>[Regulation 26 amended in Gazette 3 Dec 2010 p. 6052</w:t>
      </w:r>
      <w:r>
        <w:noBreakHyphen/>
        <w:t>3; 19 Sep 2014 p. 3335.]</w:t>
      </w:r>
    </w:p>
    <w:p>
      <w:pPr>
        <w:pStyle w:val="Heading5"/>
        <w:rPr>
          <w:snapToGrid w:val="0"/>
        </w:rPr>
      </w:pPr>
      <w:bookmarkStart w:id="84" w:name="_Toc462045313"/>
      <w:r>
        <w:rPr>
          <w:rStyle w:val="CharSectno"/>
        </w:rPr>
        <w:t>27</w:t>
      </w:r>
      <w:r>
        <w:rPr>
          <w:snapToGrid w:val="0"/>
        </w:rPr>
        <w:t>.</w:t>
      </w:r>
      <w:r>
        <w:rPr>
          <w:snapToGrid w:val="0"/>
        </w:rPr>
        <w:tab/>
        <w:t>Removal of litter etc.</w:t>
      </w:r>
      <w:bookmarkEnd w:id="84"/>
      <w:r>
        <w:rPr>
          <w:snapToGrid w:val="0"/>
        </w:rPr>
        <w:t xml:space="preserve"> </w:t>
      </w:r>
    </w:p>
    <w:p>
      <w:pPr>
        <w:pStyle w:val="Subsection"/>
        <w:rPr>
          <w:snapToGrid w:val="0"/>
        </w:rPr>
      </w:pPr>
      <w:r>
        <w:rPr>
          <w:snapToGrid w:val="0"/>
        </w:rPr>
        <w:tab/>
        <w:t>(1)</w:t>
      </w:r>
      <w:r>
        <w:rPr>
          <w:snapToGrid w:val="0"/>
        </w:rPr>
        <w:tab/>
        <w:t>An authorised officer who finds a person contravening regulation 24, 25 or 26 may direct that person then and there — </w:t>
      </w:r>
    </w:p>
    <w:p>
      <w:pPr>
        <w:pStyle w:val="Indenta"/>
        <w:rPr>
          <w:snapToGrid w:val="0"/>
        </w:rPr>
      </w:pPr>
      <w:r>
        <w:rPr>
          <w:snapToGrid w:val="0"/>
        </w:rPr>
        <w:tab/>
        <w:t>(a)</w:t>
      </w:r>
      <w:r>
        <w:rPr>
          <w:snapToGrid w:val="0"/>
        </w:rPr>
        <w:tab/>
        <w:t>to remove the thing the subject of the offence from the land; or</w:t>
      </w:r>
    </w:p>
    <w:p>
      <w:pPr>
        <w:pStyle w:val="Indenta"/>
        <w:rPr>
          <w:snapToGrid w:val="0"/>
        </w:rPr>
      </w:pPr>
      <w:r>
        <w:rPr>
          <w:snapToGrid w:val="0"/>
        </w:rPr>
        <w:tab/>
        <w:t>(b)</w:t>
      </w:r>
      <w:r>
        <w:rPr>
          <w:snapToGrid w:val="0"/>
        </w:rPr>
        <w:tab/>
        <w:t>to deposit the thing the subject of the offence in the nearest place or receptacle set aside or provided for the deposit of litter.</w:t>
      </w:r>
    </w:p>
    <w:p>
      <w:pPr>
        <w:pStyle w:val="Subsection"/>
        <w:rPr>
          <w:snapToGrid w:val="0"/>
        </w:rPr>
      </w:pPr>
      <w:r>
        <w:rPr>
          <w:snapToGrid w:val="0"/>
        </w:rPr>
        <w:tab/>
        <w:t>(2)</w:t>
      </w:r>
      <w:r>
        <w:rPr>
          <w:snapToGrid w:val="0"/>
        </w:rPr>
        <w:tab/>
        <w:t>A person must comply with a direction under subregulation (1).</w:t>
      </w:r>
    </w:p>
    <w:p>
      <w:pPr>
        <w:pStyle w:val="Penstart"/>
        <w:rPr>
          <w:snapToGrid w:val="0"/>
        </w:rPr>
      </w:pPr>
      <w:r>
        <w:rPr>
          <w:snapToGrid w:val="0"/>
        </w:rPr>
        <w:tab/>
        <w:t xml:space="preserve">Penalty: </w:t>
      </w:r>
      <w:r>
        <w:t>a fine of</w:t>
      </w:r>
      <w:r>
        <w:rPr>
          <w:snapToGrid w:val="0"/>
        </w:rPr>
        <w:t xml:space="preserve"> $2 000.</w:t>
      </w:r>
    </w:p>
    <w:p>
      <w:pPr>
        <w:pStyle w:val="Footnotesection"/>
        <w:spacing w:before="100"/>
      </w:pPr>
      <w:r>
        <w:tab/>
        <w:t>[Regulation 27 amended in Gazette 3 Dec 2010 p. 6052</w:t>
      </w:r>
      <w:r>
        <w:noBreakHyphen/>
        <w:t>3.]</w:t>
      </w:r>
    </w:p>
    <w:p>
      <w:pPr>
        <w:pStyle w:val="Heading5"/>
        <w:spacing w:before="200"/>
        <w:rPr>
          <w:snapToGrid w:val="0"/>
        </w:rPr>
      </w:pPr>
      <w:bookmarkStart w:id="85" w:name="_Toc462045314"/>
      <w:r>
        <w:rPr>
          <w:rStyle w:val="CharSectno"/>
        </w:rPr>
        <w:t>28</w:t>
      </w:r>
      <w:r>
        <w:rPr>
          <w:snapToGrid w:val="0"/>
        </w:rPr>
        <w:t>.</w:t>
      </w:r>
      <w:r>
        <w:rPr>
          <w:snapToGrid w:val="0"/>
        </w:rPr>
        <w:tab/>
        <w:t>Cleaning, scaling etc. fish</w:t>
      </w:r>
      <w:bookmarkEnd w:id="85"/>
      <w:r>
        <w:rPr>
          <w:snapToGrid w:val="0"/>
        </w:rPr>
        <w:t xml:space="preserve"> </w:t>
      </w:r>
    </w:p>
    <w:p>
      <w:pPr>
        <w:pStyle w:val="Subsection"/>
        <w:rPr>
          <w:snapToGrid w:val="0"/>
        </w:rPr>
      </w:pPr>
      <w:r>
        <w:rPr>
          <w:snapToGrid w:val="0"/>
        </w:rPr>
        <w:tab/>
      </w:r>
      <w:r>
        <w:rPr>
          <w:snapToGrid w:val="0"/>
        </w:rPr>
        <w:tab/>
        <w:t>A person must not, without lawful authority, in a restricted area — </w:t>
      </w:r>
    </w:p>
    <w:p>
      <w:pPr>
        <w:pStyle w:val="Indenta"/>
        <w:rPr>
          <w:snapToGrid w:val="0"/>
        </w:rPr>
      </w:pPr>
      <w:r>
        <w:rPr>
          <w:snapToGrid w:val="0"/>
        </w:rPr>
        <w:tab/>
        <w:t>(a)</w:t>
      </w:r>
      <w:r>
        <w:rPr>
          <w:snapToGrid w:val="0"/>
        </w:rPr>
        <w:tab/>
        <w:t>clean, scale, gut or fillet fish if that activity is prohibited in that area under regulation 5; or</w:t>
      </w:r>
    </w:p>
    <w:p>
      <w:pPr>
        <w:pStyle w:val="Indenta"/>
        <w:rPr>
          <w:snapToGrid w:val="0"/>
        </w:rPr>
      </w:pPr>
      <w:r>
        <w:rPr>
          <w:snapToGrid w:val="0"/>
        </w:rPr>
        <w:tab/>
        <w:t>(b)</w:t>
      </w:r>
      <w:r>
        <w:rPr>
          <w:snapToGrid w:val="0"/>
        </w:rPr>
        <w:tab/>
        <w:t>contravene a restriction imposed on cleaning, scaling, gutting or filleting fish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ind w:left="890" w:hanging="890"/>
      </w:pPr>
      <w:r>
        <w:tab/>
        <w:t>[Regulation 28 amended in Gazette 3 Dec 2010 p. 6052</w:t>
      </w:r>
      <w:r>
        <w:noBreakHyphen/>
        <w:t>3; 19 Sep 2014 p. 3335.]</w:t>
      </w:r>
    </w:p>
    <w:p>
      <w:pPr>
        <w:pStyle w:val="Heading5"/>
        <w:spacing w:before="180"/>
        <w:rPr>
          <w:snapToGrid w:val="0"/>
        </w:rPr>
      </w:pPr>
      <w:bookmarkStart w:id="86" w:name="_Toc462045315"/>
      <w:r>
        <w:rPr>
          <w:rStyle w:val="CharSectno"/>
        </w:rPr>
        <w:t>29</w:t>
      </w:r>
      <w:r>
        <w:rPr>
          <w:snapToGrid w:val="0"/>
        </w:rPr>
        <w:t>.</w:t>
      </w:r>
      <w:r>
        <w:rPr>
          <w:snapToGrid w:val="0"/>
        </w:rPr>
        <w:tab/>
        <w:t>Fires and smoking in caves</w:t>
      </w:r>
      <w:bookmarkEnd w:id="86"/>
      <w:r>
        <w:rPr>
          <w:snapToGrid w:val="0"/>
        </w:rPr>
        <w:t xml:space="preserve"> </w:t>
      </w:r>
    </w:p>
    <w:p>
      <w:pPr>
        <w:pStyle w:val="Subsection"/>
        <w:rPr>
          <w:snapToGrid w:val="0"/>
        </w:rPr>
      </w:pPr>
      <w:r>
        <w:rPr>
          <w:snapToGrid w:val="0"/>
        </w:rPr>
        <w:tab/>
        <w:t>(1)</w:t>
      </w:r>
      <w:r>
        <w:rPr>
          <w:snapToGrid w:val="0"/>
        </w:rPr>
        <w:tab/>
        <w:t>A person must not smoke a cigarette, cigar or pipe in any cave or part of a cave which is on or under CALM land.</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must not light a fire in any cave or part of a cave which is on or under CALM land.</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[Regulation 29 amended in Gazette 3 Dec 2010 p. 6052</w:t>
      </w:r>
      <w:r>
        <w:noBreakHyphen/>
        <w:t>3.]</w:t>
      </w:r>
    </w:p>
    <w:p>
      <w:pPr>
        <w:pStyle w:val="Heading3"/>
        <w:spacing w:before="180"/>
      </w:pPr>
      <w:bookmarkStart w:id="87" w:name="_Toc436903695"/>
      <w:bookmarkStart w:id="88" w:name="_Toc436905637"/>
      <w:bookmarkStart w:id="89" w:name="_Toc436905858"/>
      <w:bookmarkStart w:id="90" w:name="_Toc437515611"/>
      <w:bookmarkStart w:id="91" w:name="_Toc447533211"/>
      <w:bookmarkStart w:id="92" w:name="_Toc456878119"/>
      <w:bookmarkStart w:id="93" w:name="_Toc456951636"/>
      <w:bookmarkStart w:id="94" w:name="_Toc458590220"/>
      <w:bookmarkStart w:id="95" w:name="_Toc458590442"/>
      <w:bookmarkStart w:id="96" w:name="_Toc458590663"/>
      <w:bookmarkStart w:id="97" w:name="_Toc462045316"/>
      <w:r>
        <w:rPr>
          <w:rStyle w:val="CharDivNo"/>
        </w:rPr>
        <w:t>Division 4</w:t>
      </w:r>
      <w:r>
        <w:rPr>
          <w:snapToGrid w:val="0"/>
        </w:rPr>
        <w:t xml:space="preserve"> — </w:t>
      </w:r>
      <w:r>
        <w:rPr>
          <w:rStyle w:val="CharDivText"/>
        </w:rPr>
        <w:t>Disturbance of the landscape</w:t>
      </w:r>
      <w:bookmarkEnd w:id="87"/>
      <w:bookmarkEnd w:id="88"/>
      <w:bookmarkEnd w:id="89"/>
      <w:bookmarkEnd w:id="90"/>
      <w:bookmarkEnd w:id="91"/>
      <w:bookmarkEnd w:id="92"/>
      <w:bookmarkEnd w:id="93"/>
      <w:bookmarkEnd w:id="94"/>
      <w:bookmarkEnd w:id="95"/>
      <w:bookmarkEnd w:id="96"/>
      <w:bookmarkEnd w:id="97"/>
      <w:r>
        <w:rPr>
          <w:rStyle w:val="CharDivText"/>
        </w:rPr>
        <w:t xml:space="preserve"> </w:t>
      </w:r>
    </w:p>
    <w:p>
      <w:pPr>
        <w:pStyle w:val="Heading5"/>
        <w:spacing w:before="180"/>
        <w:rPr>
          <w:snapToGrid w:val="0"/>
        </w:rPr>
      </w:pPr>
      <w:bookmarkStart w:id="98" w:name="_Toc462045317"/>
      <w:r>
        <w:rPr>
          <w:rStyle w:val="CharSectno"/>
        </w:rPr>
        <w:t>30</w:t>
      </w:r>
      <w:r>
        <w:rPr>
          <w:snapToGrid w:val="0"/>
        </w:rPr>
        <w:t>.</w:t>
      </w:r>
      <w:r>
        <w:rPr>
          <w:snapToGrid w:val="0"/>
        </w:rPr>
        <w:tab/>
        <w:t>Water</w:t>
      </w:r>
      <w:bookmarkEnd w:id="98"/>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take water from, or interfere with water on, CALM land; or</w:t>
      </w:r>
    </w:p>
    <w:p>
      <w:pPr>
        <w:pStyle w:val="Indenta"/>
        <w:rPr>
          <w:snapToGrid w:val="0"/>
        </w:rPr>
      </w:pPr>
      <w:r>
        <w:rPr>
          <w:snapToGrid w:val="0"/>
        </w:rPr>
        <w:tab/>
        <w:t>(b)</w:t>
      </w:r>
      <w:r>
        <w:rPr>
          <w:snapToGrid w:val="0"/>
        </w:rPr>
        <w:tab/>
        <w:t>drain any part of CALM land; or</w:t>
      </w:r>
    </w:p>
    <w:p>
      <w:pPr>
        <w:pStyle w:val="Indenta"/>
        <w:rPr>
          <w:snapToGrid w:val="0"/>
        </w:rPr>
      </w:pPr>
      <w:r>
        <w:rPr>
          <w:snapToGrid w:val="0"/>
        </w:rPr>
        <w:tab/>
        <w:t>(c)</w:t>
      </w:r>
      <w:r>
        <w:rPr>
          <w:snapToGrid w:val="0"/>
        </w:rPr>
        <w:tab/>
      </w:r>
      <w:r>
        <w:t>interfere with any drain on CALM land; or</w:t>
      </w:r>
    </w:p>
    <w:p>
      <w:pPr>
        <w:pStyle w:val="Indenta"/>
        <w:rPr>
          <w:snapToGrid w:val="0"/>
        </w:rPr>
      </w:pPr>
      <w:r>
        <w:rPr>
          <w:snapToGrid w:val="0"/>
        </w:rPr>
        <w:tab/>
        <w:t>(d)</w:t>
      </w:r>
      <w:r>
        <w:rPr>
          <w:snapToGrid w:val="0"/>
        </w:rPr>
        <w:tab/>
        <w:t>divert water on or onto CALM land; or</w:t>
      </w:r>
    </w:p>
    <w:p>
      <w:pPr>
        <w:pStyle w:val="Indenta"/>
        <w:keepLines/>
        <w:rPr>
          <w:snapToGrid w:val="0"/>
        </w:rPr>
      </w:pPr>
      <w:r>
        <w:rPr>
          <w:snapToGrid w:val="0"/>
        </w:rPr>
        <w:tab/>
        <w:t>(e)</w:t>
      </w:r>
      <w:r>
        <w:rPr>
          <w:snapToGrid w:val="0"/>
        </w:rPr>
        <w:tab/>
        <w:t>make any construction</w:t>
      </w:r>
      <w:r>
        <w:t xml:space="preserve"> for a purpose referred to in paragraph (a), (b), (c) or (d)</w:t>
      </w:r>
      <w:r>
        <w:rPr>
          <w:snapToGrid w:val="0"/>
        </w:rPr>
        <w:t>.</w:t>
      </w:r>
    </w:p>
    <w:p>
      <w:pPr>
        <w:pStyle w:val="Penstart"/>
        <w:keepLines/>
        <w:rPr>
          <w:snapToGrid w:val="0"/>
        </w:rPr>
      </w:pPr>
      <w:r>
        <w:rPr>
          <w:snapToGrid w:val="0"/>
        </w:rPr>
        <w:tab/>
        <w:t xml:space="preserve">Penalty: </w:t>
      </w:r>
      <w:r>
        <w:t>a fine of</w:t>
      </w:r>
      <w:r>
        <w:rPr>
          <w:snapToGrid w:val="0"/>
        </w:rPr>
        <w:t xml:space="preserve"> $2 000.</w:t>
      </w:r>
    </w:p>
    <w:p>
      <w:pPr>
        <w:pStyle w:val="Subsection"/>
      </w:pPr>
      <w:r>
        <w:tab/>
        <w:t>(2)</w:t>
      </w:r>
      <w:r>
        <w:tab/>
        <w:t>Subregulation (1)(a) does not apply to an individual who takes water for the personal needs of the individual or others associated with the individual.</w:t>
      </w:r>
    </w:p>
    <w:p>
      <w:pPr>
        <w:pStyle w:val="Footnotesection"/>
      </w:pPr>
      <w:r>
        <w:tab/>
        <w:t>[Regulation 30 amended in Gazette 29 Sep 2006 p. 4308; 3 Dec 2010 p. 6052</w:t>
      </w:r>
      <w:r>
        <w:noBreakHyphen/>
        <w:t>3.]</w:t>
      </w:r>
    </w:p>
    <w:p>
      <w:pPr>
        <w:pStyle w:val="Heading5"/>
        <w:spacing w:before="180"/>
        <w:rPr>
          <w:snapToGrid w:val="0"/>
        </w:rPr>
      </w:pPr>
      <w:bookmarkStart w:id="99" w:name="_Toc462045318"/>
      <w:r>
        <w:rPr>
          <w:rStyle w:val="CharSectno"/>
        </w:rPr>
        <w:t>31</w:t>
      </w:r>
      <w:r>
        <w:rPr>
          <w:snapToGrid w:val="0"/>
        </w:rPr>
        <w:t>.</w:t>
      </w:r>
      <w:r>
        <w:rPr>
          <w:snapToGrid w:val="0"/>
        </w:rPr>
        <w:tab/>
        <w:t>Damage etc. to naturally occurring features</w:t>
      </w:r>
      <w:bookmarkEnd w:id="99"/>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pPr>
      <w:r>
        <w:rPr>
          <w:snapToGrid w:val="0"/>
        </w:rPr>
        <w:tab/>
        <w:t>(a)</w:t>
      </w:r>
      <w:r>
        <w:rPr>
          <w:snapToGrid w:val="0"/>
        </w:rPr>
        <w:tab/>
      </w:r>
      <w:r>
        <w:t>cause any significant damage or disturbance to a naturally occurring feature on CALM land; or</w:t>
      </w:r>
    </w:p>
    <w:p>
      <w:pPr>
        <w:pStyle w:val="Indenta"/>
        <w:rPr>
          <w:snapToGrid w:val="0"/>
        </w:rPr>
      </w:pPr>
      <w:r>
        <w:rPr>
          <w:snapToGrid w:val="0"/>
        </w:rPr>
        <w:tab/>
        <w:t>(b)</w:t>
      </w:r>
      <w:r>
        <w:rPr>
          <w:snapToGrid w:val="0"/>
        </w:rPr>
        <w:tab/>
        <w:t>damage or disturb any naturally occurring feature on CALM land in a way that causes, or creates a potential for, adverse consequences to or in relation to CALM land; or</w:t>
      </w:r>
    </w:p>
    <w:p>
      <w:pPr>
        <w:pStyle w:val="Indenta"/>
        <w:rPr>
          <w:snapToGrid w:val="0"/>
        </w:rPr>
      </w:pPr>
      <w:r>
        <w:rPr>
          <w:snapToGrid w:val="0"/>
        </w:rPr>
        <w:tab/>
        <w:t>(c)</w:t>
      </w:r>
      <w:r>
        <w:rPr>
          <w:snapToGrid w:val="0"/>
        </w:rPr>
        <w:tab/>
        <w:t>remove any naturally occurring feature from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An authorised officer who believes on reasonable grounds that a naturally occurring feature found in the possession of a person is involved in the commission of an offence against subregulation (1) may direct that person to surrender the naturally occurring feature to the authorised officer immediately.</w:t>
      </w:r>
    </w:p>
    <w:p>
      <w:pPr>
        <w:pStyle w:val="Subsection"/>
        <w:rPr>
          <w:snapToGrid w:val="0"/>
        </w:rPr>
      </w:pPr>
      <w:r>
        <w:rPr>
          <w:snapToGrid w:val="0"/>
        </w:rPr>
        <w:tab/>
        <w:t>(3)</w:t>
      </w:r>
      <w:r>
        <w:rPr>
          <w:snapToGrid w:val="0"/>
        </w:rPr>
        <w:tab/>
        <w:t>A person must comply with a direction under subregulation (2).</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In this regulation — </w:t>
      </w:r>
    </w:p>
    <w:p>
      <w:pPr>
        <w:pStyle w:val="Defstart"/>
      </w:pPr>
      <w:r>
        <w:tab/>
      </w:r>
      <w:r>
        <w:rPr>
          <w:rStyle w:val="CharDefText"/>
        </w:rPr>
        <w:t>naturally occurring feature</w:t>
      </w:r>
      <w:r>
        <w:t xml:space="preserve"> includes —</w:t>
      </w:r>
    </w:p>
    <w:p>
      <w:pPr>
        <w:pStyle w:val="Defpara"/>
      </w:pPr>
      <w:r>
        <w:tab/>
        <w:t>(a)</w:t>
      </w:r>
      <w:r>
        <w:tab/>
        <w:t>a fossil; and</w:t>
      </w:r>
    </w:p>
    <w:p>
      <w:pPr>
        <w:pStyle w:val="Defpara"/>
      </w:pPr>
      <w:r>
        <w:tab/>
        <w:t>(b)</w:t>
      </w:r>
      <w:r>
        <w:tab/>
        <w:t>a mineral specimen, meteorite and tektite; and</w:t>
      </w:r>
    </w:p>
    <w:p>
      <w:pPr>
        <w:pStyle w:val="Defpara"/>
      </w:pPr>
      <w:r>
        <w:tab/>
        <w:t>(c)</w:t>
      </w:r>
      <w:r>
        <w:tab/>
        <w:t>a speleotherm and speleogen; and</w:t>
      </w:r>
    </w:p>
    <w:p>
      <w:pPr>
        <w:pStyle w:val="Defpara"/>
      </w:pPr>
      <w:r>
        <w:tab/>
        <w:t>(d)</w:t>
      </w:r>
      <w:r>
        <w:tab/>
        <w:t>a termite mound; and</w:t>
      </w:r>
    </w:p>
    <w:p>
      <w:pPr>
        <w:pStyle w:val="Defpara"/>
      </w:pPr>
      <w:r>
        <w:tab/>
        <w:t>(e)</w:t>
      </w:r>
      <w:r>
        <w:tab/>
        <w:t>guano; and</w:t>
      </w:r>
    </w:p>
    <w:p>
      <w:pPr>
        <w:pStyle w:val="Defpara"/>
      </w:pPr>
      <w:r>
        <w:tab/>
        <w:t>(f)</w:t>
      </w:r>
      <w:r>
        <w:tab/>
        <w:t>a stromatolite, sedimentary deposit associated with stromatolites or other sedimentary deposit, and cyano</w:t>
      </w:r>
      <w:r>
        <w:noBreakHyphen/>
        <w:t>bacteria responsible for building stromatolites which are present in stromatolites; and</w:t>
      </w:r>
    </w:p>
    <w:p>
      <w:pPr>
        <w:pStyle w:val="Defpara"/>
      </w:pPr>
      <w:r>
        <w:tab/>
        <w:t>(g)</w:t>
      </w:r>
      <w:r>
        <w:tab/>
        <w:t>dead marine shell, dead coral, dead sea urchin, coralline algae and live coral organisms living in dead coral.</w:t>
      </w:r>
    </w:p>
    <w:p>
      <w:pPr>
        <w:pStyle w:val="Footnotesection"/>
      </w:pPr>
      <w:r>
        <w:tab/>
        <w:t>[Regulation 31 amended in Gazette 3 Dec 2010 p. 6052</w:t>
      </w:r>
      <w:r>
        <w:noBreakHyphen/>
        <w:t>3.]</w:t>
      </w:r>
    </w:p>
    <w:p>
      <w:pPr>
        <w:pStyle w:val="Heading5"/>
        <w:rPr>
          <w:snapToGrid w:val="0"/>
        </w:rPr>
      </w:pPr>
      <w:bookmarkStart w:id="100" w:name="_Toc462045319"/>
      <w:r>
        <w:rPr>
          <w:rStyle w:val="CharSectno"/>
        </w:rPr>
        <w:t>32</w:t>
      </w:r>
      <w:r>
        <w:rPr>
          <w:snapToGrid w:val="0"/>
        </w:rPr>
        <w:t>.</w:t>
      </w:r>
      <w:r>
        <w:rPr>
          <w:snapToGrid w:val="0"/>
        </w:rPr>
        <w:tab/>
        <w:t>Sandboarding</w:t>
      </w:r>
      <w:bookmarkEnd w:id="100"/>
      <w:r>
        <w:rPr>
          <w:snapToGrid w:val="0"/>
        </w:rPr>
        <w:t xml:space="preserve"> </w:t>
      </w:r>
    </w:p>
    <w:p>
      <w:pPr>
        <w:pStyle w:val="Subsection"/>
        <w:rPr>
          <w:snapToGrid w:val="0"/>
        </w:rPr>
      </w:pPr>
      <w:r>
        <w:rPr>
          <w:snapToGrid w:val="0"/>
        </w:rPr>
        <w:tab/>
      </w:r>
      <w:r>
        <w:rPr>
          <w:snapToGrid w:val="0"/>
        </w:rPr>
        <w:tab/>
        <w:t>A person must not, without lawful authority, on CALM land use a board or other object to slide down a slope.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32 amended in Gazette 3 Dec 2010 p. 6052</w:t>
      </w:r>
      <w:r>
        <w:noBreakHyphen/>
        <w:t>3; 19 Sep 2014 p. 3335.]</w:t>
      </w:r>
    </w:p>
    <w:p>
      <w:pPr>
        <w:pStyle w:val="Heading5"/>
      </w:pPr>
      <w:bookmarkStart w:id="101" w:name="_Toc462045320"/>
      <w:r>
        <w:rPr>
          <w:rStyle w:val="CharSectno"/>
        </w:rPr>
        <w:t>33</w:t>
      </w:r>
      <w:r>
        <w:t>.</w:t>
      </w:r>
      <w:r>
        <w:tab/>
        <w:t>Abseiling</w:t>
      </w:r>
      <w:bookmarkEnd w:id="101"/>
    </w:p>
    <w:p>
      <w:pPr>
        <w:pStyle w:val="Subsection"/>
      </w:pPr>
      <w:r>
        <w:tab/>
        <w:t>(1)</w:t>
      </w:r>
      <w:r>
        <w:tab/>
        <w:t>A person must not, without lawful authority, abseil on CALM land except in an abseiling area.</w:t>
      </w:r>
    </w:p>
    <w:p>
      <w:pPr>
        <w:pStyle w:val="Penstart"/>
      </w:pPr>
      <w:r>
        <w:tab/>
        <w:t>Penalty: a fine of $1 000.</w:t>
      </w:r>
    </w:p>
    <w:p>
      <w:pPr>
        <w:pStyle w:val="Subsection"/>
      </w:pPr>
      <w:r>
        <w:tab/>
        <w:t>(2)</w:t>
      </w:r>
      <w:r>
        <w:tab/>
        <w:t>A person abseiling in an abseiling area must comply with conditions specified on signs erected in or in the vicinity of that area for the purposes of regulation 6(3) or signs designating the area as an abseiling area.</w:t>
      </w:r>
    </w:p>
    <w:p>
      <w:pPr>
        <w:pStyle w:val="Penstart"/>
      </w:pPr>
      <w:r>
        <w:tab/>
        <w:t>Penalty: a fine of $1 000.</w:t>
      </w:r>
    </w:p>
    <w:p>
      <w:pPr>
        <w:pStyle w:val="Footnotesection"/>
      </w:pPr>
      <w:r>
        <w:tab/>
        <w:t>[Regulation 33 inserted in Gazette 3 Dec 2010 p. 6047; amended in Gazette 19 Sep 2014 p. 3335.]</w:t>
      </w:r>
    </w:p>
    <w:p>
      <w:pPr>
        <w:pStyle w:val="Heading5"/>
        <w:rPr>
          <w:snapToGrid w:val="0"/>
        </w:rPr>
      </w:pPr>
      <w:bookmarkStart w:id="102" w:name="_Toc462045321"/>
      <w:r>
        <w:rPr>
          <w:rStyle w:val="CharSectno"/>
        </w:rPr>
        <w:t>34</w:t>
      </w:r>
      <w:r>
        <w:rPr>
          <w:snapToGrid w:val="0"/>
        </w:rPr>
        <w:t>.</w:t>
      </w:r>
      <w:r>
        <w:rPr>
          <w:snapToGrid w:val="0"/>
        </w:rPr>
        <w:tab/>
        <w:t>Unauthorised buildings etc.</w:t>
      </w:r>
      <w:bookmarkEnd w:id="102"/>
      <w:r>
        <w:rPr>
          <w:snapToGrid w:val="0"/>
        </w:rPr>
        <w:t xml:space="preserve"> </w:t>
      </w:r>
    </w:p>
    <w:p>
      <w:pPr>
        <w:pStyle w:val="Subsection"/>
        <w:rPr>
          <w:snapToGrid w:val="0"/>
        </w:rPr>
      </w:pPr>
      <w:r>
        <w:rPr>
          <w:snapToGrid w:val="0"/>
        </w:rPr>
        <w:tab/>
        <w:t>(1)</w:t>
      </w:r>
      <w:r>
        <w:rPr>
          <w:snapToGrid w:val="0"/>
        </w:rPr>
        <w:tab/>
        <w:t>A person must not, without lawful authority, erect or place any structure on CALM land.</w:t>
      </w:r>
    </w:p>
    <w:p>
      <w:pPr>
        <w:pStyle w:val="Penstart"/>
        <w:rPr>
          <w:snapToGrid w:val="0"/>
        </w:rPr>
      </w:pPr>
      <w:r>
        <w:rPr>
          <w:snapToGrid w:val="0"/>
        </w:rPr>
        <w:tab/>
        <w:t xml:space="preserve">Penalty: </w:t>
      </w:r>
      <w:r>
        <w:t>a fine of</w:t>
      </w:r>
      <w:r>
        <w:rPr>
          <w:snapToGrid w:val="0"/>
        </w:rPr>
        <w:t xml:space="preserve"> $2 000.</w:t>
      </w:r>
    </w:p>
    <w:p>
      <w:pPr>
        <w:pStyle w:val="Subsection"/>
        <w:keepNext/>
      </w:pPr>
      <w:r>
        <w:tab/>
        <w:t>(2)</w:t>
      </w:r>
      <w:r>
        <w:tab/>
        <w:t xml:space="preserve">In subregulation (1) — </w:t>
      </w:r>
    </w:p>
    <w:p>
      <w:pPr>
        <w:pStyle w:val="Defstart"/>
      </w:pPr>
      <w:r>
        <w:tab/>
      </w:r>
      <w:r>
        <w:rPr>
          <w:rStyle w:val="CharDefText"/>
        </w:rPr>
        <w:t>structure</w:t>
      </w:r>
      <w:r>
        <w:t xml:space="preserve"> — </w:t>
      </w:r>
    </w:p>
    <w:p>
      <w:pPr>
        <w:pStyle w:val="Defpara"/>
      </w:pPr>
      <w:r>
        <w:tab/>
        <w:t>(a)</w:t>
      </w:r>
      <w:r>
        <w:tab/>
        <w:t>includes any building, tramline, fence, post, pipeline, jetty, pontoon, cairn, memorial, ramp, barrier or gate;</w:t>
      </w:r>
    </w:p>
    <w:p>
      <w:pPr>
        <w:pStyle w:val="Defpara"/>
      </w:pPr>
      <w:r>
        <w:tab/>
        <w:t>(b)</w:t>
      </w:r>
      <w:r>
        <w:tab/>
        <w:t>does not include a mooring.</w:t>
      </w:r>
    </w:p>
    <w:p>
      <w:pPr>
        <w:pStyle w:val="Subsection"/>
      </w:pPr>
      <w:r>
        <w:tab/>
        <w:t>(3)</w:t>
      </w:r>
      <w:r>
        <w:tab/>
        <w:t>An authorised officer may direct a person who has contravened subregulation (1) to pull down, take apart or remove the structure.</w:t>
      </w:r>
    </w:p>
    <w:p>
      <w:pPr>
        <w:pStyle w:val="Subsection"/>
        <w:keepNext/>
      </w:pPr>
      <w:r>
        <w:tab/>
        <w:t>(4)</w:t>
      </w:r>
      <w:r>
        <w:tab/>
        <w:t>The person must comply with the direction.</w:t>
      </w:r>
    </w:p>
    <w:p>
      <w:pPr>
        <w:pStyle w:val="Penstart"/>
      </w:pPr>
      <w:r>
        <w:tab/>
        <w:t>Penalty: a fine of $2 000.</w:t>
      </w:r>
    </w:p>
    <w:p>
      <w:pPr>
        <w:pStyle w:val="Footnotesection"/>
      </w:pPr>
      <w:r>
        <w:tab/>
        <w:t>[Regulation 34 amended in Gazette 29 Sep 2006 p. 4308</w:t>
      </w:r>
      <w:r>
        <w:noBreakHyphen/>
        <w:t>9; 3 Dec 2010 p. 6047 and 6052</w:t>
      </w:r>
      <w:r>
        <w:noBreakHyphen/>
        <w:t>3.]</w:t>
      </w:r>
    </w:p>
    <w:p>
      <w:pPr>
        <w:pStyle w:val="Heading5"/>
        <w:rPr>
          <w:snapToGrid w:val="0"/>
        </w:rPr>
      </w:pPr>
      <w:bookmarkStart w:id="103" w:name="_Toc462045322"/>
      <w:r>
        <w:rPr>
          <w:rStyle w:val="CharSectno"/>
        </w:rPr>
        <w:t>35</w:t>
      </w:r>
      <w:r>
        <w:rPr>
          <w:snapToGrid w:val="0"/>
        </w:rPr>
        <w:t>.</w:t>
      </w:r>
      <w:r>
        <w:rPr>
          <w:snapToGrid w:val="0"/>
        </w:rPr>
        <w:tab/>
        <w:t>Unauthorised clearing</w:t>
      </w:r>
      <w:bookmarkEnd w:id="103"/>
      <w:r>
        <w:rPr>
          <w:snapToGrid w:val="0"/>
        </w:rPr>
        <w:t xml:space="preserve"> </w:t>
      </w:r>
    </w:p>
    <w:p>
      <w:pPr>
        <w:pStyle w:val="Subsection"/>
        <w:rPr>
          <w:snapToGrid w:val="0"/>
        </w:rPr>
      </w:pPr>
      <w:r>
        <w:rPr>
          <w:snapToGrid w:val="0"/>
        </w:rPr>
        <w:tab/>
      </w:r>
      <w:r>
        <w:rPr>
          <w:snapToGrid w:val="0"/>
        </w:rPr>
        <w:tab/>
        <w:t>A person must not, without lawful authority, construct or mark out any road, track, fire break, landing strip, parking area, vessel launching area or pad or platform for building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35 amended in Gazette 3 Dec 2010 p. 6052</w:t>
      </w:r>
      <w:r>
        <w:noBreakHyphen/>
        <w:t>3.]</w:t>
      </w:r>
    </w:p>
    <w:p>
      <w:pPr>
        <w:pStyle w:val="Heading5"/>
      </w:pPr>
      <w:bookmarkStart w:id="104" w:name="_Toc462045323"/>
      <w:r>
        <w:rPr>
          <w:rStyle w:val="CharSectno"/>
        </w:rPr>
        <w:t>35A</w:t>
      </w:r>
      <w:r>
        <w:t>.</w:t>
      </w:r>
      <w:r>
        <w:tab/>
        <w:t>Quarrying, removing or disturbing soil etc.</w:t>
      </w:r>
      <w:bookmarkEnd w:id="104"/>
    </w:p>
    <w:p>
      <w:pPr>
        <w:pStyle w:val="Subsection"/>
      </w:pPr>
      <w:r>
        <w:tab/>
        <w:t>(1)</w:t>
      </w:r>
      <w:r>
        <w:tab/>
        <w:t>A person must not, without lawful authority, disturb or remove leaf mould, rotting vegetation, humus, soil, stone or gravel on or in CALM land.</w:t>
      </w:r>
    </w:p>
    <w:p>
      <w:pPr>
        <w:pStyle w:val="Penstart"/>
      </w:pPr>
      <w:r>
        <w:tab/>
        <w:t>Penalty: a fine of $2 000.</w:t>
      </w:r>
    </w:p>
    <w:p>
      <w:pPr>
        <w:pStyle w:val="Subsection"/>
      </w:pPr>
      <w:r>
        <w:tab/>
        <w:t>(2)</w:t>
      </w:r>
      <w:r>
        <w:tab/>
        <w:t xml:space="preserve">In this regulation — </w:t>
      </w:r>
    </w:p>
    <w:p>
      <w:pPr>
        <w:pStyle w:val="Defstart"/>
      </w:pPr>
      <w:r>
        <w:rPr>
          <w:b/>
        </w:rPr>
        <w:tab/>
      </w:r>
      <w:r>
        <w:rPr>
          <w:rStyle w:val="CharDefText"/>
        </w:rPr>
        <w:t>soil</w:t>
      </w:r>
      <w:r>
        <w:t xml:space="preserve"> includes sand, shale, clay and evaporites.</w:t>
      </w:r>
    </w:p>
    <w:p>
      <w:pPr>
        <w:pStyle w:val="Footnotesection"/>
      </w:pPr>
      <w:r>
        <w:tab/>
        <w:t>[Regulation 35A inserted in Gazette 29 Sep 2006 p. 4309; amended in Gazette 3 Dec 2010 p. 6052</w:t>
      </w:r>
      <w:r>
        <w:noBreakHyphen/>
        <w:t>3.]</w:t>
      </w:r>
    </w:p>
    <w:p>
      <w:pPr>
        <w:pStyle w:val="Heading5"/>
        <w:rPr>
          <w:snapToGrid w:val="0"/>
        </w:rPr>
      </w:pPr>
      <w:bookmarkStart w:id="105" w:name="_Toc462045324"/>
      <w:r>
        <w:rPr>
          <w:rStyle w:val="CharSectno"/>
        </w:rPr>
        <w:t>36</w:t>
      </w:r>
      <w:r>
        <w:rPr>
          <w:snapToGrid w:val="0"/>
        </w:rPr>
        <w:t>.</w:t>
      </w:r>
      <w:r>
        <w:rPr>
          <w:snapToGrid w:val="0"/>
        </w:rPr>
        <w:tab/>
        <w:t>Dumping</w:t>
      </w:r>
      <w:bookmarkEnd w:id="105"/>
      <w:r>
        <w:rPr>
          <w:snapToGrid w:val="0"/>
        </w:rPr>
        <w:t xml:space="preserve"> </w:t>
      </w:r>
    </w:p>
    <w:p>
      <w:pPr>
        <w:pStyle w:val="Subsection"/>
        <w:spacing w:before="120"/>
        <w:rPr>
          <w:snapToGrid w:val="0"/>
        </w:rPr>
      </w:pPr>
      <w:r>
        <w:rPr>
          <w:snapToGrid w:val="0"/>
        </w:rPr>
        <w:tab/>
      </w:r>
      <w:r>
        <w:rPr>
          <w:snapToGrid w:val="0"/>
        </w:rPr>
        <w:tab/>
        <w:t>A person must not, without lawful authority, abandon any vehicle, vessel, machinery or any part of a vehicle, vessel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spacing w:before="80"/>
        <w:ind w:left="890" w:hanging="890"/>
      </w:pPr>
      <w:r>
        <w:tab/>
        <w:t>[Regulation 36 amended in Gazette 3 Dec 2010 p. 6052</w:t>
      </w:r>
      <w:r>
        <w:noBreakHyphen/>
        <w:t>3.]</w:t>
      </w:r>
    </w:p>
    <w:p>
      <w:pPr>
        <w:pStyle w:val="Heading5"/>
        <w:spacing w:before="180"/>
        <w:rPr>
          <w:snapToGrid w:val="0"/>
        </w:rPr>
      </w:pPr>
      <w:bookmarkStart w:id="106" w:name="_Toc462045325"/>
      <w:r>
        <w:rPr>
          <w:rStyle w:val="CharSectno"/>
        </w:rPr>
        <w:t>37</w:t>
      </w:r>
      <w:r>
        <w:rPr>
          <w:snapToGrid w:val="0"/>
        </w:rPr>
        <w:t>.</w:t>
      </w:r>
      <w:r>
        <w:rPr>
          <w:snapToGrid w:val="0"/>
        </w:rPr>
        <w:tab/>
        <w:t>Damage to property</w:t>
      </w:r>
      <w:bookmarkEnd w:id="106"/>
      <w:r>
        <w:rPr>
          <w:snapToGrid w:val="0"/>
        </w:rPr>
        <w:t xml:space="preserve"> </w:t>
      </w:r>
    </w:p>
    <w:p>
      <w:pPr>
        <w:pStyle w:val="Subsection"/>
        <w:spacing w:before="12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post, stick, stamp, stencil or otherwise affix any notice, handbill, placard, advertisement, paper or other document on or to any thing or structure that is part of the landscape or property on CALM land; or</w:t>
      </w:r>
    </w:p>
    <w:p>
      <w:pPr>
        <w:pStyle w:val="Indenta"/>
        <w:rPr>
          <w:snapToGrid w:val="0"/>
        </w:rPr>
      </w:pPr>
      <w:r>
        <w:rPr>
          <w:snapToGrid w:val="0"/>
        </w:rPr>
        <w:tab/>
        <w:t>(b)</w:t>
      </w:r>
      <w:r>
        <w:rPr>
          <w:snapToGrid w:val="0"/>
        </w:rPr>
        <w:tab/>
        <w:t xml:space="preserve">write, draw or paint on or deface any thing or structure that is part of the landscape or property on CALM land. </w:t>
      </w:r>
    </w:p>
    <w:p>
      <w:pPr>
        <w:pStyle w:val="Penstart"/>
        <w:rPr>
          <w:snapToGrid w:val="0"/>
        </w:rPr>
      </w:pPr>
      <w:r>
        <w:rPr>
          <w:snapToGrid w:val="0"/>
        </w:rPr>
        <w:tab/>
        <w:t xml:space="preserve">Penalty: </w:t>
      </w:r>
      <w:r>
        <w:t>a fine of</w:t>
      </w:r>
      <w:r>
        <w:rPr>
          <w:snapToGrid w:val="0"/>
        </w:rPr>
        <w:t xml:space="preserve"> $500.</w:t>
      </w:r>
    </w:p>
    <w:p>
      <w:pPr>
        <w:pStyle w:val="Subsection"/>
        <w:spacing w:before="120"/>
        <w:rPr>
          <w:snapToGrid w:val="0"/>
        </w:rPr>
      </w:pPr>
      <w:r>
        <w:rPr>
          <w:snapToGrid w:val="0"/>
        </w:rPr>
        <w:tab/>
        <w:t>(2)</w:t>
      </w:r>
      <w:r>
        <w:rPr>
          <w:snapToGrid w:val="0"/>
        </w:rPr>
        <w:tab/>
        <w:t>A person must not, without lawful authority, cause any damage or disturbance to, or interfere with, any ticket vending machine, sign</w:t>
      </w:r>
      <w:r>
        <w:t xml:space="preserve">, Aboriginal site or artefact, </w:t>
      </w:r>
      <w:r>
        <w:rPr>
          <w:snapToGrid w:val="0"/>
        </w:rPr>
        <w:t>or other thing or structure that is part of the landscape or property on CALM land.</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 xml:space="preserve">Nothing in subregulation (1)(a) applies to the use of a notice board set up with the authority of the </w:t>
      </w:r>
      <w:r>
        <w:t xml:space="preserve">CEO </w:t>
      </w:r>
      <w:r>
        <w:rPr>
          <w:snapToGrid w:val="0"/>
        </w:rPr>
        <w:t>for public use.</w:t>
      </w:r>
    </w:p>
    <w:p>
      <w:pPr>
        <w:pStyle w:val="Footnotesection"/>
      </w:pPr>
      <w:r>
        <w:tab/>
        <w:t>[Regulation 37 amended in Gazette 29 Sep 2006 p. 4309 and 4334; 3 Dec 2010 p. 6052</w:t>
      </w:r>
      <w:r>
        <w:noBreakHyphen/>
        <w:t>3.]</w:t>
      </w:r>
    </w:p>
    <w:p>
      <w:pPr>
        <w:pStyle w:val="Heading5"/>
        <w:spacing w:before="180"/>
        <w:rPr>
          <w:snapToGrid w:val="0"/>
        </w:rPr>
      </w:pPr>
      <w:bookmarkStart w:id="107" w:name="_Toc462045326"/>
      <w:r>
        <w:rPr>
          <w:rStyle w:val="CharSectno"/>
        </w:rPr>
        <w:t>38</w:t>
      </w:r>
      <w:r>
        <w:rPr>
          <w:snapToGrid w:val="0"/>
        </w:rPr>
        <w:t>.</w:t>
      </w:r>
      <w:r>
        <w:rPr>
          <w:snapToGrid w:val="0"/>
        </w:rPr>
        <w:tab/>
        <w:t>Unauthorised signs</w:t>
      </w:r>
      <w:bookmarkEnd w:id="107"/>
      <w:r>
        <w:rPr>
          <w:snapToGrid w:val="0"/>
        </w:rPr>
        <w:t xml:space="preserve"> </w:t>
      </w:r>
    </w:p>
    <w:p>
      <w:pPr>
        <w:pStyle w:val="Subsection"/>
        <w:spacing w:before="120"/>
        <w:rPr>
          <w:snapToGrid w:val="0"/>
        </w:rPr>
      </w:pPr>
      <w:r>
        <w:rPr>
          <w:snapToGrid w:val="0"/>
        </w:rPr>
        <w:tab/>
        <w:t>(1)</w:t>
      </w:r>
      <w:r>
        <w:rPr>
          <w:snapToGrid w:val="0"/>
        </w:rPr>
        <w:tab/>
        <w:t>A person must not, without lawful authority, erect any sign or notice on CALM land.</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(2)</w:t>
      </w:r>
      <w:r>
        <w:rPr>
          <w:snapToGrid w:val="0"/>
        </w:rPr>
        <w:tab/>
        <w:t>An authorised officer may remove any sign or notice erected without lawful authority on CALM land.</w:t>
      </w:r>
    </w:p>
    <w:p>
      <w:pPr>
        <w:pStyle w:val="Footnotesection"/>
        <w:spacing w:before="60"/>
        <w:ind w:left="890" w:hanging="890"/>
      </w:pPr>
      <w:r>
        <w:tab/>
        <w:t>[Regulation 38 amended in Gazette 3 Dec 2010 p. 6052</w:t>
      </w:r>
      <w:r>
        <w:noBreakHyphen/>
        <w:t>3.]</w:t>
      </w:r>
    </w:p>
    <w:p>
      <w:pPr>
        <w:pStyle w:val="Heading5"/>
        <w:rPr>
          <w:snapToGrid w:val="0"/>
        </w:rPr>
      </w:pPr>
      <w:bookmarkStart w:id="108" w:name="_Toc462045327"/>
      <w:r>
        <w:rPr>
          <w:rStyle w:val="CharSectno"/>
        </w:rPr>
        <w:t>39</w:t>
      </w:r>
      <w:r>
        <w:rPr>
          <w:snapToGrid w:val="0"/>
        </w:rPr>
        <w:t>.</w:t>
      </w:r>
      <w:r>
        <w:rPr>
          <w:snapToGrid w:val="0"/>
        </w:rPr>
        <w:tab/>
        <w:t>Unlawful lighting of campfires etc.</w:t>
      </w:r>
      <w:bookmarkEnd w:id="108"/>
      <w:r>
        <w:rPr>
          <w:snapToGrid w:val="0"/>
        </w:rPr>
        <w:t xml:space="preserve"> </w:t>
      </w:r>
    </w:p>
    <w:p>
      <w:pPr>
        <w:pStyle w:val="Subsection"/>
        <w:rPr>
          <w:snapToGrid w:val="0"/>
        </w:rPr>
      </w:pPr>
      <w:r>
        <w:rPr>
          <w:snapToGrid w:val="0"/>
        </w:rPr>
        <w:tab/>
        <w:t>(1)</w:t>
      </w:r>
      <w:r>
        <w:rPr>
          <w:snapToGrid w:val="0"/>
        </w:rPr>
        <w:tab/>
        <w:t xml:space="preserve">A person must not, without lawful authority, </w:t>
      </w:r>
      <w:r>
        <w:t>light, kindle, maintain or use, or assist another person in lighting, kindling or maintaining</w:t>
      </w:r>
      <w:r>
        <w:rPr>
          <w:snapToGrid w:val="0"/>
        </w:rPr>
        <w:t>, a campfire, barbecue or portable stove on CALM land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in a restricted area where that activity — </w:t>
      </w:r>
    </w:p>
    <w:p>
      <w:pPr>
        <w:pStyle w:val="Indenti"/>
        <w:rPr>
          <w:snapToGrid w:val="0"/>
        </w:rPr>
      </w:pPr>
      <w:r>
        <w:rPr>
          <w:snapToGrid w:val="0"/>
        </w:rPr>
        <w:tab/>
        <w:t>(i)</w:t>
      </w:r>
      <w:r>
        <w:rPr>
          <w:snapToGrid w:val="0"/>
        </w:rPr>
        <w:tab/>
        <w:t>is prohibited under regulation 5; or</w:t>
      </w:r>
    </w:p>
    <w:p>
      <w:pPr>
        <w:pStyle w:val="Indenti"/>
        <w:rPr>
          <w:snapToGrid w:val="0"/>
        </w:rPr>
      </w:pPr>
      <w:r>
        <w:rPr>
          <w:snapToGrid w:val="0"/>
        </w:rPr>
        <w:tab/>
        <w:t>(ii)</w:t>
      </w:r>
      <w:r>
        <w:rPr>
          <w:snapToGrid w:val="0"/>
        </w:rPr>
        <w:tab/>
        <w:t>contravenes a restriction imposed on that activity under regulation 5;</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flora and forest produce is in danger of being burnt or</w:t>
      </w:r>
      <w:r>
        <w:t xml:space="preserve"> injured; or</w:t>
      </w:r>
    </w:p>
    <w:p>
      <w:pPr>
        <w:pStyle w:val="Indenta"/>
        <w:rPr>
          <w:rStyle w:val="DraftersNotes"/>
          <w:b w:val="0"/>
          <w:i w:val="0"/>
        </w:rPr>
      </w:pPr>
      <w:r>
        <w:tab/>
        <w:t>(d)</w:t>
      </w:r>
      <w:r>
        <w:tab/>
        <w:t>contrary to any direction on a sign relating to that CALM land or an area of that land specified in the sign; or</w:t>
      </w:r>
    </w:p>
    <w:p>
      <w:pPr>
        <w:pStyle w:val="Indenta"/>
      </w:pPr>
      <w:r>
        <w:tab/>
        <w:t>(e)</w:t>
      </w:r>
      <w:r>
        <w:tab/>
        <w:t>where there is in force a fire danger forecast issued by the Bureau of Meteorology of “high”, “very high”, “severe”, “extreme” or “catastrophic” that relates to, or includes, that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tab/>
        <w:t>(2)</w:t>
      </w:r>
      <w:r>
        <w:tab/>
      </w:r>
      <w:r>
        <w:rPr>
          <w:snapToGrid w:val="0"/>
        </w:rPr>
        <w:t>A person must not, without lawful authority — </w:t>
      </w:r>
    </w:p>
    <w:p>
      <w:pPr>
        <w:pStyle w:val="Indenta"/>
        <w:rPr>
          <w:snapToGrid w:val="0"/>
        </w:rPr>
      </w:pPr>
      <w:r>
        <w:rPr>
          <w:snapToGrid w:val="0"/>
        </w:rPr>
        <w:tab/>
        <w:t>(a)</w:t>
      </w:r>
      <w:r>
        <w:rPr>
          <w:snapToGrid w:val="0"/>
        </w:rPr>
        <w:tab/>
        <w:t>light, kindle, maintain or use, or assist another person in lighting, kindling or maintaining, any fire within the boundaries or within 20 m of any boundary of CALM land; or</w:t>
      </w:r>
    </w:p>
    <w:p>
      <w:pPr>
        <w:pStyle w:val="Indenta"/>
        <w:keepNext/>
        <w:rPr>
          <w:snapToGrid w:val="0"/>
        </w:rPr>
      </w:pPr>
      <w:r>
        <w:rPr>
          <w:snapToGrid w:val="0"/>
        </w:rPr>
        <w:tab/>
        <w:t>(b)</w:t>
      </w:r>
      <w:r>
        <w:rPr>
          <w:snapToGrid w:val="0"/>
        </w:rPr>
        <w:tab/>
        <w:t>leave a fire described in paragraph (a) without taking due precaution against its spreading or causing injury,</w:t>
      </w:r>
    </w:p>
    <w:p>
      <w:pPr>
        <w:pStyle w:val="Subsection"/>
        <w:rPr>
          <w:snapToGrid w:val="0"/>
        </w:rPr>
      </w:pPr>
      <w:r>
        <w:rPr>
          <w:snapToGrid w:val="0"/>
        </w:rPr>
        <w:tab/>
      </w:r>
      <w:r>
        <w:rPr>
          <w:snapToGrid w:val="0"/>
        </w:rPr>
        <w:tab/>
        <w:t>if in either case any flora or forest produce is in danger of being burnt or injured.</w:t>
      </w:r>
    </w:p>
    <w:p>
      <w:pPr>
        <w:pStyle w:val="Penstart"/>
        <w:rPr>
          <w:snapToGrid w:val="0"/>
        </w:rPr>
      </w:pPr>
      <w:r>
        <w:rPr>
          <w:snapToGrid w:val="0"/>
        </w:rPr>
        <w:tab/>
        <w:t xml:space="preserve">Penalty: </w:t>
      </w:r>
      <w:r>
        <w:t>a fine of</w:t>
      </w:r>
      <w:r>
        <w:rPr>
          <w:snapToGrid w:val="0"/>
        </w:rPr>
        <w:t xml:space="preserve"> $2 000.</w:t>
      </w:r>
    </w:p>
    <w:p>
      <w:pPr>
        <w:pStyle w:val="Subsection"/>
      </w:pPr>
      <w:r>
        <w:tab/>
        <w:t>(3)</w:t>
      </w:r>
      <w:r>
        <w:tab/>
        <w:t>Subregulation (2) does not apply to a campfire, barbecue or portable stove on CALM land.</w:t>
      </w:r>
    </w:p>
    <w:p>
      <w:pPr>
        <w:pStyle w:val="Subsection"/>
      </w:pPr>
      <w:r>
        <w:tab/>
        <w:t>(4)</w:t>
      </w:r>
      <w:r>
        <w:tab/>
        <w:t xml:space="preserve">Nothing in this regulation affects the application of section 104 of the Act or regulation 29(2), or section 25 of the </w:t>
      </w:r>
      <w:r>
        <w:rPr>
          <w:i/>
        </w:rPr>
        <w:t>Bush Fires Act 1954</w:t>
      </w:r>
      <w:r>
        <w:t>.</w:t>
      </w:r>
    </w:p>
    <w:p>
      <w:pPr>
        <w:pStyle w:val="Footnotesection"/>
      </w:pPr>
      <w:r>
        <w:tab/>
        <w:t>[Regulation 39 amended in Gazette 29 Sep 2006 p. 4309</w:t>
      </w:r>
      <w:r>
        <w:noBreakHyphen/>
        <w:t>10; 3 Dec 2010 p. 6052</w:t>
      </w:r>
      <w:r>
        <w:noBreakHyphen/>
        <w:t>3; 19 Sep 2014 p. 3330</w:t>
      </w:r>
      <w:r>
        <w:noBreakHyphen/>
        <w:t>1.]</w:t>
      </w:r>
    </w:p>
    <w:p>
      <w:pPr>
        <w:pStyle w:val="Heading5"/>
      </w:pPr>
      <w:bookmarkStart w:id="109" w:name="_Toc462045328"/>
      <w:r>
        <w:rPr>
          <w:rStyle w:val="CharSectno"/>
        </w:rPr>
        <w:t>40</w:t>
      </w:r>
      <w:r>
        <w:t>.</w:t>
      </w:r>
      <w:r>
        <w:tab/>
        <w:t>Extinguishment of camp fires, barbeques and portable stoves</w:t>
      </w:r>
      <w:bookmarkEnd w:id="109"/>
    </w:p>
    <w:p>
      <w:pPr>
        <w:pStyle w:val="Subsection"/>
      </w:pPr>
      <w:r>
        <w:tab/>
        <w:t>(1)</w:t>
      </w:r>
      <w:r>
        <w:tab/>
        <w:t xml:space="preserve">An authorised officer may direct any person to extinguish a camp fire, barbeque or portable stove on CALM land if the authorised officer considers that the camp fire, barbeque or stove constitutes — </w:t>
      </w:r>
    </w:p>
    <w:p>
      <w:pPr>
        <w:pStyle w:val="Indenta"/>
      </w:pPr>
      <w:r>
        <w:tab/>
        <w:t>(a)</w:t>
      </w:r>
      <w:r>
        <w:tab/>
        <w:t>a fire risk to any part of that land; or</w:t>
      </w:r>
    </w:p>
    <w:p>
      <w:pPr>
        <w:pStyle w:val="Indenta"/>
      </w:pPr>
      <w:r>
        <w:tab/>
        <w:t>(b)</w:t>
      </w:r>
      <w:r>
        <w:tab/>
        <w:t>a danger to the public.</w:t>
      </w:r>
    </w:p>
    <w:p>
      <w:pPr>
        <w:pStyle w:val="Subsection"/>
      </w:pPr>
      <w:r>
        <w:tab/>
        <w:t>(2)</w:t>
      </w:r>
      <w:r>
        <w:tab/>
        <w:t xml:space="preserve">An authorised officer may direct a person directed under subregulation (1) to extinguish a camp fire to take such other steps as the authorised officer considers reasonably necessary — </w:t>
      </w:r>
    </w:p>
    <w:p>
      <w:pPr>
        <w:pStyle w:val="Indenta"/>
      </w:pPr>
      <w:r>
        <w:tab/>
        <w:t>(a)</w:t>
      </w:r>
      <w:r>
        <w:tab/>
        <w:t>to prevent the camp fire from reigniting after it is extinguished; or</w:t>
      </w:r>
    </w:p>
    <w:p>
      <w:pPr>
        <w:pStyle w:val="Indenta"/>
      </w:pPr>
      <w:r>
        <w:tab/>
        <w:t>(b)</w:t>
      </w:r>
      <w:r>
        <w:tab/>
        <w:t>to prevent anything in or in the vicinity of the camp fire from constituting a danger to the public after it is extinguished.</w:t>
      </w:r>
    </w:p>
    <w:p>
      <w:pPr>
        <w:pStyle w:val="Subsection"/>
      </w:pPr>
      <w:r>
        <w:tab/>
        <w:t>(3)</w:t>
      </w:r>
      <w:r>
        <w:tab/>
        <w:t>A person must comply with a direction under subregulation (1) or (2).</w:t>
      </w:r>
    </w:p>
    <w:p>
      <w:pPr>
        <w:pStyle w:val="Penstart"/>
      </w:pPr>
      <w:r>
        <w:tab/>
        <w:t>Penalty: a fine of $2 000.</w:t>
      </w:r>
    </w:p>
    <w:p>
      <w:pPr>
        <w:pStyle w:val="Footnotesection"/>
      </w:pPr>
      <w:r>
        <w:tab/>
        <w:t>[Regulation 40 inserted in Gazette 3 Dec 2010 p. 6047</w:t>
      </w:r>
      <w:r>
        <w:noBreakHyphen/>
        <w:t>8.]</w:t>
      </w:r>
    </w:p>
    <w:p>
      <w:pPr>
        <w:pStyle w:val="Heading5"/>
      </w:pPr>
      <w:bookmarkStart w:id="110" w:name="_Toc462045329"/>
      <w:r>
        <w:rPr>
          <w:rStyle w:val="CharSectno"/>
        </w:rPr>
        <w:t>40A</w:t>
      </w:r>
      <w:r>
        <w:t>.</w:t>
      </w:r>
      <w:r>
        <w:tab/>
        <w:t>Unlawful lighting of fires — only one conviction</w:t>
      </w:r>
      <w:bookmarkEnd w:id="110"/>
    </w:p>
    <w:p>
      <w:pPr>
        <w:pStyle w:val="Subsection"/>
      </w:pPr>
      <w:r>
        <w:tab/>
      </w:r>
      <w:r>
        <w:tab/>
        <w:t xml:space="preserve">A person cannot be convicted of more than one offence arising from the one act or omission that contravenes 2 or more of the following provisions — </w:t>
      </w:r>
    </w:p>
    <w:p>
      <w:pPr>
        <w:pStyle w:val="Indenta"/>
      </w:pPr>
      <w:r>
        <w:tab/>
        <w:t>(a)</w:t>
      </w:r>
      <w:r>
        <w:tab/>
        <w:t>section 104(1) of the Act;</w:t>
      </w:r>
    </w:p>
    <w:p>
      <w:pPr>
        <w:pStyle w:val="Indenta"/>
      </w:pPr>
      <w:r>
        <w:tab/>
        <w:t>(b)</w:t>
      </w:r>
      <w:r>
        <w:tab/>
        <w:t>regulation 29(2);</w:t>
      </w:r>
    </w:p>
    <w:p>
      <w:pPr>
        <w:pStyle w:val="Indenta"/>
      </w:pPr>
      <w:r>
        <w:tab/>
        <w:t>(c)</w:t>
      </w:r>
      <w:r>
        <w:tab/>
        <w:t>regulation 39(1);</w:t>
      </w:r>
    </w:p>
    <w:p>
      <w:pPr>
        <w:pStyle w:val="Indenta"/>
      </w:pPr>
      <w:r>
        <w:tab/>
        <w:t>(d)</w:t>
      </w:r>
      <w:r>
        <w:tab/>
        <w:t>regulation 39(2).</w:t>
      </w:r>
    </w:p>
    <w:p>
      <w:pPr>
        <w:pStyle w:val="Footnotesection"/>
      </w:pPr>
      <w:r>
        <w:tab/>
        <w:t>[Regulation 40A inserted in Gazette 29 Sep 2006 p. 4310</w:t>
      </w:r>
      <w:r>
        <w:noBreakHyphen/>
        <w:t>11.]</w:t>
      </w:r>
    </w:p>
    <w:p>
      <w:pPr>
        <w:pStyle w:val="Heading2"/>
      </w:pPr>
      <w:bookmarkStart w:id="111" w:name="_Toc436903709"/>
      <w:bookmarkStart w:id="112" w:name="_Toc436905651"/>
      <w:bookmarkStart w:id="113" w:name="_Toc436905872"/>
      <w:bookmarkStart w:id="114" w:name="_Toc437515625"/>
      <w:bookmarkStart w:id="115" w:name="_Toc447533225"/>
      <w:bookmarkStart w:id="116" w:name="_Toc456878133"/>
      <w:bookmarkStart w:id="117" w:name="_Toc456951650"/>
      <w:bookmarkStart w:id="118" w:name="_Toc458590234"/>
      <w:bookmarkStart w:id="119" w:name="_Toc458590456"/>
      <w:bookmarkStart w:id="120" w:name="_Toc458590677"/>
      <w:bookmarkStart w:id="121" w:name="_Toc462045330"/>
      <w:r>
        <w:rPr>
          <w:rStyle w:val="CharPartNo"/>
        </w:rPr>
        <w:t>Part 3</w:t>
      </w:r>
      <w:r>
        <w:t xml:space="preserve"> — </w:t>
      </w:r>
      <w:r>
        <w:rPr>
          <w:rStyle w:val="CharPartText"/>
        </w:rPr>
        <w:t>Access to CALM land</w:t>
      </w:r>
      <w:bookmarkEnd w:id="111"/>
      <w:bookmarkEnd w:id="112"/>
      <w:bookmarkEnd w:id="113"/>
      <w:bookmarkEnd w:id="114"/>
      <w:bookmarkEnd w:id="115"/>
      <w:bookmarkEnd w:id="116"/>
      <w:bookmarkEnd w:id="117"/>
      <w:bookmarkEnd w:id="118"/>
      <w:bookmarkEnd w:id="119"/>
      <w:bookmarkEnd w:id="120"/>
      <w:bookmarkEnd w:id="121"/>
    </w:p>
    <w:p>
      <w:pPr>
        <w:pStyle w:val="Heading3"/>
      </w:pPr>
      <w:bookmarkStart w:id="122" w:name="_Toc436903710"/>
      <w:bookmarkStart w:id="123" w:name="_Toc436905652"/>
      <w:bookmarkStart w:id="124" w:name="_Toc436905873"/>
      <w:bookmarkStart w:id="125" w:name="_Toc437515626"/>
      <w:bookmarkStart w:id="126" w:name="_Toc447533226"/>
      <w:bookmarkStart w:id="127" w:name="_Toc456878134"/>
      <w:bookmarkStart w:id="128" w:name="_Toc456951651"/>
      <w:bookmarkStart w:id="129" w:name="_Toc458590235"/>
      <w:bookmarkStart w:id="130" w:name="_Toc458590457"/>
      <w:bookmarkStart w:id="131" w:name="_Toc458590678"/>
      <w:bookmarkStart w:id="132" w:name="_Toc462045331"/>
      <w:r>
        <w:rPr>
          <w:rStyle w:val="CharDivNo"/>
        </w:rPr>
        <w:t>Division 1</w:t>
      </w:r>
      <w:r>
        <w:rPr>
          <w:snapToGrid w:val="0"/>
        </w:rPr>
        <w:t xml:space="preserve"> — </w:t>
      </w:r>
      <w:r>
        <w:rPr>
          <w:rStyle w:val="CharDivText"/>
        </w:rPr>
        <w:t>General</w:t>
      </w:r>
      <w:bookmarkEnd w:id="122"/>
      <w:bookmarkEnd w:id="123"/>
      <w:bookmarkEnd w:id="124"/>
      <w:bookmarkEnd w:id="125"/>
      <w:bookmarkEnd w:id="126"/>
      <w:bookmarkEnd w:id="127"/>
      <w:bookmarkEnd w:id="128"/>
      <w:bookmarkEnd w:id="129"/>
      <w:bookmarkEnd w:id="130"/>
      <w:bookmarkEnd w:id="131"/>
      <w:bookmarkEnd w:id="132"/>
    </w:p>
    <w:p>
      <w:pPr>
        <w:pStyle w:val="Heading5"/>
        <w:spacing w:before="180"/>
        <w:rPr>
          <w:snapToGrid w:val="0"/>
        </w:rPr>
      </w:pPr>
      <w:bookmarkStart w:id="133" w:name="_Toc462045332"/>
      <w:r>
        <w:rPr>
          <w:rStyle w:val="CharSectno"/>
        </w:rPr>
        <w:t>41</w:t>
      </w:r>
      <w:r>
        <w:rPr>
          <w:snapToGrid w:val="0"/>
        </w:rPr>
        <w:t>.</w:t>
      </w:r>
      <w:r>
        <w:rPr>
          <w:snapToGrid w:val="0"/>
        </w:rPr>
        <w:tab/>
        <w:t>Access to certain classified areas</w:t>
      </w:r>
      <w:bookmarkEnd w:id="133"/>
    </w:p>
    <w:p>
      <w:pPr>
        <w:pStyle w:val="Subsection"/>
        <w:spacing w:before="120"/>
        <w:rPr>
          <w:snapToGrid w:val="0"/>
        </w:rPr>
      </w:pPr>
      <w:r>
        <w:rPr>
          <w:snapToGrid w:val="0"/>
        </w:rPr>
        <w:tab/>
      </w:r>
      <w:r>
        <w:rPr>
          <w:snapToGrid w:val="0"/>
        </w:rPr>
        <w:tab/>
        <w:t>A person must not, without lawful authority, enter any land or waters classified — </w:t>
      </w:r>
    </w:p>
    <w:p>
      <w:pPr>
        <w:pStyle w:val="Indenta"/>
        <w:spacing w:before="60"/>
        <w:rPr>
          <w:snapToGrid w:val="0"/>
        </w:rPr>
      </w:pPr>
      <w:r>
        <w:rPr>
          <w:snapToGrid w:val="0"/>
        </w:rPr>
        <w:tab/>
        <w:t>(a)</w:t>
      </w:r>
      <w:r>
        <w:rPr>
          <w:snapToGrid w:val="0"/>
        </w:rPr>
        <w:tab/>
        <w:t>under section 62(1)(b) of the Act as a prohibited area; or</w:t>
      </w:r>
    </w:p>
    <w:p>
      <w:pPr>
        <w:pStyle w:val="Indenta"/>
        <w:spacing w:before="60"/>
        <w:rPr>
          <w:snapToGrid w:val="0"/>
        </w:rPr>
      </w:pPr>
      <w:r>
        <w:rPr>
          <w:snapToGrid w:val="0"/>
        </w:rPr>
        <w:tab/>
        <w:t>(b)</w:t>
      </w:r>
      <w:r>
        <w:rPr>
          <w:snapToGrid w:val="0"/>
        </w:rPr>
        <w:tab/>
        <w:t>under section 62(1)(d) of the Act as a temporary</w:t>
      </w:r>
      <w:r>
        <w:t xml:space="preserve"> control area for a purpose referred to in section 62(2)(a)(i) or (ii) of the Act; or</w:t>
      </w:r>
    </w:p>
    <w:p>
      <w:pPr>
        <w:pStyle w:val="Indenta"/>
        <w:spacing w:before="60"/>
      </w:pPr>
      <w:r>
        <w:tab/>
        <w:t>(ca)</w:t>
      </w:r>
      <w:r>
        <w:tab/>
        <w:t>under section 62(1)(d) of the Act as a temporary control area for a purpose referred to in section 62(2)(a)(iii) of the Act; or</w:t>
      </w:r>
    </w:p>
    <w:p>
      <w:pPr>
        <w:pStyle w:val="Indenta"/>
        <w:spacing w:before="60"/>
      </w:pPr>
      <w:r>
        <w:rPr>
          <w:snapToGrid w:val="0"/>
        </w:rPr>
        <w:tab/>
        <w:t>(c)</w:t>
      </w:r>
      <w:r>
        <w:rPr>
          <w:snapToGrid w:val="0"/>
        </w:rPr>
        <w:tab/>
        <w:t xml:space="preserve">under section 62(1)(f) of the Act as </w:t>
      </w:r>
      <w:r>
        <w:t>a plant disease management area.</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41 amended in Gazette 3 Dec 2010 p. 6052</w:t>
      </w:r>
      <w:r>
        <w:noBreakHyphen/>
        <w:t>3; 7 Dec 2012 p. 5965-6.]</w:t>
      </w:r>
    </w:p>
    <w:p>
      <w:pPr>
        <w:pStyle w:val="Heading5"/>
        <w:spacing w:before="180"/>
      </w:pPr>
      <w:bookmarkStart w:id="134" w:name="_Toc462045333"/>
      <w:r>
        <w:rPr>
          <w:rStyle w:val="CharSectno"/>
        </w:rPr>
        <w:t>42</w:t>
      </w:r>
      <w:r>
        <w:t>.</w:t>
      </w:r>
      <w:r>
        <w:tab/>
        <w:t>Access to limited access areas</w:t>
      </w:r>
      <w:bookmarkEnd w:id="134"/>
    </w:p>
    <w:p>
      <w:pPr>
        <w:pStyle w:val="Subsection"/>
        <w:spacing w:before="120"/>
      </w:pPr>
      <w:r>
        <w:tab/>
      </w:r>
      <w:r>
        <w:tab/>
        <w:t>A person must not, without lawful authority, enter otherwise than on foot or by vessel any land classified under section 62(1)(c) of the Act as a limited access area.</w:t>
      </w:r>
    </w:p>
    <w:p>
      <w:pPr>
        <w:pStyle w:val="Penstart"/>
      </w:pPr>
      <w:r>
        <w:tab/>
        <w:t>Penalty: a fine of $2 000.</w:t>
      </w:r>
    </w:p>
    <w:p>
      <w:pPr>
        <w:pStyle w:val="Footnotesection"/>
      </w:pPr>
      <w:r>
        <w:tab/>
        <w:t>[Regulation 42 inserted in Gazette 7 Dec 2012 p. 5966.]</w:t>
      </w:r>
    </w:p>
    <w:p>
      <w:pPr>
        <w:pStyle w:val="Heading5"/>
        <w:spacing w:before="180"/>
        <w:rPr>
          <w:snapToGrid w:val="0"/>
        </w:rPr>
      </w:pPr>
      <w:bookmarkStart w:id="135" w:name="_Toc462045334"/>
      <w:r>
        <w:rPr>
          <w:rStyle w:val="CharSectno"/>
        </w:rPr>
        <w:t>43</w:t>
      </w:r>
      <w:r>
        <w:rPr>
          <w:snapToGrid w:val="0"/>
        </w:rPr>
        <w:t>.</w:t>
      </w:r>
      <w:r>
        <w:rPr>
          <w:snapToGrid w:val="0"/>
        </w:rPr>
        <w:tab/>
        <w:t>Access to wilderness areas (Act s. 62(1)(a))</w:t>
      </w:r>
      <w:bookmarkEnd w:id="135"/>
    </w:p>
    <w:p>
      <w:pPr>
        <w:pStyle w:val="Subsection"/>
        <w:keepNext/>
        <w:spacing w:before="120"/>
        <w:rPr>
          <w:snapToGrid w:val="0"/>
        </w:rPr>
      </w:pPr>
      <w:r>
        <w:rPr>
          <w:snapToGrid w:val="0"/>
        </w:rPr>
        <w:tab/>
      </w:r>
      <w:r>
        <w:rPr>
          <w:snapToGrid w:val="0"/>
        </w:rPr>
        <w:tab/>
        <w:t>A person must not, without lawful authority, enter by vehicle, powered vessel or animal any land or waters classified under section 62(1)(a) of the Act as a wilderness area.</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pPr>
      <w:r>
        <w:tab/>
        <w:t>[Regulation 43 amended in Gazette 3 Dec 2010 p. 6052</w:t>
      </w:r>
      <w:r>
        <w:noBreakHyphen/>
        <w:t>3; 19 Sep 2014 p. 3335.]</w:t>
      </w:r>
    </w:p>
    <w:p>
      <w:pPr>
        <w:pStyle w:val="Heading5"/>
        <w:rPr>
          <w:snapToGrid w:val="0"/>
        </w:rPr>
      </w:pPr>
      <w:bookmarkStart w:id="136" w:name="_Toc462045335"/>
      <w:r>
        <w:rPr>
          <w:rStyle w:val="CharSectno"/>
        </w:rPr>
        <w:t>44</w:t>
      </w:r>
      <w:r>
        <w:rPr>
          <w:snapToGrid w:val="0"/>
        </w:rPr>
        <w:t>.</w:t>
      </w:r>
      <w:r>
        <w:rPr>
          <w:snapToGrid w:val="0"/>
        </w:rPr>
        <w:tab/>
        <w:t>Direction to close area</w:t>
      </w:r>
      <w:bookmarkEnd w:id="136"/>
      <w:r>
        <w:rPr>
          <w:snapToGrid w:val="0"/>
        </w:rPr>
        <w:t xml:space="preserve"> </w:t>
      </w:r>
    </w:p>
    <w:p>
      <w:pPr>
        <w:pStyle w:val="Subsection"/>
      </w:pPr>
      <w:r>
        <w:rPr>
          <w:snapToGrid w:val="0"/>
        </w:rPr>
        <w:tab/>
        <w:t>(1)</w:t>
      </w:r>
      <w:r>
        <w:rPr>
          <w:snapToGrid w:val="0"/>
        </w:rPr>
        <w:tab/>
        <w:t>If the CEO is satisfied that there is a significant and imminent threat of loss or harm to the safety or health of persons or fauna, or of damage to property or any part of the environment, the CEO may direct a named authorised officer to close as much CALM land as the officer thinks necessary to reduce or remove the threat.</w:t>
      </w:r>
    </w:p>
    <w:p>
      <w:pPr>
        <w:pStyle w:val="Subsection"/>
        <w:rPr>
          <w:snapToGrid w:val="0"/>
        </w:rPr>
      </w:pPr>
      <w:r>
        <w:rPr>
          <w:snapToGrid w:val="0"/>
        </w:rPr>
        <w:tab/>
        <w:t>(2)</w:t>
      </w:r>
      <w:r>
        <w:rPr>
          <w:snapToGrid w:val="0"/>
        </w:rPr>
        <w:tab/>
        <w:t xml:space="preserve">If the </w:t>
      </w:r>
      <w:r>
        <w:t xml:space="preserve">CEO </w:t>
      </w:r>
      <w:r>
        <w:rPr>
          <w:snapToGrid w:val="0"/>
        </w:rPr>
        <w:t xml:space="preserve">gives an oral direction for a closure under subregulation (1), the direction is to be confirmed by the </w:t>
      </w:r>
      <w:r>
        <w:t xml:space="preserve">CEO </w:t>
      </w:r>
      <w:r>
        <w:rPr>
          <w:snapToGrid w:val="0"/>
        </w:rPr>
        <w:t>in writing as soon as is reasonably practicable.</w:t>
      </w:r>
    </w:p>
    <w:p>
      <w:pPr>
        <w:pStyle w:val="Subsection"/>
        <w:rPr>
          <w:snapToGrid w:val="0"/>
        </w:rPr>
      </w:pPr>
      <w:r>
        <w:rPr>
          <w:snapToGrid w:val="0"/>
        </w:rPr>
        <w:tab/>
        <w:t>(3)</w:t>
      </w:r>
      <w:r>
        <w:rPr>
          <w:snapToGrid w:val="0"/>
        </w:rPr>
        <w:tab/>
        <w:t xml:space="preserve">The </w:t>
      </w:r>
      <w:r>
        <w:t xml:space="preserve">CEO </w:t>
      </w:r>
      <w:r>
        <w:rPr>
          <w:snapToGrid w:val="0"/>
        </w:rPr>
        <w:t>may vary or revoke a direction under subregulation (1) and is to revoke a direction as soon as practicable after being satisfied that the circumstances that gave rise to the direction no longer exist.</w:t>
      </w:r>
    </w:p>
    <w:p>
      <w:pPr>
        <w:pStyle w:val="Subsection"/>
      </w:pPr>
      <w:r>
        <w:tab/>
        <w:t>(4)</w:t>
      </w:r>
      <w:r>
        <w:tab/>
        <w:t>The closure of an area in a marine park or marine management area does not operate so as to prohibit a person entering or remaining in the area for the purpose of activities authorised in the area by an authorisation, licence, permit, lease, management plan or notice to which section 13D or 13E of the Act applies.</w:t>
      </w:r>
    </w:p>
    <w:p>
      <w:pPr>
        <w:pStyle w:val="Footnotesection"/>
      </w:pPr>
      <w:r>
        <w:tab/>
        <w:t>[Regulation 44 amended in Gazette 29 Sep 2006 p. 4311 and 4334.]</w:t>
      </w:r>
    </w:p>
    <w:p>
      <w:pPr>
        <w:pStyle w:val="Heading5"/>
        <w:rPr>
          <w:snapToGrid w:val="0"/>
        </w:rPr>
      </w:pPr>
      <w:bookmarkStart w:id="137" w:name="_Toc462045336"/>
      <w:r>
        <w:rPr>
          <w:rStyle w:val="CharSectno"/>
        </w:rPr>
        <w:t>45</w:t>
      </w:r>
      <w:r>
        <w:rPr>
          <w:snapToGrid w:val="0"/>
        </w:rPr>
        <w:t>.</w:t>
      </w:r>
      <w:r>
        <w:rPr>
          <w:snapToGrid w:val="0"/>
        </w:rPr>
        <w:tab/>
        <w:t>Closed area</w:t>
      </w:r>
      <w:bookmarkEnd w:id="137"/>
      <w:r>
        <w:rPr>
          <w:snapToGrid w:val="0"/>
        </w:rPr>
        <w:t xml:space="preserve"> </w:t>
      </w:r>
    </w:p>
    <w:p>
      <w:pPr>
        <w:pStyle w:val="Subsection"/>
        <w:rPr>
          <w:snapToGrid w:val="0"/>
        </w:rPr>
      </w:pPr>
      <w:r>
        <w:rPr>
          <w:snapToGrid w:val="0"/>
        </w:rPr>
        <w:tab/>
        <w:t>(1)</w:t>
      </w:r>
      <w:r>
        <w:rPr>
          <w:snapToGrid w:val="0"/>
        </w:rPr>
        <w:tab/>
        <w:t>While a direction is in force under regulation 44, any authorised officer may by placement of signs, markings, barriers, or buoys mark out any area (whether one or more) that is for the time being closed for the purposes of that regulation.</w:t>
      </w:r>
    </w:p>
    <w:p>
      <w:pPr>
        <w:pStyle w:val="Subsection"/>
        <w:rPr>
          <w:snapToGrid w:val="0"/>
        </w:rPr>
      </w:pPr>
      <w:r>
        <w:rPr>
          <w:snapToGrid w:val="0"/>
        </w:rPr>
        <w:tab/>
        <w:t>(2)</w:t>
      </w:r>
      <w:r>
        <w:rPr>
          <w:snapToGrid w:val="0"/>
        </w:rPr>
        <w:tab/>
        <w:t>The dimensions of any closed area are not to be greater than is reasonably required for the purposes of regulation 44(1).</w:t>
      </w:r>
    </w:p>
    <w:p>
      <w:pPr>
        <w:pStyle w:val="Subsection"/>
        <w:rPr>
          <w:snapToGrid w:val="0"/>
        </w:rPr>
      </w:pPr>
      <w:r>
        <w:rPr>
          <w:snapToGrid w:val="0"/>
        </w:rPr>
        <w:tab/>
        <w:t>(3)</w:t>
      </w:r>
      <w:r>
        <w:rPr>
          <w:snapToGrid w:val="0"/>
        </w:rPr>
        <w:tab/>
        <w:t>Sufficient signs, markings, barriers or buoys are to be erected and maintained in or in the vicinity of a closed area indicating that entry to that area is prohibited without permission of an authorised officer.</w:t>
      </w:r>
    </w:p>
    <w:p>
      <w:pPr>
        <w:pStyle w:val="Subsection"/>
        <w:rPr>
          <w:snapToGrid w:val="0"/>
        </w:rPr>
      </w:pPr>
      <w:r>
        <w:rPr>
          <w:snapToGrid w:val="0"/>
        </w:rPr>
        <w:tab/>
        <w:t>(4)</w:t>
      </w:r>
      <w:r>
        <w:rPr>
          <w:snapToGrid w:val="0"/>
        </w:rPr>
        <w:tab/>
        <w:t>A sign, marking, barrier or buoy placed in the vicinity of any land or waters to which a direction under regulation 44 applies is to be presumed, in the absence of evidence to the contrary, to be a sign, marking, barrier or buoy placed by an authorised officer under subregulation (1).</w:t>
      </w:r>
    </w:p>
    <w:p>
      <w:pPr>
        <w:pStyle w:val="Footnotesection"/>
        <w:ind w:left="890" w:hanging="890"/>
      </w:pPr>
      <w:r>
        <w:tab/>
        <w:t>[Regulation 45 amended in Gazette 29 Sep 2006 p. 4311.]</w:t>
      </w:r>
    </w:p>
    <w:p>
      <w:pPr>
        <w:pStyle w:val="Heading5"/>
        <w:spacing w:before="240"/>
        <w:rPr>
          <w:snapToGrid w:val="0"/>
        </w:rPr>
      </w:pPr>
      <w:bookmarkStart w:id="138" w:name="_Toc462045337"/>
      <w:r>
        <w:rPr>
          <w:rStyle w:val="CharSectno"/>
        </w:rPr>
        <w:t>46</w:t>
      </w:r>
      <w:r>
        <w:rPr>
          <w:snapToGrid w:val="0"/>
        </w:rPr>
        <w:t>.</w:t>
      </w:r>
      <w:r>
        <w:rPr>
          <w:snapToGrid w:val="0"/>
        </w:rPr>
        <w:tab/>
        <w:t>Offences relating to closed areas</w:t>
      </w:r>
      <w:bookmarkEnd w:id="138"/>
      <w:r>
        <w:rPr>
          <w:snapToGrid w:val="0"/>
        </w:rPr>
        <w:t xml:space="preserve"> </w:t>
      </w:r>
    </w:p>
    <w:p>
      <w:pPr>
        <w:pStyle w:val="Subsection"/>
        <w:rPr>
          <w:snapToGrid w:val="0"/>
        </w:rPr>
      </w:pPr>
      <w:r>
        <w:rPr>
          <w:snapToGrid w:val="0"/>
        </w:rPr>
        <w:tab/>
        <w:t>(1)</w:t>
      </w:r>
      <w:r>
        <w:rPr>
          <w:snapToGrid w:val="0"/>
        </w:rPr>
        <w:tab/>
        <w:t>Subject to regulation 44(4), a person must not, without permission of an authorised officer, enter or remain in an area closed under regulation 45.</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(2)</w:t>
      </w:r>
      <w:r>
        <w:rPr>
          <w:snapToGrid w:val="0"/>
        </w:rPr>
        <w:tab/>
        <w:t>An authorised officer may revoke a permission given to a person for the purposes of subregulation (1) in which case if the person is in a closed area he or she must leave the area immediately.</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(3)</w:t>
      </w:r>
      <w:r>
        <w:rPr>
          <w:snapToGrid w:val="0"/>
        </w:rPr>
        <w:tab/>
        <w:t>An authorised officer may grant permission for the purposes of subregulation (1) subject to any condition, and during any period when the condition is not observed or performed by that person the permission is to be treated as having been revoked.</w:t>
      </w:r>
    </w:p>
    <w:p>
      <w:pPr>
        <w:pStyle w:val="Subsection"/>
        <w:rPr>
          <w:snapToGrid w:val="0"/>
        </w:rPr>
      </w:pPr>
      <w:r>
        <w:rPr>
          <w:snapToGrid w:val="0"/>
        </w:rPr>
        <w:tab/>
        <w:t>(4)</w:t>
      </w:r>
      <w:r>
        <w:rPr>
          <w:snapToGrid w:val="0"/>
        </w:rPr>
        <w:tab/>
        <w:t>It is a defence to a charge of contravening subregulation (1) or (2) for a person to show that his or her presence in a closed area without permission was necessary to prevent or mitigate injury to a person or damage to property.</w:t>
      </w:r>
    </w:p>
    <w:p>
      <w:pPr>
        <w:pStyle w:val="Footnotesection"/>
        <w:ind w:left="890" w:hanging="890"/>
      </w:pPr>
      <w:r>
        <w:tab/>
        <w:t>[Regulation 46 amended in Gazette 3 Dec 2010 p. 6052</w:t>
      </w:r>
      <w:r>
        <w:noBreakHyphen/>
        <w:t>3; 19 Sep 2014 p. 3335.]</w:t>
      </w:r>
    </w:p>
    <w:p>
      <w:pPr>
        <w:pStyle w:val="Heading5"/>
        <w:spacing w:before="240"/>
      </w:pPr>
      <w:bookmarkStart w:id="139" w:name="_Toc462045338"/>
      <w:r>
        <w:rPr>
          <w:rStyle w:val="CharSectno"/>
        </w:rPr>
        <w:t>47</w:t>
      </w:r>
      <w:r>
        <w:t>.</w:t>
      </w:r>
      <w:r>
        <w:tab/>
        <w:t>Entering CALM land via gates etc.</w:t>
      </w:r>
      <w:bookmarkEnd w:id="139"/>
    </w:p>
    <w:p>
      <w:pPr>
        <w:pStyle w:val="Subsection"/>
      </w:pPr>
      <w:r>
        <w:tab/>
        <w:t>(1)</w:t>
      </w:r>
      <w:r>
        <w:tab/>
        <w:t>If an entrance to an area of CALM land (other than land covered by subregulation (2)) is controlled by a gate or other barrier a person must not, without lawful authority, enter or cause a vehicle or animal to enter that area other than through that gate or barrier.</w:t>
      </w:r>
    </w:p>
    <w:p>
      <w:pPr>
        <w:pStyle w:val="Penstart"/>
      </w:pPr>
      <w:r>
        <w:tab/>
        <w:t>Penalty: a fine of $500.</w:t>
      </w:r>
    </w:p>
    <w:p>
      <w:pPr>
        <w:pStyle w:val="Subsection"/>
      </w:pPr>
      <w:r>
        <w:tab/>
        <w:t>(2)</w:t>
      </w:r>
      <w:r>
        <w:tab/>
        <w:t>A person must not, without lawful authority, unlock, dismantle or break down a locked gate or locked barrier controlling an entrance to an area of CALM land.</w:t>
      </w:r>
    </w:p>
    <w:p>
      <w:pPr>
        <w:pStyle w:val="Penstart"/>
      </w:pPr>
      <w:r>
        <w:tab/>
        <w:t>Penalty: a fine of $500.</w:t>
      </w:r>
    </w:p>
    <w:p>
      <w:pPr>
        <w:pStyle w:val="Subsection"/>
      </w:pPr>
      <w:r>
        <w:tab/>
        <w:t>(3)</w:t>
      </w:r>
      <w:r>
        <w:tab/>
        <w:t>A person must not, without lawful authority, open, remove, dismantle or breakdown a gate or barrier controlling an entrance to an area of CALM land if it is clear, by signs on or near the gate or barrier, that the gate or barrier is not meant to be opened or removed.</w:t>
      </w:r>
    </w:p>
    <w:p>
      <w:pPr>
        <w:pStyle w:val="Penstart"/>
      </w:pPr>
      <w:r>
        <w:tab/>
        <w:t>Penalty: a fine of $500.</w:t>
      </w:r>
    </w:p>
    <w:p>
      <w:pPr>
        <w:pStyle w:val="Footnotesection"/>
      </w:pPr>
      <w:r>
        <w:tab/>
        <w:t>[Regulation 47 inserted in Gazette 29 Sep 2006 p. 4311</w:t>
      </w:r>
      <w:r>
        <w:noBreakHyphen/>
        <w:t>12; amended in Gazette 3 Dec 2010 p. 6052</w:t>
      </w:r>
      <w:r>
        <w:noBreakHyphen/>
        <w:t>3.]</w:t>
      </w:r>
    </w:p>
    <w:p>
      <w:pPr>
        <w:pStyle w:val="Heading5"/>
        <w:rPr>
          <w:snapToGrid w:val="0"/>
        </w:rPr>
      </w:pPr>
      <w:bookmarkStart w:id="140" w:name="_Toc462045339"/>
      <w:r>
        <w:rPr>
          <w:rStyle w:val="CharSectno"/>
        </w:rPr>
        <w:t>48</w:t>
      </w:r>
      <w:r>
        <w:rPr>
          <w:snapToGrid w:val="0"/>
        </w:rPr>
        <w:t>.</w:t>
      </w:r>
      <w:r>
        <w:rPr>
          <w:snapToGrid w:val="0"/>
        </w:rPr>
        <w:tab/>
        <w:t xml:space="preserve">Areas set aside </w:t>
      </w:r>
      <w:r>
        <w:t>for purposes of CEO</w:t>
      </w:r>
      <w:bookmarkEnd w:id="140"/>
    </w:p>
    <w:p>
      <w:pPr>
        <w:pStyle w:val="Subsection"/>
        <w:rPr>
          <w:snapToGrid w:val="0"/>
        </w:rPr>
      </w:pPr>
      <w:r>
        <w:rPr>
          <w:snapToGrid w:val="0"/>
        </w:rPr>
        <w:tab/>
      </w:r>
      <w:r>
        <w:rPr>
          <w:snapToGrid w:val="0"/>
        </w:rPr>
        <w:tab/>
        <w:t xml:space="preserve">A person must not, without lawful authority, enter or remain in any area of CALM land set aside for cultivation, gardens, animal enclosures, housing, education facilities or machinery sheds or any other property or facilities which are established </w:t>
      </w:r>
      <w:r>
        <w:t xml:space="preserve">for the purposes of the CEO </w:t>
      </w:r>
      <w:r>
        <w:rPr>
          <w:snapToGrid w:val="0"/>
        </w:rPr>
        <w:t>and which are not open to the public.</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48 amended in Gazette 29 Sep 2006 p. 4312; 3 Dec 2010 p. 6052</w:t>
      </w:r>
      <w:r>
        <w:noBreakHyphen/>
        <w:t>3.]</w:t>
      </w:r>
    </w:p>
    <w:p>
      <w:pPr>
        <w:pStyle w:val="Heading5"/>
      </w:pPr>
      <w:bookmarkStart w:id="141" w:name="_Toc462045340"/>
      <w:r>
        <w:rPr>
          <w:rStyle w:val="CharSectno"/>
        </w:rPr>
        <w:t>49A</w:t>
      </w:r>
      <w:r>
        <w:t>.</w:t>
      </w:r>
      <w:r>
        <w:tab/>
        <w:t>Access on foot</w:t>
      </w:r>
      <w:bookmarkEnd w:id="141"/>
    </w:p>
    <w:p>
      <w:pPr>
        <w:pStyle w:val="Subsection"/>
      </w:pPr>
      <w:r>
        <w:tab/>
      </w:r>
      <w:r>
        <w:tab/>
        <w:t xml:space="preserve">A person must not, without lawful authority — </w:t>
      </w:r>
    </w:p>
    <w:p>
      <w:pPr>
        <w:pStyle w:val="Indenta"/>
      </w:pPr>
      <w:r>
        <w:tab/>
        <w:t>(a)</w:t>
      </w:r>
      <w:r>
        <w:tab/>
        <w:t>access a restricted area on foot if access on foot is prohibited under regulation 5; or</w:t>
      </w:r>
    </w:p>
    <w:p>
      <w:pPr>
        <w:pStyle w:val="Indenta"/>
        <w:keepNext/>
      </w:pPr>
      <w:r>
        <w:tab/>
        <w:t>(b)</w:t>
      </w:r>
      <w:r>
        <w:tab/>
        <w:t>contravene a restriction imposed on accessing a restricted area on foot under regulation 5.</w:t>
      </w:r>
    </w:p>
    <w:p>
      <w:pPr>
        <w:pStyle w:val="Penstart"/>
      </w:pPr>
      <w:r>
        <w:tab/>
        <w:t>Penalty: a fine of $2 000.</w:t>
      </w:r>
    </w:p>
    <w:p>
      <w:pPr>
        <w:pStyle w:val="Footnotesection"/>
      </w:pPr>
      <w:r>
        <w:tab/>
        <w:t>[Regulation 49A inserted in Gazette 10 Nov 2015 p. 4606.]</w:t>
      </w:r>
    </w:p>
    <w:p>
      <w:pPr>
        <w:pStyle w:val="Heading5"/>
        <w:rPr>
          <w:snapToGrid w:val="0"/>
        </w:rPr>
      </w:pPr>
      <w:bookmarkStart w:id="142" w:name="_Toc462045341"/>
      <w:r>
        <w:rPr>
          <w:rStyle w:val="CharSectno"/>
        </w:rPr>
        <w:t>49</w:t>
      </w:r>
      <w:r>
        <w:rPr>
          <w:snapToGrid w:val="0"/>
        </w:rPr>
        <w:t>.</w:t>
      </w:r>
      <w:r>
        <w:rPr>
          <w:snapToGrid w:val="0"/>
        </w:rPr>
        <w:tab/>
        <w:t>Caves</w:t>
      </w:r>
      <w:bookmarkEnd w:id="142"/>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cave</w:t>
      </w:r>
      <w:r>
        <w:rPr>
          <w:b/>
        </w:rPr>
        <w:t xml:space="preserve"> </w:t>
      </w:r>
      <w:r>
        <w:t>means a cave or part of a cave which is on or under CALM land.</w:t>
      </w:r>
    </w:p>
    <w:p>
      <w:pPr>
        <w:pStyle w:val="Subsection"/>
        <w:rPr>
          <w:snapToGrid w:val="0"/>
        </w:rPr>
      </w:pPr>
      <w:r>
        <w:rPr>
          <w:snapToGrid w:val="0"/>
        </w:rPr>
        <w:tab/>
        <w:t>(2)</w:t>
      </w:r>
      <w:r>
        <w:rPr>
          <w:snapToGrid w:val="0"/>
        </w:rPr>
        <w:tab/>
        <w:t xml:space="preserve">The </w:t>
      </w:r>
      <w:r>
        <w:t xml:space="preserve">CEO </w:t>
      </w:r>
      <w:r>
        <w:rPr>
          <w:snapToGrid w:val="0"/>
        </w:rPr>
        <w:t xml:space="preserve">may, on payment of the </w:t>
      </w:r>
      <w:r>
        <w:t xml:space="preserve">appropriate </w:t>
      </w:r>
      <w:r>
        <w:rPr>
          <w:snapToGrid w:val="0"/>
        </w:rPr>
        <w:t>fee specified in Schedule 1</w:t>
      </w:r>
      <w:r>
        <w:t xml:space="preserve"> Division 8 item 1</w:t>
      </w:r>
      <w:r>
        <w:rPr>
          <w:snapToGrid w:val="0"/>
        </w:rPr>
        <w:t>, grant to any person a permit in an approved form to be in a cave.</w:t>
      </w:r>
    </w:p>
    <w:p>
      <w:pPr>
        <w:pStyle w:val="Subsection"/>
        <w:keepNext/>
        <w:rPr>
          <w:snapToGrid w:val="0"/>
        </w:rPr>
      </w:pPr>
      <w:r>
        <w:rPr>
          <w:snapToGrid w:val="0"/>
        </w:rPr>
        <w:tab/>
        <w:t>(3)</w:t>
      </w:r>
      <w:r>
        <w:rPr>
          <w:snapToGrid w:val="0"/>
        </w:rPr>
        <w:tab/>
        <w:t>A permit — </w:t>
      </w:r>
    </w:p>
    <w:p>
      <w:pPr>
        <w:pStyle w:val="Indenta"/>
        <w:rPr>
          <w:snapToGrid w:val="0"/>
        </w:rPr>
      </w:pPr>
      <w:r>
        <w:rPr>
          <w:snapToGrid w:val="0"/>
        </w:rPr>
        <w:tab/>
        <w:t>(a)</w:t>
      </w:r>
      <w:r>
        <w:rPr>
          <w:snapToGrid w:val="0"/>
        </w:rPr>
        <w:tab/>
        <w:t>authorises a person to be in a cave for the period specified in the permit; and</w:t>
      </w:r>
    </w:p>
    <w:p>
      <w:pPr>
        <w:pStyle w:val="Indenta"/>
        <w:rPr>
          <w:snapToGrid w:val="0"/>
        </w:rPr>
      </w:pPr>
      <w:r>
        <w:rPr>
          <w:snapToGrid w:val="0"/>
        </w:rPr>
        <w:tab/>
        <w:t>(b)</w:t>
      </w:r>
      <w:r>
        <w:rPr>
          <w:snapToGrid w:val="0"/>
        </w:rPr>
        <w:tab/>
        <w:t>is subject to such conditions and restrictions as are specified on the permit.</w:t>
      </w:r>
    </w:p>
    <w:p>
      <w:pPr>
        <w:pStyle w:val="Subsection"/>
      </w:pPr>
      <w:r>
        <w:tab/>
        <w:t>(3a)</w:t>
      </w:r>
      <w:r>
        <w:tab/>
        <w:t>If a person who holds a permit to be in a cave notifies the CEO more than 2 weeks before the period specified in the permit that the person is not going to use the permit, the CEO may refund the fee for the permit.</w:t>
      </w:r>
    </w:p>
    <w:p>
      <w:pPr>
        <w:pStyle w:val="Subsection"/>
        <w:rPr>
          <w:snapToGrid w:val="0"/>
        </w:rPr>
      </w:pPr>
      <w:r>
        <w:rPr>
          <w:snapToGrid w:val="0"/>
        </w:rPr>
        <w:tab/>
        <w:t>(4)</w:t>
      </w:r>
      <w:r>
        <w:rPr>
          <w:snapToGrid w:val="0"/>
        </w:rPr>
        <w:tab/>
        <w:t>A person must not, without lawful authority, enter or remain in a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(5)</w:t>
      </w:r>
      <w:r>
        <w:rPr>
          <w:snapToGrid w:val="0"/>
        </w:rPr>
        <w:tab/>
        <w:t>A person in a cave must comply with the conditions and restrictions subject to which that person was given permission to be in the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(6)</w:t>
      </w:r>
      <w:r>
        <w:rPr>
          <w:snapToGrid w:val="0"/>
        </w:rPr>
        <w:tab/>
        <w:t>Nothing in this regulation prohibits persons entering or remaining in a cave under the control of a person licensed under a commercial operations licence to take those persons into the cave.</w:t>
      </w:r>
    </w:p>
    <w:p>
      <w:pPr>
        <w:pStyle w:val="Footnotesection"/>
      </w:pPr>
      <w:r>
        <w:tab/>
        <w:t>[Regulation 49 amended in Gazette 29 Sep 2006 p. 4312 and 4334; 3 Dec 2010 p. 6052</w:t>
      </w:r>
      <w:r>
        <w:noBreakHyphen/>
        <w:t>3.]</w:t>
      </w:r>
    </w:p>
    <w:p>
      <w:pPr>
        <w:pStyle w:val="Heading5"/>
        <w:rPr>
          <w:snapToGrid w:val="0"/>
        </w:rPr>
      </w:pPr>
      <w:bookmarkStart w:id="143" w:name="_Toc462045342"/>
      <w:r>
        <w:rPr>
          <w:rStyle w:val="CharSectno"/>
        </w:rPr>
        <w:t>50</w:t>
      </w:r>
      <w:r>
        <w:rPr>
          <w:snapToGrid w:val="0"/>
        </w:rPr>
        <w:t>.</w:t>
      </w:r>
      <w:r>
        <w:rPr>
          <w:snapToGrid w:val="0"/>
        </w:rPr>
        <w:tab/>
        <w:t>Cross country and other events</w:t>
      </w:r>
      <w:bookmarkEnd w:id="143"/>
      <w:r>
        <w:rPr>
          <w:snapToGrid w:val="0"/>
        </w:rPr>
        <w:t xml:space="preserve"> </w:t>
      </w:r>
    </w:p>
    <w:p>
      <w:pPr>
        <w:pStyle w:val="Subsection"/>
        <w:rPr>
          <w:snapToGrid w:val="0"/>
        </w:rPr>
      </w:pPr>
      <w:r>
        <w:rPr>
          <w:snapToGrid w:val="0"/>
        </w:rPr>
        <w:tab/>
      </w:r>
      <w:r>
        <w:rPr>
          <w:snapToGrid w:val="0"/>
        </w:rPr>
        <w:tab/>
        <w:t>A person must not, without lawful authority, organise, promote or conduct any event involving cross country running, orienteering, rogaining, cross country navigation exercises or equestrian events on CALM 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50 amended in Gazette 3 Dec 2010 p. 6052</w:t>
      </w:r>
      <w:r>
        <w:noBreakHyphen/>
        <w:t>3.]</w:t>
      </w:r>
    </w:p>
    <w:p>
      <w:pPr>
        <w:pStyle w:val="Heading3"/>
      </w:pPr>
      <w:bookmarkStart w:id="144" w:name="_Toc436903722"/>
      <w:bookmarkStart w:id="145" w:name="_Toc436905664"/>
      <w:bookmarkStart w:id="146" w:name="_Toc436905885"/>
      <w:bookmarkStart w:id="147" w:name="_Toc437515638"/>
      <w:bookmarkStart w:id="148" w:name="_Toc447533238"/>
      <w:bookmarkStart w:id="149" w:name="_Toc456878146"/>
      <w:bookmarkStart w:id="150" w:name="_Toc456951663"/>
      <w:bookmarkStart w:id="151" w:name="_Toc458590247"/>
      <w:bookmarkStart w:id="152" w:name="_Toc458590469"/>
      <w:bookmarkStart w:id="153" w:name="_Toc458590690"/>
      <w:bookmarkStart w:id="154" w:name="_Toc462045343"/>
      <w:r>
        <w:rPr>
          <w:rStyle w:val="CharDivNo"/>
        </w:rPr>
        <w:t>Division 2</w:t>
      </w:r>
      <w:r>
        <w:rPr>
          <w:snapToGrid w:val="0"/>
        </w:rPr>
        <w:t xml:space="preserve"> — </w:t>
      </w:r>
      <w:r>
        <w:rPr>
          <w:rStyle w:val="CharDivText"/>
        </w:rPr>
        <w:t>Vehicles</w:t>
      </w:r>
      <w:bookmarkEnd w:id="144"/>
      <w:bookmarkEnd w:id="145"/>
      <w:bookmarkEnd w:id="146"/>
      <w:bookmarkEnd w:id="147"/>
      <w:bookmarkEnd w:id="148"/>
      <w:bookmarkEnd w:id="149"/>
      <w:bookmarkEnd w:id="150"/>
      <w:bookmarkEnd w:id="151"/>
      <w:bookmarkEnd w:id="152"/>
      <w:bookmarkEnd w:id="153"/>
      <w:bookmarkEnd w:id="154"/>
    </w:p>
    <w:p>
      <w:pPr>
        <w:pStyle w:val="Heading5"/>
        <w:rPr>
          <w:snapToGrid w:val="0"/>
        </w:rPr>
      </w:pPr>
      <w:bookmarkStart w:id="155" w:name="_Toc462045344"/>
      <w:r>
        <w:rPr>
          <w:rStyle w:val="CharSectno"/>
        </w:rPr>
        <w:t>51</w:t>
      </w:r>
      <w:r>
        <w:rPr>
          <w:snapToGrid w:val="0"/>
        </w:rPr>
        <w:t>.</w:t>
      </w:r>
      <w:r>
        <w:rPr>
          <w:snapToGrid w:val="0"/>
        </w:rPr>
        <w:tab/>
        <w:t>Vehicles</w:t>
      </w:r>
      <w:bookmarkEnd w:id="155"/>
      <w:r>
        <w:rPr>
          <w:snapToGrid w:val="0"/>
        </w:rPr>
        <w:t xml:space="preserve"> </w:t>
      </w:r>
    </w:p>
    <w:p>
      <w:pPr>
        <w:pStyle w:val="Subsection"/>
        <w:rPr>
          <w:snapToGrid w:val="0"/>
        </w:rPr>
      </w:pPr>
      <w:r>
        <w:rPr>
          <w:snapToGrid w:val="0"/>
        </w:rPr>
        <w:tab/>
        <w:t>(1)</w:t>
      </w:r>
      <w:r>
        <w:rPr>
          <w:snapToGrid w:val="0"/>
        </w:rPr>
        <w:tab/>
        <w:t>A person must not, without lawful authority, drive or use a vehicle (other than a bicycle) on CALM land other than on a road</w:t>
      </w:r>
      <w:r>
        <w:t xml:space="preserve"> or in a designated area</w:t>
      </w:r>
      <w:r>
        <w:rPr>
          <w:snapToGrid w:val="0"/>
        </w:rPr>
        <w:t>.</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pPr>
      <w:r>
        <w:tab/>
        <w:t>(2)</w:t>
      </w:r>
      <w:r>
        <w:tab/>
        <w:t>Subregulation (1) does not apply in respect of a road that is in a restricted area.</w:t>
      </w:r>
    </w:p>
    <w:p>
      <w:pPr>
        <w:pStyle w:val="Subsection"/>
        <w:spacing w:before="140"/>
      </w:pPr>
      <w:r>
        <w:tab/>
        <w:t>(3)</w:t>
      </w:r>
      <w:r>
        <w:tab/>
        <w:t xml:space="preserve">A person must not, without lawful authority, on a road that is in a restricted area — </w:t>
      </w:r>
    </w:p>
    <w:p>
      <w:pPr>
        <w:pStyle w:val="Indenta"/>
        <w:spacing w:before="60"/>
      </w:pPr>
      <w:r>
        <w:tab/>
        <w:t>(a)</w:t>
      </w:r>
      <w:r>
        <w:tab/>
        <w:t>drive or use a vehicle if that activity is prohibited in the area under regulation 5; or</w:t>
      </w:r>
    </w:p>
    <w:p>
      <w:pPr>
        <w:pStyle w:val="Indenta"/>
        <w:spacing w:before="60"/>
      </w:pPr>
      <w:r>
        <w:tab/>
        <w:t>(b)</w:t>
      </w:r>
      <w:r>
        <w:tab/>
        <w:t>contravene a restriction imposed on driving or using a vehicle in the area under regulation 5.</w:t>
      </w:r>
    </w:p>
    <w:p>
      <w:pPr>
        <w:pStyle w:val="Penstart"/>
        <w:spacing w:before="70"/>
      </w:pPr>
      <w:r>
        <w:tab/>
        <w:t>Penalty: a fine of $2 000.</w:t>
      </w:r>
    </w:p>
    <w:p>
      <w:pPr>
        <w:pStyle w:val="Footnotesection"/>
        <w:spacing w:before="100"/>
      </w:pPr>
      <w:r>
        <w:tab/>
        <w:t>[Regulation 51 amended in Gazette 29 Sep 2006 p. 4313; 3 Dec 2010 p. 6052</w:t>
      </w:r>
      <w:r>
        <w:noBreakHyphen/>
        <w:t>3; 19 Sep 2014 p. 3335.]</w:t>
      </w:r>
    </w:p>
    <w:p>
      <w:pPr>
        <w:pStyle w:val="Heading5"/>
        <w:spacing w:before="200"/>
      </w:pPr>
      <w:bookmarkStart w:id="156" w:name="_Toc462045345"/>
      <w:r>
        <w:rPr>
          <w:rStyle w:val="CharSectno"/>
        </w:rPr>
        <w:t>51A</w:t>
      </w:r>
      <w:r>
        <w:t>.</w:t>
      </w:r>
      <w:r>
        <w:tab/>
        <w:t>Bicycles</w:t>
      </w:r>
      <w:bookmarkEnd w:id="156"/>
    </w:p>
    <w:p>
      <w:pPr>
        <w:pStyle w:val="Subsection"/>
        <w:spacing w:before="130"/>
      </w:pPr>
      <w:r>
        <w:tab/>
        <w:t>(1)</w:t>
      </w:r>
      <w:r>
        <w:tab/>
        <w:t>A person must not, without lawful authority, ride a bicycle on CALM land other than on a road or bicycle path or in a designated area.</w:t>
      </w:r>
    </w:p>
    <w:p>
      <w:pPr>
        <w:pStyle w:val="Penstart"/>
        <w:spacing w:before="70"/>
      </w:pPr>
      <w:r>
        <w:tab/>
        <w:t>Penalty: a fine of $500.</w:t>
      </w:r>
    </w:p>
    <w:p>
      <w:pPr>
        <w:pStyle w:val="Subsection"/>
        <w:spacing w:before="130"/>
      </w:pPr>
      <w:r>
        <w:tab/>
        <w:t>(2)</w:t>
      </w:r>
      <w:r>
        <w:tab/>
        <w:t>Subregulation (1) does not apply in respect of a road that is in a restricted area.</w:t>
      </w:r>
    </w:p>
    <w:p>
      <w:pPr>
        <w:pStyle w:val="Subsection"/>
        <w:spacing w:before="130"/>
      </w:pPr>
      <w:r>
        <w:tab/>
        <w:t>(3)</w:t>
      </w:r>
      <w:r>
        <w:tab/>
        <w:t xml:space="preserve">A person must not, without lawful authority, on a road that is in a restricted area — </w:t>
      </w:r>
    </w:p>
    <w:p>
      <w:pPr>
        <w:pStyle w:val="Indenta"/>
        <w:spacing w:before="60"/>
      </w:pPr>
      <w:r>
        <w:tab/>
        <w:t>(a)</w:t>
      </w:r>
      <w:r>
        <w:tab/>
        <w:t>ride a bicycle if that activity is prohibited in the area under regulation 5; or</w:t>
      </w:r>
    </w:p>
    <w:p>
      <w:pPr>
        <w:pStyle w:val="Indenta"/>
        <w:spacing w:before="60"/>
      </w:pPr>
      <w:r>
        <w:tab/>
        <w:t>(b)</w:t>
      </w:r>
      <w:r>
        <w:tab/>
        <w:t>contravene a restriction imposed on riding a bicycle in the area under regulation 5.</w:t>
      </w:r>
    </w:p>
    <w:p>
      <w:pPr>
        <w:pStyle w:val="Penstart"/>
        <w:spacing w:before="70"/>
      </w:pPr>
      <w:r>
        <w:tab/>
        <w:t>Penalty: a fine of $1 000.</w:t>
      </w:r>
    </w:p>
    <w:p>
      <w:pPr>
        <w:pStyle w:val="Subsection"/>
      </w:pPr>
      <w:r>
        <w:tab/>
        <w:t>(4)</w:t>
      </w:r>
      <w:r>
        <w:tab/>
        <w:t xml:space="preserve">In this regulation — </w:t>
      </w:r>
    </w:p>
    <w:p>
      <w:pPr>
        <w:pStyle w:val="Defstart"/>
        <w:spacing w:before="70"/>
      </w:pPr>
      <w:r>
        <w:rPr>
          <w:b/>
        </w:rPr>
        <w:tab/>
      </w:r>
      <w:r>
        <w:rPr>
          <w:rStyle w:val="CharDefText"/>
        </w:rPr>
        <w:t>bicycle path</w:t>
      </w:r>
      <w:r>
        <w:t xml:space="preserve"> means a path, or length of a path, at both ends of which are signs indicating that persons may ride bicycles on the path or the length between those signs.</w:t>
      </w:r>
    </w:p>
    <w:p>
      <w:pPr>
        <w:pStyle w:val="Footnotesection"/>
        <w:spacing w:before="100"/>
      </w:pPr>
      <w:r>
        <w:tab/>
        <w:t>[Regulation 51A inserted in Gazette 29 Sep 2006 p. 4313</w:t>
      </w:r>
      <w:r>
        <w:noBreakHyphen/>
        <w:t>14; amended in Gazette 3 Dec 2010 p. 6052</w:t>
      </w:r>
      <w:r>
        <w:noBreakHyphen/>
        <w:t>3.]</w:t>
      </w:r>
    </w:p>
    <w:p>
      <w:pPr>
        <w:pStyle w:val="Heading5"/>
        <w:spacing w:before="200"/>
        <w:rPr>
          <w:snapToGrid w:val="0"/>
        </w:rPr>
      </w:pPr>
      <w:bookmarkStart w:id="157" w:name="_Toc462045346"/>
      <w:r>
        <w:rPr>
          <w:rStyle w:val="CharSectno"/>
        </w:rPr>
        <w:t>52</w:t>
      </w:r>
      <w:r>
        <w:rPr>
          <w:snapToGrid w:val="0"/>
        </w:rPr>
        <w:t>.</w:t>
      </w:r>
      <w:r>
        <w:rPr>
          <w:snapToGrid w:val="0"/>
        </w:rPr>
        <w:tab/>
        <w:t>Off</w:t>
      </w:r>
      <w:r>
        <w:rPr>
          <w:snapToGrid w:val="0"/>
        </w:rPr>
        <w:noBreakHyphen/>
        <w:t>road vehicles</w:t>
      </w:r>
      <w:bookmarkEnd w:id="157"/>
      <w:r>
        <w:rPr>
          <w:snapToGrid w:val="0"/>
        </w:rPr>
        <w:t xml:space="preserve"> </w:t>
      </w:r>
    </w:p>
    <w:p>
      <w:pPr>
        <w:pStyle w:val="Subsection"/>
        <w:spacing w:before="120"/>
        <w:rPr>
          <w:snapToGrid w:val="0"/>
        </w:rPr>
      </w:pPr>
      <w:r>
        <w:rPr>
          <w:snapToGrid w:val="0"/>
        </w:rPr>
        <w:tab/>
        <w:t>(1)</w:t>
      </w:r>
      <w:r>
        <w:rPr>
          <w:snapToGrid w:val="0"/>
        </w:rPr>
        <w:tab/>
        <w:t>A person must not drive into or within, or bring into or have within, CALM land an off</w:t>
      </w:r>
      <w:r>
        <w:rPr>
          <w:snapToGrid w:val="0"/>
        </w:rPr>
        <w:noBreakHyphen/>
        <w:t xml:space="preserve">road vehicle within the meaning of the </w:t>
      </w:r>
      <w:r>
        <w:rPr>
          <w:i/>
          <w:snapToGrid w:val="0"/>
        </w:rPr>
        <w:t>Control of Vehicles (Off</w:t>
      </w:r>
      <w:r>
        <w:rPr>
          <w:i/>
          <w:snapToGrid w:val="0"/>
        </w:rPr>
        <w:noBreakHyphen/>
        <w:t>road Areas) Act 1978</w:t>
      </w:r>
      <w:r>
        <w:rPr>
          <w:snapToGrid w:val="0"/>
        </w:rPr>
        <w:t xml:space="preserve"> unless that person — </w:t>
      </w:r>
    </w:p>
    <w:p>
      <w:pPr>
        <w:pStyle w:val="Indenta"/>
        <w:spacing w:before="60"/>
        <w:rPr>
          <w:snapToGrid w:val="0"/>
        </w:rPr>
      </w:pPr>
      <w:r>
        <w:rPr>
          <w:snapToGrid w:val="0"/>
        </w:rPr>
        <w:tab/>
        <w:t>(a)</w:t>
      </w:r>
      <w:r>
        <w:rPr>
          <w:snapToGrid w:val="0"/>
        </w:rPr>
        <w:tab/>
        <w:t>is the holder of a permit — </w:t>
      </w:r>
    </w:p>
    <w:p>
      <w:pPr>
        <w:pStyle w:val="Indenti"/>
        <w:spacing w:before="60"/>
        <w:rPr>
          <w:snapToGrid w:val="0"/>
        </w:rPr>
      </w:pPr>
      <w:r>
        <w:rPr>
          <w:snapToGrid w:val="0"/>
        </w:rPr>
        <w:tab/>
        <w:t>(i)</w:t>
      </w:r>
      <w:r>
        <w:rPr>
          <w:snapToGrid w:val="0"/>
        </w:rPr>
        <w:tab/>
        <w:t>granted under section 8(4) of that Act; and</w:t>
      </w:r>
    </w:p>
    <w:p>
      <w:pPr>
        <w:pStyle w:val="Indenti"/>
        <w:spacing w:before="60"/>
        <w:rPr>
          <w:snapToGrid w:val="0"/>
        </w:rPr>
      </w:pPr>
      <w:r>
        <w:rPr>
          <w:snapToGrid w:val="0"/>
        </w:rPr>
        <w:tab/>
        <w:t>(ii)</w:t>
      </w:r>
      <w:r>
        <w:rPr>
          <w:snapToGrid w:val="0"/>
        </w:rPr>
        <w:tab/>
        <w:t>authorising that person so to drive, bring or have that off</w:t>
      </w:r>
      <w:r>
        <w:rPr>
          <w:snapToGrid w:val="0"/>
        </w:rPr>
        <w:noBreakHyphen/>
        <w:t xml:space="preserve">road vehicle; </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that person so drives, brings or has that off</w:t>
      </w:r>
      <w:r>
        <w:rPr>
          <w:snapToGrid w:val="0"/>
        </w:rPr>
        <w:noBreakHyphen/>
        <w:t>road vehicle in accordance with any restrictions, limitations or conditions to which that permit is subject.</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pPr>
      <w:r>
        <w:tab/>
        <w:t>(2)</w:t>
      </w:r>
      <w:r>
        <w:tab/>
        <w:t xml:space="preserve">Subregulation (1) does not apply to private land (as defined in the </w:t>
      </w:r>
      <w:r>
        <w:rPr>
          <w:i/>
        </w:rPr>
        <w:t>Control of Vehicles (Off</w:t>
      </w:r>
      <w:r>
        <w:rPr>
          <w:i/>
        </w:rPr>
        <w:noBreakHyphen/>
        <w:t>road Areas) Act 1978</w:t>
      </w:r>
      <w:r>
        <w:t>) or permitted areas (as defined in that Act).</w:t>
      </w:r>
    </w:p>
    <w:p>
      <w:pPr>
        <w:pStyle w:val="Footnotesection"/>
        <w:ind w:left="890" w:hanging="890"/>
      </w:pPr>
      <w:r>
        <w:tab/>
        <w:t>[Regulation 52 amended in Gazette 29 Sep 2006 p. 4314; 3 Dec 2010 p. 6052</w:t>
      </w:r>
      <w:r>
        <w:noBreakHyphen/>
        <w:t>3; 19 Sep 2014 p. 3335.]</w:t>
      </w:r>
    </w:p>
    <w:p>
      <w:pPr>
        <w:pStyle w:val="Heading5"/>
        <w:rPr>
          <w:snapToGrid w:val="0"/>
        </w:rPr>
      </w:pPr>
      <w:bookmarkStart w:id="158" w:name="_Toc462045347"/>
      <w:r>
        <w:rPr>
          <w:rStyle w:val="CharSectno"/>
        </w:rPr>
        <w:t>53</w:t>
      </w:r>
      <w:r>
        <w:rPr>
          <w:snapToGrid w:val="0"/>
        </w:rPr>
        <w:t>.</w:t>
      </w:r>
      <w:r>
        <w:rPr>
          <w:snapToGrid w:val="0"/>
        </w:rPr>
        <w:tab/>
        <w:t>Car rallies etc.</w:t>
      </w:r>
      <w:bookmarkEnd w:id="158"/>
      <w:r>
        <w:rPr>
          <w:snapToGrid w:val="0"/>
        </w:rPr>
        <w:t xml:space="preserve"> </w:t>
      </w:r>
    </w:p>
    <w:p>
      <w:pPr>
        <w:pStyle w:val="Subsection"/>
        <w:rPr>
          <w:snapToGrid w:val="0"/>
        </w:rPr>
      </w:pPr>
      <w:r>
        <w:rPr>
          <w:snapToGrid w:val="0"/>
        </w:rPr>
        <w:tab/>
      </w:r>
      <w:r>
        <w:rPr>
          <w:snapToGrid w:val="0"/>
        </w:rPr>
        <w:tab/>
        <w:t>A person must not, without lawful authority, organise, promote or conduct a car rally, associated navigation exercise, mountain bike event or other race involving vehicles on or through CALM land.</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[Regulation 53 amended in Gazette 3 Dec 2010 p. 6052</w:t>
      </w:r>
      <w:r>
        <w:noBreakHyphen/>
        <w:t>3.]</w:t>
      </w:r>
    </w:p>
    <w:p>
      <w:pPr>
        <w:pStyle w:val="Heading5"/>
        <w:rPr>
          <w:snapToGrid w:val="0"/>
        </w:rPr>
      </w:pPr>
      <w:bookmarkStart w:id="159" w:name="_Toc462045348"/>
      <w:r>
        <w:rPr>
          <w:rStyle w:val="CharSectno"/>
        </w:rPr>
        <w:t>54</w:t>
      </w:r>
      <w:r>
        <w:rPr>
          <w:snapToGrid w:val="0"/>
        </w:rPr>
        <w:t>.</w:t>
      </w:r>
      <w:r>
        <w:rPr>
          <w:snapToGrid w:val="0"/>
        </w:rPr>
        <w:tab/>
        <w:t>Traffic laws apply</w:t>
      </w:r>
      <w:bookmarkEnd w:id="159"/>
      <w:r>
        <w:rPr>
          <w:snapToGrid w:val="0"/>
        </w:rPr>
        <w:t xml:space="preserve"> </w:t>
      </w:r>
    </w:p>
    <w:p>
      <w:pPr>
        <w:pStyle w:val="Subsection"/>
        <w:rPr>
          <w:snapToGrid w:val="0"/>
        </w:rPr>
      </w:pPr>
      <w:r>
        <w:rPr>
          <w:snapToGrid w:val="0"/>
        </w:rPr>
        <w:tab/>
        <w:t>(1)</w:t>
      </w:r>
      <w:r>
        <w:rPr>
          <w:snapToGrid w:val="0"/>
        </w:rPr>
        <w:tab/>
        <w:t>A person driving or in charge of a vehicle on a road or track on CALM land must not, without lawful authority, do any act that would be a breach of a</w:t>
      </w:r>
      <w:r>
        <w:t xml:space="preserve"> road law, as defined in the </w:t>
      </w:r>
      <w:r>
        <w:rPr>
          <w:i/>
        </w:rPr>
        <w:t xml:space="preserve">Road Traffic (Administration) Act 2008 </w:t>
      </w:r>
      <w:r>
        <w:t>section 4, if that road or track were a road as defined in that section.</w:t>
      </w:r>
    </w:p>
    <w:p>
      <w:pPr>
        <w:pStyle w:val="Penstart"/>
        <w:rPr>
          <w:snapToGrid w:val="0"/>
        </w:rPr>
      </w:pPr>
      <w:r>
        <w:rPr>
          <w:snapToGrid w:val="0"/>
        </w:rPr>
        <w:tab/>
        <w:t>Penalty:</w:t>
      </w:r>
      <w:r>
        <w:t xml:space="preserve"> a fine of</w:t>
      </w:r>
      <w:r>
        <w:rPr>
          <w:snapToGrid w:val="0"/>
        </w:rPr>
        <w:t xml:space="preserve"> </w:t>
      </w:r>
      <w:r>
        <w:t>$1 000</w:t>
      </w:r>
      <w:r>
        <w:rPr>
          <w:snapToGrid w:val="0"/>
        </w:rPr>
        <w:t>.</w:t>
      </w:r>
    </w:p>
    <w:p>
      <w:pPr>
        <w:pStyle w:val="Subsection"/>
        <w:rPr>
          <w:snapToGrid w:val="0"/>
        </w:rPr>
      </w:pPr>
      <w:r>
        <w:rPr>
          <w:snapToGrid w:val="0"/>
        </w:rPr>
        <w:tab/>
        <w:t>(2)</w:t>
      </w:r>
      <w:r>
        <w:rPr>
          <w:snapToGrid w:val="0"/>
        </w:rPr>
        <w:tab/>
        <w:t>A person must not drive a vehicle on CALM land in a dangerous or careless manner or without all reasonable consideration for other persons, vehicles and animals in the vicinity.</w:t>
      </w:r>
    </w:p>
    <w:p>
      <w:pPr>
        <w:pStyle w:val="Penstart"/>
        <w:rPr>
          <w:snapToGrid w:val="0"/>
        </w:rPr>
      </w:pPr>
      <w:r>
        <w:rPr>
          <w:snapToGrid w:val="0"/>
        </w:rPr>
        <w:tab/>
        <w:t xml:space="preserve">Penalty: </w:t>
      </w:r>
      <w:r>
        <w:t>a fine of $1 000</w:t>
      </w:r>
      <w:r>
        <w:rPr>
          <w:snapToGrid w:val="0"/>
        </w:rPr>
        <w:t>.</w:t>
      </w:r>
    </w:p>
    <w:p>
      <w:pPr>
        <w:pStyle w:val="Footnotesection"/>
      </w:pPr>
      <w:r>
        <w:tab/>
        <w:t>[Regulation 54 amended in Gazette 29 Sep 2006 p. 4314; 3 Dec 2010 p. 6052</w:t>
      </w:r>
      <w:r>
        <w:noBreakHyphen/>
        <w:t>3; 19 Sep 2014 p. 3335; 8 Jan 2015 p. 136.]</w:t>
      </w:r>
    </w:p>
    <w:p>
      <w:pPr>
        <w:pStyle w:val="Heading5"/>
        <w:keepNext w:val="0"/>
        <w:keepLines w:val="0"/>
        <w:spacing w:before="200"/>
        <w:rPr>
          <w:snapToGrid w:val="0"/>
        </w:rPr>
      </w:pPr>
      <w:bookmarkStart w:id="160" w:name="_Toc462045349"/>
      <w:r>
        <w:rPr>
          <w:rStyle w:val="CharSectno"/>
        </w:rPr>
        <w:t>55</w:t>
      </w:r>
      <w:r>
        <w:rPr>
          <w:snapToGrid w:val="0"/>
        </w:rPr>
        <w:t>.</w:t>
      </w:r>
      <w:r>
        <w:rPr>
          <w:snapToGrid w:val="0"/>
        </w:rPr>
        <w:tab/>
        <w:t>Driver to obey reasonable direction</w:t>
      </w:r>
      <w:bookmarkEnd w:id="160"/>
      <w:r>
        <w:rPr>
          <w:snapToGrid w:val="0"/>
        </w:rPr>
        <w:t xml:space="preserve"> </w:t>
      </w:r>
    </w:p>
    <w:p>
      <w:pPr>
        <w:pStyle w:val="Subsection"/>
        <w:rPr>
          <w:snapToGrid w:val="0"/>
          <w:spacing w:val="-4"/>
        </w:rPr>
      </w:pPr>
      <w:r>
        <w:rPr>
          <w:snapToGrid w:val="0"/>
          <w:spacing w:val="-4"/>
        </w:rPr>
        <w:tab/>
      </w:r>
      <w:r>
        <w:rPr>
          <w:snapToGrid w:val="0"/>
          <w:spacing w:val="-4"/>
        </w:rPr>
        <w:tab/>
        <w:t>The driver or person in charge of a vehicle must obey any reasonable direction given to him or her by an authorised officer in relation to the parking or movement of the vehicle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55 amended in Gazette 3 Dec 2010 p. 6052</w:t>
      </w:r>
      <w:r>
        <w:noBreakHyphen/>
        <w:t>3; 19 Sep 2014 p. 3336.]</w:t>
      </w:r>
    </w:p>
    <w:p>
      <w:pPr>
        <w:pStyle w:val="Heading5"/>
        <w:spacing w:before="180"/>
        <w:rPr>
          <w:snapToGrid w:val="0"/>
        </w:rPr>
      </w:pPr>
      <w:bookmarkStart w:id="161" w:name="_Toc462045350"/>
      <w:r>
        <w:rPr>
          <w:rStyle w:val="CharSectno"/>
        </w:rPr>
        <w:t>56</w:t>
      </w:r>
      <w:r>
        <w:rPr>
          <w:snapToGrid w:val="0"/>
        </w:rPr>
        <w:t>.</w:t>
      </w:r>
      <w:r>
        <w:rPr>
          <w:snapToGrid w:val="0"/>
        </w:rPr>
        <w:tab/>
        <w:t>Signs to be obeyed</w:t>
      </w:r>
      <w:bookmarkEnd w:id="161"/>
    </w:p>
    <w:p>
      <w:pPr>
        <w:pStyle w:val="Subsection"/>
        <w:rPr>
          <w:snapToGrid w:val="0"/>
        </w:rPr>
      </w:pPr>
      <w:r>
        <w:rPr>
          <w:snapToGrid w:val="0"/>
        </w:rPr>
        <w:tab/>
        <w:t>(1)</w:t>
      </w:r>
      <w:r>
        <w:rPr>
          <w:snapToGrid w:val="0"/>
        </w:rPr>
        <w:tab/>
        <w:t>A person must not park or stand a vehicle on CALM land contrary to any direction on a sign.</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sign may direct that an area of CALM land is set aside — </w:t>
      </w:r>
    </w:p>
    <w:p>
      <w:pPr>
        <w:pStyle w:val="Indenta"/>
        <w:rPr>
          <w:snapToGrid w:val="0"/>
        </w:rPr>
      </w:pPr>
      <w:r>
        <w:rPr>
          <w:snapToGrid w:val="0"/>
        </w:rPr>
        <w:tab/>
        <w:t>(a)</w:t>
      </w:r>
      <w:r>
        <w:rPr>
          <w:snapToGrid w:val="0"/>
        </w:rPr>
        <w:tab/>
        <w:t>for the parking of a specified vehicle or specified class of vehicles;</w:t>
      </w:r>
    </w:p>
    <w:p>
      <w:pPr>
        <w:pStyle w:val="Indenta"/>
        <w:rPr>
          <w:snapToGrid w:val="0"/>
        </w:rPr>
      </w:pPr>
      <w:r>
        <w:rPr>
          <w:snapToGrid w:val="0"/>
        </w:rPr>
        <w:tab/>
        <w:t>(b)</w:t>
      </w:r>
      <w:r>
        <w:rPr>
          <w:snapToGrid w:val="0"/>
        </w:rPr>
        <w:tab/>
        <w:t>for the parking of a vehicle of a specified person or specified class of persons;</w:t>
      </w:r>
    </w:p>
    <w:p>
      <w:pPr>
        <w:pStyle w:val="Indenta"/>
        <w:rPr>
          <w:snapToGrid w:val="0"/>
        </w:rPr>
      </w:pPr>
      <w:r>
        <w:rPr>
          <w:snapToGrid w:val="0"/>
        </w:rPr>
        <w:tab/>
        <w:t>(c)</w:t>
      </w:r>
      <w:r>
        <w:rPr>
          <w:snapToGrid w:val="0"/>
        </w:rPr>
        <w:tab/>
        <w:t>for the parking of vehicles for a specified maximum period of time;</w:t>
      </w:r>
    </w:p>
    <w:p>
      <w:pPr>
        <w:pStyle w:val="Indenta"/>
        <w:rPr>
          <w:snapToGrid w:val="0"/>
        </w:rPr>
      </w:pPr>
      <w:r>
        <w:rPr>
          <w:snapToGrid w:val="0"/>
        </w:rPr>
        <w:tab/>
        <w:t>(d)</w:t>
      </w:r>
      <w:r>
        <w:rPr>
          <w:snapToGrid w:val="0"/>
        </w:rPr>
        <w:tab/>
        <w:t>for the parking of vehicles only within specified parking bays;</w:t>
      </w:r>
    </w:p>
    <w:p>
      <w:pPr>
        <w:pStyle w:val="Indenta"/>
        <w:rPr>
          <w:snapToGrid w:val="0"/>
        </w:rPr>
      </w:pPr>
      <w:r>
        <w:rPr>
          <w:snapToGrid w:val="0"/>
        </w:rPr>
        <w:tab/>
        <w:t>(e)</w:t>
      </w:r>
      <w:r>
        <w:rPr>
          <w:snapToGrid w:val="0"/>
        </w:rPr>
        <w:tab/>
        <w:t>as a “no standing” or “no parking” area.</w:t>
      </w:r>
    </w:p>
    <w:p>
      <w:pPr>
        <w:pStyle w:val="Subsection"/>
        <w:spacing w:before="120"/>
        <w:rPr>
          <w:snapToGrid w:val="0"/>
        </w:rPr>
      </w:pPr>
      <w:r>
        <w:rPr>
          <w:snapToGrid w:val="0"/>
        </w:rPr>
        <w:tab/>
        <w:t>(3)</w:t>
      </w:r>
      <w:r>
        <w:rPr>
          <w:snapToGrid w:val="0"/>
        </w:rPr>
        <w:tab/>
        <w:t>A sign may direct that an area of CALM land may be used for parking subject to the payment of a specified charge.</w:t>
      </w:r>
    </w:p>
    <w:p>
      <w:pPr>
        <w:pStyle w:val="Subsection"/>
        <w:keepNext/>
        <w:keepLines/>
        <w:spacing w:before="120"/>
        <w:rPr>
          <w:snapToGrid w:val="0"/>
        </w:rPr>
      </w:pPr>
      <w:r>
        <w:rPr>
          <w:snapToGrid w:val="0"/>
        </w:rPr>
        <w:tab/>
        <w:t>(4)</w:t>
      </w:r>
      <w:r>
        <w:rPr>
          <w:snapToGrid w:val="0"/>
        </w:rPr>
        <w:tab/>
        <w:t>A person must not park a vehicle in an area that is subject to subregulation (3) at any time when the charge applies unless — </w:t>
      </w:r>
    </w:p>
    <w:p>
      <w:pPr>
        <w:pStyle w:val="Indenta"/>
        <w:rPr>
          <w:snapToGrid w:val="0"/>
        </w:rPr>
      </w:pPr>
      <w:r>
        <w:rPr>
          <w:snapToGrid w:val="0"/>
        </w:rPr>
        <w:tab/>
        <w:t>(a)</w:t>
      </w:r>
      <w:r>
        <w:rPr>
          <w:snapToGrid w:val="0"/>
        </w:rPr>
        <w:tab/>
        <w:t>the specified charge has been paid into a ticket vending machine; and</w:t>
      </w:r>
    </w:p>
    <w:p>
      <w:pPr>
        <w:pStyle w:val="Indenta"/>
        <w:rPr>
          <w:snapToGrid w:val="0"/>
        </w:rPr>
      </w:pPr>
      <w:r>
        <w:rPr>
          <w:snapToGrid w:val="0"/>
        </w:rPr>
        <w:tab/>
        <w:t>(b)</w:t>
      </w:r>
      <w:r>
        <w:rPr>
          <w:snapToGrid w:val="0"/>
        </w:rPr>
        <w:tab/>
        <w:t>there is displayed in the vehicle at that time a parking ticket issued from a ticket vending machine that shows — </w:t>
      </w:r>
    </w:p>
    <w:p>
      <w:pPr>
        <w:pStyle w:val="Indenti"/>
        <w:rPr>
          <w:snapToGrid w:val="0"/>
        </w:rPr>
      </w:pPr>
      <w:r>
        <w:rPr>
          <w:snapToGrid w:val="0"/>
        </w:rPr>
        <w:tab/>
        <w:t>(i)</w:t>
      </w:r>
      <w:r>
        <w:rPr>
          <w:snapToGrid w:val="0"/>
        </w:rPr>
        <w:tab/>
        <w:t>the amount paid; and</w:t>
      </w:r>
    </w:p>
    <w:p>
      <w:pPr>
        <w:pStyle w:val="Indenti"/>
        <w:rPr>
          <w:snapToGrid w:val="0"/>
        </w:rPr>
      </w:pPr>
      <w:r>
        <w:rPr>
          <w:snapToGrid w:val="0"/>
        </w:rPr>
        <w:tab/>
        <w:t>(ii)</w:t>
      </w:r>
      <w:r>
        <w:rPr>
          <w:snapToGrid w:val="0"/>
        </w:rPr>
        <w:tab/>
        <w:t>the date; and</w:t>
      </w:r>
    </w:p>
    <w:p>
      <w:pPr>
        <w:pStyle w:val="Indenti"/>
        <w:rPr>
          <w:snapToGrid w:val="0"/>
        </w:rPr>
      </w:pPr>
      <w:r>
        <w:rPr>
          <w:snapToGrid w:val="0"/>
        </w:rPr>
        <w:tab/>
        <w:t>(iii)</w:t>
      </w:r>
      <w:r>
        <w:rPr>
          <w:snapToGrid w:val="0"/>
        </w:rPr>
        <w:tab/>
        <w:t>an expiry time for permitted parking that is after that time;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parking ticket issued from the ticket vending machine is displayed in the vehicle in such a manner that an authorised officer is able to read it from outside the vehicle.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 xml:space="preserve">The charge specified for the purposes of subregulation (3) is not to exceed — </w:t>
      </w:r>
    </w:p>
    <w:p>
      <w:pPr>
        <w:pStyle w:val="Indenta"/>
      </w:pPr>
      <w:r>
        <w:tab/>
        <w:t>(a)</w:t>
      </w:r>
      <w:r>
        <w:tab/>
        <w:t>$1.80 for every hour or part of an hour; and</w:t>
      </w:r>
    </w:p>
    <w:p>
      <w:pPr>
        <w:pStyle w:val="Indenta"/>
      </w:pPr>
      <w:r>
        <w:tab/>
        <w:t>(b)</w:t>
      </w:r>
      <w:r>
        <w:tab/>
        <w:t>$13.00 for any day or part of a day.</w:t>
      </w:r>
    </w:p>
    <w:p>
      <w:pPr>
        <w:pStyle w:val="Subsection"/>
        <w:rPr>
          <w:snapToGrid w:val="0"/>
        </w:rPr>
      </w:pPr>
      <w:r>
        <w:rPr>
          <w:snapToGrid w:val="0"/>
        </w:rPr>
        <w:tab/>
        <w:t>(6)</w:t>
      </w:r>
      <w:r>
        <w:rPr>
          <w:snapToGrid w:val="0"/>
        </w:rPr>
        <w:tab/>
        <w:t>In this regulation — </w:t>
      </w:r>
    </w:p>
    <w:p>
      <w:pPr>
        <w:pStyle w:val="Defstart"/>
      </w:pPr>
      <w:r>
        <w:tab/>
      </w:r>
      <w:r>
        <w:rPr>
          <w:rStyle w:val="CharDefText"/>
        </w:rPr>
        <w:t>specified</w:t>
      </w:r>
      <w:r>
        <w:rPr>
          <w:b/>
        </w:rPr>
        <w:t xml:space="preserve"> </w:t>
      </w:r>
      <w:r>
        <w:t xml:space="preserve">means specified by a sign; </w:t>
      </w:r>
    </w:p>
    <w:p>
      <w:pPr>
        <w:pStyle w:val="Defstart"/>
      </w:pPr>
      <w:r>
        <w:tab/>
      </w:r>
      <w:r>
        <w:rPr>
          <w:rStyle w:val="CharDefText"/>
        </w:rPr>
        <w:t>ticket vending machine</w:t>
      </w:r>
      <w:r>
        <w:rPr>
          <w:b/>
        </w:rPr>
        <w:t xml:space="preserve"> </w:t>
      </w:r>
      <w:r>
        <w:t>means a machine situated on CALM land which, following the insertion of a coin or coins, issues a parking ticket.</w:t>
      </w:r>
    </w:p>
    <w:p>
      <w:pPr>
        <w:pStyle w:val="Footnotesection"/>
        <w:spacing w:before="80"/>
        <w:ind w:left="890" w:hanging="890"/>
      </w:pPr>
      <w:r>
        <w:tab/>
        <w:t>[Regulation 56 amended in Gazette 29 Sep 2006 p. 4315; 3 Dec 2010 p. 6048 and 6052</w:t>
      </w:r>
      <w:r>
        <w:noBreakHyphen/>
        <w:t>3; 27 Sep 2013 p. 4525; 14 Jul 2015 p. 2787.]</w:t>
      </w:r>
    </w:p>
    <w:p>
      <w:pPr>
        <w:pStyle w:val="Heading5"/>
        <w:spacing w:before="180"/>
        <w:rPr>
          <w:snapToGrid w:val="0"/>
        </w:rPr>
      </w:pPr>
      <w:bookmarkStart w:id="162" w:name="_Toc462045351"/>
      <w:r>
        <w:rPr>
          <w:rStyle w:val="CharSectno"/>
        </w:rPr>
        <w:t>57</w:t>
      </w:r>
      <w:r>
        <w:rPr>
          <w:snapToGrid w:val="0"/>
        </w:rPr>
        <w:t>.</w:t>
      </w:r>
      <w:r>
        <w:rPr>
          <w:snapToGrid w:val="0"/>
        </w:rPr>
        <w:tab/>
        <w:t>Obstructing other vehicles etc.</w:t>
      </w:r>
      <w:bookmarkEnd w:id="162"/>
      <w:r>
        <w:rPr>
          <w:snapToGrid w:val="0"/>
        </w:rPr>
        <w:t xml:space="preserve"> </w:t>
      </w:r>
    </w:p>
    <w:p>
      <w:pPr>
        <w:pStyle w:val="Subsection"/>
        <w:spacing w:before="120"/>
        <w:rPr>
          <w:snapToGrid w:val="0"/>
        </w:rPr>
      </w:pPr>
      <w:r>
        <w:rPr>
          <w:snapToGrid w:val="0"/>
        </w:rPr>
        <w:tab/>
      </w:r>
      <w:r>
        <w:rPr>
          <w:snapToGrid w:val="0"/>
        </w:rPr>
        <w:tab/>
        <w:t>A person must not park or stand a vehicle on CALM land in such a manner as to obstruct — </w:t>
      </w:r>
    </w:p>
    <w:p>
      <w:pPr>
        <w:pStyle w:val="Indenta"/>
        <w:rPr>
          <w:snapToGrid w:val="0"/>
        </w:rPr>
      </w:pPr>
      <w:r>
        <w:rPr>
          <w:snapToGrid w:val="0"/>
        </w:rPr>
        <w:tab/>
        <w:t>(a)</w:t>
      </w:r>
      <w:r>
        <w:rPr>
          <w:snapToGrid w:val="0"/>
        </w:rPr>
        <w:tab/>
        <w:t>any other vehicle on the land; or</w:t>
      </w:r>
    </w:p>
    <w:p>
      <w:pPr>
        <w:pStyle w:val="Indenta"/>
        <w:rPr>
          <w:snapToGrid w:val="0"/>
        </w:rPr>
      </w:pPr>
      <w:r>
        <w:rPr>
          <w:snapToGrid w:val="0"/>
        </w:rPr>
        <w:tab/>
        <w:t>(b)</w:t>
      </w:r>
      <w:r>
        <w:rPr>
          <w:snapToGrid w:val="0"/>
        </w:rPr>
        <w:tab/>
        <w:t>a footpath; or</w:t>
      </w:r>
    </w:p>
    <w:p>
      <w:pPr>
        <w:pStyle w:val="Indenta"/>
        <w:rPr>
          <w:snapToGrid w:val="0"/>
        </w:rPr>
      </w:pPr>
      <w:r>
        <w:rPr>
          <w:snapToGrid w:val="0"/>
        </w:rPr>
        <w:tab/>
        <w:t>(c)</w:t>
      </w:r>
      <w:r>
        <w:rPr>
          <w:snapToGrid w:val="0"/>
        </w:rPr>
        <w:tab/>
        <w:t>access to a ticket vending machine within the meaning of regulation 56(6); or</w:t>
      </w:r>
    </w:p>
    <w:p>
      <w:pPr>
        <w:pStyle w:val="Indenta"/>
        <w:rPr>
          <w:snapToGrid w:val="0"/>
        </w:rPr>
      </w:pPr>
      <w:r>
        <w:rPr>
          <w:snapToGrid w:val="0"/>
        </w:rPr>
        <w:tab/>
        <w:t>(d)</w:t>
      </w:r>
      <w:r>
        <w:rPr>
          <w:snapToGrid w:val="0"/>
        </w:rPr>
        <w:tab/>
        <w:t>access to a facility on the land.</w:t>
      </w:r>
    </w:p>
    <w:p>
      <w:pPr>
        <w:pStyle w:val="Penstart"/>
        <w:rPr>
          <w:snapToGrid w:val="0"/>
        </w:rPr>
      </w:pPr>
      <w:r>
        <w:rPr>
          <w:snapToGrid w:val="0"/>
        </w:rPr>
        <w:tab/>
        <w:t xml:space="preserve">Penalty: </w:t>
      </w:r>
      <w:r>
        <w:t>a fine of</w:t>
      </w:r>
      <w:r>
        <w:rPr>
          <w:snapToGrid w:val="0"/>
        </w:rPr>
        <w:t xml:space="preserve"> $500.</w:t>
      </w:r>
    </w:p>
    <w:p>
      <w:pPr>
        <w:pStyle w:val="Footnotesection"/>
        <w:spacing w:before="80"/>
        <w:ind w:left="890" w:hanging="890"/>
      </w:pPr>
      <w:r>
        <w:tab/>
        <w:t>[Regulation 57 amended in Gazette 3 Dec 2010 p. 6052</w:t>
      </w:r>
      <w:r>
        <w:noBreakHyphen/>
        <w:t>3.]</w:t>
      </w:r>
    </w:p>
    <w:p>
      <w:pPr>
        <w:pStyle w:val="Heading3"/>
      </w:pPr>
      <w:bookmarkStart w:id="163" w:name="_Toc436903731"/>
      <w:bookmarkStart w:id="164" w:name="_Toc436905673"/>
      <w:bookmarkStart w:id="165" w:name="_Toc436905894"/>
      <w:bookmarkStart w:id="166" w:name="_Toc437515647"/>
      <w:bookmarkStart w:id="167" w:name="_Toc447533247"/>
      <w:bookmarkStart w:id="168" w:name="_Toc456878155"/>
      <w:bookmarkStart w:id="169" w:name="_Toc456951672"/>
      <w:bookmarkStart w:id="170" w:name="_Toc458590256"/>
      <w:bookmarkStart w:id="171" w:name="_Toc458590478"/>
      <w:bookmarkStart w:id="172" w:name="_Toc458590699"/>
      <w:bookmarkStart w:id="173" w:name="_Toc462045352"/>
      <w:r>
        <w:rPr>
          <w:rStyle w:val="CharDivNo"/>
        </w:rPr>
        <w:t>Division 3</w:t>
      </w:r>
      <w:r>
        <w:rPr>
          <w:snapToGrid w:val="0"/>
        </w:rPr>
        <w:t xml:space="preserve"> — </w:t>
      </w:r>
      <w:r>
        <w:rPr>
          <w:rStyle w:val="CharDivText"/>
        </w:rPr>
        <w:t>Vessels</w:t>
      </w:r>
      <w:bookmarkEnd w:id="163"/>
      <w:bookmarkEnd w:id="164"/>
      <w:bookmarkEnd w:id="165"/>
      <w:bookmarkEnd w:id="166"/>
      <w:bookmarkEnd w:id="167"/>
      <w:bookmarkEnd w:id="168"/>
      <w:bookmarkEnd w:id="169"/>
      <w:bookmarkEnd w:id="170"/>
      <w:bookmarkEnd w:id="171"/>
      <w:bookmarkEnd w:id="172"/>
      <w:bookmarkEnd w:id="173"/>
    </w:p>
    <w:p>
      <w:pPr>
        <w:pStyle w:val="Heading5"/>
        <w:rPr>
          <w:snapToGrid w:val="0"/>
        </w:rPr>
      </w:pPr>
      <w:bookmarkStart w:id="174" w:name="_Toc462045353"/>
      <w:r>
        <w:rPr>
          <w:rStyle w:val="CharSectno"/>
        </w:rPr>
        <w:t>58</w:t>
      </w:r>
      <w:r>
        <w:rPr>
          <w:snapToGrid w:val="0"/>
        </w:rPr>
        <w:t>.</w:t>
      </w:r>
      <w:r>
        <w:rPr>
          <w:snapToGrid w:val="0"/>
        </w:rPr>
        <w:tab/>
        <w:t>Races</w:t>
      </w:r>
      <w:bookmarkEnd w:id="174"/>
      <w:r>
        <w:rPr>
          <w:snapToGrid w:val="0"/>
        </w:rPr>
        <w:t xml:space="preserve"> </w:t>
      </w:r>
    </w:p>
    <w:p>
      <w:pPr>
        <w:pStyle w:val="Subsection"/>
        <w:rPr>
          <w:snapToGrid w:val="0"/>
        </w:rPr>
      </w:pPr>
      <w:r>
        <w:rPr>
          <w:snapToGrid w:val="0"/>
        </w:rPr>
        <w:tab/>
      </w:r>
      <w:r>
        <w:rPr>
          <w:snapToGrid w:val="0"/>
        </w:rPr>
        <w:tab/>
        <w:t>A person must not, without lawful authority, organise, promote or conduct a race involving vessels on or through CALM land.</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[Regulation 58 amended in Gazette 3 Dec 2010 p. 6052</w:t>
      </w:r>
      <w:r>
        <w:noBreakHyphen/>
        <w:t>3.]</w:t>
      </w:r>
    </w:p>
    <w:p>
      <w:pPr>
        <w:pStyle w:val="Heading5"/>
        <w:rPr>
          <w:snapToGrid w:val="0"/>
        </w:rPr>
      </w:pPr>
      <w:bookmarkStart w:id="175" w:name="_Toc462045354"/>
      <w:r>
        <w:rPr>
          <w:rStyle w:val="CharSectno"/>
        </w:rPr>
        <w:t>59</w:t>
      </w:r>
      <w:r>
        <w:rPr>
          <w:snapToGrid w:val="0"/>
        </w:rPr>
        <w:t>.</w:t>
      </w:r>
      <w:r>
        <w:rPr>
          <w:snapToGrid w:val="0"/>
        </w:rPr>
        <w:tab/>
        <w:t>Moorings</w:t>
      </w:r>
      <w:bookmarkEnd w:id="175"/>
      <w:r>
        <w:rPr>
          <w:snapToGrid w:val="0"/>
        </w:rPr>
        <w:t xml:space="preserve"> </w:t>
      </w:r>
    </w:p>
    <w:p>
      <w:pPr>
        <w:pStyle w:val="Subsection"/>
      </w:pPr>
      <w:r>
        <w:tab/>
        <w:t>(1)</w:t>
      </w:r>
      <w:r>
        <w:tab/>
        <w:t xml:space="preserve">A person must not, without lawful authority — </w:t>
      </w:r>
    </w:p>
    <w:p>
      <w:pPr>
        <w:pStyle w:val="Indenta"/>
      </w:pPr>
      <w:r>
        <w:tab/>
        <w:t>(a)</w:t>
      </w:r>
      <w:r>
        <w:tab/>
        <w:t>install a mooring on CALM land; or</w:t>
      </w:r>
    </w:p>
    <w:p>
      <w:pPr>
        <w:pStyle w:val="Indenta"/>
      </w:pPr>
      <w:r>
        <w:tab/>
        <w:t>(b)</w:t>
      </w:r>
      <w:r>
        <w:tab/>
        <w:t>allow a mooring which the person owns or apparently controls to remain on CALM land.</w:t>
      </w:r>
    </w:p>
    <w:p>
      <w:pPr>
        <w:pStyle w:val="Penstart"/>
      </w:pPr>
      <w:r>
        <w:tab/>
        <w:t>Penalty: a fine of $2 000.</w:t>
      </w:r>
    </w:p>
    <w:p>
      <w:pPr>
        <w:pStyle w:val="Subsection"/>
      </w:pPr>
      <w:r>
        <w:tab/>
        <w:t>(2)</w:t>
      </w:r>
      <w:r>
        <w:tab/>
        <w:t>A person must not secure a vessel, or allow it to remain secured, to a mooring that is on CALM land without lawful authority.</w:t>
      </w:r>
    </w:p>
    <w:p>
      <w:pPr>
        <w:pStyle w:val="Penstart"/>
      </w:pPr>
      <w:r>
        <w:tab/>
        <w:t>Penalty: a fine of $1 000.</w:t>
      </w:r>
    </w:p>
    <w:p>
      <w:pPr>
        <w:pStyle w:val="Subsection"/>
      </w:pPr>
      <w:r>
        <w:rPr>
          <w:snapToGrid w:val="0"/>
        </w:rPr>
        <w:tab/>
        <w:t>(3A)</w:t>
      </w:r>
      <w:r>
        <w:rPr>
          <w:snapToGrid w:val="0"/>
        </w:rPr>
        <w:tab/>
        <w:t>A person must not, without lawful authority, allow a moored vessel to be on CALM land.</w:t>
      </w:r>
    </w:p>
    <w:p>
      <w:pPr>
        <w:pStyle w:val="Penstart"/>
      </w:pPr>
      <w:r>
        <w:tab/>
        <w:t>Penalty: a fine of $1 000.</w:t>
      </w:r>
    </w:p>
    <w:p>
      <w:pPr>
        <w:pStyle w:val="Subsection"/>
        <w:rPr>
          <w:snapToGrid w:val="0"/>
        </w:rPr>
      </w:pPr>
      <w:r>
        <w:rPr>
          <w:snapToGrid w:val="0"/>
        </w:rPr>
        <w:tab/>
        <w:t>(3)</w:t>
      </w:r>
      <w:r>
        <w:rPr>
          <w:snapToGrid w:val="0"/>
        </w:rPr>
        <w:tab/>
        <w:t>A person must not secure a vessel, or allow it to remain secured, to — </w:t>
      </w:r>
    </w:p>
    <w:p>
      <w:pPr>
        <w:pStyle w:val="Indenta"/>
      </w:pPr>
      <w:r>
        <w:rPr>
          <w:snapToGrid w:val="0"/>
        </w:rPr>
        <w:tab/>
        <w:t>(a)</w:t>
      </w:r>
      <w:r>
        <w:rPr>
          <w:snapToGrid w:val="0"/>
        </w:rPr>
        <w:tab/>
      </w:r>
      <w:r>
        <w:t>a mooring on CALM land, without lawful authority; or</w:t>
      </w:r>
    </w:p>
    <w:p>
      <w:pPr>
        <w:pStyle w:val="Indenta"/>
        <w:rPr>
          <w:snapToGrid w:val="0"/>
        </w:rPr>
      </w:pPr>
      <w:r>
        <w:rPr>
          <w:snapToGrid w:val="0"/>
        </w:rPr>
        <w:tab/>
        <w:t>(b)</w:t>
      </w:r>
      <w:r>
        <w:rPr>
          <w:snapToGrid w:val="0"/>
        </w:rPr>
        <w:tab/>
        <w:t>a mooring on CALM land to which a vessel is already secured; or</w:t>
      </w:r>
    </w:p>
    <w:p>
      <w:pPr>
        <w:pStyle w:val="Indenta"/>
        <w:rPr>
          <w:snapToGrid w:val="0"/>
        </w:rPr>
      </w:pPr>
      <w:r>
        <w:rPr>
          <w:snapToGrid w:val="0"/>
        </w:rPr>
        <w:tab/>
        <w:t>(c)</w:t>
      </w:r>
      <w:r>
        <w:rPr>
          <w:snapToGrid w:val="0"/>
        </w:rPr>
        <w:tab/>
        <w:t>a vessel that is secured to a mooring on CALM 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Subregulation (3) does not apply so as to prohibit a tender being attached to a vessel.</w:t>
      </w:r>
    </w:p>
    <w:p>
      <w:pPr>
        <w:pStyle w:val="Subsection"/>
        <w:rPr>
          <w:snapToGrid w:val="0"/>
        </w:rPr>
      </w:pPr>
      <w:r>
        <w:rPr>
          <w:snapToGrid w:val="0"/>
        </w:rPr>
        <w:tab/>
        <w:t>(5)</w:t>
      </w:r>
      <w:r>
        <w:rPr>
          <w:snapToGrid w:val="0"/>
        </w:rPr>
        <w:tab/>
        <w:t>For the purposes of this regulation, a person who is on a vessel that is secured to a mooring</w:t>
      </w:r>
      <w:r>
        <w:rPr>
          <w:spacing w:val="-6"/>
          <w:kern w:val="24"/>
        </w:rPr>
        <w:t>, or secured to a vessel that is secured to a mooring,</w:t>
      </w:r>
      <w:r>
        <w:t xml:space="preserve"> </w:t>
      </w:r>
      <w:r>
        <w:rPr>
          <w:snapToGrid w:val="0"/>
        </w:rPr>
        <w:t>is taken to allow it to remain secured to that mooring</w:t>
      </w:r>
      <w:r>
        <w:t xml:space="preserve"> or that vessel</w:t>
      </w:r>
      <w:r>
        <w:rPr>
          <w:snapToGrid w:val="0"/>
        </w:rPr>
        <w:t>.</w:t>
      </w:r>
    </w:p>
    <w:p>
      <w:pPr>
        <w:pStyle w:val="Footnotesection"/>
      </w:pPr>
      <w:r>
        <w:tab/>
        <w:t>[Regulation 59 amended in Gazette 29 Sep 2006 p. 4315; 3 Dec 2010 p. 6052</w:t>
      </w:r>
      <w:r>
        <w:noBreakHyphen/>
        <w:t>3; 24 Mar 2015 p. 1034</w:t>
      </w:r>
      <w:r>
        <w:noBreakHyphen/>
        <w:t>5.]</w:t>
      </w:r>
    </w:p>
    <w:p>
      <w:pPr>
        <w:pStyle w:val="Heading5"/>
      </w:pPr>
      <w:bookmarkStart w:id="176" w:name="_Toc462045355"/>
      <w:r>
        <w:rPr>
          <w:rStyle w:val="CharSectno"/>
        </w:rPr>
        <w:t>60AA</w:t>
      </w:r>
      <w:r>
        <w:t>.</w:t>
      </w:r>
      <w:r>
        <w:tab/>
        <w:t>Notice of moorings suspected of not being lawfully authorised</w:t>
      </w:r>
      <w:bookmarkEnd w:id="176"/>
    </w:p>
    <w:p>
      <w:pPr>
        <w:pStyle w:val="Subsection"/>
      </w:pPr>
      <w:r>
        <w:tab/>
        <w:t>(1)</w:t>
      </w:r>
      <w:r>
        <w:tab/>
        <w:t>If the CEO is of the opinion that a mooring is on CALM land without lawful authority the CEO may give notice in writing to the person who owns or apparently controls the mooring.</w:t>
      </w:r>
    </w:p>
    <w:p>
      <w:pPr>
        <w:pStyle w:val="Subsection"/>
      </w:pPr>
      <w:r>
        <w:tab/>
        <w:t>(2)</w:t>
      </w:r>
      <w:r>
        <w:tab/>
        <w:t xml:space="preserve">The notice must specify a reasonable time within which the person must — </w:t>
      </w:r>
    </w:p>
    <w:p>
      <w:pPr>
        <w:pStyle w:val="Indenta"/>
      </w:pPr>
      <w:r>
        <w:tab/>
        <w:t>(a)</w:t>
      </w:r>
      <w:r>
        <w:tab/>
        <w:t>provide evidence to the CEO that the mooring is authorised to be on CALM land; or</w:t>
      </w:r>
    </w:p>
    <w:p>
      <w:pPr>
        <w:pStyle w:val="Indenta"/>
      </w:pPr>
      <w:r>
        <w:tab/>
        <w:t>(b)</w:t>
      </w:r>
      <w:r>
        <w:tab/>
        <w:t>apply to the CEO for a licence or other authorisation for the mooring to be on CALM land; or</w:t>
      </w:r>
    </w:p>
    <w:p>
      <w:pPr>
        <w:pStyle w:val="Indenta"/>
      </w:pPr>
      <w:r>
        <w:tab/>
        <w:t>(c)</w:t>
      </w:r>
      <w:r>
        <w:tab/>
        <w:t>remove the mooring.</w:t>
      </w:r>
    </w:p>
    <w:p>
      <w:pPr>
        <w:pStyle w:val="Subsection"/>
      </w:pPr>
      <w:r>
        <w:tab/>
        <w:t>(3)</w:t>
      </w:r>
      <w:r>
        <w:tab/>
        <w:t xml:space="preserve">Proceedings for an offence under subregulation 59(1)(b) must not be commenced against a person unless the CEO has given the person a notice under subregulation (1) and either — </w:t>
      </w:r>
    </w:p>
    <w:p>
      <w:pPr>
        <w:pStyle w:val="Indenta"/>
      </w:pPr>
      <w:r>
        <w:tab/>
        <w:t>(a)</w:t>
      </w:r>
      <w:r>
        <w:tab/>
        <w:t>the person has failed to comply with the notice; or</w:t>
      </w:r>
    </w:p>
    <w:p>
      <w:pPr>
        <w:pStyle w:val="Indenta"/>
      </w:pPr>
      <w:r>
        <w:tab/>
        <w:t>(b)</w:t>
      </w:r>
      <w:r>
        <w:tab/>
        <w:t>the person has applied for a licence or other authorisation before the end of the period specified in the notice and the application has been refused.</w:t>
      </w:r>
    </w:p>
    <w:p>
      <w:pPr>
        <w:pStyle w:val="Footnotesection"/>
      </w:pPr>
      <w:r>
        <w:tab/>
        <w:t>[Regulation 60AA inserted in Gazette 4 Dec 2015 p. 4841-2.]</w:t>
      </w:r>
    </w:p>
    <w:p>
      <w:pPr>
        <w:pStyle w:val="Heading5"/>
        <w:spacing w:before="180"/>
      </w:pPr>
      <w:bookmarkStart w:id="177" w:name="_Toc462045356"/>
      <w:r>
        <w:rPr>
          <w:rStyle w:val="CharSectno"/>
        </w:rPr>
        <w:t>60A</w:t>
      </w:r>
      <w:r>
        <w:t>.</w:t>
      </w:r>
      <w:r>
        <w:tab/>
        <w:t>Public moorings</w:t>
      </w:r>
      <w:bookmarkEnd w:id="177"/>
    </w:p>
    <w:p>
      <w:pPr>
        <w:pStyle w:val="Subsection"/>
      </w:pPr>
      <w:r>
        <w:tab/>
        <w:t>(1)</w:t>
      </w:r>
      <w:r>
        <w:tab/>
        <w:t xml:space="preserve">The CEO may designate a mooring as a public mooring by a sign attached to the mooring. </w:t>
      </w:r>
    </w:p>
    <w:p>
      <w:pPr>
        <w:pStyle w:val="Subsection"/>
      </w:pPr>
      <w:r>
        <w:tab/>
        <w:t>(2)</w:t>
      </w:r>
      <w:r>
        <w:tab/>
        <w:t>A mooring may be designated as a public mooring at all times or during a period or periods specified on the sign.</w:t>
      </w:r>
    </w:p>
    <w:p>
      <w:pPr>
        <w:pStyle w:val="Subsection"/>
      </w:pPr>
      <w:r>
        <w:tab/>
        <w:t>(3)</w:t>
      </w:r>
      <w:r>
        <w:tab/>
        <w:t xml:space="preserve">The sign that is attached to a public mooring must indicate — </w:t>
      </w:r>
    </w:p>
    <w:p>
      <w:pPr>
        <w:pStyle w:val="Indenta"/>
      </w:pPr>
      <w:r>
        <w:tab/>
        <w:t>(a)</w:t>
      </w:r>
      <w:r>
        <w:tab/>
        <w:t>the period or periods during which the mooring is a public mooring; and</w:t>
      </w:r>
    </w:p>
    <w:p>
      <w:pPr>
        <w:pStyle w:val="Indenta"/>
      </w:pPr>
      <w:r>
        <w:tab/>
        <w:t>(b)</w:t>
      </w:r>
      <w:r>
        <w:tab/>
        <w:t>the conditions, if any, that apply to the use of the mooring.</w:t>
      </w:r>
    </w:p>
    <w:p>
      <w:pPr>
        <w:pStyle w:val="Subsection"/>
      </w:pPr>
      <w:r>
        <w:tab/>
        <w:t>(4)</w:t>
      </w:r>
      <w:r>
        <w:tab/>
        <w:t>A person has lawful authority to secure a vessel, or allow it to remain secured, to a public mooring if the person complies with the conditions specified on a sign attached to the mooring.</w:t>
      </w:r>
    </w:p>
    <w:p>
      <w:pPr>
        <w:pStyle w:val="Penstart"/>
      </w:pPr>
      <w:r>
        <w:tab/>
        <w:t>Penalty: a fine of $2 000.</w:t>
      </w:r>
    </w:p>
    <w:p>
      <w:pPr>
        <w:pStyle w:val="Footnotesection"/>
      </w:pPr>
      <w:r>
        <w:tab/>
        <w:t>[Regulation 60A inserted in Gazette 24 Mar 2015 p. 1035.]</w:t>
      </w:r>
    </w:p>
    <w:p>
      <w:pPr>
        <w:pStyle w:val="Heading5"/>
      </w:pPr>
      <w:bookmarkStart w:id="178" w:name="_Toc462045357"/>
      <w:r>
        <w:rPr>
          <w:rStyle w:val="CharSectno"/>
        </w:rPr>
        <w:t>60B</w:t>
      </w:r>
      <w:r>
        <w:t>.</w:t>
      </w:r>
      <w:r>
        <w:tab/>
        <w:t>Temporary mooring areas</w:t>
      </w:r>
      <w:bookmarkEnd w:id="178"/>
    </w:p>
    <w:p>
      <w:pPr>
        <w:pStyle w:val="Subsection"/>
      </w:pPr>
      <w:r>
        <w:tab/>
      </w:r>
      <w:r>
        <w:tab/>
        <w:t>A person has lawful authority to moor a vessel in a temporary mooring area in accordance with conditions specified on signs erected in or in the vicinity of that area for the purposes of regulation 6(3) or signs designating the area as a temporary mooring area.</w:t>
      </w:r>
    </w:p>
    <w:p>
      <w:pPr>
        <w:pStyle w:val="Footnotesection"/>
      </w:pPr>
      <w:r>
        <w:tab/>
        <w:t>[Regulation 60B inserted in Gazette 24 Mar 2015 p. 1035.]</w:t>
      </w:r>
    </w:p>
    <w:p>
      <w:pPr>
        <w:pStyle w:val="Heading5"/>
      </w:pPr>
      <w:bookmarkStart w:id="179" w:name="_Toc462045358"/>
      <w:r>
        <w:rPr>
          <w:rStyle w:val="CharSectno"/>
        </w:rPr>
        <w:t>60</w:t>
      </w:r>
      <w:r>
        <w:rPr>
          <w:snapToGrid w:val="0"/>
        </w:rPr>
        <w:t>.</w:t>
      </w:r>
      <w:r>
        <w:rPr>
          <w:snapToGrid w:val="0"/>
        </w:rPr>
        <w:tab/>
        <w:t>Anchoring vessels</w:t>
      </w:r>
      <w:bookmarkEnd w:id="179"/>
    </w:p>
    <w:p>
      <w:pPr>
        <w:pStyle w:val="Subsection"/>
        <w:ind w:left="0" w:firstLine="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anchor a vessel in a restricted area if that activity is prohibited under regulation 5; or</w:t>
      </w:r>
    </w:p>
    <w:p>
      <w:pPr>
        <w:pStyle w:val="Indenta"/>
        <w:rPr>
          <w:snapToGrid w:val="0"/>
        </w:rPr>
      </w:pPr>
      <w:r>
        <w:rPr>
          <w:snapToGrid w:val="0"/>
        </w:rPr>
        <w:tab/>
        <w:t>(b)</w:t>
      </w:r>
      <w:r>
        <w:rPr>
          <w:snapToGrid w:val="0"/>
        </w:rPr>
        <w:tab/>
        <w:t>contravene a restriction on the anchoring of vessels in a restricted area imposed under regulation 5.</w:t>
      </w:r>
    </w:p>
    <w:p>
      <w:pPr>
        <w:pStyle w:val="Penstart"/>
        <w:rPr>
          <w:snapToGrid w:val="0"/>
        </w:rPr>
      </w:pPr>
      <w:r>
        <w:rPr>
          <w:snapToGrid w:val="0"/>
        </w:rPr>
        <w:tab/>
        <w:t xml:space="preserve">Penalty: </w:t>
      </w:r>
      <w:r>
        <w:t>a fine of</w:t>
      </w:r>
      <w:r>
        <w:rPr>
          <w:snapToGrid w:val="0"/>
        </w:rPr>
        <w:t xml:space="preserve"> $1 000.</w:t>
      </w:r>
    </w:p>
    <w:p>
      <w:pPr>
        <w:pStyle w:val="Subsection"/>
      </w:pPr>
      <w:r>
        <w:tab/>
        <w:t>(2A)</w:t>
      </w:r>
      <w:r>
        <w:tab/>
        <w:t>A person must not anchor a vessel, or allow a vessel to remain anchored, on CALM land if the vessel lies in a position where part of the vessel, or a tender attached to it, is closer than 50 metres to a mooring that is on CALM land.</w:t>
      </w:r>
    </w:p>
    <w:p>
      <w:pPr>
        <w:pStyle w:val="Penstart"/>
      </w:pPr>
      <w:r>
        <w:tab/>
        <w:t>Penalty: a fine of $1 000.</w:t>
      </w:r>
    </w:p>
    <w:p>
      <w:pPr>
        <w:pStyle w:val="Subsection"/>
        <w:rPr>
          <w:snapToGrid w:val="0"/>
        </w:rPr>
      </w:pPr>
      <w:r>
        <w:rPr>
          <w:snapToGrid w:val="0"/>
        </w:rPr>
        <w:tab/>
        <w:t>(2)</w:t>
      </w:r>
      <w:r>
        <w:rPr>
          <w:snapToGrid w:val="0"/>
        </w:rPr>
        <w:tab/>
      </w:r>
      <w:r>
        <w:t>Subregulations (1) and (2A) do</w:t>
      </w:r>
      <w:r>
        <w:rPr>
          <w:snapToGrid w:val="0"/>
        </w:rPr>
        <w:t xml:space="preserve"> not apply to a vessel that is required to anchor contrary to that subregulation to avoid or mitigate danger to human life or significant damage to property.</w:t>
      </w:r>
    </w:p>
    <w:p>
      <w:pPr>
        <w:pStyle w:val="Footnotesection"/>
      </w:pPr>
      <w:r>
        <w:tab/>
        <w:t>[Regulation 60 amended in Gazette 3 Dec 2010 p. 6052</w:t>
      </w:r>
      <w:r>
        <w:noBreakHyphen/>
        <w:t>3; 24 Mar 2015 p. 1035</w:t>
      </w:r>
      <w:r>
        <w:noBreakHyphen/>
        <w:t>6.]</w:t>
      </w:r>
    </w:p>
    <w:p>
      <w:pPr>
        <w:pStyle w:val="Heading5"/>
        <w:rPr>
          <w:snapToGrid w:val="0"/>
        </w:rPr>
      </w:pPr>
      <w:bookmarkStart w:id="180" w:name="_Toc462045359"/>
      <w:r>
        <w:rPr>
          <w:rStyle w:val="CharSectno"/>
        </w:rPr>
        <w:t>61</w:t>
      </w:r>
      <w:r>
        <w:rPr>
          <w:snapToGrid w:val="0"/>
        </w:rPr>
        <w:t>.</w:t>
      </w:r>
      <w:r>
        <w:rPr>
          <w:snapToGrid w:val="0"/>
        </w:rPr>
        <w:tab/>
        <w:t>Operation of certain vessel in restricted area</w:t>
      </w:r>
      <w:bookmarkEnd w:id="180"/>
    </w:p>
    <w:p>
      <w:pPr>
        <w:pStyle w:val="Subsection"/>
      </w:pPr>
      <w:r>
        <w:rPr>
          <w:snapToGrid w:val="0"/>
        </w:rPr>
        <w:tab/>
      </w:r>
      <w:r>
        <w:rPr>
          <w:snapToGrid w:val="0"/>
        </w:rPr>
        <w:tab/>
      </w:r>
      <w:r>
        <w:t xml:space="preserve">A person must not, without lawful authority, in a restricted area — </w:t>
      </w:r>
    </w:p>
    <w:p>
      <w:pPr>
        <w:pStyle w:val="Indenta"/>
      </w:pPr>
      <w:r>
        <w:tab/>
        <w:t>(a)</w:t>
      </w:r>
      <w:r>
        <w:tab/>
        <w:t>operate a vessel if the operation of a vessel of that kind is prohibited in that area under regulation 5; or</w:t>
      </w:r>
    </w:p>
    <w:p>
      <w:pPr>
        <w:pStyle w:val="Indenta"/>
      </w:pPr>
      <w:r>
        <w:tab/>
        <w:t>(b)</w:t>
      </w:r>
      <w:r>
        <w:tab/>
        <w:t>contravene a restriction imposed on the operation of a vessel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61 amended in Gazette 3 Dec 2010 p. 6052</w:t>
      </w:r>
      <w:r>
        <w:noBreakHyphen/>
        <w:t>3; 19 Sep 2014 p. 3336.]</w:t>
      </w:r>
    </w:p>
    <w:p>
      <w:pPr>
        <w:pStyle w:val="Heading5"/>
        <w:spacing w:before="180"/>
      </w:pPr>
      <w:bookmarkStart w:id="181" w:name="_Toc462045360"/>
      <w:r>
        <w:rPr>
          <w:rStyle w:val="CharSectno"/>
        </w:rPr>
        <w:t>61A</w:t>
      </w:r>
      <w:r>
        <w:t>.</w:t>
      </w:r>
      <w:r>
        <w:tab/>
        <w:t>Operation of vessels in nature reserves</w:t>
      </w:r>
      <w:bookmarkEnd w:id="181"/>
    </w:p>
    <w:p>
      <w:pPr>
        <w:pStyle w:val="Subsection"/>
      </w:pPr>
      <w:r>
        <w:tab/>
      </w:r>
      <w:r>
        <w:tab/>
        <w:t>A person must not, without lawful authority, operate a vessel in a nature reserve, except in a designated area of the reserve.</w:t>
      </w:r>
    </w:p>
    <w:p>
      <w:pPr>
        <w:pStyle w:val="Penstart"/>
      </w:pPr>
      <w:r>
        <w:tab/>
        <w:t>Penalty: a fine of $1 000.</w:t>
      </w:r>
    </w:p>
    <w:p>
      <w:pPr>
        <w:pStyle w:val="Footnotesection"/>
        <w:spacing w:before="100"/>
      </w:pPr>
      <w:r>
        <w:tab/>
        <w:t>[Regulation 61A inserted in Gazette 29 Sep 2006 p. 4315; amended in Gazette 3 Dec 2010 p. 6052</w:t>
      </w:r>
      <w:r>
        <w:noBreakHyphen/>
        <w:t>3.]</w:t>
      </w:r>
    </w:p>
    <w:p>
      <w:pPr>
        <w:pStyle w:val="Heading5"/>
        <w:spacing w:before="180"/>
      </w:pPr>
      <w:bookmarkStart w:id="182" w:name="_Toc462045361"/>
      <w:r>
        <w:rPr>
          <w:rStyle w:val="CharSectno"/>
        </w:rPr>
        <w:t>61B</w:t>
      </w:r>
      <w:r>
        <w:t>.</w:t>
      </w:r>
      <w:r>
        <w:tab/>
        <w:t>CEO may limit speed of vessels</w:t>
      </w:r>
      <w:bookmarkEnd w:id="182"/>
    </w:p>
    <w:p>
      <w:pPr>
        <w:pStyle w:val="Subsection"/>
      </w:pPr>
      <w:r>
        <w:tab/>
        <w:t>(1)</w:t>
      </w:r>
      <w:r>
        <w:tab/>
        <w:t xml:space="preserve">In this regulation — </w:t>
      </w:r>
    </w:p>
    <w:p>
      <w:pPr>
        <w:pStyle w:val="Defstart"/>
      </w:pPr>
      <w:r>
        <w:tab/>
      </w:r>
      <w:r>
        <w:rPr>
          <w:rStyle w:val="CharDefText"/>
        </w:rPr>
        <w:t>specified</w:t>
      </w:r>
      <w:r>
        <w:t xml:space="preserve"> means specified in a notice referred to in subregulation (2).</w:t>
      </w:r>
    </w:p>
    <w:p>
      <w:pPr>
        <w:pStyle w:val="Subsection"/>
      </w:pPr>
      <w:r>
        <w:tab/>
        <w:t>(2)</w:t>
      </w:r>
      <w:r>
        <w:tab/>
        <w:t xml:space="preserve">The CEO may, by notice published in the </w:t>
      </w:r>
      <w:r>
        <w:rPr>
          <w:i/>
          <w:iCs/>
        </w:rPr>
        <w:t>Gazette</w:t>
      </w:r>
      <w:r>
        <w:t>, limit the speed of any specified class or classes of vessel in any specified area of waters on CALM land.</w:t>
      </w:r>
    </w:p>
    <w:p>
      <w:pPr>
        <w:pStyle w:val="Subsection"/>
      </w:pPr>
      <w:r>
        <w:tab/>
        <w:t>(3)</w:t>
      </w:r>
      <w:r>
        <w:tab/>
        <w:t>The CEO is to ensure that signs are erected in, or in the vicinity of, each specified area indicating the speed limits that apply in the area and the class or classes of vessel to which the speed limits apply.</w:t>
      </w:r>
    </w:p>
    <w:p>
      <w:pPr>
        <w:pStyle w:val="Subsection"/>
      </w:pPr>
      <w:r>
        <w:tab/>
        <w:t>(4)</w:t>
      </w:r>
      <w:r>
        <w:tab/>
        <w:t>A person must not operate a vessel in a specified area at a speed exceeding the specified limit for a vessel of that class.</w:t>
      </w:r>
    </w:p>
    <w:p>
      <w:pPr>
        <w:pStyle w:val="Penstart"/>
      </w:pPr>
      <w:r>
        <w:tab/>
        <w:t>Penalty: a fine of $2 000.</w:t>
      </w:r>
    </w:p>
    <w:p>
      <w:pPr>
        <w:pStyle w:val="Footnotesection"/>
      </w:pPr>
      <w:r>
        <w:tab/>
        <w:t>[Regulation 61B inserted in Gazette 24 Mar 2015 p. 1036.]</w:t>
      </w:r>
    </w:p>
    <w:p>
      <w:pPr>
        <w:pStyle w:val="Heading5"/>
        <w:rPr>
          <w:snapToGrid w:val="0"/>
        </w:rPr>
      </w:pPr>
      <w:bookmarkStart w:id="183" w:name="_Toc462045362"/>
      <w:r>
        <w:rPr>
          <w:rStyle w:val="CharSectno"/>
        </w:rPr>
        <w:t>62</w:t>
      </w:r>
      <w:r>
        <w:rPr>
          <w:snapToGrid w:val="0"/>
        </w:rPr>
        <w:t>.</w:t>
      </w:r>
      <w:r>
        <w:rPr>
          <w:snapToGrid w:val="0"/>
        </w:rPr>
        <w:tab/>
        <w:t>Safe navigation of vessels</w:t>
      </w:r>
      <w:bookmarkEnd w:id="183"/>
      <w:r>
        <w:rPr>
          <w:snapToGrid w:val="0"/>
        </w:rPr>
        <w:t xml:space="preserve"> </w:t>
      </w:r>
    </w:p>
    <w:p>
      <w:pPr>
        <w:pStyle w:val="Subsection"/>
        <w:rPr>
          <w:snapToGrid w:val="0"/>
        </w:rPr>
      </w:pPr>
      <w:r>
        <w:rPr>
          <w:snapToGrid w:val="0"/>
        </w:rPr>
        <w:tab/>
        <w:t>(1)</w:t>
      </w:r>
      <w:r>
        <w:rPr>
          <w:snapToGrid w:val="0"/>
        </w:rPr>
        <w:tab/>
        <w:t>A person must not navigate a vessel on waters on CALM land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cause damage to any person or to any other vessel;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damage vegetation, coral, shoals, sandbanks, mudflats or the bed or banks of any body of water; or</w:t>
      </w:r>
    </w:p>
    <w:p>
      <w:pPr>
        <w:pStyle w:val="Indenta"/>
        <w:rPr>
          <w:snapToGrid w:val="0"/>
        </w:rPr>
      </w:pPr>
      <w:r>
        <w:rPr>
          <w:snapToGrid w:val="0"/>
        </w:rPr>
        <w:tab/>
        <w:t>(e)</w:t>
      </w:r>
      <w:r>
        <w:rPr>
          <w:snapToGrid w:val="0"/>
        </w:rPr>
        <w:tab/>
      </w:r>
      <w:r>
        <w:t>endanger or harm any fauna</w:t>
      </w:r>
      <w:r>
        <w:rPr>
          <w:snapToGrid w:val="0"/>
        </w:rPr>
        <w:t>.</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rPr>
          <w:snapToGrid w:val="0"/>
        </w:rPr>
      </w:pPr>
      <w:r>
        <w:tab/>
        <w:t>(2)</w:t>
      </w:r>
      <w:r>
        <w:tab/>
      </w:r>
      <w:r>
        <w:rPr>
          <w:snapToGrid w:val="0"/>
        </w:rPr>
        <w:t xml:space="preserve">A person must not navigate a vessel on waters on CALM land in such a manner as to — </w:t>
      </w:r>
    </w:p>
    <w:p>
      <w:pPr>
        <w:pStyle w:val="Indenta"/>
        <w:rPr>
          <w:snapToGrid w:val="0"/>
        </w:rPr>
      </w:pPr>
      <w:r>
        <w:tab/>
        <w:t>(a)</w:t>
      </w:r>
      <w:r>
        <w:tab/>
      </w:r>
      <w:r>
        <w:rPr>
          <w:snapToGrid w:val="0"/>
        </w:rPr>
        <w:t>cause nuisance to any person or to any other vessel; or</w:t>
      </w:r>
    </w:p>
    <w:p>
      <w:pPr>
        <w:pStyle w:val="Indenta"/>
        <w:rPr>
          <w:snapToGrid w:val="0"/>
        </w:rPr>
      </w:pPr>
      <w:r>
        <w:rPr>
          <w:snapToGrid w:val="0"/>
        </w:rPr>
        <w:tab/>
        <w:t>(b)</w:t>
      </w:r>
      <w:r>
        <w:rPr>
          <w:snapToGrid w:val="0"/>
        </w:rPr>
        <w:tab/>
        <w:t>obstruct, impede or otherwise interfere with any other vessel; or</w:t>
      </w:r>
    </w:p>
    <w:p>
      <w:pPr>
        <w:pStyle w:val="Indenta"/>
        <w:rPr>
          <w:snapToGrid w:val="0"/>
        </w:rPr>
      </w:pPr>
      <w:r>
        <w:rPr>
          <w:snapToGrid w:val="0"/>
        </w:rPr>
        <w:tab/>
        <w:t>(c)</w:t>
      </w:r>
      <w:r>
        <w:rPr>
          <w:snapToGrid w:val="0"/>
        </w:rPr>
        <w:tab/>
      </w:r>
      <w:r>
        <w:t>disturb any fauna</w:t>
      </w:r>
      <w:r>
        <w:rPr>
          <w:snapToGrid w:val="0"/>
        </w:rPr>
        <w:t>.</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62 amended in Gazette 29 Sep 2006 p. 4315</w:t>
      </w:r>
      <w:r>
        <w:noBreakHyphen/>
        <w:t>16; 3 Dec 2010 p. 6052</w:t>
      </w:r>
      <w:r>
        <w:noBreakHyphen/>
        <w:t>3; 19 Sep 2014 p. 3336.]</w:t>
      </w:r>
    </w:p>
    <w:p>
      <w:pPr>
        <w:pStyle w:val="Heading5"/>
        <w:rPr>
          <w:snapToGrid w:val="0"/>
        </w:rPr>
      </w:pPr>
      <w:bookmarkStart w:id="184" w:name="_Toc462045363"/>
      <w:r>
        <w:rPr>
          <w:rStyle w:val="CharSectno"/>
        </w:rPr>
        <w:t>63</w:t>
      </w:r>
      <w:r>
        <w:rPr>
          <w:snapToGrid w:val="0"/>
        </w:rPr>
        <w:t>.</w:t>
      </w:r>
      <w:r>
        <w:rPr>
          <w:snapToGrid w:val="0"/>
        </w:rPr>
        <w:tab/>
        <w:t>Owner to obey reasonable direction</w:t>
      </w:r>
      <w:bookmarkEnd w:id="184"/>
      <w:r>
        <w:rPr>
          <w:snapToGrid w:val="0"/>
        </w:rPr>
        <w:t xml:space="preserve"> </w:t>
      </w:r>
    </w:p>
    <w:p>
      <w:pPr>
        <w:pStyle w:val="Subsection"/>
        <w:rPr>
          <w:snapToGrid w:val="0"/>
        </w:rPr>
      </w:pPr>
      <w:r>
        <w:rPr>
          <w:snapToGrid w:val="0"/>
        </w:rPr>
        <w:tab/>
      </w:r>
      <w:r>
        <w:rPr>
          <w:snapToGrid w:val="0"/>
        </w:rPr>
        <w:tab/>
        <w:t>The owner or person in charge of a vessel must obey any reasonable direction given to him or her by an authorised officer in relation to the anchoring, mooring or movement of the vessel on CALM land.</w:t>
      </w:r>
    </w:p>
    <w:p>
      <w:pPr>
        <w:pStyle w:val="Penstart"/>
        <w:rPr>
          <w:snapToGrid w:val="0"/>
        </w:rPr>
      </w:pPr>
      <w:r>
        <w:rPr>
          <w:snapToGrid w:val="0"/>
        </w:rPr>
        <w:tab/>
        <w:t xml:space="preserve">Penalty: </w:t>
      </w:r>
      <w:r>
        <w:t>a fine of</w:t>
      </w:r>
      <w:r>
        <w:rPr>
          <w:snapToGrid w:val="0"/>
        </w:rPr>
        <w:t xml:space="preserve"> $1 000.</w:t>
      </w:r>
    </w:p>
    <w:p>
      <w:pPr>
        <w:pStyle w:val="Footnotesection"/>
        <w:spacing w:before="100"/>
      </w:pPr>
      <w:r>
        <w:tab/>
        <w:t>[Regulation 63 amended in Gazette 3 Dec 2010 p. 6052</w:t>
      </w:r>
      <w:r>
        <w:noBreakHyphen/>
        <w:t>3; 24 Mar 2015 p. 1036.]</w:t>
      </w:r>
    </w:p>
    <w:p>
      <w:pPr>
        <w:pStyle w:val="Heading5"/>
        <w:rPr>
          <w:snapToGrid w:val="0"/>
        </w:rPr>
      </w:pPr>
      <w:bookmarkStart w:id="185" w:name="_Toc462045364"/>
      <w:r>
        <w:rPr>
          <w:rStyle w:val="CharSectno"/>
        </w:rPr>
        <w:t>64</w:t>
      </w:r>
      <w:r>
        <w:rPr>
          <w:snapToGrid w:val="0"/>
        </w:rPr>
        <w:t>.</w:t>
      </w:r>
      <w:r>
        <w:rPr>
          <w:snapToGrid w:val="0"/>
        </w:rPr>
        <w:tab/>
        <w:t>Launching, beaching and retrieving</w:t>
      </w:r>
      <w:bookmarkEnd w:id="185"/>
      <w:r>
        <w:rPr>
          <w:snapToGrid w:val="0"/>
        </w:rPr>
        <w:t xml:space="preserve"> </w:t>
      </w:r>
    </w:p>
    <w:p>
      <w:pPr>
        <w:pStyle w:val="Subsection"/>
        <w:rPr>
          <w:snapToGrid w:val="0"/>
        </w:rPr>
      </w:pPr>
      <w:r>
        <w:rPr>
          <w:snapToGrid w:val="0"/>
        </w:rPr>
        <w:tab/>
        <w:t>(1)</w:t>
      </w:r>
      <w:r>
        <w:rPr>
          <w:snapToGrid w:val="0"/>
        </w:rPr>
        <w:tab/>
        <w:t>A person must not, without lawful authority, in a restricted area — </w:t>
      </w:r>
    </w:p>
    <w:p>
      <w:pPr>
        <w:pStyle w:val="Indenta"/>
        <w:rPr>
          <w:snapToGrid w:val="0"/>
        </w:rPr>
      </w:pPr>
      <w:r>
        <w:rPr>
          <w:snapToGrid w:val="0"/>
        </w:rPr>
        <w:tab/>
        <w:t>(a)</w:t>
      </w:r>
      <w:r>
        <w:rPr>
          <w:snapToGrid w:val="0"/>
        </w:rPr>
        <w:tab/>
        <w:t>launch or beach a vessel; or</w:t>
      </w:r>
    </w:p>
    <w:p>
      <w:pPr>
        <w:pStyle w:val="Indenta"/>
        <w:rPr>
          <w:snapToGrid w:val="0"/>
        </w:rPr>
      </w:pPr>
      <w:r>
        <w:rPr>
          <w:snapToGrid w:val="0"/>
        </w:rPr>
        <w:tab/>
        <w:t>(b)</w:t>
      </w:r>
      <w:r>
        <w:rPr>
          <w:snapToGrid w:val="0"/>
        </w:rPr>
        <w:tab/>
        <w:t>anchor a vessel by placing the anchor on a beach; or</w:t>
      </w:r>
    </w:p>
    <w:p>
      <w:pPr>
        <w:pStyle w:val="Indenta"/>
        <w:rPr>
          <w:snapToGrid w:val="0"/>
        </w:rPr>
      </w:pPr>
      <w:r>
        <w:rPr>
          <w:snapToGrid w:val="0"/>
        </w:rPr>
        <w:tab/>
        <w:t>(c)</w:t>
      </w:r>
      <w:r>
        <w:rPr>
          <w:snapToGrid w:val="0"/>
        </w:rPr>
        <w:tab/>
        <w:t>access, operate or retrieve a vessel,</w:t>
      </w:r>
    </w:p>
    <w:p>
      <w:pPr>
        <w:pStyle w:val="Subsection"/>
        <w:rPr>
          <w:snapToGrid w:val="0"/>
        </w:rPr>
      </w:pPr>
      <w:r>
        <w:rPr>
          <w:snapToGrid w:val="0"/>
        </w:rPr>
        <w:tab/>
      </w:r>
      <w:r>
        <w:rPr>
          <w:snapToGrid w:val="0"/>
        </w:rPr>
        <w:tab/>
        <w:t>if that activity is prohibited under regulation 5.</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must not, without lawful authority, in a restricted area, contravene a restriction imposed under regulation 5 in respect of — </w:t>
      </w:r>
    </w:p>
    <w:p>
      <w:pPr>
        <w:pStyle w:val="Indenta"/>
        <w:rPr>
          <w:snapToGrid w:val="0"/>
        </w:rPr>
      </w:pPr>
      <w:r>
        <w:rPr>
          <w:snapToGrid w:val="0"/>
        </w:rPr>
        <w:tab/>
        <w:t>(a)</w:t>
      </w:r>
      <w:r>
        <w:rPr>
          <w:snapToGrid w:val="0"/>
        </w:rPr>
        <w:tab/>
        <w:t>launching or beaching a vessel; or</w:t>
      </w:r>
    </w:p>
    <w:p>
      <w:pPr>
        <w:pStyle w:val="Indenta"/>
        <w:rPr>
          <w:snapToGrid w:val="0"/>
        </w:rPr>
      </w:pPr>
      <w:r>
        <w:rPr>
          <w:snapToGrid w:val="0"/>
        </w:rPr>
        <w:tab/>
        <w:t>(b)</w:t>
      </w:r>
      <w:r>
        <w:rPr>
          <w:snapToGrid w:val="0"/>
        </w:rPr>
        <w:tab/>
        <w:t>anchoring a vessel by placing the anchor on a beach; or</w:t>
      </w:r>
    </w:p>
    <w:p>
      <w:pPr>
        <w:pStyle w:val="Indenta"/>
        <w:rPr>
          <w:snapToGrid w:val="0"/>
        </w:rPr>
      </w:pPr>
      <w:r>
        <w:rPr>
          <w:snapToGrid w:val="0"/>
        </w:rPr>
        <w:tab/>
        <w:t>(c)</w:t>
      </w:r>
      <w:r>
        <w:rPr>
          <w:snapToGrid w:val="0"/>
        </w:rPr>
        <w:tab/>
        <w:t>accessing, operating or retrieving a vessel.</w:t>
      </w:r>
    </w:p>
    <w:p>
      <w:pPr>
        <w:pStyle w:val="Penstart"/>
        <w:rPr>
          <w:snapToGrid w:val="0"/>
        </w:rPr>
      </w:pPr>
      <w:r>
        <w:tab/>
        <w:t>Penalty: a fine of $1 000.</w:t>
      </w:r>
    </w:p>
    <w:p>
      <w:pPr>
        <w:pStyle w:val="Subsection"/>
        <w:rPr>
          <w:snapToGrid w:val="0"/>
        </w:rPr>
      </w:pPr>
      <w:r>
        <w:rPr>
          <w:snapToGrid w:val="0"/>
        </w:rPr>
        <w:tab/>
        <w:t>(3)</w:t>
      </w:r>
      <w:r>
        <w:rPr>
          <w:snapToGrid w:val="0"/>
        </w:rPr>
        <w:tab/>
        <w:t>An authorised officer may direct a person in charge of a vessel in a restricted area to remove the vessel from the restricted area.</w:t>
      </w:r>
    </w:p>
    <w:p>
      <w:pPr>
        <w:pStyle w:val="Subsection"/>
        <w:rPr>
          <w:snapToGrid w:val="0"/>
        </w:rPr>
      </w:pPr>
      <w:r>
        <w:rPr>
          <w:snapToGrid w:val="0"/>
        </w:rPr>
        <w:tab/>
        <w:t>(4)</w:t>
      </w:r>
      <w:r>
        <w:rPr>
          <w:snapToGrid w:val="0"/>
        </w:rPr>
        <w:tab/>
        <w:t>A person must comply with a direction under subregulation (3).</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(5)</w:t>
      </w:r>
      <w:r>
        <w:rPr>
          <w:snapToGrid w:val="0"/>
        </w:rPr>
        <w:tab/>
        <w:t xml:space="preserve">If — </w:t>
      </w:r>
    </w:p>
    <w:p>
      <w:pPr>
        <w:pStyle w:val="Indenta"/>
        <w:spacing w:before="60"/>
        <w:rPr>
          <w:snapToGrid w:val="0"/>
        </w:rPr>
      </w:pPr>
      <w:r>
        <w:rPr>
          <w:snapToGrid w:val="0"/>
        </w:rPr>
        <w:tab/>
        <w:t>(a)</w:t>
      </w:r>
      <w:r>
        <w:rPr>
          <w:snapToGrid w:val="0"/>
        </w:rPr>
        <w:tab/>
        <w:t>the person in charge of a vessel does not comply with a direction under subregulation (3) within a period that the authorised officer considers reasonable; or</w:t>
      </w:r>
    </w:p>
    <w:p>
      <w:pPr>
        <w:pStyle w:val="Indenta"/>
        <w:spacing w:before="60"/>
      </w:pPr>
      <w:r>
        <w:rPr>
          <w:snapToGrid w:val="0"/>
        </w:rPr>
        <w:tab/>
        <w:t>(b)</w:t>
      </w:r>
      <w:r>
        <w:rPr>
          <w:snapToGrid w:val="0"/>
        </w:rPr>
        <w:tab/>
      </w:r>
      <w:r>
        <w:t>the authorised officer is unable to find a person who has, or appears to the authorised officer to have, possession or control of the vessel,</w:t>
      </w:r>
    </w:p>
    <w:p>
      <w:pPr>
        <w:pStyle w:val="Subsection"/>
        <w:rPr>
          <w:snapToGrid w:val="0"/>
        </w:rPr>
      </w:pPr>
      <w:r>
        <w:rPr>
          <w:snapToGrid w:val="0"/>
        </w:rPr>
        <w:tab/>
      </w:r>
      <w:r>
        <w:rPr>
          <w:snapToGrid w:val="0"/>
        </w:rPr>
        <w:tab/>
        <w:t>the authorised officer may move the vessel or cause the vessel to be moved.</w:t>
      </w:r>
    </w:p>
    <w:p>
      <w:pPr>
        <w:pStyle w:val="Subsection"/>
        <w:rPr>
          <w:snapToGrid w:val="0"/>
        </w:rPr>
      </w:pPr>
      <w:r>
        <w:rPr>
          <w:snapToGrid w:val="0"/>
        </w:rPr>
        <w:tab/>
        <w:t>(6)</w:t>
      </w:r>
      <w:r>
        <w:rPr>
          <w:snapToGrid w:val="0"/>
        </w:rPr>
        <w:tab/>
        <w:t>Nothing in subregulation (5) affects the liability of a person under subregulations (1) and (4).</w:t>
      </w:r>
    </w:p>
    <w:p>
      <w:pPr>
        <w:pStyle w:val="Subsection"/>
        <w:rPr>
          <w:snapToGrid w:val="0"/>
        </w:rPr>
      </w:pPr>
      <w:r>
        <w:rPr>
          <w:snapToGrid w:val="0"/>
        </w:rPr>
        <w:tab/>
        <w:t>(7)</w:t>
      </w:r>
      <w:r>
        <w:rPr>
          <w:snapToGrid w:val="0"/>
        </w:rPr>
        <w:tab/>
        <w:t>In this regulation — </w:t>
      </w:r>
    </w:p>
    <w:p>
      <w:pPr>
        <w:pStyle w:val="Defstart"/>
      </w:pPr>
      <w:r>
        <w:tab/>
      </w:r>
      <w:r>
        <w:rPr>
          <w:rStyle w:val="CharDefText"/>
        </w:rPr>
        <w:t>beach</w:t>
      </w:r>
      <w:r>
        <w:rPr>
          <w:b/>
        </w:rPr>
        <w:t xml:space="preserve"> </w:t>
      </w:r>
      <w:r>
        <w:t>includes any part of the foreshore that is above the low water mark whether it is covered by water or not.</w:t>
      </w:r>
    </w:p>
    <w:p>
      <w:pPr>
        <w:pStyle w:val="Footnotesection"/>
        <w:ind w:left="890" w:hanging="890"/>
      </w:pPr>
      <w:r>
        <w:tab/>
        <w:t>[Regulation 64 amended in Gazette 29 Sep 2006 p. 4316; 3 Dec 2010 p. 6052</w:t>
      </w:r>
      <w:r>
        <w:noBreakHyphen/>
        <w:t>3.]</w:t>
      </w:r>
    </w:p>
    <w:p>
      <w:pPr>
        <w:pStyle w:val="Heading5"/>
      </w:pPr>
      <w:bookmarkStart w:id="186" w:name="_Toc462045365"/>
      <w:r>
        <w:rPr>
          <w:rStyle w:val="CharSectno"/>
        </w:rPr>
        <w:t>65A</w:t>
      </w:r>
      <w:r>
        <w:t>.</w:t>
      </w:r>
      <w:r>
        <w:tab/>
        <w:t>Unlawful use of vessel storage facility</w:t>
      </w:r>
      <w:bookmarkEnd w:id="186"/>
    </w:p>
    <w:p>
      <w:pPr>
        <w:pStyle w:val="Subsection"/>
        <w:keepNext/>
      </w:pPr>
      <w:r>
        <w:tab/>
        <w:t>(1)</w:t>
      </w:r>
      <w:r>
        <w:tab/>
        <w:t xml:space="preserve">In subregulation (2) — </w:t>
      </w:r>
    </w:p>
    <w:p>
      <w:pPr>
        <w:pStyle w:val="Defstart"/>
      </w:pPr>
      <w:r>
        <w:tab/>
      </w:r>
      <w:r>
        <w:rPr>
          <w:rStyle w:val="CharDefText"/>
        </w:rPr>
        <w:t>vessel storage facility</w:t>
      </w:r>
      <w:r>
        <w:t xml:space="preserve"> means a rack or other structure erected and maintained by the CEO for the storage of vessels but does not include a mooring.</w:t>
      </w:r>
    </w:p>
    <w:p>
      <w:pPr>
        <w:pStyle w:val="Subsection"/>
      </w:pPr>
      <w:r>
        <w:tab/>
        <w:t>(2)</w:t>
      </w:r>
      <w:r>
        <w:tab/>
        <w:t>A person must not, without lawful authority, place a vessel in or on a vessel storage facility on CALM land.</w:t>
      </w:r>
    </w:p>
    <w:p>
      <w:pPr>
        <w:pStyle w:val="Penstart"/>
      </w:pPr>
      <w:r>
        <w:tab/>
        <w:t>Penalty: a fine of $2 000.</w:t>
      </w:r>
    </w:p>
    <w:p>
      <w:pPr>
        <w:pStyle w:val="Footnotesection"/>
        <w:ind w:left="890" w:hanging="890"/>
        <w:rPr>
          <w:b/>
          <w:i w:val="0"/>
        </w:rPr>
      </w:pPr>
      <w:r>
        <w:tab/>
        <w:t>[Regulation 65A inserted in Gazette 3 Dec 2010 p. 6048.]</w:t>
      </w:r>
    </w:p>
    <w:p>
      <w:pPr>
        <w:pStyle w:val="Heading3"/>
        <w:spacing w:before="280"/>
      </w:pPr>
      <w:bookmarkStart w:id="187" w:name="_Toc436903745"/>
      <w:bookmarkStart w:id="188" w:name="_Toc436905687"/>
      <w:bookmarkStart w:id="189" w:name="_Toc436905908"/>
      <w:bookmarkStart w:id="190" w:name="_Toc437515661"/>
      <w:bookmarkStart w:id="191" w:name="_Toc447533261"/>
      <w:bookmarkStart w:id="192" w:name="_Toc456878169"/>
      <w:bookmarkStart w:id="193" w:name="_Toc456951686"/>
      <w:bookmarkStart w:id="194" w:name="_Toc458590270"/>
      <w:bookmarkStart w:id="195" w:name="_Toc458590492"/>
      <w:bookmarkStart w:id="196" w:name="_Toc458590713"/>
      <w:bookmarkStart w:id="197" w:name="_Toc462045366"/>
      <w:r>
        <w:rPr>
          <w:rStyle w:val="CharDivNo"/>
        </w:rPr>
        <w:t>Division 4</w:t>
      </w:r>
      <w:r>
        <w:rPr>
          <w:snapToGrid w:val="0"/>
        </w:rPr>
        <w:t xml:space="preserve"> — </w:t>
      </w:r>
      <w:r>
        <w:rPr>
          <w:rStyle w:val="CharDivText"/>
        </w:rPr>
        <w:t>Aircraft</w:t>
      </w:r>
      <w:bookmarkEnd w:id="187"/>
      <w:bookmarkEnd w:id="188"/>
      <w:bookmarkEnd w:id="189"/>
      <w:bookmarkEnd w:id="190"/>
      <w:bookmarkEnd w:id="191"/>
      <w:bookmarkEnd w:id="192"/>
      <w:bookmarkEnd w:id="193"/>
      <w:bookmarkEnd w:id="194"/>
      <w:bookmarkEnd w:id="195"/>
      <w:bookmarkEnd w:id="196"/>
      <w:bookmarkEnd w:id="197"/>
    </w:p>
    <w:p>
      <w:pPr>
        <w:pStyle w:val="Heading5"/>
        <w:rPr>
          <w:snapToGrid w:val="0"/>
        </w:rPr>
      </w:pPr>
      <w:bookmarkStart w:id="198" w:name="_Toc462045367"/>
      <w:r>
        <w:rPr>
          <w:rStyle w:val="CharSectno"/>
        </w:rPr>
        <w:t>65</w:t>
      </w:r>
      <w:r>
        <w:rPr>
          <w:snapToGrid w:val="0"/>
        </w:rPr>
        <w:t>.</w:t>
      </w:r>
      <w:r>
        <w:rPr>
          <w:snapToGrid w:val="0"/>
        </w:rPr>
        <w:tab/>
        <w:t>Launching or landing of aircraft</w:t>
      </w:r>
      <w:bookmarkEnd w:id="198"/>
      <w:r>
        <w:rPr>
          <w:snapToGrid w:val="0"/>
        </w:rPr>
        <w:t xml:space="preserve"> </w:t>
      </w:r>
    </w:p>
    <w:p>
      <w:pPr>
        <w:pStyle w:val="Subsection"/>
        <w:rPr>
          <w:snapToGrid w:val="0"/>
        </w:rPr>
      </w:pPr>
      <w:r>
        <w:rPr>
          <w:snapToGrid w:val="0"/>
        </w:rPr>
        <w:tab/>
        <w:t>(1)</w:t>
      </w:r>
      <w:r>
        <w:rPr>
          <w:snapToGrid w:val="0"/>
        </w:rPr>
        <w:tab/>
      </w:r>
      <w:r>
        <w:t>A</w:t>
      </w:r>
      <w:r>
        <w:rPr>
          <w:snapToGrid w:val="0"/>
        </w:rPr>
        <w:t xml:space="preserve"> person must not, without lawful authority, launch, land or make a touch down in an aircraft on CALM land.</w:t>
      </w:r>
    </w:p>
    <w:p>
      <w:pPr>
        <w:pStyle w:val="Penstart"/>
        <w:rPr>
          <w:snapToGrid w:val="0"/>
        </w:rPr>
      </w:pPr>
      <w:r>
        <w:rPr>
          <w:snapToGrid w:val="0"/>
        </w:rPr>
        <w:tab/>
        <w:t xml:space="preserve">Penalty: </w:t>
      </w:r>
      <w:r>
        <w:t>a fine of</w:t>
      </w:r>
      <w:r>
        <w:rPr>
          <w:snapToGrid w:val="0"/>
        </w:rPr>
        <w:t xml:space="preserve"> $1 000.</w:t>
      </w:r>
    </w:p>
    <w:p>
      <w:pPr>
        <w:pStyle w:val="Subsection"/>
        <w:keepNext/>
        <w:keepLines/>
        <w:rPr>
          <w:snapToGrid w:val="0"/>
        </w:rPr>
      </w:pPr>
      <w:r>
        <w:rPr>
          <w:snapToGrid w:val="0"/>
        </w:rPr>
        <w:tab/>
        <w:t>(2)</w:t>
      </w:r>
      <w:r>
        <w:rPr>
          <w:snapToGrid w:val="0"/>
        </w:rPr>
        <w:tab/>
        <w:t>Subregulation (1) does not apply to an aircraft that is required to launch, land or touch down contrary to that subregulation to avoid or mitigate danger to human life or significant damage to property.</w:t>
      </w:r>
    </w:p>
    <w:p>
      <w:pPr>
        <w:pStyle w:val="Footnotesection"/>
      </w:pPr>
      <w:r>
        <w:tab/>
        <w:t>[Regulation 65 amended in Gazette 4 Oct 2002 p. 5065; 3 Dec 2010 p. 6048 and 6052</w:t>
      </w:r>
      <w:r>
        <w:noBreakHyphen/>
        <w:t>3.]</w:t>
      </w:r>
    </w:p>
    <w:p>
      <w:pPr>
        <w:pStyle w:val="Heading2"/>
      </w:pPr>
      <w:bookmarkStart w:id="199" w:name="_Toc436903747"/>
      <w:bookmarkStart w:id="200" w:name="_Toc436905689"/>
      <w:bookmarkStart w:id="201" w:name="_Toc436905910"/>
      <w:bookmarkStart w:id="202" w:name="_Toc437515663"/>
      <w:bookmarkStart w:id="203" w:name="_Toc447533263"/>
      <w:bookmarkStart w:id="204" w:name="_Toc456878171"/>
      <w:bookmarkStart w:id="205" w:name="_Toc456951688"/>
      <w:bookmarkStart w:id="206" w:name="_Toc458590272"/>
      <w:bookmarkStart w:id="207" w:name="_Toc458590494"/>
      <w:bookmarkStart w:id="208" w:name="_Toc458590715"/>
      <w:bookmarkStart w:id="209" w:name="_Toc462045368"/>
      <w:r>
        <w:rPr>
          <w:rStyle w:val="CharPartNo"/>
        </w:rPr>
        <w:t>Part 4</w:t>
      </w:r>
      <w:r>
        <w:rPr>
          <w:rStyle w:val="CharDivNo"/>
        </w:rPr>
        <w:t xml:space="preserve"> </w:t>
      </w:r>
      <w:r>
        <w:t>—</w:t>
      </w:r>
      <w:r>
        <w:rPr>
          <w:rStyle w:val="CharDivText"/>
        </w:rPr>
        <w:t xml:space="preserve"> </w:t>
      </w:r>
      <w:r>
        <w:rPr>
          <w:rStyle w:val="CharPartText"/>
        </w:rPr>
        <w:t>Camping</w:t>
      </w:r>
      <w:bookmarkEnd w:id="199"/>
      <w:bookmarkEnd w:id="200"/>
      <w:bookmarkEnd w:id="201"/>
      <w:bookmarkEnd w:id="202"/>
      <w:bookmarkEnd w:id="203"/>
      <w:bookmarkEnd w:id="204"/>
      <w:bookmarkEnd w:id="205"/>
      <w:bookmarkEnd w:id="206"/>
      <w:bookmarkEnd w:id="207"/>
      <w:bookmarkEnd w:id="208"/>
      <w:bookmarkEnd w:id="209"/>
      <w:r>
        <w:rPr>
          <w:rStyle w:val="CharPartText"/>
        </w:rPr>
        <w:t xml:space="preserve"> </w:t>
      </w:r>
    </w:p>
    <w:p>
      <w:pPr>
        <w:pStyle w:val="Heading5"/>
        <w:spacing w:before="240"/>
        <w:rPr>
          <w:snapToGrid w:val="0"/>
        </w:rPr>
      </w:pPr>
      <w:bookmarkStart w:id="210" w:name="_Toc462045369"/>
      <w:r>
        <w:rPr>
          <w:rStyle w:val="CharSectno"/>
        </w:rPr>
        <w:t>66</w:t>
      </w:r>
      <w:r>
        <w:rPr>
          <w:snapToGrid w:val="0"/>
        </w:rPr>
        <w:t>.</w:t>
      </w:r>
      <w:r>
        <w:rPr>
          <w:snapToGrid w:val="0"/>
        </w:rPr>
        <w:tab/>
        <w:t>Camping controlled</w:t>
      </w:r>
      <w:bookmarkEnd w:id="210"/>
      <w:r>
        <w:rPr>
          <w:snapToGrid w:val="0"/>
        </w:rPr>
        <w:t xml:space="preserve"> </w:t>
      </w:r>
    </w:p>
    <w:p>
      <w:pPr>
        <w:pStyle w:val="Subsection"/>
        <w:spacing w:before="180"/>
        <w:rPr>
          <w:snapToGrid w:val="0"/>
        </w:rPr>
      </w:pPr>
      <w:r>
        <w:rPr>
          <w:snapToGrid w:val="0"/>
        </w:rPr>
        <w:tab/>
        <w:t>(1)</w:t>
      </w:r>
      <w:r>
        <w:rPr>
          <w:snapToGrid w:val="0"/>
        </w:rPr>
        <w:tab/>
        <w:t>A person must not, without lawful authority, camp on CALM land except in a camping area or on a vessel that is moored or anchored in accordance with these regulations.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A person camping in a camping area must comply with conditions specified on signs erected in or in the vicinity of that area for the purposes of regulation 6(3) or signs designating that area as a camping area.</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66 amended in Gazette 3 Dec 2010 p. 6052</w:t>
      </w:r>
      <w:r>
        <w:noBreakHyphen/>
        <w:t>3; 19 Sep 2014 p. 3336.]</w:t>
      </w:r>
    </w:p>
    <w:p>
      <w:pPr>
        <w:pStyle w:val="Heading5"/>
        <w:spacing w:before="240"/>
        <w:rPr>
          <w:snapToGrid w:val="0"/>
        </w:rPr>
      </w:pPr>
      <w:bookmarkStart w:id="211" w:name="_Toc462045370"/>
      <w:r>
        <w:rPr>
          <w:rStyle w:val="CharSectno"/>
        </w:rPr>
        <w:t>67</w:t>
      </w:r>
      <w:r>
        <w:rPr>
          <w:snapToGrid w:val="0"/>
        </w:rPr>
        <w:t>.</w:t>
      </w:r>
      <w:r>
        <w:rPr>
          <w:snapToGrid w:val="0"/>
        </w:rPr>
        <w:tab/>
        <w:t>Direction to vacate camp</w:t>
      </w:r>
      <w:bookmarkEnd w:id="211"/>
      <w:r>
        <w:rPr>
          <w:snapToGrid w:val="0"/>
        </w:rPr>
        <w:t xml:space="preserve"> </w:t>
      </w:r>
    </w:p>
    <w:p>
      <w:pPr>
        <w:pStyle w:val="Subsection"/>
        <w:spacing w:before="180"/>
        <w:rPr>
          <w:snapToGrid w:val="0"/>
        </w:rPr>
      </w:pPr>
      <w:r>
        <w:rPr>
          <w:snapToGrid w:val="0"/>
        </w:rPr>
        <w:tab/>
        <w:t>(1)</w:t>
      </w:r>
      <w:r>
        <w:rPr>
          <w:snapToGrid w:val="0"/>
        </w:rPr>
        <w:tab/>
        <w:t>An authorised officer may direct a person who — </w:t>
      </w:r>
    </w:p>
    <w:p>
      <w:pPr>
        <w:pStyle w:val="Indenta"/>
        <w:rPr>
          <w:snapToGrid w:val="0"/>
        </w:rPr>
      </w:pPr>
      <w:r>
        <w:rPr>
          <w:snapToGrid w:val="0"/>
        </w:rPr>
        <w:tab/>
        <w:t>(a)</w:t>
      </w:r>
      <w:r>
        <w:rPr>
          <w:snapToGrid w:val="0"/>
        </w:rPr>
        <w:tab/>
        <w:t>without lawful authority is camped on a site that is not in a camping area; or</w:t>
      </w:r>
    </w:p>
    <w:p>
      <w:pPr>
        <w:pStyle w:val="Indenta"/>
      </w:pPr>
      <w:r>
        <w:rPr>
          <w:snapToGrid w:val="0"/>
        </w:rPr>
        <w:tab/>
        <w:t>(b)</w:t>
      </w:r>
      <w:r>
        <w:rPr>
          <w:snapToGrid w:val="0"/>
        </w:rPr>
        <w:tab/>
        <w:t>has occupied a site in a camping area for more than 28 consecutive days</w:t>
      </w:r>
      <w:r>
        <w:t>; or</w:t>
      </w:r>
    </w:p>
    <w:p>
      <w:pPr>
        <w:pStyle w:val="Indenta"/>
      </w:pPr>
      <w:r>
        <w:tab/>
        <w:t>(c)</w:t>
      </w:r>
      <w:r>
        <w:tab/>
        <w:t>is occupying a site in a camping area during the school holidays and has occupied that site for more than 14 consecutive days (whether or not all of those days occur during the school holidays); or</w:t>
      </w:r>
    </w:p>
    <w:p>
      <w:pPr>
        <w:pStyle w:val="Indenta"/>
      </w:pPr>
      <w:r>
        <w:tab/>
        <w:t>(d)</w:t>
      </w:r>
      <w:r>
        <w:tab/>
        <w:t>is occupying a site in a camping area and, in the opinion of the authorised officer, has contravened a provision of the Act or these regulations; or</w:t>
      </w:r>
    </w:p>
    <w:p>
      <w:pPr>
        <w:pStyle w:val="Indenta"/>
        <w:rPr>
          <w:snapToGrid w:val="0"/>
        </w:rPr>
      </w:pPr>
      <w:r>
        <w:tab/>
        <w:t>(e)</w:t>
      </w:r>
      <w:r>
        <w:tab/>
        <w:t>is occupying a site in a camping area and, in the opinion of the authorised officer, is causing or has caused damage to the camping area,</w:t>
      </w:r>
    </w:p>
    <w:p>
      <w:pPr>
        <w:pStyle w:val="Subsection"/>
        <w:spacing w:before="180"/>
        <w:rPr>
          <w:snapToGrid w:val="0"/>
        </w:rPr>
      </w:pPr>
      <w:r>
        <w:rPr>
          <w:snapToGrid w:val="0"/>
        </w:rPr>
        <w:tab/>
      </w:r>
      <w:r>
        <w:rPr>
          <w:snapToGrid w:val="0"/>
        </w:rPr>
        <w:tab/>
        <w:t>to vacate that site.</w:t>
      </w:r>
    </w:p>
    <w:p>
      <w:pPr>
        <w:pStyle w:val="Subsection"/>
      </w:pPr>
      <w:r>
        <w:tab/>
        <w:t>(2A)</w:t>
      </w:r>
      <w:r>
        <w:tab/>
        <w:t xml:space="preserve">An authorised officer may direct a person directed to vacate a site under subregulation (1) not to camp within the park or reserve in which the site is situated during a period — </w:t>
      </w:r>
    </w:p>
    <w:p>
      <w:pPr>
        <w:pStyle w:val="Indenta"/>
      </w:pPr>
      <w:r>
        <w:tab/>
        <w:t>(a)</w:t>
      </w:r>
      <w:r>
        <w:tab/>
        <w:t>beginning on the day on which the direction is given; and</w:t>
      </w:r>
    </w:p>
    <w:p>
      <w:pPr>
        <w:pStyle w:val="Indenta"/>
      </w:pPr>
      <w:r>
        <w:tab/>
        <w:t>(b)</w:t>
      </w:r>
      <w:r>
        <w:tab/>
        <w:t>not exceeding 14 days.</w:t>
      </w:r>
    </w:p>
    <w:p>
      <w:pPr>
        <w:pStyle w:val="Subsection"/>
        <w:keepNext/>
        <w:keepLines/>
        <w:spacing w:before="180"/>
        <w:rPr>
          <w:snapToGrid w:val="0"/>
        </w:rPr>
      </w:pPr>
      <w:r>
        <w:rPr>
          <w:snapToGrid w:val="0"/>
        </w:rPr>
        <w:tab/>
        <w:t>(2)</w:t>
      </w:r>
      <w:r>
        <w:rPr>
          <w:snapToGrid w:val="0"/>
        </w:rPr>
        <w:tab/>
        <w:t>A person must comply with a direction under subregulation (1) or (2A).</w:t>
      </w:r>
    </w:p>
    <w:p>
      <w:pPr>
        <w:pStyle w:val="Penstart"/>
        <w:keepNext/>
        <w:keepLines/>
        <w:rPr>
          <w:snapToGrid w:val="0"/>
        </w:rPr>
      </w:pPr>
      <w:r>
        <w:rPr>
          <w:snapToGrid w:val="0"/>
        </w:rPr>
        <w:tab/>
        <w:t xml:space="preserve">Penalty: </w:t>
      </w:r>
      <w:r>
        <w:t>a fine of</w:t>
      </w:r>
      <w:r>
        <w:rPr>
          <w:snapToGrid w:val="0"/>
        </w:rPr>
        <w:t xml:space="preserve"> $1 000.</w:t>
      </w:r>
    </w:p>
    <w:p>
      <w:pPr>
        <w:pStyle w:val="Footnotesection"/>
        <w:keepLines w:val="0"/>
        <w:ind w:left="890" w:hanging="890"/>
      </w:pPr>
      <w:r>
        <w:tab/>
        <w:t>[Regulation 67 amended in Gazette 29 Sep 2006 p. 4316</w:t>
      </w:r>
      <w:r>
        <w:noBreakHyphen/>
        <w:t>17; 3 Dec 2010 p. 6052</w:t>
      </w:r>
      <w:r>
        <w:noBreakHyphen/>
        <w:t>3; 19 Sep 2014 p. 3331.]</w:t>
      </w:r>
    </w:p>
    <w:p>
      <w:pPr>
        <w:pStyle w:val="Heading5"/>
        <w:rPr>
          <w:snapToGrid w:val="0"/>
        </w:rPr>
      </w:pPr>
      <w:bookmarkStart w:id="212" w:name="_Toc462045371"/>
      <w:r>
        <w:rPr>
          <w:rStyle w:val="CharSectno"/>
        </w:rPr>
        <w:t>68</w:t>
      </w:r>
      <w:r>
        <w:rPr>
          <w:snapToGrid w:val="0"/>
        </w:rPr>
        <w:t>.</w:t>
      </w:r>
      <w:r>
        <w:rPr>
          <w:snapToGrid w:val="0"/>
        </w:rPr>
        <w:tab/>
        <w:t>Unauthorised persons not to enter camping unit</w:t>
      </w:r>
      <w:bookmarkEnd w:id="212"/>
      <w:r>
        <w:rPr>
          <w:snapToGrid w:val="0"/>
        </w:rPr>
        <w:t xml:space="preserve"> </w:t>
      </w:r>
    </w:p>
    <w:p>
      <w:pPr>
        <w:pStyle w:val="Subsection"/>
        <w:rPr>
          <w:snapToGrid w:val="0"/>
        </w:rPr>
      </w:pPr>
      <w:r>
        <w:rPr>
          <w:snapToGrid w:val="0"/>
        </w:rPr>
        <w:tab/>
      </w:r>
      <w:r>
        <w:rPr>
          <w:snapToGrid w:val="0"/>
        </w:rPr>
        <w:tab/>
        <w:t>A person, other than a ranger</w:t>
      </w:r>
      <w:r>
        <w:t xml:space="preserve"> or wildlife officer</w:t>
      </w:r>
      <w:r>
        <w:rPr>
          <w:snapToGrid w:val="0"/>
        </w:rPr>
        <w:t>, must not enter or remain on a camping unit without the consent of the person occupying that camping unit.</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68 amended in Gazette 29 Sep 2006 p. 4317; 3 Dec 2010 p. 6052</w:t>
      </w:r>
      <w:r>
        <w:noBreakHyphen/>
        <w:t>3.]</w:t>
      </w:r>
    </w:p>
    <w:p>
      <w:pPr>
        <w:pStyle w:val="Heading5"/>
        <w:rPr>
          <w:snapToGrid w:val="0"/>
        </w:rPr>
      </w:pPr>
      <w:bookmarkStart w:id="213" w:name="_Toc462045372"/>
      <w:r>
        <w:rPr>
          <w:rStyle w:val="CharSectno"/>
        </w:rPr>
        <w:t>69</w:t>
      </w:r>
      <w:r>
        <w:rPr>
          <w:snapToGrid w:val="0"/>
        </w:rPr>
        <w:t>.</w:t>
      </w:r>
      <w:r>
        <w:rPr>
          <w:snapToGrid w:val="0"/>
        </w:rPr>
        <w:tab/>
        <w:t>Construction and positioning of camping units</w:t>
      </w:r>
      <w:bookmarkEnd w:id="213"/>
      <w:r>
        <w:rPr>
          <w:snapToGrid w:val="0"/>
        </w:rPr>
        <w:t xml:space="preserve"> </w:t>
      </w:r>
    </w:p>
    <w:p>
      <w:pPr>
        <w:pStyle w:val="Subsection"/>
        <w:rPr>
          <w:snapToGrid w:val="0"/>
        </w:rPr>
      </w:pPr>
      <w:r>
        <w:rPr>
          <w:snapToGrid w:val="0"/>
        </w:rPr>
        <w:tab/>
        <w:t>(1)</w:t>
      </w:r>
      <w:r>
        <w:rPr>
          <w:snapToGrid w:val="0"/>
        </w:rPr>
        <w:tab/>
        <w:t>A person must not construct a camping unit — </w:t>
      </w:r>
    </w:p>
    <w:p>
      <w:pPr>
        <w:pStyle w:val="Indenta"/>
        <w:rPr>
          <w:snapToGrid w:val="0"/>
        </w:rPr>
      </w:pPr>
      <w:r>
        <w:rPr>
          <w:snapToGrid w:val="0"/>
        </w:rPr>
        <w:tab/>
        <w:t>(a)</w:t>
      </w:r>
      <w:r>
        <w:rPr>
          <w:snapToGrid w:val="0"/>
        </w:rPr>
        <w:tab/>
        <w:t>in a manner likely to be offensive or dangerous to other persons; or</w:t>
      </w:r>
    </w:p>
    <w:p>
      <w:pPr>
        <w:pStyle w:val="Indenta"/>
        <w:rPr>
          <w:snapToGrid w:val="0"/>
        </w:rPr>
      </w:pPr>
      <w:r>
        <w:rPr>
          <w:snapToGrid w:val="0"/>
        </w:rPr>
        <w:tab/>
        <w:t>(b)</w:t>
      </w:r>
      <w:r>
        <w:rPr>
          <w:snapToGrid w:val="0"/>
        </w:rPr>
        <w:tab/>
        <w:t>of a permanent or semi</w:t>
      </w:r>
      <w:r>
        <w:rPr>
          <w:snapToGrid w:val="0"/>
        </w:rPr>
        <w:noBreakHyphen/>
        <w:t>permanent nature.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must not position a camping unit so as to — </w:t>
      </w:r>
    </w:p>
    <w:p>
      <w:pPr>
        <w:pStyle w:val="Indenta"/>
        <w:rPr>
          <w:snapToGrid w:val="0"/>
        </w:rPr>
      </w:pPr>
      <w:r>
        <w:rPr>
          <w:snapToGrid w:val="0"/>
        </w:rPr>
        <w:tab/>
        <w:t>(a)</w:t>
      </w:r>
      <w:r>
        <w:rPr>
          <w:snapToGrid w:val="0"/>
        </w:rPr>
        <w:tab/>
        <w:t>cause inconvenience, discomfort or danger to other vehicles or to users of CALM land; or</w:t>
      </w:r>
    </w:p>
    <w:p>
      <w:pPr>
        <w:pStyle w:val="Indenta"/>
        <w:rPr>
          <w:snapToGrid w:val="0"/>
        </w:rPr>
      </w:pPr>
      <w:r>
        <w:rPr>
          <w:snapToGrid w:val="0"/>
        </w:rPr>
        <w:tab/>
        <w:t>(b)</w:t>
      </w:r>
      <w:r>
        <w:rPr>
          <w:snapToGrid w:val="0"/>
        </w:rPr>
        <w:tab/>
        <w:t>damage flora or interfere with the movement of fauna.</w:t>
      </w:r>
    </w:p>
    <w:p>
      <w:pPr>
        <w:pStyle w:val="Penstart"/>
        <w:rPr>
          <w:snapToGrid w:val="0"/>
        </w:rPr>
      </w:pPr>
      <w:r>
        <w:rPr>
          <w:snapToGrid w:val="0"/>
        </w:rPr>
        <w:tab/>
        <w:t>Penalty:</w:t>
      </w:r>
      <w:r>
        <w:t xml:space="preserve"> a fine of</w:t>
      </w:r>
      <w:r>
        <w:rPr>
          <w:snapToGrid w:val="0"/>
        </w:rPr>
        <w:t xml:space="preserve"> $500.</w:t>
      </w:r>
    </w:p>
    <w:p>
      <w:pPr>
        <w:pStyle w:val="Subsection"/>
        <w:rPr>
          <w:snapToGrid w:val="0"/>
        </w:rPr>
      </w:pPr>
      <w:r>
        <w:rPr>
          <w:snapToGrid w:val="0"/>
        </w:rPr>
        <w:tab/>
        <w:t>(3)</w:t>
      </w:r>
      <w:r>
        <w:rPr>
          <w:snapToGrid w:val="0"/>
        </w:rPr>
        <w:tab/>
        <w:t>A person must maintain the site on which that person camps in a clean and sanitary condition at all times.</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(4)</w:t>
      </w:r>
      <w:r>
        <w:rPr>
          <w:snapToGrid w:val="0"/>
        </w:rPr>
        <w:tab/>
        <w:t>An authorised officer may allot or define the site to be used by a person in a camping area and the person must confine the camp to that site.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An authorised officer may direct a person to vacate a site and move to another site in a camping area.</w:t>
      </w:r>
    </w:p>
    <w:p>
      <w:pPr>
        <w:pStyle w:val="Subsection"/>
        <w:rPr>
          <w:snapToGrid w:val="0"/>
        </w:rPr>
      </w:pPr>
      <w:r>
        <w:rPr>
          <w:snapToGrid w:val="0"/>
        </w:rPr>
        <w:tab/>
        <w:t>(6)</w:t>
      </w:r>
      <w:r>
        <w:rPr>
          <w:snapToGrid w:val="0"/>
        </w:rPr>
        <w:tab/>
        <w:t>A person must comply with a direction of an authorised officer under subregulation (5).</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69 amended in Gazette 29 Sep 2006 p. 4317; 3 Dec 2010 p. 6052</w:t>
      </w:r>
      <w:r>
        <w:noBreakHyphen/>
        <w:t>3.]</w:t>
      </w:r>
    </w:p>
    <w:p>
      <w:pPr>
        <w:pStyle w:val="Heading5"/>
        <w:rPr>
          <w:snapToGrid w:val="0"/>
        </w:rPr>
      </w:pPr>
      <w:bookmarkStart w:id="214" w:name="_Toc462045373"/>
      <w:r>
        <w:rPr>
          <w:rStyle w:val="CharSectno"/>
        </w:rPr>
        <w:t>70</w:t>
      </w:r>
      <w:r>
        <w:rPr>
          <w:snapToGrid w:val="0"/>
        </w:rPr>
        <w:t>.</w:t>
      </w:r>
      <w:r>
        <w:rPr>
          <w:snapToGrid w:val="0"/>
        </w:rPr>
        <w:tab/>
        <w:t>Power generating devices</w:t>
      </w:r>
      <w:bookmarkEnd w:id="214"/>
      <w:r>
        <w:rPr>
          <w:snapToGrid w:val="0"/>
        </w:rPr>
        <w:t xml:space="preserve"> </w:t>
      </w:r>
    </w:p>
    <w:p>
      <w:pPr>
        <w:pStyle w:val="Subsection"/>
        <w:rPr>
          <w:snapToGrid w:val="0"/>
        </w:rPr>
      </w:pPr>
      <w:r>
        <w:rPr>
          <w:snapToGrid w:val="0"/>
        </w:rPr>
        <w:tab/>
        <w:t>(1)</w:t>
      </w:r>
      <w:r>
        <w:rPr>
          <w:snapToGrid w:val="0"/>
        </w:rPr>
        <w:tab/>
        <w:t>An authorised officer may direct a person — </w:t>
      </w:r>
    </w:p>
    <w:p>
      <w:pPr>
        <w:pStyle w:val="Indenta"/>
        <w:rPr>
          <w:snapToGrid w:val="0"/>
        </w:rPr>
      </w:pPr>
      <w:r>
        <w:rPr>
          <w:snapToGrid w:val="0"/>
        </w:rPr>
        <w:tab/>
        <w:t>(a)</w:t>
      </w:r>
      <w:r>
        <w:rPr>
          <w:snapToGrid w:val="0"/>
        </w:rPr>
        <w:tab/>
        <w:t>not to use a power generating device other than in an area directed by the authorised officer; or</w:t>
      </w:r>
    </w:p>
    <w:p>
      <w:pPr>
        <w:pStyle w:val="Indenta"/>
        <w:rPr>
          <w:snapToGrid w:val="0"/>
        </w:rPr>
      </w:pPr>
      <w:r>
        <w:rPr>
          <w:snapToGrid w:val="0"/>
        </w:rPr>
        <w:tab/>
        <w:t>(b)</w:t>
      </w:r>
      <w:r>
        <w:rPr>
          <w:snapToGrid w:val="0"/>
        </w:rPr>
        <w:tab/>
        <w:t>to stop using a power generating device in a camping area; or</w:t>
      </w:r>
    </w:p>
    <w:p>
      <w:pPr>
        <w:pStyle w:val="Indenta"/>
        <w:rPr>
          <w:snapToGrid w:val="0"/>
        </w:rPr>
      </w:pPr>
      <w:r>
        <w:rPr>
          <w:snapToGrid w:val="0"/>
        </w:rPr>
        <w:tab/>
        <w:t>(c)</w:t>
      </w:r>
      <w:r>
        <w:rPr>
          <w:snapToGrid w:val="0"/>
        </w:rPr>
        <w:tab/>
        <w:t>to use a power generating device in accordance with the directions of the authorised officer.</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70 amended in Gazette 3 Dec 2010 p. 6052</w:t>
      </w:r>
      <w:r>
        <w:noBreakHyphen/>
        <w:t>3.]</w:t>
      </w:r>
    </w:p>
    <w:p>
      <w:pPr>
        <w:pStyle w:val="Heading5"/>
        <w:keepNext w:val="0"/>
        <w:keepLines w:val="0"/>
        <w:pageBreakBefore/>
        <w:spacing w:before="0"/>
        <w:rPr>
          <w:snapToGrid w:val="0"/>
        </w:rPr>
      </w:pPr>
      <w:bookmarkStart w:id="215" w:name="_Toc462045374"/>
      <w:r>
        <w:rPr>
          <w:rStyle w:val="CharSectno"/>
        </w:rPr>
        <w:t>71</w:t>
      </w:r>
      <w:r>
        <w:rPr>
          <w:snapToGrid w:val="0"/>
        </w:rPr>
        <w:t>.</w:t>
      </w:r>
      <w:r>
        <w:rPr>
          <w:snapToGrid w:val="0"/>
        </w:rPr>
        <w:tab/>
        <w:t>Firewood</w:t>
      </w:r>
      <w:bookmarkEnd w:id="215"/>
      <w:r>
        <w:rPr>
          <w:snapToGrid w:val="0"/>
        </w:rPr>
        <w:t xml:space="preserve"> </w:t>
      </w:r>
    </w:p>
    <w:p>
      <w:pPr>
        <w:pStyle w:val="Subsection"/>
        <w:keepNext/>
        <w:rPr>
          <w:snapToGrid w:val="0"/>
        </w:rPr>
      </w:pPr>
      <w:r>
        <w:rPr>
          <w:snapToGrid w:val="0"/>
        </w:rPr>
        <w:tab/>
        <w:t>(1)</w:t>
      </w:r>
      <w:r>
        <w:rPr>
          <w:snapToGrid w:val="0"/>
        </w:rPr>
        <w:tab/>
        <w:t>A person may collect firewood from the immediate vicinity of a camping area if — </w:t>
      </w:r>
    </w:p>
    <w:p>
      <w:pPr>
        <w:pStyle w:val="Indenta"/>
        <w:rPr>
          <w:snapToGrid w:val="0"/>
        </w:rPr>
      </w:pPr>
      <w:r>
        <w:rPr>
          <w:snapToGrid w:val="0"/>
        </w:rPr>
        <w:tab/>
        <w:t>(a)</w:t>
      </w:r>
      <w:r>
        <w:rPr>
          <w:snapToGrid w:val="0"/>
        </w:rPr>
        <w:tab/>
        <w:t>there is a sign erected authorising the collection of firewood; and</w:t>
      </w:r>
    </w:p>
    <w:p>
      <w:pPr>
        <w:pStyle w:val="Indenta"/>
        <w:rPr>
          <w:snapToGrid w:val="0"/>
        </w:rPr>
      </w:pPr>
      <w:r>
        <w:rPr>
          <w:snapToGrid w:val="0"/>
        </w:rPr>
        <w:tab/>
        <w:t>(b)</w:t>
      </w:r>
      <w:r>
        <w:rPr>
          <w:snapToGrid w:val="0"/>
        </w:rPr>
        <w:tab/>
        <w:t>the firewood is intended for use on a campfire or barbecue in the area.</w:t>
      </w:r>
    </w:p>
    <w:p>
      <w:pPr>
        <w:pStyle w:val="Subsection"/>
        <w:rPr>
          <w:snapToGrid w:val="0"/>
        </w:rPr>
      </w:pPr>
      <w:r>
        <w:rPr>
          <w:snapToGrid w:val="0"/>
        </w:rPr>
        <w:tab/>
        <w:t>(2)</w:t>
      </w:r>
      <w:r>
        <w:rPr>
          <w:snapToGrid w:val="0"/>
        </w:rPr>
        <w:tab/>
        <w:t>Nothing in subregulation (1) is to be taken as authorising any person to fell, cut, injure or destroy any tree, shrub or bush.</w:t>
      </w:r>
    </w:p>
    <w:p>
      <w:pPr>
        <w:pStyle w:val="Subsection"/>
        <w:keepNext/>
      </w:pPr>
      <w:r>
        <w:tab/>
        <w:t>(2a)</w:t>
      </w:r>
      <w:r>
        <w:tab/>
        <w:t xml:space="preserve">If — </w:t>
      </w:r>
    </w:p>
    <w:p>
      <w:pPr>
        <w:pStyle w:val="Indenta"/>
      </w:pPr>
      <w:r>
        <w:tab/>
        <w:t>(a)</w:t>
      </w:r>
      <w:r>
        <w:tab/>
        <w:t>a person collects firewood from the immediate vicinity of a camping area on CALM land; and</w:t>
      </w:r>
    </w:p>
    <w:p>
      <w:pPr>
        <w:pStyle w:val="Indenta"/>
      </w:pPr>
      <w:r>
        <w:tab/>
        <w:t>(b)</w:t>
      </w:r>
      <w:r>
        <w:tab/>
        <w:t>the firewood is intended for use on a campfire or barbecue in the area; and</w:t>
      </w:r>
    </w:p>
    <w:p>
      <w:pPr>
        <w:pStyle w:val="Indenta"/>
      </w:pPr>
      <w:r>
        <w:tab/>
        <w:t>(c)</w:t>
      </w:r>
      <w:r>
        <w:tab/>
        <w:t>there are no signs authorising the collection of firewood; and</w:t>
      </w:r>
    </w:p>
    <w:p>
      <w:pPr>
        <w:pStyle w:val="Indenta"/>
      </w:pPr>
      <w:r>
        <w:tab/>
        <w:t>(d)</w:t>
      </w:r>
      <w:r>
        <w:tab/>
        <w:t>the person is not otherwise authorised to collect the firewood,</w:t>
      </w:r>
    </w:p>
    <w:p>
      <w:pPr>
        <w:pStyle w:val="Subsection"/>
      </w:pPr>
      <w:r>
        <w:tab/>
      </w:r>
      <w:r>
        <w:tab/>
        <w:t>the person commits an offence.</w:t>
      </w:r>
    </w:p>
    <w:p>
      <w:pPr>
        <w:pStyle w:val="Penstart"/>
      </w:pPr>
      <w:r>
        <w:tab/>
        <w:t>Penalty: a fine of $1 000.</w:t>
      </w:r>
    </w:p>
    <w:p>
      <w:pPr>
        <w:pStyle w:val="Subsection"/>
        <w:rPr>
          <w:snapToGrid w:val="0"/>
        </w:rPr>
      </w:pPr>
      <w:r>
        <w:rPr>
          <w:snapToGrid w:val="0"/>
        </w:rPr>
        <w:tab/>
        <w:t>(3)</w:t>
      </w:r>
      <w:r>
        <w:rPr>
          <w:snapToGrid w:val="0"/>
        </w:rPr>
        <w:tab/>
        <w:t xml:space="preserve">Part 15 of the </w:t>
      </w:r>
      <w:smartTag w:uri="urn:schemas-microsoft-com:office:smarttags" w:element="place">
        <w:r>
          <w:rPr>
            <w:i/>
            <w:snapToGrid w:val="0"/>
          </w:rPr>
          <w:t>Forest</w:t>
        </w:r>
      </w:smartTag>
      <w:r>
        <w:rPr>
          <w:i/>
          <w:snapToGrid w:val="0"/>
        </w:rPr>
        <w:t xml:space="preserve"> Management Regulations 1993</w:t>
      </w:r>
      <w:r>
        <w:rPr>
          <w:snapToGrid w:val="0"/>
        </w:rPr>
        <w:t xml:space="preserve"> applies to the collection of firewood in public firewood areas.</w:t>
      </w:r>
    </w:p>
    <w:p>
      <w:pPr>
        <w:pStyle w:val="Subsection"/>
        <w:rPr>
          <w:snapToGrid w:val="0"/>
        </w:rPr>
      </w:pPr>
      <w:r>
        <w:rPr>
          <w:snapToGrid w:val="0"/>
        </w:rPr>
        <w:tab/>
        <w:t>(4)</w:t>
      </w:r>
      <w:r>
        <w:rPr>
          <w:snapToGrid w:val="0"/>
        </w:rPr>
        <w:tab/>
        <w:t>In this regulation — </w:t>
      </w:r>
    </w:p>
    <w:p>
      <w:pPr>
        <w:pStyle w:val="Defstart"/>
      </w:pPr>
      <w:r>
        <w:tab/>
      </w:r>
      <w:r>
        <w:rPr>
          <w:rStyle w:val="CharDefText"/>
        </w:rPr>
        <w:t>firewood</w:t>
      </w:r>
      <w:r>
        <w:rPr>
          <w:b/>
        </w:rPr>
        <w:t xml:space="preserve"> </w:t>
      </w:r>
      <w:r>
        <w:t>means dead wood lying on the ground.</w:t>
      </w:r>
    </w:p>
    <w:p>
      <w:pPr>
        <w:pStyle w:val="Footnotesection"/>
      </w:pPr>
      <w:r>
        <w:tab/>
        <w:t>[Regulation 71 amended in Gazette 29 Sep 2006 p. 4317</w:t>
      </w:r>
      <w:r>
        <w:noBreakHyphen/>
        <w:t>18; 3 Dec 2010 p. 6052</w:t>
      </w:r>
      <w:r>
        <w:noBreakHyphen/>
        <w:t>3; 19 Sep 2014 p. 3336.]</w:t>
      </w:r>
    </w:p>
    <w:p>
      <w:pPr>
        <w:pStyle w:val="Heading2"/>
      </w:pPr>
      <w:bookmarkStart w:id="216" w:name="_Toc436903754"/>
      <w:bookmarkStart w:id="217" w:name="_Toc436905696"/>
      <w:bookmarkStart w:id="218" w:name="_Toc436905917"/>
      <w:bookmarkStart w:id="219" w:name="_Toc437515670"/>
      <w:bookmarkStart w:id="220" w:name="_Toc447533270"/>
      <w:bookmarkStart w:id="221" w:name="_Toc456878178"/>
      <w:bookmarkStart w:id="222" w:name="_Toc456951695"/>
      <w:bookmarkStart w:id="223" w:name="_Toc458590279"/>
      <w:bookmarkStart w:id="224" w:name="_Toc458590501"/>
      <w:bookmarkStart w:id="225" w:name="_Toc458590722"/>
      <w:bookmarkStart w:id="226" w:name="_Toc462045375"/>
      <w:r>
        <w:rPr>
          <w:rStyle w:val="CharPartNo"/>
        </w:rPr>
        <w:t>Part 5</w:t>
      </w:r>
      <w:r>
        <w:rPr>
          <w:rStyle w:val="CharDivNo"/>
        </w:rPr>
        <w:t xml:space="preserve"> </w:t>
      </w:r>
      <w:r>
        <w:t>—</w:t>
      </w:r>
      <w:r>
        <w:rPr>
          <w:rStyle w:val="CharDivText"/>
        </w:rPr>
        <w:t xml:space="preserve"> </w:t>
      </w:r>
      <w:r>
        <w:rPr>
          <w:rStyle w:val="CharPartText"/>
        </w:rPr>
        <w:t>Offensive and dangerous behaviour</w:t>
      </w:r>
      <w:bookmarkEnd w:id="216"/>
      <w:bookmarkEnd w:id="217"/>
      <w:bookmarkEnd w:id="218"/>
      <w:bookmarkEnd w:id="219"/>
      <w:bookmarkEnd w:id="220"/>
      <w:bookmarkEnd w:id="221"/>
      <w:bookmarkEnd w:id="222"/>
      <w:bookmarkEnd w:id="223"/>
      <w:bookmarkEnd w:id="224"/>
      <w:bookmarkEnd w:id="225"/>
      <w:bookmarkEnd w:id="226"/>
      <w:r>
        <w:rPr>
          <w:rStyle w:val="CharPartText"/>
        </w:rPr>
        <w:t xml:space="preserve"> </w:t>
      </w:r>
    </w:p>
    <w:p>
      <w:pPr>
        <w:pStyle w:val="Heading5"/>
        <w:spacing w:before="240"/>
        <w:rPr>
          <w:snapToGrid w:val="0"/>
        </w:rPr>
      </w:pPr>
      <w:bookmarkStart w:id="227" w:name="_Toc462045376"/>
      <w:r>
        <w:rPr>
          <w:rStyle w:val="CharSectno"/>
        </w:rPr>
        <w:t>72</w:t>
      </w:r>
      <w:r>
        <w:rPr>
          <w:snapToGrid w:val="0"/>
        </w:rPr>
        <w:t>.</w:t>
      </w:r>
      <w:r>
        <w:rPr>
          <w:snapToGrid w:val="0"/>
        </w:rPr>
        <w:tab/>
        <w:t>Authorised officer may direct person to stop activity</w:t>
      </w:r>
      <w:bookmarkEnd w:id="227"/>
      <w:r>
        <w:rPr>
          <w:snapToGrid w:val="0"/>
        </w:rPr>
        <w:t xml:space="preserve"> </w:t>
      </w:r>
    </w:p>
    <w:p>
      <w:pPr>
        <w:pStyle w:val="Subsection"/>
        <w:rPr>
          <w:snapToGrid w:val="0"/>
        </w:rPr>
      </w:pPr>
      <w:r>
        <w:rPr>
          <w:snapToGrid w:val="0"/>
        </w:rPr>
        <w:tab/>
        <w:t>(1)</w:t>
      </w:r>
      <w:r>
        <w:rPr>
          <w:snapToGrid w:val="0"/>
        </w:rPr>
        <w:tab/>
        <w:t>An authorised officer may direct a person on CALM land to cease any behaviour which is — </w:t>
      </w:r>
    </w:p>
    <w:p>
      <w:pPr>
        <w:pStyle w:val="Indenta"/>
        <w:rPr>
          <w:snapToGrid w:val="0"/>
        </w:rPr>
      </w:pPr>
      <w:r>
        <w:rPr>
          <w:snapToGrid w:val="0"/>
        </w:rPr>
        <w:tab/>
        <w:t>(a)</w:t>
      </w:r>
      <w:r>
        <w:rPr>
          <w:snapToGrid w:val="0"/>
        </w:rPr>
        <w:tab/>
        <w:t>contrary to the lawful use of the land; or</w:t>
      </w:r>
    </w:p>
    <w:p>
      <w:pPr>
        <w:pStyle w:val="Indenta"/>
        <w:rPr>
          <w:snapToGrid w:val="0"/>
        </w:rPr>
      </w:pPr>
      <w:r>
        <w:rPr>
          <w:snapToGrid w:val="0"/>
        </w:rPr>
        <w:tab/>
        <w:t>(b)</w:t>
      </w:r>
      <w:r>
        <w:rPr>
          <w:snapToGrid w:val="0"/>
        </w:rPr>
        <w:tab/>
        <w:t>causing a disturbance or annoyance to other persons or, in the opinion of the authorised officer, disorderly or offensive; or</w:t>
      </w:r>
    </w:p>
    <w:p>
      <w:pPr>
        <w:pStyle w:val="Indenta"/>
        <w:rPr>
          <w:snapToGrid w:val="0"/>
        </w:rPr>
      </w:pPr>
      <w:r>
        <w:rPr>
          <w:snapToGrid w:val="0"/>
        </w:rPr>
        <w:tab/>
        <w:t>(c)</w:t>
      </w:r>
      <w:r>
        <w:rPr>
          <w:snapToGrid w:val="0"/>
        </w:rPr>
        <w:tab/>
        <w:t>in the opinion of the authorised officer, dangerous.</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72 amended in Gazette 3 Dec 2010 p. 6052</w:t>
      </w:r>
      <w:r>
        <w:noBreakHyphen/>
        <w:t>3; 19 Sep 2014 p. 3336.]</w:t>
      </w:r>
    </w:p>
    <w:p>
      <w:pPr>
        <w:pStyle w:val="Heading5"/>
        <w:spacing w:before="240"/>
        <w:rPr>
          <w:snapToGrid w:val="0"/>
        </w:rPr>
      </w:pPr>
      <w:bookmarkStart w:id="228" w:name="_Toc462045377"/>
      <w:r>
        <w:rPr>
          <w:rStyle w:val="CharSectno"/>
        </w:rPr>
        <w:t>73</w:t>
      </w:r>
      <w:r>
        <w:rPr>
          <w:snapToGrid w:val="0"/>
        </w:rPr>
        <w:t>.</w:t>
      </w:r>
      <w:r>
        <w:rPr>
          <w:snapToGrid w:val="0"/>
        </w:rPr>
        <w:tab/>
        <w:t>Conduct generally</w:t>
      </w:r>
      <w:bookmarkEnd w:id="228"/>
      <w:r>
        <w:rPr>
          <w:snapToGrid w:val="0"/>
        </w:rPr>
        <w:t xml:space="preserve"> </w:t>
      </w:r>
    </w:p>
    <w:p>
      <w:pPr>
        <w:pStyle w:val="Subsection"/>
        <w:rPr>
          <w:snapToGrid w:val="0"/>
        </w:rPr>
      </w:pPr>
      <w:r>
        <w:rPr>
          <w:snapToGrid w:val="0"/>
        </w:rPr>
        <w:tab/>
        <w:t>(1)</w:t>
      </w:r>
      <w:r>
        <w:rPr>
          <w:snapToGrid w:val="0"/>
        </w:rPr>
        <w:tab/>
        <w:t>A person must not, on CALM land — </w:t>
      </w:r>
    </w:p>
    <w:p>
      <w:pPr>
        <w:pStyle w:val="Indenta"/>
        <w:rPr>
          <w:snapToGrid w:val="0"/>
        </w:rPr>
      </w:pPr>
      <w:r>
        <w:rPr>
          <w:snapToGrid w:val="0"/>
        </w:rPr>
        <w:tab/>
        <w:t>(a)</w:t>
      </w:r>
      <w:r>
        <w:rPr>
          <w:snapToGrid w:val="0"/>
        </w:rPr>
        <w:tab/>
        <w:t>create or commit any nuisance; or</w:t>
      </w:r>
    </w:p>
    <w:p>
      <w:pPr>
        <w:pStyle w:val="Indenta"/>
        <w:rPr>
          <w:snapToGrid w:val="0"/>
        </w:rPr>
      </w:pPr>
      <w:r>
        <w:rPr>
          <w:snapToGrid w:val="0"/>
        </w:rPr>
        <w:tab/>
        <w:t>(b)</w:t>
      </w:r>
      <w:r>
        <w:rPr>
          <w:snapToGrid w:val="0"/>
        </w:rPr>
        <w:tab/>
        <w:t>behave in a disorderly or offensive manner; or</w:t>
      </w:r>
    </w:p>
    <w:p>
      <w:pPr>
        <w:pStyle w:val="Indenta"/>
        <w:rPr>
          <w:snapToGrid w:val="0"/>
        </w:rPr>
      </w:pPr>
      <w:r>
        <w:rPr>
          <w:snapToGrid w:val="0"/>
        </w:rPr>
        <w:tab/>
        <w:t>(c)</w:t>
      </w:r>
      <w:r>
        <w:rPr>
          <w:snapToGrid w:val="0"/>
        </w:rPr>
        <w:tab/>
        <w:t>use abusive, offensive or insulting language; or</w:t>
      </w:r>
    </w:p>
    <w:p>
      <w:pPr>
        <w:pStyle w:val="Indenta"/>
        <w:rPr>
          <w:snapToGrid w:val="0"/>
        </w:rPr>
      </w:pPr>
      <w:r>
        <w:rPr>
          <w:snapToGrid w:val="0"/>
        </w:rPr>
        <w:tab/>
        <w:t>(d)</w:t>
      </w:r>
      <w:r>
        <w:rPr>
          <w:snapToGrid w:val="0"/>
        </w:rPr>
        <w:tab/>
        <w:t>otherwise act in such a way as to cause or be likely to cause a nuisance or annoyance to other persons on the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 xml:space="preserve">A person must, on CALM land, comply with any direction on a sign on that land regarding </w:t>
      </w:r>
      <w:r>
        <w:t xml:space="preserve">any </w:t>
      </w:r>
      <w:r>
        <w:rPr>
          <w:snapToGrid w:val="0"/>
        </w:rPr>
        <w:t>activity or behaviour that is prohibited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73 amended in Gazette 3 Dec 2010 p. 6052</w:t>
      </w:r>
      <w:r>
        <w:noBreakHyphen/>
        <w:t>3; 19 Sep 2014 p. 3331 and 3336.]</w:t>
      </w:r>
    </w:p>
    <w:p>
      <w:pPr>
        <w:pStyle w:val="Heading5"/>
        <w:spacing w:before="240"/>
        <w:rPr>
          <w:snapToGrid w:val="0"/>
        </w:rPr>
      </w:pPr>
      <w:bookmarkStart w:id="229" w:name="_Toc462045378"/>
      <w:r>
        <w:rPr>
          <w:rStyle w:val="CharSectno"/>
        </w:rPr>
        <w:t>74</w:t>
      </w:r>
      <w:r>
        <w:rPr>
          <w:snapToGrid w:val="0"/>
        </w:rPr>
        <w:t>.</w:t>
      </w:r>
      <w:r>
        <w:rPr>
          <w:snapToGrid w:val="0"/>
        </w:rPr>
        <w:tab/>
        <w:t>Offensive noise</w:t>
      </w:r>
      <w:bookmarkEnd w:id="229"/>
      <w:r>
        <w:rPr>
          <w:snapToGrid w:val="0"/>
        </w:rPr>
        <w:t xml:space="preserve"> </w:t>
      </w:r>
    </w:p>
    <w:p>
      <w:pPr>
        <w:pStyle w:val="Subsection"/>
        <w:spacing w:before="120"/>
        <w:rPr>
          <w:snapToGrid w:val="0"/>
        </w:rPr>
      </w:pPr>
      <w:r>
        <w:rPr>
          <w:snapToGrid w:val="0"/>
        </w:rPr>
        <w:tab/>
      </w:r>
      <w:r>
        <w:rPr>
          <w:snapToGrid w:val="0"/>
        </w:rPr>
        <w:tab/>
        <w:t>A person must not, while on CALM land, by the use of any electronic, mechanical or other instrument or thing or by natural means cause or produce a noise that unreasonably interferes with the convenience, comfort or amenity of any other person.</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74 amended in Gazette 3 Dec 2010 p. 6052</w:t>
      </w:r>
      <w:r>
        <w:noBreakHyphen/>
        <w:t>4.]</w:t>
      </w:r>
    </w:p>
    <w:p>
      <w:pPr>
        <w:pStyle w:val="Heading5"/>
        <w:spacing w:before="180"/>
        <w:rPr>
          <w:snapToGrid w:val="0"/>
        </w:rPr>
      </w:pPr>
      <w:bookmarkStart w:id="230" w:name="_Toc462045379"/>
      <w:r>
        <w:rPr>
          <w:rStyle w:val="CharSectno"/>
        </w:rPr>
        <w:t>75</w:t>
      </w:r>
      <w:r>
        <w:rPr>
          <w:snapToGrid w:val="0"/>
        </w:rPr>
        <w:t>.</w:t>
      </w:r>
      <w:r>
        <w:rPr>
          <w:snapToGrid w:val="0"/>
        </w:rPr>
        <w:tab/>
        <w:t>Alcohol and drugs</w:t>
      </w:r>
      <w:bookmarkEnd w:id="230"/>
      <w:r>
        <w:rPr>
          <w:snapToGrid w:val="0"/>
        </w:rPr>
        <w:t xml:space="preserve"> </w:t>
      </w:r>
    </w:p>
    <w:p>
      <w:pPr>
        <w:pStyle w:val="Subsection"/>
        <w:spacing w:before="120"/>
        <w:rPr>
          <w:snapToGrid w:val="0"/>
        </w:rPr>
      </w:pPr>
      <w:r>
        <w:rPr>
          <w:snapToGrid w:val="0"/>
        </w:rPr>
        <w:tab/>
        <w:t>(1)</w:t>
      </w:r>
      <w:r>
        <w:rPr>
          <w:snapToGrid w:val="0"/>
        </w:rPr>
        <w:tab/>
        <w:t>A person must not enter or remain on CALM land when seriously affected apparently by alcohol, drugs or other intoxicating substance, or any combination of those things.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20"/>
        <w:rPr>
          <w:snapToGrid w:val="0"/>
        </w:rPr>
      </w:pPr>
      <w:r>
        <w:rPr>
          <w:snapToGrid w:val="0"/>
        </w:rPr>
        <w:tab/>
        <w:t>(2)</w:t>
      </w:r>
      <w:r>
        <w:rPr>
          <w:snapToGrid w:val="0"/>
        </w:rPr>
        <w:tab/>
        <w:t>A person must not without lawful authority take alcohol or any other intoxicating substance into a cave or part of a cave which is on or under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20"/>
        <w:rPr>
          <w:snapToGrid w:val="0"/>
        </w:rPr>
      </w:pPr>
      <w:r>
        <w:rPr>
          <w:snapToGrid w:val="0"/>
        </w:rPr>
        <w:tab/>
        <w:t>(3)</w:t>
      </w:r>
      <w:r>
        <w:rPr>
          <w:snapToGrid w:val="0"/>
        </w:rPr>
        <w:tab/>
        <w:t>Where an authorised officer is of the opinion that the consumption of alcohol or other intoxicating substance may give rise to offensive or dangerous behaviour, the authorised officer may direct a person not to bring the alcohol or intoxicating substance on to CALM land.</w:t>
      </w:r>
    </w:p>
    <w:p>
      <w:pPr>
        <w:pStyle w:val="Subsection"/>
        <w:spacing w:before="120"/>
        <w:rPr>
          <w:snapToGrid w:val="0"/>
        </w:rPr>
      </w:pPr>
      <w:r>
        <w:rPr>
          <w:snapToGrid w:val="0"/>
        </w:rPr>
        <w:tab/>
        <w:t>(4)</w:t>
      </w:r>
      <w:r>
        <w:rPr>
          <w:snapToGrid w:val="0"/>
        </w:rPr>
        <w:tab/>
        <w:t>A person must comply with a direction of an authorised officer under subregulation (3).</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75 amended in Gazette 3 Dec 2010 p. 6052</w:t>
      </w:r>
      <w:r>
        <w:noBreakHyphen/>
        <w:t>4; 19 Sep 2014 p. 3336.]</w:t>
      </w:r>
    </w:p>
    <w:p>
      <w:pPr>
        <w:pStyle w:val="Heading5"/>
        <w:spacing w:before="180"/>
        <w:rPr>
          <w:snapToGrid w:val="0"/>
        </w:rPr>
      </w:pPr>
      <w:bookmarkStart w:id="231" w:name="_Toc462045380"/>
      <w:r>
        <w:rPr>
          <w:rStyle w:val="CharSectno"/>
        </w:rPr>
        <w:t>76</w:t>
      </w:r>
      <w:r>
        <w:rPr>
          <w:snapToGrid w:val="0"/>
        </w:rPr>
        <w:t>.</w:t>
      </w:r>
      <w:r>
        <w:rPr>
          <w:snapToGrid w:val="0"/>
        </w:rPr>
        <w:tab/>
        <w:t>Removal of CALM property</w:t>
      </w:r>
      <w:bookmarkEnd w:id="231"/>
    </w:p>
    <w:p>
      <w:pPr>
        <w:pStyle w:val="Subsection"/>
        <w:spacing w:before="120"/>
        <w:rPr>
          <w:snapToGrid w:val="0"/>
        </w:rPr>
      </w:pPr>
      <w:r>
        <w:rPr>
          <w:snapToGrid w:val="0"/>
        </w:rPr>
        <w:tab/>
        <w:t>(1)</w:t>
      </w:r>
      <w:r>
        <w:rPr>
          <w:snapToGrid w:val="0"/>
        </w:rPr>
        <w:tab/>
        <w:t>A person must not, without lawful authority, remove any or any part of, a building, fence, facility, sign, notice, device, machinery or other object on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If an authorised officer finds a person on CALM land in possession of an object removed in contravention of subregulation (1), the authorised officer may direct the person to leave the object</w:t>
      </w:r>
      <w:r>
        <w:t xml:space="preserve"> at a place on the CALM land specified by the officer</w:t>
      </w:r>
      <w:r>
        <w:rPr>
          <w:snapToGrid w:val="0"/>
        </w:rPr>
        <w:t>.</w:t>
      </w:r>
    </w:p>
    <w:p>
      <w:pPr>
        <w:pStyle w:val="Subsection"/>
        <w:rPr>
          <w:snapToGrid w:val="0"/>
        </w:rPr>
      </w:pPr>
      <w:r>
        <w:rPr>
          <w:snapToGrid w:val="0"/>
        </w:rPr>
        <w:tab/>
        <w:t>(3)</w:t>
      </w:r>
      <w:r>
        <w:rPr>
          <w:snapToGrid w:val="0"/>
        </w:rPr>
        <w:tab/>
        <w:t>A person must comply with a direction of an authorised officer under subregulation (2).</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76 amended in Gazette 29 Sep 2006 p. 4318; 3 Dec 2010 p. 6052</w:t>
      </w:r>
      <w:r>
        <w:noBreakHyphen/>
        <w:t>4.]</w:t>
      </w:r>
    </w:p>
    <w:p>
      <w:pPr>
        <w:pStyle w:val="Heading2"/>
      </w:pPr>
      <w:bookmarkStart w:id="232" w:name="_Toc436903760"/>
      <w:bookmarkStart w:id="233" w:name="_Toc436905702"/>
      <w:bookmarkStart w:id="234" w:name="_Toc436905923"/>
      <w:bookmarkStart w:id="235" w:name="_Toc437515676"/>
      <w:bookmarkStart w:id="236" w:name="_Toc447533276"/>
      <w:bookmarkStart w:id="237" w:name="_Toc456878184"/>
      <w:bookmarkStart w:id="238" w:name="_Toc456951701"/>
      <w:bookmarkStart w:id="239" w:name="_Toc458590285"/>
      <w:bookmarkStart w:id="240" w:name="_Toc458590507"/>
      <w:bookmarkStart w:id="241" w:name="_Toc458590728"/>
      <w:bookmarkStart w:id="242" w:name="_Toc462045381"/>
      <w:r>
        <w:rPr>
          <w:rStyle w:val="CharPartNo"/>
        </w:rPr>
        <w:t>Part 6</w:t>
      </w:r>
      <w:r>
        <w:rPr>
          <w:rStyle w:val="CharDivNo"/>
        </w:rPr>
        <w:t xml:space="preserve"> </w:t>
      </w:r>
      <w:r>
        <w:t>—</w:t>
      </w:r>
      <w:r>
        <w:rPr>
          <w:rStyle w:val="CharDivText"/>
        </w:rPr>
        <w:t xml:space="preserve"> </w:t>
      </w:r>
      <w:r>
        <w:rPr>
          <w:rStyle w:val="CharPartText"/>
        </w:rPr>
        <w:t>Removal and forfeiture of unauthorised property on CALM land</w:t>
      </w:r>
      <w:bookmarkEnd w:id="232"/>
      <w:bookmarkEnd w:id="233"/>
      <w:bookmarkEnd w:id="234"/>
      <w:bookmarkEnd w:id="235"/>
      <w:bookmarkEnd w:id="236"/>
      <w:bookmarkEnd w:id="237"/>
      <w:bookmarkEnd w:id="238"/>
      <w:bookmarkEnd w:id="239"/>
      <w:bookmarkEnd w:id="240"/>
      <w:bookmarkEnd w:id="241"/>
      <w:bookmarkEnd w:id="242"/>
    </w:p>
    <w:p>
      <w:pPr>
        <w:pStyle w:val="Heading5"/>
      </w:pPr>
      <w:bookmarkStart w:id="243" w:name="_Toc462045382"/>
      <w:r>
        <w:rPr>
          <w:rStyle w:val="CharSectno"/>
        </w:rPr>
        <w:t>77</w:t>
      </w:r>
      <w:r>
        <w:t>.</w:t>
      </w:r>
      <w:r>
        <w:tab/>
        <w:t>Term used: property</w:t>
      </w:r>
      <w:bookmarkEnd w:id="243"/>
    </w:p>
    <w:p>
      <w:pPr>
        <w:pStyle w:val="Subsection"/>
      </w:pPr>
      <w:r>
        <w:tab/>
        <w:t>(1)</w:t>
      </w:r>
      <w:r>
        <w:tab/>
        <w:t xml:space="preserve">In this Part — </w:t>
      </w:r>
    </w:p>
    <w:p>
      <w:pPr>
        <w:pStyle w:val="Defstart"/>
      </w:pPr>
      <w:r>
        <w:tab/>
      </w:r>
      <w:r>
        <w:rPr>
          <w:rStyle w:val="CharDefText"/>
        </w:rPr>
        <w:t>property</w:t>
      </w:r>
      <w:r>
        <w:t xml:space="preserve"> — </w:t>
      </w:r>
    </w:p>
    <w:p>
      <w:pPr>
        <w:pStyle w:val="Defpara"/>
      </w:pPr>
      <w:r>
        <w:tab/>
        <w:t>(a)</w:t>
      </w:r>
      <w:r>
        <w:tab/>
        <w:t>includes a vehicle, caravan, vessel, mooring, pontoon, platform (including a platform on water), tent or other thing related to camping, tarpaulin, tripod, log, post, picket, spike, pipe, rope, cable, chain, wire and any kind of lock or locking device;</w:t>
      </w:r>
    </w:p>
    <w:p>
      <w:pPr>
        <w:pStyle w:val="Defpara"/>
      </w:pPr>
      <w:r>
        <w:tab/>
        <w:t>(b)</w:t>
      </w:r>
      <w:r>
        <w:tab/>
        <w:t>does not include anything to which section 108A(1) of the Act applies.</w:t>
      </w:r>
    </w:p>
    <w:p>
      <w:pPr>
        <w:pStyle w:val="Subsection"/>
      </w:pPr>
      <w:r>
        <w:tab/>
        <w:t>(2)</w:t>
      </w:r>
      <w:r>
        <w:tab/>
        <w:t>Subject to subregulation (1)(b), a thing may be property for the purposes of this Part whether or not it is attached to CALM land.</w:t>
      </w:r>
    </w:p>
    <w:p>
      <w:pPr>
        <w:pStyle w:val="Footnotesection"/>
      </w:pPr>
      <w:r>
        <w:tab/>
        <w:t>[Regulation 77 amended in Gazette 3 Dec 2010 p. 6048.]</w:t>
      </w:r>
    </w:p>
    <w:p>
      <w:pPr>
        <w:pStyle w:val="Heading5"/>
      </w:pPr>
      <w:bookmarkStart w:id="244" w:name="_Toc462045383"/>
      <w:r>
        <w:rPr>
          <w:rStyle w:val="CharSectno"/>
        </w:rPr>
        <w:t>78</w:t>
      </w:r>
      <w:r>
        <w:t>.</w:t>
      </w:r>
      <w:r>
        <w:tab/>
        <w:t>Authorised officers may seize and remove unauthorised property</w:t>
      </w:r>
      <w:bookmarkEnd w:id="244"/>
    </w:p>
    <w:p>
      <w:pPr>
        <w:pStyle w:val="Subsection"/>
      </w:pPr>
      <w:r>
        <w:tab/>
        <w:t>(1)</w:t>
      </w:r>
      <w:r>
        <w:tab/>
        <w:t>An authorised officer who finds on CALM land any property that the officer reasonably believes is not authorised under a written law to be on the land may order or request a person who has, or appears to the officer to have, possession or control of the property to remove it from the land.</w:t>
      </w:r>
    </w:p>
    <w:p>
      <w:pPr>
        <w:pStyle w:val="Subsection"/>
      </w:pPr>
      <w:r>
        <w:tab/>
        <w:t>(1a)</w:t>
      </w:r>
      <w:r>
        <w:tab/>
        <w:t>A person must comply with an order given to the person under subregulation (1).</w:t>
      </w:r>
    </w:p>
    <w:p>
      <w:pPr>
        <w:pStyle w:val="Penstart"/>
      </w:pPr>
      <w:r>
        <w:tab/>
        <w:t>Penalty: a fine of $2 000.</w:t>
      </w:r>
    </w:p>
    <w:p>
      <w:pPr>
        <w:pStyle w:val="Subsection"/>
        <w:keepNext/>
      </w:pPr>
      <w:r>
        <w:tab/>
        <w:t>(2)</w:t>
      </w:r>
      <w:r>
        <w:tab/>
        <w:t xml:space="preserve">If — </w:t>
      </w:r>
    </w:p>
    <w:p>
      <w:pPr>
        <w:pStyle w:val="Indenta"/>
      </w:pPr>
      <w:r>
        <w:tab/>
        <w:t>(a)</w:t>
      </w:r>
      <w:r>
        <w:tab/>
        <w:t>a person does not comply with an order or request under subregulation (1) within a period that the authorised officer considers reasonable; or</w:t>
      </w:r>
    </w:p>
    <w:p>
      <w:pPr>
        <w:pStyle w:val="Indenta"/>
      </w:pPr>
      <w:r>
        <w:tab/>
        <w:t>(b)</w:t>
      </w:r>
      <w:r>
        <w:tab/>
        <w:t>the officer is unable to find a person who has, or appears to the officer to have, possession or control of the property,</w:t>
      </w:r>
    </w:p>
    <w:p>
      <w:pPr>
        <w:pStyle w:val="Subsection"/>
        <w:spacing w:before="180"/>
      </w:pPr>
      <w:r>
        <w:tab/>
      </w:r>
      <w:r>
        <w:tab/>
        <w:t>the officer may seize the property and remove it from CALM land.</w:t>
      </w:r>
    </w:p>
    <w:p>
      <w:pPr>
        <w:pStyle w:val="Subsection"/>
        <w:spacing w:before="180"/>
      </w:pPr>
      <w:r>
        <w:tab/>
        <w:t>(3)</w:t>
      </w:r>
      <w:r>
        <w:tab/>
        <w:t>Property seized and removed under subregulation (2) shall be held at an office of the Department until it is collected under regulation 79 or destroyed, sold or otherwise disposed of under regulation 80.</w:t>
      </w:r>
    </w:p>
    <w:p>
      <w:pPr>
        <w:pStyle w:val="Footnotesection"/>
      </w:pPr>
      <w:r>
        <w:tab/>
        <w:t>[Regulation 78 amended in Gazette 29 Sep 2006 p. 4318</w:t>
      </w:r>
      <w:r>
        <w:noBreakHyphen/>
        <w:t>19; 3 Dec 2010 p. 6048.]</w:t>
      </w:r>
    </w:p>
    <w:p>
      <w:pPr>
        <w:pStyle w:val="Heading5"/>
        <w:spacing w:before="260"/>
      </w:pPr>
      <w:bookmarkStart w:id="245" w:name="_Toc462045384"/>
      <w:r>
        <w:rPr>
          <w:rStyle w:val="CharSectno"/>
        </w:rPr>
        <w:t>79</w:t>
      </w:r>
      <w:r>
        <w:t>.</w:t>
      </w:r>
      <w:r>
        <w:tab/>
        <w:t>Seized property may be claimed</w:t>
      </w:r>
      <w:bookmarkEnd w:id="245"/>
    </w:p>
    <w:p>
      <w:pPr>
        <w:pStyle w:val="Subsection"/>
        <w:spacing w:before="180"/>
      </w:pPr>
      <w:r>
        <w:tab/>
        <w:t>(1)</w:t>
      </w:r>
      <w:r>
        <w:tab/>
        <w:t>A person may claim property that is seized and removed under regulation 78 if the claim is made to an authorised officer within 6 months after the property is seized and removed.</w:t>
      </w:r>
    </w:p>
    <w:p>
      <w:pPr>
        <w:pStyle w:val="Subsection"/>
        <w:spacing w:before="180"/>
      </w:pPr>
      <w:r>
        <w:tab/>
        <w:t>(2)</w:t>
      </w:r>
      <w:r>
        <w:tab/>
        <w:t>If an authorised officer is satisfied that a person who claims property under subregulation (1) is the owner of the property or is entitled to possession of the property, the officer is to make the property available to be collected by the person at a time and a place notified in writing to the person.</w:t>
      </w:r>
    </w:p>
    <w:p>
      <w:pPr>
        <w:pStyle w:val="Subsection"/>
        <w:spacing w:before="180"/>
      </w:pPr>
      <w:r>
        <w:tab/>
        <w:t>(3)</w:t>
      </w:r>
      <w:r>
        <w:tab/>
        <w:t>The time referred to in subregulation (2) is to be within 21 days after the authorised officer is satisfied in relation to the matters referred to in that subregulation.</w:t>
      </w:r>
    </w:p>
    <w:p>
      <w:pPr>
        <w:pStyle w:val="Footnotesection"/>
      </w:pPr>
      <w:r>
        <w:tab/>
        <w:t>[Regulation 79 amended in Gazette 29 Sep 2006 p. 4319.]</w:t>
      </w:r>
    </w:p>
    <w:p>
      <w:pPr>
        <w:pStyle w:val="Heading5"/>
        <w:spacing w:before="260"/>
      </w:pPr>
      <w:bookmarkStart w:id="246" w:name="_Toc462045385"/>
      <w:r>
        <w:rPr>
          <w:rStyle w:val="CharSectno"/>
        </w:rPr>
        <w:t>80</w:t>
      </w:r>
      <w:r>
        <w:t>.</w:t>
      </w:r>
      <w:r>
        <w:tab/>
        <w:t>Unclaimed property may be forfeited</w:t>
      </w:r>
      <w:bookmarkEnd w:id="246"/>
    </w:p>
    <w:p>
      <w:pPr>
        <w:pStyle w:val="Subsection"/>
        <w:spacing w:before="200"/>
      </w:pPr>
      <w:r>
        <w:tab/>
        <w:t>(1)</w:t>
      </w:r>
      <w:r>
        <w:tab/>
        <w:t>If property is not claimed by a person who an authorised officer is satisfied is the owner of the property or is entitled to possession of the property within 6 months after the property is seized and removed under regulation 78, the property is, on the expiry of that period, forfeited to the Crown and may be destroyed, sold or otherwise disposed of as directed by the CEO.</w:t>
      </w:r>
    </w:p>
    <w:p>
      <w:pPr>
        <w:pStyle w:val="Ednotesubsection"/>
      </w:pPr>
      <w:r>
        <w:tab/>
        <w:t>[(2)</w:t>
      </w:r>
      <w:r>
        <w:tab/>
        <w:t>deleted]</w:t>
      </w:r>
    </w:p>
    <w:p>
      <w:pPr>
        <w:pStyle w:val="Footnotesection"/>
      </w:pPr>
      <w:r>
        <w:tab/>
        <w:t>[Regulation 80 amended in Gazette 29 Sep 2006 p. 4319 and 4334; 3 Dec 2010 p. 6049.]</w:t>
      </w:r>
    </w:p>
    <w:p>
      <w:pPr>
        <w:pStyle w:val="Heading2"/>
      </w:pPr>
      <w:bookmarkStart w:id="247" w:name="_Toc436903765"/>
      <w:bookmarkStart w:id="248" w:name="_Toc436905707"/>
      <w:bookmarkStart w:id="249" w:name="_Toc436905928"/>
      <w:bookmarkStart w:id="250" w:name="_Toc437515681"/>
      <w:bookmarkStart w:id="251" w:name="_Toc447533281"/>
      <w:bookmarkStart w:id="252" w:name="_Toc456878189"/>
      <w:bookmarkStart w:id="253" w:name="_Toc456951706"/>
      <w:bookmarkStart w:id="254" w:name="_Toc458590290"/>
      <w:bookmarkStart w:id="255" w:name="_Toc458590512"/>
      <w:bookmarkStart w:id="256" w:name="_Toc458590733"/>
      <w:bookmarkStart w:id="257" w:name="_Toc462045386"/>
      <w:r>
        <w:rPr>
          <w:rStyle w:val="CharPartNo"/>
        </w:rPr>
        <w:t>Part 6A</w:t>
      </w:r>
      <w:r>
        <w:rPr>
          <w:rStyle w:val="CharDivNo"/>
        </w:rPr>
        <w:t> </w:t>
      </w:r>
      <w:r>
        <w:t>—</w:t>
      </w:r>
      <w:r>
        <w:rPr>
          <w:rStyle w:val="CharDivText"/>
        </w:rPr>
        <w:t> </w:t>
      </w:r>
      <w:r>
        <w:rPr>
          <w:rStyle w:val="CharPartText"/>
        </w:rPr>
        <w:t>Management plans</w:t>
      </w:r>
      <w:bookmarkEnd w:id="247"/>
      <w:bookmarkEnd w:id="248"/>
      <w:bookmarkEnd w:id="249"/>
      <w:bookmarkEnd w:id="250"/>
      <w:bookmarkEnd w:id="251"/>
      <w:bookmarkEnd w:id="252"/>
      <w:bookmarkEnd w:id="253"/>
      <w:bookmarkEnd w:id="254"/>
      <w:bookmarkEnd w:id="255"/>
      <w:bookmarkEnd w:id="256"/>
      <w:bookmarkEnd w:id="257"/>
    </w:p>
    <w:p>
      <w:pPr>
        <w:pStyle w:val="Footnoteheading"/>
        <w:tabs>
          <w:tab w:val="left" w:pos="851"/>
        </w:tabs>
      </w:pPr>
      <w:r>
        <w:tab/>
        <w:t>[Heading inserted in Gazette 4 May 2004 p. 1383.]</w:t>
      </w:r>
    </w:p>
    <w:p>
      <w:pPr>
        <w:pStyle w:val="Heading5"/>
      </w:pPr>
      <w:bookmarkStart w:id="258" w:name="_Toc462045387"/>
      <w:r>
        <w:rPr>
          <w:rStyle w:val="CharSectno"/>
        </w:rPr>
        <w:t>81</w:t>
      </w:r>
      <w:r>
        <w:t>.</w:t>
      </w:r>
      <w:r>
        <w:tab/>
        <w:t>Purposes of reserves (Act s. 55(1a))</w:t>
      </w:r>
      <w:bookmarkEnd w:id="258"/>
    </w:p>
    <w:p>
      <w:pPr>
        <w:pStyle w:val="Subsection"/>
      </w:pPr>
      <w:r>
        <w:tab/>
      </w:r>
      <w:r>
        <w:tab/>
        <w:t xml:space="preserve">For the purposes of section 55(1a) of the Act, the other purposes for which an indigenous State forest or timber reserve may be reserved include any of the following — </w:t>
      </w:r>
    </w:p>
    <w:p>
      <w:pPr>
        <w:pStyle w:val="Indenta"/>
      </w:pPr>
      <w:r>
        <w:tab/>
        <w:t>(a)</w:t>
      </w:r>
      <w:r>
        <w:tab/>
        <w:t>the removal of water from the reserved land;</w:t>
      </w:r>
    </w:p>
    <w:p>
      <w:pPr>
        <w:pStyle w:val="Indenta"/>
      </w:pPr>
      <w:r>
        <w:tab/>
        <w:t>(b)</w:t>
      </w:r>
      <w:r>
        <w:tab/>
        <w:t>the storage of water on the reserve;</w:t>
      </w:r>
    </w:p>
    <w:p>
      <w:pPr>
        <w:pStyle w:val="Indenta"/>
      </w:pPr>
      <w:r>
        <w:tab/>
        <w:t>(c)</w:t>
      </w:r>
      <w:r>
        <w:tab/>
        <w:t>the removal of water from the reserve;</w:t>
      </w:r>
    </w:p>
    <w:p>
      <w:pPr>
        <w:pStyle w:val="Indenta"/>
      </w:pPr>
      <w:r>
        <w:tab/>
        <w:t>(d)</w:t>
      </w:r>
      <w:r>
        <w:tab/>
        <w:t>the location of infrastructure, and other similar facilities, that serve the public interest, to the extent to which locating such infrastructure and facilities is not inconsistent with achieving the other purposes for which the forest or reserve is reserved.</w:t>
      </w:r>
    </w:p>
    <w:p>
      <w:pPr>
        <w:pStyle w:val="Footnotesection"/>
      </w:pPr>
      <w:r>
        <w:tab/>
        <w:t>[Regulation 81 inserted in Gazette 4 May 2004 p. 1383; amended in Gazette 29 Jan 2008 p. 241</w:t>
      </w:r>
      <w:r>
        <w:noBreakHyphen/>
        <w:t>2.]</w:t>
      </w:r>
    </w:p>
    <w:p>
      <w:pPr>
        <w:pStyle w:val="Heading2"/>
      </w:pPr>
      <w:bookmarkStart w:id="259" w:name="_Toc436903767"/>
      <w:bookmarkStart w:id="260" w:name="_Toc436905709"/>
      <w:bookmarkStart w:id="261" w:name="_Toc436905930"/>
      <w:bookmarkStart w:id="262" w:name="_Toc437515683"/>
      <w:bookmarkStart w:id="263" w:name="_Toc447533283"/>
      <w:bookmarkStart w:id="264" w:name="_Toc456878191"/>
      <w:bookmarkStart w:id="265" w:name="_Toc456951708"/>
      <w:bookmarkStart w:id="266" w:name="_Toc458590292"/>
      <w:bookmarkStart w:id="267" w:name="_Toc458590514"/>
      <w:bookmarkStart w:id="268" w:name="_Toc458590735"/>
      <w:bookmarkStart w:id="269" w:name="_Toc462045388"/>
      <w:r>
        <w:rPr>
          <w:rStyle w:val="CharPartNo"/>
        </w:rPr>
        <w:t>Part 7</w:t>
      </w:r>
      <w:r>
        <w:t xml:space="preserve"> — </w:t>
      </w:r>
      <w:r>
        <w:rPr>
          <w:rStyle w:val="CharPartText"/>
        </w:rPr>
        <w:t>Licences</w:t>
      </w:r>
      <w:bookmarkEnd w:id="259"/>
      <w:bookmarkEnd w:id="260"/>
      <w:bookmarkEnd w:id="261"/>
      <w:bookmarkEnd w:id="262"/>
      <w:bookmarkEnd w:id="263"/>
      <w:bookmarkEnd w:id="264"/>
      <w:bookmarkEnd w:id="265"/>
      <w:bookmarkEnd w:id="266"/>
      <w:bookmarkEnd w:id="267"/>
      <w:bookmarkEnd w:id="268"/>
      <w:bookmarkEnd w:id="269"/>
    </w:p>
    <w:p>
      <w:pPr>
        <w:pStyle w:val="Heading3"/>
      </w:pPr>
      <w:bookmarkStart w:id="270" w:name="_Toc436903768"/>
      <w:bookmarkStart w:id="271" w:name="_Toc436905710"/>
      <w:bookmarkStart w:id="272" w:name="_Toc436905931"/>
      <w:bookmarkStart w:id="273" w:name="_Toc437515684"/>
      <w:bookmarkStart w:id="274" w:name="_Toc447533284"/>
      <w:bookmarkStart w:id="275" w:name="_Toc456878192"/>
      <w:bookmarkStart w:id="276" w:name="_Toc456951709"/>
      <w:bookmarkStart w:id="277" w:name="_Toc458590293"/>
      <w:bookmarkStart w:id="278" w:name="_Toc458590515"/>
      <w:bookmarkStart w:id="279" w:name="_Toc458590736"/>
      <w:bookmarkStart w:id="280" w:name="_Toc462045389"/>
      <w:r>
        <w:rPr>
          <w:rStyle w:val="CharDivNo"/>
        </w:rPr>
        <w:t>Division 1</w:t>
      </w:r>
      <w:r>
        <w:rPr>
          <w:snapToGrid w:val="0"/>
        </w:rPr>
        <w:t xml:space="preserve"> — </w:t>
      </w:r>
      <w:r>
        <w:rPr>
          <w:rStyle w:val="CharDivText"/>
        </w:rPr>
        <w:t>General</w:t>
      </w:r>
      <w:bookmarkEnd w:id="270"/>
      <w:bookmarkEnd w:id="271"/>
      <w:bookmarkEnd w:id="272"/>
      <w:bookmarkEnd w:id="273"/>
      <w:bookmarkEnd w:id="274"/>
      <w:bookmarkEnd w:id="275"/>
      <w:bookmarkEnd w:id="276"/>
      <w:bookmarkEnd w:id="277"/>
      <w:bookmarkEnd w:id="278"/>
      <w:bookmarkEnd w:id="279"/>
      <w:bookmarkEnd w:id="280"/>
    </w:p>
    <w:p>
      <w:pPr>
        <w:pStyle w:val="Heading5"/>
        <w:spacing w:before="180"/>
        <w:rPr>
          <w:snapToGrid w:val="0"/>
        </w:rPr>
      </w:pPr>
      <w:bookmarkStart w:id="281" w:name="_Toc462045390"/>
      <w:r>
        <w:rPr>
          <w:rStyle w:val="CharSectno"/>
        </w:rPr>
        <w:t>82</w:t>
      </w:r>
      <w:r>
        <w:rPr>
          <w:snapToGrid w:val="0"/>
        </w:rPr>
        <w:t>.</w:t>
      </w:r>
      <w:r>
        <w:rPr>
          <w:snapToGrid w:val="0"/>
        </w:rPr>
        <w:tab/>
        <w:t>Term used: licence</w:t>
      </w:r>
      <w:bookmarkEnd w:id="281"/>
      <w:r>
        <w:rPr>
          <w:snapToGrid w:val="0"/>
        </w:rPr>
        <w:t xml:space="preserve"> </w:t>
      </w:r>
    </w:p>
    <w:p>
      <w:pPr>
        <w:pStyle w:val="Subsection"/>
        <w:rPr>
          <w:snapToGrid w:val="0"/>
        </w:rPr>
      </w:pPr>
      <w:r>
        <w:rPr>
          <w:snapToGrid w:val="0"/>
        </w:rPr>
        <w:tab/>
      </w:r>
      <w:r>
        <w:rPr>
          <w:snapToGrid w:val="0"/>
        </w:rPr>
        <w:tab/>
        <w:t>In this Part — </w:t>
      </w:r>
    </w:p>
    <w:p>
      <w:pPr>
        <w:pStyle w:val="Defstart"/>
      </w:pPr>
      <w:r>
        <w:tab/>
      </w:r>
      <w:r>
        <w:rPr>
          <w:rStyle w:val="CharDefText"/>
        </w:rPr>
        <w:t>licence</w:t>
      </w:r>
      <w:r>
        <w:rPr>
          <w:b/>
        </w:rPr>
        <w:t xml:space="preserve"> </w:t>
      </w:r>
      <w:r>
        <w:t>means a licence granted under these regulations.</w:t>
      </w:r>
    </w:p>
    <w:p>
      <w:pPr>
        <w:pStyle w:val="Heading5"/>
        <w:spacing w:before="180"/>
        <w:rPr>
          <w:snapToGrid w:val="0"/>
        </w:rPr>
      </w:pPr>
      <w:bookmarkStart w:id="282" w:name="_Toc462045391"/>
      <w:r>
        <w:rPr>
          <w:rStyle w:val="CharSectno"/>
        </w:rPr>
        <w:t>83</w:t>
      </w:r>
      <w:r>
        <w:rPr>
          <w:snapToGrid w:val="0"/>
        </w:rPr>
        <w:t>.</w:t>
      </w:r>
      <w:r>
        <w:rPr>
          <w:snapToGrid w:val="0"/>
        </w:rPr>
        <w:tab/>
        <w:t>Application for licence</w:t>
      </w:r>
      <w:bookmarkEnd w:id="282"/>
      <w:r>
        <w:rPr>
          <w:snapToGrid w:val="0"/>
        </w:rPr>
        <w:t xml:space="preserve"> </w:t>
      </w:r>
    </w:p>
    <w:p>
      <w:pPr>
        <w:pStyle w:val="Subsection"/>
        <w:rPr>
          <w:snapToGrid w:val="0"/>
        </w:rPr>
      </w:pPr>
      <w:r>
        <w:rPr>
          <w:snapToGrid w:val="0"/>
        </w:rPr>
        <w:tab/>
        <w:t>(1)</w:t>
      </w:r>
      <w:r>
        <w:rPr>
          <w:snapToGrid w:val="0"/>
        </w:rPr>
        <w:tab/>
        <w:t>An application for a licence is to be — </w:t>
      </w:r>
    </w:p>
    <w:p>
      <w:pPr>
        <w:pStyle w:val="Indenta"/>
        <w:rPr>
          <w:snapToGrid w:val="0"/>
        </w:rPr>
      </w:pPr>
      <w:r>
        <w:rPr>
          <w:snapToGrid w:val="0"/>
        </w:rPr>
        <w:tab/>
        <w:t>(a)</w:t>
      </w:r>
      <w:r>
        <w:rPr>
          <w:snapToGrid w:val="0"/>
        </w:rPr>
        <w:tab/>
        <w:t xml:space="preserve">made to the </w:t>
      </w:r>
      <w:r>
        <w:t xml:space="preserve">CEO </w:t>
      </w:r>
      <w:r>
        <w:rPr>
          <w:snapToGrid w:val="0"/>
        </w:rPr>
        <w:t>in a form approved by the</w:t>
      </w:r>
      <w:r>
        <w:t xml:space="preserve"> CEO</w:t>
      </w:r>
      <w:r>
        <w:rPr>
          <w:snapToGrid w:val="0"/>
        </w:rPr>
        <w:t>; and</w:t>
      </w:r>
    </w:p>
    <w:p>
      <w:pPr>
        <w:pStyle w:val="Indenta"/>
        <w:rPr>
          <w:snapToGrid w:val="0"/>
        </w:rPr>
      </w:pPr>
      <w:r>
        <w:rPr>
          <w:snapToGrid w:val="0"/>
        </w:rPr>
        <w:tab/>
        <w:t>(b)</w:t>
      </w:r>
      <w:r>
        <w:rPr>
          <w:snapToGrid w:val="0"/>
        </w:rPr>
        <w:tab/>
        <w:t>accompanied by the appropriate fee specified in Schedule 1 Division 8.</w:t>
      </w:r>
    </w:p>
    <w:p>
      <w:pPr>
        <w:pStyle w:val="Subsection"/>
        <w:rPr>
          <w:snapToGrid w:val="0"/>
        </w:rPr>
      </w:pPr>
      <w:r>
        <w:rPr>
          <w:snapToGrid w:val="0"/>
        </w:rPr>
        <w:tab/>
        <w:t>(2)</w:t>
      </w:r>
      <w:r>
        <w:rPr>
          <w:snapToGrid w:val="0"/>
        </w:rPr>
        <w:tab/>
        <w:t xml:space="preserve">The applicant is to provide the </w:t>
      </w:r>
      <w:r>
        <w:t xml:space="preserve">CEO </w:t>
      </w:r>
      <w:r>
        <w:rPr>
          <w:snapToGrid w:val="0"/>
        </w:rPr>
        <w:t xml:space="preserve">with such further information as the </w:t>
      </w:r>
      <w:r>
        <w:t xml:space="preserve">CEO </w:t>
      </w:r>
      <w:r>
        <w:rPr>
          <w:snapToGrid w:val="0"/>
        </w:rPr>
        <w:t>may require in any particular case.</w:t>
      </w:r>
    </w:p>
    <w:p>
      <w:pPr>
        <w:pStyle w:val="Footnotesection"/>
      </w:pPr>
      <w:r>
        <w:tab/>
        <w:t>[Regulation 83 amended in Gazette 29 Sep 2006 p. 4334.]</w:t>
      </w:r>
    </w:p>
    <w:p>
      <w:pPr>
        <w:pStyle w:val="Heading5"/>
        <w:spacing w:before="180"/>
      </w:pPr>
      <w:bookmarkStart w:id="283" w:name="_Toc450294425"/>
      <w:bookmarkStart w:id="284" w:name="_Toc462045392"/>
      <w:r>
        <w:rPr>
          <w:rStyle w:val="CharSectno"/>
        </w:rPr>
        <w:t>84</w:t>
      </w:r>
      <w:r>
        <w:rPr>
          <w:snapToGrid w:val="0"/>
        </w:rPr>
        <w:t>.</w:t>
      </w:r>
      <w:r>
        <w:rPr>
          <w:snapToGrid w:val="0"/>
        </w:rPr>
        <w:tab/>
        <w:t>Restriction on exercise of powers</w:t>
      </w:r>
      <w:bookmarkEnd w:id="283"/>
      <w:bookmarkEnd w:id="284"/>
    </w:p>
    <w:p>
      <w:pPr>
        <w:pStyle w:val="Subsection"/>
      </w:pPr>
      <w:r>
        <w:tab/>
        <w:t>(1)</w:t>
      </w:r>
      <w:r>
        <w:tab/>
        <w:t xml:space="preserve">Subject to subregulation (2), the powers conferred on the CEO by this Part to grant or renew a licence are exercisable only — </w:t>
      </w:r>
    </w:p>
    <w:p>
      <w:pPr>
        <w:pStyle w:val="Indenta"/>
      </w:pPr>
      <w:r>
        <w:tab/>
        <w:t>(a)</w:t>
      </w:r>
      <w:r>
        <w:tab/>
        <w:t>with the approval of the Minister; and</w:t>
      </w:r>
    </w:p>
    <w:p>
      <w:pPr>
        <w:pStyle w:val="Indenta"/>
      </w:pPr>
      <w:r>
        <w:tab/>
        <w:t>(b)</w:t>
      </w:r>
      <w:r>
        <w:tab/>
        <w:t>in the case of land vested in the Commission, after consultation with the Commission and, where applicable, a joint responsible body; and</w:t>
      </w:r>
    </w:p>
    <w:p>
      <w:pPr>
        <w:pStyle w:val="Indenta"/>
      </w:pPr>
      <w:r>
        <w:tab/>
        <w:t>(c)</w:t>
      </w:r>
      <w:r>
        <w:tab/>
        <w:t>in the case of land classified under Part V Division 2 of the Act as a forest conservation area, consistently with any management plan for the land concerned; and</w:t>
      </w:r>
    </w:p>
    <w:p>
      <w:pPr>
        <w:pStyle w:val="Ednotepara"/>
        <w:spacing w:before="80"/>
      </w:pPr>
      <w:r>
        <w:tab/>
        <w:t>[(d), (e)</w:t>
      </w:r>
      <w:r>
        <w:tab/>
        <w:t>deleted]</w:t>
      </w:r>
    </w:p>
    <w:p>
      <w:pPr>
        <w:pStyle w:val="Indenta"/>
      </w:pPr>
      <w:r>
        <w:tab/>
        <w:t>(f)</w:t>
      </w:r>
      <w:r>
        <w:tab/>
        <w:t>in the case of land for the management of which an agreement is entered into under section 8A of the Act, consistently with the agreement; and</w:t>
      </w:r>
    </w:p>
    <w:p>
      <w:pPr>
        <w:pStyle w:val="Indenta"/>
      </w:pPr>
      <w:r>
        <w:tab/>
        <w:t>(g)</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pPr>
      <w:r>
        <w:tab/>
        <w:t>(h)</w:t>
      </w:r>
      <w:r>
        <w:tab/>
        <w:t>in conformity with section 33(3) of the Act.</w:t>
      </w:r>
    </w:p>
    <w:p>
      <w:pPr>
        <w:pStyle w:val="Subsection"/>
      </w:pPr>
      <w:r>
        <w:tab/>
        <w:t>(2)</w:t>
      </w:r>
      <w:r>
        <w:tab/>
        <w:t xml:space="preserve">In the case of land other than land classified under Part V Division 2 of the Act as a forest conservation area, subregulation (1)(a), (b) and (d) do not apply to the grant or renewal of a licence under this Part where — </w:t>
      </w:r>
    </w:p>
    <w:p>
      <w:pPr>
        <w:pStyle w:val="Indenta"/>
      </w:pPr>
      <w:r>
        <w:tab/>
        <w:t>(a)</w:t>
      </w:r>
      <w:r>
        <w:tab/>
        <w:t xml:space="preserve">the appropriate approval has been given under subregulation (1)(a) and, if applicable, the appropriate consultation has taken place under subregulation (1)(b) or (1)(d) for — </w:t>
      </w:r>
    </w:p>
    <w:p>
      <w:pPr>
        <w:pStyle w:val="Indenti"/>
      </w:pPr>
      <w:r>
        <w:tab/>
        <w:t>(i)</w:t>
      </w:r>
      <w:r>
        <w:tab/>
        <w:t>the grant under this Part of certain kinds of licences or certain numbers of licences; or</w:t>
      </w:r>
    </w:p>
    <w:p>
      <w:pPr>
        <w:pStyle w:val="Indenti"/>
      </w:pPr>
      <w:r>
        <w:tab/>
        <w:t>(ii)</w:t>
      </w:r>
      <w:r>
        <w:tab/>
        <w:t>the renewal, cancellation or suspension of, or the imposition or variation of terms or conditions attached to, a licence granted under this Part,</w:t>
      </w:r>
    </w:p>
    <w:p>
      <w:pPr>
        <w:pStyle w:val="Indenta"/>
      </w:pPr>
      <w:r>
        <w:tab/>
      </w:r>
      <w:r>
        <w:tab/>
        <w:t>and the licence granted or renewed is covered by the terms of that approval and, if applicable, that consultation; or</w:t>
      </w:r>
    </w:p>
    <w:p>
      <w:pPr>
        <w:pStyle w:val="Indenta"/>
      </w:pPr>
      <w:r>
        <w:tab/>
        <w:t>(b)</w:t>
      </w:r>
      <w:r>
        <w:tab/>
        <w:t xml:space="preserve">in the case of the renewal of a licence, the licence was granted under Part 5 of the </w:t>
      </w:r>
      <w:r>
        <w:rPr>
          <w:i/>
        </w:rPr>
        <w:t>Conservation and Land Management Regulations 1992</w:t>
      </w:r>
      <w:r>
        <w:rPr>
          <w:i/>
          <w:vertAlign w:val="superscript"/>
        </w:rPr>
        <w:t> </w:t>
      </w:r>
      <w:r>
        <w:rPr>
          <w:iCs/>
          <w:vertAlign w:val="superscript"/>
        </w:rPr>
        <w:t>2</w:t>
      </w:r>
      <w:r>
        <w:t>.</w:t>
      </w:r>
    </w:p>
    <w:p>
      <w:pPr>
        <w:pStyle w:val="Footnotesection"/>
        <w:ind w:left="890" w:hanging="890"/>
      </w:pPr>
      <w:r>
        <w:tab/>
        <w:t>[Regulation 84 amended in Gazette 29 Sep 2006 p. 4319 and 4334; 19 Jun 2015 p. 2096; 6 May 2016 p. 1382.]</w:t>
      </w:r>
    </w:p>
    <w:p>
      <w:pPr>
        <w:pStyle w:val="Heading5"/>
        <w:spacing w:before="180"/>
      </w:pPr>
      <w:bookmarkStart w:id="285" w:name="_Toc462045393"/>
      <w:r>
        <w:rPr>
          <w:rStyle w:val="CharSectno"/>
        </w:rPr>
        <w:t>85</w:t>
      </w:r>
      <w:r>
        <w:rPr>
          <w:snapToGrid w:val="0"/>
        </w:rPr>
        <w:t>.</w:t>
      </w:r>
      <w:r>
        <w:rPr>
          <w:snapToGrid w:val="0"/>
        </w:rPr>
        <w:tab/>
        <w:t>Refusal to renew licence</w:t>
      </w:r>
      <w:bookmarkEnd w:id="285"/>
    </w:p>
    <w:p>
      <w:pPr>
        <w:pStyle w:val="Subsection"/>
        <w:spacing w:before="120"/>
      </w:pPr>
      <w:r>
        <w:tab/>
        <w:t>(1)</w:t>
      </w:r>
      <w:r>
        <w:tab/>
        <w:t>A licence is not renewable as of right.</w:t>
      </w:r>
    </w:p>
    <w:p>
      <w:pPr>
        <w:pStyle w:val="Subsection"/>
        <w:spacing w:before="120"/>
      </w:pPr>
      <w:r>
        <w:tab/>
        <w:t>(2)</w:t>
      </w:r>
      <w:r>
        <w:tab/>
        <w:t xml:space="preserve">The CEO may, by written notice given to the person who held the licence, refuse to renew a licence on the grounds that — </w:t>
      </w:r>
    </w:p>
    <w:p>
      <w:pPr>
        <w:pStyle w:val="Indenta"/>
      </w:pPr>
      <w:r>
        <w:tab/>
        <w:t>(a)</w:t>
      </w:r>
      <w:r>
        <w:tab/>
        <w:t xml:space="preserve">the holder of the licence has been convicted of an offence against the Act or these regulations or the </w:t>
      </w:r>
      <w:r>
        <w:rPr>
          <w:i/>
        </w:rPr>
        <w:t>Wildlife Conservation Act 1950</w:t>
      </w:r>
      <w:r>
        <w:t xml:space="preserve"> or regulations made under that Act; or</w:t>
      </w:r>
    </w:p>
    <w:p>
      <w:pPr>
        <w:pStyle w:val="Indenta"/>
      </w:pPr>
      <w:r>
        <w:tab/>
        <w:t>(b)</w:t>
      </w:r>
      <w:r>
        <w:tab/>
        <w:t>a condition imposed upon the licence has been contravened; or</w:t>
      </w:r>
    </w:p>
    <w:p>
      <w:pPr>
        <w:pStyle w:val="Indenta"/>
      </w:pPr>
      <w:r>
        <w:tab/>
        <w:t>(c)</w:t>
      </w:r>
      <w:r>
        <w:tab/>
        <w:t>the licence was obtained by fraud or misrepresentation; or</w:t>
      </w:r>
    </w:p>
    <w:p>
      <w:pPr>
        <w:pStyle w:val="Indenta"/>
      </w:pPr>
      <w:r>
        <w:tab/>
        <w:t>(d)</w:t>
      </w:r>
      <w:r>
        <w:tab/>
        <w:t xml:space="preserve">in the interests of — </w:t>
      </w:r>
    </w:p>
    <w:p>
      <w:pPr>
        <w:pStyle w:val="Indenti"/>
      </w:pPr>
      <w:r>
        <w:tab/>
        <w:t>(i)</w:t>
      </w:r>
      <w:r>
        <w:tab/>
        <w:t>the protection, management or control of CALM land or assets on CALM land; or</w:t>
      </w:r>
    </w:p>
    <w:p>
      <w:pPr>
        <w:pStyle w:val="Indenti"/>
      </w:pPr>
      <w:r>
        <w:tab/>
        <w:t>(ii)</w:t>
      </w:r>
      <w:r>
        <w:tab/>
        <w:t>the protection of persons using CALM land; or</w:t>
      </w:r>
    </w:p>
    <w:p>
      <w:pPr>
        <w:pStyle w:val="Indenti"/>
      </w:pPr>
      <w:r>
        <w:tab/>
        <w:t>(iii)</w:t>
      </w:r>
      <w:r>
        <w:tab/>
        <w:t>the conservation, protection or proper management of fauna or flora,</w:t>
      </w:r>
    </w:p>
    <w:p>
      <w:pPr>
        <w:pStyle w:val="Indenta"/>
      </w:pPr>
      <w:r>
        <w:tab/>
      </w:r>
      <w:r>
        <w:tab/>
        <w:t>the operation of the licence should not be permitted to continue.</w:t>
      </w:r>
    </w:p>
    <w:p>
      <w:pPr>
        <w:pStyle w:val="Footnotesection"/>
      </w:pPr>
      <w:r>
        <w:tab/>
        <w:t>[Regulation 85 amended in Gazette 29 Sep 2006 p. 4334.]</w:t>
      </w:r>
    </w:p>
    <w:p>
      <w:pPr>
        <w:pStyle w:val="Heading5"/>
        <w:rPr>
          <w:snapToGrid w:val="0"/>
        </w:rPr>
      </w:pPr>
      <w:bookmarkStart w:id="286" w:name="_Toc462045394"/>
      <w:r>
        <w:rPr>
          <w:rStyle w:val="CharSectno"/>
        </w:rPr>
        <w:t>86</w:t>
      </w:r>
      <w:r>
        <w:rPr>
          <w:snapToGrid w:val="0"/>
        </w:rPr>
        <w:t>.</w:t>
      </w:r>
      <w:r>
        <w:rPr>
          <w:snapToGrid w:val="0"/>
        </w:rPr>
        <w:tab/>
        <w:t xml:space="preserve">Cancellation or suspension of licence by </w:t>
      </w:r>
      <w:r>
        <w:t>CEO</w:t>
      </w:r>
      <w:bookmarkEnd w:id="286"/>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person who holds a licence — </w:t>
      </w:r>
    </w:p>
    <w:p>
      <w:pPr>
        <w:pStyle w:val="Indenti"/>
        <w:rPr>
          <w:snapToGrid w:val="0"/>
        </w:rPr>
      </w:pPr>
      <w:r>
        <w:rPr>
          <w:snapToGrid w:val="0"/>
        </w:rPr>
        <w:tab/>
        <w:t>(i)</w:t>
      </w:r>
      <w:r>
        <w:rPr>
          <w:snapToGrid w:val="0"/>
        </w:rPr>
        <w:tab/>
        <w:t>contravenes a provision of the Act or these regulations or a condition or restriction to which the licence was subject; or</w:t>
      </w:r>
    </w:p>
    <w:p>
      <w:pPr>
        <w:pStyle w:val="Indenti"/>
        <w:rPr>
          <w:snapToGrid w:val="0"/>
        </w:rPr>
      </w:pPr>
      <w:r>
        <w:rPr>
          <w:snapToGrid w:val="0"/>
        </w:rPr>
        <w:tab/>
        <w:t>(ii)</w:t>
      </w:r>
      <w:r>
        <w:rPr>
          <w:snapToGrid w:val="0"/>
        </w:rPr>
        <w:tab/>
      </w:r>
      <w:r>
        <w:t xml:space="preserve">contravenes a provision of the </w:t>
      </w:r>
      <w:r>
        <w:rPr>
          <w:i/>
        </w:rPr>
        <w:t>Wildlife Conservation Act 1950</w:t>
      </w:r>
      <w:r>
        <w:t xml:space="preserve"> or regulations made under that Act;</w:t>
      </w:r>
      <w:r>
        <w:rPr>
          <w:snapToGrid w:val="0"/>
        </w:rPr>
        <w:t xml:space="preserve"> or</w:t>
      </w:r>
    </w:p>
    <w:p>
      <w:pPr>
        <w:pStyle w:val="Indenti"/>
        <w:rPr>
          <w:snapToGrid w:val="0"/>
        </w:rPr>
      </w:pPr>
      <w:r>
        <w:rPr>
          <w:snapToGrid w:val="0"/>
        </w:rPr>
        <w:tab/>
        <w:t>(iii)</w:t>
      </w:r>
      <w:r>
        <w:rPr>
          <w:snapToGrid w:val="0"/>
        </w:rPr>
        <w:tab/>
      </w:r>
      <w:r>
        <w:t xml:space="preserve">is otherwise in the opinion of the CEO </w:t>
      </w:r>
      <w:r>
        <w:rPr>
          <w:snapToGrid w:val="0"/>
        </w:rPr>
        <w:t xml:space="preserve">no longer a fit and proper person or otherwise suitable to hold the licence;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w:t>
      </w:r>
      <w:r>
        <w:t xml:space="preserve">CEO </w:t>
      </w:r>
      <w:r>
        <w:rPr>
          <w:snapToGrid w:val="0"/>
        </w:rPr>
        <w:t>considers that in the interests of — </w:t>
      </w:r>
    </w:p>
    <w:p>
      <w:pPr>
        <w:pStyle w:val="Indenti"/>
        <w:rPr>
          <w:snapToGrid w:val="0"/>
        </w:rPr>
      </w:pPr>
      <w:r>
        <w:rPr>
          <w:snapToGrid w:val="0"/>
        </w:rPr>
        <w:tab/>
        <w:t>(i)</w:t>
      </w:r>
      <w:r>
        <w:rPr>
          <w:snapToGrid w:val="0"/>
        </w:rPr>
        <w:tab/>
        <w:t>the protection, management or control of CALM land or assets on CALM land; or</w:t>
      </w:r>
    </w:p>
    <w:p>
      <w:pPr>
        <w:pStyle w:val="Indenti"/>
        <w:rPr>
          <w:snapToGrid w:val="0"/>
        </w:rPr>
      </w:pPr>
      <w:r>
        <w:rPr>
          <w:snapToGrid w:val="0"/>
        </w:rPr>
        <w:tab/>
        <w:t>(ii)</w:t>
      </w:r>
      <w:r>
        <w:rPr>
          <w:snapToGrid w:val="0"/>
        </w:rPr>
        <w:tab/>
        <w:t>the protection or management of persons using CALM land; or</w:t>
      </w:r>
    </w:p>
    <w:p>
      <w:pPr>
        <w:pStyle w:val="Indenti"/>
        <w:rPr>
          <w:snapToGrid w:val="0"/>
        </w:rPr>
      </w:pPr>
      <w:r>
        <w:rPr>
          <w:snapToGrid w:val="0"/>
        </w:rPr>
        <w:tab/>
        <w:t>(iii)</w:t>
      </w:r>
      <w:r>
        <w:rPr>
          <w:snapToGrid w:val="0"/>
        </w:rPr>
        <w:tab/>
        <w:t xml:space="preserve">the conservation, protection or proper management of fauna or flora, </w:t>
      </w:r>
    </w:p>
    <w:p>
      <w:pPr>
        <w:pStyle w:val="Indenta"/>
        <w:rPr>
          <w:snapToGrid w:val="0"/>
        </w:rPr>
      </w:pPr>
      <w:r>
        <w:rPr>
          <w:snapToGrid w:val="0"/>
        </w:rPr>
        <w:tab/>
      </w:r>
      <w:r>
        <w:rPr>
          <w:snapToGrid w:val="0"/>
        </w:rPr>
        <w:tab/>
        <w:t>a licence should be suspended or cancelled,</w:t>
      </w:r>
    </w:p>
    <w:p>
      <w:pPr>
        <w:pStyle w:val="Subsection"/>
        <w:rPr>
          <w:snapToGrid w:val="0"/>
        </w:rPr>
      </w:pPr>
      <w:r>
        <w:rPr>
          <w:snapToGrid w:val="0"/>
        </w:rPr>
        <w:tab/>
      </w:r>
      <w:r>
        <w:rPr>
          <w:snapToGrid w:val="0"/>
        </w:rPr>
        <w:tab/>
        <w:t xml:space="preserve">the </w:t>
      </w:r>
      <w:r>
        <w:t xml:space="preserve">CEO </w:t>
      </w:r>
      <w:r>
        <w:rPr>
          <w:snapToGrid w:val="0"/>
        </w:rPr>
        <w:t xml:space="preserve">may, by written notice given to the person, cancel the licence or suspend it for such period as the </w:t>
      </w:r>
      <w:r>
        <w:t xml:space="preserve">CEO </w:t>
      </w:r>
      <w:r>
        <w:rPr>
          <w:snapToGrid w:val="0"/>
        </w:rPr>
        <w:t>thinks fit.</w:t>
      </w:r>
    </w:p>
    <w:p>
      <w:pPr>
        <w:pStyle w:val="Subsection"/>
        <w:rPr>
          <w:snapToGrid w:val="0"/>
        </w:rPr>
      </w:pPr>
      <w:r>
        <w:rPr>
          <w:snapToGrid w:val="0"/>
        </w:rPr>
        <w:tab/>
        <w:t>(2)</w:t>
      </w:r>
      <w:r>
        <w:rPr>
          <w:snapToGrid w:val="0"/>
        </w:rPr>
        <w:tab/>
        <w:t>A suspension of a licence may relate to the doing of some, but not all, of the things authorised by the licence.</w:t>
      </w:r>
    </w:p>
    <w:p>
      <w:pPr>
        <w:pStyle w:val="Footnotesection"/>
      </w:pPr>
      <w:r>
        <w:tab/>
        <w:t>[Regulation 86 amended in Gazette 29 Sep 2006 p. 4334.]</w:t>
      </w:r>
    </w:p>
    <w:p>
      <w:pPr>
        <w:pStyle w:val="Heading5"/>
        <w:spacing w:before="180"/>
        <w:rPr>
          <w:snapToGrid w:val="0"/>
        </w:rPr>
      </w:pPr>
      <w:bookmarkStart w:id="287" w:name="_Toc462045395"/>
      <w:r>
        <w:rPr>
          <w:rStyle w:val="CharSectno"/>
        </w:rPr>
        <w:t>87</w:t>
      </w:r>
      <w:r>
        <w:rPr>
          <w:snapToGrid w:val="0"/>
        </w:rPr>
        <w:t>.</w:t>
      </w:r>
      <w:r>
        <w:rPr>
          <w:snapToGrid w:val="0"/>
        </w:rPr>
        <w:tab/>
        <w:t>Notice of proposed cancellation or suspension</w:t>
      </w:r>
      <w:bookmarkEnd w:id="287"/>
      <w:r>
        <w:rPr>
          <w:snapToGrid w:val="0"/>
        </w:rPr>
        <w:t xml:space="preserve"> </w:t>
      </w:r>
    </w:p>
    <w:p>
      <w:pPr>
        <w:pStyle w:val="Subsection"/>
        <w:spacing w:before="120"/>
        <w:rPr>
          <w:snapToGrid w:val="0"/>
        </w:rPr>
      </w:pPr>
      <w:r>
        <w:rPr>
          <w:snapToGrid w:val="0"/>
        </w:rPr>
        <w:tab/>
        <w:t>(1)</w:t>
      </w:r>
      <w:r>
        <w:rPr>
          <w:snapToGrid w:val="0"/>
        </w:rPr>
        <w:tab/>
        <w:t xml:space="preserve">If the </w:t>
      </w:r>
      <w:r>
        <w:t xml:space="preserve">CEO </w:t>
      </w:r>
      <w:r>
        <w:rPr>
          <w:snapToGrid w:val="0"/>
        </w:rPr>
        <w:t xml:space="preserve">proposes to cancel or suspend a licence, the </w:t>
      </w:r>
      <w:r>
        <w:t xml:space="preserve">CEO </w:t>
      </w:r>
      <w:r>
        <w:rPr>
          <w:snapToGrid w:val="0"/>
        </w:rPr>
        <w:t>is to give to the holder of the licence written notice of the proposal and the CEO’s reasons for the proposal.</w:t>
      </w:r>
    </w:p>
    <w:p>
      <w:pPr>
        <w:pStyle w:val="Subsection"/>
        <w:spacing w:before="120"/>
        <w:rPr>
          <w:snapToGrid w:val="0"/>
        </w:rPr>
      </w:pPr>
      <w:r>
        <w:rPr>
          <w:snapToGrid w:val="0"/>
        </w:rPr>
        <w:tab/>
        <w:t>(2)</w:t>
      </w:r>
      <w:r>
        <w:rPr>
          <w:snapToGrid w:val="0"/>
        </w:rPr>
        <w:tab/>
        <w:t xml:space="preserve">A notice given under subregulation (1) is to state that within a specified number of days after the notice is given, the person to whom it is given may make written representations to the </w:t>
      </w:r>
      <w:r>
        <w:t xml:space="preserve">CEO </w:t>
      </w:r>
      <w:r>
        <w:rPr>
          <w:snapToGrid w:val="0"/>
        </w:rPr>
        <w:t xml:space="preserve">concerning the proposal and the </w:t>
      </w:r>
      <w:r>
        <w:t xml:space="preserve">CEO </w:t>
      </w:r>
      <w:r>
        <w:rPr>
          <w:snapToGrid w:val="0"/>
        </w:rPr>
        <w:t>is not to give effect to the proposal without considering any representations received within that period.</w:t>
      </w:r>
    </w:p>
    <w:p>
      <w:pPr>
        <w:pStyle w:val="Subsection"/>
        <w:spacing w:before="120"/>
        <w:rPr>
          <w:snapToGrid w:val="0"/>
        </w:rPr>
      </w:pPr>
      <w:r>
        <w:rPr>
          <w:snapToGrid w:val="0"/>
        </w:rPr>
        <w:tab/>
        <w:t>(3)</w:t>
      </w:r>
      <w:r>
        <w:rPr>
          <w:snapToGrid w:val="0"/>
        </w:rPr>
        <w:tab/>
        <w:t>The number of days to be specified in a notice under subregulation (2) is to be not less than — </w:t>
      </w:r>
    </w:p>
    <w:p>
      <w:pPr>
        <w:pStyle w:val="Indenta"/>
        <w:rPr>
          <w:snapToGrid w:val="0"/>
        </w:rPr>
      </w:pPr>
      <w:r>
        <w:rPr>
          <w:snapToGrid w:val="0"/>
        </w:rPr>
        <w:tab/>
        <w:t>(a)</w:t>
      </w:r>
      <w:r>
        <w:rPr>
          <w:snapToGrid w:val="0"/>
        </w:rPr>
        <w:tab/>
        <w:t>21 days in the case of a proposal to cancel a licence; or</w:t>
      </w:r>
    </w:p>
    <w:p>
      <w:pPr>
        <w:pStyle w:val="Indenta"/>
        <w:rPr>
          <w:snapToGrid w:val="0"/>
        </w:rPr>
      </w:pPr>
      <w:r>
        <w:rPr>
          <w:snapToGrid w:val="0"/>
        </w:rPr>
        <w:tab/>
        <w:t>(b)</w:t>
      </w:r>
      <w:r>
        <w:rPr>
          <w:snapToGrid w:val="0"/>
        </w:rPr>
        <w:tab/>
        <w:t>7 days in the case of a proposal to suspend a licence.</w:t>
      </w:r>
    </w:p>
    <w:p>
      <w:pPr>
        <w:pStyle w:val="Subsection"/>
        <w:spacing w:before="120"/>
        <w:rPr>
          <w:snapToGrid w:val="0"/>
        </w:rPr>
      </w:pPr>
      <w:r>
        <w:rPr>
          <w:snapToGrid w:val="0"/>
        </w:rPr>
        <w:tab/>
        <w:t>(4)</w:t>
      </w:r>
      <w:r>
        <w:rPr>
          <w:snapToGrid w:val="0"/>
        </w:rPr>
        <w:tab/>
        <w:t xml:space="preserve">If for any reason a notice cannot be given to a person under subregulation (1), when read with section 76 of the </w:t>
      </w:r>
      <w:r>
        <w:rPr>
          <w:i/>
          <w:snapToGrid w:val="0"/>
        </w:rPr>
        <w:t>Interpretation Act 1984</w:t>
      </w:r>
      <w:r>
        <w:rPr>
          <w:snapToGrid w:val="0"/>
        </w:rPr>
        <w:t xml:space="preserve">, the </w:t>
      </w:r>
      <w:r>
        <w:t xml:space="preserve">CEO </w:t>
      </w:r>
      <w:r>
        <w:rPr>
          <w:snapToGrid w:val="0"/>
        </w:rPr>
        <w:t>may give the notice to that person by publishing a copy of the notice addressed to that person in a newspaper circulating in the area in which the person was last known to be.</w:t>
      </w:r>
    </w:p>
    <w:p>
      <w:pPr>
        <w:pStyle w:val="Footnotesection"/>
        <w:spacing w:before="80"/>
        <w:ind w:left="890" w:hanging="890"/>
      </w:pPr>
      <w:r>
        <w:tab/>
        <w:t>[Regulation 87 amended in Gazette 29 Sep 2006 p. 4319 and 4334.]</w:t>
      </w:r>
    </w:p>
    <w:p>
      <w:pPr>
        <w:pStyle w:val="Heading5"/>
        <w:spacing w:before="240"/>
        <w:rPr>
          <w:snapToGrid w:val="0"/>
        </w:rPr>
      </w:pPr>
      <w:bookmarkStart w:id="288" w:name="_Toc462045396"/>
      <w:r>
        <w:rPr>
          <w:rStyle w:val="CharSectno"/>
        </w:rPr>
        <w:t>88</w:t>
      </w:r>
      <w:r>
        <w:rPr>
          <w:snapToGrid w:val="0"/>
        </w:rPr>
        <w:t>.</w:t>
      </w:r>
      <w:r>
        <w:rPr>
          <w:snapToGrid w:val="0"/>
        </w:rPr>
        <w:tab/>
        <w:t>Return of licence</w:t>
      </w:r>
      <w:bookmarkEnd w:id="288"/>
      <w:r>
        <w:rPr>
          <w:snapToGrid w:val="0"/>
        </w:rPr>
        <w:t xml:space="preserve"> </w:t>
      </w:r>
    </w:p>
    <w:p>
      <w:pPr>
        <w:pStyle w:val="Subsection"/>
        <w:spacing w:before="150"/>
        <w:rPr>
          <w:snapToGrid w:val="0"/>
        </w:rPr>
      </w:pPr>
      <w:r>
        <w:rPr>
          <w:snapToGrid w:val="0"/>
        </w:rPr>
        <w:tab/>
        <w:t>(1)</w:t>
      </w:r>
      <w:r>
        <w:rPr>
          <w:snapToGrid w:val="0"/>
        </w:rPr>
        <w:tab/>
        <w:t xml:space="preserve">The </w:t>
      </w:r>
      <w:r>
        <w:t xml:space="preserve">CEO </w:t>
      </w:r>
      <w:r>
        <w:rPr>
          <w:snapToGrid w:val="0"/>
        </w:rPr>
        <w:t xml:space="preserve">may require the holder of a licence to return the licence to the </w:t>
      </w:r>
      <w:r>
        <w:t xml:space="preserve">CEO </w:t>
      </w:r>
      <w:r>
        <w:rPr>
          <w:snapToGrid w:val="0"/>
        </w:rPr>
        <w:t>where the licence has been cancelled, suspended or has not been renewed.</w:t>
      </w:r>
    </w:p>
    <w:p>
      <w:pPr>
        <w:pStyle w:val="Subsection"/>
        <w:spacing w:before="150"/>
        <w:rPr>
          <w:snapToGrid w:val="0"/>
        </w:rPr>
      </w:pPr>
      <w:r>
        <w:rPr>
          <w:snapToGrid w:val="0"/>
        </w:rPr>
        <w:tab/>
        <w:t>(2)</w:t>
      </w:r>
      <w:r>
        <w:rPr>
          <w:snapToGrid w:val="0"/>
        </w:rPr>
        <w:tab/>
        <w:t xml:space="preserve">A person must comply with a requirement made of that person by the </w:t>
      </w:r>
      <w:r>
        <w:t xml:space="preserve">CEO </w:t>
      </w:r>
      <w:r>
        <w:rPr>
          <w:snapToGrid w:val="0"/>
        </w:rPr>
        <w:t>under subregulation (1).</w:t>
      </w:r>
    </w:p>
    <w:p>
      <w:pPr>
        <w:pStyle w:val="Penstart"/>
        <w:rPr>
          <w:snapToGrid w:val="0"/>
        </w:rPr>
      </w:pPr>
      <w:r>
        <w:rPr>
          <w:snapToGrid w:val="0"/>
        </w:rPr>
        <w:tab/>
        <w:t>Penalty:</w:t>
      </w:r>
      <w:r>
        <w:t xml:space="preserve"> a fine of</w:t>
      </w:r>
      <w:r>
        <w:rPr>
          <w:snapToGrid w:val="0"/>
        </w:rPr>
        <w:t xml:space="preserve"> $500.</w:t>
      </w:r>
    </w:p>
    <w:p>
      <w:pPr>
        <w:pStyle w:val="Footnotesection"/>
        <w:spacing w:before="100"/>
      </w:pPr>
      <w:r>
        <w:tab/>
        <w:t>[Regulation 88 amended in Gazette 29 Sep 2006 p. 4334; 3 Dec 2010 p. 6052</w:t>
      </w:r>
      <w:r>
        <w:noBreakHyphen/>
        <w:t>4.]</w:t>
      </w:r>
    </w:p>
    <w:p>
      <w:pPr>
        <w:pStyle w:val="Heading3"/>
      </w:pPr>
      <w:bookmarkStart w:id="289" w:name="_Toc436903776"/>
      <w:bookmarkStart w:id="290" w:name="_Toc436905718"/>
      <w:bookmarkStart w:id="291" w:name="_Toc436905939"/>
      <w:bookmarkStart w:id="292" w:name="_Toc437515692"/>
      <w:bookmarkStart w:id="293" w:name="_Toc447533292"/>
      <w:bookmarkStart w:id="294" w:name="_Toc456878200"/>
      <w:bookmarkStart w:id="295" w:name="_Toc456951717"/>
      <w:bookmarkStart w:id="296" w:name="_Toc458590301"/>
      <w:bookmarkStart w:id="297" w:name="_Toc458590523"/>
      <w:bookmarkStart w:id="298" w:name="_Toc458590744"/>
      <w:bookmarkStart w:id="299" w:name="_Toc462045397"/>
      <w:r>
        <w:rPr>
          <w:rStyle w:val="CharDivNo"/>
        </w:rPr>
        <w:t>Division 2</w:t>
      </w:r>
      <w:r>
        <w:rPr>
          <w:snapToGrid w:val="0"/>
        </w:rPr>
        <w:t xml:space="preserve"> — </w:t>
      </w:r>
      <w:r>
        <w:rPr>
          <w:rStyle w:val="CharDivText"/>
        </w:rPr>
        <w:t>Scientific purposes licences</w:t>
      </w:r>
      <w:bookmarkEnd w:id="289"/>
      <w:bookmarkEnd w:id="290"/>
      <w:bookmarkEnd w:id="291"/>
      <w:bookmarkEnd w:id="292"/>
      <w:bookmarkEnd w:id="293"/>
      <w:bookmarkEnd w:id="294"/>
      <w:bookmarkEnd w:id="295"/>
      <w:bookmarkEnd w:id="296"/>
      <w:bookmarkEnd w:id="297"/>
      <w:bookmarkEnd w:id="298"/>
      <w:bookmarkEnd w:id="299"/>
      <w:r>
        <w:rPr>
          <w:rStyle w:val="CharDivText"/>
        </w:rPr>
        <w:t xml:space="preserve"> </w:t>
      </w:r>
    </w:p>
    <w:p>
      <w:pPr>
        <w:pStyle w:val="Heading5"/>
        <w:spacing w:before="240"/>
        <w:rPr>
          <w:snapToGrid w:val="0"/>
        </w:rPr>
      </w:pPr>
      <w:bookmarkStart w:id="300" w:name="_Toc462045398"/>
      <w:r>
        <w:rPr>
          <w:rStyle w:val="CharSectno"/>
        </w:rPr>
        <w:t>89</w:t>
      </w:r>
      <w:r>
        <w:rPr>
          <w:snapToGrid w:val="0"/>
        </w:rPr>
        <w:t>.</w:t>
      </w:r>
      <w:r>
        <w:rPr>
          <w:snapToGrid w:val="0"/>
        </w:rPr>
        <w:tab/>
        <w:t>Scientific purposes licence</w:t>
      </w:r>
      <w:bookmarkEnd w:id="300"/>
      <w:r>
        <w:rPr>
          <w:snapToGrid w:val="0"/>
        </w:rPr>
        <w:t xml:space="preserve"> </w:t>
      </w:r>
    </w:p>
    <w:p>
      <w:pPr>
        <w:pStyle w:val="Subsection"/>
        <w:spacing w:before="150"/>
        <w:rPr>
          <w:snapToGrid w:val="0"/>
        </w:rPr>
      </w:pPr>
      <w:r>
        <w:rPr>
          <w:snapToGrid w:val="0"/>
        </w:rPr>
        <w:tab/>
      </w:r>
      <w:r>
        <w:rPr>
          <w:snapToGrid w:val="0"/>
        </w:rPr>
        <w:tab/>
        <w:t xml:space="preserve">The </w:t>
      </w:r>
      <w:r>
        <w:t xml:space="preserve">CEO </w:t>
      </w:r>
      <w:r>
        <w:rPr>
          <w:snapToGrid w:val="0"/>
        </w:rPr>
        <w:t>may grant a licence to take flora and fauna (including fish and pearl oyster) in a marine nature reserve, marine park or marine management area for scientific purposes.</w:t>
      </w:r>
    </w:p>
    <w:p>
      <w:pPr>
        <w:pStyle w:val="Footnotesection"/>
        <w:spacing w:before="100"/>
      </w:pPr>
      <w:r>
        <w:tab/>
        <w:t>[Regulation 89 amended in Gazette 29 Sep 2006 p. 4334.]</w:t>
      </w:r>
    </w:p>
    <w:p>
      <w:pPr>
        <w:pStyle w:val="Heading5"/>
        <w:spacing w:before="240"/>
        <w:rPr>
          <w:snapToGrid w:val="0"/>
        </w:rPr>
      </w:pPr>
      <w:bookmarkStart w:id="301" w:name="_Toc462045399"/>
      <w:r>
        <w:rPr>
          <w:rStyle w:val="CharSectno"/>
        </w:rPr>
        <w:t>90</w:t>
      </w:r>
      <w:r>
        <w:rPr>
          <w:snapToGrid w:val="0"/>
        </w:rPr>
        <w:t>.</w:t>
      </w:r>
      <w:r>
        <w:rPr>
          <w:snapToGrid w:val="0"/>
        </w:rPr>
        <w:tab/>
        <w:t>Application for scientific purposes licence</w:t>
      </w:r>
      <w:bookmarkEnd w:id="301"/>
      <w:r>
        <w:rPr>
          <w:snapToGrid w:val="0"/>
        </w:rPr>
        <w:t xml:space="preserve"> </w:t>
      </w:r>
    </w:p>
    <w:p>
      <w:pPr>
        <w:pStyle w:val="Subsection"/>
        <w:rPr>
          <w:snapToGrid w:val="0"/>
        </w:rPr>
      </w:pPr>
      <w:r>
        <w:rPr>
          <w:snapToGrid w:val="0"/>
        </w:rPr>
        <w:tab/>
      </w:r>
      <w:r>
        <w:rPr>
          <w:snapToGrid w:val="0"/>
        </w:rPr>
        <w:tab/>
        <w:t xml:space="preserve">An application for a scientific purposes licence is to specify the flora and fauna the applicant proposes to take. </w:t>
      </w:r>
    </w:p>
    <w:p>
      <w:pPr>
        <w:pStyle w:val="Heading5"/>
        <w:spacing w:before="240"/>
        <w:rPr>
          <w:snapToGrid w:val="0"/>
        </w:rPr>
      </w:pPr>
      <w:bookmarkStart w:id="302" w:name="_Toc462045400"/>
      <w:r>
        <w:rPr>
          <w:rStyle w:val="CharSectno"/>
        </w:rPr>
        <w:t>91</w:t>
      </w:r>
      <w:r>
        <w:rPr>
          <w:snapToGrid w:val="0"/>
        </w:rPr>
        <w:t>.</w:t>
      </w:r>
      <w:r>
        <w:rPr>
          <w:snapToGrid w:val="0"/>
        </w:rPr>
        <w:tab/>
        <w:t>Duration of scientific purposes licence</w:t>
      </w:r>
      <w:bookmarkEnd w:id="302"/>
      <w:r>
        <w:rPr>
          <w:snapToGrid w:val="0"/>
        </w:rPr>
        <w:t xml:space="preserve"> </w:t>
      </w:r>
    </w:p>
    <w:p>
      <w:pPr>
        <w:pStyle w:val="Subsection"/>
        <w:rPr>
          <w:snapToGrid w:val="0"/>
        </w:rPr>
      </w:pPr>
      <w:r>
        <w:rPr>
          <w:snapToGrid w:val="0"/>
        </w:rPr>
        <w:tab/>
      </w:r>
      <w:r>
        <w:rPr>
          <w:snapToGrid w:val="0"/>
        </w:rPr>
        <w:tab/>
        <w:t>Subject to this Part, a scientific purposes licence remains current for the period specified in the licence.</w:t>
      </w:r>
    </w:p>
    <w:p>
      <w:pPr>
        <w:pStyle w:val="Heading5"/>
        <w:rPr>
          <w:snapToGrid w:val="0"/>
        </w:rPr>
      </w:pPr>
      <w:bookmarkStart w:id="303" w:name="_Toc462045401"/>
      <w:r>
        <w:rPr>
          <w:rStyle w:val="CharSectno"/>
        </w:rPr>
        <w:t>92</w:t>
      </w:r>
      <w:r>
        <w:rPr>
          <w:snapToGrid w:val="0"/>
        </w:rPr>
        <w:t>.</w:t>
      </w:r>
      <w:r>
        <w:rPr>
          <w:snapToGrid w:val="0"/>
        </w:rPr>
        <w:tab/>
        <w:t>Renewal of scientific purposes licence</w:t>
      </w:r>
      <w:bookmarkEnd w:id="303"/>
    </w:p>
    <w:p>
      <w:pPr>
        <w:pStyle w:val="Subsection"/>
        <w:spacing w:before="180"/>
      </w:pPr>
      <w:r>
        <w:tab/>
      </w:r>
      <w:r>
        <w:tab/>
        <w:t>The CEO may, on payment of the appropriate fee specified in Schedule 1 Division 8, renew the scientific purposes licence of any person for a further period determined by the CEO.</w:t>
      </w:r>
    </w:p>
    <w:p>
      <w:pPr>
        <w:pStyle w:val="Footnotesection"/>
      </w:pPr>
      <w:r>
        <w:tab/>
        <w:t>[Regulation 92 amended in Gazette 29 Sep 2006 p. 4334.]</w:t>
      </w:r>
    </w:p>
    <w:p>
      <w:pPr>
        <w:pStyle w:val="Heading5"/>
        <w:spacing w:before="240"/>
        <w:rPr>
          <w:snapToGrid w:val="0"/>
        </w:rPr>
      </w:pPr>
      <w:bookmarkStart w:id="304" w:name="_Toc462045402"/>
      <w:r>
        <w:rPr>
          <w:rStyle w:val="CharSectno"/>
        </w:rPr>
        <w:t>93</w:t>
      </w:r>
      <w:r>
        <w:rPr>
          <w:snapToGrid w:val="0"/>
        </w:rPr>
        <w:t>.</w:t>
      </w:r>
      <w:r>
        <w:rPr>
          <w:snapToGrid w:val="0"/>
        </w:rPr>
        <w:tab/>
        <w:t>Conditions and restrictions</w:t>
      </w:r>
      <w:bookmarkEnd w:id="304"/>
      <w:r>
        <w:rPr>
          <w:snapToGrid w:val="0"/>
        </w:rPr>
        <w:t xml:space="preserve"> </w:t>
      </w:r>
    </w:p>
    <w:p>
      <w:pPr>
        <w:pStyle w:val="Subsection"/>
        <w:spacing w:before="180"/>
        <w:rPr>
          <w:snapToGrid w:val="0"/>
        </w:rPr>
      </w:pPr>
      <w:r>
        <w:rPr>
          <w:snapToGrid w:val="0"/>
        </w:rPr>
        <w:tab/>
        <w:t>(1)</w:t>
      </w:r>
      <w:r>
        <w:rPr>
          <w:snapToGrid w:val="0"/>
        </w:rPr>
        <w:tab/>
        <w:t xml:space="preserve">A scientific purposes licence may be granted subject to such conditions and restrictions as the </w:t>
      </w:r>
      <w:r>
        <w:t xml:space="preserve">CEO </w:t>
      </w:r>
      <w:r>
        <w:rPr>
          <w:snapToGrid w:val="0"/>
        </w:rPr>
        <w:t>thinks fit, including conditions and restrictions as to — </w:t>
      </w:r>
    </w:p>
    <w:p>
      <w:pPr>
        <w:pStyle w:val="Indenta"/>
        <w:rPr>
          <w:snapToGrid w:val="0"/>
        </w:rPr>
      </w:pPr>
      <w:r>
        <w:rPr>
          <w:snapToGrid w:val="0"/>
        </w:rPr>
        <w:tab/>
        <w:t>(a)</w:t>
      </w:r>
      <w:r>
        <w:rPr>
          <w:snapToGrid w:val="0"/>
        </w:rPr>
        <w:tab/>
        <w:t>the marine nature reserves, marine parks and marine management areas in which the holder of the licence may take flora and fauna for scientific purposes; and</w:t>
      </w:r>
    </w:p>
    <w:p>
      <w:pPr>
        <w:pStyle w:val="Indenta"/>
        <w:rPr>
          <w:snapToGrid w:val="0"/>
        </w:rPr>
      </w:pPr>
      <w:r>
        <w:rPr>
          <w:snapToGrid w:val="0"/>
        </w:rPr>
        <w:tab/>
        <w:t>(b)</w:t>
      </w:r>
      <w:r>
        <w:rPr>
          <w:snapToGrid w:val="0"/>
        </w:rPr>
        <w:tab/>
        <w:t>the scientific purposes for which the flora and fauna may be used; and</w:t>
      </w:r>
    </w:p>
    <w:p>
      <w:pPr>
        <w:pStyle w:val="Indenta"/>
        <w:rPr>
          <w:snapToGrid w:val="0"/>
        </w:rPr>
      </w:pPr>
      <w:r>
        <w:rPr>
          <w:snapToGrid w:val="0"/>
        </w:rPr>
        <w:tab/>
        <w:t>(c)</w:t>
      </w:r>
      <w:r>
        <w:rPr>
          <w:snapToGrid w:val="0"/>
        </w:rPr>
        <w:tab/>
        <w:t>the species, and the greatest number of each or any species, that may be taken, held or disposed of; and</w:t>
      </w:r>
    </w:p>
    <w:p>
      <w:pPr>
        <w:pStyle w:val="Indenta"/>
        <w:rPr>
          <w:snapToGrid w:val="0"/>
        </w:rPr>
      </w:pPr>
      <w:r>
        <w:rPr>
          <w:snapToGrid w:val="0"/>
        </w:rPr>
        <w:tab/>
        <w:t>(d)</w:t>
      </w:r>
      <w:r>
        <w:rPr>
          <w:snapToGrid w:val="0"/>
        </w:rPr>
        <w:tab/>
        <w:t>the part or parts of the State in which the flora or fauna may be taken, held or released.</w:t>
      </w:r>
    </w:p>
    <w:p>
      <w:pPr>
        <w:pStyle w:val="Subsection"/>
        <w:spacing w:before="180"/>
        <w:rPr>
          <w:snapToGrid w:val="0"/>
        </w:rPr>
      </w:pPr>
      <w:r>
        <w:rPr>
          <w:snapToGrid w:val="0"/>
        </w:rPr>
        <w:tab/>
        <w:t>(2)</w:t>
      </w:r>
      <w:r>
        <w:rPr>
          <w:snapToGrid w:val="0"/>
        </w:rPr>
        <w:tab/>
        <w:t xml:space="preserve">The </w:t>
      </w:r>
      <w:r>
        <w:t xml:space="preserve">CEO </w:t>
      </w:r>
      <w:r>
        <w:rPr>
          <w:snapToGrid w:val="0"/>
        </w:rPr>
        <w:t xml:space="preserve">is not to impose any restrictions on the taking, in a marine park or marine management area — </w:t>
      </w:r>
    </w:p>
    <w:p>
      <w:pPr>
        <w:pStyle w:val="Indenta"/>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pPr>
      <w:r>
        <w:tab/>
        <w:t>(b)</w:t>
      </w:r>
      <w:r>
        <w:tab/>
        <w:t xml:space="preserve">of pearl oyster, within the meaning of the </w:t>
      </w:r>
      <w:r>
        <w:rPr>
          <w:i/>
        </w:rPr>
        <w:t>Pearling Act 1990</w:t>
      </w:r>
      <w:r>
        <w:t xml:space="preserve">, in accordance with that Act. </w:t>
      </w:r>
    </w:p>
    <w:p>
      <w:pPr>
        <w:pStyle w:val="Subsection"/>
      </w:pPr>
      <w:r>
        <w:tab/>
        <w:t>(3)</w:t>
      </w:r>
      <w:r>
        <w:tab/>
        <w:t>The prohibition in subregulation (2)(a) does not include a restriction that relates to conduct or activity other than the taking of fish but that incidentally affects the taking of fish.</w:t>
      </w:r>
    </w:p>
    <w:p>
      <w:pPr>
        <w:pStyle w:val="Subsection"/>
        <w:keepNext/>
        <w:rPr>
          <w:snapToGrid w:val="0"/>
        </w:rPr>
      </w:pPr>
      <w:r>
        <w:rPr>
          <w:snapToGrid w:val="0"/>
        </w:rPr>
        <w:tab/>
        <w:t>(4)</w:t>
      </w:r>
      <w:r>
        <w:rPr>
          <w:snapToGrid w:val="0"/>
        </w:rPr>
        <w:tab/>
        <w:t>Where a scientific purposes licence is granted subject to conditions or restrictions, those conditions or restrictions — </w:t>
      </w:r>
    </w:p>
    <w:p>
      <w:pPr>
        <w:pStyle w:val="Indenta"/>
        <w:rPr>
          <w:snapToGrid w:val="0"/>
        </w:rPr>
      </w:pPr>
      <w:r>
        <w:rPr>
          <w:snapToGrid w:val="0"/>
        </w:rPr>
        <w:tab/>
        <w:t>(a)</w:t>
      </w:r>
      <w:r>
        <w:rPr>
          <w:snapToGrid w:val="0"/>
        </w:rPr>
        <w:tab/>
        <w:t>are to be endorsed upon or attached to the licence when granted;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(5)</w:t>
      </w:r>
      <w:r>
        <w:rPr>
          <w:snapToGrid w:val="0"/>
        </w:rPr>
        <w:tab/>
        <w:t>The holder of a scientific purposes licence must not contravene a condition or restriction endorsed upon or attached to the licence.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93 amended in Gazette 4 Oct 2002 p. 5065; 29 Sep 2006 p. 4334; 3 Dec 2010 p. 6052</w:t>
      </w:r>
      <w:r>
        <w:noBreakHyphen/>
        <w:t>4; 19 Sep 2014 p. 3336.]</w:t>
      </w:r>
    </w:p>
    <w:p>
      <w:pPr>
        <w:pStyle w:val="Heading3"/>
      </w:pPr>
      <w:bookmarkStart w:id="305" w:name="_Toc436903782"/>
      <w:bookmarkStart w:id="306" w:name="_Toc436905724"/>
      <w:bookmarkStart w:id="307" w:name="_Toc436905945"/>
      <w:bookmarkStart w:id="308" w:name="_Toc437515698"/>
      <w:bookmarkStart w:id="309" w:name="_Toc447533298"/>
      <w:bookmarkStart w:id="310" w:name="_Toc456878206"/>
      <w:bookmarkStart w:id="311" w:name="_Toc456951723"/>
      <w:bookmarkStart w:id="312" w:name="_Toc458590307"/>
      <w:bookmarkStart w:id="313" w:name="_Toc458590529"/>
      <w:bookmarkStart w:id="314" w:name="_Toc458590750"/>
      <w:bookmarkStart w:id="315" w:name="_Toc462045403"/>
      <w:r>
        <w:rPr>
          <w:rStyle w:val="CharDivNo"/>
        </w:rPr>
        <w:t>Division 3</w:t>
      </w:r>
      <w:r>
        <w:rPr>
          <w:snapToGrid w:val="0"/>
        </w:rPr>
        <w:t xml:space="preserve"> — </w:t>
      </w:r>
      <w:r>
        <w:rPr>
          <w:rStyle w:val="CharDivText"/>
        </w:rPr>
        <w:t>Commercial operations licences</w:t>
      </w:r>
      <w:bookmarkEnd w:id="305"/>
      <w:bookmarkEnd w:id="306"/>
      <w:bookmarkEnd w:id="307"/>
      <w:bookmarkEnd w:id="308"/>
      <w:bookmarkEnd w:id="309"/>
      <w:bookmarkEnd w:id="310"/>
      <w:bookmarkEnd w:id="311"/>
      <w:bookmarkEnd w:id="312"/>
      <w:bookmarkEnd w:id="313"/>
      <w:bookmarkEnd w:id="314"/>
      <w:bookmarkEnd w:id="315"/>
      <w:r>
        <w:rPr>
          <w:rStyle w:val="CharDivText"/>
        </w:rPr>
        <w:t xml:space="preserve"> </w:t>
      </w:r>
    </w:p>
    <w:p>
      <w:pPr>
        <w:pStyle w:val="Heading5"/>
        <w:rPr>
          <w:snapToGrid w:val="0"/>
        </w:rPr>
      </w:pPr>
      <w:bookmarkStart w:id="316" w:name="_Toc462045404"/>
      <w:r>
        <w:rPr>
          <w:rStyle w:val="CharSectno"/>
        </w:rPr>
        <w:t>94</w:t>
      </w:r>
      <w:r>
        <w:rPr>
          <w:snapToGrid w:val="0"/>
        </w:rPr>
        <w:t>.</w:t>
      </w:r>
      <w:r>
        <w:rPr>
          <w:snapToGrid w:val="0"/>
        </w:rPr>
        <w:tab/>
        <w:t>Commercial operations licence</w:t>
      </w:r>
      <w:bookmarkEnd w:id="316"/>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grant a licence to any person to sell goods or services, or to undertake an activity for a commercial purpose, on an area of CALM land.</w:t>
      </w:r>
    </w:p>
    <w:p>
      <w:pPr>
        <w:pStyle w:val="Subsection"/>
      </w:pPr>
      <w:r>
        <w:rPr>
          <w:snapToGrid w:val="0"/>
        </w:rPr>
        <w:tab/>
        <w:t>(2)</w:t>
      </w:r>
      <w:r>
        <w:rPr>
          <w:snapToGrid w:val="0"/>
        </w:rPr>
        <w:tab/>
      </w:r>
      <w:r>
        <w:t>The CEO may not grant a licence under this regulation to take or remove forest produce or other flora from land to which Part VIII Division 2 of the Act applies and which is vested in the  Commission.</w:t>
      </w:r>
    </w:p>
    <w:p>
      <w:pPr>
        <w:pStyle w:val="Footnotesection"/>
      </w:pPr>
      <w:r>
        <w:tab/>
        <w:t>[Regulation 94 amended in Gazette 29 Sep 2006 p. 4334; 6 May 2016 p. 1382.]</w:t>
      </w:r>
    </w:p>
    <w:p>
      <w:pPr>
        <w:pStyle w:val="Heading5"/>
        <w:rPr>
          <w:snapToGrid w:val="0"/>
        </w:rPr>
      </w:pPr>
      <w:bookmarkStart w:id="317" w:name="_Toc462045405"/>
      <w:r>
        <w:rPr>
          <w:rStyle w:val="CharSectno"/>
        </w:rPr>
        <w:t>95</w:t>
      </w:r>
      <w:r>
        <w:rPr>
          <w:snapToGrid w:val="0"/>
        </w:rPr>
        <w:t>.</w:t>
      </w:r>
      <w:r>
        <w:rPr>
          <w:snapToGrid w:val="0"/>
        </w:rPr>
        <w:tab/>
        <w:t>Application for commercial operations licence</w:t>
      </w:r>
      <w:bookmarkEnd w:id="317"/>
      <w:r>
        <w:rPr>
          <w:snapToGrid w:val="0"/>
        </w:rPr>
        <w:t xml:space="preserve"> </w:t>
      </w:r>
    </w:p>
    <w:p>
      <w:pPr>
        <w:pStyle w:val="Subsection"/>
        <w:rPr>
          <w:snapToGrid w:val="0"/>
        </w:rPr>
      </w:pPr>
      <w:r>
        <w:rPr>
          <w:snapToGrid w:val="0"/>
        </w:rPr>
        <w:tab/>
      </w:r>
      <w:r>
        <w:rPr>
          <w:snapToGrid w:val="0"/>
        </w:rPr>
        <w:tab/>
        <w:t>An application for a commercial operations licence is to specify — </w:t>
      </w:r>
    </w:p>
    <w:p>
      <w:pPr>
        <w:pStyle w:val="Indenta"/>
        <w:rPr>
          <w:snapToGrid w:val="0"/>
        </w:rPr>
      </w:pPr>
      <w:r>
        <w:rPr>
          <w:snapToGrid w:val="0"/>
        </w:rPr>
        <w:tab/>
        <w:t>(a)</w:t>
      </w:r>
      <w:r>
        <w:rPr>
          <w:snapToGrid w:val="0"/>
        </w:rPr>
        <w:tab/>
        <w:t>the goods or services the applicant proposes to sell or the activity the applicant proposes to undertake; and</w:t>
      </w:r>
    </w:p>
    <w:p>
      <w:pPr>
        <w:pStyle w:val="Indenta"/>
        <w:rPr>
          <w:snapToGrid w:val="0"/>
        </w:rPr>
      </w:pPr>
      <w:r>
        <w:rPr>
          <w:snapToGrid w:val="0"/>
        </w:rPr>
        <w:tab/>
        <w:t>(b)</w:t>
      </w:r>
      <w:r>
        <w:rPr>
          <w:snapToGrid w:val="0"/>
        </w:rPr>
        <w:tab/>
        <w:t>the places where it is proposed to sell the goods or services or undertake the activity.</w:t>
      </w:r>
    </w:p>
    <w:p>
      <w:pPr>
        <w:pStyle w:val="Heading5"/>
        <w:spacing w:before="180"/>
        <w:rPr>
          <w:snapToGrid w:val="0"/>
        </w:rPr>
      </w:pPr>
      <w:bookmarkStart w:id="318" w:name="_Toc462045406"/>
      <w:r>
        <w:rPr>
          <w:rStyle w:val="CharSectno"/>
        </w:rPr>
        <w:t>96</w:t>
      </w:r>
      <w:r>
        <w:rPr>
          <w:snapToGrid w:val="0"/>
        </w:rPr>
        <w:t>.</w:t>
      </w:r>
      <w:r>
        <w:rPr>
          <w:snapToGrid w:val="0"/>
        </w:rPr>
        <w:tab/>
        <w:t>Duration of commercial operations licence</w:t>
      </w:r>
      <w:bookmarkEnd w:id="318"/>
      <w:r>
        <w:rPr>
          <w:snapToGrid w:val="0"/>
        </w:rPr>
        <w:t xml:space="preserve"> </w:t>
      </w:r>
    </w:p>
    <w:p>
      <w:pPr>
        <w:pStyle w:val="Subsection"/>
        <w:rPr>
          <w:snapToGrid w:val="0"/>
        </w:rPr>
      </w:pPr>
      <w:r>
        <w:rPr>
          <w:snapToGrid w:val="0"/>
        </w:rPr>
        <w:tab/>
      </w:r>
      <w:r>
        <w:rPr>
          <w:snapToGrid w:val="0"/>
        </w:rPr>
        <w:tab/>
        <w:t>Subject to this Part, a commercial operations licence is valid for such period, not exceeding 10 years, as is specified in the licence.</w:t>
      </w:r>
    </w:p>
    <w:p>
      <w:pPr>
        <w:pStyle w:val="Footnotesection"/>
      </w:pPr>
      <w:r>
        <w:tab/>
        <w:t>[Regulation 96 amended in Gazette 3 Dec 2010 p. 6049.]</w:t>
      </w:r>
    </w:p>
    <w:p>
      <w:pPr>
        <w:pStyle w:val="Heading5"/>
        <w:rPr>
          <w:snapToGrid w:val="0"/>
        </w:rPr>
      </w:pPr>
      <w:bookmarkStart w:id="319" w:name="_Toc462045407"/>
      <w:r>
        <w:rPr>
          <w:rStyle w:val="CharSectno"/>
        </w:rPr>
        <w:t>97</w:t>
      </w:r>
      <w:r>
        <w:rPr>
          <w:snapToGrid w:val="0"/>
        </w:rPr>
        <w:t>.</w:t>
      </w:r>
      <w:r>
        <w:rPr>
          <w:snapToGrid w:val="0"/>
        </w:rPr>
        <w:tab/>
        <w:t>Renewal of commercial operations licence</w:t>
      </w:r>
      <w:bookmarkEnd w:id="319"/>
    </w:p>
    <w:p>
      <w:pPr>
        <w:pStyle w:val="Subsection"/>
        <w:rPr>
          <w:snapToGrid w:val="0"/>
        </w:rPr>
      </w:pPr>
      <w:r>
        <w:rPr>
          <w:snapToGrid w:val="0"/>
        </w:rPr>
        <w:tab/>
      </w:r>
      <w:r>
        <w:rPr>
          <w:snapToGrid w:val="0"/>
        </w:rPr>
        <w:tab/>
        <w:t xml:space="preserve">The </w:t>
      </w:r>
      <w:r>
        <w:t xml:space="preserve">CEO </w:t>
      </w:r>
      <w:r>
        <w:rPr>
          <w:snapToGrid w:val="0"/>
        </w:rPr>
        <w:t>may, on payment of the appropriate fee specified in Schedule 1 Division 8, renew the commercial operations licence of any person for a further period not exceeding 5 years.</w:t>
      </w:r>
    </w:p>
    <w:p>
      <w:pPr>
        <w:pStyle w:val="Footnotesection"/>
      </w:pPr>
      <w:r>
        <w:tab/>
        <w:t>[Regulation 97 amended in Gazette 29 Sep 2006 p. 4334.]</w:t>
      </w:r>
    </w:p>
    <w:p>
      <w:pPr>
        <w:pStyle w:val="Heading5"/>
        <w:rPr>
          <w:snapToGrid w:val="0"/>
        </w:rPr>
      </w:pPr>
      <w:bookmarkStart w:id="320" w:name="_Toc462045408"/>
      <w:r>
        <w:rPr>
          <w:rStyle w:val="CharSectno"/>
        </w:rPr>
        <w:t>98</w:t>
      </w:r>
      <w:r>
        <w:rPr>
          <w:snapToGrid w:val="0"/>
        </w:rPr>
        <w:t>.</w:t>
      </w:r>
      <w:r>
        <w:rPr>
          <w:snapToGrid w:val="0"/>
        </w:rPr>
        <w:tab/>
        <w:t>Conditions</w:t>
      </w:r>
      <w:bookmarkEnd w:id="320"/>
      <w:r>
        <w:rPr>
          <w:snapToGrid w:val="0"/>
        </w:rPr>
        <w:t xml:space="preserve"> </w:t>
      </w:r>
    </w:p>
    <w:p>
      <w:pPr>
        <w:pStyle w:val="Subsection"/>
        <w:rPr>
          <w:snapToGrid w:val="0"/>
        </w:rPr>
      </w:pPr>
      <w:r>
        <w:rPr>
          <w:snapToGrid w:val="0"/>
        </w:rPr>
        <w:tab/>
        <w:t>(1)</w:t>
      </w:r>
      <w:r>
        <w:rPr>
          <w:snapToGrid w:val="0"/>
        </w:rPr>
        <w:tab/>
        <w:t xml:space="preserve">A commercial operations licence may be granted or renewed subject to such conditions as the </w:t>
      </w:r>
      <w:r>
        <w:t xml:space="preserve">CEO </w:t>
      </w:r>
      <w:r>
        <w:rPr>
          <w:snapToGrid w:val="0"/>
        </w:rPr>
        <w:t>thinks fit, including conditions as to — </w:t>
      </w:r>
    </w:p>
    <w:p>
      <w:pPr>
        <w:pStyle w:val="Indenta"/>
        <w:rPr>
          <w:snapToGrid w:val="0"/>
        </w:rPr>
      </w:pPr>
      <w:r>
        <w:rPr>
          <w:snapToGrid w:val="0"/>
        </w:rPr>
        <w:tab/>
        <w:t>(a)</w:t>
      </w:r>
      <w:r>
        <w:rPr>
          <w:snapToGrid w:val="0"/>
        </w:rPr>
        <w:tab/>
        <w:t>the land to which the licence applies; and</w:t>
      </w:r>
    </w:p>
    <w:p>
      <w:pPr>
        <w:pStyle w:val="Indenta"/>
        <w:rPr>
          <w:snapToGrid w:val="0"/>
        </w:rPr>
      </w:pPr>
      <w:r>
        <w:rPr>
          <w:snapToGrid w:val="0"/>
        </w:rPr>
        <w:tab/>
        <w:t>(b)</w:t>
      </w:r>
      <w:r>
        <w:rPr>
          <w:snapToGrid w:val="0"/>
        </w:rPr>
        <w:tab/>
        <w:t>the class or description of goods, services or activity to which the licence applies; and</w:t>
      </w:r>
    </w:p>
    <w:p>
      <w:pPr>
        <w:pStyle w:val="Indenta"/>
        <w:rPr>
          <w:snapToGrid w:val="0"/>
        </w:rPr>
      </w:pPr>
      <w:r>
        <w:rPr>
          <w:snapToGrid w:val="0"/>
        </w:rPr>
        <w:tab/>
        <w:t>(c)</w:t>
      </w:r>
      <w:r>
        <w:rPr>
          <w:snapToGrid w:val="0"/>
        </w:rPr>
        <w:tab/>
        <w:t>the manner in which the goods or services are to be supplied (including conditions as to the viewing and feeding of fauna) or the activity is to be undertaken; and</w:t>
      </w:r>
    </w:p>
    <w:p>
      <w:pPr>
        <w:pStyle w:val="Indenta"/>
        <w:rPr>
          <w:snapToGrid w:val="0"/>
        </w:rPr>
      </w:pPr>
      <w:r>
        <w:rPr>
          <w:snapToGrid w:val="0"/>
        </w:rPr>
        <w:tab/>
        <w:t>(d)</w:t>
      </w:r>
      <w:r>
        <w:rPr>
          <w:snapToGrid w:val="0"/>
        </w:rPr>
        <w:tab/>
        <w:t>the payment of any charge in relation to the use of land to which these regulations apply and the equipment, services and facilities of the Department.</w:t>
      </w:r>
    </w:p>
    <w:p>
      <w:pPr>
        <w:pStyle w:val="Subsection"/>
        <w:rPr>
          <w:snapToGrid w:val="0"/>
        </w:rPr>
      </w:pPr>
      <w:r>
        <w:rPr>
          <w:snapToGrid w:val="0"/>
        </w:rPr>
        <w:tab/>
        <w:t>(2)</w:t>
      </w:r>
      <w:r>
        <w:rPr>
          <w:snapToGrid w:val="0"/>
        </w:rPr>
        <w:tab/>
        <w:t>Where a commercial operations licence is granted or renewed subject to conditions, those conditions — </w:t>
      </w:r>
    </w:p>
    <w:p>
      <w:pPr>
        <w:pStyle w:val="Indenta"/>
        <w:rPr>
          <w:snapToGrid w:val="0"/>
        </w:rPr>
      </w:pPr>
      <w:r>
        <w:rPr>
          <w:snapToGrid w:val="0"/>
        </w:rPr>
        <w:tab/>
        <w:t>(a)</w:t>
      </w:r>
      <w:r>
        <w:rPr>
          <w:snapToGrid w:val="0"/>
        </w:rPr>
        <w:tab/>
        <w:t>are to be endorsed upon or attached to the licence when granted or renewed, as the case may be;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(3)</w:t>
      </w:r>
      <w:r>
        <w:rPr>
          <w:snapToGrid w:val="0"/>
        </w:rPr>
        <w:tab/>
        <w:t>The holder of a commercial operations licence must not contravene a condition endorsed upon or attached to the licence.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pPr>
      <w:r>
        <w:tab/>
        <w:t>[Regulation 98 amended in Gazette 29 Sep 2006 p. 4334; 3 Dec 2010 p. 6052</w:t>
      </w:r>
      <w:r>
        <w:noBreakHyphen/>
        <w:t>4; 19 Sep 2014 p. 3336.]</w:t>
      </w:r>
    </w:p>
    <w:p>
      <w:pPr>
        <w:pStyle w:val="Heading3"/>
        <w:pageBreakBefore/>
        <w:spacing w:before="0"/>
      </w:pPr>
      <w:bookmarkStart w:id="321" w:name="_Toc436903788"/>
      <w:bookmarkStart w:id="322" w:name="_Toc436905730"/>
      <w:bookmarkStart w:id="323" w:name="_Toc436905951"/>
      <w:bookmarkStart w:id="324" w:name="_Toc437515704"/>
      <w:bookmarkStart w:id="325" w:name="_Toc447533304"/>
      <w:bookmarkStart w:id="326" w:name="_Toc456878212"/>
      <w:bookmarkStart w:id="327" w:name="_Toc456951729"/>
      <w:bookmarkStart w:id="328" w:name="_Toc458590313"/>
      <w:bookmarkStart w:id="329" w:name="_Toc458590535"/>
      <w:bookmarkStart w:id="330" w:name="_Toc458590756"/>
      <w:bookmarkStart w:id="331" w:name="_Toc462045409"/>
      <w:r>
        <w:rPr>
          <w:rStyle w:val="CharDivNo"/>
        </w:rPr>
        <w:t>Division 4</w:t>
      </w:r>
      <w:r>
        <w:t> — </w:t>
      </w:r>
      <w:r>
        <w:rPr>
          <w:rStyle w:val="CharDivText"/>
        </w:rPr>
        <w:t>Rental mooring licence</w:t>
      </w:r>
      <w:bookmarkEnd w:id="321"/>
      <w:bookmarkEnd w:id="322"/>
      <w:bookmarkEnd w:id="323"/>
      <w:bookmarkEnd w:id="324"/>
      <w:bookmarkEnd w:id="325"/>
      <w:bookmarkEnd w:id="326"/>
      <w:bookmarkEnd w:id="327"/>
      <w:bookmarkEnd w:id="328"/>
      <w:bookmarkEnd w:id="329"/>
      <w:bookmarkEnd w:id="330"/>
      <w:bookmarkEnd w:id="331"/>
    </w:p>
    <w:p>
      <w:pPr>
        <w:pStyle w:val="Footnoteheading"/>
      </w:pPr>
      <w:r>
        <w:tab/>
        <w:t>[Heading inserted in Gazette 24 Mar 2015 p. 1036.]</w:t>
      </w:r>
    </w:p>
    <w:p>
      <w:pPr>
        <w:pStyle w:val="Heading5"/>
      </w:pPr>
      <w:bookmarkStart w:id="332" w:name="_Toc462045410"/>
      <w:r>
        <w:rPr>
          <w:rStyle w:val="CharSectno"/>
        </w:rPr>
        <w:t>98AA</w:t>
      </w:r>
      <w:r>
        <w:t>.</w:t>
      </w:r>
      <w:r>
        <w:tab/>
        <w:t>Terms used</w:t>
      </w:r>
      <w:bookmarkEnd w:id="332"/>
    </w:p>
    <w:p>
      <w:pPr>
        <w:pStyle w:val="Subsection"/>
      </w:pPr>
      <w:r>
        <w:tab/>
      </w:r>
      <w:r>
        <w:tab/>
        <w:t xml:space="preserve">In this Division — </w:t>
      </w:r>
    </w:p>
    <w:p>
      <w:pPr>
        <w:pStyle w:val="Defstart"/>
      </w:pPr>
      <w:r>
        <w:tab/>
      </w:r>
      <w:r>
        <w:rPr>
          <w:rStyle w:val="CharDefText"/>
        </w:rPr>
        <w:t>licence holder</w:t>
      </w:r>
      <w:r>
        <w:t xml:space="preserve"> means the holder of a licence granted under regulation 98AC;</w:t>
      </w:r>
    </w:p>
    <w:p>
      <w:pPr>
        <w:pStyle w:val="Defstart"/>
      </w:pPr>
      <w:r>
        <w:tab/>
      </w:r>
      <w:r>
        <w:rPr>
          <w:rStyle w:val="CharDefText"/>
        </w:rPr>
        <w:t>rental mooring</w:t>
      </w:r>
      <w:r>
        <w:t xml:space="preserve"> means a mooring designated as a rental mooring under regulation 98AB;</w:t>
      </w:r>
    </w:p>
    <w:p>
      <w:pPr>
        <w:pStyle w:val="Defstart"/>
      </w:pPr>
      <w:r>
        <w:tab/>
      </w:r>
      <w:r>
        <w:rPr>
          <w:rStyle w:val="CharDefText"/>
        </w:rPr>
        <w:t>rental mooring licence</w:t>
      </w:r>
      <w:r>
        <w:t xml:space="preserve"> means a licence granted under regulation 98AC.</w:t>
      </w:r>
    </w:p>
    <w:p>
      <w:pPr>
        <w:pStyle w:val="Footnotesection"/>
      </w:pPr>
      <w:r>
        <w:tab/>
        <w:t>[Regulation 98AA inserted in Gazette 24 Mar 2015 p. 1036</w:t>
      </w:r>
      <w:r>
        <w:noBreakHyphen/>
        <w:t>7.]</w:t>
      </w:r>
    </w:p>
    <w:p>
      <w:pPr>
        <w:pStyle w:val="Heading5"/>
      </w:pPr>
      <w:bookmarkStart w:id="333" w:name="_Toc462045411"/>
      <w:r>
        <w:t>98AB.</w:t>
      </w:r>
      <w:r>
        <w:tab/>
        <w:t>CEO may designate rental mooring</w:t>
      </w:r>
      <w:bookmarkEnd w:id="333"/>
    </w:p>
    <w:p>
      <w:pPr>
        <w:pStyle w:val="Subsection"/>
      </w:pPr>
      <w:r>
        <w:tab/>
        <w:t>(1)</w:t>
      </w:r>
      <w:r>
        <w:tab/>
        <w:t xml:space="preserve">The CEO may, by notice published in the </w:t>
      </w:r>
      <w:r>
        <w:rPr>
          <w:i/>
        </w:rPr>
        <w:t>Gazette</w:t>
      </w:r>
      <w:r>
        <w:t>, designate a mooring (other than a public mooring) that is on CALM land as a rental mooring.</w:t>
      </w:r>
    </w:p>
    <w:p>
      <w:pPr>
        <w:pStyle w:val="Subsection"/>
      </w:pPr>
      <w:r>
        <w:tab/>
        <w:t>(2)</w:t>
      </w:r>
      <w:r>
        <w:tab/>
        <w:t>A mooring may be declared to be a rental mooring at all times or during a period or periods specified in the notice.</w:t>
      </w:r>
    </w:p>
    <w:p>
      <w:pPr>
        <w:pStyle w:val="Subsection"/>
      </w:pPr>
      <w:r>
        <w:tab/>
        <w:t>(3)</w:t>
      </w:r>
      <w:r>
        <w:tab/>
        <w:t xml:space="preserve">The CEO may, by notice published in the </w:t>
      </w:r>
      <w:r>
        <w:rPr>
          <w:i/>
        </w:rPr>
        <w:t>Gazette</w:t>
      </w:r>
      <w:r>
        <w:t>, amend or revoke any previous notice published under this regulation.</w:t>
      </w:r>
    </w:p>
    <w:p>
      <w:pPr>
        <w:pStyle w:val="Subsection"/>
      </w:pPr>
      <w:r>
        <w:tab/>
        <w:t>(4)</w:t>
      </w:r>
      <w:r>
        <w:tab/>
        <w:t>A notice published under this regulation takes effect on such day after publication as is specified in the notice.</w:t>
      </w:r>
    </w:p>
    <w:p>
      <w:pPr>
        <w:pStyle w:val="Footnotesection"/>
      </w:pPr>
      <w:r>
        <w:tab/>
        <w:t>[Regulation 98AB inserted in Gazette 24 Mar 2015 p. 1037.]</w:t>
      </w:r>
    </w:p>
    <w:p>
      <w:pPr>
        <w:pStyle w:val="Heading5"/>
      </w:pPr>
      <w:bookmarkStart w:id="334" w:name="_Toc462045412"/>
      <w:r>
        <w:rPr>
          <w:rStyle w:val="CharSectno"/>
        </w:rPr>
        <w:t>98AC</w:t>
      </w:r>
      <w:r>
        <w:t>.</w:t>
      </w:r>
      <w:r>
        <w:tab/>
        <w:t>Rental mooring licence</w:t>
      </w:r>
      <w:bookmarkEnd w:id="334"/>
    </w:p>
    <w:p>
      <w:pPr>
        <w:pStyle w:val="Subsection"/>
      </w:pPr>
      <w:r>
        <w:tab/>
        <w:t>(1)</w:t>
      </w:r>
      <w:r>
        <w:tab/>
        <w:t xml:space="preserve">In this regulation — </w:t>
      </w:r>
    </w:p>
    <w:p>
      <w:pPr>
        <w:pStyle w:val="Defstart"/>
      </w:pPr>
      <w:r>
        <w:tab/>
      </w:r>
      <w:r>
        <w:rPr>
          <w:rStyle w:val="CharDefText"/>
        </w:rPr>
        <w:t>specified</w:t>
      </w:r>
      <w:r>
        <w:t xml:space="preserve"> means specified in a licence.</w:t>
      </w:r>
    </w:p>
    <w:p>
      <w:pPr>
        <w:pStyle w:val="Subsection"/>
      </w:pPr>
      <w:r>
        <w:tab/>
        <w:t>(2)</w:t>
      </w:r>
      <w:r>
        <w:tab/>
        <w:t>The CEO may grant a licence authorising the use of a specified rental mooring by a specified vessel for a specified period.</w:t>
      </w:r>
    </w:p>
    <w:p>
      <w:pPr>
        <w:pStyle w:val="Footnotesection"/>
      </w:pPr>
      <w:r>
        <w:tab/>
        <w:t>[Regulation 98AC inserted in Gazette 24 Mar 2015 p. 1037.]</w:t>
      </w:r>
    </w:p>
    <w:p>
      <w:pPr>
        <w:pStyle w:val="Heading5"/>
      </w:pPr>
      <w:bookmarkStart w:id="335" w:name="_Toc462045413"/>
      <w:r>
        <w:rPr>
          <w:rStyle w:val="CharSectno"/>
        </w:rPr>
        <w:t>98AD</w:t>
      </w:r>
      <w:r>
        <w:t>.</w:t>
      </w:r>
      <w:r>
        <w:tab/>
        <w:t>Application for rental mooring licence</w:t>
      </w:r>
      <w:bookmarkEnd w:id="335"/>
    </w:p>
    <w:p>
      <w:pPr>
        <w:pStyle w:val="Subsection"/>
      </w:pPr>
      <w:r>
        <w:rPr>
          <w:snapToGrid w:val="0"/>
        </w:rPr>
        <w:tab/>
      </w:r>
      <w:r>
        <w:rPr>
          <w:snapToGrid w:val="0"/>
        </w:rPr>
        <w:tab/>
        <w:t xml:space="preserve">An </w:t>
      </w:r>
      <w:r>
        <w:t xml:space="preserve">application for a rental mooring licence must specify — </w:t>
      </w:r>
    </w:p>
    <w:p>
      <w:pPr>
        <w:pStyle w:val="Indenta"/>
        <w:rPr>
          <w:snapToGrid w:val="0"/>
        </w:rPr>
      </w:pPr>
      <w:r>
        <w:tab/>
        <w:t>(a)</w:t>
      </w:r>
      <w:r>
        <w:tab/>
        <w:t>the rental mooring to which the application relates</w:t>
      </w:r>
      <w:r>
        <w:rPr>
          <w:snapToGrid w:val="0"/>
        </w:rPr>
        <w:t>; and</w:t>
      </w:r>
    </w:p>
    <w:p>
      <w:pPr>
        <w:pStyle w:val="Indenta"/>
        <w:rPr>
          <w:snapToGrid w:val="0"/>
        </w:rPr>
      </w:pPr>
      <w:r>
        <w:rPr>
          <w:snapToGrid w:val="0"/>
        </w:rPr>
        <w:tab/>
        <w:t>(b)</w:t>
      </w:r>
      <w:r>
        <w:rPr>
          <w:snapToGrid w:val="0"/>
        </w:rPr>
        <w:tab/>
        <w:t>particulars of the vessel to which the application relates; and</w:t>
      </w:r>
    </w:p>
    <w:p>
      <w:pPr>
        <w:pStyle w:val="Indenta"/>
        <w:rPr>
          <w:snapToGrid w:val="0"/>
        </w:rPr>
      </w:pPr>
      <w:r>
        <w:rPr>
          <w:snapToGrid w:val="0"/>
        </w:rPr>
        <w:tab/>
        <w:t>(c)</w:t>
      </w:r>
      <w:r>
        <w:rPr>
          <w:snapToGrid w:val="0"/>
        </w:rPr>
        <w:tab/>
        <w:t>the period for which the licence is sought.</w:t>
      </w:r>
    </w:p>
    <w:p>
      <w:pPr>
        <w:pStyle w:val="Footnotesection"/>
      </w:pPr>
      <w:r>
        <w:tab/>
        <w:t>[Regulation 98AD inserted in Gazette 24 Mar 2015 p. 1037.]</w:t>
      </w:r>
    </w:p>
    <w:p>
      <w:pPr>
        <w:pStyle w:val="Heading5"/>
      </w:pPr>
      <w:bookmarkStart w:id="336" w:name="_Toc462045414"/>
      <w:r>
        <w:rPr>
          <w:rStyle w:val="CharSectno"/>
        </w:rPr>
        <w:t>98AE</w:t>
      </w:r>
      <w:r>
        <w:t>.</w:t>
      </w:r>
      <w:r>
        <w:tab/>
        <w:t>Duration of rental mooring licence</w:t>
      </w:r>
      <w:bookmarkEnd w:id="336"/>
    </w:p>
    <w:p>
      <w:pPr>
        <w:pStyle w:val="Subsection"/>
      </w:pPr>
      <w:r>
        <w:tab/>
      </w:r>
      <w:r>
        <w:tab/>
        <w:t>Subject to this Part, a rental mooring licence remains in force for the period specified in the licence.</w:t>
      </w:r>
    </w:p>
    <w:p>
      <w:pPr>
        <w:pStyle w:val="Footnotesection"/>
      </w:pPr>
      <w:r>
        <w:tab/>
        <w:t>[Regulation 98AE inserted in Gazette 24 Mar 2015 p. 1037.]</w:t>
      </w:r>
    </w:p>
    <w:p>
      <w:pPr>
        <w:pStyle w:val="Heading5"/>
      </w:pPr>
      <w:bookmarkStart w:id="337" w:name="_Toc462045415"/>
      <w:r>
        <w:rPr>
          <w:rStyle w:val="CharSectno"/>
        </w:rPr>
        <w:t>98AF</w:t>
      </w:r>
      <w:r>
        <w:t>.</w:t>
      </w:r>
      <w:r>
        <w:tab/>
        <w:t>Conditions</w:t>
      </w:r>
      <w:bookmarkEnd w:id="337"/>
    </w:p>
    <w:p>
      <w:pPr>
        <w:pStyle w:val="Subsection"/>
      </w:pPr>
      <w:r>
        <w:tab/>
        <w:t>(1)</w:t>
      </w:r>
      <w:r>
        <w:tab/>
        <w:t xml:space="preserve">A rental mooring licence may be granted subject to such conditions as the CEO thinks fit including conditions as to — </w:t>
      </w:r>
    </w:p>
    <w:p>
      <w:pPr>
        <w:pStyle w:val="Indenta"/>
      </w:pPr>
      <w:r>
        <w:tab/>
        <w:t>(a)</w:t>
      </w:r>
      <w:r>
        <w:tab/>
        <w:t>the manner in which the specified vessel may be secured to the mooring; and</w:t>
      </w:r>
    </w:p>
    <w:p>
      <w:pPr>
        <w:pStyle w:val="Indenta"/>
      </w:pPr>
      <w:r>
        <w:tab/>
        <w:t>(b)</w:t>
      </w:r>
      <w:r>
        <w:tab/>
        <w:t>the payment of any charge in respect of the use of the land on which the mooring is located.</w:t>
      </w:r>
    </w:p>
    <w:p>
      <w:pPr>
        <w:pStyle w:val="Subsection"/>
      </w:pPr>
      <w:r>
        <w:tab/>
        <w:t>(2)</w:t>
      </w:r>
      <w:r>
        <w:tab/>
        <w:t xml:space="preserve">If a rental mooring licence is granted subject to conditions, those conditions — </w:t>
      </w:r>
    </w:p>
    <w:p>
      <w:pPr>
        <w:pStyle w:val="Indenta"/>
      </w:pPr>
      <w:r>
        <w:tab/>
        <w:t>(a)</w:t>
      </w:r>
      <w:r>
        <w:tab/>
        <w:t>are to be endorsed upon or attached to the licence when granted; and</w:t>
      </w:r>
    </w:p>
    <w:p>
      <w:pPr>
        <w:pStyle w:val="Indenta"/>
      </w:pPr>
      <w:r>
        <w:tab/>
        <w:t>(b)</w:t>
      </w:r>
      <w:r>
        <w:tab/>
        <w:t>may be added to, cancelled, suspended and otherwise varied by the CEO from time to time during the operation of the licence.</w:t>
      </w:r>
    </w:p>
    <w:p>
      <w:pPr>
        <w:pStyle w:val="Subsection"/>
      </w:pPr>
      <w:r>
        <w:tab/>
        <w:t>(3)</w:t>
      </w:r>
      <w:r>
        <w:tab/>
        <w:t>A licence holder must not contravene a condition endorsed upon or attached to the licence.</w:t>
      </w:r>
    </w:p>
    <w:p>
      <w:pPr>
        <w:pStyle w:val="Penstart"/>
      </w:pPr>
      <w:r>
        <w:tab/>
        <w:t>Penalty: a fine of $1 000.</w:t>
      </w:r>
    </w:p>
    <w:p>
      <w:pPr>
        <w:pStyle w:val="Footnotesection"/>
      </w:pPr>
      <w:r>
        <w:tab/>
        <w:t>[Regulation 98AF inserted in Gazette 24 Mar 2015 p. 1037</w:t>
      </w:r>
      <w:r>
        <w:noBreakHyphen/>
        <w:t>8.]</w:t>
      </w:r>
    </w:p>
    <w:p>
      <w:pPr>
        <w:pStyle w:val="Heading5"/>
      </w:pPr>
      <w:bookmarkStart w:id="338" w:name="_Toc462045416"/>
      <w:r>
        <w:rPr>
          <w:rStyle w:val="CharSectno"/>
        </w:rPr>
        <w:t>98AG</w:t>
      </w:r>
      <w:r>
        <w:t>.</w:t>
      </w:r>
      <w:r>
        <w:tab/>
        <w:t>Cancellation of licence at request of licence holder</w:t>
      </w:r>
      <w:bookmarkEnd w:id="338"/>
    </w:p>
    <w:p>
      <w:pPr>
        <w:pStyle w:val="Subsection"/>
      </w:pPr>
      <w:r>
        <w:tab/>
        <w:t>(1)</w:t>
      </w:r>
      <w:r>
        <w:tab/>
        <w:t>The licence holder may request the CEO to cancel a rental mooring licence.</w:t>
      </w:r>
    </w:p>
    <w:p>
      <w:pPr>
        <w:pStyle w:val="Subsection"/>
      </w:pPr>
      <w:r>
        <w:tab/>
        <w:t>(2)</w:t>
      </w:r>
      <w:r>
        <w:tab/>
        <w:t xml:space="preserve">On a request made under subregulation (1) the CEO must cancel the licence and may refund to the licence holder, in whole or in part, the charge paid in respect of the licence if the CEO considers it appropriate to do so in the circumstances. </w:t>
      </w:r>
    </w:p>
    <w:p>
      <w:pPr>
        <w:pStyle w:val="Footnotesection"/>
      </w:pPr>
      <w:r>
        <w:tab/>
        <w:t>[Regulation 98AG inserted in Gazette 24 Mar 2015 p. 1038.]</w:t>
      </w:r>
    </w:p>
    <w:p>
      <w:pPr>
        <w:pStyle w:val="Heading5"/>
      </w:pPr>
      <w:bookmarkStart w:id="339" w:name="_Toc462045417"/>
      <w:r>
        <w:rPr>
          <w:rStyle w:val="CharSectno"/>
        </w:rPr>
        <w:t>98AH</w:t>
      </w:r>
      <w:r>
        <w:t>.</w:t>
      </w:r>
      <w:r>
        <w:tab/>
        <w:t>Damage to rental mooring</w:t>
      </w:r>
      <w:bookmarkEnd w:id="339"/>
    </w:p>
    <w:p>
      <w:pPr>
        <w:pStyle w:val="Subsection"/>
      </w:pPr>
      <w:r>
        <w:tab/>
        <w:t>(1)</w:t>
      </w:r>
      <w:r>
        <w:tab/>
        <w:t xml:space="preserve">If a rental mooring is damaged or destroyed (the </w:t>
      </w:r>
      <w:r>
        <w:rPr>
          <w:rStyle w:val="CharDefText"/>
        </w:rPr>
        <w:t>loss</w:t>
      </w:r>
      <w:r>
        <w:t xml:space="preserve">) during the period specified in a rental mooring licence in respect of that rental mooring, the cost of repair or replacement is a debt due to the State by the licence holder and is recoverable in a court of competent jurisdiction unless the person can show that — </w:t>
      </w:r>
    </w:p>
    <w:p>
      <w:pPr>
        <w:pStyle w:val="Indenta"/>
      </w:pPr>
      <w:r>
        <w:tab/>
        <w:t>(a)</w:t>
      </w:r>
      <w:r>
        <w:tab/>
        <w:t>the loss was caused by the act or omission of some other person; and</w:t>
      </w:r>
    </w:p>
    <w:p>
      <w:pPr>
        <w:pStyle w:val="Indenta"/>
      </w:pPr>
      <w:r>
        <w:tab/>
        <w:t>(b)</w:t>
      </w:r>
      <w:r>
        <w:tab/>
        <w:t>the licence holder could not have prevented the loss by the exercise of responsible care.</w:t>
      </w:r>
    </w:p>
    <w:p>
      <w:pPr>
        <w:pStyle w:val="Subsection"/>
      </w:pPr>
      <w:r>
        <w:tab/>
        <w:t>(2)</w:t>
      </w:r>
      <w:r>
        <w:tab/>
        <w:t xml:space="preserve">For the purposes of subregulation (1), the loss is taken to have occurred during the period specified in the licence if — </w:t>
      </w:r>
    </w:p>
    <w:p>
      <w:pPr>
        <w:pStyle w:val="Indenta"/>
      </w:pPr>
      <w:r>
        <w:tab/>
        <w:t>(a)</w:t>
      </w:r>
      <w:r>
        <w:tab/>
        <w:t>the mooring is found to be damaged or destroyed at the end of the period specified in the licence; and</w:t>
      </w:r>
    </w:p>
    <w:p>
      <w:pPr>
        <w:pStyle w:val="Indenta"/>
      </w:pPr>
      <w:r>
        <w:tab/>
        <w:t>(b)</w:t>
      </w:r>
      <w:r>
        <w:tab/>
        <w:t>the licence holder did not report the loss to the CEO at the commencement of the period specified in the licence.</w:t>
      </w:r>
    </w:p>
    <w:p>
      <w:pPr>
        <w:pStyle w:val="Footnotesection"/>
      </w:pPr>
      <w:r>
        <w:tab/>
        <w:t>[Regulation 98AH inserted in Gazette 24 Mar 2015 p. 1038.]</w:t>
      </w:r>
    </w:p>
    <w:p>
      <w:pPr>
        <w:pStyle w:val="Heading3"/>
        <w:pageBreakBefore/>
        <w:spacing w:before="0"/>
      </w:pPr>
      <w:bookmarkStart w:id="340" w:name="_Toc436903797"/>
      <w:bookmarkStart w:id="341" w:name="_Toc436905739"/>
      <w:bookmarkStart w:id="342" w:name="_Toc436905960"/>
      <w:bookmarkStart w:id="343" w:name="_Toc437515713"/>
      <w:bookmarkStart w:id="344" w:name="_Toc447533313"/>
      <w:bookmarkStart w:id="345" w:name="_Toc456878221"/>
      <w:bookmarkStart w:id="346" w:name="_Toc456951738"/>
      <w:bookmarkStart w:id="347" w:name="_Toc458590322"/>
      <w:bookmarkStart w:id="348" w:name="_Toc458590544"/>
      <w:bookmarkStart w:id="349" w:name="_Toc458590765"/>
      <w:bookmarkStart w:id="350" w:name="_Toc462045418"/>
      <w:r>
        <w:rPr>
          <w:rStyle w:val="CharDivNo"/>
        </w:rPr>
        <w:t>Division 5</w:t>
      </w:r>
      <w:r>
        <w:t> — </w:t>
      </w:r>
      <w:r>
        <w:rPr>
          <w:rStyle w:val="CharDivText"/>
        </w:rPr>
        <w:t>Private mooring licence</w:t>
      </w:r>
      <w:bookmarkEnd w:id="340"/>
      <w:bookmarkEnd w:id="341"/>
      <w:bookmarkEnd w:id="342"/>
      <w:bookmarkEnd w:id="343"/>
      <w:bookmarkEnd w:id="344"/>
      <w:bookmarkEnd w:id="345"/>
      <w:bookmarkEnd w:id="346"/>
      <w:bookmarkEnd w:id="347"/>
      <w:bookmarkEnd w:id="348"/>
      <w:bookmarkEnd w:id="349"/>
      <w:bookmarkEnd w:id="350"/>
    </w:p>
    <w:p>
      <w:pPr>
        <w:pStyle w:val="Footnoteheading"/>
      </w:pPr>
      <w:r>
        <w:tab/>
        <w:t>[Heading inserted in Gazette 24 Mar 2015 p. 1038.]</w:t>
      </w:r>
    </w:p>
    <w:p>
      <w:pPr>
        <w:pStyle w:val="Heading5"/>
        <w:rPr>
          <w:snapToGrid w:val="0"/>
        </w:rPr>
      </w:pPr>
      <w:bookmarkStart w:id="351" w:name="_Toc462045419"/>
      <w:r>
        <w:rPr>
          <w:rStyle w:val="CharSectno"/>
        </w:rPr>
        <w:t>98AI</w:t>
      </w:r>
      <w:r>
        <w:rPr>
          <w:snapToGrid w:val="0"/>
        </w:rPr>
        <w:t>.</w:t>
      </w:r>
      <w:r>
        <w:rPr>
          <w:snapToGrid w:val="0"/>
        </w:rPr>
        <w:tab/>
        <w:t>Terms used</w:t>
      </w:r>
      <w:bookmarkEnd w:id="351"/>
    </w:p>
    <w:p>
      <w:pPr>
        <w:pStyle w:val="Subsection"/>
        <w:rPr>
          <w:snapToGrid w:val="0"/>
        </w:rPr>
      </w:pPr>
      <w:r>
        <w:rPr>
          <w:snapToGrid w:val="0"/>
        </w:rPr>
        <w:tab/>
        <w:t>(1)</w:t>
      </w:r>
      <w:r>
        <w:rPr>
          <w:snapToGrid w:val="0"/>
        </w:rPr>
        <w:tab/>
        <w:t>In this Division — </w:t>
      </w:r>
    </w:p>
    <w:p>
      <w:pPr>
        <w:pStyle w:val="Defstart"/>
      </w:pPr>
      <w:r>
        <w:tab/>
      </w:r>
      <w:r>
        <w:rPr>
          <w:rStyle w:val="CharDefText"/>
        </w:rPr>
        <w:t>current inspection report</w:t>
      </w:r>
      <w:r>
        <w:t xml:space="preserve"> has the meaning given in subregulation (2); </w:t>
      </w:r>
    </w:p>
    <w:p>
      <w:pPr>
        <w:pStyle w:val="Defstart"/>
      </w:pPr>
      <w:r>
        <w:tab/>
      </w:r>
      <w:r>
        <w:rPr>
          <w:rStyle w:val="CharDefText"/>
        </w:rPr>
        <w:t>inspection report</w:t>
      </w:r>
      <w:r>
        <w:t xml:space="preserve"> means a report about the condition of a mooring prepared by a person approved by the CEO after the person has inspected the mooring;</w:t>
      </w:r>
    </w:p>
    <w:p>
      <w:pPr>
        <w:pStyle w:val="Defstart"/>
      </w:pPr>
      <w:r>
        <w:tab/>
      </w:r>
      <w:r>
        <w:rPr>
          <w:rStyle w:val="CharDefText"/>
        </w:rPr>
        <w:t>licence holder</w:t>
      </w:r>
      <w:r>
        <w:t xml:space="preserve"> means the holder of a private mooring licence for a mooring;</w:t>
      </w:r>
    </w:p>
    <w:p>
      <w:pPr>
        <w:pStyle w:val="Defstart"/>
      </w:pPr>
      <w:r>
        <w:tab/>
      </w:r>
      <w:r>
        <w:rPr>
          <w:rStyle w:val="CharDefText"/>
        </w:rPr>
        <w:t>licensed mooring</w:t>
      </w:r>
      <w:r>
        <w:t xml:space="preserve"> means a mooring for which a private mooring licence is in force;</w:t>
      </w:r>
    </w:p>
    <w:p>
      <w:pPr>
        <w:pStyle w:val="Defstart"/>
      </w:pPr>
      <w:r>
        <w:tab/>
      </w:r>
      <w:r>
        <w:rPr>
          <w:rStyle w:val="CharDefText"/>
        </w:rPr>
        <w:t>mooring licence area</w:t>
      </w:r>
      <w:r>
        <w:t xml:space="preserve"> means an area declared under regulation 98AJ to be a mooring licence area;</w:t>
      </w:r>
    </w:p>
    <w:p>
      <w:pPr>
        <w:pStyle w:val="Defstart"/>
      </w:pPr>
      <w:r>
        <w:tab/>
      </w:r>
      <w:r>
        <w:rPr>
          <w:rStyle w:val="CharDefText"/>
        </w:rPr>
        <w:t>private mooring</w:t>
      </w:r>
      <w:r>
        <w:t xml:space="preserve"> means a mooring on CALM land that is not — </w:t>
      </w:r>
    </w:p>
    <w:p>
      <w:pPr>
        <w:pStyle w:val="Defpara"/>
      </w:pPr>
      <w:r>
        <w:tab/>
        <w:t>(a)</w:t>
      </w:r>
      <w:r>
        <w:tab/>
        <w:t>a public mooring; or</w:t>
      </w:r>
    </w:p>
    <w:p>
      <w:pPr>
        <w:pStyle w:val="Defpara"/>
      </w:pPr>
      <w:r>
        <w:tab/>
        <w:t>(b)</w:t>
      </w:r>
      <w:r>
        <w:tab/>
        <w:t>a rental mooring; or</w:t>
      </w:r>
    </w:p>
    <w:p>
      <w:pPr>
        <w:pStyle w:val="Defpara"/>
      </w:pPr>
      <w:r>
        <w:tab/>
        <w:t>(c)</w:t>
      </w:r>
      <w:r>
        <w:tab/>
        <w:t>a mooring that is approved by the CEO for use in connection with a commercial operations licence;</w:t>
      </w:r>
    </w:p>
    <w:p>
      <w:pPr>
        <w:pStyle w:val="Defstart"/>
      </w:pPr>
      <w:r>
        <w:tab/>
      </w:r>
      <w:r>
        <w:rPr>
          <w:rStyle w:val="CharDefText"/>
        </w:rPr>
        <w:t>private mooring licence</w:t>
      </w:r>
      <w:r>
        <w:t xml:space="preserve"> means a licence under this Division.</w:t>
      </w:r>
    </w:p>
    <w:p>
      <w:pPr>
        <w:pStyle w:val="Subsection"/>
      </w:pPr>
      <w:r>
        <w:tab/>
        <w:t>(2)</w:t>
      </w:r>
      <w:r>
        <w:tab/>
        <w:t>An inspection report is current for the period of 12 months commencing on the day the mooring is inspected.</w:t>
      </w:r>
    </w:p>
    <w:p>
      <w:pPr>
        <w:pStyle w:val="Footnotesection"/>
      </w:pPr>
      <w:r>
        <w:tab/>
        <w:t>[Regulation 98AI inserted in Gazette 24 Mar 2015 p. 1038</w:t>
      </w:r>
      <w:r>
        <w:noBreakHyphen/>
        <w:t>9.]</w:t>
      </w:r>
    </w:p>
    <w:p>
      <w:pPr>
        <w:pStyle w:val="Heading5"/>
      </w:pPr>
      <w:bookmarkStart w:id="352" w:name="_Toc462045420"/>
      <w:r>
        <w:rPr>
          <w:rStyle w:val="CharSectno"/>
        </w:rPr>
        <w:t>98AJ</w:t>
      </w:r>
      <w:r>
        <w:t>.</w:t>
      </w:r>
      <w:r>
        <w:tab/>
        <w:t>Mooring licence areas</w:t>
      </w:r>
      <w:bookmarkEnd w:id="352"/>
    </w:p>
    <w:p>
      <w:pPr>
        <w:pStyle w:val="Subsection"/>
      </w:pPr>
      <w:r>
        <w:tab/>
        <w:t>(1)</w:t>
      </w:r>
      <w:r>
        <w:tab/>
        <w:t xml:space="preserve">The CEO may, by notice published in the </w:t>
      </w:r>
      <w:r>
        <w:rPr>
          <w:i/>
        </w:rPr>
        <w:t>Gazette</w:t>
      </w:r>
      <w:r>
        <w:t>, declare an area of CALM land specified in the notice to be a mooring licence area.</w:t>
      </w:r>
    </w:p>
    <w:p>
      <w:pPr>
        <w:pStyle w:val="Subsection"/>
      </w:pPr>
      <w:r>
        <w:tab/>
        <w:t>(2)</w:t>
      </w:r>
      <w:r>
        <w:tab/>
        <w:t>A notice published under this regulation takes effect on such day after publication as is specified in the notice.</w:t>
      </w:r>
    </w:p>
    <w:p>
      <w:pPr>
        <w:pStyle w:val="Footnotesection"/>
      </w:pPr>
      <w:r>
        <w:tab/>
        <w:t>[Regulation 98AJ inserted in Gazette 24 Mar 2015 p. 1039.]</w:t>
      </w:r>
    </w:p>
    <w:p>
      <w:pPr>
        <w:pStyle w:val="Heading5"/>
      </w:pPr>
      <w:bookmarkStart w:id="353" w:name="_Toc462045421"/>
      <w:r>
        <w:rPr>
          <w:rStyle w:val="CharSectno"/>
        </w:rPr>
        <w:t>98AK</w:t>
      </w:r>
      <w:r>
        <w:t>.</w:t>
      </w:r>
      <w:r>
        <w:tab/>
        <w:t>Private mooring licence</w:t>
      </w:r>
      <w:bookmarkEnd w:id="353"/>
    </w:p>
    <w:p>
      <w:pPr>
        <w:pStyle w:val="Subsection"/>
      </w:pPr>
      <w:r>
        <w:tab/>
      </w:r>
      <w:r>
        <w:tab/>
        <w:t xml:space="preserve">The CEO may grant a licence for either or both of the following purposes — </w:t>
      </w:r>
    </w:p>
    <w:p>
      <w:pPr>
        <w:pStyle w:val="Indenta"/>
      </w:pPr>
      <w:r>
        <w:tab/>
        <w:t>(a)</w:t>
      </w:r>
      <w:r>
        <w:tab/>
        <w:t>to install a private mooring in a mooring licence area;</w:t>
      </w:r>
    </w:p>
    <w:p>
      <w:pPr>
        <w:pStyle w:val="Indenta"/>
      </w:pPr>
      <w:r>
        <w:tab/>
        <w:t>(b)</w:t>
      </w:r>
      <w:r>
        <w:tab/>
        <w:t>to own and control a private mooring located in a mooring licence area.</w:t>
      </w:r>
    </w:p>
    <w:p>
      <w:pPr>
        <w:pStyle w:val="Footnotesection"/>
      </w:pPr>
      <w:r>
        <w:tab/>
        <w:t>[Regulation 98AK inserted in Gazette 24 Mar 2015 p. 1039.]</w:t>
      </w:r>
    </w:p>
    <w:p>
      <w:pPr>
        <w:pStyle w:val="Heading5"/>
      </w:pPr>
      <w:bookmarkStart w:id="354" w:name="_Toc462045422"/>
      <w:r>
        <w:rPr>
          <w:rStyle w:val="CharSectno"/>
        </w:rPr>
        <w:t>98AL</w:t>
      </w:r>
      <w:r>
        <w:t>.</w:t>
      </w:r>
      <w:r>
        <w:tab/>
        <w:t>Effect of private mooring licence</w:t>
      </w:r>
      <w:bookmarkEnd w:id="354"/>
    </w:p>
    <w:p>
      <w:pPr>
        <w:pStyle w:val="Subsection"/>
      </w:pPr>
      <w:r>
        <w:tab/>
        <w:t>(1)</w:t>
      </w:r>
      <w:r>
        <w:tab/>
        <w:t>A licensed mooring is authorised to be in a mooring licence area.</w:t>
      </w:r>
    </w:p>
    <w:p>
      <w:pPr>
        <w:pStyle w:val="Subsection"/>
      </w:pPr>
      <w:r>
        <w:tab/>
        <w:t>(2)</w:t>
      </w:r>
      <w:r>
        <w:tab/>
        <w:t>A licence holder is authorised to use a licensed mooring in accordance with a private mooring licence that is in force for the mooring.</w:t>
      </w:r>
    </w:p>
    <w:p>
      <w:pPr>
        <w:pStyle w:val="Subsection"/>
        <w:rPr>
          <w:snapToGrid w:val="0"/>
        </w:rPr>
      </w:pPr>
      <w:r>
        <w:rPr>
          <w:snapToGrid w:val="0"/>
        </w:rPr>
        <w:tab/>
        <w:t>(3)</w:t>
      </w:r>
      <w:r>
        <w:rPr>
          <w:snapToGrid w:val="0"/>
        </w:rPr>
        <w:tab/>
        <w:t>A person who has the written consent of the licence holder is authorised to use a licensed mooring in accordance with a private mooring licence that is in force for the mooring.</w:t>
      </w:r>
    </w:p>
    <w:p>
      <w:pPr>
        <w:pStyle w:val="Subsection"/>
        <w:keepNext/>
        <w:rPr>
          <w:snapToGrid w:val="0"/>
        </w:rPr>
      </w:pPr>
      <w:r>
        <w:rPr>
          <w:snapToGrid w:val="0"/>
        </w:rPr>
        <w:tab/>
        <w:t>(4)</w:t>
      </w:r>
      <w:r>
        <w:rPr>
          <w:snapToGrid w:val="0"/>
        </w:rPr>
        <w:tab/>
        <w:t>A person referred to in subregulation (3) must have in his or her possession the written consent of the licence holder at any time the person has a vessel secured to the mooring.</w:t>
      </w:r>
    </w:p>
    <w:p>
      <w:pPr>
        <w:pStyle w:val="Penstart"/>
      </w:pPr>
      <w:r>
        <w:tab/>
        <w:t>Penalty: a fine of $1 000.</w:t>
      </w:r>
    </w:p>
    <w:p>
      <w:pPr>
        <w:pStyle w:val="Footnotesection"/>
      </w:pPr>
      <w:r>
        <w:tab/>
        <w:t>[Regulation 98AL inserted in Gazette 24 Mar 2015 p. 1039</w:t>
      </w:r>
      <w:r>
        <w:noBreakHyphen/>
        <w:t>40.]</w:t>
      </w:r>
    </w:p>
    <w:p>
      <w:pPr>
        <w:pStyle w:val="Heading5"/>
      </w:pPr>
      <w:bookmarkStart w:id="355" w:name="_Toc462045423"/>
      <w:r>
        <w:rPr>
          <w:rStyle w:val="CharSectno"/>
        </w:rPr>
        <w:t>98AM</w:t>
      </w:r>
      <w:r>
        <w:t>.</w:t>
      </w:r>
      <w:r>
        <w:tab/>
        <w:t>Application for private mooring licence</w:t>
      </w:r>
      <w:bookmarkEnd w:id="355"/>
    </w:p>
    <w:p>
      <w:pPr>
        <w:pStyle w:val="Subsection"/>
      </w:pPr>
      <w:r>
        <w:rPr>
          <w:snapToGrid w:val="0"/>
        </w:rPr>
        <w:tab/>
        <w:t>(1)</w:t>
      </w:r>
      <w:r>
        <w:rPr>
          <w:snapToGrid w:val="0"/>
        </w:rPr>
        <w:tab/>
        <w:t xml:space="preserve">An </w:t>
      </w:r>
      <w:r>
        <w:t xml:space="preserve">application for a private mooring licence must specify — </w:t>
      </w:r>
    </w:p>
    <w:p>
      <w:pPr>
        <w:pStyle w:val="Indenta"/>
        <w:rPr>
          <w:snapToGrid w:val="0"/>
        </w:rPr>
      </w:pPr>
      <w:r>
        <w:tab/>
        <w:t>(a)</w:t>
      </w:r>
      <w:r>
        <w:tab/>
        <w:t>the location of the mooring or proposed mooring in a form approved by the CEO; and</w:t>
      </w:r>
    </w:p>
    <w:p>
      <w:pPr>
        <w:pStyle w:val="Indenta"/>
        <w:rPr>
          <w:snapToGrid w:val="0"/>
        </w:rPr>
      </w:pPr>
      <w:r>
        <w:rPr>
          <w:snapToGrid w:val="0"/>
        </w:rPr>
        <w:tab/>
        <w:t>(b)</w:t>
      </w:r>
      <w:r>
        <w:rPr>
          <w:snapToGrid w:val="0"/>
        </w:rPr>
        <w:tab/>
        <w:t>particulars of the purposes for which the mooring or proposed mooring is to be used, including particulars of each vessel or class of vessel that may be secured to the mooring; and</w:t>
      </w:r>
    </w:p>
    <w:p>
      <w:pPr>
        <w:pStyle w:val="Indenta"/>
        <w:rPr>
          <w:snapToGrid w:val="0"/>
        </w:rPr>
      </w:pPr>
      <w:r>
        <w:rPr>
          <w:snapToGrid w:val="0"/>
        </w:rPr>
        <w:tab/>
        <w:t>(c)</w:t>
      </w:r>
      <w:r>
        <w:rPr>
          <w:snapToGrid w:val="0"/>
        </w:rPr>
        <w:tab/>
        <w:t>if the applicant is not a natural person, the name, address and telephone numbers of a natural person who may be contacted on behalf of the applicant in relation to the mooring.</w:t>
      </w:r>
    </w:p>
    <w:p>
      <w:pPr>
        <w:pStyle w:val="Subsection"/>
        <w:rPr>
          <w:snapToGrid w:val="0"/>
        </w:rPr>
      </w:pPr>
      <w:r>
        <w:rPr>
          <w:snapToGrid w:val="0"/>
        </w:rPr>
        <w:tab/>
        <w:t>(2)</w:t>
      </w:r>
      <w:r>
        <w:rPr>
          <w:snapToGrid w:val="0"/>
        </w:rPr>
        <w:tab/>
        <w:t>The applicant must provide the CEO, or a person nominated by the CEO, with any assistance that the CEO or the person requires to inspect the mooring.</w:t>
      </w:r>
    </w:p>
    <w:p>
      <w:pPr>
        <w:pStyle w:val="Footnotesection"/>
      </w:pPr>
      <w:r>
        <w:tab/>
        <w:t>[Regulation 98AM inserted in Gazette 24 Mar 2015 p. 1040.]</w:t>
      </w:r>
    </w:p>
    <w:p>
      <w:pPr>
        <w:pStyle w:val="Heading5"/>
      </w:pPr>
      <w:bookmarkStart w:id="356" w:name="_Toc462045424"/>
      <w:r>
        <w:rPr>
          <w:rStyle w:val="CharSectno"/>
        </w:rPr>
        <w:t>98AN</w:t>
      </w:r>
      <w:r>
        <w:t>.</w:t>
      </w:r>
      <w:r>
        <w:tab/>
        <w:t>Grant of private mooring licence</w:t>
      </w:r>
      <w:bookmarkEnd w:id="356"/>
    </w:p>
    <w:p>
      <w:pPr>
        <w:pStyle w:val="Subsection"/>
      </w:pPr>
      <w:r>
        <w:rPr>
          <w:snapToGrid w:val="0"/>
        </w:rPr>
        <w:tab/>
      </w:r>
      <w:r>
        <w:tab/>
        <w:t xml:space="preserve">The CEO may grant a private mooring licence for a mooring or a proposed mooring if the CEO is satisfied that the mooring or proposed mooring — </w:t>
      </w:r>
    </w:p>
    <w:p>
      <w:pPr>
        <w:pStyle w:val="Indenta"/>
        <w:rPr>
          <w:snapToGrid w:val="0"/>
        </w:rPr>
      </w:pPr>
      <w:r>
        <w:rPr>
          <w:snapToGrid w:val="0"/>
        </w:rPr>
        <w:tab/>
        <w:t>(a)</w:t>
      </w:r>
      <w:r>
        <w:rPr>
          <w:snapToGrid w:val="0"/>
        </w:rPr>
        <w:tab/>
        <w:t>is suitable for each vessel or class of vessel that may be secured to the mooring; and</w:t>
      </w:r>
    </w:p>
    <w:p>
      <w:pPr>
        <w:pStyle w:val="Indenta"/>
        <w:rPr>
          <w:snapToGrid w:val="0"/>
        </w:rPr>
      </w:pPr>
      <w:r>
        <w:rPr>
          <w:snapToGrid w:val="0"/>
        </w:rPr>
        <w:tab/>
        <w:t>(b)</w:t>
      </w:r>
      <w:r>
        <w:rPr>
          <w:snapToGrid w:val="0"/>
        </w:rPr>
        <w:tab/>
        <w:t>does not constitute a danger or interfere with the navigation of other craft or any other usage of the land on which the mooring is, or is to be, located.</w:t>
      </w:r>
    </w:p>
    <w:p>
      <w:pPr>
        <w:pStyle w:val="Footnotesection"/>
      </w:pPr>
      <w:r>
        <w:tab/>
        <w:t>[Regulation 98AN inserted in Gazette 24 Mar 2015 p. 1040.]</w:t>
      </w:r>
    </w:p>
    <w:p>
      <w:pPr>
        <w:pStyle w:val="Heading5"/>
      </w:pPr>
      <w:bookmarkStart w:id="357" w:name="_Toc462045425"/>
      <w:r>
        <w:rPr>
          <w:rStyle w:val="CharSectno"/>
        </w:rPr>
        <w:t>98AO</w:t>
      </w:r>
      <w:r>
        <w:t>.</w:t>
      </w:r>
      <w:r>
        <w:tab/>
        <w:t>Private mooring licence not transferable</w:t>
      </w:r>
      <w:bookmarkEnd w:id="357"/>
    </w:p>
    <w:p>
      <w:pPr>
        <w:pStyle w:val="Subsection"/>
      </w:pPr>
      <w:r>
        <w:tab/>
      </w:r>
      <w:r>
        <w:tab/>
        <w:t>A private mooring licence is not transferable.</w:t>
      </w:r>
    </w:p>
    <w:p>
      <w:pPr>
        <w:pStyle w:val="Footnotesection"/>
      </w:pPr>
      <w:r>
        <w:tab/>
        <w:t>[Regulation 98AO inserted in Gazette 24 Mar 2015 p. 1040.]</w:t>
      </w:r>
    </w:p>
    <w:p>
      <w:pPr>
        <w:pStyle w:val="Heading5"/>
      </w:pPr>
      <w:bookmarkStart w:id="358" w:name="_Toc462045426"/>
      <w:r>
        <w:rPr>
          <w:rStyle w:val="CharSectno"/>
        </w:rPr>
        <w:t>98AP</w:t>
      </w:r>
      <w:r>
        <w:t>.</w:t>
      </w:r>
      <w:r>
        <w:tab/>
        <w:t>Duration of private mooring licence</w:t>
      </w:r>
      <w:bookmarkEnd w:id="358"/>
    </w:p>
    <w:p>
      <w:pPr>
        <w:pStyle w:val="Subsection"/>
      </w:pPr>
      <w:r>
        <w:tab/>
      </w:r>
      <w:r>
        <w:tab/>
        <w:t>Subject to this Part, a private mooring licence remains in force for the period specified in the licence.</w:t>
      </w:r>
    </w:p>
    <w:p>
      <w:pPr>
        <w:pStyle w:val="Footnotesection"/>
      </w:pPr>
      <w:r>
        <w:tab/>
        <w:t>[Regulation 98AP inserted in Gazette 24 Mar 2015 p. 1040.]</w:t>
      </w:r>
    </w:p>
    <w:p>
      <w:pPr>
        <w:pStyle w:val="Heading5"/>
      </w:pPr>
      <w:bookmarkStart w:id="359" w:name="_Toc462045427"/>
      <w:r>
        <w:rPr>
          <w:rStyle w:val="CharSectno"/>
        </w:rPr>
        <w:t>98AQ</w:t>
      </w:r>
      <w:r>
        <w:t>.</w:t>
      </w:r>
      <w:r>
        <w:tab/>
        <w:t>Renewal of private mooring licence</w:t>
      </w:r>
      <w:bookmarkEnd w:id="359"/>
    </w:p>
    <w:p>
      <w:pPr>
        <w:pStyle w:val="Subsection"/>
      </w:pPr>
      <w:r>
        <w:tab/>
        <w:t>(1)</w:t>
      </w:r>
      <w:r>
        <w:tab/>
        <w:t>A licence holder may apply to the CEO for renewal of a licence.</w:t>
      </w:r>
    </w:p>
    <w:p>
      <w:pPr>
        <w:pStyle w:val="Subsection"/>
      </w:pPr>
      <w:r>
        <w:tab/>
        <w:t>(2)</w:t>
      </w:r>
      <w:r>
        <w:tab/>
        <w:t xml:space="preserve">An application for renewal must be — </w:t>
      </w:r>
    </w:p>
    <w:p>
      <w:pPr>
        <w:pStyle w:val="Indenta"/>
      </w:pPr>
      <w:r>
        <w:tab/>
        <w:t>(a)</w:t>
      </w:r>
      <w:r>
        <w:tab/>
        <w:t>in a form approved by the CEO; and</w:t>
      </w:r>
    </w:p>
    <w:p>
      <w:pPr>
        <w:pStyle w:val="Indenta"/>
        <w:rPr>
          <w:snapToGrid w:val="0"/>
        </w:rPr>
      </w:pPr>
      <w:r>
        <w:tab/>
        <w:t>(b)</w:t>
      </w:r>
      <w:r>
        <w:tab/>
        <w:t xml:space="preserve">accompanied by the </w:t>
      </w:r>
      <w:r>
        <w:rPr>
          <w:snapToGrid w:val="0"/>
        </w:rPr>
        <w:t>appropriate fee specified in Schedule 1 Division 8 (if any); and</w:t>
      </w:r>
    </w:p>
    <w:p>
      <w:pPr>
        <w:pStyle w:val="Indenta"/>
        <w:rPr>
          <w:snapToGrid w:val="0"/>
        </w:rPr>
      </w:pPr>
      <w:r>
        <w:rPr>
          <w:snapToGrid w:val="0"/>
        </w:rPr>
        <w:tab/>
        <w:t>(c)</w:t>
      </w:r>
      <w:r>
        <w:rPr>
          <w:snapToGrid w:val="0"/>
        </w:rPr>
        <w:tab/>
        <w:t>accompanied by a current inspection report in respect of the mooring.</w:t>
      </w:r>
    </w:p>
    <w:p>
      <w:pPr>
        <w:pStyle w:val="Subsection"/>
        <w:rPr>
          <w:snapToGrid w:val="0"/>
        </w:rPr>
      </w:pPr>
      <w:r>
        <w:rPr>
          <w:snapToGrid w:val="0"/>
        </w:rPr>
        <w:tab/>
        <w:t>(3)</w:t>
      </w:r>
      <w:r>
        <w:rPr>
          <w:snapToGrid w:val="0"/>
        </w:rPr>
        <w:tab/>
        <w:t>The applicant must provide the CEO, or a person nominated by the CEO, with any assistance that the CEO or the person requires to inspect the mooring.</w:t>
      </w:r>
    </w:p>
    <w:p>
      <w:pPr>
        <w:pStyle w:val="Subsection"/>
        <w:rPr>
          <w:snapToGrid w:val="0"/>
        </w:rPr>
      </w:pPr>
      <w:r>
        <w:rPr>
          <w:snapToGrid w:val="0"/>
        </w:rPr>
        <w:tab/>
        <w:t>(4)</w:t>
      </w:r>
      <w:r>
        <w:rPr>
          <w:snapToGrid w:val="0"/>
        </w:rPr>
        <w:tab/>
        <w:t>The CEO may renew a private mooring licence if the CEO is satisfied that the mooring is in good condition and repair.</w:t>
      </w:r>
    </w:p>
    <w:p>
      <w:pPr>
        <w:pStyle w:val="Footnotesection"/>
      </w:pPr>
      <w:r>
        <w:tab/>
        <w:t>[Regulation 98AQ inserted in Gazette 24 Mar 2015 p. 1040-1.]</w:t>
      </w:r>
    </w:p>
    <w:p>
      <w:pPr>
        <w:pStyle w:val="Heading5"/>
        <w:spacing w:before="180"/>
      </w:pPr>
      <w:bookmarkStart w:id="360" w:name="_Toc462045428"/>
      <w:r>
        <w:rPr>
          <w:rStyle w:val="CharSectno"/>
        </w:rPr>
        <w:t>98AR</w:t>
      </w:r>
      <w:r>
        <w:t>.</w:t>
      </w:r>
      <w:r>
        <w:tab/>
        <w:t>Conditions</w:t>
      </w:r>
      <w:bookmarkEnd w:id="360"/>
    </w:p>
    <w:p>
      <w:pPr>
        <w:pStyle w:val="Subsection"/>
        <w:spacing w:before="120"/>
      </w:pPr>
      <w:r>
        <w:tab/>
        <w:t>(1)</w:t>
      </w:r>
      <w:r>
        <w:tab/>
        <w:t xml:space="preserve">A private mooring licence may be granted or renewed subject to such conditions as the CEO thinks fit including conditions as to — </w:t>
      </w:r>
    </w:p>
    <w:p>
      <w:pPr>
        <w:pStyle w:val="Indenta"/>
      </w:pPr>
      <w:r>
        <w:tab/>
        <w:t>(a)</w:t>
      </w:r>
      <w:r>
        <w:tab/>
        <w:t>the class or description of vessel that may be secured to the mooring; and</w:t>
      </w:r>
    </w:p>
    <w:p>
      <w:pPr>
        <w:pStyle w:val="Indenta"/>
      </w:pPr>
      <w:r>
        <w:tab/>
        <w:t>(b)</w:t>
      </w:r>
      <w:r>
        <w:tab/>
        <w:t>the manner in which a vessel may be secured to the mooring; and</w:t>
      </w:r>
    </w:p>
    <w:p>
      <w:pPr>
        <w:pStyle w:val="Indenta"/>
      </w:pPr>
      <w:r>
        <w:tab/>
        <w:t>(c)</w:t>
      </w:r>
      <w:r>
        <w:tab/>
        <w:t>the payment of any charge in relation to the use of the land on which the mooring is located.</w:t>
      </w:r>
    </w:p>
    <w:p>
      <w:pPr>
        <w:pStyle w:val="Subsection"/>
        <w:spacing w:before="120"/>
      </w:pPr>
      <w:r>
        <w:tab/>
        <w:t>(2)</w:t>
      </w:r>
      <w:r>
        <w:tab/>
        <w:t xml:space="preserve">If a private mooring licence is granted or renewed subject to conditions, those conditions — </w:t>
      </w:r>
    </w:p>
    <w:p>
      <w:pPr>
        <w:pStyle w:val="Indenta"/>
      </w:pPr>
      <w:r>
        <w:tab/>
        <w:t>(a)</w:t>
      </w:r>
      <w:r>
        <w:tab/>
        <w:t>are to be endorsed upon or attached to the licence when granted or renewed, as the case may be; and</w:t>
      </w:r>
    </w:p>
    <w:p>
      <w:pPr>
        <w:pStyle w:val="Indenta"/>
      </w:pPr>
      <w:r>
        <w:tab/>
        <w:t>(b)</w:t>
      </w:r>
      <w:r>
        <w:tab/>
        <w:t>may be added to, cancelled, suspended and otherwise varied by the CEO from time to time during the operation of the licence.</w:t>
      </w:r>
    </w:p>
    <w:p>
      <w:pPr>
        <w:pStyle w:val="Subsection"/>
      </w:pPr>
      <w:r>
        <w:tab/>
        <w:t>(3)</w:t>
      </w:r>
      <w:r>
        <w:tab/>
        <w:t>A licence holder must not contravene a condition endorsed upon or attached to the licence.</w:t>
      </w:r>
    </w:p>
    <w:p>
      <w:pPr>
        <w:pStyle w:val="Penstart"/>
      </w:pPr>
      <w:r>
        <w:tab/>
        <w:t>Penalty: a fine of $1 000.</w:t>
      </w:r>
    </w:p>
    <w:p>
      <w:pPr>
        <w:pStyle w:val="Footnotesection"/>
      </w:pPr>
      <w:r>
        <w:tab/>
        <w:t>[Regulation 98AR inserted in Gazette 24 Mar 2015 p. 1041.]</w:t>
      </w:r>
    </w:p>
    <w:p>
      <w:pPr>
        <w:pStyle w:val="Heading5"/>
      </w:pPr>
      <w:bookmarkStart w:id="361" w:name="_Toc462045429"/>
      <w:r>
        <w:rPr>
          <w:rStyle w:val="CharSectno"/>
        </w:rPr>
        <w:t>98AS</w:t>
      </w:r>
      <w:r>
        <w:t>.</w:t>
      </w:r>
      <w:r>
        <w:tab/>
        <w:t>Form of licence</w:t>
      </w:r>
      <w:bookmarkEnd w:id="361"/>
    </w:p>
    <w:p>
      <w:pPr>
        <w:pStyle w:val="Subsection"/>
      </w:pPr>
      <w:r>
        <w:tab/>
      </w:r>
      <w:r>
        <w:tab/>
        <w:t xml:space="preserve">A licence for a private mooring must be in a form approved by the CEO and must contain the following information — </w:t>
      </w:r>
    </w:p>
    <w:p>
      <w:pPr>
        <w:pStyle w:val="Indenta"/>
      </w:pPr>
      <w:r>
        <w:tab/>
        <w:t>(a)</w:t>
      </w:r>
      <w:r>
        <w:tab/>
        <w:t>the location of the mooring;</w:t>
      </w:r>
    </w:p>
    <w:p>
      <w:pPr>
        <w:pStyle w:val="Indenta"/>
      </w:pPr>
      <w:r>
        <w:tab/>
        <w:t>(b)</w:t>
      </w:r>
      <w:r>
        <w:tab/>
        <w:t>the name of the licence holder;</w:t>
      </w:r>
    </w:p>
    <w:p>
      <w:pPr>
        <w:pStyle w:val="Indenta"/>
      </w:pPr>
      <w:r>
        <w:tab/>
        <w:t>(c)</w:t>
      </w:r>
      <w:r>
        <w:tab/>
        <w:t>particulars of each vessel or each class of vessel authorised to use the mooring;</w:t>
      </w:r>
    </w:p>
    <w:p>
      <w:pPr>
        <w:pStyle w:val="Indenta"/>
      </w:pPr>
      <w:r>
        <w:tab/>
        <w:t>(d)</w:t>
      </w:r>
      <w:r>
        <w:tab/>
        <w:t>the period for which the licence is granted.</w:t>
      </w:r>
    </w:p>
    <w:p>
      <w:pPr>
        <w:pStyle w:val="Footnotesection"/>
      </w:pPr>
      <w:r>
        <w:tab/>
        <w:t>[Regulation 98AS inserted in Gazette 24 Mar 2015 p. 1041.]</w:t>
      </w:r>
    </w:p>
    <w:p>
      <w:pPr>
        <w:pStyle w:val="Heading5"/>
        <w:rPr>
          <w:snapToGrid w:val="0"/>
        </w:rPr>
      </w:pPr>
      <w:bookmarkStart w:id="362" w:name="_Toc462045430"/>
      <w:r>
        <w:rPr>
          <w:rStyle w:val="CharSectno"/>
        </w:rPr>
        <w:t>98AT</w:t>
      </w:r>
      <w:r>
        <w:rPr>
          <w:snapToGrid w:val="0"/>
        </w:rPr>
        <w:t>.</w:t>
      </w:r>
      <w:r>
        <w:rPr>
          <w:snapToGrid w:val="0"/>
        </w:rPr>
        <w:tab/>
        <w:t>Private moorings to be maintained</w:t>
      </w:r>
      <w:bookmarkEnd w:id="362"/>
      <w:r>
        <w:rPr>
          <w:snapToGrid w:val="0"/>
        </w:rPr>
        <w:t xml:space="preserve"> </w:t>
      </w:r>
    </w:p>
    <w:p>
      <w:pPr>
        <w:pStyle w:val="Subsection"/>
        <w:rPr>
          <w:snapToGrid w:val="0"/>
        </w:rPr>
      </w:pPr>
      <w:r>
        <w:rPr>
          <w:snapToGrid w:val="0"/>
        </w:rPr>
        <w:tab/>
        <w:t>(1)</w:t>
      </w:r>
      <w:r>
        <w:rPr>
          <w:snapToGrid w:val="0"/>
        </w:rPr>
        <w:tab/>
        <w:t>It is a condition of a licence to use a private mooring that the licence holder must maintain the mooring in good condition and repair.</w:t>
      </w:r>
    </w:p>
    <w:p>
      <w:pPr>
        <w:pStyle w:val="Subsection"/>
        <w:rPr>
          <w:snapToGrid w:val="0"/>
        </w:rPr>
      </w:pPr>
      <w:r>
        <w:rPr>
          <w:snapToGrid w:val="0"/>
        </w:rPr>
        <w:tab/>
        <w:t>(2)</w:t>
      </w:r>
      <w:r>
        <w:rPr>
          <w:snapToGrid w:val="0"/>
        </w:rPr>
        <w:tab/>
        <w:t>The CEO may, by notice in writing, require a licence holder to provide a current inspection report for the licensed mooring.</w:t>
      </w:r>
    </w:p>
    <w:p>
      <w:pPr>
        <w:pStyle w:val="Subsection"/>
        <w:rPr>
          <w:snapToGrid w:val="0"/>
        </w:rPr>
      </w:pPr>
      <w:r>
        <w:rPr>
          <w:snapToGrid w:val="0"/>
        </w:rPr>
        <w:tab/>
        <w:t>(3)</w:t>
      </w:r>
      <w:r>
        <w:rPr>
          <w:snapToGrid w:val="0"/>
        </w:rPr>
        <w:tab/>
        <w:t>The licence holder must comply with a notice under subregulation (2) within the time specified in the notice.</w:t>
      </w:r>
    </w:p>
    <w:p>
      <w:pPr>
        <w:pStyle w:val="Penstart"/>
      </w:pPr>
      <w:r>
        <w:tab/>
        <w:t>Penalty: a fine of $1 000.</w:t>
      </w:r>
    </w:p>
    <w:p>
      <w:pPr>
        <w:pStyle w:val="Footnotesection"/>
      </w:pPr>
      <w:r>
        <w:tab/>
        <w:t>[Regulation 98AT inserted in Gazette 24 Mar 2015 p. 1042.]</w:t>
      </w:r>
    </w:p>
    <w:p>
      <w:pPr>
        <w:pStyle w:val="Heading5"/>
        <w:rPr>
          <w:snapToGrid w:val="0"/>
        </w:rPr>
      </w:pPr>
      <w:bookmarkStart w:id="363" w:name="_Toc462045431"/>
      <w:r>
        <w:rPr>
          <w:rStyle w:val="CharSectno"/>
        </w:rPr>
        <w:t>98AU</w:t>
      </w:r>
      <w:r>
        <w:rPr>
          <w:snapToGrid w:val="0"/>
        </w:rPr>
        <w:t>.</w:t>
      </w:r>
      <w:r>
        <w:rPr>
          <w:snapToGrid w:val="0"/>
        </w:rPr>
        <w:tab/>
        <w:t>Requirement to repair, relocate or remove private mooring</w:t>
      </w:r>
      <w:bookmarkEnd w:id="363"/>
    </w:p>
    <w:p>
      <w:pPr>
        <w:pStyle w:val="Subsection"/>
        <w:rPr>
          <w:snapToGrid w:val="0"/>
        </w:rPr>
      </w:pPr>
      <w:r>
        <w:rPr>
          <w:snapToGrid w:val="0"/>
        </w:rPr>
        <w:tab/>
        <w:t>(1)</w:t>
      </w:r>
      <w:r>
        <w:rPr>
          <w:snapToGrid w:val="0"/>
        </w:rPr>
        <w:tab/>
        <w:t xml:space="preserve">The CEO may, by notice in writing, require a licence holder to repair the licensed mooring within a specified time if </w:t>
      </w:r>
      <w:r>
        <w:t>the CEO considers that the</w:t>
      </w:r>
      <w:r>
        <w:rPr>
          <w:snapToGrid w:val="0"/>
        </w:rPr>
        <w:t xml:space="preserve"> mooring has deteriorated to the extent that it is dangerous, unusable or in need of repair.</w:t>
      </w:r>
    </w:p>
    <w:p>
      <w:pPr>
        <w:pStyle w:val="Subsection"/>
      </w:pPr>
      <w:r>
        <w:tab/>
        <w:t>(2)</w:t>
      </w:r>
      <w:r>
        <w:tab/>
      </w:r>
      <w:r>
        <w:rPr>
          <w:snapToGrid w:val="0"/>
        </w:rPr>
        <w:t xml:space="preserve">The CEO may, by notice in writing, require a licence holder, or a person who was a licence holder, to relocate or remove the licensed mooring within a specified time if — </w:t>
      </w:r>
    </w:p>
    <w:p>
      <w:pPr>
        <w:pStyle w:val="Indenta"/>
        <w:rPr>
          <w:snapToGrid w:val="0"/>
        </w:rPr>
      </w:pPr>
      <w:r>
        <w:rPr>
          <w:snapToGrid w:val="0"/>
        </w:rPr>
        <w:tab/>
        <w:t>(a)</w:t>
      </w:r>
      <w:r>
        <w:rPr>
          <w:snapToGrid w:val="0"/>
        </w:rPr>
        <w:tab/>
        <w:t>the CEO cancels the licence; or</w:t>
      </w:r>
    </w:p>
    <w:p>
      <w:pPr>
        <w:pStyle w:val="Indenta"/>
        <w:rPr>
          <w:snapToGrid w:val="0"/>
        </w:rPr>
      </w:pPr>
      <w:r>
        <w:rPr>
          <w:snapToGrid w:val="0"/>
        </w:rPr>
        <w:tab/>
        <w:t>(b)</w:t>
      </w:r>
      <w:r>
        <w:rPr>
          <w:snapToGrid w:val="0"/>
        </w:rPr>
        <w:tab/>
        <w:t>the licence holder surrenders the licence; or</w:t>
      </w:r>
    </w:p>
    <w:p>
      <w:pPr>
        <w:pStyle w:val="Indenta"/>
        <w:rPr>
          <w:snapToGrid w:val="0"/>
        </w:rPr>
      </w:pPr>
      <w:r>
        <w:rPr>
          <w:snapToGrid w:val="0"/>
        </w:rPr>
        <w:tab/>
        <w:t>(c)</w:t>
      </w:r>
      <w:r>
        <w:rPr>
          <w:snapToGrid w:val="0"/>
        </w:rPr>
        <w:tab/>
        <w:t>the relocation or removal is necessary to comply with any management plan for the land on which the mooring is located; or</w:t>
      </w:r>
    </w:p>
    <w:p>
      <w:pPr>
        <w:pStyle w:val="Indenta"/>
        <w:rPr>
          <w:snapToGrid w:val="0"/>
        </w:rPr>
      </w:pPr>
      <w:r>
        <w:rPr>
          <w:snapToGrid w:val="0"/>
        </w:rPr>
        <w:tab/>
        <w:t>(d)</w:t>
      </w:r>
      <w:r>
        <w:rPr>
          <w:snapToGrid w:val="0"/>
        </w:rPr>
        <w:tab/>
        <w:t>the CEO considers that it is in the public interest for the mooring to be relocated or removed.</w:t>
      </w:r>
    </w:p>
    <w:p>
      <w:pPr>
        <w:pStyle w:val="Subsection"/>
      </w:pPr>
      <w:r>
        <w:tab/>
        <w:t>(3)</w:t>
      </w:r>
      <w:r>
        <w:tab/>
        <w:t>A person to whom a notice is given under subregulation (1) or (2) must comply with the requirements specified in the notice within the time specified in the notice.</w:t>
      </w:r>
    </w:p>
    <w:p>
      <w:pPr>
        <w:pStyle w:val="Penstart"/>
      </w:pPr>
      <w:r>
        <w:tab/>
        <w:t>Penalty: a fine of $2 000.</w:t>
      </w:r>
    </w:p>
    <w:p>
      <w:pPr>
        <w:pStyle w:val="Subsection"/>
      </w:pPr>
      <w:r>
        <w:tab/>
        <w:t>(4)</w:t>
      </w:r>
      <w:r>
        <w:tab/>
        <w:t>A mooring that is not relocated or removed within the period specified in a notice given under subregulation (2) is, on the expiry of that period, forfeited to the Crown and may be destroyed, sold or otherwise disposed of as directed by the CEO.</w:t>
      </w:r>
    </w:p>
    <w:p>
      <w:pPr>
        <w:pStyle w:val="Footnotesection"/>
      </w:pPr>
      <w:r>
        <w:tab/>
        <w:t>[Regulation 98AU inserted in Gazette 24 Mar 2015 p. 1042.]</w:t>
      </w:r>
    </w:p>
    <w:p>
      <w:pPr>
        <w:pStyle w:val="Heading5"/>
        <w:rPr>
          <w:snapToGrid w:val="0"/>
        </w:rPr>
      </w:pPr>
      <w:bookmarkStart w:id="364" w:name="_Toc462045432"/>
      <w:r>
        <w:rPr>
          <w:rStyle w:val="CharSectno"/>
        </w:rPr>
        <w:t>98AV</w:t>
      </w:r>
      <w:r>
        <w:rPr>
          <w:snapToGrid w:val="0"/>
        </w:rPr>
        <w:t>.</w:t>
      </w:r>
      <w:r>
        <w:rPr>
          <w:snapToGrid w:val="0"/>
        </w:rPr>
        <w:tab/>
        <w:t>Cancellation of private mooring licence</w:t>
      </w:r>
      <w:bookmarkEnd w:id="364"/>
      <w:r>
        <w:rPr>
          <w:snapToGrid w:val="0"/>
        </w:rPr>
        <w:t xml:space="preserve"> </w:t>
      </w:r>
    </w:p>
    <w:p>
      <w:pPr>
        <w:pStyle w:val="Subsection"/>
        <w:rPr>
          <w:snapToGrid w:val="0"/>
        </w:rPr>
      </w:pPr>
      <w:r>
        <w:rPr>
          <w:snapToGrid w:val="0"/>
        </w:rPr>
        <w:tab/>
        <w:t>(1)</w:t>
      </w:r>
      <w:r>
        <w:rPr>
          <w:snapToGrid w:val="0"/>
        </w:rPr>
        <w:tab/>
        <w:t>The CEO may, by written notice given to the licence holder, cancel a private mooring licence if — </w:t>
      </w:r>
    </w:p>
    <w:p>
      <w:pPr>
        <w:pStyle w:val="Indenta"/>
        <w:rPr>
          <w:snapToGrid w:val="0"/>
        </w:rPr>
      </w:pPr>
      <w:r>
        <w:rPr>
          <w:snapToGrid w:val="0"/>
        </w:rPr>
        <w:tab/>
        <w:t>(a)</w:t>
      </w:r>
      <w:r>
        <w:rPr>
          <w:snapToGrid w:val="0"/>
        </w:rPr>
        <w:tab/>
        <w:t>the licence holder ceases to own, or no longer appears to control, the mooring; or</w:t>
      </w:r>
    </w:p>
    <w:p>
      <w:pPr>
        <w:pStyle w:val="Indenta"/>
        <w:rPr>
          <w:snapToGrid w:val="0"/>
        </w:rPr>
      </w:pPr>
      <w:r>
        <w:rPr>
          <w:snapToGrid w:val="0"/>
        </w:rPr>
        <w:tab/>
        <w:t>(b)</w:t>
      </w:r>
      <w:r>
        <w:rPr>
          <w:snapToGrid w:val="0"/>
        </w:rPr>
        <w:tab/>
        <w:t>the licence holder fails to provide an inspection report for the mooring in accordance with regulation 98AT(2); or</w:t>
      </w:r>
    </w:p>
    <w:p>
      <w:pPr>
        <w:pStyle w:val="Indenta"/>
        <w:rPr>
          <w:snapToGrid w:val="0"/>
        </w:rPr>
      </w:pPr>
      <w:r>
        <w:rPr>
          <w:snapToGrid w:val="0"/>
        </w:rPr>
        <w:tab/>
        <w:t>(c)</w:t>
      </w:r>
      <w:r>
        <w:rPr>
          <w:snapToGrid w:val="0"/>
        </w:rPr>
        <w:tab/>
        <w:t>the licence holder fails to comply with a requirement under regulation 98AU(1) or (2).</w:t>
      </w:r>
    </w:p>
    <w:p>
      <w:pPr>
        <w:pStyle w:val="Subsection"/>
        <w:keepLines/>
        <w:spacing w:before="120"/>
      </w:pPr>
      <w:r>
        <w:tab/>
        <w:t>(2)</w:t>
      </w:r>
      <w:r>
        <w:tab/>
        <w:t>The powers of the CEO referred to in subregulation (1) are in addition to, and do not derogate from, the powers referred to in regulation 86(1).</w:t>
      </w:r>
    </w:p>
    <w:p>
      <w:pPr>
        <w:pStyle w:val="Footnotesection"/>
      </w:pPr>
      <w:r>
        <w:tab/>
        <w:t>[Regulation 98AV inserted in Gazette 24 Mar 2015 p. 1043.]</w:t>
      </w:r>
    </w:p>
    <w:p>
      <w:pPr>
        <w:pStyle w:val="Heading5"/>
        <w:rPr>
          <w:snapToGrid w:val="0"/>
        </w:rPr>
      </w:pPr>
      <w:bookmarkStart w:id="365" w:name="_Toc462045433"/>
      <w:r>
        <w:rPr>
          <w:rStyle w:val="CharSectno"/>
        </w:rPr>
        <w:t>98AW</w:t>
      </w:r>
      <w:r>
        <w:rPr>
          <w:snapToGrid w:val="0"/>
        </w:rPr>
        <w:t>.</w:t>
      </w:r>
      <w:r>
        <w:rPr>
          <w:snapToGrid w:val="0"/>
        </w:rPr>
        <w:tab/>
        <w:t>Giving notice of change of registered particulars</w:t>
      </w:r>
      <w:bookmarkEnd w:id="365"/>
    </w:p>
    <w:p>
      <w:pPr>
        <w:pStyle w:val="Subsection"/>
        <w:rPr>
          <w:snapToGrid w:val="0"/>
        </w:rPr>
      </w:pPr>
      <w:r>
        <w:rPr>
          <w:snapToGrid w:val="0"/>
        </w:rPr>
        <w:tab/>
      </w:r>
      <w:r>
        <w:rPr>
          <w:snapToGrid w:val="0"/>
        </w:rPr>
        <w:tab/>
        <w:t>A licence holder must, within 7 days, notify the CEO of any alteration in the particulars of the licensed mooring, including any change of address or telephone number of the licence holder or the natural person who may be contacted on behalf of a body corporate or partnership.</w:t>
      </w:r>
    </w:p>
    <w:p>
      <w:pPr>
        <w:pStyle w:val="Penstart"/>
      </w:pPr>
      <w:r>
        <w:tab/>
        <w:t>Penalty: a fine of $1 000.</w:t>
      </w:r>
    </w:p>
    <w:p>
      <w:pPr>
        <w:pStyle w:val="Footnotesection"/>
      </w:pPr>
      <w:r>
        <w:tab/>
        <w:t>[Regulation 98AW inserted in Gazette 24 Mar 2015 p. 1043.]</w:t>
      </w:r>
    </w:p>
    <w:p>
      <w:pPr>
        <w:pStyle w:val="Heading5"/>
        <w:rPr>
          <w:snapToGrid w:val="0"/>
        </w:rPr>
      </w:pPr>
      <w:bookmarkStart w:id="366" w:name="_Toc462045434"/>
      <w:r>
        <w:rPr>
          <w:rStyle w:val="CharSectno"/>
        </w:rPr>
        <w:t>98AX</w:t>
      </w:r>
      <w:r>
        <w:rPr>
          <w:snapToGrid w:val="0"/>
        </w:rPr>
        <w:t>.</w:t>
      </w:r>
      <w:r>
        <w:rPr>
          <w:snapToGrid w:val="0"/>
        </w:rPr>
        <w:tab/>
        <w:t>Surrender of private mooring licence</w:t>
      </w:r>
      <w:bookmarkEnd w:id="366"/>
    </w:p>
    <w:p>
      <w:pPr>
        <w:pStyle w:val="Subsection"/>
        <w:rPr>
          <w:snapToGrid w:val="0"/>
        </w:rPr>
      </w:pPr>
      <w:r>
        <w:rPr>
          <w:snapToGrid w:val="0"/>
        </w:rPr>
        <w:tab/>
        <w:t>(1)</w:t>
      </w:r>
      <w:r>
        <w:rPr>
          <w:snapToGrid w:val="0"/>
        </w:rPr>
        <w:tab/>
        <w:t xml:space="preserve">A licence holder may by notice in writing to the CEO surrender a licence. </w:t>
      </w:r>
    </w:p>
    <w:p>
      <w:pPr>
        <w:pStyle w:val="Subsection"/>
        <w:rPr>
          <w:snapToGrid w:val="0"/>
        </w:rPr>
      </w:pPr>
      <w:r>
        <w:rPr>
          <w:snapToGrid w:val="0"/>
        </w:rPr>
        <w:tab/>
        <w:t>(2)</w:t>
      </w:r>
      <w:r>
        <w:rPr>
          <w:snapToGrid w:val="0"/>
        </w:rPr>
        <w:tab/>
        <w:t>A licence holder who surrenders a licence is not entitled to the refund of any fees paid in respect of a period after the date of surrender.</w:t>
      </w:r>
    </w:p>
    <w:p>
      <w:pPr>
        <w:pStyle w:val="Footnotesection"/>
      </w:pPr>
      <w:r>
        <w:tab/>
        <w:t>[Regulation 98AX inserted in Gazette 24 Mar 2015 p. 1043.]</w:t>
      </w:r>
    </w:p>
    <w:p>
      <w:pPr>
        <w:pStyle w:val="Ednotepart"/>
      </w:pPr>
      <w:r>
        <w:t>[Part 7A deleted in Gazette 27 Feb 2009 p. 530.]</w:t>
      </w:r>
    </w:p>
    <w:p>
      <w:pPr>
        <w:pStyle w:val="Heading2"/>
      </w:pPr>
      <w:bookmarkStart w:id="367" w:name="_Toc436903814"/>
      <w:bookmarkStart w:id="368" w:name="_Toc436905756"/>
      <w:bookmarkStart w:id="369" w:name="_Toc436905977"/>
      <w:bookmarkStart w:id="370" w:name="_Toc437515730"/>
      <w:bookmarkStart w:id="371" w:name="_Toc447533330"/>
      <w:bookmarkStart w:id="372" w:name="_Toc456878238"/>
      <w:bookmarkStart w:id="373" w:name="_Toc456951755"/>
      <w:bookmarkStart w:id="374" w:name="_Toc458590339"/>
      <w:bookmarkStart w:id="375" w:name="_Toc458590561"/>
      <w:bookmarkStart w:id="376" w:name="_Toc458590782"/>
      <w:bookmarkStart w:id="377" w:name="_Toc462045435"/>
      <w:r>
        <w:rPr>
          <w:rStyle w:val="CharPartNo"/>
        </w:rPr>
        <w:t>Part 8A</w:t>
      </w:r>
      <w:r>
        <w:rPr>
          <w:rStyle w:val="CharDivNo"/>
        </w:rPr>
        <w:t> </w:t>
      </w:r>
      <w:r>
        <w:t>—</w:t>
      </w:r>
      <w:r>
        <w:rPr>
          <w:rStyle w:val="CharDivText"/>
        </w:rPr>
        <w:t> </w:t>
      </w:r>
      <w:r>
        <w:rPr>
          <w:rStyle w:val="CharPartText"/>
        </w:rPr>
        <w:t>Apiary permits and licences</w:t>
      </w:r>
      <w:bookmarkEnd w:id="367"/>
      <w:bookmarkEnd w:id="368"/>
      <w:bookmarkEnd w:id="369"/>
      <w:bookmarkEnd w:id="370"/>
      <w:bookmarkEnd w:id="371"/>
      <w:bookmarkEnd w:id="372"/>
      <w:bookmarkEnd w:id="373"/>
      <w:bookmarkEnd w:id="374"/>
      <w:bookmarkEnd w:id="375"/>
      <w:bookmarkEnd w:id="376"/>
      <w:bookmarkEnd w:id="377"/>
    </w:p>
    <w:p>
      <w:pPr>
        <w:pStyle w:val="yFootnoteheading"/>
      </w:pPr>
      <w:r>
        <w:tab/>
        <w:t>[Heading inserted in Gazette 3 Sep 2010 p. 4278.]</w:t>
      </w:r>
    </w:p>
    <w:p>
      <w:pPr>
        <w:pStyle w:val="Heading5"/>
      </w:pPr>
      <w:bookmarkStart w:id="378" w:name="_Toc462045436"/>
      <w:r>
        <w:rPr>
          <w:rStyle w:val="CharSectno"/>
        </w:rPr>
        <w:t>98A</w:t>
      </w:r>
      <w:r>
        <w:t>.</w:t>
      </w:r>
      <w:r>
        <w:tab/>
        <w:t>Terms used</w:t>
      </w:r>
      <w:bookmarkEnd w:id="378"/>
    </w:p>
    <w:p>
      <w:pPr>
        <w:pStyle w:val="Subsection"/>
      </w:pPr>
      <w:r>
        <w:tab/>
      </w:r>
      <w:r>
        <w:tab/>
        <w:t xml:space="preserve">In this Part — </w:t>
      </w:r>
    </w:p>
    <w:p>
      <w:pPr>
        <w:pStyle w:val="Defstart"/>
      </w:pPr>
      <w:r>
        <w:rPr>
          <w:b/>
        </w:rPr>
        <w:tab/>
      </w:r>
      <w:r>
        <w:rPr>
          <w:rStyle w:val="CharDefText"/>
        </w:rPr>
        <w:t>apiary authority</w:t>
      </w:r>
      <w:r>
        <w:t xml:space="preserve"> means an apiary licence or apiary permit;</w:t>
      </w:r>
    </w:p>
    <w:p>
      <w:pPr>
        <w:pStyle w:val="Defstart"/>
      </w:pPr>
      <w:r>
        <w:rPr>
          <w:b/>
        </w:rPr>
        <w:tab/>
      </w:r>
      <w:r>
        <w:rPr>
          <w:rStyle w:val="CharDefText"/>
        </w:rPr>
        <w:t>apiary licence</w:t>
      </w:r>
      <w:r>
        <w:t xml:space="preserve"> means a licence granted under Part VIII Division 2 of the Act to — </w:t>
      </w:r>
    </w:p>
    <w:p>
      <w:pPr>
        <w:pStyle w:val="Defpara"/>
      </w:pPr>
      <w:r>
        <w:tab/>
        <w:t>(a)</w:t>
      </w:r>
      <w:r>
        <w:tab/>
        <w:t>enter and use the land specified in the licence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permit</w:t>
      </w:r>
      <w:r>
        <w:t xml:space="preserve"> means a permit granted under Part VIII Division 1 of the Act to — </w:t>
      </w:r>
    </w:p>
    <w:p>
      <w:pPr>
        <w:pStyle w:val="Defpara"/>
      </w:pPr>
      <w:r>
        <w:tab/>
        <w:t>(a)</w:t>
      </w:r>
      <w:r>
        <w:tab/>
        <w:t>occupy the land specified in the permit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site</w:t>
      </w:r>
      <w:r>
        <w:t xml:space="preserve"> means the land specified in an apiary authority as the land to which the authority relates;</w:t>
      </w:r>
    </w:p>
    <w:p>
      <w:pPr>
        <w:pStyle w:val="Defstart"/>
      </w:pPr>
      <w:r>
        <w:rPr>
          <w:b/>
        </w:rPr>
        <w:tab/>
      </w:r>
      <w:r>
        <w:rPr>
          <w:rStyle w:val="CharDefText"/>
        </w:rPr>
        <w:t>South</w:t>
      </w:r>
      <w:r>
        <w:rPr>
          <w:rStyle w:val="CharDefText"/>
        </w:rPr>
        <w:noBreakHyphen/>
        <w:t>west zone</w:t>
      </w:r>
      <w:r>
        <w:t xml:space="preserve"> means those parts of the South</w:t>
      </w:r>
      <w:r>
        <w:noBreakHyphen/>
        <w:t xml:space="preserve">west Division and Eucla Division of the State (as described in the </w:t>
      </w:r>
      <w:r>
        <w:rPr>
          <w:i/>
          <w:iCs/>
        </w:rPr>
        <w:t>Land Administration Act 1997</w:t>
      </w:r>
      <w:r>
        <w:t xml:space="preserve"> Schedule 1) depicted as the South</w:t>
      </w:r>
      <w:r>
        <w:noBreakHyphen/>
        <w:t>west zone on the Department of Environment and Conservation</w:t>
      </w:r>
      <w:r>
        <w:rPr>
          <w:vertAlign w:val="superscript"/>
        </w:rPr>
        <w:t> 3</w:t>
      </w:r>
      <w:r>
        <w:t xml:space="preserve"> plan entitled “South</w:t>
      </w:r>
      <w:r>
        <w:noBreakHyphen/>
        <w:t>west zone — Apiary Permits and Licenses” dated August 2009.</w:t>
      </w:r>
    </w:p>
    <w:p>
      <w:pPr>
        <w:pStyle w:val="Footnotesection"/>
      </w:pPr>
      <w:r>
        <w:tab/>
        <w:t>[Regulation 98A inserted in Gazette 3 Sep 2010 p. 4278</w:t>
      </w:r>
      <w:r>
        <w:noBreakHyphen/>
        <w:t>9.]</w:t>
      </w:r>
    </w:p>
    <w:p>
      <w:pPr>
        <w:pStyle w:val="Heading5"/>
      </w:pPr>
      <w:bookmarkStart w:id="379" w:name="_Toc462045437"/>
      <w:r>
        <w:rPr>
          <w:rStyle w:val="CharSectno"/>
        </w:rPr>
        <w:t>98B</w:t>
      </w:r>
      <w:r>
        <w:t>.</w:t>
      </w:r>
      <w:r>
        <w:tab/>
        <w:t>Application of Part 8A</w:t>
      </w:r>
      <w:bookmarkEnd w:id="379"/>
    </w:p>
    <w:p>
      <w:pPr>
        <w:pStyle w:val="Subsection"/>
      </w:pPr>
      <w:r>
        <w:tab/>
      </w:r>
      <w:r>
        <w:tab/>
        <w:t>This Part applies to all land in respect of which an apiary licence or apiary permit may be granted.</w:t>
      </w:r>
    </w:p>
    <w:p>
      <w:pPr>
        <w:pStyle w:val="Footnotesection"/>
      </w:pPr>
      <w:r>
        <w:tab/>
        <w:t>[Regulation 98B inserted in Gazette 3 Sep 2010 p. 4279.]</w:t>
      </w:r>
    </w:p>
    <w:p>
      <w:pPr>
        <w:pStyle w:val="Heading5"/>
      </w:pPr>
      <w:bookmarkStart w:id="380" w:name="_Toc462045438"/>
      <w:r>
        <w:rPr>
          <w:rStyle w:val="CharSectno"/>
        </w:rPr>
        <w:t>98C</w:t>
      </w:r>
      <w:r>
        <w:t>.</w:t>
      </w:r>
      <w:r>
        <w:tab/>
        <w:t>Applications</w:t>
      </w:r>
      <w:bookmarkEnd w:id="380"/>
    </w:p>
    <w:p>
      <w:pPr>
        <w:pStyle w:val="Subsection"/>
      </w:pPr>
      <w:r>
        <w:tab/>
        <w:t>(1)</w:t>
      </w:r>
      <w:r>
        <w:tab/>
        <w:t xml:space="preserve">An application — </w:t>
      </w:r>
    </w:p>
    <w:p>
      <w:pPr>
        <w:pStyle w:val="Indenta"/>
      </w:pPr>
      <w:r>
        <w:tab/>
        <w:t>(a)</w:t>
      </w:r>
      <w:r>
        <w:tab/>
        <w:t>for the grant, renewal or transfer of an apiary authority; or</w:t>
      </w:r>
    </w:p>
    <w:p>
      <w:pPr>
        <w:pStyle w:val="Indenta"/>
      </w:pPr>
      <w:r>
        <w:tab/>
        <w:t>(b)</w:t>
      </w:r>
      <w:r>
        <w:tab/>
        <w:t>for the variation of an apiary licence to change the site to which it relates; or</w:t>
      </w:r>
    </w:p>
    <w:p>
      <w:pPr>
        <w:pStyle w:val="Indenta"/>
      </w:pPr>
      <w:r>
        <w:tab/>
        <w:t>(c)</w:t>
      </w:r>
      <w:r>
        <w:tab/>
        <w:t>otherwise relating to an apiary authority,</w:t>
      </w:r>
    </w:p>
    <w:p>
      <w:pPr>
        <w:pStyle w:val="Subsection"/>
      </w:pPr>
      <w:r>
        <w:tab/>
      </w:r>
      <w:r>
        <w:tab/>
        <w:t>must be made to the CEO in writing.</w:t>
      </w:r>
    </w:p>
    <w:p>
      <w:pPr>
        <w:pStyle w:val="Subsection"/>
      </w:pPr>
      <w:r>
        <w:tab/>
        <w:t>(2)</w:t>
      </w:r>
      <w:r>
        <w:tab/>
        <w:t>An applicant must provide the CEO with any relevant information requested by the CEO.</w:t>
      </w:r>
    </w:p>
    <w:p>
      <w:pPr>
        <w:pStyle w:val="Subsection"/>
      </w:pPr>
      <w:r>
        <w:tab/>
        <w:t>(3)</w:t>
      </w:r>
      <w:r>
        <w:tab/>
        <w:t xml:space="preserve">An application may be made in relation to 2 or more apiary authorities in the same form. </w:t>
      </w:r>
    </w:p>
    <w:p>
      <w:pPr>
        <w:pStyle w:val="Subsection"/>
      </w:pPr>
      <w:r>
        <w:tab/>
        <w:t>(4)</w:t>
      </w:r>
      <w:r>
        <w:tab/>
        <w:t>The fees specified in Schedule 1 Division 11 are payable in respect of an application made in relation to an apiary authority.</w:t>
      </w:r>
    </w:p>
    <w:p>
      <w:pPr>
        <w:pStyle w:val="Footnotesection"/>
      </w:pPr>
      <w:r>
        <w:tab/>
        <w:t>[Regulation 98C inserted in Gazette 3 Sep 2010 p. 4279.]</w:t>
      </w:r>
    </w:p>
    <w:p>
      <w:pPr>
        <w:pStyle w:val="Heading5"/>
      </w:pPr>
      <w:bookmarkStart w:id="381" w:name="_Toc462045439"/>
      <w:r>
        <w:rPr>
          <w:rStyle w:val="CharSectno"/>
        </w:rPr>
        <w:t>98D</w:t>
      </w:r>
      <w:r>
        <w:t>.</w:t>
      </w:r>
      <w:r>
        <w:tab/>
        <w:t>Maximum area of apiary site</w:t>
      </w:r>
      <w:bookmarkEnd w:id="381"/>
    </w:p>
    <w:p>
      <w:pPr>
        <w:pStyle w:val="Subsection"/>
      </w:pPr>
      <w:r>
        <w:tab/>
      </w:r>
      <w:r>
        <w:tab/>
        <w:t xml:space="preserve">The area of an apiary site for which an apiary authority is granted must not exceed the area that the CEO considers is reasonably necessary to enable an apiary to be efficiently operated on the site. </w:t>
      </w:r>
    </w:p>
    <w:p>
      <w:pPr>
        <w:pStyle w:val="Footnotesection"/>
      </w:pPr>
      <w:r>
        <w:tab/>
        <w:t>[Regulation 98D inserted in Gazette 3 Sep 2010 p. 4279.]</w:t>
      </w:r>
    </w:p>
    <w:p>
      <w:pPr>
        <w:pStyle w:val="Heading5"/>
      </w:pPr>
      <w:bookmarkStart w:id="382" w:name="_Toc462045440"/>
      <w:r>
        <w:rPr>
          <w:rStyle w:val="CharSectno"/>
        </w:rPr>
        <w:t>98E</w:t>
      </w:r>
      <w:r>
        <w:t>.</w:t>
      </w:r>
      <w:r>
        <w:tab/>
        <w:t>Form of apiary authority</w:t>
      </w:r>
      <w:bookmarkEnd w:id="382"/>
    </w:p>
    <w:p>
      <w:pPr>
        <w:pStyle w:val="Subsection"/>
      </w:pPr>
      <w:r>
        <w:tab/>
        <w:t>(1)</w:t>
      </w:r>
      <w:r>
        <w:tab/>
        <w:t>An apiary permit is to be in the form of Schedule 3 Form 3.</w:t>
      </w:r>
    </w:p>
    <w:p>
      <w:pPr>
        <w:pStyle w:val="Subsection"/>
      </w:pPr>
      <w:r>
        <w:tab/>
        <w:t>(2)</w:t>
      </w:r>
      <w:r>
        <w:tab/>
        <w:t>An apiary licence is to be in writing in such form as the CEO thinks fit.</w:t>
      </w:r>
    </w:p>
    <w:p>
      <w:pPr>
        <w:pStyle w:val="Footnotesection"/>
      </w:pPr>
      <w:r>
        <w:tab/>
        <w:t>[Regulation 98E inserted in Gazette 3 Sep 2010 p. 4279</w:t>
      </w:r>
      <w:r>
        <w:noBreakHyphen/>
        <w:t>80.]</w:t>
      </w:r>
    </w:p>
    <w:p>
      <w:pPr>
        <w:pStyle w:val="Heading5"/>
      </w:pPr>
      <w:bookmarkStart w:id="383" w:name="_Toc462045441"/>
      <w:r>
        <w:rPr>
          <w:rStyle w:val="CharSectno"/>
        </w:rPr>
        <w:t>98F</w:t>
      </w:r>
      <w:r>
        <w:t>.</w:t>
      </w:r>
      <w:r>
        <w:tab/>
        <w:t>Duration of apiary authority</w:t>
      </w:r>
      <w:bookmarkEnd w:id="383"/>
    </w:p>
    <w:p>
      <w:pPr>
        <w:pStyle w:val="Subsection"/>
      </w:pPr>
      <w:r>
        <w:tab/>
        <w:t>(1)</w:t>
      </w:r>
      <w:r>
        <w:tab/>
        <w:t>An apiary authority —</w:t>
      </w:r>
    </w:p>
    <w:p>
      <w:pPr>
        <w:pStyle w:val="Indenta"/>
      </w:pPr>
      <w:r>
        <w:tab/>
        <w:t>(a)</w:t>
      </w:r>
      <w:r>
        <w:tab/>
        <w:t>takes effect on the day on which it is granted or any later day specified in it; and</w:t>
      </w:r>
    </w:p>
    <w:p>
      <w:pPr>
        <w:pStyle w:val="Indenta"/>
      </w:pPr>
      <w:r>
        <w:tab/>
        <w:t>(b)</w:t>
      </w:r>
      <w:r>
        <w:tab/>
        <w:t>remains in force for the period specified in it unless before then it expires under subregulation (2), is surrendered or is cancelled.</w:t>
      </w:r>
    </w:p>
    <w:p>
      <w:pPr>
        <w:pStyle w:val="Subsection"/>
      </w:pPr>
      <w:r>
        <w:tab/>
        <w:t>(2)</w:t>
      </w:r>
      <w:r>
        <w:tab/>
        <w:t>An apiary authority expires if the apiary site ceases to be land in respect of which the authority can be granted under Part VIII Division 1 or 2, as the case requires, of the Act.</w:t>
      </w:r>
    </w:p>
    <w:p>
      <w:pPr>
        <w:pStyle w:val="Subsection"/>
      </w:pPr>
      <w:r>
        <w:tab/>
        <w:t>(3)</w:t>
      </w:r>
      <w:r>
        <w:tab/>
        <w:t>The holder of an apiary authority may surrender it at any time by returning the permit or licence to the CEO, in which case it ceases to have effect when it is received by the CEO.</w:t>
      </w:r>
    </w:p>
    <w:p>
      <w:pPr>
        <w:pStyle w:val="Footnotesection"/>
      </w:pPr>
      <w:r>
        <w:tab/>
        <w:t>[Regulation 98F inserted in Gazette 3 Sep 2010 p. 4280.]</w:t>
      </w:r>
    </w:p>
    <w:p>
      <w:pPr>
        <w:pStyle w:val="Heading5"/>
      </w:pPr>
      <w:bookmarkStart w:id="384" w:name="_Toc462045442"/>
      <w:r>
        <w:rPr>
          <w:rStyle w:val="CharSectno"/>
        </w:rPr>
        <w:t>98G</w:t>
      </w:r>
      <w:r>
        <w:t>.</w:t>
      </w:r>
      <w:r>
        <w:tab/>
        <w:t>Conditions</w:t>
      </w:r>
      <w:bookmarkEnd w:id="384"/>
    </w:p>
    <w:p>
      <w:pPr>
        <w:pStyle w:val="Subsection"/>
      </w:pPr>
      <w:r>
        <w:tab/>
        <w:t>(1)</w:t>
      </w:r>
      <w:r>
        <w:tab/>
        <w:t xml:space="preserve">In this regulation — </w:t>
      </w:r>
    </w:p>
    <w:p>
      <w:pPr>
        <w:pStyle w:val="Defstart"/>
      </w:pPr>
      <w:r>
        <w:rPr>
          <w:b/>
        </w:rPr>
        <w:tab/>
      </w:r>
      <w:r>
        <w:rPr>
          <w:rStyle w:val="CharDefText"/>
        </w:rPr>
        <w:t>apiarist</w:t>
      </w:r>
      <w:r>
        <w:t xml:space="preserve"> includes an employee or agent of the apiarist; </w:t>
      </w:r>
    </w:p>
    <w:p>
      <w:pPr>
        <w:pStyle w:val="Defstart"/>
      </w:pPr>
      <w:r>
        <w:rPr>
          <w:b/>
        </w:rPr>
        <w:tab/>
      </w:r>
      <w:r>
        <w:rPr>
          <w:rStyle w:val="CharDefText"/>
        </w:rPr>
        <w:t>local departmental office</w:t>
      </w:r>
      <w:r>
        <w:rPr>
          <w:bCs/>
        </w:rPr>
        <w:t xml:space="preserve">, in relation to an apiary site, </w:t>
      </w:r>
      <w:r>
        <w:t>means the office of the Department responsible for the day</w:t>
      </w:r>
      <w:r>
        <w:noBreakHyphen/>
        <w:t>to</w:t>
      </w:r>
      <w:r>
        <w:noBreakHyphen/>
        <w:t>day management of the area that includes the apiary site.</w:t>
      </w:r>
    </w:p>
    <w:p>
      <w:pPr>
        <w:pStyle w:val="Subsection"/>
      </w:pPr>
      <w:r>
        <w:tab/>
        <w:t>(2)</w:t>
      </w:r>
      <w:r>
        <w:tab/>
        <w:t xml:space="preserve">The following conditions apply to every apiary authority — </w:t>
      </w:r>
    </w:p>
    <w:p>
      <w:pPr>
        <w:pStyle w:val="Indenta"/>
      </w:pPr>
      <w:r>
        <w:tab/>
        <w:t>(a)</w:t>
      </w:r>
      <w:r>
        <w:tab/>
        <w:t>the apiarist must immediately report any outbreak of fire on or near the apiary site to the local departmental office;</w:t>
      </w:r>
    </w:p>
    <w:p>
      <w:pPr>
        <w:pStyle w:val="Indenta"/>
      </w:pPr>
      <w:r>
        <w:tab/>
        <w:t>(b)</w:t>
      </w:r>
      <w:r>
        <w:tab/>
        <w:t>the apiarist must cooperate with the Department and any other authority or person lawfully carrying out fire prevention or control activities on or near the apiary site;</w:t>
      </w:r>
    </w:p>
    <w:p>
      <w:pPr>
        <w:pStyle w:val="Indenta"/>
      </w:pPr>
      <w:r>
        <w:tab/>
        <w:t>(c)</w:t>
      </w:r>
      <w:r>
        <w:tab/>
        <w:t>the apiarist must ensure that there is adequate water on the apiary site for all apiary requirements;</w:t>
      </w:r>
    </w:p>
    <w:p>
      <w:pPr>
        <w:pStyle w:val="Indenta"/>
        <w:keepNext/>
      </w:pPr>
      <w:r>
        <w:tab/>
        <w:t>(d)</w:t>
      </w:r>
      <w:r>
        <w:tab/>
        <w:t xml:space="preserve">before placing hives on the apiary site the apiarist must give notice to — </w:t>
      </w:r>
    </w:p>
    <w:p>
      <w:pPr>
        <w:pStyle w:val="Indenti"/>
      </w:pPr>
      <w:r>
        <w:tab/>
        <w:t>(i)</w:t>
      </w:r>
      <w:r>
        <w:tab/>
        <w:t>the local departmental office; and</w:t>
      </w:r>
    </w:p>
    <w:p>
      <w:pPr>
        <w:pStyle w:val="Indenti"/>
      </w:pPr>
      <w:r>
        <w:tab/>
        <w:t>(ii)</w:t>
      </w:r>
      <w:r>
        <w:tab/>
        <w:t>if the site is on a pastoral lease or mining tenement — the employee or agent of the pastoral lessee or tenement holder who is responsible for the day</w:t>
      </w:r>
      <w:r>
        <w:noBreakHyphen/>
        <w:t>to</w:t>
      </w:r>
      <w:r>
        <w:noBreakHyphen/>
        <w:t>day management of the area of the lease or tenement where the site is located;</w:t>
      </w:r>
    </w:p>
    <w:p>
      <w:pPr>
        <w:pStyle w:val="Indenta"/>
      </w:pPr>
      <w:r>
        <w:tab/>
        <w:t>(e)</w:t>
      </w:r>
      <w:r>
        <w:tab/>
        <w:t>the apiarist must take all reasonably practicable steps to ensure that the apiarist’s activities do not infect the site with, or spread, a forest disease;</w:t>
      </w:r>
    </w:p>
    <w:p>
      <w:pPr>
        <w:pStyle w:val="Indenta"/>
      </w:pPr>
      <w:r>
        <w:tab/>
        <w:t>(f)</w:t>
      </w:r>
      <w:r>
        <w:tab/>
        <w:t xml:space="preserve">the apiarist must comply with the following written laws — </w:t>
      </w:r>
    </w:p>
    <w:p>
      <w:pPr>
        <w:pStyle w:val="Indenti"/>
        <w:rPr>
          <w:snapToGrid w:val="0"/>
        </w:rPr>
      </w:pPr>
      <w:r>
        <w:rPr>
          <w:snapToGrid w:val="0"/>
        </w:rPr>
        <w:tab/>
        <w:t>(i)</w:t>
      </w:r>
      <w:r>
        <w:rPr>
          <w:snapToGrid w:val="0"/>
        </w:rPr>
        <w:tab/>
      </w:r>
      <w:r>
        <w:rPr>
          <w:i/>
          <w:iCs/>
          <w:snapToGrid w:val="0"/>
        </w:rPr>
        <w:t>Conservation and Land Management Act 1984</w:t>
      </w:r>
      <w:r>
        <w:rPr>
          <w:snapToGrid w:val="0"/>
        </w:rPr>
        <w:t>;</w:t>
      </w:r>
    </w:p>
    <w:p>
      <w:pPr>
        <w:pStyle w:val="Indenti"/>
        <w:rPr>
          <w:snapToGrid w:val="0"/>
        </w:rPr>
      </w:pPr>
      <w:r>
        <w:rPr>
          <w:snapToGrid w:val="0"/>
        </w:rPr>
        <w:tab/>
        <w:t>(ii)</w:t>
      </w:r>
      <w:r>
        <w:rPr>
          <w:snapToGrid w:val="0"/>
        </w:rPr>
        <w:tab/>
      </w:r>
      <w:r>
        <w:rPr>
          <w:i/>
          <w:iCs/>
          <w:snapToGrid w:val="0"/>
        </w:rPr>
        <w:t>Bush Fires Act 1954</w:t>
      </w:r>
      <w:r>
        <w:rPr>
          <w:snapToGrid w:val="0"/>
        </w:rPr>
        <w:t>;</w:t>
      </w:r>
    </w:p>
    <w:p>
      <w:pPr>
        <w:pStyle w:val="Indenti"/>
        <w:rPr>
          <w:snapToGrid w:val="0"/>
        </w:rPr>
      </w:pPr>
      <w:r>
        <w:rPr>
          <w:snapToGrid w:val="0"/>
        </w:rPr>
        <w:tab/>
        <w:t>(iii)</w:t>
      </w:r>
      <w:r>
        <w:rPr>
          <w:snapToGrid w:val="0"/>
        </w:rPr>
        <w:tab/>
      </w:r>
      <w:r>
        <w:rPr>
          <w:i/>
          <w:iCs/>
          <w:snapToGrid w:val="0"/>
        </w:rPr>
        <w:t>Health Act 1911</w:t>
      </w:r>
      <w:r>
        <w:rPr>
          <w:snapToGrid w:val="0"/>
        </w:rPr>
        <w:t>;</w:t>
      </w:r>
    </w:p>
    <w:p>
      <w:pPr>
        <w:pStyle w:val="Indenti"/>
        <w:rPr>
          <w:snapToGrid w:val="0"/>
        </w:rPr>
      </w:pPr>
      <w:r>
        <w:tab/>
        <w:t>(iv)</w:t>
      </w:r>
      <w:r>
        <w:tab/>
        <w:t xml:space="preserve">any written law relating to </w:t>
      </w:r>
      <w:r>
        <w:rPr>
          <w:snapToGrid w:val="0"/>
        </w:rPr>
        <w:t>protection of water catchments or regulation of water supplies.</w:t>
      </w:r>
    </w:p>
    <w:p>
      <w:pPr>
        <w:pStyle w:val="Subsection"/>
      </w:pPr>
      <w:r>
        <w:tab/>
        <w:t>(3)</w:t>
      </w:r>
      <w:r>
        <w:tab/>
        <w:t xml:space="preserve">A notice for the purposes of subregulation (2)(d) must include the following information — </w:t>
      </w:r>
    </w:p>
    <w:p>
      <w:pPr>
        <w:pStyle w:val="Indenta"/>
      </w:pPr>
      <w:r>
        <w:tab/>
        <w:t>(a)</w:t>
      </w:r>
      <w:r>
        <w:tab/>
        <w:t>the proposed location of the hives;</w:t>
      </w:r>
    </w:p>
    <w:p>
      <w:pPr>
        <w:pStyle w:val="Indenta"/>
      </w:pPr>
      <w:r>
        <w:tab/>
        <w:t>(b)</w:t>
      </w:r>
      <w:r>
        <w:tab/>
        <w:t>the number of hives proposed to be placed on the site;</w:t>
      </w:r>
    </w:p>
    <w:p>
      <w:pPr>
        <w:pStyle w:val="Indenta"/>
      </w:pPr>
      <w:r>
        <w:tab/>
        <w:t>(c)</w:t>
      </w:r>
      <w:r>
        <w:tab/>
        <w:t>how long it is proposed the hives will remain on the site;</w:t>
      </w:r>
    </w:p>
    <w:p>
      <w:pPr>
        <w:pStyle w:val="Indenta"/>
      </w:pPr>
      <w:r>
        <w:tab/>
        <w:t>(d)</w:t>
      </w:r>
      <w:r>
        <w:tab/>
        <w:t>the names of the people who are expected to be entering the site for apiary purposes.</w:t>
      </w:r>
    </w:p>
    <w:p>
      <w:pPr>
        <w:pStyle w:val="Footnotesection"/>
      </w:pPr>
      <w:r>
        <w:tab/>
        <w:t>[Regulation 98G inserted in Gazette 3 Sep 2010 p. 4280</w:t>
      </w:r>
      <w:r>
        <w:noBreakHyphen/>
        <w:t>1.]</w:t>
      </w:r>
    </w:p>
    <w:p>
      <w:pPr>
        <w:pStyle w:val="Heading5"/>
      </w:pPr>
      <w:bookmarkStart w:id="385" w:name="_Toc462045443"/>
      <w:r>
        <w:rPr>
          <w:rStyle w:val="CharSectno"/>
        </w:rPr>
        <w:t>98H</w:t>
      </w:r>
      <w:r>
        <w:t>.</w:t>
      </w:r>
      <w:r>
        <w:tab/>
        <w:t>Application of regulations to apiary sites that are not on CALM land</w:t>
      </w:r>
      <w:bookmarkEnd w:id="385"/>
    </w:p>
    <w:p>
      <w:pPr>
        <w:pStyle w:val="Subsection"/>
      </w:pPr>
      <w:r>
        <w:tab/>
      </w:r>
      <w:r>
        <w:tab/>
        <w:t>If an apiary site is on land that is not CALM land, the regulations listed in the Table apply in relation to the apiarist, any employee or agent of the apiarist and any other person who is on the site for a purpose related to the operation of the apiary, as if the apiary site were CALM land.</w:t>
      </w:r>
    </w:p>
    <w:p>
      <w:pPr>
        <w:pStyle w:val="THeadingNAm"/>
        <w:outlineLvl w:val="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t>r. 21</w:t>
            </w:r>
          </w:p>
        </w:tc>
        <w:tc>
          <w:tcPr>
            <w:tcW w:w="2764" w:type="dxa"/>
          </w:tcPr>
          <w:p>
            <w:pPr>
              <w:pStyle w:val="TableNAm"/>
            </w:pPr>
            <w:r>
              <w:t>r. 23</w:t>
            </w:r>
          </w:p>
        </w:tc>
      </w:tr>
      <w:tr>
        <w:tc>
          <w:tcPr>
            <w:tcW w:w="2764" w:type="dxa"/>
          </w:tcPr>
          <w:p>
            <w:pPr>
              <w:pStyle w:val="TableNAm"/>
            </w:pPr>
            <w:r>
              <w:t>r. 24</w:t>
            </w:r>
          </w:p>
        </w:tc>
        <w:tc>
          <w:tcPr>
            <w:tcW w:w="2764" w:type="dxa"/>
          </w:tcPr>
          <w:p>
            <w:pPr>
              <w:pStyle w:val="TableNAm"/>
            </w:pPr>
            <w:r>
              <w:t>r. 25</w:t>
            </w:r>
          </w:p>
        </w:tc>
      </w:tr>
      <w:tr>
        <w:tc>
          <w:tcPr>
            <w:tcW w:w="2764" w:type="dxa"/>
          </w:tcPr>
          <w:p>
            <w:pPr>
              <w:pStyle w:val="TableNAm"/>
            </w:pPr>
            <w:r>
              <w:t>r. 27</w:t>
            </w:r>
          </w:p>
        </w:tc>
        <w:tc>
          <w:tcPr>
            <w:tcW w:w="2764" w:type="dxa"/>
          </w:tcPr>
          <w:p>
            <w:pPr>
              <w:pStyle w:val="TableNAm"/>
            </w:pPr>
            <w:r>
              <w:t>r. 31</w:t>
            </w:r>
          </w:p>
        </w:tc>
      </w:tr>
      <w:tr>
        <w:tc>
          <w:tcPr>
            <w:tcW w:w="2764" w:type="dxa"/>
          </w:tcPr>
          <w:p>
            <w:pPr>
              <w:pStyle w:val="TableNAm"/>
            </w:pPr>
            <w:r>
              <w:t>r. 34</w:t>
            </w:r>
          </w:p>
        </w:tc>
        <w:tc>
          <w:tcPr>
            <w:tcW w:w="2764" w:type="dxa"/>
          </w:tcPr>
          <w:p>
            <w:pPr>
              <w:pStyle w:val="TableNAm"/>
            </w:pPr>
            <w:r>
              <w:t>r. 35</w:t>
            </w:r>
          </w:p>
        </w:tc>
      </w:tr>
      <w:tr>
        <w:tc>
          <w:tcPr>
            <w:tcW w:w="2764" w:type="dxa"/>
          </w:tcPr>
          <w:p>
            <w:pPr>
              <w:pStyle w:val="TableNAm"/>
            </w:pPr>
            <w:r>
              <w:t>r. 36</w:t>
            </w:r>
          </w:p>
        </w:tc>
        <w:tc>
          <w:tcPr>
            <w:tcW w:w="2764" w:type="dxa"/>
          </w:tcPr>
          <w:p>
            <w:pPr>
              <w:pStyle w:val="TableNAm"/>
            </w:pPr>
            <w:r>
              <w:t>r. 38</w:t>
            </w:r>
          </w:p>
        </w:tc>
      </w:tr>
    </w:tbl>
    <w:p>
      <w:pPr>
        <w:pStyle w:val="Footnotesection"/>
      </w:pPr>
      <w:r>
        <w:tab/>
        <w:t>[Regulation 98H inserted in Gazette 3 Sep 2010 p. 4281.]</w:t>
      </w:r>
    </w:p>
    <w:p>
      <w:pPr>
        <w:pStyle w:val="Heading5"/>
      </w:pPr>
      <w:bookmarkStart w:id="386" w:name="_Toc462045444"/>
      <w:r>
        <w:rPr>
          <w:rStyle w:val="CharSectno"/>
        </w:rPr>
        <w:t>98I</w:t>
      </w:r>
      <w:r>
        <w:t>.</w:t>
      </w:r>
      <w:r>
        <w:tab/>
        <w:t>Other operations not affected by apiary</w:t>
      </w:r>
      <w:bookmarkEnd w:id="386"/>
    </w:p>
    <w:p>
      <w:pPr>
        <w:pStyle w:val="Subsection"/>
      </w:pPr>
      <w:r>
        <w:tab/>
        <w:t>(1)</w:t>
      </w:r>
      <w:r>
        <w:tab/>
        <w:t>The fact that an apiary authority is in force in respect of a site does not affect the right of any person who has lawful authority to do so from doing any of the following, whether on the site or elsewhere —</w:t>
      </w:r>
    </w:p>
    <w:p>
      <w:pPr>
        <w:pStyle w:val="Indenta"/>
      </w:pPr>
      <w:r>
        <w:tab/>
        <w:t>(a)</w:t>
      </w:r>
      <w:r>
        <w:tab/>
        <w:t>felling, cutting or removing any forest produce;</w:t>
      </w:r>
    </w:p>
    <w:p>
      <w:pPr>
        <w:pStyle w:val="Indenta"/>
      </w:pPr>
      <w:r>
        <w:tab/>
        <w:t>(b)</w:t>
      </w:r>
      <w:r>
        <w:tab/>
        <w:t>carrying out any fire control or prevention activity, including the construction and maintenance of firebreaks and managed burning;</w:t>
      </w:r>
    </w:p>
    <w:p>
      <w:pPr>
        <w:pStyle w:val="Indenta"/>
      </w:pPr>
      <w:r>
        <w:tab/>
        <w:t>(c)</w:t>
      </w:r>
      <w:r>
        <w:tab/>
        <w:t>doing anything that is required or permitted to be done under a management plan.</w:t>
      </w:r>
    </w:p>
    <w:p>
      <w:pPr>
        <w:pStyle w:val="Subsection"/>
      </w:pPr>
      <w:r>
        <w:tab/>
        <w:t>(2)</w:t>
      </w:r>
      <w:r>
        <w:tab/>
        <w:t>The holder of an apiary authority is not entitled to compensation for any loss or damage arising from the carrying out of any such activity.</w:t>
      </w:r>
    </w:p>
    <w:p>
      <w:pPr>
        <w:pStyle w:val="Footnotesection"/>
      </w:pPr>
      <w:r>
        <w:tab/>
        <w:t>[Regulation 98I inserted in Gazette 3 Sep 2010 p. 4282.]</w:t>
      </w:r>
    </w:p>
    <w:p>
      <w:pPr>
        <w:pStyle w:val="Heading5"/>
      </w:pPr>
      <w:bookmarkStart w:id="387" w:name="_Toc462045445"/>
      <w:r>
        <w:rPr>
          <w:rStyle w:val="CharSectno"/>
        </w:rPr>
        <w:t>98J</w:t>
      </w:r>
      <w:r>
        <w:t>.</w:t>
      </w:r>
      <w:r>
        <w:tab/>
        <w:t>False or misleading information</w:t>
      </w:r>
      <w:bookmarkEnd w:id="387"/>
    </w:p>
    <w:p>
      <w:pPr>
        <w:pStyle w:val="Subsection"/>
      </w:pPr>
      <w:r>
        <w:tab/>
      </w:r>
      <w:r>
        <w:tab/>
        <w:t>A person must not, in relation to an apiary authority, give information orally or in writing to the CEO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98J inserted in Gazette 3 Sep 2010 p. 4282.]</w:t>
      </w:r>
    </w:p>
    <w:p>
      <w:pPr>
        <w:pStyle w:val="Heading5"/>
      </w:pPr>
      <w:bookmarkStart w:id="388" w:name="_Toc462045446"/>
      <w:r>
        <w:rPr>
          <w:rStyle w:val="CharSectno"/>
        </w:rPr>
        <w:t>98K</w:t>
      </w:r>
      <w:r>
        <w:t>.</w:t>
      </w:r>
      <w:r>
        <w:tab/>
        <w:t>Rent for apiary sites</w:t>
      </w:r>
      <w:bookmarkEnd w:id="388"/>
    </w:p>
    <w:p>
      <w:pPr>
        <w:pStyle w:val="Subsection"/>
      </w:pPr>
      <w:r>
        <w:tab/>
        <w:t>(1)</w:t>
      </w:r>
      <w:r>
        <w:tab/>
        <w:t>The holder of an apiary authority is to pay to the CEO annual rent for each apiary site at the rate set out in subregulation (2).</w:t>
      </w:r>
    </w:p>
    <w:p>
      <w:pPr>
        <w:pStyle w:val="Subsection"/>
      </w:pPr>
      <w:r>
        <w:tab/>
        <w:t>(2)</w:t>
      </w:r>
      <w:r>
        <w:tab/>
        <w:t xml:space="preserve">The rate of rent is — </w:t>
      </w:r>
    </w:p>
    <w:p>
      <w:pPr>
        <w:pStyle w:val="Indenta"/>
      </w:pPr>
      <w:r>
        <w:tab/>
        <w:t>(a)</w:t>
      </w:r>
      <w:r>
        <w:tab/>
        <w:t>if the site is in the South</w:t>
      </w:r>
      <w:r>
        <w:noBreakHyphen/>
        <w:t>west zone — $84; or</w:t>
      </w:r>
    </w:p>
    <w:p>
      <w:pPr>
        <w:pStyle w:val="Indenta"/>
      </w:pPr>
      <w:r>
        <w:tab/>
        <w:t>(b)</w:t>
      </w:r>
      <w:r>
        <w:tab/>
        <w:t>if the site is outside the South</w:t>
      </w:r>
      <w:r>
        <w:noBreakHyphen/>
        <w:t>west zone — $42.</w:t>
      </w:r>
    </w:p>
    <w:p>
      <w:pPr>
        <w:pStyle w:val="Subsection"/>
      </w:pPr>
      <w:r>
        <w:tab/>
        <w:t>(3)</w:t>
      </w:r>
      <w:r>
        <w:tab/>
        <w:t>The rent is payable annually in advance on the date on which the apiary authority takes effect and each anniversary of that date.</w:t>
      </w:r>
    </w:p>
    <w:p>
      <w:pPr>
        <w:pStyle w:val="Subsection"/>
      </w:pPr>
      <w:r>
        <w:tab/>
        <w:t>(4)</w:t>
      </w:r>
      <w:r>
        <w:tab/>
        <w:t>If an apiary authority is to be in force for part only of a year the rent payable for that year is reduced proportionately.</w:t>
      </w:r>
    </w:p>
    <w:p>
      <w:pPr>
        <w:pStyle w:val="Subsection"/>
      </w:pPr>
      <w:r>
        <w:tab/>
        <w:t>(5)</w:t>
      </w:r>
      <w:r>
        <w:tab/>
        <w:t>The rent is payable whether or not the apiarist places any hives on, or removes any forest produce from, the apiary site.</w:t>
      </w:r>
    </w:p>
    <w:p>
      <w:pPr>
        <w:pStyle w:val="Footnotesection"/>
      </w:pPr>
      <w:r>
        <w:tab/>
        <w:t>[Regulation 98K inserted in Gazette 3 Sep 2010 p. 4282.]</w:t>
      </w:r>
    </w:p>
    <w:p>
      <w:pPr>
        <w:pStyle w:val="Heading2"/>
      </w:pPr>
      <w:bookmarkStart w:id="389" w:name="_Toc436903826"/>
      <w:bookmarkStart w:id="390" w:name="_Toc436905768"/>
      <w:bookmarkStart w:id="391" w:name="_Toc436905989"/>
      <w:bookmarkStart w:id="392" w:name="_Toc437515742"/>
      <w:bookmarkStart w:id="393" w:name="_Toc447533342"/>
      <w:bookmarkStart w:id="394" w:name="_Toc456878250"/>
      <w:bookmarkStart w:id="395" w:name="_Toc456951767"/>
      <w:bookmarkStart w:id="396" w:name="_Toc458590351"/>
      <w:bookmarkStart w:id="397" w:name="_Toc458590573"/>
      <w:bookmarkStart w:id="398" w:name="_Toc458590794"/>
      <w:bookmarkStart w:id="399" w:name="_Toc462045447"/>
      <w:r>
        <w:rPr>
          <w:rStyle w:val="CharPartNo"/>
        </w:rPr>
        <w:t>Part 8</w:t>
      </w:r>
      <w:r>
        <w:rPr>
          <w:rStyle w:val="CharDivNo"/>
        </w:rPr>
        <w:t xml:space="preserve"> </w:t>
      </w:r>
      <w:r>
        <w:t>—</w:t>
      </w:r>
      <w:r>
        <w:rPr>
          <w:rStyle w:val="CharDivText"/>
        </w:rPr>
        <w:t xml:space="preserve"> </w:t>
      </w:r>
      <w:r>
        <w:rPr>
          <w:rStyle w:val="CharPartText"/>
        </w:rPr>
        <w:t>Fees</w:t>
      </w:r>
      <w:bookmarkEnd w:id="389"/>
      <w:bookmarkEnd w:id="390"/>
      <w:bookmarkEnd w:id="391"/>
      <w:bookmarkEnd w:id="392"/>
      <w:bookmarkEnd w:id="393"/>
      <w:bookmarkEnd w:id="394"/>
      <w:bookmarkEnd w:id="395"/>
      <w:bookmarkEnd w:id="396"/>
      <w:bookmarkEnd w:id="397"/>
      <w:bookmarkEnd w:id="398"/>
      <w:bookmarkEnd w:id="399"/>
    </w:p>
    <w:p>
      <w:pPr>
        <w:pStyle w:val="Footnoteheading"/>
      </w:pPr>
      <w:r>
        <w:tab/>
        <w:t>[Heading amended in Gazette 29 Sep 2006 p. 4319.]</w:t>
      </w:r>
    </w:p>
    <w:p>
      <w:pPr>
        <w:pStyle w:val="Heading5"/>
        <w:spacing w:before="240"/>
        <w:rPr>
          <w:snapToGrid w:val="0"/>
        </w:rPr>
      </w:pPr>
      <w:bookmarkStart w:id="400" w:name="_Toc462045448"/>
      <w:r>
        <w:rPr>
          <w:rStyle w:val="CharSectno"/>
        </w:rPr>
        <w:t>99</w:t>
      </w:r>
      <w:r>
        <w:rPr>
          <w:snapToGrid w:val="0"/>
        </w:rPr>
        <w:t>.</w:t>
      </w:r>
      <w:r>
        <w:rPr>
          <w:snapToGrid w:val="0"/>
        </w:rPr>
        <w:tab/>
        <w:t>Entrance fees</w:t>
      </w:r>
      <w:r>
        <w:rPr>
          <w:b w:val="0"/>
        </w:rPr>
        <w:t xml:space="preserve"> </w:t>
      </w:r>
      <w:r>
        <w:t>for motor vehicles</w:t>
      </w:r>
      <w:bookmarkEnd w:id="400"/>
      <w:r>
        <w:rPr>
          <w:snapToGrid w:val="0"/>
        </w:rPr>
        <w:t xml:space="preserve"> </w:t>
      </w:r>
    </w:p>
    <w:p>
      <w:pPr>
        <w:pStyle w:val="Subsection"/>
        <w:spacing w:before="180"/>
        <w:rPr>
          <w:snapToGrid w:val="0"/>
        </w:rPr>
      </w:pPr>
      <w:r>
        <w:rPr>
          <w:snapToGrid w:val="0"/>
        </w:rPr>
        <w:tab/>
        <w:t>(1)</w:t>
      </w:r>
      <w:r>
        <w:rPr>
          <w:snapToGrid w:val="0"/>
        </w:rPr>
        <w:tab/>
        <w:t>In this regulation — </w:t>
      </w:r>
    </w:p>
    <w:p>
      <w:pPr>
        <w:pStyle w:val="Defstart"/>
      </w:pPr>
      <w:r>
        <w:tab/>
      </w:r>
      <w:r>
        <w:rPr>
          <w:rStyle w:val="CharDefText"/>
        </w:rPr>
        <w:t>non</w:t>
      </w:r>
      <w:r>
        <w:rPr>
          <w:rStyle w:val="CharDefText"/>
        </w:rPr>
        <w:noBreakHyphen/>
        <w:t>tour motor vehicle</w:t>
      </w:r>
      <w:r>
        <w:rPr>
          <w:b/>
        </w:rPr>
        <w:t xml:space="preserve"> </w:t>
      </w:r>
      <w:r>
        <w:t>means a motor vehicle that is not a tour vehicle;</w:t>
      </w:r>
    </w:p>
    <w:p>
      <w:pPr>
        <w:pStyle w:val="Defstart"/>
      </w:pPr>
      <w:r>
        <w:tab/>
      </w:r>
      <w:r>
        <w:rPr>
          <w:rStyle w:val="CharDefText"/>
        </w:rPr>
        <w:t>tour vehicle</w:t>
      </w:r>
      <w:r>
        <w:t xml:space="preserve"> means — </w:t>
      </w:r>
    </w:p>
    <w:p>
      <w:pPr>
        <w:pStyle w:val="Defpara"/>
        <w:spacing w:before="60"/>
      </w:pPr>
      <w:r>
        <w:tab/>
        <w:t>(a)</w:t>
      </w:r>
      <w:r>
        <w:tab/>
        <w:t>a vehicle that is fitted with seats for 8 or more adult persons, including the driver, and is being used to carry passengers for separate fares; or</w:t>
      </w:r>
    </w:p>
    <w:p>
      <w:pPr>
        <w:pStyle w:val="Defpara"/>
        <w:spacing w:before="60"/>
      </w:pPr>
      <w:r>
        <w:tab/>
        <w:t>(b)</w:t>
      </w:r>
      <w:r>
        <w:tab/>
        <w:t xml:space="preserve">a taxi within the meaning of the </w:t>
      </w:r>
      <w:r>
        <w:rPr>
          <w:i/>
        </w:rPr>
        <w:t>Taxi Act 1994</w:t>
      </w:r>
      <w:r>
        <w:t>; or</w:t>
      </w:r>
    </w:p>
    <w:p>
      <w:pPr>
        <w:pStyle w:val="Defpara"/>
        <w:spacing w:before="60"/>
      </w:pPr>
      <w:r>
        <w:tab/>
        <w:t>(c)</w:t>
      </w:r>
      <w:r>
        <w:tab/>
        <w:t>a vehicle that is licensed to stand or ply for the carriage of passengers for reward; or</w:t>
      </w:r>
    </w:p>
    <w:p>
      <w:pPr>
        <w:pStyle w:val="Defpara"/>
        <w:spacing w:before="60"/>
      </w:pPr>
      <w:r>
        <w:tab/>
        <w:t>(d)</w:t>
      </w:r>
      <w:r>
        <w:tab/>
        <w:t>a vehicle that is fitted with seats for 13 or more persons, including the driver of the vehicle, and is being used to carry 13 or more persons, including the driver.</w:t>
      </w:r>
    </w:p>
    <w:p>
      <w:pPr>
        <w:pStyle w:val="Subsection"/>
        <w:spacing w:before="180"/>
        <w:rPr>
          <w:snapToGrid w:val="0"/>
        </w:rPr>
      </w:pPr>
      <w:r>
        <w:rPr>
          <w:snapToGrid w:val="0"/>
        </w:rPr>
        <w:tab/>
        <w:t>(2)</w:t>
      </w:r>
      <w:r>
        <w:rPr>
          <w:snapToGrid w:val="0"/>
        </w:rPr>
        <w:tab/>
        <w:t>Subject to subregulations (3) and (4) and Schedule 1 Division 1 — </w:t>
      </w:r>
    </w:p>
    <w:p>
      <w:pPr>
        <w:pStyle w:val="Indenta"/>
        <w:spacing w:before="60"/>
        <w:rPr>
          <w:snapToGrid w:val="0"/>
        </w:rPr>
      </w:pPr>
      <w:r>
        <w:rPr>
          <w:snapToGrid w:val="0"/>
        </w:rPr>
        <w:tab/>
        <w:t>(a)</w:t>
      </w:r>
      <w:r>
        <w:rPr>
          <w:snapToGrid w:val="0"/>
        </w:rPr>
        <w:tab/>
        <w:t>the relevant fee specified in Schedule 1 Division 1 item 1, 2 or 5 is payable daily per non</w:t>
      </w:r>
      <w:r>
        <w:rPr>
          <w:snapToGrid w:val="0"/>
        </w:rPr>
        <w:noBreakHyphen/>
        <w:t>tour motor vehicle entering an area of CALM land, and the person in charge of the vehicle is liable to pay the relevant fee; and</w:t>
      </w:r>
    </w:p>
    <w:p>
      <w:pPr>
        <w:pStyle w:val="Indenta"/>
        <w:spacing w:before="60"/>
        <w:rPr>
          <w:snapToGrid w:val="0"/>
        </w:rPr>
      </w:pPr>
      <w:r>
        <w:rPr>
          <w:snapToGrid w:val="0"/>
        </w:rPr>
        <w:tab/>
        <w:t>(b)</w:t>
      </w:r>
      <w:r>
        <w:rPr>
          <w:snapToGrid w:val="0"/>
        </w:rPr>
        <w:tab/>
        <w:t>the relevant fee specified in Schedule 1 Division 1 item 3, 4, or 6 is payable daily per occupant of a tour vehicle entering an area of CALM land, and the owner or operator of the tour vehicle is liable to pay the fee for every occupant of the tour vehicle.</w:t>
      </w:r>
    </w:p>
    <w:p>
      <w:pPr>
        <w:pStyle w:val="Subsection"/>
      </w:pPr>
      <w:r>
        <w:tab/>
        <w:t>(3)</w:t>
      </w:r>
      <w:r>
        <w:tab/>
        <w:t xml:space="preserve">Fees are not payable under this regulation unless the CEO has erected — </w:t>
      </w:r>
    </w:p>
    <w:p>
      <w:pPr>
        <w:pStyle w:val="Indenta"/>
        <w:spacing w:before="60"/>
      </w:pPr>
      <w:r>
        <w:tab/>
        <w:t>(a)</w:t>
      </w:r>
      <w:r>
        <w:tab/>
        <w:t>signs at or near the entrances to the area of CALM land stating that fees are payable for entry to that area; and</w:t>
      </w:r>
    </w:p>
    <w:p>
      <w:pPr>
        <w:pStyle w:val="Indenta"/>
      </w:pPr>
      <w:r>
        <w:tab/>
        <w:t>(b)</w:t>
      </w:r>
      <w:r>
        <w:tab/>
        <w:t xml:space="preserve">signs at or near the entrances to the area of CALM land, or at or near the place on CALM land at which the fees are collected, specifying — </w:t>
      </w:r>
    </w:p>
    <w:p>
      <w:pPr>
        <w:pStyle w:val="Indenti"/>
      </w:pPr>
      <w:r>
        <w:tab/>
        <w:t>(i)</w:t>
      </w:r>
      <w:r>
        <w:tab/>
        <w:t>the fees that are payable; and</w:t>
      </w:r>
    </w:p>
    <w:p>
      <w:pPr>
        <w:pStyle w:val="Indenti"/>
      </w:pPr>
      <w:r>
        <w:tab/>
        <w:t>(ii)</w:t>
      </w:r>
      <w:r>
        <w:tab/>
        <w:t>the manner in which the fees are to be paid.</w:t>
      </w:r>
    </w:p>
    <w:p>
      <w:pPr>
        <w:pStyle w:val="Subsection"/>
        <w:rPr>
          <w:snapToGrid w:val="0"/>
        </w:rPr>
      </w:pPr>
      <w:r>
        <w:tab/>
        <w:t>(4)</w:t>
      </w:r>
      <w:r>
        <w:tab/>
      </w:r>
      <w:r>
        <w:rPr>
          <w:snapToGrid w:val="0"/>
        </w:rPr>
        <w:t>A person is not liable to pay a fee under this regulation for entry in a non</w:t>
      </w:r>
      <w:r>
        <w:rPr>
          <w:snapToGrid w:val="0"/>
        </w:rPr>
        <w:noBreakHyphen/>
        <w:t xml:space="preserve">tour motor vehicle to an area of CALM land if that person has — </w:t>
      </w:r>
    </w:p>
    <w:p>
      <w:pPr>
        <w:pStyle w:val="Indenta"/>
        <w:spacing w:before="70"/>
        <w:rPr>
          <w:snapToGrid w:val="0"/>
        </w:rPr>
      </w:pPr>
      <w:r>
        <w:rPr>
          <w:snapToGrid w:val="0"/>
        </w:rPr>
        <w:tab/>
        <w:t>(a)</w:t>
      </w:r>
      <w:r>
        <w:rPr>
          <w:snapToGrid w:val="0"/>
        </w:rPr>
        <w:tab/>
        <w:t>paid the fee prescribed in Schedule 1 Division 2 for an extended pass for that person to enter that area at the relevant time and complied with any conditions on entry set out in that Division for that fee; or</w:t>
      </w:r>
    </w:p>
    <w:p>
      <w:pPr>
        <w:pStyle w:val="Indenta"/>
        <w:spacing w:before="70"/>
      </w:pPr>
      <w:r>
        <w:rPr>
          <w:snapToGrid w:val="0"/>
        </w:rPr>
        <w:tab/>
        <w:t>(b)</w:t>
      </w:r>
      <w:r>
        <w:rPr>
          <w:snapToGrid w:val="0"/>
        </w:rPr>
        <w:tab/>
        <w:t>been otherwise authorised by the CEO to enter that area.</w:t>
      </w:r>
    </w:p>
    <w:p>
      <w:pPr>
        <w:pStyle w:val="Subsection"/>
        <w:rPr>
          <w:snapToGrid w:val="0"/>
        </w:rPr>
      </w:pPr>
      <w:r>
        <w:rPr>
          <w:snapToGrid w:val="0"/>
        </w:rPr>
        <w:tab/>
        <w:t>(5)</w:t>
      </w:r>
      <w:r>
        <w:rPr>
          <w:snapToGrid w:val="0"/>
        </w:rPr>
        <w:tab/>
        <w:t>A person must pay, in the manner specified on a sign under subregulation (3)</w:t>
      </w:r>
      <w:r>
        <w:t>(b)(ii),</w:t>
      </w:r>
      <w:r>
        <w:rPr>
          <w:snapToGrid w:val="0"/>
        </w:rPr>
        <w:t xml:space="preserve">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pPr>
      <w:r>
        <w:tab/>
        <w:t>(6)</w:t>
      </w:r>
      <w:r>
        <w:tab/>
        <w:t>This regulation does not apply to aircraft.</w:t>
      </w:r>
    </w:p>
    <w:p>
      <w:pPr>
        <w:pStyle w:val="Footnotesection"/>
      </w:pPr>
      <w:r>
        <w:tab/>
        <w:t>[Regulation 99 amended in Gazette 29 Sep 2006 p. 4320 and 4334; 3 Dec 2010 p. 6049 and 6052</w:t>
      </w:r>
      <w:r>
        <w:noBreakHyphen/>
        <w:t>4.]</w:t>
      </w:r>
    </w:p>
    <w:p>
      <w:pPr>
        <w:pStyle w:val="Heading5"/>
      </w:pPr>
      <w:bookmarkStart w:id="401" w:name="_Toc462045449"/>
      <w:r>
        <w:rPr>
          <w:rStyle w:val="CharSectno"/>
        </w:rPr>
        <w:t>99A</w:t>
      </w:r>
      <w:r>
        <w:t>.</w:t>
      </w:r>
      <w:r>
        <w:tab/>
        <w:t>Landing fees for aircraft</w:t>
      </w:r>
      <w:bookmarkEnd w:id="401"/>
    </w:p>
    <w:p>
      <w:pPr>
        <w:pStyle w:val="Subsection"/>
      </w:pPr>
      <w:r>
        <w:tab/>
        <w:t>(1)</w:t>
      </w:r>
      <w:r>
        <w:tab/>
        <w:t xml:space="preserve">In this regulation and Schedule 1 Division 12 — </w:t>
      </w:r>
    </w:p>
    <w:p>
      <w:pPr>
        <w:pStyle w:val="Defstart"/>
      </w:pPr>
      <w:r>
        <w:tab/>
      </w:r>
      <w:r>
        <w:rPr>
          <w:rStyle w:val="CharDefText"/>
        </w:rPr>
        <w:t>aircraft landing area</w:t>
      </w:r>
      <w:r>
        <w:t xml:space="preserve"> means an area declared under regulation 99B to be an aircraft landing area for the purposes of this regulation;</w:t>
      </w:r>
    </w:p>
    <w:p>
      <w:pPr>
        <w:pStyle w:val="Defstart"/>
      </w:pPr>
      <w:r>
        <w:tab/>
      </w:r>
      <w:r>
        <w:rPr>
          <w:rStyle w:val="CharDefText"/>
        </w:rPr>
        <w:t>occupant</w:t>
      </w:r>
      <w:r>
        <w:t xml:space="preserve"> does not include — </w:t>
      </w:r>
    </w:p>
    <w:p>
      <w:pPr>
        <w:pStyle w:val="Defpara"/>
        <w:spacing w:before="70"/>
      </w:pPr>
      <w:r>
        <w:tab/>
        <w:t>(a)</w:t>
      </w:r>
      <w:r>
        <w:tab/>
        <w:t>a person who is under 6 years of age; or</w:t>
      </w:r>
    </w:p>
    <w:p>
      <w:pPr>
        <w:pStyle w:val="Indenta"/>
        <w:spacing w:before="70"/>
      </w:pPr>
      <w:r>
        <w:tab/>
        <w:t>(b)</w:t>
      </w:r>
      <w:r>
        <w:tab/>
        <w:t>the pilot or other crew of an aircraft operating under a commercial operations licence.</w:t>
      </w:r>
    </w:p>
    <w:p>
      <w:pPr>
        <w:pStyle w:val="Subsection"/>
      </w:pPr>
      <w:r>
        <w:tab/>
        <w:t>(2)</w:t>
      </w:r>
      <w:r>
        <w:tab/>
        <w:t>The fee specified in Schedule 1 Division 12 is payable daily per occupant of an aircraft that lands on an aircraft landing area.</w:t>
      </w:r>
    </w:p>
    <w:p>
      <w:pPr>
        <w:pStyle w:val="Subsection"/>
      </w:pPr>
      <w:r>
        <w:tab/>
        <w:t>(3)</w:t>
      </w:r>
      <w:r>
        <w:tab/>
        <w:t xml:space="preserve">The person liable to pay the fee is — </w:t>
      </w:r>
    </w:p>
    <w:p>
      <w:pPr>
        <w:pStyle w:val="Indenta"/>
        <w:spacing w:before="60"/>
      </w:pPr>
      <w:r>
        <w:tab/>
        <w:t>(a)</w:t>
      </w:r>
      <w:r>
        <w:tab/>
        <w:t>if the aircraft is operating under a commercial operations licence — the holder of the licence; or</w:t>
      </w:r>
    </w:p>
    <w:p>
      <w:pPr>
        <w:pStyle w:val="Indenta"/>
        <w:spacing w:before="60"/>
      </w:pPr>
      <w:r>
        <w:tab/>
        <w:t>(b)</w:t>
      </w:r>
      <w:r>
        <w:tab/>
        <w:t xml:space="preserve">in any other case — </w:t>
      </w:r>
    </w:p>
    <w:p>
      <w:pPr>
        <w:pStyle w:val="Indenti"/>
        <w:spacing w:before="60"/>
      </w:pPr>
      <w:r>
        <w:tab/>
        <w:t>(i)</w:t>
      </w:r>
      <w:r>
        <w:tab/>
        <w:t>the person in charge of the aircraft; or</w:t>
      </w:r>
    </w:p>
    <w:p>
      <w:pPr>
        <w:pStyle w:val="Indenti"/>
        <w:spacing w:before="60"/>
      </w:pPr>
      <w:r>
        <w:tab/>
        <w:t>(ii)</w:t>
      </w:r>
      <w:r>
        <w:tab/>
        <w:t>if the person in charge of the aircraft is employed or engaged by another person who is the owner or operator of the aircraft — that other person.</w:t>
      </w:r>
    </w:p>
    <w:p>
      <w:pPr>
        <w:pStyle w:val="Subsection"/>
        <w:spacing w:before="120"/>
      </w:pPr>
      <w:r>
        <w:tab/>
        <w:t>(4)</w:t>
      </w:r>
      <w:r>
        <w:tab/>
        <w:t>The person liable under subregulation (3) to pay the fee must pay the fee.</w:t>
      </w:r>
    </w:p>
    <w:p>
      <w:pPr>
        <w:pStyle w:val="Penstart"/>
      </w:pPr>
      <w:r>
        <w:tab/>
        <w:t>Penalty: a fine of $1 000.</w:t>
      </w:r>
    </w:p>
    <w:p>
      <w:pPr>
        <w:pStyle w:val="Footnotesection"/>
        <w:spacing w:before="100"/>
      </w:pPr>
      <w:r>
        <w:tab/>
        <w:t>[Regulation 99A inserted in Gazette 3 Dec 2010 p. 6049</w:t>
      </w:r>
      <w:r>
        <w:noBreakHyphen/>
        <w:t>50.]</w:t>
      </w:r>
    </w:p>
    <w:p>
      <w:pPr>
        <w:pStyle w:val="Heading5"/>
        <w:spacing w:before="200"/>
      </w:pPr>
      <w:bookmarkStart w:id="402" w:name="_Toc462045450"/>
      <w:r>
        <w:rPr>
          <w:rStyle w:val="CharSectno"/>
        </w:rPr>
        <w:t>99B</w:t>
      </w:r>
      <w:r>
        <w:t>.</w:t>
      </w:r>
      <w:r>
        <w:tab/>
        <w:t>Aircraft landing areas</w:t>
      </w:r>
      <w:bookmarkEnd w:id="402"/>
    </w:p>
    <w:p>
      <w:pPr>
        <w:pStyle w:val="Subsection"/>
        <w:spacing w:before="120"/>
      </w:pPr>
      <w:r>
        <w:tab/>
        <w:t>(1)</w:t>
      </w:r>
      <w:r>
        <w:tab/>
        <w:t xml:space="preserve">The CEO may, by notice published in the </w:t>
      </w:r>
      <w:r>
        <w:rPr>
          <w:i/>
          <w:iCs/>
        </w:rPr>
        <w:t>Gazette</w:t>
      </w:r>
      <w:r>
        <w:t>, declare an area of CALM land specified in the notice to be an aircraft landing area for the purposes of regulation 99A.</w:t>
      </w:r>
    </w:p>
    <w:p>
      <w:pPr>
        <w:pStyle w:val="Subsection"/>
        <w:spacing w:before="120"/>
      </w:pPr>
      <w:r>
        <w:tab/>
        <w:t>(2)</w:t>
      </w:r>
      <w:r>
        <w:tab/>
        <w:t>An area may be declared to be an aircraft landing area at all times or during a period or periods specified in the notice.</w:t>
      </w:r>
    </w:p>
    <w:p>
      <w:pPr>
        <w:pStyle w:val="Subsection"/>
        <w:spacing w:before="120"/>
      </w:pPr>
      <w:r>
        <w:tab/>
        <w:t>(3)</w:t>
      </w:r>
      <w:r>
        <w:tab/>
        <w:t xml:space="preserve">The CEO may, by notice published in the </w:t>
      </w:r>
      <w:r>
        <w:rPr>
          <w:i/>
          <w:iCs/>
        </w:rPr>
        <w:t>Gazette</w:t>
      </w:r>
      <w:r>
        <w:t>,</w:t>
      </w:r>
      <w:r>
        <w:rPr>
          <w:iCs/>
        </w:rPr>
        <w:t xml:space="preserve"> </w:t>
      </w:r>
      <w:r>
        <w:t>amend or revoke any previous notice published under this regulation.</w:t>
      </w:r>
    </w:p>
    <w:p>
      <w:pPr>
        <w:pStyle w:val="Subsection"/>
        <w:spacing w:before="120"/>
      </w:pPr>
      <w:r>
        <w:tab/>
        <w:t>(4)</w:t>
      </w:r>
      <w:r>
        <w:tab/>
        <w:t>A notice published under this regulation takes effect on such day after publication as is specified in the notice.</w:t>
      </w:r>
    </w:p>
    <w:p>
      <w:pPr>
        <w:pStyle w:val="Footnotesection"/>
        <w:spacing w:before="100"/>
      </w:pPr>
      <w:r>
        <w:tab/>
        <w:t>[Regulation 99B inserted in Gazette 3 Dec 2010 p. 6050.]</w:t>
      </w:r>
    </w:p>
    <w:p>
      <w:pPr>
        <w:pStyle w:val="Heading5"/>
        <w:spacing w:before="200"/>
      </w:pPr>
      <w:bookmarkStart w:id="403" w:name="_Toc462045451"/>
      <w:r>
        <w:rPr>
          <w:rStyle w:val="CharSectno"/>
        </w:rPr>
        <w:t>99C</w:t>
      </w:r>
      <w:r>
        <w:t>.</w:t>
      </w:r>
      <w:r>
        <w:tab/>
        <w:t xml:space="preserve">Entrance fees for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bookmarkEnd w:id="403"/>
    </w:p>
    <w:p>
      <w:pPr>
        <w:pStyle w:val="Subsection"/>
        <w:spacing w:before="120"/>
      </w:pPr>
      <w:r>
        <w:tab/>
        <w:t>(1)</w:t>
      </w:r>
      <w:r>
        <w:tab/>
        <w:t xml:space="preserve">The relevant fee specified in Schedule 1 Division 10 item 1, 2, 3 or 4 is payable by a person entering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w:t>
      </w:r>
    </w:p>
    <w:p>
      <w:pPr>
        <w:pStyle w:val="Subsection"/>
        <w:spacing w:before="120"/>
      </w:pPr>
      <w:r>
        <w:tab/>
        <w:t>(2)</w:t>
      </w:r>
      <w:r>
        <w:tab/>
        <w:t xml:space="preserve">The CEO is to erect signs at or near the entrance to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 xml:space="preserve"> — </w:t>
      </w:r>
    </w:p>
    <w:p>
      <w:pPr>
        <w:pStyle w:val="Indenta"/>
        <w:spacing w:before="60"/>
      </w:pPr>
      <w:r>
        <w:tab/>
        <w:t>(a)</w:t>
      </w:r>
      <w:r>
        <w:tab/>
        <w:t>specifying the fees that are payable under this regulation; and</w:t>
      </w:r>
    </w:p>
    <w:p>
      <w:pPr>
        <w:pStyle w:val="Indenta"/>
      </w:pPr>
      <w:r>
        <w:tab/>
        <w:t>(b)</w:t>
      </w:r>
      <w:r>
        <w:tab/>
        <w:t>specifying the manner in which the fees are to be paid.</w:t>
      </w:r>
    </w:p>
    <w:p>
      <w:pPr>
        <w:pStyle w:val="Subsection"/>
      </w:pPr>
      <w:r>
        <w:tab/>
        <w:t>(3)</w:t>
      </w:r>
      <w:r>
        <w:tab/>
        <w:t xml:space="preserve">A person is not liable to pay a fee under subregulation (1) for entry to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 xml:space="preserve"> if that person has paid the fee specified in Schedule 1 Division 10 item 5, 6, 7 or 8 for an extended pass for that person to enter the Park at the relevant time.</w:t>
      </w:r>
    </w:p>
    <w:p>
      <w:pPr>
        <w:pStyle w:val="Subsection"/>
      </w:pPr>
      <w:r>
        <w:tab/>
        <w:t>(4)</w:t>
      </w:r>
      <w:r>
        <w:tab/>
        <w:t>A person must pay, in the manner specified on a sign under subregulation (2)(b), a fee for which the person is liable under subregulation (1).</w:t>
      </w:r>
    </w:p>
    <w:p>
      <w:pPr>
        <w:pStyle w:val="Penstart"/>
      </w:pPr>
      <w:r>
        <w:tab/>
        <w:t>Penalty: a fine of $200.</w:t>
      </w:r>
    </w:p>
    <w:p>
      <w:pPr>
        <w:pStyle w:val="Footnotesection"/>
      </w:pPr>
      <w:r>
        <w:tab/>
        <w:t>[Regulation 99C inserted in Gazette 3 Dec 2010 p. 6050</w:t>
      </w:r>
      <w:r>
        <w:noBreakHyphen/>
        <w:t>1.]</w:t>
      </w:r>
    </w:p>
    <w:p>
      <w:pPr>
        <w:pStyle w:val="Heading5"/>
        <w:rPr>
          <w:snapToGrid w:val="0"/>
        </w:rPr>
      </w:pPr>
      <w:bookmarkStart w:id="404" w:name="_Toc462045452"/>
      <w:r>
        <w:rPr>
          <w:rStyle w:val="CharSectno"/>
        </w:rPr>
        <w:t>100</w:t>
      </w:r>
      <w:r>
        <w:rPr>
          <w:snapToGrid w:val="0"/>
        </w:rPr>
        <w:t>.</w:t>
      </w:r>
      <w:r>
        <w:rPr>
          <w:snapToGrid w:val="0"/>
        </w:rPr>
        <w:tab/>
        <w:t>Entrance fees for Tree Top Walk</w:t>
      </w:r>
      <w:bookmarkEnd w:id="404"/>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Tree Top Walk</w:t>
      </w:r>
      <w:r>
        <w:rPr>
          <w:b/>
        </w:rPr>
        <w:t xml:space="preserve"> </w:t>
      </w:r>
      <w:r>
        <w:t xml:space="preserve">means the walkway known as the “Tree Top Walk” constructed within the area known as the “Valley of the Giants”, near </w:t>
      </w:r>
      <w:smartTag w:uri="urn:schemas-microsoft-com:office:smarttags" w:element="place">
        <w:smartTag w:uri="urn:schemas-microsoft-com:office:smarttags" w:element="City">
          <w:r>
            <w:t>Walpole</w:t>
          </w:r>
        </w:smartTag>
      </w:smartTag>
      <w:r>
        <w:t>.</w:t>
      </w:r>
    </w:p>
    <w:p>
      <w:pPr>
        <w:pStyle w:val="Subsection"/>
        <w:rPr>
          <w:snapToGrid w:val="0"/>
        </w:rPr>
      </w:pPr>
      <w:r>
        <w:rPr>
          <w:snapToGrid w:val="0"/>
        </w:rPr>
        <w:tab/>
        <w:t>(2)</w:t>
      </w:r>
      <w:r>
        <w:rPr>
          <w:snapToGrid w:val="0"/>
        </w:rPr>
        <w:tab/>
        <w:t>The relevant fee specified in Schedule 1 Division 3 is payable by a person entering the Tree Top Walk.</w:t>
      </w:r>
    </w:p>
    <w:p>
      <w:pPr>
        <w:pStyle w:val="Subsection"/>
        <w:rPr>
          <w:snapToGrid w:val="0"/>
        </w:rPr>
      </w:pPr>
      <w:r>
        <w:rPr>
          <w:snapToGrid w:val="0"/>
        </w:rPr>
        <w:tab/>
        <w:t>(3)</w:t>
      </w:r>
      <w:r>
        <w:rPr>
          <w:snapToGrid w:val="0"/>
        </w:rPr>
        <w:tab/>
        <w:t xml:space="preserve">The </w:t>
      </w:r>
      <w:r>
        <w:t xml:space="preserve">CEO </w:t>
      </w:r>
      <w:r>
        <w:rPr>
          <w:snapToGrid w:val="0"/>
        </w:rPr>
        <w:t>is to erect a sign at the entrance to the Tree Top Walk — </w:t>
      </w:r>
    </w:p>
    <w:p>
      <w:pPr>
        <w:pStyle w:val="Indenta"/>
        <w:rPr>
          <w:snapToGrid w:val="0"/>
        </w:rPr>
      </w:pPr>
      <w:r>
        <w:rPr>
          <w:snapToGrid w:val="0"/>
        </w:rPr>
        <w:tab/>
        <w:t>(a)</w:t>
      </w:r>
      <w:r>
        <w:rPr>
          <w:snapToGrid w:val="0"/>
        </w:rPr>
        <w:tab/>
        <w:t>specifying the fees payable under this regulation; and</w:t>
      </w:r>
    </w:p>
    <w:p>
      <w:pPr>
        <w:pStyle w:val="Indenta"/>
        <w:rPr>
          <w:snapToGrid w:val="0"/>
        </w:rPr>
      </w:pPr>
      <w:r>
        <w:rPr>
          <w:snapToGrid w:val="0"/>
        </w:rPr>
        <w:tab/>
        <w:t>(b)</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100 amended in Gazette 29 Sep 2006 p. 4334; 3 Dec 2010 p. 6052</w:t>
      </w:r>
      <w:r>
        <w:noBreakHyphen/>
        <w:t>4.]</w:t>
      </w:r>
    </w:p>
    <w:p>
      <w:pPr>
        <w:pStyle w:val="Heading5"/>
      </w:pPr>
      <w:bookmarkStart w:id="405" w:name="_Toc462045453"/>
      <w:r>
        <w:rPr>
          <w:rStyle w:val="CharSectno"/>
        </w:rPr>
        <w:t>100A</w:t>
      </w:r>
      <w:r>
        <w:t>.</w:t>
      </w:r>
      <w:r>
        <w:tab/>
        <w:t xml:space="preserve">Entrance fees for </w:t>
      </w:r>
      <w:smartTag w:uri="urn:schemas-microsoft-com:office:smarttags" w:element="PlaceName">
        <w:r>
          <w:t>Crystal</w:t>
        </w:r>
      </w:smartTag>
      <w:r>
        <w:t xml:space="preserve"> </w:t>
      </w:r>
      <w:smartTag w:uri="urn:schemas-microsoft-com:office:smarttags" w:element="PlaceName">
        <w:r>
          <w:t>Cave</w:t>
        </w:r>
      </w:smartTag>
      <w:r>
        <w:t xml:space="preserve"> and Calgardup and </w:t>
      </w:r>
      <w:smartTag w:uri="urn:schemas-microsoft-com:office:smarttags" w:element="place">
        <w:smartTag w:uri="urn:schemas-microsoft-com:office:smarttags" w:element="PlaceName">
          <w:r>
            <w:t>Giants</w:t>
          </w:r>
        </w:smartTag>
        <w:r>
          <w:t xml:space="preserve"> </w:t>
        </w:r>
        <w:smartTag w:uri="urn:schemas-microsoft-com:office:smarttags" w:element="PlaceType">
          <w:r>
            <w:t>Caves</w:t>
          </w:r>
        </w:smartTag>
      </w:smartTag>
      <w:bookmarkEnd w:id="405"/>
    </w:p>
    <w:p>
      <w:pPr>
        <w:pStyle w:val="Subsection"/>
        <w:spacing w:before="120"/>
        <w:rPr>
          <w:snapToGrid w:val="0"/>
        </w:rPr>
      </w:pPr>
      <w:r>
        <w:rPr>
          <w:snapToGrid w:val="0"/>
        </w:rPr>
        <w:tab/>
        <w:t>(1)</w:t>
      </w:r>
      <w:r>
        <w:rPr>
          <w:snapToGrid w:val="0"/>
        </w:rPr>
        <w:tab/>
        <w:t xml:space="preserve">The relevant fee specified in Schedule 1 Division 7 item 1 is payable by a person entering </w:t>
      </w:r>
      <w:smartTag w:uri="urn:schemas-microsoft-com:office:smarttags" w:element="PlaceName">
        <w:r>
          <w:rPr>
            <w:snapToGrid w:val="0"/>
          </w:rPr>
          <w:t>Crystal</w:t>
        </w:r>
      </w:smartTag>
      <w:r>
        <w:rPr>
          <w:snapToGrid w:val="0"/>
        </w:rPr>
        <w:t xml:space="preserve"> </w:t>
      </w:r>
      <w:smartTag w:uri="urn:schemas-microsoft-com:office:smarttags" w:element="PlaceName">
        <w:r>
          <w:rPr>
            <w:snapToGrid w:val="0"/>
          </w:rPr>
          <w:t>Cave</w:t>
        </w:r>
      </w:smartTag>
      <w:r>
        <w:rPr>
          <w:snapToGrid w:val="0"/>
        </w:rPr>
        <w:t xml:space="preserve">, </w:t>
      </w:r>
      <w:smartTag w:uri="urn:schemas-microsoft-com:office:smarttags" w:element="place">
        <w:smartTag w:uri="urn:schemas-microsoft-com:office:smarttags" w:element="PlaceName">
          <w:r>
            <w:rPr>
              <w:snapToGrid w:val="0"/>
            </w:rPr>
            <w:t>Yanchep</w:t>
          </w:r>
        </w:smartTag>
        <w:r>
          <w:rPr>
            <w:snapToGrid w:val="0"/>
          </w:rPr>
          <w:t xml:space="preserve"> </w:t>
        </w:r>
        <w:smartTag w:uri="urn:schemas-microsoft-com:office:smarttags" w:element="PlaceType">
          <w:r>
            <w:rPr>
              <w:snapToGrid w:val="0"/>
            </w:rPr>
            <w:t>National Park</w:t>
          </w:r>
        </w:smartTag>
      </w:smartTag>
      <w:r>
        <w:rPr>
          <w:snapToGrid w:val="0"/>
        </w:rPr>
        <w:t>.</w:t>
      </w:r>
    </w:p>
    <w:p>
      <w:pPr>
        <w:pStyle w:val="Subsection"/>
        <w:spacing w:before="120"/>
        <w:rPr>
          <w:snapToGrid w:val="0"/>
        </w:rPr>
      </w:pPr>
      <w:r>
        <w:rPr>
          <w:snapToGrid w:val="0"/>
        </w:rPr>
        <w:tab/>
        <w:t>(2)</w:t>
      </w:r>
      <w:r>
        <w:rPr>
          <w:snapToGrid w:val="0"/>
        </w:rPr>
        <w:tab/>
        <w:t xml:space="preserve">The relevant fee specified in Schedule 1 Division 7 item 2 is payable by a person entering Calgardup or </w:t>
      </w:r>
      <w:smartTag w:uri="urn:schemas-microsoft-com:office:smarttags" w:element="place">
        <w:smartTag w:uri="urn:schemas-microsoft-com:office:smarttags" w:element="PlaceName">
          <w:r>
            <w:rPr>
              <w:snapToGrid w:val="0"/>
            </w:rPr>
            <w:t>Giants</w:t>
          </w:r>
        </w:smartTag>
        <w:r>
          <w:rPr>
            <w:snapToGrid w:val="0"/>
          </w:rPr>
          <w:t xml:space="preserve"> </w:t>
        </w:r>
        <w:smartTag w:uri="urn:schemas-microsoft-com:office:smarttags" w:element="PlaceType">
          <w:r>
            <w:rPr>
              <w:snapToGrid w:val="0"/>
            </w:rPr>
            <w:t>Caves</w:t>
          </w:r>
        </w:smartTag>
      </w:smartTag>
      <w:r>
        <w:rPr>
          <w:snapToGrid w:val="0"/>
        </w:rPr>
        <w:t>, Leeuwin</w:t>
      </w:r>
      <w:r>
        <w:rPr>
          <w:snapToGrid w:val="0"/>
        </w:rPr>
        <w:noBreakHyphen/>
        <w:t>Naturaliste National Park.</w:t>
      </w:r>
    </w:p>
    <w:p>
      <w:pPr>
        <w:pStyle w:val="Subsection"/>
        <w:spacing w:before="120"/>
        <w:rPr>
          <w:snapToGrid w:val="0"/>
        </w:rPr>
      </w:pPr>
      <w:r>
        <w:rPr>
          <w:snapToGrid w:val="0"/>
        </w:rPr>
        <w:tab/>
        <w:t>(3)</w:t>
      </w:r>
      <w:r>
        <w:rPr>
          <w:snapToGrid w:val="0"/>
        </w:rPr>
        <w:tab/>
        <w:t>The CEO is to erect signs at the entrance to each of the caves —</w:t>
      </w:r>
    </w:p>
    <w:p>
      <w:pPr>
        <w:pStyle w:val="Indenta"/>
        <w:spacing w:before="60"/>
        <w:rPr>
          <w:snapToGrid w:val="0"/>
        </w:rPr>
      </w:pPr>
      <w:r>
        <w:rPr>
          <w:snapToGrid w:val="0"/>
        </w:rPr>
        <w:tab/>
        <w:t>(a)</w:t>
      </w:r>
      <w:r>
        <w:rPr>
          <w:snapToGrid w:val="0"/>
        </w:rPr>
        <w:tab/>
        <w:t>specifying the fees payable under this regulation; and</w:t>
      </w:r>
    </w:p>
    <w:p>
      <w:pPr>
        <w:pStyle w:val="Indenta"/>
        <w:spacing w:before="60"/>
        <w:rPr>
          <w:snapToGrid w:val="0"/>
        </w:rPr>
      </w:pPr>
      <w:r>
        <w:rPr>
          <w:snapToGrid w:val="0"/>
        </w:rPr>
        <w:tab/>
        <w:t>(b)</w:t>
      </w:r>
      <w:r>
        <w:rPr>
          <w:snapToGrid w:val="0"/>
        </w:rPr>
        <w:tab/>
        <w:t>specifying the manner in which the fees are to be paid.</w:t>
      </w:r>
    </w:p>
    <w:p>
      <w:pPr>
        <w:pStyle w:val="Subsection"/>
        <w:spacing w:before="120"/>
        <w:rPr>
          <w:snapToGrid w:val="0"/>
        </w:rPr>
      </w:pPr>
      <w:r>
        <w:rPr>
          <w:snapToGrid w:val="0"/>
        </w:rPr>
        <w:tab/>
        <w:t>(4)</w:t>
      </w:r>
      <w:r>
        <w:rPr>
          <w:snapToGrid w:val="0"/>
        </w:rPr>
        <w:tab/>
        <w:t>A person must pay, in the manner specified on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spacing w:before="80"/>
      </w:pPr>
      <w:r>
        <w:tab/>
        <w:t>[Regulation 100A inserted in Gazette 29 Sep 2006 p. 4321</w:t>
      </w:r>
      <w:r>
        <w:noBreakHyphen/>
        <w:t>2; amended in Gazette 3 Dec 2010 p. 6052</w:t>
      </w:r>
      <w:r>
        <w:noBreakHyphen/>
        <w:t>4.]</w:t>
      </w:r>
    </w:p>
    <w:p>
      <w:pPr>
        <w:pStyle w:val="Heading5"/>
        <w:spacing w:before="200"/>
        <w:rPr>
          <w:snapToGrid w:val="0"/>
        </w:rPr>
      </w:pPr>
      <w:bookmarkStart w:id="406" w:name="_Toc462045454"/>
      <w:r>
        <w:rPr>
          <w:rStyle w:val="CharSectno"/>
        </w:rPr>
        <w:t>101</w:t>
      </w:r>
      <w:r>
        <w:rPr>
          <w:snapToGrid w:val="0"/>
        </w:rPr>
        <w:t>.</w:t>
      </w:r>
      <w:r>
        <w:rPr>
          <w:snapToGrid w:val="0"/>
        </w:rPr>
        <w:tab/>
        <w:t xml:space="preserve">Fees for </w:t>
      </w:r>
      <w:smartTag w:uri="urn:schemas-microsoft-com:office:smarttags" w:element="place">
        <w:smartTag w:uri="urn:schemas-microsoft-com:office:smarttags" w:element="PlaceName">
          <w:r>
            <w:rPr>
              <w:snapToGrid w:val="0"/>
            </w:rPr>
            <w:t>Geikie</w:t>
          </w:r>
        </w:smartTag>
        <w:r>
          <w:rPr>
            <w:snapToGrid w:val="0"/>
          </w:rPr>
          <w:t xml:space="preserve"> </w:t>
        </w:r>
        <w:smartTag w:uri="urn:schemas-microsoft-com:office:smarttags" w:element="PlaceName">
          <w:r>
            <w:rPr>
              <w:snapToGrid w:val="0"/>
            </w:rPr>
            <w:t>Gorge</w:t>
          </w:r>
        </w:smartTag>
        <w:r>
          <w:rPr>
            <w:snapToGrid w:val="0"/>
          </w:rPr>
          <w:t xml:space="preserve"> </w:t>
        </w:r>
        <w:smartTag w:uri="urn:schemas-microsoft-com:office:smarttags" w:element="PlaceType">
          <w:r>
            <w:rPr>
              <w:snapToGrid w:val="0"/>
            </w:rPr>
            <w:t>National Park</w:t>
          </w:r>
        </w:smartTag>
      </w:smartTag>
      <w:r>
        <w:rPr>
          <w:snapToGrid w:val="0"/>
        </w:rPr>
        <w:t xml:space="preserve"> Boat Trip</w:t>
      </w:r>
      <w:bookmarkEnd w:id="406"/>
      <w:r>
        <w:rPr>
          <w:snapToGrid w:val="0"/>
        </w:rPr>
        <w:t xml:space="preserve"> </w:t>
      </w:r>
    </w:p>
    <w:p>
      <w:pPr>
        <w:pStyle w:val="Subsection"/>
        <w:spacing w:before="120"/>
        <w:rPr>
          <w:snapToGrid w:val="0"/>
        </w:rPr>
      </w:pPr>
      <w:r>
        <w:rPr>
          <w:snapToGrid w:val="0"/>
        </w:rPr>
        <w:tab/>
      </w:r>
      <w:r>
        <w:rPr>
          <w:snapToGrid w:val="0"/>
        </w:rPr>
        <w:tab/>
        <w:t>The fees for the Geikie Gorge National Park Boat Trip are as prescribed in Schedule 1 Division 4.</w:t>
      </w:r>
    </w:p>
    <w:p>
      <w:pPr>
        <w:pStyle w:val="Heading5"/>
        <w:spacing w:before="200"/>
        <w:rPr>
          <w:snapToGrid w:val="0"/>
        </w:rPr>
      </w:pPr>
      <w:bookmarkStart w:id="407" w:name="_Toc462045455"/>
      <w:r>
        <w:rPr>
          <w:rStyle w:val="CharSectno"/>
        </w:rPr>
        <w:t>102</w:t>
      </w:r>
      <w:r>
        <w:rPr>
          <w:snapToGrid w:val="0"/>
        </w:rPr>
        <w:t>.</w:t>
      </w:r>
      <w:r>
        <w:rPr>
          <w:snapToGrid w:val="0"/>
        </w:rPr>
        <w:tab/>
        <w:t>Fees for entry on horseback</w:t>
      </w:r>
      <w:bookmarkEnd w:id="407"/>
    </w:p>
    <w:p>
      <w:pPr>
        <w:pStyle w:val="Subsection"/>
        <w:spacing w:before="120"/>
        <w:rPr>
          <w:snapToGrid w:val="0"/>
        </w:rPr>
      </w:pPr>
      <w:r>
        <w:rPr>
          <w:snapToGrid w:val="0"/>
        </w:rPr>
        <w:tab/>
      </w:r>
      <w:r>
        <w:rPr>
          <w:snapToGrid w:val="0"/>
        </w:rPr>
        <w:tab/>
        <w:t>A person must not enter an area of CALM land on horseback unless the relevant fee specified in Schedule 1 Division 5 has been paid — </w:t>
      </w:r>
    </w:p>
    <w:p>
      <w:pPr>
        <w:pStyle w:val="Indenta"/>
        <w:spacing w:before="60"/>
        <w:rPr>
          <w:snapToGrid w:val="0"/>
        </w:rPr>
      </w:pPr>
      <w:r>
        <w:rPr>
          <w:snapToGrid w:val="0"/>
        </w:rPr>
        <w:tab/>
        <w:t>(a)</w:t>
      </w:r>
      <w:r>
        <w:rPr>
          <w:snapToGrid w:val="0"/>
        </w:rPr>
        <w:tab/>
        <w:t>in the case of a daily entrance fee, to an authorised officer; and</w:t>
      </w:r>
    </w:p>
    <w:p>
      <w:pPr>
        <w:pStyle w:val="Indenta"/>
        <w:spacing w:before="60"/>
        <w:rPr>
          <w:snapToGrid w:val="0"/>
        </w:rPr>
      </w:pPr>
      <w:r>
        <w:rPr>
          <w:snapToGrid w:val="0"/>
        </w:rPr>
        <w:tab/>
        <w:t>(b)</w:t>
      </w:r>
      <w:r>
        <w:rPr>
          <w:snapToGrid w:val="0"/>
        </w:rPr>
        <w:tab/>
        <w:t>in the case of an annual pass, to the</w:t>
      </w:r>
      <w:r>
        <w:t xml:space="preserve"> CEO</w:t>
      </w:r>
      <w:r>
        <w:rPr>
          <w:snapToGrid w:val="0"/>
        </w:rPr>
        <w:t xml:space="preserve">, </w:t>
      </w:r>
    </w:p>
    <w:p>
      <w:pPr>
        <w:pStyle w:val="Subsection"/>
        <w:spacing w:before="120"/>
        <w:rPr>
          <w:snapToGrid w:val="0"/>
        </w:rPr>
      </w:pPr>
      <w:r>
        <w:rPr>
          <w:snapToGrid w:val="0"/>
        </w:rPr>
        <w:tab/>
      </w:r>
      <w:r>
        <w:rPr>
          <w:snapToGrid w:val="0"/>
        </w:rPr>
        <w:tab/>
        <w:t>before entering that area.</w:t>
      </w:r>
    </w:p>
    <w:p>
      <w:pPr>
        <w:pStyle w:val="Penstart"/>
        <w:rPr>
          <w:snapToGrid w:val="0"/>
        </w:rPr>
      </w:pPr>
      <w:r>
        <w:rPr>
          <w:snapToGrid w:val="0"/>
        </w:rPr>
        <w:tab/>
        <w:t>Penalty:</w:t>
      </w:r>
      <w:r>
        <w:t xml:space="preserve"> a fine of</w:t>
      </w:r>
      <w:r>
        <w:rPr>
          <w:snapToGrid w:val="0"/>
        </w:rPr>
        <w:t xml:space="preserve"> $200.</w:t>
      </w:r>
    </w:p>
    <w:p>
      <w:pPr>
        <w:pStyle w:val="Footnotesection"/>
        <w:spacing w:before="80"/>
      </w:pPr>
      <w:r>
        <w:tab/>
        <w:t>[Regulation 102 amended in Gazette 29 Sep 2006 p. 4334; 3 Dec 2010 p. 6052</w:t>
      </w:r>
      <w:r>
        <w:noBreakHyphen/>
        <w:t>4.]</w:t>
      </w:r>
    </w:p>
    <w:p>
      <w:pPr>
        <w:pStyle w:val="Heading5"/>
      </w:pPr>
      <w:bookmarkStart w:id="408" w:name="_Toc462045456"/>
      <w:r>
        <w:rPr>
          <w:rStyle w:val="CharSectno"/>
        </w:rPr>
        <w:t>102A</w:t>
      </w:r>
      <w:r>
        <w:t>.</w:t>
      </w:r>
      <w:r>
        <w:tab/>
        <w:t>Abseiling fee</w:t>
      </w:r>
      <w:bookmarkEnd w:id="408"/>
    </w:p>
    <w:p>
      <w:pPr>
        <w:pStyle w:val="Subsection"/>
        <w:spacing w:before="140"/>
        <w:rPr>
          <w:snapToGrid w:val="0"/>
        </w:rPr>
      </w:pPr>
      <w:r>
        <w:rPr>
          <w:snapToGrid w:val="0"/>
        </w:rPr>
        <w:tab/>
        <w:t>(1)</w:t>
      </w:r>
      <w:r>
        <w:rPr>
          <w:snapToGrid w:val="0"/>
        </w:rPr>
        <w:tab/>
        <w:t>Subject to subregulation (2), a person who intends to abseil in an abseiling area during a particular half</w:t>
      </w:r>
      <w:r>
        <w:rPr>
          <w:snapToGrid w:val="0"/>
        </w:rPr>
        <w:noBreakHyphen/>
        <w:t>day, or day in the case of Wilyabrup Cliffs, is liable to pay the relevant fee specified in Schedule 1 Division 9 in respect of the half</w:t>
      </w:r>
      <w:r>
        <w:rPr>
          <w:snapToGrid w:val="0"/>
        </w:rPr>
        <w:noBreakHyphen/>
        <w:t>day or day.</w:t>
      </w:r>
    </w:p>
    <w:p>
      <w:pPr>
        <w:pStyle w:val="Subsection"/>
        <w:spacing w:before="140"/>
        <w:rPr>
          <w:snapToGrid w:val="0"/>
        </w:rPr>
      </w:pPr>
      <w:r>
        <w:rPr>
          <w:snapToGrid w:val="0"/>
        </w:rPr>
        <w:tab/>
        <w:t>(2)</w:t>
      </w:r>
      <w:r>
        <w:rPr>
          <w:snapToGrid w:val="0"/>
        </w:rPr>
        <w:tab/>
        <w:t>Fees are not payable under this regulation unless the CEO has erected a sign at the abseiling area — </w:t>
      </w:r>
    </w:p>
    <w:p>
      <w:pPr>
        <w:pStyle w:val="Indenta"/>
        <w:spacing w:before="60"/>
        <w:rPr>
          <w:snapToGrid w:val="0"/>
        </w:rPr>
      </w:pPr>
      <w:r>
        <w:rPr>
          <w:snapToGrid w:val="0"/>
        </w:rPr>
        <w:tab/>
        <w:t>(a)</w:t>
      </w:r>
      <w:r>
        <w:rPr>
          <w:snapToGrid w:val="0"/>
        </w:rPr>
        <w:tab/>
        <w:t>stating that fees are payable for abseiling; and</w:t>
      </w:r>
    </w:p>
    <w:p>
      <w:pPr>
        <w:pStyle w:val="Indenta"/>
        <w:spacing w:before="60"/>
        <w:rPr>
          <w:snapToGrid w:val="0"/>
        </w:rPr>
      </w:pPr>
      <w:r>
        <w:rPr>
          <w:snapToGrid w:val="0"/>
        </w:rPr>
        <w:tab/>
        <w:t>(b)</w:t>
      </w:r>
      <w:r>
        <w:rPr>
          <w:snapToGrid w:val="0"/>
        </w:rPr>
        <w:tab/>
        <w:t>specifying the fees that are payable; and</w:t>
      </w:r>
    </w:p>
    <w:p>
      <w:pPr>
        <w:pStyle w:val="Indenta"/>
        <w:spacing w:before="60"/>
        <w:rPr>
          <w:snapToGrid w:val="0"/>
        </w:rPr>
      </w:pPr>
      <w:r>
        <w:rPr>
          <w:snapToGrid w:val="0"/>
        </w:rPr>
        <w:tab/>
        <w:t>(c)</w:t>
      </w:r>
      <w:r>
        <w:rPr>
          <w:snapToGrid w:val="0"/>
        </w:rPr>
        <w:tab/>
        <w:t>specifying the manner in which the fees are to be paid.</w:t>
      </w:r>
    </w:p>
    <w:p>
      <w:pPr>
        <w:pStyle w:val="Subsection"/>
        <w:spacing w:before="140"/>
        <w:rPr>
          <w:snapToGrid w:val="0"/>
        </w:rPr>
      </w:pPr>
      <w:r>
        <w:rPr>
          <w:snapToGrid w:val="0"/>
        </w:rPr>
        <w:tab/>
        <w:t>(3)</w:t>
      </w:r>
      <w:r>
        <w:rPr>
          <w:snapToGrid w:val="0"/>
        </w:rPr>
        <w:tab/>
        <w:t>A person must pay, in the manner specified in a sign under subregulation (2)(c), the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spacing w:before="130"/>
      </w:pPr>
      <w:r>
        <w:tab/>
        <w:t>(4)</w:t>
      </w:r>
      <w:r>
        <w:tab/>
        <w:t xml:space="preserve">If a person, who has paid </w:t>
      </w:r>
      <w:r>
        <w:rPr>
          <w:snapToGrid w:val="0"/>
        </w:rPr>
        <w:t xml:space="preserve">the relevant fee in advance, </w:t>
      </w:r>
      <w:r>
        <w:t>notifies the CEO more than 2 weeks before the half</w:t>
      </w:r>
      <w:r>
        <w:noBreakHyphen/>
        <w:t>day, or day, in respect of which the fee was paid that the person is not going to abseil on that half</w:t>
      </w:r>
      <w:r>
        <w:noBreakHyphen/>
        <w:t>day, or day, in the area in respect of which the fee was paid, the CEO may refund the fee.</w:t>
      </w:r>
    </w:p>
    <w:p>
      <w:pPr>
        <w:pStyle w:val="Footnotesection"/>
        <w:spacing w:before="100"/>
      </w:pPr>
      <w:r>
        <w:tab/>
        <w:t>[Regulation 102A inserted in Gazette 29 Sep 2006 p. 4322</w:t>
      </w:r>
      <w:r>
        <w:noBreakHyphen/>
        <w:t>3; amended in Gazette 3 Dec 2010 p. 6051 and 6052</w:t>
      </w:r>
      <w:r>
        <w:noBreakHyphen/>
        <w:t>4.]</w:t>
      </w:r>
    </w:p>
    <w:p>
      <w:pPr>
        <w:pStyle w:val="Heading5"/>
        <w:spacing w:before="180"/>
        <w:rPr>
          <w:snapToGrid w:val="0"/>
        </w:rPr>
      </w:pPr>
      <w:bookmarkStart w:id="409" w:name="_Toc462045457"/>
      <w:r>
        <w:rPr>
          <w:rStyle w:val="CharSectno"/>
        </w:rPr>
        <w:t>103</w:t>
      </w:r>
      <w:r>
        <w:rPr>
          <w:snapToGrid w:val="0"/>
        </w:rPr>
        <w:t>.</w:t>
      </w:r>
      <w:r>
        <w:rPr>
          <w:snapToGrid w:val="0"/>
        </w:rPr>
        <w:tab/>
        <w:t>Camping fees</w:t>
      </w:r>
      <w:bookmarkEnd w:id="409"/>
      <w:r>
        <w:rPr>
          <w:snapToGrid w:val="0"/>
        </w:rPr>
        <w:t xml:space="preserve"> </w:t>
      </w:r>
    </w:p>
    <w:p>
      <w:pPr>
        <w:pStyle w:val="Subsection"/>
        <w:spacing w:before="130"/>
        <w:rPr>
          <w:snapToGrid w:val="0"/>
        </w:rPr>
      </w:pPr>
      <w:r>
        <w:rPr>
          <w:snapToGrid w:val="0"/>
        </w:rPr>
        <w:tab/>
        <w:t>(1)</w:t>
      </w:r>
      <w:r>
        <w:rPr>
          <w:snapToGrid w:val="0"/>
        </w:rPr>
        <w:tab/>
        <w:t>Subject to subregulation (3) the fees specified in Schedule 1 Division 6 are payable in respect of persons who camp in camping areas on CALM land.</w:t>
      </w:r>
    </w:p>
    <w:p>
      <w:pPr>
        <w:pStyle w:val="Subsection"/>
        <w:spacing w:before="130"/>
        <w:rPr>
          <w:snapToGrid w:val="0"/>
        </w:rPr>
      </w:pPr>
      <w:r>
        <w:rPr>
          <w:snapToGrid w:val="0"/>
        </w:rPr>
        <w:tab/>
        <w:t>(2)</w:t>
      </w:r>
      <w:r>
        <w:rPr>
          <w:snapToGrid w:val="0"/>
        </w:rPr>
        <w:tab/>
        <w:t>A person occupying a camping site is liable to pay the fee referred to in subregulation (1) or, if there is more than one person occupying the site, the persons occupying the site are jointly and severally liable to pay the fee.</w:t>
      </w:r>
    </w:p>
    <w:p>
      <w:pPr>
        <w:pStyle w:val="Subsection"/>
        <w:spacing w:before="130"/>
        <w:rPr>
          <w:snapToGrid w:val="0"/>
        </w:rPr>
      </w:pPr>
      <w:r>
        <w:rPr>
          <w:snapToGrid w:val="0"/>
        </w:rPr>
        <w:tab/>
        <w:t>(3)</w:t>
      </w:r>
      <w:r>
        <w:rPr>
          <w:snapToGrid w:val="0"/>
        </w:rPr>
        <w:tab/>
        <w:t xml:space="preserve">Fees are not payable under this regulation unless the </w:t>
      </w:r>
      <w:r>
        <w:t xml:space="preserve">CEO </w:t>
      </w:r>
      <w:r>
        <w:rPr>
          <w:snapToGrid w:val="0"/>
        </w:rPr>
        <w:t>has erected a sign at the camping area — </w:t>
      </w:r>
    </w:p>
    <w:p>
      <w:pPr>
        <w:pStyle w:val="Indenta"/>
        <w:spacing w:before="60"/>
        <w:rPr>
          <w:snapToGrid w:val="0"/>
        </w:rPr>
      </w:pPr>
      <w:r>
        <w:rPr>
          <w:snapToGrid w:val="0"/>
        </w:rPr>
        <w:tab/>
        <w:t>(a)</w:t>
      </w:r>
      <w:r>
        <w:rPr>
          <w:snapToGrid w:val="0"/>
        </w:rPr>
        <w:tab/>
        <w:t>stating that fees are payable for camping; and</w:t>
      </w:r>
    </w:p>
    <w:p>
      <w:pPr>
        <w:pStyle w:val="Indenta"/>
        <w:rPr>
          <w:snapToGrid w:val="0"/>
        </w:rPr>
      </w:pPr>
      <w:r>
        <w:rPr>
          <w:snapToGrid w:val="0"/>
        </w:rPr>
        <w:tab/>
        <w:t>(b)</w:t>
      </w:r>
      <w:r>
        <w:rPr>
          <w:snapToGrid w:val="0"/>
        </w:rPr>
        <w:tab/>
        <w:t>specifying the fees that are payable; and</w:t>
      </w:r>
    </w:p>
    <w:p>
      <w:pPr>
        <w:pStyle w:val="Indenta"/>
        <w:rPr>
          <w:snapToGrid w:val="0"/>
        </w:rPr>
      </w:pPr>
      <w:r>
        <w:rPr>
          <w:snapToGrid w:val="0"/>
        </w:rPr>
        <w:tab/>
        <w:t>(c)</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(3)(c),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103 amended in Gazette 29 Sep 2006 p. 4334; 3 Dec 2010 p. 6052</w:t>
      </w:r>
      <w:r>
        <w:noBreakHyphen/>
        <w:t>4.]</w:t>
      </w:r>
    </w:p>
    <w:p>
      <w:pPr>
        <w:pStyle w:val="Heading5"/>
      </w:pPr>
      <w:bookmarkStart w:id="410" w:name="_Toc462045458"/>
      <w:r>
        <w:rPr>
          <w:rStyle w:val="CharSectno"/>
        </w:rPr>
        <w:t>103A</w:t>
      </w:r>
      <w:r>
        <w:t>.</w:t>
      </w:r>
      <w:r>
        <w:tab/>
        <w:t>Companion of Companion Card holder</w:t>
      </w:r>
      <w:bookmarkEnd w:id="410"/>
    </w:p>
    <w:p>
      <w:pPr>
        <w:pStyle w:val="Subsection"/>
      </w:pPr>
      <w:r>
        <w:tab/>
      </w:r>
      <w:r>
        <w:tab/>
        <w:t xml:space="preserve">Despite anything in this Part, a person need not pay a fee under this Part to enter a place or do a thing if — </w:t>
      </w:r>
    </w:p>
    <w:p>
      <w:pPr>
        <w:pStyle w:val="Indenta"/>
      </w:pPr>
      <w:r>
        <w:tab/>
        <w:t>(a)</w:t>
      </w:r>
      <w:r>
        <w:tab/>
        <w:t>the person is, at the time of entering the place or doing the thing, the companion of a person who holds a Companion Card; and</w:t>
      </w:r>
    </w:p>
    <w:p>
      <w:pPr>
        <w:pStyle w:val="Indenta"/>
      </w:pPr>
      <w:r>
        <w:tab/>
        <w:t>(b)</w:t>
      </w:r>
      <w:r>
        <w:tab/>
        <w:t>the person who holds the Companion Card is entitled to pay a concession fee to enter the place or do the thing.</w:t>
      </w:r>
    </w:p>
    <w:p>
      <w:pPr>
        <w:pStyle w:val="Footnotesection"/>
      </w:pPr>
      <w:r>
        <w:tab/>
        <w:t>[Regulation 103A inserted in Gazette 29 Sep 2006 p. 4323.]</w:t>
      </w:r>
    </w:p>
    <w:p>
      <w:pPr>
        <w:pStyle w:val="Heading5"/>
      </w:pPr>
      <w:bookmarkStart w:id="411" w:name="_Toc462045459"/>
      <w:r>
        <w:rPr>
          <w:rStyle w:val="CharSectno"/>
        </w:rPr>
        <w:t>104</w:t>
      </w:r>
      <w:r>
        <w:rPr>
          <w:snapToGrid w:val="0"/>
        </w:rPr>
        <w:t>.</w:t>
      </w:r>
      <w:r>
        <w:rPr>
          <w:snapToGrid w:val="0"/>
        </w:rPr>
        <w:tab/>
        <w:t>Fees may be waived or reduced</w:t>
      </w:r>
      <w:bookmarkEnd w:id="411"/>
    </w:p>
    <w:p>
      <w:pPr>
        <w:pStyle w:val="Subsection"/>
      </w:pPr>
      <w:r>
        <w:tab/>
      </w:r>
      <w:r>
        <w:tab/>
        <w:t>The CEO may waive payment of a fee or part of a fee prescribed or provided for in these regulations.</w:t>
      </w:r>
    </w:p>
    <w:p>
      <w:pPr>
        <w:pStyle w:val="Footnotesection"/>
      </w:pPr>
      <w:r>
        <w:tab/>
        <w:t>[Regulation 104 amended in Gazette 29 Sep 2006 p. 4334.]</w:t>
      </w:r>
    </w:p>
    <w:p>
      <w:pPr>
        <w:pStyle w:val="Heading2"/>
      </w:pPr>
      <w:bookmarkStart w:id="412" w:name="_Toc436903839"/>
      <w:bookmarkStart w:id="413" w:name="_Toc436905781"/>
      <w:bookmarkStart w:id="414" w:name="_Toc436906002"/>
      <w:bookmarkStart w:id="415" w:name="_Toc437515755"/>
      <w:bookmarkStart w:id="416" w:name="_Toc447533355"/>
      <w:bookmarkStart w:id="417" w:name="_Toc456878263"/>
      <w:bookmarkStart w:id="418" w:name="_Toc456951780"/>
      <w:bookmarkStart w:id="419" w:name="_Toc458590364"/>
      <w:bookmarkStart w:id="420" w:name="_Toc458590586"/>
      <w:bookmarkStart w:id="421" w:name="_Toc458590807"/>
      <w:bookmarkStart w:id="422" w:name="_Toc462045460"/>
      <w:r>
        <w:rPr>
          <w:rStyle w:val="CharPartNo"/>
        </w:rPr>
        <w:t>Part 9</w:t>
      </w:r>
      <w:r>
        <w:rPr>
          <w:b w:val="0"/>
        </w:rPr>
        <w:t> </w:t>
      </w:r>
      <w:r>
        <w:t>—</w:t>
      </w:r>
      <w:r>
        <w:rPr>
          <w:b w:val="0"/>
        </w:rPr>
        <w:t> </w:t>
      </w:r>
      <w:r>
        <w:rPr>
          <w:rStyle w:val="CharPartText"/>
        </w:rPr>
        <w:t>Miscellaneous</w:t>
      </w:r>
      <w:bookmarkEnd w:id="412"/>
      <w:bookmarkEnd w:id="413"/>
      <w:bookmarkEnd w:id="414"/>
      <w:bookmarkEnd w:id="415"/>
      <w:bookmarkEnd w:id="416"/>
      <w:bookmarkEnd w:id="417"/>
      <w:bookmarkEnd w:id="418"/>
      <w:bookmarkEnd w:id="419"/>
      <w:bookmarkEnd w:id="420"/>
      <w:bookmarkEnd w:id="421"/>
      <w:bookmarkEnd w:id="422"/>
    </w:p>
    <w:p>
      <w:pPr>
        <w:pStyle w:val="Footnoteheading"/>
        <w:spacing w:before="100"/>
      </w:pPr>
      <w:r>
        <w:tab/>
        <w:t>[Heading inserted in Gazette 29 Sep 2006 p. 4323.]</w:t>
      </w:r>
    </w:p>
    <w:p>
      <w:pPr>
        <w:pStyle w:val="Heading5"/>
        <w:rPr>
          <w:snapToGrid w:val="0"/>
        </w:rPr>
      </w:pPr>
      <w:bookmarkStart w:id="423" w:name="_Toc462045461"/>
      <w:r>
        <w:rPr>
          <w:rStyle w:val="CharSectno"/>
        </w:rPr>
        <w:t>105</w:t>
      </w:r>
      <w:r>
        <w:rPr>
          <w:snapToGrid w:val="0"/>
        </w:rPr>
        <w:t>.</w:t>
      </w:r>
      <w:r>
        <w:rPr>
          <w:snapToGrid w:val="0"/>
        </w:rPr>
        <w:tab/>
        <w:t>Organised events and meetings</w:t>
      </w:r>
      <w:bookmarkEnd w:id="423"/>
      <w:r>
        <w:rPr>
          <w:snapToGrid w:val="0"/>
        </w:rPr>
        <w:t xml:space="preserve"> </w:t>
      </w:r>
    </w:p>
    <w:p>
      <w:pPr>
        <w:pStyle w:val="Subsection"/>
        <w:spacing w:before="140"/>
        <w:rPr>
          <w:snapToGrid w:val="0"/>
        </w:rPr>
      </w:pPr>
      <w:r>
        <w:rPr>
          <w:snapToGrid w:val="0"/>
        </w:rPr>
        <w:tab/>
        <w:t>(1)</w:t>
      </w:r>
      <w:r>
        <w:rPr>
          <w:snapToGrid w:val="0"/>
        </w:rPr>
        <w:tab/>
        <w:t xml:space="preserve">A person must not, without lawful authority, organise, advertise or hold a meeting, function or event on CALM land which is likely to involve or involves the attendance of more than 100 persons. </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The CEO cannot refuse to authorise a person for the purposes of subregulation (1) except on grounds relating to the adverse effects of the meeting, function or event on the environment or other users of the land.</w:t>
      </w:r>
    </w:p>
    <w:p>
      <w:pPr>
        <w:pStyle w:val="Footnotesection"/>
        <w:spacing w:before="100"/>
      </w:pPr>
      <w:r>
        <w:tab/>
        <w:t>[Regulation 105 amended in Gazette 29 Sep 2006 p. 4323</w:t>
      </w:r>
      <w:r>
        <w:noBreakHyphen/>
        <w:t>4; 3 Dec 2010 p. 6052</w:t>
      </w:r>
      <w:r>
        <w:noBreakHyphen/>
        <w:t>4.]</w:t>
      </w:r>
    </w:p>
    <w:p>
      <w:pPr>
        <w:pStyle w:val="Heading5"/>
        <w:rPr>
          <w:snapToGrid w:val="0"/>
        </w:rPr>
      </w:pPr>
      <w:bookmarkStart w:id="424" w:name="_Toc462045462"/>
      <w:r>
        <w:rPr>
          <w:rStyle w:val="CharSectno"/>
        </w:rPr>
        <w:t>106</w:t>
      </w:r>
      <w:r>
        <w:rPr>
          <w:snapToGrid w:val="0"/>
        </w:rPr>
        <w:t>.</w:t>
      </w:r>
      <w:r>
        <w:rPr>
          <w:snapToGrid w:val="0"/>
        </w:rPr>
        <w:tab/>
        <w:t>Unlawful commercial operations</w:t>
      </w:r>
      <w:bookmarkEnd w:id="424"/>
      <w:r>
        <w:rPr>
          <w:snapToGrid w:val="0"/>
        </w:rPr>
        <w:t xml:space="preserve"> </w:t>
      </w:r>
    </w:p>
    <w:p>
      <w:pPr>
        <w:pStyle w:val="Subsection"/>
        <w:spacing w:before="140"/>
        <w:rPr>
          <w:snapToGrid w:val="0"/>
        </w:rPr>
      </w:pPr>
      <w:r>
        <w:rPr>
          <w:snapToGrid w:val="0"/>
        </w:rPr>
        <w:tab/>
        <w:t>(1)</w:t>
      </w:r>
      <w:r>
        <w:rPr>
          <w:snapToGrid w:val="0"/>
        </w:rPr>
        <w:tab/>
        <w:t>A person must not, without lawful authority, sell any goods or services, or carry on any business, on CALM land.</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A person must not advertise that the person is willing to sell any goods or services, or that the person carries on or will carry on a business, on CALM land unless the person has lawful authority to sell the goods or services, or carry on the business, on the CALM land.</w:t>
      </w:r>
    </w:p>
    <w:p>
      <w:pPr>
        <w:pStyle w:val="Penstart"/>
      </w:pPr>
      <w:r>
        <w:tab/>
        <w:t>Penalty: a fine of $2 000.</w:t>
      </w:r>
    </w:p>
    <w:p>
      <w:pPr>
        <w:pStyle w:val="Footnotesection"/>
        <w:spacing w:before="100"/>
      </w:pPr>
      <w:r>
        <w:tab/>
        <w:t>[Regulation 106 amended in Gazette 29 Sep 2006 p. 4324; 3 Dec 2010 p. 6052</w:t>
      </w:r>
      <w:r>
        <w:noBreakHyphen/>
        <w:t>4.]</w:t>
      </w:r>
    </w:p>
    <w:p>
      <w:pPr>
        <w:pStyle w:val="Heading5"/>
      </w:pPr>
      <w:bookmarkStart w:id="425" w:name="_Toc462045463"/>
      <w:r>
        <w:rPr>
          <w:rStyle w:val="CharSectno"/>
        </w:rPr>
        <w:t>107</w:t>
      </w:r>
      <w:r>
        <w:t>.</w:t>
      </w:r>
      <w:r>
        <w:tab/>
        <w:t>Distribution of printed matter and advertising material</w:t>
      </w:r>
      <w:bookmarkEnd w:id="425"/>
    </w:p>
    <w:p>
      <w:pPr>
        <w:pStyle w:val="Subsection"/>
        <w:spacing w:before="140"/>
      </w:pPr>
      <w:r>
        <w:tab/>
      </w:r>
      <w:r>
        <w:tab/>
        <w:t xml:space="preserve">A person must not, without lawful authority, on CALM land — </w:t>
      </w:r>
    </w:p>
    <w:p>
      <w:pPr>
        <w:pStyle w:val="Indenta"/>
      </w:pPr>
      <w:r>
        <w:tab/>
        <w:t>(a)</w:t>
      </w:r>
      <w:r>
        <w:tab/>
        <w:t>sell or distribute or carry or expose for sale any printed or written matter; or</w:t>
      </w:r>
    </w:p>
    <w:p>
      <w:pPr>
        <w:pStyle w:val="Indenta"/>
        <w:spacing w:before="60"/>
      </w:pPr>
      <w:r>
        <w:tab/>
        <w:t>(b)</w:t>
      </w:r>
      <w:r>
        <w:tab/>
        <w:t>distribute any printed or written matter for a commercial purpose; or</w:t>
      </w:r>
    </w:p>
    <w:p>
      <w:pPr>
        <w:pStyle w:val="Indenta"/>
        <w:spacing w:before="60"/>
      </w:pPr>
      <w:r>
        <w:tab/>
        <w:t>(c)</w:t>
      </w:r>
      <w:r>
        <w:tab/>
        <w:t>advertise or promote any product, service or event for a commercial purpose.</w:t>
      </w:r>
    </w:p>
    <w:p>
      <w:pPr>
        <w:pStyle w:val="Penstart"/>
      </w:pPr>
      <w:r>
        <w:tab/>
        <w:t>Penalty: a fine of $500.</w:t>
      </w:r>
    </w:p>
    <w:p>
      <w:pPr>
        <w:pStyle w:val="Footnotesection"/>
        <w:spacing w:before="100"/>
      </w:pPr>
      <w:r>
        <w:tab/>
        <w:t>[Regulation 107 inserted in Gazette 29 Sep 2006 p. 4324</w:t>
      </w:r>
      <w:r>
        <w:noBreakHyphen/>
        <w:t>5; amended in Gazette 3 Dec 2010 p. 6052</w:t>
      </w:r>
      <w:r>
        <w:noBreakHyphen/>
        <w:t>4.]</w:t>
      </w:r>
    </w:p>
    <w:p>
      <w:pPr>
        <w:pStyle w:val="Heading5"/>
        <w:spacing w:before="200"/>
        <w:rPr>
          <w:snapToGrid w:val="0"/>
        </w:rPr>
      </w:pPr>
      <w:bookmarkStart w:id="426" w:name="_Toc462045464"/>
      <w:r>
        <w:rPr>
          <w:rStyle w:val="CharSectno"/>
        </w:rPr>
        <w:t>108</w:t>
      </w:r>
      <w:r>
        <w:rPr>
          <w:snapToGrid w:val="0"/>
        </w:rPr>
        <w:t>.</w:t>
      </w:r>
      <w:r>
        <w:rPr>
          <w:snapToGrid w:val="0"/>
        </w:rPr>
        <w:tab/>
        <w:t>Photography for commercial purposes</w:t>
      </w:r>
      <w:bookmarkEnd w:id="426"/>
      <w:r>
        <w:rPr>
          <w:snapToGrid w:val="0"/>
        </w:rPr>
        <w:t xml:space="preserve"> </w:t>
      </w:r>
    </w:p>
    <w:p>
      <w:pPr>
        <w:pStyle w:val="Subsection"/>
        <w:spacing w:before="140"/>
        <w:rPr>
          <w:snapToGrid w:val="0"/>
        </w:rPr>
      </w:pPr>
      <w:r>
        <w:rPr>
          <w:snapToGrid w:val="0"/>
        </w:rPr>
        <w:tab/>
      </w:r>
      <w:r>
        <w:rPr>
          <w:snapToGrid w:val="0"/>
        </w:rPr>
        <w:tab/>
        <w:t>A person must not, without lawful authority, take — </w:t>
      </w:r>
    </w:p>
    <w:p>
      <w:pPr>
        <w:pStyle w:val="Indenta"/>
        <w:spacing w:before="60"/>
        <w:rPr>
          <w:snapToGrid w:val="0"/>
        </w:rPr>
      </w:pPr>
      <w:r>
        <w:rPr>
          <w:snapToGrid w:val="0"/>
        </w:rPr>
        <w:tab/>
        <w:t>(a)</w:t>
      </w:r>
      <w:r>
        <w:rPr>
          <w:snapToGrid w:val="0"/>
        </w:rPr>
        <w:tab/>
        <w:t xml:space="preserve">still pictures on CALM land by photographic or electronic means if the pictures are to be used for </w:t>
      </w:r>
      <w:r>
        <w:t xml:space="preserve">commercial </w:t>
      </w:r>
      <w:r>
        <w:rPr>
          <w:snapToGrid w:val="0"/>
        </w:rPr>
        <w:t>purposes; or</w:t>
      </w:r>
    </w:p>
    <w:p>
      <w:pPr>
        <w:pStyle w:val="Indenta"/>
        <w:spacing w:before="60"/>
        <w:rPr>
          <w:snapToGrid w:val="0"/>
        </w:rPr>
      </w:pPr>
      <w:r>
        <w:rPr>
          <w:snapToGrid w:val="0"/>
        </w:rPr>
        <w:tab/>
        <w:t>(b)</w:t>
      </w:r>
      <w:r>
        <w:rPr>
          <w:snapToGrid w:val="0"/>
        </w:rPr>
        <w:tab/>
        <w:t>motion pictures on CALM land by photographic or electronic means if the pictures are to be used for commercial purposes.</w:t>
      </w:r>
    </w:p>
    <w:p>
      <w:pPr>
        <w:pStyle w:val="Penstart"/>
        <w:rPr>
          <w:snapToGrid w:val="0"/>
        </w:rPr>
      </w:pPr>
      <w:r>
        <w:rPr>
          <w:snapToGrid w:val="0"/>
        </w:rPr>
        <w:tab/>
        <w:t>Penalty:</w:t>
      </w:r>
      <w:r>
        <w:t xml:space="preserve"> a fine of</w:t>
      </w:r>
      <w:r>
        <w:rPr>
          <w:snapToGrid w:val="0"/>
        </w:rPr>
        <w:t xml:space="preserve"> $500.</w:t>
      </w:r>
    </w:p>
    <w:p>
      <w:pPr>
        <w:pStyle w:val="Footnotesection"/>
        <w:spacing w:before="100"/>
      </w:pPr>
      <w:r>
        <w:tab/>
        <w:t>[Regulation 108 amended in Gazette 29 Sep 2006 p. 4325; 3 Dec 2010 p. 6052</w:t>
      </w:r>
      <w:r>
        <w:noBreakHyphen/>
        <w:t>4.]</w:t>
      </w:r>
    </w:p>
    <w:p>
      <w:pPr>
        <w:pStyle w:val="Heading5"/>
        <w:spacing w:before="200"/>
        <w:rPr>
          <w:snapToGrid w:val="0"/>
        </w:rPr>
      </w:pPr>
      <w:bookmarkStart w:id="427" w:name="_Toc462045465"/>
      <w:r>
        <w:rPr>
          <w:rStyle w:val="CharSectno"/>
        </w:rPr>
        <w:t>109</w:t>
      </w:r>
      <w:r>
        <w:rPr>
          <w:snapToGrid w:val="0"/>
        </w:rPr>
        <w:t>.</w:t>
      </w:r>
      <w:r>
        <w:rPr>
          <w:snapToGrid w:val="0"/>
        </w:rPr>
        <w:tab/>
        <w:t>Production of licences etc.</w:t>
      </w:r>
      <w:bookmarkEnd w:id="427"/>
      <w:r>
        <w:rPr>
          <w:snapToGrid w:val="0"/>
        </w:rPr>
        <w:t xml:space="preserve"> </w:t>
      </w:r>
    </w:p>
    <w:p>
      <w:pPr>
        <w:pStyle w:val="Subsection"/>
        <w:spacing w:before="140"/>
      </w:pPr>
      <w:r>
        <w:rPr>
          <w:snapToGrid w:val="0"/>
        </w:rPr>
        <w:tab/>
      </w:r>
      <w:r>
        <w:rPr>
          <w:snapToGrid w:val="0"/>
        </w:rPr>
        <w:tab/>
        <w:t xml:space="preserve">The holder of a licence, permit, written authorisation or pass issued under the Act or these regulations must, if requested by an authorised officer, produce the licence, permit, authorisation or pass for </w:t>
      </w:r>
      <w:r>
        <w:t xml:space="preserve">inspection — </w:t>
      </w:r>
    </w:p>
    <w:p>
      <w:pPr>
        <w:pStyle w:val="Indenta"/>
        <w:spacing w:before="60"/>
      </w:pPr>
      <w:r>
        <w:tab/>
        <w:t>(a)</w:t>
      </w:r>
      <w:r>
        <w:tab/>
        <w:t>if it is a condition of the licence, permit, authorisation or pass that the holder produce the licence, permit, authorisation or pass upon demand of an authorised officer — at the time of the request; or</w:t>
      </w:r>
    </w:p>
    <w:p>
      <w:pPr>
        <w:pStyle w:val="Indenta"/>
        <w:spacing w:before="60"/>
        <w:rPr>
          <w:snapToGrid w:val="0"/>
        </w:rPr>
      </w:pPr>
      <w:r>
        <w:tab/>
        <w:t>(b)</w:t>
      </w:r>
      <w:r>
        <w:tab/>
        <w:t>if paragraph (a) does not apply — as soon as is practicable.</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spacing w:before="100"/>
      </w:pPr>
      <w:r>
        <w:tab/>
        <w:t>[Regulation 109 amended in Gazette 29 Sep 2006 p. 4325; 3 Dec 2010 p. 6052</w:t>
      </w:r>
      <w:r>
        <w:noBreakHyphen/>
        <w:t>4; 19 Sep 2014 p. 3336.]</w:t>
      </w:r>
    </w:p>
    <w:p>
      <w:pPr>
        <w:pStyle w:val="Heading5"/>
        <w:rPr>
          <w:snapToGrid w:val="0"/>
        </w:rPr>
      </w:pPr>
      <w:bookmarkStart w:id="428" w:name="_Toc462045466"/>
      <w:r>
        <w:rPr>
          <w:rStyle w:val="CharSectno"/>
        </w:rPr>
        <w:t>110</w:t>
      </w:r>
      <w:r>
        <w:rPr>
          <w:snapToGrid w:val="0"/>
        </w:rPr>
        <w:t>.</w:t>
      </w:r>
      <w:r>
        <w:rPr>
          <w:snapToGrid w:val="0"/>
        </w:rPr>
        <w:tab/>
        <w:t>False or misleading information</w:t>
      </w:r>
      <w:bookmarkEnd w:id="428"/>
      <w:r>
        <w:rPr>
          <w:snapToGrid w:val="0"/>
        </w:rPr>
        <w:t xml:space="preserve"> </w:t>
      </w:r>
    </w:p>
    <w:p>
      <w:pPr>
        <w:pStyle w:val="Subsection"/>
        <w:rPr>
          <w:snapToGrid w:val="0"/>
        </w:rPr>
      </w:pPr>
      <w:r>
        <w:rPr>
          <w:snapToGrid w:val="0"/>
        </w:rPr>
        <w:tab/>
      </w:r>
      <w:r>
        <w:rPr>
          <w:snapToGrid w:val="0"/>
        </w:rPr>
        <w:tab/>
        <w:t>A person must not, in relation to the holding of a lease, licence or permit or the payment of a fee, give information orally or in writing to an authorised officer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pPr>
      <w:r>
        <w:tab/>
        <w:t>[Regulation 110 amended in Gazette 3 Dec 2010 p. 6052</w:t>
      </w:r>
      <w:r>
        <w:noBreakHyphen/>
        <w:t>4; 19 Sep 2014 p. 3336.]</w:t>
      </w:r>
    </w:p>
    <w:p>
      <w:pPr>
        <w:pStyle w:val="Heading5"/>
        <w:rPr>
          <w:snapToGrid w:val="0"/>
        </w:rPr>
      </w:pPr>
      <w:bookmarkStart w:id="429" w:name="_Toc462045467"/>
      <w:r>
        <w:rPr>
          <w:rStyle w:val="CharSectno"/>
        </w:rPr>
        <w:t>111</w:t>
      </w:r>
      <w:r>
        <w:rPr>
          <w:snapToGrid w:val="0"/>
        </w:rPr>
        <w:t>.</w:t>
      </w:r>
      <w:r>
        <w:rPr>
          <w:snapToGrid w:val="0"/>
        </w:rPr>
        <w:tab/>
        <w:t>Signs — presumption</w:t>
      </w:r>
      <w:bookmarkEnd w:id="429"/>
      <w:r>
        <w:rPr>
          <w:snapToGrid w:val="0"/>
        </w:rPr>
        <w:t xml:space="preserve"> </w:t>
      </w:r>
    </w:p>
    <w:p>
      <w:pPr>
        <w:pStyle w:val="Subsection"/>
        <w:rPr>
          <w:snapToGrid w:val="0"/>
        </w:rPr>
      </w:pPr>
      <w:r>
        <w:rPr>
          <w:snapToGrid w:val="0"/>
        </w:rPr>
        <w:tab/>
      </w:r>
      <w:r>
        <w:rPr>
          <w:snapToGrid w:val="0"/>
        </w:rPr>
        <w:tab/>
        <w:t xml:space="preserve">A sign on CALM land is to be taken to have been erected or made by the authority of the </w:t>
      </w:r>
      <w:r>
        <w:t xml:space="preserve">CEO </w:t>
      </w:r>
      <w:r>
        <w:rPr>
          <w:snapToGrid w:val="0"/>
        </w:rPr>
        <w:t>unless the contrary is shown.</w:t>
      </w:r>
    </w:p>
    <w:p>
      <w:pPr>
        <w:pStyle w:val="Footnotesection"/>
      </w:pPr>
      <w:r>
        <w:tab/>
        <w:t>[Regulation 111 amended in Gazette 29 Sep 2006 p. 4334.]</w:t>
      </w:r>
    </w:p>
    <w:p>
      <w:pPr>
        <w:pStyle w:val="Heading5"/>
      </w:pPr>
      <w:bookmarkStart w:id="430" w:name="_Toc462045468"/>
      <w:r>
        <w:rPr>
          <w:rStyle w:val="CharSectno"/>
        </w:rPr>
        <w:t>111A</w:t>
      </w:r>
      <w:r>
        <w:t>.</w:t>
      </w:r>
      <w:r>
        <w:tab/>
        <w:t>Reasons for decisions</w:t>
      </w:r>
      <w:bookmarkEnd w:id="430"/>
    </w:p>
    <w:p>
      <w:pPr>
        <w:pStyle w:val="Subsection"/>
      </w:pPr>
      <w:r>
        <w:tab/>
        <w:t>(1)</w:t>
      </w:r>
      <w:r>
        <w:tab/>
        <w:t>A person aggrieved by a decision of the CEO under these regulations may apply to the CEO for reasons for the decision.</w:t>
      </w:r>
    </w:p>
    <w:p>
      <w:pPr>
        <w:pStyle w:val="Subsection"/>
      </w:pPr>
      <w:r>
        <w:tab/>
        <w:t>(2)</w:t>
      </w:r>
      <w:r>
        <w:tab/>
        <w:t>The CEO must give the reasons for the decision to the person.</w:t>
      </w:r>
    </w:p>
    <w:p>
      <w:pPr>
        <w:pStyle w:val="Footnotesection"/>
      </w:pPr>
      <w:r>
        <w:tab/>
        <w:t>[Regulation 111A inserted in Gazette 29 Sep 2006 p. 4326.]</w:t>
      </w:r>
    </w:p>
    <w:p>
      <w:pPr>
        <w:pStyle w:val="Heading5"/>
        <w:rPr>
          <w:snapToGrid w:val="0"/>
        </w:rPr>
      </w:pPr>
      <w:bookmarkStart w:id="431" w:name="_Toc462045469"/>
      <w:r>
        <w:rPr>
          <w:rStyle w:val="CharSectno"/>
        </w:rPr>
        <w:t>112</w:t>
      </w:r>
      <w:r>
        <w:rPr>
          <w:snapToGrid w:val="0"/>
        </w:rPr>
        <w:t>.</w:t>
      </w:r>
      <w:r>
        <w:rPr>
          <w:snapToGrid w:val="0"/>
        </w:rPr>
        <w:tab/>
        <w:t>Infringement notices</w:t>
      </w:r>
      <w:bookmarkEnd w:id="431"/>
      <w:r>
        <w:rPr>
          <w:snapToGrid w:val="0"/>
        </w:rPr>
        <w:t xml:space="preserve"> </w:t>
      </w:r>
    </w:p>
    <w:p>
      <w:pPr>
        <w:pStyle w:val="Subsection"/>
        <w:rPr>
          <w:snapToGrid w:val="0"/>
        </w:rPr>
      </w:pPr>
      <w:r>
        <w:rPr>
          <w:snapToGrid w:val="0"/>
        </w:rPr>
        <w:tab/>
        <w:t>(1)</w:t>
      </w:r>
      <w:r>
        <w:rPr>
          <w:snapToGrid w:val="0"/>
        </w:rPr>
        <w:tab/>
        <w:t>The offences described in Schedule 2 columns 1 and 2 are prescribed offences for the purposes of section 114A of the Act.</w:t>
      </w:r>
    </w:p>
    <w:p>
      <w:pPr>
        <w:pStyle w:val="Subsection"/>
        <w:rPr>
          <w:snapToGrid w:val="0"/>
        </w:rPr>
      </w:pPr>
      <w:r>
        <w:rPr>
          <w:snapToGrid w:val="0"/>
        </w:rPr>
        <w:tab/>
        <w:t>(2)</w:t>
      </w:r>
      <w:r>
        <w:rPr>
          <w:snapToGrid w:val="0"/>
        </w:rPr>
        <w:tab/>
        <w:t>The penalties set out in Schedule 2 column 3 are prescribed modified penalties for the offence in columns 1 and 2 to which the penalties correspond, for the purposes of section 114A of the Act.</w:t>
      </w:r>
    </w:p>
    <w:p>
      <w:pPr>
        <w:pStyle w:val="Subsection"/>
        <w:rPr>
          <w:snapToGrid w:val="0"/>
        </w:rPr>
      </w:pPr>
      <w:r>
        <w:rPr>
          <w:snapToGrid w:val="0"/>
        </w:rPr>
        <w:tab/>
        <w:t>(3)</w:t>
      </w:r>
      <w:r>
        <w:rPr>
          <w:snapToGrid w:val="0"/>
        </w:rPr>
        <w:tab/>
        <w:t>Schedule 3 Form 1 is prescribed for the purposes of section 114A(1) of the Act.</w:t>
      </w:r>
    </w:p>
    <w:p>
      <w:pPr>
        <w:pStyle w:val="Subsection"/>
        <w:rPr>
          <w:snapToGrid w:val="0"/>
        </w:rPr>
      </w:pPr>
      <w:r>
        <w:rPr>
          <w:snapToGrid w:val="0"/>
        </w:rPr>
        <w:tab/>
        <w:t>(4)</w:t>
      </w:r>
      <w:r>
        <w:rPr>
          <w:snapToGrid w:val="0"/>
        </w:rPr>
        <w:tab/>
        <w:t>Schedule 3 Form 2 is prescribed for the purposes of section 114A(6) of the Act.</w:t>
      </w:r>
    </w:p>
    <w:p>
      <w:pPr>
        <w:pStyle w:val="Heading5"/>
        <w:rPr>
          <w:snapToGrid w:val="0"/>
        </w:rPr>
      </w:pPr>
      <w:bookmarkStart w:id="432" w:name="_Toc462045470"/>
      <w:r>
        <w:rPr>
          <w:rStyle w:val="CharSectno"/>
        </w:rPr>
        <w:t>113</w:t>
      </w:r>
      <w:r>
        <w:rPr>
          <w:snapToGrid w:val="0"/>
        </w:rPr>
        <w:t>.</w:t>
      </w:r>
      <w:r>
        <w:rPr>
          <w:snapToGrid w:val="0"/>
        </w:rPr>
        <w:tab/>
        <w:t>Evidence</w:t>
      </w:r>
      <w:bookmarkEnd w:id="432"/>
      <w:r>
        <w:rPr>
          <w:snapToGrid w:val="0"/>
        </w:rPr>
        <w:t xml:space="preserve"> </w:t>
      </w:r>
    </w:p>
    <w:p>
      <w:pPr>
        <w:pStyle w:val="Subsection"/>
        <w:rPr>
          <w:snapToGrid w:val="0"/>
        </w:rPr>
      </w:pPr>
      <w:r>
        <w:rPr>
          <w:snapToGrid w:val="0"/>
        </w:rPr>
        <w:tab/>
      </w:r>
      <w:r>
        <w:rPr>
          <w:snapToGrid w:val="0"/>
        </w:rPr>
        <w:tab/>
        <w:t>In any prosecution under these regulations an averment in the complaint — </w:t>
      </w:r>
    </w:p>
    <w:p>
      <w:pPr>
        <w:pStyle w:val="Indenta"/>
        <w:rPr>
          <w:snapToGrid w:val="0"/>
        </w:rPr>
      </w:pPr>
      <w:r>
        <w:rPr>
          <w:snapToGrid w:val="0"/>
        </w:rPr>
        <w:tab/>
        <w:t>(a)</w:t>
      </w:r>
      <w:r>
        <w:rPr>
          <w:snapToGrid w:val="0"/>
        </w:rPr>
        <w:tab/>
        <w:t>that the place at or in respect of which a contravention of a regulation is alleged to have occurred was, or was within, a restricted area declared for the purpose of that regulation; or</w:t>
      </w:r>
    </w:p>
    <w:p>
      <w:pPr>
        <w:pStyle w:val="Indenta"/>
        <w:rPr>
          <w:snapToGrid w:val="0"/>
        </w:rPr>
      </w:pPr>
      <w:r>
        <w:rPr>
          <w:snapToGrid w:val="0"/>
        </w:rPr>
        <w:tab/>
        <w:t>(b)</w:t>
      </w:r>
      <w:r>
        <w:rPr>
          <w:snapToGrid w:val="0"/>
        </w:rPr>
        <w:tab/>
        <w:t>that the place at or in respect of which a contravention of a regulation is alleged to have occurred was, or was within, a designated area declared for the purpose of that regulation; or</w:t>
      </w:r>
    </w:p>
    <w:p>
      <w:pPr>
        <w:pStyle w:val="Indenta"/>
        <w:rPr>
          <w:snapToGrid w:val="0"/>
        </w:rPr>
      </w:pPr>
      <w:r>
        <w:rPr>
          <w:snapToGrid w:val="0"/>
        </w:rPr>
        <w:tab/>
        <w:t>(c)</w:t>
      </w:r>
      <w:r>
        <w:rPr>
          <w:snapToGrid w:val="0"/>
        </w:rPr>
        <w:tab/>
        <w:t>that an act or state of affairs occurred without lawful authority,</w:t>
      </w:r>
    </w:p>
    <w:p>
      <w:pPr>
        <w:pStyle w:val="Subsection"/>
        <w:rPr>
          <w:snapToGrid w:val="0"/>
        </w:rPr>
      </w:pPr>
      <w:r>
        <w:rPr>
          <w:snapToGrid w:val="0"/>
        </w:rPr>
        <w:tab/>
      </w:r>
      <w:r>
        <w:rPr>
          <w:snapToGrid w:val="0"/>
        </w:rPr>
        <w:tab/>
        <w:t>is taken to have been proved in the absence of evidence to the contrary.</w:t>
      </w:r>
    </w:p>
    <w:p>
      <w:pPr>
        <w:pStyle w:val="Heading2"/>
        <w:tabs>
          <w:tab w:val="left" w:pos="840"/>
        </w:tabs>
      </w:pPr>
      <w:bookmarkStart w:id="433" w:name="_Toc436903850"/>
      <w:bookmarkStart w:id="434" w:name="_Toc436905792"/>
      <w:bookmarkStart w:id="435" w:name="_Toc436906013"/>
      <w:bookmarkStart w:id="436" w:name="_Toc437515766"/>
      <w:bookmarkStart w:id="437" w:name="_Toc447533366"/>
      <w:bookmarkStart w:id="438" w:name="_Toc456878274"/>
      <w:bookmarkStart w:id="439" w:name="_Toc456951791"/>
      <w:bookmarkStart w:id="440" w:name="_Toc458590375"/>
      <w:bookmarkStart w:id="441" w:name="_Toc458590597"/>
      <w:bookmarkStart w:id="442" w:name="_Toc458590818"/>
      <w:bookmarkStart w:id="443" w:name="_Toc462045471"/>
      <w:r>
        <w:rPr>
          <w:rStyle w:val="CharPartNo"/>
        </w:rPr>
        <w:t>Part 10</w:t>
      </w:r>
      <w:r>
        <w:rPr>
          <w:rStyle w:val="CharDivNo"/>
        </w:rPr>
        <w:t> </w:t>
      </w:r>
      <w:r>
        <w:t>—</w:t>
      </w:r>
      <w:r>
        <w:rPr>
          <w:rStyle w:val="CharDivText"/>
        </w:rPr>
        <w:t> </w:t>
      </w:r>
      <w:r>
        <w:rPr>
          <w:rStyle w:val="CharPartText"/>
        </w:rPr>
        <w:t>Exclusion of operation of section 103A(3)</w:t>
      </w:r>
      <w:bookmarkEnd w:id="433"/>
      <w:bookmarkEnd w:id="434"/>
      <w:bookmarkEnd w:id="435"/>
      <w:bookmarkEnd w:id="436"/>
      <w:bookmarkEnd w:id="437"/>
      <w:bookmarkEnd w:id="438"/>
      <w:bookmarkEnd w:id="439"/>
      <w:bookmarkEnd w:id="440"/>
      <w:bookmarkEnd w:id="441"/>
      <w:bookmarkEnd w:id="442"/>
      <w:bookmarkEnd w:id="443"/>
    </w:p>
    <w:p>
      <w:pPr>
        <w:pStyle w:val="Footnoteheading"/>
      </w:pPr>
      <w:r>
        <w:tab/>
        <w:t>[Heading inserted in Gazette 7 Dec 2012 p. 5966.]</w:t>
      </w:r>
    </w:p>
    <w:p>
      <w:pPr>
        <w:pStyle w:val="Heading5"/>
      </w:pPr>
      <w:bookmarkStart w:id="444" w:name="_Toc462045472"/>
      <w:r>
        <w:rPr>
          <w:rStyle w:val="CharSectno"/>
        </w:rPr>
        <w:t>114</w:t>
      </w:r>
      <w:r>
        <w:t>.</w:t>
      </w:r>
      <w:r>
        <w:tab/>
        <w:t>Terms used</w:t>
      </w:r>
      <w:bookmarkEnd w:id="444"/>
    </w:p>
    <w:p>
      <w:pPr>
        <w:pStyle w:val="Subsection"/>
      </w:pPr>
      <w:r>
        <w:tab/>
      </w:r>
      <w:r>
        <w:tab/>
        <w:t xml:space="preserve">In this Part — </w:t>
      </w:r>
    </w:p>
    <w:p>
      <w:pPr>
        <w:pStyle w:val="Defstart"/>
      </w:pPr>
      <w:r>
        <w:tab/>
      </w:r>
      <w:r>
        <w:rPr>
          <w:rStyle w:val="CharDefText"/>
        </w:rPr>
        <w:t>recreational land</w:t>
      </w:r>
      <w:r>
        <w:t xml:space="preserve"> means CALM land that is, or is within 500 m of, any of the following —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Defstart"/>
      </w:pPr>
      <w:r>
        <w:tab/>
      </w:r>
      <w:r>
        <w:rPr>
          <w:rStyle w:val="CharDefText"/>
        </w:rPr>
        <w:t>townsite</w:t>
      </w:r>
      <w:r>
        <w:t xml:space="preserve"> has the meaning given in the </w:t>
      </w:r>
      <w:r>
        <w:rPr>
          <w:i/>
        </w:rPr>
        <w:t>Land Administration Act 1997</w:t>
      </w:r>
      <w:r>
        <w:t xml:space="preserve"> section 26(1);</w:t>
      </w:r>
    </w:p>
    <w:p>
      <w:pPr>
        <w:pStyle w:val="Defstart"/>
      </w:pPr>
      <w:r>
        <w:tab/>
      </w:r>
      <w:r>
        <w:rPr>
          <w:rStyle w:val="CharDefText"/>
        </w:rPr>
        <w:t>urban land</w:t>
      </w:r>
      <w:r>
        <w:t xml:space="preserve"> means land within the metropolitan region as defined in the </w:t>
      </w:r>
      <w:r>
        <w:rPr>
          <w:i/>
        </w:rPr>
        <w:t>Planning and Development Act 2005</w:t>
      </w:r>
      <w:r>
        <w:t xml:space="preserve"> section 4(1), the Peel Region described in Schedule 4 to that Act or the local government district of Bunbury;</w:t>
      </w:r>
    </w:p>
    <w:p>
      <w:pPr>
        <w:pStyle w:val="Defstart"/>
      </w:pPr>
      <w:r>
        <w:tab/>
      </w:r>
      <w:r>
        <w:rPr>
          <w:rStyle w:val="CharDefText"/>
        </w:rPr>
        <w:t>visitor area</w:t>
      </w:r>
      <w:r>
        <w:t xml:space="preserve"> includes any of the following — </w:t>
      </w:r>
    </w:p>
    <w:p>
      <w:pPr>
        <w:pStyle w:val="Defpara"/>
      </w:pPr>
      <w:r>
        <w:tab/>
        <w:t>(a)</w:t>
      </w:r>
      <w:r>
        <w:tab/>
        <w:t>an area of cultivated lawn;</w:t>
      </w:r>
    </w:p>
    <w:p>
      <w:pPr>
        <w:pStyle w:val="Defpara"/>
      </w:pPr>
      <w:r>
        <w:tab/>
        <w:t>(b)</w:t>
      </w:r>
      <w:r>
        <w:tab/>
        <w:t>an area signposted as a picnic area;</w:t>
      </w:r>
    </w:p>
    <w:p>
      <w:pPr>
        <w:pStyle w:val="Defpara"/>
      </w:pPr>
      <w:r>
        <w:tab/>
        <w:t>(c)</w:t>
      </w:r>
      <w:r>
        <w:tab/>
        <w:t>an area signposted as an historical, natural or cultural point of interest;</w:t>
      </w:r>
    </w:p>
    <w:p>
      <w:pPr>
        <w:pStyle w:val="Defpara"/>
      </w:pPr>
      <w:r>
        <w:tab/>
        <w:t>(d)</w:t>
      </w:r>
      <w:r>
        <w:tab/>
        <w:t xml:space="preserve">an area where any of the following have been provided for visitors — </w:t>
      </w:r>
    </w:p>
    <w:p>
      <w:pPr>
        <w:pStyle w:val="Indenti"/>
      </w:pPr>
      <w:r>
        <w:tab/>
        <w:t>(i)</w:t>
      </w:r>
      <w:r>
        <w:tab/>
        <w:t>tables and seating;</w:t>
      </w:r>
    </w:p>
    <w:p>
      <w:pPr>
        <w:pStyle w:val="Defsubpara"/>
      </w:pPr>
      <w:r>
        <w:tab/>
        <w:t>(ii)</w:t>
      </w:r>
      <w:r>
        <w:tab/>
        <w:t>a lookout or platform;</w:t>
      </w:r>
    </w:p>
    <w:p>
      <w:pPr>
        <w:pStyle w:val="Defsubpara"/>
      </w:pPr>
      <w:r>
        <w:tab/>
        <w:t>(iii)</w:t>
      </w:r>
      <w:r>
        <w:tab/>
        <w:t>a toilet facility;</w:t>
      </w:r>
    </w:p>
    <w:p>
      <w:pPr>
        <w:pStyle w:val="Defsubpara"/>
      </w:pPr>
      <w:r>
        <w:tab/>
        <w:t>(iv)</w:t>
      </w:r>
      <w:r>
        <w:tab/>
        <w:t>a rubbish bin;</w:t>
      </w:r>
    </w:p>
    <w:p>
      <w:pPr>
        <w:pStyle w:val="Defsubpara"/>
      </w:pPr>
      <w:r>
        <w:tab/>
        <w:t>(v)</w:t>
      </w:r>
      <w:r>
        <w:tab/>
        <w:t>interpretive information;</w:t>
      </w:r>
    </w:p>
    <w:p>
      <w:pPr>
        <w:pStyle w:val="Defsubpara"/>
      </w:pPr>
      <w:r>
        <w:tab/>
        <w:t>(vi)</w:t>
      </w:r>
      <w:r>
        <w:tab/>
        <w:t>any building, facility or other erected or constructed thing,</w:t>
      </w:r>
    </w:p>
    <w:p>
      <w:pPr>
        <w:pStyle w:val="Defpara"/>
      </w:pPr>
      <w:r>
        <w:tab/>
      </w:r>
      <w:r>
        <w:tab/>
        <w:t>but does not include a walk trail or unsealed road.</w:t>
      </w:r>
    </w:p>
    <w:p>
      <w:pPr>
        <w:pStyle w:val="Footnotesection"/>
      </w:pPr>
      <w:r>
        <w:tab/>
        <w:t>[Regulation 114 inserted in Gazette 7 Dec 2012 p. 5966-7.]</w:t>
      </w:r>
    </w:p>
    <w:p>
      <w:pPr>
        <w:pStyle w:val="Heading5"/>
      </w:pPr>
      <w:bookmarkStart w:id="445" w:name="_Toc462045473"/>
      <w:r>
        <w:rPr>
          <w:rStyle w:val="CharSectno"/>
        </w:rPr>
        <w:t>115</w:t>
      </w:r>
      <w:r>
        <w:t>.</w:t>
      </w:r>
      <w:r>
        <w:tab/>
        <w:t>Exclusion of operation of section 103A(3) of Act: animals</w:t>
      </w:r>
      <w:bookmarkEnd w:id="445"/>
    </w:p>
    <w:p>
      <w:pPr>
        <w:pStyle w:val="Subsection"/>
      </w:pPr>
      <w:r>
        <w:tab/>
        <w:t>(1)</w:t>
      </w:r>
      <w:r>
        <w:tab/>
        <w:t xml:space="preserve">In this regulation — </w:t>
      </w:r>
    </w:p>
    <w:p>
      <w:pPr>
        <w:pStyle w:val="Defstart"/>
      </w:pPr>
      <w:r>
        <w:tab/>
      </w:r>
      <w:r>
        <w:rPr>
          <w:rStyle w:val="CharDefText"/>
        </w:rPr>
        <w:t>poison risk area</w:t>
      </w:r>
      <w:r>
        <w:t xml:space="preserve"> means an area shown on a poison risk map in which poison baits to control vertebrates may be present;</w:t>
      </w:r>
    </w:p>
    <w:p>
      <w:pPr>
        <w:pStyle w:val="Defstart"/>
      </w:pPr>
      <w:r>
        <w:tab/>
      </w:r>
      <w:r>
        <w:rPr>
          <w:rStyle w:val="CharDefText"/>
        </w:rPr>
        <w:t>poison risk map</w:t>
      </w:r>
      <w:r>
        <w:t xml:space="preserve"> means a map produced by the Department that — </w:t>
      </w:r>
    </w:p>
    <w:p>
      <w:pPr>
        <w:pStyle w:val="Defpara"/>
      </w:pPr>
      <w:r>
        <w:tab/>
        <w:t>(a)</w:t>
      </w:r>
      <w:r>
        <w:tab/>
        <w:t>shows poison risk areas; and</w:t>
      </w:r>
    </w:p>
    <w:p>
      <w:pPr>
        <w:pStyle w:val="Defpara"/>
      </w:pPr>
      <w:r>
        <w:tab/>
        <w:t>(b)</w:t>
      </w:r>
      <w:r>
        <w:tab/>
        <w:t>is available for inspection by the public during normal office hours at each district office of the Department nearest to a poison risk area.</w:t>
      </w:r>
    </w:p>
    <w:p>
      <w:pPr>
        <w:pStyle w:val="Subsection"/>
      </w:pPr>
      <w:r>
        <w:tab/>
        <w:t>(2)</w:t>
      </w:r>
      <w:r>
        <w:tab/>
        <w:t xml:space="preserve">The operation of section 103A(3) of the Act is excluded in relation to bringing an animal on to CALM land contrary to regulation 15(a) if — </w:t>
      </w:r>
    </w:p>
    <w:p>
      <w:pPr>
        <w:pStyle w:val="Indenta"/>
      </w:pPr>
      <w:r>
        <w:tab/>
        <w:t>(a)</w:t>
      </w:r>
      <w:r>
        <w:tab/>
        <w:t>the animal is brought on to the land without the written permission of the CEO; and</w:t>
      </w:r>
    </w:p>
    <w:p>
      <w:pPr>
        <w:pStyle w:val="Indenta"/>
      </w:pPr>
      <w:r>
        <w:tab/>
        <w:t>(b)</w:t>
      </w:r>
      <w:r>
        <w:tab/>
        <w:t>the land is in a poison risk area.</w:t>
      </w:r>
    </w:p>
    <w:p>
      <w:pPr>
        <w:pStyle w:val="Subsection"/>
      </w:pPr>
      <w:r>
        <w:tab/>
        <w:t>(3)</w:t>
      </w:r>
      <w:r>
        <w:tab/>
        <w:t xml:space="preserve">The operation of section 103A(3) of the Act is excluded in relation to bringing an animal on to CALM land contrary to regulation 15(a) if — </w:t>
      </w:r>
    </w:p>
    <w:p>
      <w:pPr>
        <w:pStyle w:val="Indenta"/>
        <w:spacing w:before="70"/>
      </w:pPr>
      <w:r>
        <w:tab/>
        <w:t>(a)</w:t>
      </w:r>
      <w:r>
        <w:tab/>
        <w:t>the animal is brought on to the land without the written permission of the CEO; and</w:t>
      </w:r>
    </w:p>
    <w:p>
      <w:pPr>
        <w:pStyle w:val="Indenta"/>
        <w:spacing w:before="70"/>
      </w:pPr>
      <w:r>
        <w:tab/>
        <w:t>(b)</w:t>
      </w:r>
      <w:r>
        <w:tab/>
        <w:t>the animal is not kept in a vehicle while on the land; and</w:t>
      </w:r>
    </w:p>
    <w:p>
      <w:pPr>
        <w:pStyle w:val="Indenta"/>
        <w:spacing w:before="70"/>
      </w:pPr>
      <w:r>
        <w:tab/>
        <w:t>(c)</w:t>
      </w:r>
      <w:r>
        <w:tab/>
        <w:t xml:space="preserve">the land is — </w:t>
      </w:r>
    </w:p>
    <w:p>
      <w:pPr>
        <w:pStyle w:val="Indenti"/>
        <w:spacing w:before="70"/>
      </w:pPr>
      <w:r>
        <w:tab/>
        <w:t>(i)</w:t>
      </w:r>
      <w:r>
        <w:tab/>
        <w:t>recreational land or urban land; or</w:t>
      </w:r>
    </w:p>
    <w:p>
      <w:pPr>
        <w:pStyle w:val="Indenti"/>
        <w:spacing w:before="70"/>
      </w:pPr>
      <w:r>
        <w:tab/>
        <w:t>(ii)</w:t>
      </w:r>
      <w:r>
        <w:tab/>
        <w:t>in a townsite; or</w:t>
      </w:r>
    </w:p>
    <w:p>
      <w:pPr>
        <w:pStyle w:val="Indenti"/>
        <w:spacing w:before="70"/>
      </w:pPr>
      <w:r>
        <w:tab/>
        <w:t>(iii)</w:t>
      </w:r>
      <w:r>
        <w:tab/>
        <w:t xml:space="preserve">in Tunnel Creek National Park (Reserve No. 26890), </w:t>
      </w:r>
      <w:smartTag w:uri="urn:schemas-microsoft-com:office:smarttags" w:element="place">
        <w:smartTag w:uri="urn:schemas-microsoft-com:office:smarttags" w:element="PlaceName">
          <w:r>
            <w:t>Geikie</w:t>
          </w:r>
        </w:smartTag>
        <w:r>
          <w:t xml:space="preserve"> </w:t>
        </w:r>
        <w:smartTag w:uri="urn:schemas-microsoft-com:office:smarttags" w:element="PlaceName">
          <w:r>
            <w:t>Gorge</w:t>
          </w:r>
        </w:smartTag>
        <w:r>
          <w:t xml:space="preserve"> </w:t>
        </w:r>
        <w:smartTag w:uri="urn:schemas-microsoft-com:office:smarttags" w:element="PlaceType">
          <w:r>
            <w:t>National Park</w:t>
          </w:r>
        </w:smartTag>
      </w:smartTag>
      <w:r>
        <w:t xml:space="preserve"> (Reserve No. 28401), or Marlgu Billabong and Telegraph Hill in Parry Lagoons Nature Reserve (Reserve No. 42155).</w:t>
      </w:r>
    </w:p>
    <w:p>
      <w:pPr>
        <w:pStyle w:val="Footnotesection"/>
      </w:pPr>
      <w:r>
        <w:tab/>
        <w:t>[Regulation 115 inserted in Gazette 7 Dec 2012 p. 5967-8.]</w:t>
      </w:r>
    </w:p>
    <w:p>
      <w:pPr>
        <w:pStyle w:val="Heading5"/>
      </w:pPr>
      <w:bookmarkStart w:id="446" w:name="_Toc462045474"/>
      <w:r>
        <w:rPr>
          <w:rStyle w:val="CharSectno"/>
        </w:rPr>
        <w:t>116</w:t>
      </w:r>
      <w:r>
        <w:t>.</w:t>
      </w:r>
      <w:r>
        <w:tab/>
        <w:t>Exclusion of operation of section 103A(3) of Act: vehicles</w:t>
      </w:r>
      <w:bookmarkEnd w:id="446"/>
    </w:p>
    <w:p>
      <w:pPr>
        <w:pStyle w:val="Subsection"/>
      </w:pPr>
      <w:r>
        <w:tab/>
        <w:t>(1)</w:t>
      </w:r>
      <w:r>
        <w:tab/>
        <w:t xml:space="preserve">The operation of section 103A(3) of the Act is excluded in relation to driving or riding a vehicle contrary to regulation 51(1) if the vehicle is driven or ridden without the written permission of the CEO — </w:t>
      </w:r>
    </w:p>
    <w:p>
      <w:pPr>
        <w:pStyle w:val="Indenta"/>
      </w:pPr>
      <w:r>
        <w:tab/>
        <w:t>(a)</w:t>
      </w:r>
      <w:r>
        <w:tab/>
        <w:t>on recreational land or urban land; or</w:t>
      </w:r>
    </w:p>
    <w:p>
      <w:pPr>
        <w:pStyle w:val="Indenta"/>
      </w:pPr>
      <w:r>
        <w:tab/>
        <w:t>(b)</w:t>
      </w:r>
      <w:r>
        <w:tab/>
        <w:t>in a townsite; or</w:t>
      </w:r>
    </w:p>
    <w:p>
      <w:pPr>
        <w:pStyle w:val="Indenta"/>
      </w:pPr>
      <w:r>
        <w:tab/>
        <w:t>(c)</w:t>
      </w:r>
      <w:r>
        <w:tab/>
        <w:t xml:space="preserve">in Boonanaring Nature Reserve (Reserve No. 41805), Drummond Nature Reserve (Reserve No. 42808) or </w:t>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Subsection"/>
      </w:pPr>
      <w:r>
        <w:tab/>
        <w:t>(2)</w:t>
      </w:r>
      <w:r>
        <w:tab/>
        <w:t>The operation of section 103A(3) of the Act is excluded in relation to driving or riding a vehicle contrary to regulation 51(3)(a) if the vehicle is so driven or ridden without the written permission of the CEO.</w:t>
      </w:r>
    </w:p>
    <w:p>
      <w:pPr>
        <w:pStyle w:val="Footnotesection"/>
      </w:pPr>
      <w:r>
        <w:tab/>
        <w:t>[Regulation 116 inserted in Gazette 7 Dec 2012 p. 5968.]</w:t>
      </w:r>
    </w:p>
    <w:p>
      <w:pPr>
        <w:pStyle w:val="Heading5"/>
      </w:pPr>
      <w:bookmarkStart w:id="447" w:name="_Toc462045475"/>
      <w:r>
        <w:rPr>
          <w:rStyle w:val="CharSectno"/>
        </w:rPr>
        <w:t>117</w:t>
      </w:r>
      <w:r>
        <w:t>.</w:t>
      </w:r>
      <w:r>
        <w:tab/>
        <w:t>Exclusion of operation of section 103A(3) of Act: vessel</w:t>
      </w:r>
      <w:bookmarkEnd w:id="447"/>
    </w:p>
    <w:p>
      <w:pPr>
        <w:pStyle w:val="Subsection"/>
      </w:pPr>
      <w:r>
        <w:tab/>
      </w:r>
      <w:r>
        <w:tab/>
        <w:t>The operation of section 103A(3) of the Act is excluded in relation to navigating a vessel contrary to regulation 61(a) or 64(1)(c) or (2)(c) if the vessel is so navigated without the written permission of the CEO.</w:t>
      </w:r>
    </w:p>
    <w:p>
      <w:pPr>
        <w:pStyle w:val="Footnotesection"/>
      </w:pPr>
      <w:r>
        <w:tab/>
        <w:t>[Regulation 117 inserted in Gazette 7 Dec 2012 p. 5968.]</w:t>
      </w:r>
    </w:p>
    <w:p>
      <w:pPr>
        <w:pStyle w:val="Heading5"/>
      </w:pPr>
      <w:bookmarkStart w:id="448" w:name="_Toc462045476"/>
      <w:r>
        <w:rPr>
          <w:rStyle w:val="CharSectno"/>
        </w:rPr>
        <w:t>118</w:t>
      </w:r>
      <w:r>
        <w:t>.</w:t>
      </w:r>
      <w:r>
        <w:tab/>
        <w:t>Exclusion of operation of section 103A(3) of Act: fire</w:t>
      </w:r>
      <w:bookmarkEnd w:id="448"/>
    </w:p>
    <w:p>
      <w:pPr>
        <w:pStyle w:val="Subsection"/>
      </w:pPr>
      <w:r>
        <w:tab/>
        <w:t>(1)</w:t>
      </w:r>
      <w:r>
        <w:tab/>
        <w:t xml:space="preserve">The operation of section 103A(3) of the Act is excluded in relation to lighting or kindling a fire contrary to section 104(1) of the Act or regulation 39(2) if the fire is lit or kindled without the written permission of the CEO on or in any of the following — </w:t>
      </w:r>
    </w:p>
    <w:p>
      <w:pPr>
        <w:pStyle w:val="Indenta"/>
        <w:spacing w:before="60"/>
      </w:pPr>
      <w:r>
        <w:tab/>
        <w:t>(a)</w:t>
      </w:r>
      <w:r>
        <w:tab/>
        <w:t>recreational land;</w:t>
      </w:r>
    </w:p>
    <w:p>
      <w:pPr>
        <w:pStyle w:val="Indenta"/>
        <w:spacing w:before="60"/>
      </w:pPr>
      <w:r>
        <w:tab/>
        <w:t>(b)</w:t>
      </w:r>
      <w:r>
        <w:tab/>
        <w:t>a townsite;</w:t>
      </w:r>
    </w:p>
    <w:p>
      <w:pPr>
        <w:pStyle w:val="Indenta"/>
        <w:spacing w:before="60"/>
      </w:pPr>
      <w:r>
        <w:tab/>
        <w:t>(c)</w:t>
      </w:r>
      <w:r>
        <w:tab/>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Indenta"/>
        <w:spacing w:before="60"/>
      </w:pPr>
      <w:r>
        <w:tab/>
        <w:t>(d)</w:t>
      </w:r>
      <w:r>
        <w:tab/>
        <w:t>urban land.</w:t>
      </w:r>
    </w:p>
    <w:p>
      <w:pPr>
        <w:pStyle w:val="Subsection"/>
      </w:pPr>
      <w:r>
        <w:tab/>
        <w:t>(2)</w:t>
      </w:r>
      <w:r>
        <w:tab/>
        <w:t xml:space="preserve">In subregulation (1)(d) — </w:t>
      </w:r>
    </w:p>
    <w:p>
      <w:pPr>
        <w:pStyle w:val="Defstart"/>
      </w:pPr>
      <w:r>
        <w:tab/>
      </w:r>
      <w:r>
        <w:rPr>
          <w:rStyle w:val="CharDefText"/>
        </w:rPr>
        <w:t>urban land</w:t>
      </w:r>
      <w:r>
        <w:t xml:space="preserve"> does not include land in — </w:t>
      </w:r>
    </w:p>
    <w:p>
      <w:pPr>
        <w:pStyle w:val="Defpara"/>
        <w:spacing w:before="60"/>
      </w:pPr>
      <w:r>
        <w:tab/>
        <w:t>(a)</w:t>
      </w:r>
      <w:r>
        <w:tab/>
      </w: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r>
          <w:t xml:space="preserve"> </w:t>
        </w:r>
        <w:smartTag w:uri="urn:schemas-microsoft-com:office:smarttags" w:element="PlaceType">
          <w:r>
            <w:t>National Park</w:t>
          </w:r>
        </w:smartTag>
      </w:smartTag>
      <w:r>
        <w:t xml:space="preserve"> (Reserve No. 30192);</w:t>
      </w:r>
    </w:p>
    <w:p>
      <w:pPr>
        <w:pStyle w:val="Defpara"/>
        <w:spacing w:before="60"/>
      </w:pPr>
      <w:r>
        <w:tab/>
        <w:t>(b)</w:t>
      </w:r>
      <w:r>
        <w:tab/>
      </w:r>
      <w:smartTag w:uri="urn:schemas-microsoft-com:office:smarttags" w:element="PlaceName">
        <w:r>
          <w:t>Dwellingup</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14);</w:t>
      </w:r>
    </w:p>
    <w:p>
      <w:pPr>
        <w:pStyle w:val="Defpara"/>
        <w:spacing w:before="60"/>
      </w:pPr>
      <w:r>
        <w:tab/>
        <w:t>(c)</w:t>
      </w:r>
      <w:r>
        <w:tab/>
        <w:t>Lane Poole Reserve (Reserve No. 39827);</w:t>
      </w:r>
    </w:p>
    <w:p>
      <w:pPr>
        <w:pStyle w:val="Defpara"/>
        <w:spacing w:before="60"/>
      </w:pPr>
      <w:r>
        <w:tab/>
        <w:t>(d)</w:t>
      </w:r>
      <w:r>
        <w:tab/>
      </w:r>
      <w:smartTag w:uri="urn:schemas-microsoft-com:office:smarttags" w:element="PlaceName">
        <w:r>
          <w:t>Jarrahdale</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22);</w:t>
      </w:r>
    </w:p>
    <w:p>
      <w:pPr>
        <w:pStyle w:val="Defpara"/>
        <w:spacing w:before="60"/>
      </w:pPr>
      <w:r>
        <w:tab/>
        <w:t>(e)</w:t>
      </w:r>
      <w:r>
        <w:tab/>
      </w:r>
      <w:smartTag w:uri="urn:schemas-microsoft-com:office:smarttags" w:element="PlaceName">
        <w:r>
          <w:t>Moore</w:t>
        </w:r>
      </w:smartTag>
      <w:r>
        <w:t xml:space="preserve"> </w:t>
      </w:r>
      <w:smartTag w:uri="urn:schemas-microsoft-com:office:smarttags" w:element="PlaceType">
        <w:r>
          <w:t>River</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xml:space="preserve"> 65);</w:t>
      </w:r>
    </w:p>
    <w:p>
      <w:pPr>
        <w:pStyle w:val="Defpara"/>
        <w:spacing w:before="60"/>
      </w:pPr>
      <w:r>
        <w:tab/>
        <w:t>(f)</w:t>
      </w:r>
      <w:r>
        <w:tab/>
      </w:r>
      <w:smartTag w:uri="urn:schemas-microsoft-com:office:smarttags" w:element="place">
        <w:smartTag w:uri="urn:schemas-microsoft-com:office:smarttags" w:element="PlaceName">
          <w:r>
            <w:t>Walyunga</w:t>
          </w:r>
        </w:smartTag>
        <w:r>
          <w:t xml:space="preserve"> </w:t>
        </w:r>
        <w:smartTag w:uri="urn:schemas-microsoft-com:office:smarttags" w:element="PlaceType">
          <w:r>
            <w:t>National Park</w:t>
          </w:r>
        </w:smartTag>
      </w:smartTag>
      <w:r>
        <w:t xml:space="preserve"> (Reserve No. 2065).</w:t>
      </w:r>
    </w:p>
    <w:p>
      <w:pPr>
        <w:pStyle w:val="Subsection"/>
      </w:pPr>
      <w:r>
        <w:tab/>
        <w:t>(3)</w:t>
      </w:r>
      <w:r>
        <w:tab/>
        <w:t xml:space="preserve">The operation of section 103A(3) of the Act is excluded in relation to lighting or kindling a fire contrary to section 104(1) of the Act or regulation 39(2) on land, defined in section 102(1) of the Act as </w:t>
      </w:r>
      <w:r>
        <w:rPr>
          <w:b/>
          <w:i/>
        </w:rPr>
        <w:t>land to which this Part applies</w:t>
      </w:r>
      <w:r>
        <w:t xml:space="preserve">, other than land referred to in subregulation (1), unless it is lit or kindled — </w:t>
      </w:r>
    </w:p>
    <w:p>
      <w:pPr>
        <w:pStyle w:val="Indenta"/>
        <w:spacing w:before="60"/>
      </w:pPr>
      <w:r>
        <w:tab/>
        <w:t>(a)</w:t>
      </w:r>
      <w:r>
        <w:tab/>
        <w:t>for the purpose of cooking food; or</w:t>
      </w:r>
    </w:p>
    <w:p>
      <w:pPr>
        <w:pStyle w:val="Indenta"/>
        <w:spacing w:before="60"/>
      </w:pPr>
      <w:r>
        <w:tab/>
        <w:t>(b)</w:t>
      </w:r>
      <w:r>
        <w:tab/>
        <w:t>for the purpose of a camp fire; or</w:t>
      </w:r>
    </w:p>
    <w:p>
      <w:pPr>
        <w:pStyle w:val="Indenta"/>
        <w:spacing w:before="60"/>
      </w:pPr>
      <w:r>
        <w:tab/>
        <w:t>(c)</w:t>
      </w:r>
      <w:r>
        <w:tab/>
        <w:t>for the purpose of a ceremonial activity, such as a smoking ceremony, during which activity the fire is confined to an area of less than 1 m</w:t>
      </w:r>
      <w:r>
        <w:rPr>
          <w:vertAlign w:val="superscript"/>
        </w:rPr>
        <w:t>2</w:t>
      </w:r>
      <w:r>
        <w:t>; or</w:t>
      </w:r>
    </w:p>
    <w:p>
      <w:pPr>
        <w:pStyle w:val="Indenta"/>
        <w:spacing w:before="60"/>
      </w:pPr>
      <w:r>
        <w:tab/>
        <w:t>(d)</w:t>
      </w:r>
      <w:r>
        <w:tab/>
        <w:t>for an Aboriginal customary purpose, other than a purpose referred to in paragraph (a), (b) or (c), with the written permission of the CEO.</w:t>
      </w:r>
    </w:p>
    <w:p>
      <w:pPr>
        <w:pStyle w:val="Subsection"/>
      </w:pPr>
      <w:r>
        <w:tab/>
        <w:t>(4)</w:t>
      </w:r>
      <w:r>
        <w:tab/>
        <w:t>The operation of section 103A(3) of the Act is excluded in relation to lighting or kindling a fire contrary to regulation 39(1)(b) if the fire is lit or kindled without the written permission of the CEO.</w:t>
      </w:r>
    </w:p>
    <w:p>
      <w:pPr>
        <w:pStyle w:val="Footnotesection"/>
      </w:pPr>
      <w:r>
        <w:tab/>
        <w:t>[Regulation 118 inserted in Gazette 7 Dec 2012 p. 5968-9.]</w:t>
      </w:r>
    </w:p>
    <w:p>
      <w:pPr>
        <w:pStyle w:val="Heading5"/>
      </w:pPr>
      <w:bookmarkStart w:id="449" w:name="_Toc462045477"/>
      <w:r>
        <w:rPr>
          <w:rStyle w:val="CharSectno"/>
        </w:rPr>
        <w:t>119</w:t>
      </w:r>
      <w:r>
        <w:t>.</w:t>
      </w:r>
      <w:r>
        <w:tab/>
        <w:t>Exclusion of operation of section 103A(3) of Act: camping</w:t>
      </w:r>
      <w:bookmarkEnd w:id="449"/>
    </w:p>
    <w:p>
      <w:pPr>
        <w:pStyle w:val="Subsection"/>
      </w:pPr>
      <w:r>
        <w:tab/>
        <w:t>(1)</w:t>
      </w:r>
      <w:r>
        <w:tab/>
        <w:t xml:space="preserve">The operation of section 103A(3) of the Act is excluded in relation to a person camping temporarily on CALM land contrary to regulation 66(1) if the person camps on the land — </w:t>
      </w:r>
    </w:p>
    <w:p>
      <w:pPr>
        <w:pStyle w:val="Indenta"/>
      </w:pPr>
      <w:r>
        <w:tab/>
        <w:t>(a)</w:t>
      </w:r>
      <w:r>
        <w:tab/>
        <w:t>without the written permission of the CEO; and</w:t>
      </w:r>
    </w:p>
    <w:p>
      <w:pPr>
        <w:pStyle w:val="Indenta"/>
      </w:pPr>
      <w:r>
        <w:tab/>
        <w:t>(b)</w:t>
      </w:r>
      <w:r>
        <w:tab/>
        <w:t>for more than 28 consecutive days, unless it is necessary to camp on the land for a longer period (not exceeding 84 consecutive days) for ceremonial purposes.</w:t>
      </w:r>
    </w:p>
    <w:p>
      <w:pPr>
        <w:pStyle w:val="Subsection"/>
      </w:pPr>
      <w:r>
        <w:tab/>
        <w:t>(2)</w:t>
      </w:r>
      <w:r>
        <w:tab/>
        <w:t xml:space="preserve">The operation of section 103A(3) of the Act is excluded in relation to a person camping temporarily on CALM land contrary to regulation 66(1) if the person camps on the land without the written permission of the CEO and the land is — </w:t>
      </w:r>
    </w:p>
    <w:p>
      <w:pPr>
        <w:pStyle w:val="Indenta"/>
      </w:pPr>
      <w:r>
        <w:tab/>
        <w:t>(a)</w:t>
      </w:r>
      <w:r>
        <w:tab/>
        <w:t>recreational land; or</w:t>
      </w:r>
    </w:p>
    <w:p>
      <w:pPr>
        <w:pStyle w:val="Indenta"/>
      </w:pPr>
      <w:r>
        <w:tab/>
        <w:t>(b)</w:t>
      </w:r>
      <w:r>
        <w:tab/>
        <w:t xml:space="preserve">in one of the following — </w:t>
      </w:r>
    </w:p>
    <w:p>
      <w:pPr>
        <w:pStyle w:val="Indenti"/>
      </w:pPr>
      <w:r>
        <w:tab/>
        <w:t>(i)</w:t>
      </w:r>
      <w:r>
        <w:tab/>
        <w:t>a townsite;</w:t>
      </w:r>
    </w:p>
    <w:p>
      <w:pPr>
        <w:pStyle w:val="Indenti"/>
      </w:pPr>
      <w:r>
        <w:tab/>
        <w:t>(ii)</w:t>
      </w:r>
      <w:r>
        <w:tab/>
        <w:t>Boonanaring Nature Reserve (Reserve No. 41805);</w:t>
      </w:r>
    </w:p>
    <w:p>
      <w:pPr>
        <w:pStyle w:val="Indenti"/>
      </w:pPr>
      <w:r>
        <w:tab/>
        <w:t>(iii)</w:t>
      </w:r>
      <w:r>
        <w:tab/>
        <w:t>Drummond Nature Reserve (Reserve No. 42808);</w:t>
      </w:r>
    </w:p>
    <w:p>
      <w:pPr>
        <w:pStyle w:val="Indenti"/>
      </w:pPr>
      <w:r>
        <w:tab/>
        <w:t>(iv)</w:t>
      </w:r>
      <w:r>
        <w:tab/>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Indenti"/>
      </w:pPr>
      <w:r>
        <w:tab/>
        <w:t>(v)</w:t>
      </w:r>
      <w:r>
        <w:tab/>
      </w:r>
      <w:smartTag w:uri="urn:schemas-microsoft-com:office:smarttags" w:element="place">
        <w:smartTag w:uri="urn:schemas-microsoft-com:office:smarttags" w:element="PlaceName">
          <w:r>
            <w:t>Tunnel</w:t>
          </w:r>
        </w:smartTag>
        <w:r>
          <w:t xml:space="preserve"> </w:t>
        </w:r>
        <w:smartTag w:uri="urn:schemas-microsoft-com:office:smarttags" w:element="PlaceType">
          <w:r>
            <w:t>Creek</w:t>
          </w:r>
        </w:smartTag>
        <w:r>
          <w:t xml:space="preserve"> </w:t>
        </w:r>
        <w:smartTag w:uri="urn:schemas-microsoft-com:office:smarttags" w:element="PlaceType">
          <w:r>
            <w:t>National Park</w:t>
          </w:r>
        </w:smartTag>
      </w:smartTag>
      <w:r>
        <w:t>;</w:t>
      </w:r>
    </w:p>
    <w:p>
      <w:pPr>
        <w:pStyle w:val="Indenta"/>
      </w:pPr>
      <w:r>
        <w:tab/>
      </w:r>
      <w:r>
        <w:tab/>
        <w:t>or</w:t>
      </w:r>
    </w:p>
    <w:p>
      <w:pPr>
        <w:pStyle w:val="Indenta"/>
      </w:pPr>
      <w:r>
        <w:tab/>
        <w:t>(c)</w:t>
      </w:r>
      <w:r>
        <w:tab/>
        <w:t>urban land.</w:t>
      </w:r>
    </w:p>
    <w:p>
      <w:pPr>
        <w:pStyle w:val="Subsection"/>
        <w:keepNext/>
      </w:pPr>
      <w:r>
        <w:tab/>
        <w:t>(3)</w:t>
      </w:r>
      <w:r>
        <w:tab/>
        <w:t xml:space="preserve">In subregulation (2)(c) — </w:t>
      </w:r>
    </w:p>
    <w:p>
      <w:pPr>
        <w:pStyle w:val="Defstart"/>
        <w:keepNext/>
      </w:pPr>
      <w:r>
        <w:tab/>
      </w:r>
      <w:r>
        <w:rPr>
          <w:rStyle w:val="CharDefText"/>
        </w:rPr>
        <w:t>urban land</w:t>
      </w:r>
      <w:r>
        <w:t xml:space="preserve"> does not include land in — </w:t>
      </w:r>
    </w:p>
    <w:p>
      <w:pPr>
        <w:pStyle w:val="Defpara"/>
      </w:pPr>
      <w:r>
        <w:tab/>
        <w:t>(a)</w:t>
      </w:r>
      <w:r>
        <w:tab/>
      </w: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r>
          <w:t xml:space="preserve"> </w:t>
        </w:r>
        <w:smartTag w:uri="urn:schemas-microsoft-com:office:smarttags" w:element="PlaceType">
          <w:r>
            <w:t>National Park</w:t>
          </w:r>
        </w:smartTag>
      </w:smartTag>
      <w:r>
        <w:t xml:space="preserve"> (Reserve No. 30192);</w:t>
      </w:r>
    </w:p>
    <w:p>
      <w:pPr>
        <w:pStyle w:val="Defpara"/>
      </w:pPr>
      <w:r>
        <w:tab/>
        <w:t>(b)</w:t>
      </w:r>
      <w:r>
        <w:tab/>
      </w:r>
      <w:smartTag w:uri="urn:schemas-microsoft-com:office:smarttags" w:element="PlaceName">
        <w:r>
          <w:t>Dwellingup</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14);</w:t>
      </w:r>
    </w:p>
    <w:p>
      <w:pPr>
        <w:pStyle w:val="Defpara"/>
      </w:pPr>
      <w:r>
        <w:tab/>
        <w:t>(c)</w:t>
      </w:r>
      <w:r>
        <w:tab/>
        <w:t>Lane Poole Reserve (Reserve No. 39827);</w:t>
      </w:r>
    </w:p>
    <w:p>
      <w:pPr>
        <w:pStyle w:val="Defpara"/>
      </w:pPr>
      <w:r>
        <w:tab/>
        <w:t>(d)</w:t>
      </w:r>
      <w:r>
        <w:tab/>
      </w:r>
      <w:smartTag w:uri="urn:schemas-microsoft-com:office:smarttags" w:element="PlaceName">
        <w:r>
          <w:t>Jarrahdale</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22);</w:t>
      </w:r>
    </w:p>
    <w:p>
      <w:pPr>
        <w:pStyle w:val="Defpara"/>
        <w:keepNext/>
      </w:pPr>
      <w:r>
        <w:tab/>
        <w:t>(e)</w:t>
      </w:r>
      <w:r>
        <w:tab/>
      </w:r>
      <w:smartTag w:uri="urn:schemas-microsoft-com:office:smarttags" w:element="PlaceName">
        <w:r>
          <w:t>Moore</w:t>
        </w:r>
      </w:smartTag>
      <w:r>
        <w:t xml:space="preserve"> </w:t>
      </w:r>
      <w:smartTag w:uri="urn:schemas-microsoft-com:office:smarttags" w:element="PlaceType">
        <w:r>
          <w:t>River</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xml:space="preserve"> 65);</w:t>
      </w:r>
    </w:p>
    <w:p>
      <w:pPr>
        <w:pStyle w:val="Defpara"/>
      </w:pPr>
      <w:r>
        <w:tab/>
        <w:t>(f)</w:t>
      </w:r>
      <w:r>
        <w:tab/>
      </w:r>
      <w:smartTag w:uri="urn:schemas-microsoft-com:office:smarttags" w:element="place">
        <w:smartTag w:uri="urn:schemas-microsoft-com:office:smarttags" w:element="PlaceName">
          <w:r>
            <w:t>Walyunga</w:t>
          </w:r>
        </w:smartTag>
        <w:r>
          <w:t xml:space="preserve"> </w:t>
        </w:r>
        <w:smartTag w:uri="urn:schemas-microsoft-com:office:smarttags" w:element="PlaceType">
          <w:r>
            <w:t>National Park</w:t>
          </w:r>
        </w:smartTag>
      </w:smartTag>
      <w:r>
        <w:t xml:space="preserve"> (Reserve No. 2065).</w:t>
      </w:r>
    </w:p>
    <w:p>
      <w:pPr>
        <w:pStyle w:val="Footnotesection"/>
      </w:pPr>
      <w:r>
        <w:tab/>
        <w:t>[Regulation 119 inserted in Gazette 7 Dec 2012 p. 5969-70.]</w:t>
      </w:r>
    </w:p>
    <w:p>
      <w:pPr>
        <w:pStyle w:val="Heading5"/>
      </w:pPr>
      <w:bookmarkStart w:id="450" w:name="_Toc462045478"/>
      <w:r>
        <w:rPr>
          <w:rStyle w:val="CharSectno"/>
        </w:rPr>
        <w:t>120</w:t>
      </w:r>
      <w:r>
        <w:t>.</w:t>
      </w:r>
      <w:r>
        <w:tab/>
        <w:t>Exclusion of operation of section 103A(3) of Act: entering land</w:t>
      </w:r>
      <w:bookmarkEnd w:id="450"/>
    </w:p>
    <w:p>
      <w:pPr>
        <w:pStyle w:val="Subsection"/>
      </w:pPr>
      <w:r>
        <w:tab/>
        <w:t>(1)</w:t>
      </w:r>
      <w:r>
        <w:tab/>
        <w:t>The operation of section 103A(3) of the Act is excluded in relation to entering land contrary to regulation 41(a), (b) and (c), 42 or 43 if the entry is made without the written permission of the CEO.</w:t>
      </w:r>
    </w:p>
    <w:p>
      <w:pPr>
        <w:pStyle w:val="Subsection"/>
      </w:pPr>
      <w:r>
        <w:tab/>
        <w:t>(2)</w:t>
      </w:r>
      <w:r>
        <w:tab/>
        <w:t>The operation of section 103A(3) of the Act is excluded in relation to entering land contrary to regulation 46(1) or 48 if the entry is made without the written permission of the CEO.</w:t>
      </w:r>
    </w:p>
    <w:p>
      <w:pPr>
        <w:pStyle w:val="Footnotesection"/>
      </w:pPr>
      <w:r>
        <w:tab/>
        <w:t>[Regulation 120 inserted in Gazette 7 Dec 2012 p. 5970.]</w:t>
      </w:r>
    </w:p>
    <w:p>
      <w:pPr>
        <w:pStyle w:val="Heading5"/>
      </w:pPr>
      <w:bookmarkStart w:id="451" w:name="_Toc462045479"/>
      <w:r>
        <w:rPr>
          <w:rStyle w:val="CharSectno"/>
        </w:rPr>
        <w:t>121</w:t>
      </w:r>
      <w:r>
        <w:t>.</w:t>
      </w:r>
      <w:r>
        <w:tab/>
        <w:t>Exclusion of operation of section 103A(3) of Act: protected thing</w:t>
      </w:r>
      <w:bookmarkEnd w:id="451"/>
    </w:p>
    <w:p>
      <w:pPr>
        <w:pStyle w:val="Subsection"/>
      </w:pPr>
      <w:r>
        <w:tab/>
        <w:t>(1)</w:t>
      </w:r>
      <w:r>
        <w:tab/>
        <w:t xml:space="preserve">In this regulation — </w:t>
      </w:r>
    </w:p>
    <w:p>
      <w:pPr>
        <w:pStyle w:val="Defstart"/>
      </w:pPr>
      <w:r>
        <w:tab/>
      </w:r>
      <w:r>
        <w:rPr>
          <w:rStyle w:val="CharDefText"/>
        </w:rPr>
        <w:t>category A firearm</w:t>
      </w:r>
      <w:r>
        <w:t xml:space="preserve"> means a firearm of category A under the </w:t>
      </w:r>
      <w:r>
        <w:rPr>
          <w:i/>
        </w:rPr>
        <w:t>Firearms Regulations 1974</w:t>
      </w:r>
      <w:r>
        <w:t xml:space="preserve"> regulation 6A(1);</w:t>
      </w:r>
    </w:p>
    <w:p>
      <w:pPr>
        <w:pStyle w:val="Defstart"/>
      </w:pPr>
      <w:r>
        <w:tab/>
      </w:r>
      <w:r>
        <w:rPr>
          <w:rStyle w:val="CharDefText"/>
        </w:rPr>
        <w:t>category B firearm</w:t>
      </w:r>
      <w:r>
        <w:t xml:space="preserve"> means a firearm of category B under the </w:t>
      </w:r>
      <w:r>
        <w:rPr>
          <w:i/>
        </w:rPr>
        <w:t>Firearms Regulations 1974</w:t>
      </w:r>
      <w:r>
        <w:t xml:space="preserve"> regulation 6A(1);</w:t>
      </w:r>
    </w:p>
    <w:p>
      <w:pPr>
        <w:pStyle w:val="Defstart"/>
      </w:pPr>
      <w:r>
        <w:tab/>
      </w:r>
      <w:r>
        <w:rPr>
          <w:rStyle w:val="CharDefText"/>
        </w:rPr>
        <w:t>fish</w:t>
      </w:r>
      <w:r>
        <w:t xml:space="preserve"> has the meaning given in the </w:t>
      </w:r>
      <w:r>
        <w:rPr>
          <w:i/>
        </w:rPr>
        <w:t>Fish Resources Management Act 1994</w:t>
      </w:r>
      <w:r>
        <w:t xml:space="preserve"> section 4(1);</w:t>
      </w:r>
    </w:p>
    <w:p>
      <w:pPr>
        <w:pStyle w:val="Defstart"/>
      </w:pPr>
      <w:r>
        <w:tab/>
      </w:r>
      <w:r>
        <w:rPr>
          <w:rStyle w:val="CharDefText"/>
        </w:rPr>
        <w:t>relevant area</w:t>
      </w:r>
      <w:r>
        <w:t xml:space="preserve"> means any of the following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Subsection"/>
        <w:keepNext/>
      </w:pPr>
      <w:r>
        <w:tab/>
        <w:t>(2)</w:t>
      </w:r>
      <w:r>
        <w:tab/>
        <w:t xml:space="preserve">Subject to subregulation (3), the operation of section 103A(3) of the Act is excluded in relation to — </w:t>
      </w:r>
    </w:p>
    <w:p>
      <w:pPr>
        <w:pStyle w:val="Indenta"/>
      </w:pPr>
      <w:r>
        <w:tab/>
        <w:t>(a)</w:t>
      </w:r>
      <w:r>
        <w:tab/>
        <w:t>taking fauna that is fish contrary to section 101C of the Act; and</w:t>
      </w:r>
    </w:p>
    <w:p>
      <w:pPr>
        <w:pStyle w:val="Indenta"/>
      </w:pPr>
      <w:r>
        <w:tab/>
        <w:t>(b)</w:t>
      </w:r>
      <w:r>
        <w:tab/>
        <w:t>taking flora or fauna other than fish contrary to section 101C of the Act if the flora or fauna is taken in a marine nature reserve or any land or water in a marine park classified as a sanctuary area.</w:t>
      </w:r>
    </w:p>
    <w:p>
      <w:pPr>
        <w:pStyle w:val="Subsection"/>
        <w:spacing w:before="140"/>
      </w:pPr>
      <w:r>
        <w:tab/>
        <w:t>(3)</w:t>
      </w:r>
      <w:r>
        <w:tab/>
        <w:t xml:space="preserve">Subregulation (2)(a) does not apply in relation to fish taken in accordance with the </w:t>
      </w:r>
      <w:r>
        <w:rPr>
          <w:i/>
        </w:rPr>
        <w:t>Fish Resources Management Act 1994</w:t>
      </w:r>
      <w:r>
        <w:t>.</w:t>
      </w:r>
    </w:p>
    <w:p>
      <w:pPr>
        <w:pStyle w:val="Subsection"/>
        <w:spacing w:before="140"/>
      </w:pPr>
      <w:r>
        <w:tab/>
        <w:t>(4)</w:t>
      </w:r>
      <w:r>
        <w:tab/>
        <w:t>The operation of section 103A(3) of the Act is excluded in relation to removing firewood contrary to section 103(1) of the Act if the firewood is removed without the written permission of the CEO.</w:t>
      </w:r>
    </w:p>
    <w:p>
      <w:pPr>
        <w:pStyle w:val="Subsection"/>
      </w:pPr>
      <w:r>
        <w:tab/>
        <w:t>(5A)</w:t>
      </w:r>
      <w:r>
        <w:tab/>
        <w:t>The operation of section 103A(3) of the Act is excluded in relation to taking fauna contrary to regulation 8(1) if the fauna is taken with a firearm other than a category A firearm or a category B firearm.</w:t>
      </w:r>
    </w:p>
    <w:p>
      <w:pPr>
        <w:pStyle w:val="Subsection"/>
        <w:spacing w:before="140"/>
      </w:pPr>
      <w:r>
        <w:tab/>
        <w:t>(5)</w:t>
      </w:r>
      <w:r>
        <w:tab/>
        <w:t xml:space="preserve">The operation of section 103A(3) of the Act is excluded in relation to taking fauna contrary to regulation 8(1) if the fauna is taken — </w:t>
      </w:r>
    </w:p>
    <w:p>
      <w:pPr>
        <w:pStyle w:val="Indenta"/>
        <w:spacing w:before="60"/>
      </w:pPr>
      <w:r>
        <w:tab/>
        <w:t>(a)</w:t>
      </w:r>
      <w:r>
        <w:tab/>
        <w:t>without the written permission of the CEO; and</w:t>
      </w:r>
    </w:p>
    <w:p>
      <w:pPr>
        <w:pStyle w:val="Indenta"/>
        <w:spacing w:before="60"/>
      </w:pPr>
      <w:r>
        <w:tab/>
        <w:t>(b)</w:t>
      </w:r>
      <w:r>
        <w:tab/>
        <w:t>on urban land or in a townsite.</w:t>
      </w:r>
    </w:p>
    <w:p>
      <w:pPr>
        <w:pStyle w:val="Subsection"/>
      </w:pPr>
      <w:r>
        <w:tab/>
        <w:t>(6A)</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land that is a relevant area or — </w:t>
      </w:r>
    </w:p>
    <w:p>
      <w:pPr>
        <w:pStyle w:val="Indenti"/>
      </w:pPr>
      <w:r>
        <w:tab/>
        <w:t>(i)</w:t>
      </w:r>
      <w:r>
        <w:tab/>
        <w:t>if the fauna is taken with a category A firearm — within 1.5 km of a relevant area; or</w:t>
      </w:r>
    </w:p>
    <w:p>
      <w:pPr>
        <w:pStyle w:val="Indenti"/>
      </w:pPr>
      <w:r>
        <w:tab/>
        <w:t>(ii)</w:t>
      </w:r>
      <w:r>
        <w:tab/>
        <w:t>if the fauna is taken with a category B firearm — within 3 km of a relevant area.</w:t>
      </w:r>
    </w:p>
    <w:p>
      <w:pPr>
        <w:pStyle w:val="Subsection"/>
      </w:pPr>
      <w:r>
        <w:tab/>
        <w:t>(6B)</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Subsection"/>
        <w:spacing w:before="140"/>
      </w:pPr>
      <w:r>
        <w:tab/>
        <w:t>(6)</w:t>
      </w:r>
      <w:r>
        <w:tab/>
        <w:t xml:space="preserve">The operation of section 103A(3) of the Act is excluded in relation to taking flora contrary to regulation 8(1) if the flora is taken — </w:t>
      </w:r>
    </w:p>
    <w:p>
      <w:pPr>
        <w:pStyle w:val="Indenta"/>
        <w:spacing w:before="60"/>
      </w:pPr>
      <w:r>
        <w:tab/>
        <w:t>(a)</w:t>
      </w:r>
      <w:r>
        <w:tab/>
        <w:t>without the written permission of the CEO; and</w:t>
      </w:r>
    </w:p>
    <w:p>
      <w:pPr>
        <w:pStyle w:val="Indenta"/>
        <w:spacing w:before="60"/>
      </w:pPr>
      <w:r>
        <w:tab/>
        <w:t>(b)</w:t>
      </w:r>
      <w:r>
        <w:tab/>
        <w:t>on recreational land, urban land or in a townsite.</w:t>
      </w:r>
    </w:p>
    <w:p>
      <w:pPr>
        <w:pStyle w:val="Subsection"/>
      </w:pPr>
      <w:r>
        <w:tab/>
        <w:t>(7A)</w:t>
      </w:r>
      <w:r>
        <w:tab/>
        <w:t>The operation of section 103A(3) of the Act is excluded in relation to taking a non</w:t>
      </w:r>
      <w:r>
        <w:noBreakHyphen/>
        <w:t>indigenous animal contrary to regulation 18 if the animal is taken with a firearm other than a category A firearm or a category B firearm.</w:t>
      </w:r>
    </w:p>
    <w:p>
      <w:pPr>
        <w:pStyle w:val="Subsection"/>
        <w:spacing w:before="130"/>
      </w:pPr>
      <w:r>
        <w:tab/>
        <w:t>(7)</w:t>
      </w:r>
      <w:r>
        <w:tab/>
        <w:t>The operation of section 103A(3) of the Act is excluded in relation to taking a non</w:t>
      </w:r>
      <w:r>
        <w:noBreakHyphen/>
        <w:t xml:space="preserve">indigenous animal contrary to regulation 18 if the animal is taken — </w:t>
      </w:r>
    </w:p>
    <w:p>
      <w:pPr>
        <w:pStyle w:val="Indenta"/>
        <w:spacing w:before="60"/>
      </w:pPr>
      <w:r>
        <w:tab/>
        <w:t>(a)</w:t>
      </w:r>
      <w:r>
        <w:tab/>
        <w:t>without the written permission of the CEO; and</w:t>
      </w:r>
    </w:p>
    <w:p>
      <w:pPr>
        <w:pStyle w:val="Indenta"/>
        <w:keepNext/>
        <w:spacing w:before="60"/>
      </w:pPr>
      <w:r>
        <w:tab/>
        <w:t>(b)</w:t>
      </w:r>
      <w:r>
        <w:tab/>
        <w:t>on urban land or in a townsite.</w:t>
      </w:r>
    </w:p>
    <w:p>
      <w:pPr>
        <w:pStyle w:val="Subsection"/>
      </w:pPr>
      <w:r>
        <w:tab/>
        <w:t>(8)</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land that is a relevant area or — </w:t>
      </w:r>
    </w:p>
    <w:p>
      <w:pPr>
        <w:pStyle w:val="Indenti"/>
      </w:pPr>
      <w:r>
        <w:tab/>
        <w:t>(i)</w:t>
      </w:r>
      <w:r>
        <w:tab/>
        <w:t>if the animal is taken with a category A firearm — within 1.5 km of a relevant area; or</w:t>
      </w:r>
    </w:p>
    <w:p>
      <w:pPr>
        <w:pStyle w:val="Indenti"/>
      </w:pPr>
      <w:r>
        <w:tab/>
        <w:t>(ii)</w:t>
      </w:r>
      <w:r>
        <w:tab/>
        <w:t>if the animal is taken with a category B firearm — within 3 km of a relevant area.</w:t>
      </w:r>
    </w:p>
    <w:p>
      <w:pPr>
        <w:pStyle w:val="Subsection"/>
      </w:pPr>
      <w:r>
        <w:tab/>
        <w:t>(9)</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Footnotesection"/>
        <w:spacing w:before="100"/>
      </w:pPr>
      <w:r>
        <w:tab/>
        <w:t>[Regulation 121 inserted in Gazette 7 Dec 2012 p. 5970-1; amended in Gazette 19 Sep 2014 p. 3331</w:t>
      </w:r>
      <w:r>
        <w:noBreakHyphen/>
        <w:t>3.]</w:t>
      </w:r>
    </w:p>
    <w:p>
      <w:pPr>
        <w:pStyle w:val="Heading5"/>
        <w:spacing w:before="200"/>
      </w:pPr>
      <w:bookmarkStart w:id="452" w:name="_Toc462045480"/>
      <w:r>
        <w:rPr>
          <w:rStyle w:val="CharSectno"/>
        </w:rPr>
        <w:t>122</w:t>
      </w:r>
      <w:r>
        <w:t>.</w:t>
      </w:r>
      <w:r>
        <w:tab/>
        <w:t>Permission of CEO</w:t>
      </w:r>
      <w:bookmarkEnd w:id="452"/>
    </w:p>
    <w:p>
      <w:pPr>
        <w:pStyle w:val="Subsection"/>
        <w:spacing w:before="130"/>
      </w:pPr>
      <w:r>
        <w:tab/>
        <w:t>(1)</w:t>
      </w:r>
      <w:r>
        <w:tab/>
        <w:t xml:space="preserve">When giving written permission for the purpose of regulations 115 to 121, the CEO is to specify in the permission — </w:t>
      </w:r>
    </w:p>
    <w:p>
      <w:pPr>
        <w:pStyle w:val="Indenta"/>
        <w:spacing w:before="60"/>
      </w:pPr>
      <w:r>
        <w:tab/>
        <w:t>(a)</w:t>
      </w:r>
      <w:r>
        <w:tab/>
        <w:t>the person or persons or group, body or association of persons to whom the permission applies; and</w:t>
      </w:r>
    </w:p>
    <w:p>
      <w:pPr>
        <w:pStyle w:val="Indenta"/>
        <w:spacing w:before="60"/>
      </w:pPr>
      <w:r>
        <w:tab/>
        <w:t>(b)</w:t>
      </w:r>
      <w:r>
        <w:tab/>
        <w:t>the conditions, if any, subject to which the permission is given.</w:t>
      </w:r>
    </w:p>
    <w:p>
      <w:pPr>
        <w:pStyle w:val="Subsection"/>
        <w:spacing w:before="104"/>
      </w:pPr>
      <w:r>
        <w:tab/>
        <w:t>(2)</w:t>
      </w:r>
      <w:r>
        <w:tab/>
        <w:t xml:space="preserve">The permission has effect — </w:t>
      </w:r>
    </w:p>
    <w:p>
      <w:pPr>
        <w:pStyle w:val="Indenta"/>
        <w:spacing w:before="56"/>
      </w:pPr>
      <w:r>
        <w:tab/>
        <w:t>(a)</w:t>
      </w:r>
      <w:r>
        <w:tab/>
        <w:t>for the period of effect specified in the permission, unless sooner revoked by the CEO under regulation 123(2); or</w:t>
      </w:r>
    </w:p>
    <w:p>
      <w:pPr>
        <w:pStyle w:val="Indenta"/>
        <w:spacing w:before="56"/>
      </w:pPr>
      <w:r>
        <w:tab/>
        <w:t>(b)</w:t>
      </w:r>
      <w:r>
        <w:tab/>
        <w:t>if no period of effect is specified in the permission, until it is revoked by the CEO under regulation 123(2).</w:t>
      </w:r>
    </w:p>
    <w:p>
      <w:pPr>
        <w:pStyle w:val="Subsection"/>
        <w:spacing w:before="104"/>
      </w:pPr>
      <w:r>
        <w:tab/>
        <w:t>(3)</w:t>
      </w:r>
      <w:r>
        <w:tab/>
        <w:t xml:space="preserve">The permission has no effect — </w:t>
      </w:r>
    </w:p>
    <w:p>
      <w:pPr>
        <w:pStyle w:val="Indenta"/>
        <w:spacing w:before="56"/>
      </w:pPr>
      <w:r>
        <w:tab/>
        <w:t>(a)</w:t>
      </w:r>
      <w:r>
        <w:tab/>
        <w:t>in respect of any person to whom the permission applies who does not observe or perform a condition; and</w:t>
      </w:r>
    </w:p>
    <w:p>
      <w:pPr>
        <w:pStyle w:val="Indenta"/>
        <w:spacing w:before="56"/>
      </w:pPr>
      <w:r>
        <w:tab/>
        <w:t>(b)</w:t>
      </w:r>
      <w:r>
        <w:tab/>
        <w:t>during any period in which the condition is not observed or performed by that person.</w:t>
      </w:r>
    </w:p>
    <w:p>
      <w:pPr>
        <w:pStyle w:val="Footnotesection"/>
        <w:spacing w:before="70"/>
      </w:pPr>
      <w:r>
        <w:tab/>
        <w:t>[Regulation 122 inserted in Gazette 7 Dec 2012 p. 5971-2.]</w:t>
      </w:r>
    </w:p>
    <w:p>
      <w:pPr>
        <w:pStyle w:val="Heading5"/>
        <w:spacing w:before="170"/>
      </w:pPr>
      <w:bookmarkStart w:id="453" w:name="_Toc462045481"/>
      <w:r>
        <w:rPr>
          <w:rStyle w:val="CharSectno"/>
        </w:rPr>
        <w:t>123</w:t>
      </w:r>
      <w:r>
        <w:t>.</w:t>
      </w:r>
      <w:r>
        <w:tab/>
        <w:t>Variation and revocation of permission</w:t>
      </w:r>
      <w:bookmarkEnd w:id="453"/>
    </w:p>
    <w:p>
      <w:pPr>
        <w:pStyle w:val="Subsection"/>
        <w:spacing w:before="104"/>
      </w:pPr>
      <w:r>
        <w:tab/>
        <w:t>(1)</w:t>
      </w:r>
      <w:r>
        <w:tab/>
        <w:t xml:space="preserve">If written permission for the purpose of regulations 115 to 121 (the </w:t>
      </w:r>
      <w:r>
        <w:rPr>
          <w:rStyle w:val="CharDefText"/>
        </w:rPr>
        <w:t>permission</w:t>
      </w:r>
      <w:r>
        <w:t xml:space="preserve">) is given subject to conditions, those conditions may be added to, cancelled, suspended or otherwise varied by written notice given by the CEO to the person or persons or group, body or association of persons to whom the permission applies (the </w:t>
      </w:r>
      <w:r>
        <w:rPr>
          <w:rStyle w:val="CharDefText"/>
        </w:rPr>
        <w:t>permission holder</w:t>
      </w:r>
      <w:r>
        <w:t>).</w:t>
      </w:r>
    </w:p>
    <w:p>
      <w:pPr>
        <w:pStyle w:val="Subsection"/>
        <w:spacing w:before="104"/>
      </w:pPr>
      <w:r>
        <w:tab/>
        <w:t>(2)</w:t>
      </w:r>
      <w:r>
        <w:tab/>
        <w:t>The CEO may at any time revoke the permission by written notice given to the permission holder.</w:t>
      </w:r>
    </w:p>
    <w:p>
      <w:pPr>
        <w:pStyle w:val="Subsection"/>
        <w:spacing w:before="104"/>
      </w:pPr>
      <w:r>
        <w:tab/>
        <w:t>(3)</w:t>
      </w:r>
      <w:r>
        <w:tab/>
        <w:t>If the CEO proposes to revoke the permission under subregulation (2), the CEO is to give the permission holder written notice of the proposal and the CEO’s reasons for the proposal.</w:t>
      </w:r>
    </w:p>
    <w:p>
      <w:pPr>
        <w:pStyle w:val="Subsection"/>
        <w:spacing w:before="104"/>
      </w:pPr>
      <w:r>
        <w:tab/>
        <w:t>(4)</w:t>
      </w:r>
      <w:r>
        <w:tab/>
        <w:t>The notice is to state that the permission holder may make written representations to the CEO concerning the proposal within 21 days after the notice is given.</w:t>
      </w:r>
    </w:p>
    <w:p>
      <w:pPr>
        <w:pStyle w:val="Subsection"/>
        <w:spacing w:before="104"/>
      </w:pPr>
      <w:r>
        <w:tab/>
        <w:t>(5)</w:t>
      </w:r>
      <w:r>
        <w:tab/>
        <w:t>The CEO is not to give effect to the proposal without considering any representations received within that period.</w:t>
      </w:r>
    </w:p>
    <w:p>
      <w:pPr>
        <w:pStyle w:val="Footnotesection"/>
        <w:spacing w:before="70"/>
      </w:pPr>
      <w:r>
        <w:tab/>
        <w:t>[Regulation 123 inserted in Gazette 7 Dec 2012 p. 5972.]</w:t>
      </w:r>
    </w:p>
    <w:p/>
    <w:p>
      <w:pPr>
        <w:pStyle w:val="Heading2"/>
      </w:pPr>
      <w:bookmarkStart w:id="454" w:name="_Toc460243136"/>
      <w:bookmarkStart w:id="455" w:name="_Toc462045482"/>
      <w:r>
        <w:rPr>
          <w:rStyle w:val="CharPartNo"/>
        </w:rPr>
        <w:t>Part 11</w:t>
      </w:r>
      <w:r>
        <w:rPr>
          <w:rStyle w:val="CharDivNo"/>
        </w:rPr>
        <w:t> </w:t>
      </w:r>
      <w:r>
        <w:t>—</w:t>
      </w:r>
      <w:r>
        <w:rPr>
          <w:rStyle w:val="CharDivText"/>
        </w:rPr>
        <w:t> </w:t>
      </w:r>
      <w:r>
        <w:rPr>
          <w:rStyle w:val="CharPartText"/>
        </w:rPr>
        <w:t>Transitional regulations</w:t>
      </w:r>
      <w:bookmarkEnd w:id="454"/>
      <w:bookmarkEnd w:id="455"/>
    </w:p>
    <w:p>
      <w:pPr>
        <w:pStyle w:val="Footnoteheading"/>
      </w:pPr>
      <w:r>
        <w:tab/>
        <w:t>[Heading inserted in Gazette 30 Aug 2016 p. 3685.]</w:t>
      </w:r>
    </w:p>
    <w:p>
      <w:pPr>
        <w:pStyle w:val="Heading5"/>
      </w:pPr>
      <w:bookmarkStart w:id="456" w:name="_Toc460243137"/>
      <w:bookmarkStart w:id="457" w:name="_Toc462045483"/>
      <w:r>
        <w:rPr>
          <w:rStyle w:val="CharSectno"/>
        </w:rPr>
        <w:t>124</w:t>
      </w:r>
      <w:r>
        <w:t>.</w:t>
      </w:r>
      <w:r>
        <w:tab/>
        <w:t xml:space="preserve">State forests: </w:t>
      </w:r>
      <w:r>
        <w:rPr>
          <w:i/>
        </w:rPr>
        <w:t>Conservation and Land Management Amendment Act 2015</w:t>
      </w:r>
      <w:r>
        <w:t xml:space="preserve"> section 12</w:t>
      </w:r>
      <w:bookmarkEnd w:id="456"/>
      <w:bookmarkEnd w:id="457"/>
    </w:p>
    <w:p>
      <w:pPr>
        <w:pStyle w:val="Subsection"/>
      </w:pPr>
      <w:r>
        <w:tab/>
        <w:t>(1)</w:t>
      </w:r>
      <w:r>
        <w:tab/>
        <w:t xml:space="preserve">In this regulation — </w:t>
      </w:r>
    </w:p>
    <w:p>
      <w:pPr>
        <w:pStyle w:val="Defstart"/>
      </w:pPr>
      <w:r>
        <w:tab/>
      </w:r>
      <w:r>
        <w:rPr>
          <w:rStyle w:val="CharDefText"/>
        </w:rPr>
        <w:t>section 9(2)</w:t>
      </w:r>
      <w:r>
        <w:t xml:space="preserve"> means section 9(2) of the Act as in force before the section 12 commencement;</w:t>
      </w:r>
    </w:p>
    <w:p>
      <w:pPr>
        <w:pStyle w:val="Defstart"/>
      </w:pPr>
      <w:r>
        <w:tab/>
      </w:r>
      <w:r>
        <w:rPr>
          <w:rStyle w:val="CharDefText"/>
        </w:rPr>
        <w:t>section 12 commencement</w:t>
      </w:r>
      <w:r>
        <w:t xml:space="preserve"> means the day on which the </w:t>
      </w:r>
      <w:r>
        <w:rPr>
          <w:i/>
        </w:rPr>
        <w:t>Conservation and Land Management Amendment Act 2015</w:t>
      </w:r>
      <w:r>
        <w:t xml:space="preserve"> section 12 came into operation;</w:t>
      </w:r>
    </w:p>
    <w:p>
      <w:pPr>
        <w:pStyle w:val="Defstart"/>
      </w:pPr>
      <w:r>
        <w:tab/>
      </w:r>
      <w:r>
        <w:rPr>
          <w:rStyle w:val="CharDefText"/>
        </w:rPr>
        <w:t>State forest resolution</w:t>
      </w:r>
      <w:r>
        <w:t xml:space="preserve"> means a resolution under section 9(2) that a proposal that the whole or part of a State forest is to cease to be State forest be carried out.</w:t>
      </w:r>
    </w:p>
    <w:p>
      <w:pPr>
        <w:pStyle w:val="Subsection"/>
      </w:pPr>
      <w:r>
        <w:tab/>
        <w:t>(2)</w:t>
      </w:r>
      <w:r>
        <w:tab/>
        <w:t xml:space="preserve">The Governor may by order published in the </w:t>
      </w:r>
      <w:r>
        <w:rPr>
          <w:i/>
        </w:rPr>
        <w:t>Gazette</w:t>
      </w:r>
      <w:r>
        <w:t xml:space="preserve"> declare land to be no longer State forest if, before the section 12 commencement — </w:t>
      </w:r>
    </w:p>
    <w:p>
      <w:pPr>
        <w:pStyle w:val="Indenta"/>
      </w:pPr>
      <w:r>
        <w:tab/>
        <w:t>(a)</w:t>
      </w:r>
      <w:r>
        <w:tab/>
        <w:t>each House of Parliament had passed a State forest resolution in relation to the land; but</w:t>
      </w:r>
    </w:p>
    <w:p>
      <w:pPr>
        <w:pStyle w:val="Indenta"/>
      </w:pPr>
      <w:r>
        <w:tab/>
        <w:t>(b)</w:t>
      </w:r>
      <w:r>
        <w:tab/>
        <w:t>the Governor had not acted under section 9(2) in respect of the resolution.</w:t>
      </w:r>
    </w:p>
    <w:p>
      <w:pPr>
        <w:pStyle w:val="Subsection"/>
      </w:pPr>
      <w:r>
        <w:tab/>
        <w:t>(3)</w:t>
      </w:r>
      <w:r>
        <w:tab/>
        <w:t xml:space="preserve">On the publication of an order under subregulation (2) declaring that land is no longer State forest, the land — </w:t>
      </w:r>
    </w:p>
    <w:p>
      <w:pPr>
        <w:pStyle w:val="Indenta"/>
      </w:pPr>
      <w:r>
        <w:tab/>
        <w:t>(a)</w:t>
      </w:r>
      <w:r>
        <w:tab/>
        <w:t>in the case of land acquired under section 15 of the Act and set apart as a State forest, becomes vested in the Executive Body and section 131 of the Act applies to it; and</w:t>
      </w:r>
    </w:p>
    <w:p>
      <w:pPr>
        <w:pStyle w:val="Indenta"/>
      </w:pPr>
      <w:r>
        <w:tab/>
        <w:t>(b)</w:t>
      </w:r>
      <w:r>
        <w:tab/>
        <w:t xml:space="preserve">in any other case, becomes Crown land within the meaning of the </w:t>
      </w:r>
      <w:r>
        <w:rPr>
          <w:i/>
        </w:rPr>
        <w:t>Land Administration Act 1997</w:t>
      </w:r>
      <w:r>
        <w:t>.</w:t>
      </w:r>
    </w:p>
    <w:p>
      <w:pPr>
        <w:pStyle w:val="Footnotesection"/>
        <w:spacing w:before="70"/>
      </w:pPr>
      <w:r>
        <w:tab/>
        <w:t>[Regulation 124 inserted in Gazette 30 Aug 2016 p. 3685</w:t>
      </w:r>
      <w:r>
        <w:noBreakHyphen/>
        <w:t>6.]</w:t>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458" w:name="_Toc436903861"/>
      <w:bookmarkStart w:id="459" w:name="_Toc436905803"/>
      <w:bookmarkStart w:id="460" w:name="_Toc436906024"/>
      <w:bookmarkStart w:id="461" w:name="_Toc437515777"/>
      <w:bookmarkStart w:id="462" w:name="_Toc447533377"/>
      <w:bookmarkStart w:id="463" w:name="_Toc456878285"/>
      <w:bookmarkStart w:id="464" w:name="_Toc456951802"/>
      <w:bookmarkStart w:id="465" w:name="_Toc458590386"/>
      <w:bookmarkStart w:id="466" w:name="_Toc458590608"/>
      <w:bookmarkStart w:id="467" w:name="_Toc458590829"/>
      <w:bookmarkStart w:id="468" w:name="_Toc462045484"/>
      <w:r>
        <w:rPr>
          <w:rStyle w:val="CharSchNo"/>
        </w:rPr>
        <w:t>Schedule 1</w:t>
      </w:r>
      <w:r>
        <w:t xml:space="preserve"> — </w:t>
      </w:r>
      <w:r>
        <w:rPr>
          <w:rStyle w:val="CharSchText"/>
        </w:rPr>
        <w:t>Fees</w:t>
      </w:r>
      <w:bookmarkEnd w:id="458"/>
      <w:bookmarkEnd w:id="459"/>
      <w:bookmarkEnd w:id="460"/>
      <w:bookmarkEnd w:id="461"/>
      <w:bookmarkEnd w:id="462"/>
      <w:bookmarkEnd w:id="463"/>
      <w:bookmarkEnd w:id="464"/>
      <w:bookmarkEnd w:id="465"/>
      <w:bookmarkEnd w:id="466"/>
      <w:bookmarkEnd w:id="467"/>
      <w:bookmarkEnd w:id="468"/>
    </w:p>
    <w:p>
      <w:pPr>
        <w:pStyle w:val="yShoulderClause"/>
        <w:ind w:left="3544"/>
      </w:pPr>
      <w:r>
        <w:t>[r. 49, 83, 92, 97, 98C, 99, 99A, 99C, 100, 100A, 101, 102, 102A and 103]</w:t>
      </w:r>
    </w:p>
    <w:p>
      <w:pPr>
        <w:pStyle w:val="yFootnoteheading"/>
        <w:spacing w:before="160"/>
      </w:pPr>
      <w:r>
        <w:tab/>
        <w:t>[Heading amended in Gazette 29 Sep 2006 p. 4326; 3 Sep 2010 p. 4283; 3 Dec 2010 p. 6051.]</w:t>
      </w:r>
    </w:p>
    <w:p>
      <w:pPr>
        <w:pStyle w:val="yHeading3"/>
        <w:rPr>
          <w:snapToGrid w:val="0"/>
        </w:rPr>
      </w:pPr>
      <w:bookmarkStart w:id="469" w:name="_Toc436903862"/>
      <w:bookmarkStart w:id="470" w:name="_Toc436905804"/>
      <w:bookmarkStart w:id="471" w:name="_Toc436906025"/>
      <w:bookmarkStart w:id="472" w:name="_Toc437515778"/>
      <w:bookmarkStart w:id="473" w:name="_Toc447533378"/>
      <w:bookmarkStart w:id="474" w:name="_Toc456878286"/>
      <w:bookmarkStart w:id="475" w:name="_Toc456951803"/>
      <w:bookmarkStart w:id="476" w:name="_Toc458590387"/>
      <w:bookmarkStart w:id="477" w:name="_Toc458590609"/>
      <w:bookmarkStart w:id="478" w:name="_Toc458590830"/>
      <w:bookmarkStart w:id="479" w:name="_Toc462045485"/>
      <w:r>
        <w:rPr>
          <w:rStyle w:val="CharSDivNo"/>
        </w:rPr>
        <w:t>Division 1</w:t>
      </w:r>
      <w:r>
        <w:rPr>
          <w:snapToGrid w:val="0"/>
        </w:rPr>
        <w:t> — </w:t>
      </w:r>
      <w:r>
        <w:rPr>
          <w:rStyle w:val="CharSDivText"/>
        </w:rPr>
        <w:t>Daily entrance fees where an entrance fee is charged</w:t>
      </w:r>
      <w:bookmarkEnd w:id="469"/>
      <w:bookmarkEnd w:id="470"/>
      <w:bookmarkEnd w:id="471"/>
      <w:bookmarkEnd w:id="472"/>
      <w:bookmarkEnd w:id="473"/>
      <w:bookmarkEnd w:id="474"/>
      <w:bookmarkEnd w:id="475"/>
      <w:bookmarkEnd w:id="476"/>
      <w:bookmarkEnd w:id="477"/>
      <w:bookmarkEnd w:id="478"/>
      <w:bookmarkEnd w:id="479"/>
    </w:p>
    <w:p>
      <w:pPr>
        <w:pStyle w:val="yFootnoteheading"/>
        <w:keepNext/>
        <w:keepLines/>
        <w:spacing w:after="60"/>
        <w:rPr>
          <w:snapToGrid w:val="0"/>
        </w:rPr>
      </w:pPr>
      <w:r>
        <w:tab/>
        <w:t>[Heading inserted in Gazette 27 Sep 2013 p. 4525.]</w:t>
      </w:r>
    </w:p>
    <w:tbl>
      <w:tblPr>
        <w:tblW w:w="0" w:type="auto"/>
        <w:tblInd w:w="227" w:type="dxa"/>
        <w:tblLayout w:type="fixed"/>
        <w:tblCellMar>
          <w:left w:w="85" w:type="dxa"/>
          <w:right w:w="85" w:type="dxa"/>
        </w:tblCellMar>
        <w:tblLook w:val="0000" w:firstRow="0" w:lastRow="0" w:firstColumn="0" w:lastColumn="0" w:noHBand="0" w:noVBand="0"/>
      </w:tblPr>
      <w:tblGrid>
        <w:gridCol w:w="709"/>
        <w:gridCol w:w="5269"/>
        <w:gridCol w:w="968"/>
      </w:tblGrid>
      <w:tr>
        <w:trPr>
          <w:cantSplit/>
          <w:tblHeader/>
        </w:trPr>
        <w:tc>
          <w:tcPr>
            <w:tcW w:w="709" w:type="dxa"/>
          </w:tcPr>
          <w:p>
            <w:pPr>
              <w:pStyle w:val="zyTableNAm"/>
            </w:pPr>
          </w:p>
        </w:tc>
        <w:tc>
          <w:tcPr>
            <w:tcW w:w="5269" w:type="dxa"/>
          </w:tcPr>
          <w:p>
            <w:pPr>
              <w:pStyle w:val="zyTableNAm"/>
            </w:pPr>
          </w:p>
        </w:tc>
        <w:tc>
          <w:tcPr>
            <w:tcW w:w="968" w:type="dxa"/>
          </w:tcPr>
          <w:p>
            <w:pPr>
              <w:pStyle w:val="yTableNAm"/>
              <w:jc w:val="center"/>
            </w:pPr>
            <w:r>
              <w:rPr>
                <w:b/>
              </w:rPr>
              <w:t>$</w:t>
            </w:r>
          </w:p>
        </w:tc>
      </w:tr>
      <w:tr>
        <w:trPr>
          <w:cantSplit/>
        </w:trPr>
        <w:tc>
          <w:tcPr>
            <w:tcW w:w="709" w:type="dxa"/>
          </w:tcPr>
          <w:p>
            <w:pPr>
              <w:pStyle w:val="yTableNAm"/>
            </w:pPr>
            <w:r>
              <w:t>1.</w:t>
            </w:r>
          </w:p>
        </w:tc>
        <w:tc>
          <w:tcPr>
            <w:tcW w:w="5269" w:type="dxa"/>
          </w:tcPr>
          <w:p>
            <w:pPr>
              <w:pStyle w:val="yTableNAm"/>
              <w:ind w:left="198" w:hanging="198"/>
            </w:pPr>
            <w:r>
              <w:t>*Daily entrance fee for non</w:t>
            </w:r>
            <w:r>
              <w:noBreakHyphen/>
              <w:t>tour motor vehicle that is a motorcycle</w:t>
            </w:r>
          </w:p>
        </w:tc>
        <w:tc>
          <w:tcPr>
            <w:tcW w:w="968" w:type="dxa"/>
            <w:vAlign w:val="bottom"/>
          </w:tcPr>
          <w:p>
            <w:pPr>
              <w:pStyle w:val="yTableNAm"/>
              <w:jc w:val="center"/>
            </w:pPr>
            <w:r>
              <w:t>6.00</w:t>
            </w:r>
          </w:p>
        </w:tc>
      </w:tr>
      <w:tr>
        <w:trPr>
          <w:cantSplit/>
        </w:trPr>
        <w:tc>
          <w:tcPr>
            <w:tcW w:w="709" w:type="dxa"/>
          </w:tcPr>
          <w:p>
            <w:pPr>
              <w:pStyle w:val="yTableNAm"/>
            </w:pPr>
            <w:r>
              <w:t>2.</w:t>
            </w:r>
          </w:p>
        </w:tc>
        <w:tc>
          <w:tcPr>
            <w:tcW w:w="5269" w:type="dxa"/>
          </w:tcPr>
          <w:p>
            <w:pPr>
              <w:pStyle w:val="yTableNAm"/>
              <w:ind w:left="198" w:hanging="198"/>
            </w:pPr>
            <w:r>
              <w:t>*Daily entrance fee for non</w:t>
            </w:r>
            <w:r>
              <w:noBreakHyphen/>
              <w:t>tour motor vehicle that is not a motorcycle (unless item 5 applies)</w:t>
            </w:r>
          </w:p>
        </w:tc>
        <w:tc>
          <w:tcPr>
            <w:tcW w:w="968" w:type="dxa"/>
            <w:vAlign w:val="bottom"/>
          </w:tcPr>
          <w:p>
            <w:pPr>
              <w:pStyle w:val="yTableNAm"/>
              <w:jc w:val="center"/>
            </w:pPr>
            <w:r>
              <w:t>12.00</w:t>
            </w:r>
          </w:p>
        </w:tc>
      </w:tr>
      <w:tr>
        <w:trPr>
          <w:cantSplit/>
        </w:trPr>
        <w:tc>
          <w:tcPr>
            <w:tcW w:w="709" w:type="dxa"/>
          </w:tcPr>
          <w:p>
            <w:pPr>
              <w:pStyle w:val="yTableNAm"/>
            </w:pPr>
            <w:r>
              <w:t>3.</w:t>
            </w:r>
          </w:p>
        </w:tc>
        <w:tc>
          <w:tcPr>
            <w:tcW w:w="5269" w:type="dxa"/>
          </w:tcPr>
          <w:p>
            <w:pPr>
              <w:pStyle w:val="yTableNAm"/>
              <w:ind w:left="198" w:hanging="198"/>
            </w:pPr>
            <w:r>
              <w:t>*Daily entrance for each occupant (6 years of age or older) of tour vehicle (unless entry is to Yanchep National Park or Nambung National Park, or item 6 applies)</w:t>
            </w:r>
          </w:p>
        </w:tc>
        <w:tc>
          <w:tcPr>
            <w:tcW w:w="968" w:type="dxa"/>
            <w:vAlign w:val="bottom"/>
          </w:tcPr>
          <w:p>
            <w:pPr>
              <w:pStyle w:val="yTableNAm"/>
              <w:jc w:val="center"/>
            </w:pPr>
            <w:r>
              <w:t>5.50</w:t>
            </w:r>
          </w:p>
        </w:tc>
      </w:tr>
      <w:tr>
        <w:trPr>
          <w:cantSplit/>
        </w:trPr>
        <w:tc>
          <w:tcPr>
            <w:tcW w:w="709" w:type="dxa"/>
          </w:tcPr>
          <w:p>
            <w:pPr>
              <w:pStyle w:val="yTableNAm"/>
            </w:pPr>
            <w:r>
              <w:t>4.</w:t>
            </w:r>
          </w:p>
        </w:tc>
        <w:tc>
          <w:tcPr>
            <w:tcW w:w="5269" w:type="dxa"/>
          </w:tcPr>
          <w:p>
            <w:pPr>
              <w:pStyle w:val="yTableNAm"/>
              <w:ind w:left="198" w:hanging="198"/>
            </w:pPr>
            <w:r>
              <w:t>Daily entrance for each occupant (6 years of age or older) of tour vehicle — Yanchep National Park, Nambung National Park</w:t>
            </w:r>
          </w:p>
        </w:tc>
        <w:tc>
          <w:tcPr>
            <w:tcW w:w="968" w:type="dxa"/>
            <w:vAlign w:val="bottom"/>
          </w:tcPr>
          <w:p>
            <w:pPr>
              <w:pStyle w:val="yTableNAm"/>
              <w:jc w:val="center"/>
            </w:pPr>
            <w:r>
              <w:t>5.50</w:t>
            </w:r>
          </w:p>
        </w:tc>
      </w:tr>
      <w:tr>
        <w:trPr>
          <w:cantSplit/>
        </w:trPr>
        <w:tc>
          <w:tcPr>
            <w:tcW w:w="709" w:type="dxa"/>
          </w:tcPr>
          <w:p>
            <w:pPr>
              <w:pStyle w:val="yTableNAm"/>
            </w:pPr>
            <w:r>
              <w:t>5.</w:t>
            </w:r>
          </w:p>
        </w:tc>
        <w:tc>
          <w:tcPr>
            <w:tcW w:w="5269" w:type="dxa"/>
          </w:tcPr>
          <w:p>
            <w:pPr>
              <w:pStyle w:val="yTableNAm"/>
              <w:ind w:left="198" w:hanging="198"/>
            </w:pPr>
            <w:r>
              <w:t>*Daily entrance concession fee for non</w:t>
            </w:r>
            <w:r>
              <w:noBreakHyphen/>
              <w:t xml:space="preserve">tour motor vehicle if the driver holds a concession card </w:t>
            </w:r>
          </w:p>
        </w:tc>
        <w:tc>
          <w:tcPr>
            <w:tcW w:w="968" w:type="dxa"/>
            <w:vAlign w:val="bottom"/>
          </w:tcPr>
          <w:p>
            <w:pPr>
              <w:pStyle w:val="yTableNAm"/>
              <w:jc w:val="center"/>
            </w:pPr>
            <w:r>
              <w:t>6.00</w:t>
            </w:r>
          </w:p>
        </w:tc>
      </w:tr>
      <w:tr>
        <w:trPr>
          <w:cantSplit/>
        </w:trPr>
        <w:tc>
          <w:tcPr>
            <w:tcW w:w="709" w:type="dxa"/>
          </w:tcPr>
          <w:p>
            <w:pPr>
              <w:pStyle w:val="yTableNAm"/>
            </w:pPr>
            <w:r>
              <w:t>6.</w:t>
            </w:r>
          </w:p>
        </w:tc>
        <w:tc>
          <w:tcPr>
            <w:tcW w:w="5269" w:type="dxa"/>
          </w:tcPr>
          <w:p>
            <w:pPr>
              <w:pStyle w:val="yTableNAm"/>
              <w:ind w:left="198" w:hanging="198"/>
            </w:pPr>
            <w:r>
              <w:t>*Daily entrance concession fee for occupant of tour vehicle if the occupant holds a concession card (except where tour vehicle is operating for profit)</w:t>
            </w:r>
          </w:p>
        </w:tc>
        <w:tc>
          <w:tcPr>
            <w:tcW w:w="968" w:type="dxa"/>
            <w:vAlign w:val="bottom"/>
          </w:tcPr>
          <w:p>
            <w:pPr>
              <w:pStyle w:val="yTableNAm"/>
              <w:jc w:val="center"/>
            </w:pPr>
            <w:r>
              <w:t>1.70</w:t>
            </w:r>
          </w:p>
        </w:tc>
      </w:tr>
    </w:tbl>
    <w:p>
      <w:pPr>
        <w:pStyle w:val="yMiscellaneousBody"/>
        <w:spacing w:before="200"/>
        <w:rPr>
          <w:sz w:val="16"/>
        </w:rPr>
      </w:pPr>
      <w:r>
        <w:rPr>
          <w:sz w:val="16"/>
        </w:rPr>
        <w:t xml:space="preserve">[* Payment of a daily entrance fee under this item entitles the visitor on that day to enter any other area of CALM land for which an entrance fee is charged under the same item.] </w:t>
      </w:r>
    </w:p>
    <w:p>
      <w:pPr>
        <w:pStyle w:val="yFootnotesection"/>
      </w:pPr>
      <w:r>
        <w:tab/>
        <w:t>[Division 1 inserted in Gazette 27 Sep 2013 p. 4525-6.]</w:t>
      </w:r>
    </w:p>
    <w:p>
      <w:pPr>
        <w:pStyle w:val="yHeading3"/>
        <w:rPr>
          <w:rStyle w:val="CharSDivText"/>
        </w:rPr>
      </w:pPr>
      <w:bookmarkStart w:id="480" w:name="_Toc436903863"/>
      <w:bookmarkStart w:id="481" w:name="_Toc436905805"/>
      <w:bookmarkStart w:id="482" w:name="_Toc436906026"/>
      <w:bookmarkStart w:id="483" w:name="_Toc437515779"/>
      <w:bookmarkStart w:id="484" w:name="_Toc447533379"/>
      <w:bookmarkStart w:id="485" w:name="_Toc456878287"/>
      <w:bookmarkStart w:id="486" w:name="_Toc456951804"/>
      <w:bookmarkStart w:id="487" w:name="_Toc458590388"/>
      <w:bookmarkStart w:id="488" w:name="_Toc458590610"/>
      <w:bookmarkStart w:id="489" w:name="_Toc458590831"/>
      <w:bookmarkStart w:id="490" w:name="_Toc462045486"/>
      <w:r>
        <w:rPr>
          <w:rStyle w:val="CharSDivNo"/>
        </w:rPr>
        <w:t>Division 2</w:t>
      </w:r>
      <w:r>
        <w:rPr>
          <w:snapToGrid w:val="0"/>
        </w:rPr>
        <w:t> — </w:t>
      </w:r>
      <w:r>
        <w:rPr>
          <w:rStyle w:val="CharSDivText"/>
        </w:rPr>
        <w:t>Fees for passes providing extended entrance to CALM land</w:t>
      </w:r>
      <w:bookmarkEnd w:id="480"/>
      <w:bookmarkEnd w:id="481"/>
      <w:bookmarkEnd w:id="482"/>
      <w:bookmarkEnd w:id="483"/>
      <w:bookmarkEnd w:id="484"/>
      <w:bookmarkEnd w:id="485"/>
      <w:bookmarkEnd w:id="486"/>
      <w:bookmarkEnd w:id="487"/>
      <w:bookmarkEnd w:id="488"/>
      <w:bookmarkEnd w:id="489"/>
      <w:bookmarkEnd w:id="490"/>
    </w:p>
    <w:p>
      <w:pPr>
        <w:pStyle w:val="yFootnoteheading"/>
        <w:keepNext/>
        <w:keepLines/>
        <w:spacing w:after="60"/>
        <w:rPr>
          <w:snapToGrid w:val="0"/>
        </w:rPr>
      </w:pPr>
      <w:r>
        <w:tab/>
        <w:t>[Heading inserted in Gazette 27 Sep 2013 p. 4526.]</w:t>
      </w:r>
    </w:p>
    <w:tbl>
      <w:tblPr>
        <w:tblW w:w="6946" w:type="dxa"/>
        <w:tblInd w:w="150" w:type="dxa"/>
        <w:tblLayout w:type="fixed"/>
        <w:tblCellMar>
          <w:left w:w="8" w:type="dxa"/>
          <w:right w:w="8" w:type="dxa"/>
        </w:tblCellMar>
        <w:tblLook w:val="0000" w:firstRow="0" w:lastRow="0" w:firstColumn="0" w:lastColumn="0" w:noHBand="0" w:noVBand="0"/>
      </w:tblPr>
      <w:tblGrid>
        <w:gridCol w:w="709"/>
        <w:gridCol w:w="5276"/>
        <w:gridCol w:w="961"/>
      </w:tblGrid>
      <w:tr>
        <w:trPr>
          <w:cantSplit/>
          <w:tblHeader/>
        </w:trPr>
        <w:tc>
          <w:tcPr>
            <w:tcW w:w="709" w:type="dxa"/>
          </w:tcPr>
          <w:p>
            <w:pPr>
              <w:pStyle w:val="zyTableNAm"/>
              <w:keepNext/>
            </w:pPr>
          </w:p>
        </w:tc>
        <w:tc>
          <w:tcPr>
            <w:tcW w:w="5276" w:type="dxa"/>
          </w:tcPr>
          <w:p>
            <w:pPr>
              <w:pStyle w:val="zyTableNAm"/>
              <w:keepNext/>
            </w:pPr>
          </w:p>
        </w:tc>
        <w:tc>
          <w:tcPr>
            <w:tcW w:w="961" w:type="dxa"/>
            <w:vAlign w:val="bottom"/>
          </w:tcPr>
          <w:p>
            <w:pPr>
              <w:pStyle w:val="yTableNAm"/>
              <w:keepNext/>
              <w:jc w:val="center"/>
            </w:pPr>
            <w:r>
              <w:rPr>
                <w:b/>
              </w:rPr>
              <w:t>$</w:t>
            </w:r>
          </w:p>
        </w:tc>
      </w:tr>
      <w:tr>
        <w:trPr>
          <w:cantSplit/>
        </w:trPr>
        <w:tc>
          <w:tcPr>
            <w:tcW w:w="709" w:type="dxa"/>
          </w:tcPr>
          <w:p>
            <w:pPr>
              <w:pStyle w:val="yTableNAm"/>
            </w:pPr>
            <w:r>
              <w:t>1.</w:t>
            </w:r>
          </w:p>
        </w:tc>
        <w:tc>
          <w:tcPr>
            <w:tcW w:w="5276" w:type="dxa"/>
          </w:tcPr>
          <w:p>
            <w:pPr>
              <w:pStyle w:val="yTableNAm"/>
            </w:pPr>
            <w:r>
              <w:t>For an annual pass for a non</w:t>
            </w:r>
            <w:r>
              <w:noBreakHyphen/>
              <w:t xml:space="preserve">tour motor vehicle with up to 12 occupants to all CALM land where an entrance fee is charged except the Monkey Mia Conservation Park </w:t>
            </w:r>
          </w:p>
        </w:tc>
        <w:tc>
          <w:tcPr>
            <w:tcW w:w="961" w:type="dxa"/>
            <w:vAlign w:val="bottom"/>
          </w:tcPr>
          <w:p>
            <w:pPr>
              <w:pStyle w:val="yTableNAm"/>
              <w:jc w:val="center"/>
            </w:pPr>
            <w:r>
              <w:t>88.00</w:t>
            </w:r>
          </w:p>
        </w:tc>
      </w:tr>
      <w:tr>
        <w:trPr>
          <w:cantSplit/>
        </w:trPr>
        <w:tc>
          <w:tcPr>
            <w:tcW w:w="709" w:type="dxa"/>
          </w:tcPr>
          <w:p>
            <w:pPr>
              <w:pStyle w:val="yTableNAm"/>
            </w:pPr>
            <w:r>
              <w:t>2.</w:t>
            </w:r>
          </w:p>
        </w:tc>
        <w:tc>
          <w:tcPr>
            <w:tcW w:w="5276" w:type="dxa"/>
          </w:tcPr>
          <w:p>
            <w:pPr>
              <w:pStyle w:val="yTableNAm"/>
            </w:pPr>
            <w:r>
              <w:t>For an annual concession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t>55.00</w:t>
            </w:r>
          </w:p>
        </w:tc>
      </w:tr>
      <w:tr>
        <w:trPr>
          <w:cantSplit/>
        </w:trPr>
        <w:tc>
          <w:tcPr>
            <w:tcW w:w="709" w:type="dxa"/>
          </w:tcPr>
          <w:p>
            <w:pPr>
              <w:pStyle w:val="zyTableNAm"/>
            </w:pPr>
          </w:p>
        </w:tc>
        <w:tc>
          <w:tcPr>
            <w:tcW w:w="5276" w:type="dxa"/>
          </w:tcPr>
          <w:p>
            <w:pPr>
              <w:pStyle w:val="yTableNAm"/>
            </w:pPr>
            <w:r>
              <w:t>Conditions on entry: the driver holds a concession card</w:t>
            </w:r>
          </w:p>
        </w:tc>
        <w:tc>
          <w:tcPr>
            <w:tcW w:w="961" w:type="dxa"/>
            <w:vAlign w:val="bottom"/>
          </w:tcPr>
          <w:p>
            <w:pPr>
              <w:pStyle w:val="yTableNAm"/>
              <w:jc w:val="center"/>
            </w:pPr>
          </w:p>
        </w:tc>
      </w:tr>
      <w:tr>
        <w:trPr>
          <w:cantSplit/>
        </w:trPr>
        <w:tc>
          <w:tcPr>
            <w:tcW w:w="709" w:type="dxa"/>
          </w:tcPr>
          <w:p>
            <w:pPr>
              <w:pStyle w:val="yTableNAm"/>
            </w:pPr>
            <w:r>
              <w:t>3.</w:t>
            </w:r>
          </w:p>
        </w:tc>
        <w:tc>
          <w:tcPr>
            <w:tcW w:w="5276" w:type="dxa"/>
          </w:tcPr>
          <w:p>
            <w:pPr>
              <w:pStyle w:val="yTableNAm"/>
            </w:pPr>
            <w:r>
              <w:t>For a 4 week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br/>
            </w:r>
            <w:r>
              <w:br/>
              <w:t>44.00</w:t>
            </w:r>
          </w:p>
        </w:tc>
      </w:tr>
      <w:tr>
        <w:trPr>
          <w:cantSplit/>
        </w:trPr>
        <w:tc>
          <w:tcPr>
            <w:tcW w:w="709" w:type="dxa"/>
          </w:tcPr>
          <w:p>
            <w:pPr>
              <w:pStyle w:val="yTableNAm"/>
            </w:pPr>
            <w:r>
              <w:rPr>
                <w:sz w:val="24"/>
              </w:rPr>
              <w:br w:type="page"/>
            </w:r>
            <w:r>
              <w:t>4.</w:t>
            </w:r>
          </w:p>
        </w:tc>
        <w:tc>
          <w:tcPr>
            <w:tcW w:w="5276" w:type="dxa"/>
          </w:tcPr>
          <w:p>
            <w:pPr>
              <w:pStyle w:val="yTableNAm"/>
            </w:pPr>
            <w:r>
              <w:t>For an annual local pass for a non</w:t>
            </w:r>
            <w:r>
              <w:noBreakHyphen/>
              <w:t>tour vehicle with up to 12 occupants for any one national park or reserve or for any one of the following groups of national parks, conservation parks and reserves —</w:t>
            </w:r>
          </w:p>
          <w:p>
            <w:pPr>
              <w:pStyle w:val="yTableNAm"/>
              <w:tabs>
                <w:tab w:val="clear" w:pos="567"/>
                <w:tab w:val="left" w:pos="389"/>
                <w:tab w:val="left" w:pos="984"/>
              </w:tabs>
              <w:ind w:left="984" w:hanging="984"/>
            </w:pPr>
            <w:r>
              <w:tab/>
              <w:t>(a)</w:t>
            </w:r>
            <w:r>
              <w:tab/>
              <w:t>Walyunga, Avon Valley and John Forrest</w:t>
            </w:r>
          </w:p>
          <w:p>
            <w:pPr>
              <w:pStyle w:val="yTableNAm"/>
              <w:tabs>
                <w:tab w:val="clear" w:pos="567"/>
                <w:tab w:val="left" w:pos="389"/>
                <w:tab w:val="left" w:pos="984"/>
              </w:tabs>
              <w:ind w:left="984" w:hanging="984"/>
            </w:pPr>
            <w:r>
              <w:tab/>
              <w:t>(b)</w:t>
            </w:r>
            <w:r>
              <w:tab/>
              <w:t>Gloucester, Warren, Beedelup, Greater Beedelup, Shannon and D’Entrecasteaux</w:t>
            </w:r>
          </w:p>
          <w:p>
            <w:pPr>
              <w:pStyle w:val="yTableNAm"/>
              <w:tabs>
                <w:tab w:val="clear" w:pos="567"/>
                <w:tab w:val="left" w:pos="389"/>
                <w:tab w:val="left" w:pos="984"/>
              </w:tabs>
              <w:ind w:left="984" w:hanging="984"/>
            </w:pPr>
            <w:r>
              <w:tab/>
              <w:t>(c)</w:t>
            </w:r>
            <w:r>
              <w:tab/>
            </w:r>
            <w:r>
              <w:rPr>
                <w:szCs w:val="22"/>
              </w:rPr>
              <w:t xml:space="preserve">Torndirrup, West Cape Howe, Two Peoples Bay, </w:t>
            </w:r>
            <w:r>
              <w:t>Stirling Range, Porongurup and Fitzgerald River</w:t>
            </w:r>
          </w:p>
          <w:p>
            <w:pPr>
              <w:pStyle w:val="yTableNAm"/>
              <w:tabs>
                <w:tab w:val="clear" w:pos="567"/>
                <w:tab w:val="left" w:pos="389"/>
                <w:tab w:val="left" w:pos="984"/>
              </w:tabs>
              <w:ind w:left="984" w:hanging="984"/>
            </w:pPr>
            <w:r>
              <w:tab/>
              <w:t>(d)</w:t>
            </w:r>
            <w:r>
              <w:tab/>
              <w:t>Stokes, Cape Le Grand, Cape Arid and Fitzgerald River</w:t>
            </w:r>
          </w:p>
        </w:tc>
        <w:tc>
          <w:tcPr>
            <w:tcW w:w="961" w:type="dxa"/>
            <w:vAlign w:val="bottom"/>
          </w:tcPr>
          <w:p>
            <w:pPr>
              <w:pStyle w:val="yTableNAm"/>
              <w:jc w:val="center"/>
            </w:pPr>
          </w:p>
        </w:tc>
      </w:tr>
      <w:tr>
        <w:trPr>
          <w:cantSplit/>
        </w:trPr>
        <w:tc>
          <w:tcPr>
            <w:tcW w:w="709" w:type="dxa"/>
          </w:tcPr>
          <w:p>
            <w:pPr>
              <w:pStyle w:val="yTableNAm"/>
              <w:rPr>
                <w:sz w:val="24"/>
              </w:rPr>
            </w:pPr>
          </w:p>
        </w:tc>
        <w:tc>
          <w:tcPr>
            <w:tcW w:w="5276" w:type="dxa"/>
          </w:tcPr>
          <w:p>
            <w:pPr>
              <w:pStyle w:val="yTableNAm"/>
              <w:tabs>
                <w:tab w:val="clear" w:pos="567"/>
                <w:tab w:val="left" w:pos="389"/>
                <w:tab w:val="left" w:pos="984"/>
              </w:tabs>
              <w:ind w:left="984" w:hanging="984"/>
            </w:pPr>
            <w:r>
              <w:tab/>
              <w:t>(e)</w:t>
            </w:r>
            <w:r>
              <w:tab/>
              <w:t>Karijini and Millstream</w:t>
            </w:r>
            <w:r>
              <w:noBreakHyphen/>
              <w:t>Chichester</w:t>
            </w:r>
          </w:p>
          <w:p>
            <w:pPr>
              <w:pStyle w:val="yTableNAm"/>
              <w:tabs>
                <w:tab w:val="clear" w:pos="567"/>
                <w:tab w:val="left" w:pos="389"/>
                <w:tab w:val="left" w:pos="984"/>
              </w:tabs>
              <w:ind w:left="984" w:hanging="984"/>
            </w:pPr>
            <w:r>
              <w:tab/>
              <w:t>(f)</w:t>
            </w:r>
            <w:r>
              <w:tab/>
              <w:t>Mirima, Purnululu and Mitchell River</w:t>
            </w:r>
          </w:p>
          <w:p>
            <w:pPr>
              <w:pStyle w:val="yTableNAm"/>
              <w:tabs>
                <w:tab w:val="clear" w:pos="567"/>
                <w:tab w:val="left" w:pos="389"/>
                <w:tab w:val="left" w:pos="984"/>
              </w:tabs>
              <w:ind w:left="984" w:hanging="984"/>
            </w:pPr>
            <w:r>
              <w:tab/>
              <w:t>(g)</w:t>
            </w:r>
            <w:r>
              <w:tab/>
              <w:t>Windjana, King Leopold Ranges and Tunnel Creek</w:t>
            </w:r>
          </w:p>
          <w:p>
            <w:pPr>
              <w:pStyle w:val="yTableNAm"/>
              <w:tabs>
                <w:tab w:val="clear" w:pos="567"/>
                <w:tab w:val="left" w:pos="389"/>
                <w:tab w:val="left" w:pos="984"/>
              </w:tabs>
              <w:ind w:left="984" w:hanging="984"/>
            </w:pPr>
            <w:r>
              <w:tab/>
              <w:t>(h)</w:t>
            </w:r>
            <w:r>
              <w:tab/>
              <w:t>Nambung and Lesueur</w:t>
            </w:r>
          </w:p>
        </w:tc>
        <w:tc>
          <w:tcPr>
            <w:tcW w:w="961" w:type="dxa"/>
            <w:vAlign w:val="bottom"/>
          </w:tcPr>
          <w:p>
            <w:pPr>
              <w:pStyle w:val="yTableNAm"/>
              <w:jc w:val="center"/>
            </w:pPr>
            <w:r>
              <w:br/>
            </w:r>
            <w:r>
              <w:br/>
            </w:r>
            <w:r>
              <w:br/>
            </w:r>
            <w:r>
              <w:br/>
            </w:r>
            <w:r>
              <w:br/>
            </w:r>
          </w:p>
        </w:tc>
      </w:tr>
      <w:tr>
        <w:trPr>
          <w:cantSplit/>
        </w:trPr>
        <w:tc>
          <w:tcPr>
            <w:tcW w:w="709" w:type="dxa"/>
          </w:tcPr>
          <w:p>
            <w:pPr>
              <w:pStyle w:val="yTableNAm"/>
              <w:rPr>
                <w:sz w:val="24"/>
              </w:rPr>
            </w:pPr>
          </w:p>
        </w:tc>
        <w:tc>
          <w:tcPr>
            <w:tcW w:w="5276" w:type="dxa"/>
          </w:tcPr>
          <w:p>
            <w:pPr>
              <w:pStyle w:val="yTableNAm"/>
              <w:tabs>
                <w:tab w:val="clear" w:pos="567"/>
                <w:tab w:val="left" w:pos="389"/>
                <w:tab w:val="left" w:pos="984"/>
              </w:tabs>
              <w:ind w:left="984" w:hanging="984"/>
            </w:pPr>
            <w:r>
              <w:tab/>
              <w:t>(i)</w:t>
            </w:r>
            <w:r>
              <w:tab/>
            </w:r>
            <w:r>
              <w:rPr>
                <w:szCs w:val="22"/>
              </w:rPr>
              <w:t>Lane Poole and Serpentine</w:t>
            </w:r>
          </w:p>
        </w:tc>
        <w:tc>
          <w:tcPr>
            <w:tcW w:w="961" w:type="dxa"/>
            <w:vAlign w:val="bottom"/>
          </w:tcPr>
          <w:p>
            <w:pPr>
              <w:pStyle w:val="yTableNAm"/>
              <w:jc w:val="center"/>
            </w:pPr>
            <w:r>
              <w:t>22.00</w:t>
            </w:r>
          </w:p>
        </w:tc>
      </w:tr>
      <w:tr>
        <w:trPr>
          <w:cantSplit/>
        </w:trPr>
        <w:tc>
          <w:tcPr>
            <w:tcW w:w="709" w:type="dxa"/>
          </w:tcPr>
          <w:p>
            <w:pPr>
              <w:pStyle w:val="yTableNAm"/>
            </w:pPr>
            <w:r>
              <w:rPr>
                <w:sz w:val="24"/>
              </w:rPr>
              <w:t>5.</w:t>
            </w:r>
          </w:p>
        </w:tc>
        <w:tc>
          <w:tcPr>
            <w:tcW w:w="5276" w:type="dxa"/>
          </w:tcPr>
          <w:p>
            <w:pPr>
              <w:pStyle w:val="yTableNAm"/>
            </w:pPr>
            <w:r>
              <w:t>For an annual pass for a non</w:t>
            </w:r>
            <w:r>
              <w:noBreakHyphen/>
              <w:t>tour motor vehicle with up to 12 occupants to all CALM land where an entrance fee is charged, except the Monkey Mia Conservation Park, and an annual subscription to the magazine “Landscope”</w:t>
            </w:r>
          </w:p>
        </w:tc>
        <w:tc>
          <w:tcPr>
            <w:tcW w:w="961" w:type="dxa"/>
            <w:vAlign w:val="bottom"/>
          </w:tcPr>
          <w:p>
            <w:pPr>
              <w:pStyle w:val="yTableNAm"/>
              <w:jc w:val="center"/>
            </w:pPr>
            <w:r>
              <w:t>110.00</w:t>
            </w:r>
          </w:p>
        </w:tc>
      </w:tr>
      <w:tr>
        <w:trPr>
          <w:cantSplit/>
        </w:trPr>
        <w:tc>
          <w:tcPr>
            <w:tcW w:w="709" w:type="dxa"/>
          </w:tcPr>
          <w:p>
            <w:pPr>
              <w:pStyle w:val="yTableNAm"/>
            </w:pPr>
            <w:r>
              <w:t>6.</w:t>
            </w:r>
          </w:p>
        </w:tc>
        <w:tc>
          <w:tcPr>
            <w:tcW w:w="5276" w:type="dxa"/>
          </w:tcPr>
          <w:p>
            <w:pPr>
              <w:pStyle w:val="yTableNAm"/>
            </w:pPr>
            <w:r>
              <w:t>For a pass for one group entering the Yanchep National Park in one or more non</w:t>
            </w:r>
            <w:r>
              <w:noBreakHyphen/>
              <w:t>tour motor vehicles for the purposes of a wedding or other function</w:t>
            </w:r>
          </w:p>
        </w:tc>
        <w:tc>
          <w:tcPr>
            <w:tcW w:w="961" w:type="dxa"/>
            <w:vAlign w:val="bottom"/>
          </w:tcPr>
          <w:p>
            <w:pPr>
              <w:pStyle w:val="yTableNAm"/>
              <w:jc w:val="center"/>
            </w:pPr>
            <w:r>
              <w:t>100.00</w:t>
            </w:r>
          </w:p>
        </w:tc>
      </w:tr>
    </w:tbl>
    <w:p>
      <w:pPr>
        <w:pStyle w:val="yFootnotesection"/>
      </w:pPr>
      <w:r>
        <w:tab/>
        <w:t>[Division 2 inserted in Gazette 27 Sep 2013 p. 4526-7; amended in Gazette 19 Sep 2014 p. 3333; 4 Apr 2016 p. 1011</w:t>
      </w:r>
      <w:r>
        <w:noBreakHyphen/>
        <w:t>12.]</w:t>
      </w:r>
    </w:p>
    <w:p>
      <w:pPr>
        <w:pStyle w:val="yHeading3"/>
        <w:rPr>
          <w:rStyle w:val="CharSDivText"/>
        </w:rPr>
      </w:pPr>
      <w:bookmarkStart w:id="491" w:name="_Toc458590389"/>
      <w:bookmarkStart w:id="492" w:name="_Toc458590611"/>
      <w:bookmarkStart w:id="493" w:name="_Toc458590832"/>
      <w:bookmarkStart w:id="494" w:name="_Toc462045487"/>
      <w:bookmarkStart w:id="495" w:name="_Toc436903864"/>
      <w:bookmarkStart w:id="496" w:name="_Toc436905806"/>
      <w:bookmarkStart w:id="497" w:name="_Toc436906027"/>
      <w:bookmarkStart w:id="498" w:name="_Toc437515780"/>
      <w:bookmarkStart w:id="499" w:name="_Toc447533380"/>
      <w:bookmarkStart w:id="500" w:name="_Toc456878288"/>
      <w:bookmarkStart w:id="501" w:name="_Toc456951805"/>
      <w:r>
        <w:rPr>
          <w:rStyle w:val="CharSDivNo"/>
        </w:rPr>
        <w:t>Division 3</w:t>
      </w:r>
      <w:r>
        <w:rPr>
          <w:b w:val="0"/>
        </w:rPr>
        <w:t> </w:t>
      </w:r>
      <w:r>
        <w:t>—</w:t>
      </w:r>
      <w:r>
        <w:rPr>
          <w:b w:val="0"/>
        </w:rPr>
        <w:t> </w:t>
      </w:r>
      <w:r>
        <w:rPr>
          <w:rStyle w:val="CharSDivText"/>
        </w:rPr>
        <w:t>Daily entrance fees for Tree Top Walk</w:t>
      </w:r>
      <w:bookmarkEnd w:id="491"/>
      <w:bookmarkEnd w:id="492"/>
      <w:bookmarkEnd w:id="493"/>
      <w:bookmarkEnd w:id="494"/>
    </w:p>
    <w:p>
      <w:pPr>
        <w:pStyle w:val="yFootnoteheading"/>
        <w:keepNext/>
        <w:keepLines/>
        <w:spacing w:after="60"/>
        <w:rPr>
          <w:snapToGrid w:val="0"/>
        </w:rPr>
      </w:pPr>
      <w:r>
        <w:tab/>
        <w:t>[Heading inserted in Gazette 5 Jul 2016 p. 2815.]</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zyTableNAm"/>
              <w:rPr>
                <w:b/>
              </w:rPr>
            </w:pPr>
          </w:p>
        </w:tc>
        <w:tc>
          <w:tcPr>
            <w:tcW w:w="5245" w:type="dxa"/>
          </w:tcPr>
          <w:p>
            <w:pPr>
              <w:pStyle w:val="zyTableNAm"/>
              <w:rPr>
                <w:b/>
              </w:rPr>
            </w:pPr>
          </w:p>
        </w:tc>
        <w:tc>
          <w:tcPr>
            <w:tcW w:w="992" w:type="dxa"/>
          </w:tcPr>
          <w:p>
            <w:pPr>
              <w:pStyle w:val="yTableNAm"/>
              <w:jc w:val="center"/>
              <w:rPr>
                <w:b/>
              </w:rP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992" w:type="dxa"/>
          </w:tcPr>
          <w:p>
            <w:pPr>
              <w:pStyle w:val="yTableNAm"/>
              <w:jc w:val="center"/>
            </w:pPr>
            <w:r>
              <w:t>21.00</w:t>
            </w:r>
          </w:p>
        </w:tc>
      </w:tr>
      <w:tr>
        <w:trPr>
          <w:cantSplit/>
        </w:trPr>
        <w:tc>
          <w:tcPr>
            <w:tcW w:w="709" w:type="dxa"/>
          </w:tcPr>
          <w:p>
            <w:pPr>
              <w:pStyle w:val="yTableNAm"/>
            </w:pPr>
            <w:r>
              <w:t>2.</w:t>
            </w:r>
          </w:p>
        </w:tc>
        <w:tc>
          <w:tcPr>
            <w:tcW w:w="5245" w:type="dxa"/>
          </w:tcPr>
          <w:p>
            <w:pPr>
              <w:pStyle w:val="yTableNAm"/>
            </w:pPr>
            <w:r>
              <w:t xml:space="preserve">For person of more than 5 and less than 16 years of age </w:t>
            </w:r>
          </w:p>
        </w:tc>
        <w:tc>
          <w:tcPr>
            <w:tcW w:w="992" w:type="dxa"/>
          </w:tcPr>
          <w:p>
            <w:pPr>
              <w:pStyle w:val="yTableNAm"/>
              <w:jc w:val="center"/>
            </w:pPr>
            <w:r>
              <w:t>10.50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tcPr>
          <w:p>
            <w:pPr>
              <w:pStyle w:val="yTableNAm"/>
              <w:jc w:val="center"/>
            </w:pPr>
            <w:r>
              <w:br/>
              <w:t>52.50</w:t>
            </w:r>
          </w:p>
        </w:tc>
      </w:tr>
      <w:tr>
        <w:trPr>
          <w:cantSplit/>
        </w:trP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15.50</w:t>
            </w:r>
          </w:p>
        </w:tc>
      </w:tr>
    </w:tbl>
    <w:bookmarkEnd w:id="495"/>
    <w:bookmarkEnd w:id="496"/>
    <w:bookmarkEnd w:id="497"/>
    <w:bookmarkEnd w:id="498"/>
    <w:bookmarkEnd w:id="499"/>
    <w:bookmarkEnd w:id="500"/>
    <w:bookmarkEnd w:id="501"/>
    <w:p>
      <w:pPr>
        <w:pStyle w:val="yFootnotesection"/>
      </w:pPr>
      <w:r>
        <w:tab/>
        <w:t>[Division 3 inserted in Gazette 5 Jul 2016 p. 2815.]</w:t>
      </w:r>
    </w:p>
    <w:p>
      <w:pPr>
        <w:pStyle w:val="yHeading3"/>
        <w:rPr>
          <w:rStyle w:val="CharSDivText"/>
        </w:rPr>
      </w:pPr>
      <w:bookmarkStart w:id="502" w:name="_Toc458590390"/>
      <w:bookmarkStart w:id="503" w:name="_Toc458590612"/>
      <w:bookmarkStart w:id="504" w:name="_Toc458590833"/>
      <w:bookmarkStart w:id="505" w:name="_Toc462045488"/>
      <w:bookmarkStart w:id="506" w:name="_Toc436903865"/>
      <w:bookmarkStart w:id="507" w:name="_Toc436905807"/>
      <w:bookmarkStart w:id="508" w:name="_Toc436906028"/>
      <w:bookmarkStart w:id="509" w:name="_Toc437515781"/>
      <w:bookmarkStart w:id="510" w:name="_Toc447533381"/>
      <w:bookmarkStart w:id="511" w:name="_Toc456878289"/>
      <w:bookmarkStart w:id="512" w:name="_Toc456951806"/>
      <w:r>
        <w:rPr>
          <w:rStyle w:val="CharSDivNo"/>
        </w:rPr>
        <w:t>Division 4</w:t>
      </w:r>
      <w:r>
        <w:rPr>
          <w:b w:val="0"/>
        </w:rPr>
        <w:t> — </w:t>
      </w:r>
      <w:r>
        <w:rPr>
          <w:rStyle w:val="CharSDivText"/>
        </w:rPr>
        <w:t>Fees for Geikie Gorge National Park Boat Trip</w:t>
      </w:r>
      <w:bookmarkEnd w:id="502"/>
      <w:bookmarkEnd w:id="503"/>
      <w:bookmarkEnd w:id="504"/>
      <w:bookmarkEnd w:id="505"/>
    </w:p>
    <w:p>
      <w:pPr>
        <w:pStyle w:val="yFootnoteheading"/>
        <w:keepNext/>
        <w:keepLines/>
        <w:spacing w:after="60"/>
        <w:rPr>
          <w:snapToGrid w:val="0"/>
        </w:rPr>
      </w:pPr>
      <w:r>
        <w:tab/>
        <w:t>[Heading inserted in Gazette 5 Jul 2016 p. 2816.]</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c>
          <w:tcPr>
            <w:tcW w:w="709" w:type="dxa"/>
          </w:tcPr>
          <w:p>
            <w:pPr>
              <w:pStyle w:val="zyTableNAm"/>
            </w:pPr>
          </w:p>
        </w:tc>
        <w:tc>
          <w:tcPr>
            <w:tcW w:w="5245" w:type="dxa"/>
          </w:tcPr>
          <w:p>
            <w:pPr>
              <w:pStyle w:val="zyTableNAm"/>
            </w:pPr>
          </w:p>
        </w:tc>
        <w:tc>
          <w:tcPr>
            <w:tcW w:w="992" w:type="dxa"/>
          </w:tcPr>
          <w:p>
            <w:pPr>
              <w:pStyle w:val="yTableNAm"/>
              <w:jc w:val="center"/>
            </w:pPr>
            <w:r>
              <w:rPr>
                <w:b/>
              </w:rPr>
              <w:t>$</w:t>
            </w:r>
          </w:p>
        </w:tc>
      </w:tr>
      <w:tr>
        <w:tc>
          <w:tcPr>
            <w:tcW w:w="709" w:type="dxa"/>
          </w:tcPr>
          <w:p>
            <w:pPr>
              <w:pStyle w:val="yTableNAm"/>
            </w:pPr>
            <w:r>
              <w:t>1.</w:t>
            </w:r>
          </w:p>
        </w:tc>
        <w:tc>
          <w:tcPr>
            <w:tcW w:w="5245" w:type="dxa"/>
          </w:tcPr>
          <w:p>
            <w:pPr>
              <w:pStyle w:val="yTableNAm"/>
            </w:pPr>
            <w:r>
              <w:t>For person 16 years of age and over</w:t>
            </w:r>
          </w:p>
        </w:tc>
        <w:tc>
          <w:tcPr>
            <w:tcW w:w="992" w:type="dxa"/>
          </w:tcPr>
          <w:p>
            <w:pPr>
              <w:pStyle w:val="yTableNAm"/>
              <w:jc w:val="center"/>
            </w:pPr>
            <w:r>
              <w:t>45.00</w:t>
            </w:r>
          </w:p>
        </w:tc>
      </w:tr>
      <w:tr>
        <w:trPr>
          <w:cantSplit/>
        </w:trPr>
        <w:tc>
          <w:tcPr>
            <w:tcW w:w="709" w:type="dxa"/>
          </w:tcPr>
          <w:p>
            <w:pPr>
              <w:pStyle w:val="yTableNAm"/>
            </w:pPr>
            <w:r>
              <w:t>2.</w:t>
            </w:r>
          </w:p>
        </w:tc>
        <w:tc>
          <w:tcPr>
            <w:tcW w:w="5245" w:type="dxa"/>
          </w:tcPr>
          <w:p>
            <w:pPr>
              <w:pStyle w:val="yTableNAm"/>
            </w:pPr>
            <w:r>
              <w:t>For person of more than 5 and less than 16 years of age</w:t>
            </w:r>
          </w:p>
        </w:tc>
        <w:tc>
          <w:tcPr>
            <w:tcW w:w="992" w:type="dxa"/>
          </w:tcPr>
          <w:p>
            <w:pPr>
              <w:pStyle w:val="yTableNAm"/>
              <w:jc w:val="center"/>
            </w:pPr>
            <w:r>
              <w:t>12.00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tcPr>
          <w:p>
            <w:pPr>
              <w:pStyle w:val="yTableNAm"/>
              <w:jc w:val="center"/>
            </w:pPr>
            <w:r>
              <w:br/>
              <w:t>100.00</w:t>
            </w:r>
          </w:p>
        </w:tc>
      </w:tr>
      <w:t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32.00</w:t>
            </w:r>
          </w:p>
        </w:tc>
      </w:tr>
    </w:tbl>
    <w:p>
      <w:pPr>
        <w:pStyle w:val="yFootnotesection"/>
      </w:pPr>
      <w:r>
        <w:tab/>
        <w:t>[Division 4 inserted in Gazette 5 Jul 2016 p. 2816.]</w:t>
      </w:r>
    </w:p>
    <w:p>
      <w:pPr>
        <w:pStyle w:val="yHeading3"/>
      </w:pPr>
      <w:bookmarkStart w:id="513" w:name="_Toc458590391"/>
      <w:bookmarkStart w:id="514" w:name="_Toc458590613"/>
      <w:bookmarkStart w:id="515" w:name="_Toc458590834"/>
      <w:bookmarkStart w:id="516" w:name="_Toc462045489"/>
      <w:r>
        <w:rPr>
          <w:rStyle w:val="CharSDivNo"/>
        </w:rPr>
        <w:t>Division 5</w:t>
      </w:r>
      <w:r>
        <w:rPr>
          <w:b w:val="0"/>
        </w:rPr>
        <w:t> — </w:t>
      </w:r>
      <w:r>
        <w:rPr>
          <w:rStyle w:val="CharSDivText"/>
        </w:rPr>
        <w:t>Horse riding</w:t>
      </w:r>
      <w:bookmarkEnd w:id="513"/>
      <w:bookmarkEnd w:id="514"/>
      <w:bookmarkEnd w:id="515"/>
      <w:bookmarkEnd w:id="516"/>
    </w:p>
    <w:p>
      <w:pPr>
        <w:pStyle w:val="yFootnoteheading"/>
        <w:keepNext/>
        <w:keepLines/>
        <w:spacing w:after="60"/>
        <w:rPr>
          <w:snapToGrid w:val="0"/>
        </w:rPr>
      </w:pPr>
      <w:r>
        <w:tab/>
        <w:t>[Heading inserted in Gazette 5 Jul 2016 p. 2816.]</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zyTableNAm"/>
            </w:pPr>
          </w:p>
        </w:tc>
        <w:tc>
          <w:tcPr>
            <w:tcW w:w="5245" w:type="dxa"/>
          </w:tcPr>
          <w:p>
            <w:pPr>
              <w:pStyle w:val="z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Daily fee for one person</w:t>
            </w:r>
          </w:p>
        </w:tc>
        <w:tc>
          <w:tcPr>
            <w:tcW w:w="992" w:type="dxa"/>
          </w:tcPr>
          <w:p>
            <w:pPr>
              <w:pStyle w:val="yTableNAm"/>
              <w:jc w:val="center"/>
            </w:pPr>
            <w:r>
              <w:t>9.00</w:t>
            </w:r>
          </w:p>
        </w:tc>
      </w:tr>
      <w:tr>
        <w:tc>
          <w:tcPr>
            <w:tcW w:w="709" w:type="dxa"/>
          </w:tcPr>
          <w:p>
            <w:pPr>
              <w:pStyle w:val="yTableNAm"/>
            </w:pPr>
            <w:r>
              <w:t>2.</w:t>
            </w:r>
          </w:p>
        </w:tc>
        <w:tc>
          <w:tcPr>
            <w:tcW w:w="5245" w:type="dxa"/>
          </w:tcPr>
          <w:p>
            <w:pPr>
              <w:pStyle w:val="yTableNAm"/>
            </w:pPr>
            <w:r>
              <w:t>Annual pass for family</w:t>
            </w:r>
          </w:p>
        </w:tc>
        <w:tc>
          <w:tcPr>
            <w:tcW w:w="992" w:type="dxa"/>
          </w:tcPr>
          <w:p>
            <w:pPr>
              <w:pStyle w:val="yTableNAm"/>
              <w:jc w:val="center"/>
            </w:pPr>
            <w:r>
              <w:t>60.00</w:t>
            </w:r>
          </w:p>
        </w:tc>
      </w:tr>
    </w:tbl>
    <w:p>
      <w:pPr>
        <w:pStyle w:val="yFootnotesection"/>
      </w:pPr>
      <w:bookmarkStart w:id="517" w:name="_Toc436903867"/>
      <w:bookmarkStart w:id="518" w:name="_Toc436905809"/>
      <w:bookmarkStart w:id="519" w:name="_Toc436906030"/>
      <w:bookmarkStart w:id="520" w:name="_Toc437515783"/>
      <w:bookmarkStart w:id="521" w:name="_Toc447533383"/>
      <w:bookmarkStart w:id="522" w:name="_Toc456878291"/>
      <w:bookmarkStart w:id="523" w:name="_Toc456951808"/>
      <w:bookmarkEnd w:id="506"/>
      <w:bookmarkEnd w:id="507"/>
      <w:bookmarkEnd w:id="508"/>
      <w:bookmarkEnd w:id="509"/>
      <w:bookmarkEnd w:id="510"/>
      <w:bookmarkEnd w:id="511"/>
      <w:bookmarkEnd w:id="512"/>
      <w:r>
        <w:tab/>
        <w:t>[Division 5 inserted in Gazette 5 Jul 2016 p. 2816.]</w:t>
      </w:r>
    </w:p>
    <w:p>
      <w:pPr>
        <w:pStyle w:val="yHeading3"/>
        <w:rPr>
          <w:snapToGrid w:val="0"/>
        </w:rPr>
      </w:pPr>
      <w:bookmarkStart w:id="524" w:name="_Toc458590392"/>
      <w:bookmarkStart w:id="525" w:name="_Toc458590614"/>
      <w:bookmarkStart w:id="526" w:name="_Toc458590835"/>
      <w:bookmarkStart w:id="527" w:name="_Toc462045490"/>
      <w:r>
        <w:rPr>
          <w:rStyle w:val="CharSDivNo"/>
        </w:rPr>
        <w:t>Division 6</w:t>
      </w:r>
      <w:r>
        <w:rPr>
          <w:snapToGrid w:val="0"/>
        </w:rPr>
        <w:t> — </w:t>
      </w:r>
      <w:r>
        <w:rPr>
          <w:rStyle w:val="CharSDivText"/>
        </w:rPr>
        <w:t>Camping site fees</w:t>
      </w:r>
      <w:bookmarkEnd w:id="517"/>
      <w:bookmarkEnd w:id="518"/>
      <w:bookmarkEnd w:id="519"/>
      <w:bookmarkEnd w:id="520"/>
      <w:bookmarkEnd w:id="521"/>
      <w:bookmarkEnd w:id="522"/>
      <w:bookmarkEnd w:id="523"/>
      <w:bookmarkEnd w:id="524"/>
      <w:bookmarkEnd w:id="525"/>
      <w:bookmarkEnd w:id="526"/>
      <w:bookmarkEnd w:id="527"/>
    </w:p>
    <w:p>
      <w:pPr>
        <w:pStyle w:val="yFootnoteheading"/>
        <w:keepNext/>
        <w:keepLines/>
        <w:spacing w:after="60"/>
        <w:rPr>
          <w:snapToGrid w:val="0"/>
        </w:rPr>
      </w:pPr>
      <w:r>
        <w:tab/>
        <w:t>[Heading inserted in Gazette 27 Sep 2013 p. 4527.]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zyTableNAm"/>
              <w:keepNext/>
              <w:keepLines/>
            </w:pPr>
          </w:p>
        </w:tc>
        <w:tc>
          <w:tcPr>
            <w:tcW w:w="5245" w:type="dxa"/>
          </w:tcPr>
          <w:p>
            <w:pPr>
              <w:pStyle w:val="zyTableNAm"/>
              <w:keepNext/>
              <w:keepLines/>
            </w:pPr>
          </w:p>
        </w:tc>
        <w:tc>
          <w:tcPr>
            <w:tcW w:w="992" w:type="dxa"/>
            <w:vAlign w:val="center"/>
          </w:tcPr>
          <w:p>
            <w:pPr>
              <w:pStyle w:val="yTableNAm"/>
              <w:jc w:val="center"/>
            </w:pPr>
            <w:r>
              <w:rPr>
                <w:b/>
              </w:rPr>
              <w:t>Fee per night</w:t>
            </w:r>
            <w:r>
              <w:rPr>
                <w:b/>
              </w:rPr>
              <w:br/>
              <w:t>$</w:t>
            </w:r>
          </w:p>
        </w:tc>
      </w:tr>
      <w:tr>
        <w:trPr>
          <w:cantSplit/>
        </w:trPr>
        <w:tc>
          <w:tcPr>
            <w:tcW w:w="709" w:type="dxa"/>
          </w:tcPr>
          <w:p>
            <w:pPr>
              <w:pStyle w:val="yTableNAm"/>
            </w:pPr>
            <w:r>
              <w:t>1.</w:t>
            </w:r>
          </w:p>
        </w:tc>
        <w:tc>
          <w:tcPr>
            <w:tcW w:w="5245" w:type="dxa"/>
          </w:tcPr>
          <w:p>
            <w:pPr>
              <w:pStyle w:val="yTableNAm"/>
            </w:pPr>
            <w:r>
              <w:t xml:space="preserve">Fee for site without facilities or with only basic facilities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br/>
              <w:t>7.50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t>5.50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t>2.20</w:t>
            </w:r>
          </w:p>
        </w:tc>
      </w:tr>
      <w:tr>
        <w:trPr>
          <w:cantSplit/>
        </w:trPr>
        <w:tc>
          <w:tcPr>
            <w:tcW w:w="709" w:type="dxa"/>
          </w:tcPr>
          <w:p>
            <w:pPr>
              <w:pStyle w:val="yTableNAm"/>
            </w:pPr>
            <w:r>
              <w:t xml:space="preserve">2. </w:t>
            </w:r>
          </w:p>
        </w:tc>
        <w:tc>
          <w:tcPr>
            <w:tcW w:w="5245" w:type="dxa"/>
          </w:tcPr>
          <w:p>
            <w:pPr>
              <w:pStyle w:val="yTableNAm"/>
            </w:pPr>
            <w:r>
              <w:t xml:space="preserve">Fee for site with facilities such as ablutions or showers, camp kitchens or picnic shelters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br/>
              <w:t>10.00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t>6.60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t>2.20</w:t>
            </w:r>
          </w:p>
        </w:tc>
      </w:tr>
      <w:tr>
        <w:trPr>
          <w:cantSplit/>
        </w:trPr>
        <w:tc>
          <w:tcPr>
            <w:tcW w:w="709" w:type="dxa"/>
          </w:tcPr>
          <w:p>
            <w:pPr>
              <w:pStyle w:val="yTableNAm"/>
              <w:keepNext/>
              <w:keepLines/>
            </w:pPr>
            <w:r>
              <w:t>3.</w:t>
            </w:r>
          </w:p>
        </w:tc>
        <w:tc>
          <w:tcPr>
            <w:tcW w:w="5245" w:type="dxa"/>
          </w:tcPr>
          <w:p>
            <w:pPr>
              <w:pStyle w:val="yTableNAm"/>
              <w:keepNext/>
              <w:keepLines/>
            </w:pPr>
            <w:r>
              <w:t xml:space="preserve">Fee for site in Windjana Gorge National Park, Purnululu National Park or King Leopold Ranges Conservation Park — </w:t>
            </w:r>
          </w:p>
          <w:p>
            <w:pPr>
              <w:pStyle w:val="yTableNAm"/>
              <w:keepNext/>
              <w:keepLines/>
              <w:tabs>
                <w:tab w:val="clear" w:pos="567"/>
                <w:tab w:val="left" w:pos="417"/>
              </w:tabs>
              <w:ind w:left="417" w:hanging="417"/>
            </w:pPr>
            <w:r>
              <w:tab/>
              <w:t>each person 16 years of age or over</w:t>
            </w:r>
          </w:p>
        </w:tc>
        <w:tc>
          <w:tcPr>
            <w:tcW w:w="992" w:type="dxa"/>
            <w:vAlign w:val="center"/>
          </w:tcPr>
          <w:p>
            <w:pPr>
              <w:pStyle w:val="yTableNAm"/>
              <w:keepNext/>
              <w:jc w:val="center"/>
            </w:pPr>
          </w:p>
          <w:p>
            <w:pPr>
              <w:pStyle w:val="yTableNAm"/>
              <w:keepNext/>
              <w:jc w:val="center"/>
            </w:pPr>
            <w:r>
              <w:br/>
            </w:r>
            <w:r>
              <w:br/>
              <w:t>12.00</w:t>
            </w:r>
          </w:p>
        </w:tc>
      </w:tr>
      <w:tr>
        <w:trPr>
          <w:cantSplit/>
        </w:trPr>
        <w:tc>
          <w:tcPr>
            <w:tcW w:w="709" w:type="dxa"/>
          </w:tcPr>
          <w:p>
            <w:pPr>
              <w:pStyle w:val="zyTableNAm"/>
              <w:keepNext/>
            </w:pPr>
          </w:p>
        </w:tc>
        <w:tc>
          <w:tcPr>
            <w:tcW w:w="5245" w:type="dxa"/>
          </w:tcPr>
          <w:p>
            <w:pPr>
              <w:pStyle w:val="yTableNAm"/>
              <w:keepNext/>
              <w:tabs>
                <w:tab w:val="clear" w:pos="567"/>
                <w:tab w:val="left" w:pos="417"/>
              </w:tabs>
              <w:ind w:left="417" w:hanging="417"/>
            </w:pPr>
            <w:r>
              <w:tab/>
              <w:t>each person 16 years of age or over who holds a concession card</w:t>
            </w:r>
          </w:p>
        </w:tc>
        <w:tc>
          <w:tcPr>
            <w:tcW w:w="992" w:type="dxa"/>
            <w:vAlign w:val="center"/>
          </w:tcPr>
          <w:p>
            <w:pPr>
              <w:pStyle w:val="yTableNAm"/>
              <w:keepNext/>
              <w:jc w:val="center"/>
            </w:pPr>
            <w:r>
              <w:br/>
              <w:t>8.80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t>2.20</w:t>
            </w:r>
          </w:p>
        </w:tc>
      </w:tr>
      <w:tr>
        <w:trPr>
          <w:cantSplit/>
        </w:trPr>
        <w:tc>
          <w:tcPr>
            <w:tcW w:w="709" w:type="dxa"/>
          </w:tcPr>
          <w:p>
            <w:pPr>
              <w:pStyle w:val="yTableNAm"/>
            </w:pPr>
            <w:r>
              <w:t>4.</w:t>
            </w:r>
          </w:p>
        </w:tc>
        <w:tc>
          <w:tcPr>
            <w:tcW w:w="5245" w:type="dxa"/>
          </w:tcPr>
          <w:p>
            <w:pPr>
              <w:pStyle w:val="yTableNAm"/>
            </w:pPr>
            <w:r>
              <w:t xml:space="preserve">Fee for site in Dirk Hartog Island National Park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t>19.00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t>13.50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t>2.00</w:t>
            </w:r>
          </w:p>
        </w:tc>
      </w:tr>
    </w:tbl>
    <w:p>
      <w:pPr>
        <w:pStyle w:val="yFootnotesection"/>
      </w:pPr>
      <w:r>
        <w:tab/>
        <w:t>[Division 6 inserted in Gazette 27 Sep 2013 p. 4527-8.]</w:t>
      </w:r>
    </w:p>
    <w:p>
      <w:pPr>
        <w:pStyle w:val="yHeading3"/>
        <w:rPr>
          <w:rStyle w:val="CharSDivText"/>
        </w:rPr>
      </w:pPr>
      <w:bookmarkStart w:id="528" w:name="_Toc458590393"/>
      <w:bookmarkStart w:id="529" w:name="_Toc458590615"/>
      <w:bookmarkStart w:id="530" w:name="_Toc458590836"/>
      <w:bookmarkStart w:id="531" w:name="_Toc462045491"/>
      <w:bookmarkStart w:id="532" w:name="_Toc436903868"/>
      <w:bookmarkStart w:id="533" w:name="_Toc436905810"/>
      <w:bookmarkStart w:id="534" w:name="_Toc436906031"/>
      <w:bookmarkStart w:id="535" w:name="_Toc437515784"/>
      <w:bookmarkStart w:id="536" w:name="_Toc447533384"/>
      <w:bookmarkStart w:id="537" w:name="_Toc456878292"/>
      <w:bookmarkStart w:id="538" w:name="_Toc456951809"/>
      <w:r>
        <w:rPr>
          <w:rStyle w:val="CharSDivNo"/>
        </w:rPr>
        <w:t>Division 7</w:t>
      </w:r>
      <w:r>
        <w:rPr>
          <w:b w:val="0"/>
        </w:rPr>
        <w:t> — </w:t>
      </w:r>
      <w:r>
        <w:rPr>
          <w:rStyle w:val="CharSDivText"/>
        </w:rPr>
        <w:t>Cave entrance fees</w:t>
      </w:r>
      <w:bookmarkEnd w:id="528"/>
      <w:bookmarkEnd w:id="529"/>
      <w:bookmarkEnd w:id="530"/>
      <w:bookmarkEnd w:id="531"/>
    </w:p>
    <w:p>
      <w:pPr>
        <w:pStyle w:val="yFootnoteheading"/>
        <w:keepNext/>
        <w:keepLines/>
        <w:spacing w:after="60"/>
        <w:rPr>
          <w:snapToGrid w:val="0"/>
        </w:rPr>
      </w:pPr>
      <w:r>
        <w:tab/>
        <w:t>[Heading inserted in Gazette 5 Jul 2016 p. 2816.]</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zyTableNAm"/>
            </w:pPr>
          </w:p>
        </w:tc>
        <w:tc>
          <w:tcPr>
            <w:tcW w:w="5245" w:type="dxa"/>
          </w:tcPr>
          <w:p>
            <w:pPr>
              <w:pStyle w:val="zyTableNAm"/>
            </w:pPr>
          </w:p>
        </w:tc>
        <w:tc>
          <w:tcPr>
            <w:tcW w:w="992" w:type="dxa"/>
          </w:tcPr>
          <w:p>
            <w:pPr>
              <w:pStyle w:val="yTableNAm"/>
              <w:jc w:val="center"/>
            </w:pPr>
            <w:r>
              <w:rPr>
                <w:b/>
                <w:bCs/>
              </w:rPr>
              <w:t>$</w:t>
            </w:r>
          </w:p>
        </w:tc>
      </w:tr>
      <w:tr>
        <w:tc>
          <w:tcPr>
            <w:tcW w:w="709" w:type="dxa"/>
          </w:tcPr>
          <w:p>
            <w:pPr>
              <w:pStyle w:val="yTableNAm"/>
            </w:pPr>
            <w:r>
              <w:t>1.</w:t>
            </w:r>
          </w:p>
        </w:tc>
        <w:tc>
          <w:tcPr>
            <w:tcW w:w="5245" w:type="dxa"/>
          </w:tcPr>
          <w:p>
            <w:pPr>
              <w:pStyle w:val="yTableNAm"/>
            </w:pPr>
            <w:r>
              <w:t xml:space="preserve">Crystal Cave, Yanchep National Park — </w:t>
            </w:r>
          </w:p>
          <w:p>
            <w:pPr>
              <w:pStyle w:val="yTableNAm"/>
              <w:tabs>
                <w:tab w:val="clear" w:pos="567"/>
                <w:tab w:val="left" w:pos="417"/>
              </w:tabs>
              <w:ind w:left="417" w:hanging="417"/>
            </w:pPr>
            <w:r>
              <w:tab/>
              <w:t>each person 16 years of age or over</w:t>
            </w:r>
          </w:p>
          <w:p>
            <w:pPr>
              <w:pStyle w:val="yTableNAm"/>
              <w:tabs>
                <w:tab w:val="clear" w:pos="567"/>
                <w:tab w:val="left" w:pos="417"/>
              </w:tabs>
              <w:ind w:left="417" w:hanging="417"/>
            </w:pPr>
            <w:r>
              <w:tab/>
              <w:t>each person of more than 5 and less than 16 years of age</w:t>
            </w:r>
          </w:p>
          <w:p>
            <w:pPr>
              <w:pStyle w:val="yTableNAm"/>
              <w:tabs>
                <w:tab w:val="clear" w:pos="567"/>
                <w:tab w:val="left" w:pos="417"/>
              </w:tabs>
              <w:ind w:left="417" w:hanging="417"/>
            </w:pPr>
            <w:r>
              <w:tab/>
              <w:t>a family (2 adults and 2 children of more than 5 and less than 16 years of age)</w:t>
            </w:r>
          </w:p>
          <w:p>
            <w:pPr>
              <w:pStyle w:val="yTableNAm"/>
            </w:pPr>
            <w:r>
              <w:tab/>
              <w:t>each person who holds a concession card</w:t>
            </w:r>
          </w:p>
        </w:tc>
        <w:tc>
          <w:tcPr>
            <w:tcW w:w="992" w:type="dxa"/>
          </w:tcPr>
          <w:p>
            <w:pPr>
              <w:pStyle w:val="yTableNAm"/>
              <w:jc w:val="center"/>
            </w:pPr>
          </w:p>
          <w:p>
            <w:pPr>
              <w:pStyle w:val="yTableNAm"/>
              <w:jc w:val="center"/>
            </w:pPr>
            <w:r>
              <w:t>15.00</w:t>
            </w:r>
          </w:p>
          <w:p>
            <w:pPr>
              <w:pStyle w:val="yTableNAm"/>
              <w:jc w:val="center"/>
            </w:pPr>
            <w:r>
              <w:br/>
              <w:t>7.50</w:t>
            </w:r>
          </w:p>
          <w:p>
            <w:pPr>
              <w:pStyle w:val="yTableNAm"/>
              <w:jc w:val="center"/>
            </w:pPr>
            <w:r>
              <w:br/>
              <w:t>37.50</w:t>
            </w:r>
          </w:p>
          <w:p>
            <w:pPr>
              <w:pStyle w:val="yTableNAm"/>
              <w:jc w:val="center"/>
              <w:rPr>
                <w:bCs/>
              </w:rPr>
            </w:pPr>
            <w:r>
              <w:t>11.50</w:t>
            </w:r>
          </w:p>
        </w:tc>
      </w:tr>
      <w:tr>
        <w:trPr>
          <w:cantSplit/>
        </w:trPr>
        <w:tc>
          <w:tcPr>
            <w:tcW w:w="709" w:type="dxa"/>
          </w:tcPr>
          <w:p>
            <w:pPr>
              <w:pStyle w:val="yTableNAm"/>
            </w:pPr>
            <w:r>
              <w:t>2.</w:t>
            </w:r>
          </w:p>
        </w:tc>
        <w:tc>
          <w:tcPr>
            <w:tcW w:w="5245" w:type="dxa"/>
          </w:tcPr>
          <w:p>
            <w:pPr>
              <w:pStyle w:val="yTableNAm"/>
            </w:pPr>
            <w:r>
              <w:t>Calgardup and Giants Caves, Leeuwin</w:t>
            </w:r>
            <w:r>
              <w:noBreakHyphen/>
              <w:t>Naturaliste National Park —</w:t>
            </w:r>
          </w:p>
          <w:p>
            <w:pPr>
              <w:pStyle w:val="yTableNAm"/>
              <w:tabs>
                <w:tab w:val="clear" w:pos="567"/>
                <w:tab w:val="left" w:pos="417"/>
              </w:tabs>
              <w:ind w:left="417" w:hanging="417"/>
            </w:pPr>
            <w:r>
              <w:tab/>
              <w:t>each person 16 years of age or over</w:t>
            </w:r>
          </w:p>
        </w:tc>
        <w:tc>
          <w:tcPr>
            <w:tcW w:w="992" w:type="dxa"/>
            <w:vAlign w:val="bottom"/>
          </w:tcPr>
          <w:p>
            <w:pPr>
              <w:pStyle w:val="yTableNAm"/>
              <w:jc w:val="center"/>
            </w:pPr>
            <w:r>
              <w:t>18.00</w:t>
            </w:r>
          </w:p>
        </w:tc>
      </w:tr>
      <w:t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bottom"/>
          </w:tcPr>
          <w:p>
            <w:pPr>
              <w:pStyle w:val="yTableNAm"/>
              <w:jc w:val="center"/>
            </w:pPr>
            <w:r>
              <w:t>9.00</w:t>
            </w:r>
          </w:p>
        </w:tc>
      </w:tr>
      <w:tr>
        <w:tc>
          <w:tcPr>
            <w:tcW w:w="709" w:type="dxa"/>
          </w:tcPr>
          <w:p>
            <w:pPr>
              <w:pStyle w:val="zyTableNAm"/>
              <w:keepNext/>
            </w:pPr>
          </w:p>
        </w:tc>
        <w:tc>
          <w:tcPr>
            <w:tcW w:w="5245" w:type="dxa"/>
          </w:tcPr>
          <w:p>
            <w:pPr>
              <w:pStyle w:val="yTableNAm"/>
              <w:keepNext/>
              <w:tabs>
                <w:tab w:val="clear" w:pos="567"/>
                <w:tab w:val="left" w:pos="417"/>
              </w:tabs>
              <w:ind w:left="417" w:hanging="417"/>
            </w:pPr>
            <w:r>
              <w:tab/>
              <w:t>a family (2 adults and 2 children of more than 5 and less than 16 years of age)</w:t>
            </w:r>
          </w:p>
        </w:tc>
        <w:tc>
          <w:tcPr>
            <w:tcW w:w="992" w:type="dxa"/>
            <w:vAlign w:val="bottom"/>
          </w:tcPr>
          <w:p>
            <w:pPr>
              <w:pStyle w:val="yTableNAm"/>
              <w:keepNext/>
              <w:jc w:val="center"/>
            </w:pPr>
            <w:r>
              <w:t>45.00</w:t>
            </w:r>
          </w:p>
        </w:tc>
      </w:tr>
      <w:tr>
        <w:tc>
          <w:tcPr>
            <w:tcW w:w="709" w:type="dxa"/>
          </w:tcPr>
          <w:p>
            <w:pPr>
              <w:pStyle w:val="zyTableNAm"/>
              <w:keepNext/>
            </w:pPr>
          </w:p>
        </w:tc>
        <w:tc>
          <w:tcPr>
            <w:tcW w:w="5245" w:type="dxa"/>
          </w:tcPr>
          <w:p>
            <w:pPr>
              <w:pStyle w:val="yTableNAm"/>
              <w:keepNext/>
            </w:pPr>
            <w:r>
              <w:tab/>
              <w:t>each person who holds a concession card</w:t>
            </w:r>
          </w:p>
        </w:tc>
        <w:tc>
          <w:tcPr>
            <w:tcW w:w="992" w:type="dxa"/>
            <w:vAlign w:val="bottom"/>
          </w:tcPr>
          <w:p>
            <w:pPr>
              <w:pStyle w:val="yTableNAm"/>
              <w:keepNext/>
              <w:jc w:val="center"/>
            </w:pPr>
            <w:r>
              <w:t>12.00</w:t>
            </w:r>
          </w:p>
        </w:tc>
      </w:tr>
    </w:tbl>
    <w:p>
      <w:pPr>
        <w:pStyle w:val="yFootnotesection"/>
      </w:pPr>
      <w:r>
        <w:tab/>
        <w:t>[Division 7 inserted in Gazette 5 Jul 2016 p. 2816.]</w:t>
      </w:r>
    </w:p>
    <w:p>
      <w:pPr>
        <w:pStyle w:val="yHeading3"/>
      </w:pPr>
      <w:bookmarkStart w:id="539" w:name="_Toc436903869"/>
      <w:bookmarkStart w:id="540" w:name="_Toc436905811"/>
      <w:bookmarkStart w:id="541" w:name="_Toc436906032"/>
      <w:bookmarkStart w:id="542" w:name="_Toc437515785"/>
      <w:bookmarkStart w:id="543" w:name="_Toc447533385"/>
      <w:bookmarkStart w:id="544" w:name="_Toc456878293"/>
      <w:bookmarkStart w:id="545" w:name="_Toc456951810"/>
      <w:bookmarkStart w:id="546" w:name="_Toc458590394"/>
      <w:bookmarkStart w:id="547" w:name="_Toc458590616"/>
      <w:bookmarkStart w:id="548" w:name="_Toc458590837"/>
      <w:bookmarkStart w:id="549" w:name="_Toc462045492"/>
      <w:bookmarkEnd w:id="532"/>
      <w:bookmarkEnd w:id="533"/>
      <w:bookmarkEnd w:id="534"/>
      <w:bookmarkEnd w:id="535"/>
      <w:bookmarkEnd w:id="536"/>
      <w:bookmarkEnd w:id="537"/>
      <w:bookmarkEnd w:id="538"/>
      <w:r>
        <w:rPr>
          <w:rStyle w:val="CharSDivNo"/>
        </w:rPr>
        <w:t>Division 8</w:t>
      </w:r>
      <w:r>
        <w:t> — </w:t>
      </w:r>
      <w:r>
        <w:rPr>
          <w:rStyle w:val="CharSDivText"/>
        </w:rPr>
        <w:t>Licence and permit fees</w:t>
      </w:r>
      <w:bookmarkEnd w:id="539"/>
      <w:bookmarkEnd w:id="540"/>
      <w:bookmarkEnd w:id="541"/>
      <w:bookmarkEnd w:id="542"/>
      <w:bookmarkEnd w:id="543"/>
      <w:bookmarkEnd w:id="544"/>
      <w:bookmarkEnd w:id="545"/>
      <w:bookmarkEnd w:id="546"/>
      <w:bookmarkEnd w:id="547"/>
      <w:bookmarkEnd w:id="548"/>
      <w:bookmarkEnd w:id="549"/>
    </w:p>
    <w:p>
      <w:pPr>
        <w:pStyle w:val="yFootnoteheading"/>
        <w:keepNext/>
        <w:keepLines/>
        <w:spacing w:after="60"/>
        <w:rPr>
          <w:snapToGrid w:val="0"/>
        </w:rPr>
      </w:pPr>
      <w:r>
        <w:tab/>
        <w:t>[Heading inserted in Gazette 27 Sep 2013 p. 4528.]</w:t>
      </w:r>
    </w:p>
    <w:tbl>
      <w:tblPr>
        <w:tblW w:w="0" w:type="auto"/>
        <w:tblInd w:w="250" w:type="dxa"/>
        <w:tblLayout w:type="fixed"/>
        <w:tblCellMar>
          <w:bottom w:w="113" w:type="dxa"/>
        </w:tblCellMar>
        <w:tblLook w:val="0000" w:firstRow="0" w:lastRow="0" w:firstColumn="0" w:lastColumn="0" w:noHBand="0" w:noVBand="0"/>
      </w:tblPr>
      <w:tblGrid>
        <w:gridCol w:w="709"/>
        <w:gridCol w:w="5245"/>
        <w:gridCol w:w="992"/>
      </w:tblGrid>
      <w:tr>
        <w:trPr>
          <w:tblHeader/>
        </w:trPr>
        <w:tc>
          <w:tcPr>
            <w:tcW w:w="709" w:type="dxa"/>
          </w:tcPr>
          <w:p>
            <w:pPr>
              <w:pStyle w:val="zyTableNAm"/>
              <w:jc w:val="center"/>
              <w:rPr>
                <w:b/>
                <w:bCs/>
              </w:rPr>
            </w:pPr>
          </w:p>
        </w:tc>
        <w:tc>
          <w:tcPr>
            <w:tcW w:w="5245" w:type="dxa"/>
          </w:tcPr>
          <w:p>
            <w:pPr>
              <w:pStyle w:val="zyTableNAm"/>
              <w:jc w:val="center"/>
              <w:rPr>
                <w:b/>
                <w:bCs/>
              </w:rPr>
            </w:pPr>
          </w:p>
        </w:tc>
        <w:tc>
          <w:tcPr>
            <w:tcW w:w="992" w:type="dxa"/>
          </w:tcPr>
          <w:p>
            <w:pPr>
              <w:pStyle w:val="yTableNAm"/>
              <w:jc w:val="center"/>
            </w:pPr>
            <w:r>
              <w:rPr>
                <w:b/>
                <w:bCs/>
              </w:rPr>
              <w:t>$</w:t>
            </w:r>
          </w:p>
        </w:tc>
      </w:tr>
      <w:tr>
        <w:tc>
          <w:tcPr>
            <w:tcW w:w="709" w:type="dxa"/>
          </w:tcPr>
          <w:p>
            <w:pPr>
              <w:pStyle w:val="yTableNAm"/>
            </w:pPr>
            <w:r>
              <w:t>1.</w:t>
            </w:r>
          </w:p>
        </w:tc>
        <w:tc>
          <w:tcPr>
            <w:tcW w:w="5245" w:type="dxa"/>
          </w:tcPr>
          <w:p>
            <w:pPr>
              <w:pStyle w:val="yTableNAm"/>
            </w:pPr>
            <w:r>
              <w:t>Application for cave permit per person per half day (r. 49)</w:t>
            </w:r>
          </w:p>
        </w:tc>
        <w:tc>
          <w:tcPr>
            <w:tcW w:w="992" w:type="dxa"/>
          </w:tcPr>
          <w:p>
            <w:pPr>
              <w:pStyle w:val="yTableNAm"/>
              <w:jc w:val="center"/>
            </w:pPr>
            <w:r>
              <w:br/>
              <w:t>6.00</w:t>
            </w:r>
          </w:p>
        </w:tc>
      </w:tr>
      <w:tr>
        <w:tc>
          <w:tcPr>
            <w:tcW w:w="709" w:type="dxa"/>
          </w:tcPr>
          <w:p>
            <w:pPr>
              <w:pStyle w:val="yTableNAm"/>
            </w:pPr>
            <w:r>
              <w:t>2.</w:t>
            </w:r>
          </w:p>
        </w:tc>
        <w:tc>
          <w:tcPr>
            <w:tcW w:w="5245" w:type="dxa"/>
          </w:tcPr>
          <w:p>
            <w:pPr>
              <w:pStyle w:val="yTableNAm"/>
            </w:pPr>
            <w:r>
              <w:t>Application for scientific purposes licence (r. 83)</w:t>
            </w:r>
          </w:p>
        </w:tc>
        <w:tc>
          <w:tcPr>
            <w:tcW w:w="992" w:type="dxa"/>
            <w:vAlign w:val="center"/>
          </w:tcPr>
          <w:p>
            <w:pPr>
              <w:pStyle w:val="yTableNAm"/>
              <w:jc w:val="center"/>
            </w:pPr>
            <w:r>
              <w:t>25.00</w:t>
            </w:r>
          </w:p>
        </w:tc>
      </w:tr>
      <w:tr>
        <w:tc>
          <w:tcPr>
            <w:tcW w:w="709" w:type="dxa"/>
          </w:tcPr>
          <w:p>
            <w:pPr>
              <w:pStyle w:val="yTableNAm"/>
            </w:pPr>
            <w:r>
              <w:t>3.</w:t>
            </w:r>
          </w:p>
        </w:tc>
        <w:tc>
          <w:tcPr>
            <w:tcW w:w="5245" w:type="dxa"/>
          </w:tcPr>
          <w:p>
            <w:pPr>
              <w:pStyle w:val="yTableNAm"/>
            </w:pPr>
            <w:r>
              <w:t>Application for renewal of scientific purposes licence (r. 92)</w:t>
            </w:r>
          </w:p>
        </w:tc>
        <w:tc>
          <w:tcPr>
            <w:tcW w:w="992" w:type="dxa"/>
            <w:vAlign w:val="center"/>
          </w:tcPr>
          <w:p>
            <w:pPr>
              <w:pStyle w:val="yTableNAm"/>
              <w:jc w:val="center"/>
            </w:pPr>
            <w:r>
              <w:t>25.00</w:t>
            </w:r>
          </w:p>
        </w:tc>
      </w:tr>
      <w:tr>
        <w:tc>
          <w:tcPr>
            <w:tcW w:w="709" w:type="dxa"/>
          </w:tcPr>
          <w:p>
            <w:pPr>
              <w:pStyle w:val="yTableNAm"/>
            </w:pPr>
            <w:r>
              <w:t>4.</w:t>
            </w:r>
          </w:p>
        </w:tc>
        <w:tc>
          <w:tcPr>
            <w:tcW w:w="5245" w:type="dxa"/>
          </w:tcPr>
          <w:p>
            <w:pPr>
              <w:pStyle w:val="yTableNAm"/>
            </w:pPr>
            <w:r>
              <w:t>Application for commercial operations licence (r. 83)</w:t>
            </w:r>
          </w:p>
        </w:tc>
        <w:tc>
          <w:tcPr>
            <w:tcW w:w="992" w:type="dxa"/>
            <w:vAlign w:val="center"/>
          </w:tcPr>
          <w:p>
            <w:pPr>
              <w:pStyle w:val="yTableNAm"/>
              <w:jc w:val="center"/>
            </w:pPr>
            <w:r>
              <w:t>115.00</w:t>
            </w:r>
          </w:p>
        </w:tc>
      </w:tr>
      <w:tr>
        <w:tc>
          <w:tcPr>
            <w:tcW w:w="709" w:type="dxa"/>
          </w:tcPr>
          <w:p>
            <w:pPr>
              <w:pStyle w:val="yTableNAm"/>
            </w:pPr>
            <w:r>
              <w:t>5.</w:t>
            </w:r>
          </w:p>
        </w:tc>
        <w:tc>
          <w:tcPr>
            <w:tcW w:w="5245" w:type="dxa"/>
          </w:tcPr>
          <w:p>
            <w:pPr>
              <w:pStyle w:val="yTableNAm"/>
            </w:pPr>
            <w:r>
              <w:t>Application for renewal of commercial operations licence (r. 97)</w:t>
            </w:r>
          </w:p>
        </w:tc>
        <w:tc>
          <w:tcPr>
            <w:tcW w:w="992" w:type="dxa"/>
          </w:tcPr>
          <w:p>
            <w:pPr>
              <w:pStyle w:val="yTableNAm"/>
              <w:jc w:val="center"/>
            </w:pPr>
            <w:r>
              <w:br/>
              <w:t>100.00</w:t>
            </w:r>
          </w:p>
        </w:tc>
      </w:tr>
      <w:tr>
        <w:tc>
          <w:tcPr>
            <w:tcW w:w="709" w:type="dxa"/>
          </w:tcPr>
          <w:p>
            <w:pPr>
              <w:pStyle w:val="yTableNAm"/>
            </w:pPr>
            <w:r>
              <w:t>6.</w:t>
            </w:r>
            <w:r>
              <w:tab/>
            </w:r>
          </w:p>
        </w:tc>
        <w:tc>
          <w:tcPr>
            <w:tcW w:w="5245" w:type="dxa"/>
          </w:tcPr>
          <w:p>
            <w:pPr>
              <w:pStyle w:val="yTableNAm"/>
            </w:pPr>
            <w:r>
              <w:t>Application for private mooring licence (r. 83)</w:t>
            </w:r>
          </w:p>
        </w:tc>
        <w:tc>
          <w:tcPr>
            <w:tcW w:w="992" w:type="dxa"/>
            <w:vAlign w:val="bottom"/>
          </w:tcPr>
          <w:p>
            <w:pPr>
              <w:pStyle w:val="yTableNAm"/>
              <w:jc w:val="center"/>
            </w:pPr>
            <w:r>
              <w:t>50.00</w:t>
            </w:r>
          </w:p>
        </w:tc>
      </w:tr>
    </w:tbl>
    <w:p>
      <w:pPr>
        <w:pStyle w:val="yFootnotesection"/>
      </w:pPr>
      <w:r>
        <w:tab/>
        <w:t>[Division 8 inserted in Gazette 27 Sep 2013 p. 4528-9; amended in Gazette 24 Mar 2015 p. 1043; 14 Jul 2015 p. 2788; 5 Jul 2016 p. 2816.]</w:t>
      </w:r>
    </w:p>
    <w:p>
      <w:pPr>
        <w:pStyle w:val="yHeading3"/>
        <w:rPr>
          <w:rStyle w:val="CharSDivText"/>
        </w:rPr>
      </w:pPr>
      <w:bookmarkStart w:id="550" w:name="_Toc458590395"/>
      <w:bookmarkStart w:id="551" w:name="_Toc458590617"/>
      <w:bookmarkStart w:id="552" w:name="_Toc458590838"/>
      <w:bookmarkStart w:id="553" w:name="_Toc462045493"/>
      <w:bookmarkStart w:id="554" w:name="_Toc436903870"/>
      <w:bookmarkStart w:id="555" w:name="_Toc436905812"/>
      <w:bookmarkStart w:id="556" w:name="_Toc436906033"/>
      <w:bookmarkStart w:id="557" w:name="_Toc437515786"/>
      <w:bookmarkStart w:id="558" w:name="_Toc447533386"/>
      <w:bookmarkStart w:id="559" w:name="_Toc456878294"/>
      <w:bookmarkStart w:id="560" w:name="_Toc456951811"/>
      <w:r>
        <w:rPr>
          <w:rStyle w:val="CharSDivNo"/>
        </w:rPr>
        <w:t>Division 9</w:t>
      </w:r>
      <w:r>
        <w:rPr>
          <w:b w:val="0"/>
        </w:rPr>
        <w:t> — </w:t>
      </w:r>
      <w:r>
        <w:rPr>
          <w:rStyle w:val="CharSDivText"/>
        </w:rPr>
        <w:t>Fees for abseiling</w:t>
      </w:r>
      <w:bookmarkEnd w:id="550"/>
      <w:bookmarkEnd w:id="551"/>
      <w:bookmarkEnd w:id="552"/>
      <w:bookmarkEnd w:id="553"/>
    </w:p>
    <w:p>
      <w:pPr>
        <w:pStyle w:val="yFootnoteheading"/>
        <w:keepNext/>
        <w:keepLines/>
        <w:spacing w:after="60"/>
        <w:rPr>
          <w:snapToGrid w:val="0"/>
        </w:rPr>
      </w:pPr>
      <w:r>
        <w:tab/>
        <w:t>[Heading inserted in Gazette 5 Jul 2016 p. 2817.]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zyTableNAm"/>
            </w:pPr>
          </w:p>
        </w:tc>
        <w:tc>
          <w:tcPr>
            <w:tcW w:w="5245" w:type="dxa"/>
          </w:tcPr>
          <w:p>
            <w:pPr>
              <w:pStyle w:val="z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Fee for abseiling other than at Wilyabrup Cliffs (r. 102A)</w:t>
            </w:r>
          </w:p>
          <w:p>
            <w:pPr>
              <w:pStyle w:val="yTableNAm"/>
              <w:tabs>
                <w:tab w:val="clear" w:pos="567"/>
                <w:tab w:val="left" w:pos="417"/>
              </w:tabs>
              <w:ind w:left="417" w:hanging="417"/>
            </w:pPr>
            <w:r>
              <w:tab/>
              <w:t>per person per half</w:t>
            </w:r>
            <w:r>
              <w:noBreakHyphen/>
              <w:t>day</w:t>
            </w:r>
          </w:p>
        </w:tc>
        <w:tc>
          <w:tcPr>
            <w:tcW w:w="992" w:type="dxa"/>
          </w:tcPr>
          <w:p>
            <w:pPr>
              <w:pStyle w:val="yTableNAm"/>
              <w:jc w:val="center"/>
            </w:pPr>
          </w:p>
          <w:p>
            <w:pPr>
              <w:pStyle w:val="yTableNAm"/>
              <w:jc w:val="center"/>
            </w:pPr>
            <w:r>
              <w:t>9.50</w:t>
            </w:r>
          </w:p>
        </w:tc>
      </w:tr>
      <w:tr>
        <w:tc>
          <w:tcPr>
            <w:tcW w:w="709" w:type="dxa"/>
          </w:tcPr>
          <w:p>
            <w:pPr>
              <w:pStyle w:val="yTableNAm"/>
            </w:pPr>
            <w:r>
              <w:t>2.</w:t>
            </w:r>
          </w:p>
        </w:tc>
        <w:tc>
          <w:tcPr>
            <w:tcW w:w="5245" w:type="dxa"/>
          </w:tcPr>
          <w:p>
            <w:pPr>
              <w:pStyle w:val="yTableNAm"/>
            </w:pPr>
            <w:r>
              <w:t>Fee for abseiling at Wilyabrup Cliffs (r. 102A)</w:t>
            </w:r>
          </w:p>
        </w:tc>
        <w:tc>
          <w:tcPr>
            <w:tcW w:w="992" w:type="dxa"/>
          </w:tcPr>
          <w:p>
            <w:pPr>
              <w:pStyle w:val="yTableNAm"/>
              <w:jc w:val="center"/>
            </w:pPr>
            <w:r>
              <w:t>9.50</w:t>
            </w:r>
          </w:p>
        </w:tc>
      </w:tr>
    </w:tbl>
    <w:p>
      <w:pPr>
        <w:pStyle w:val="yFootnotesection"/>
      </w:pPr>
      <w:bookmarkStart w:id="561" w:name="_Toc436903871"/>
      <w:bookmarkStart w:id="562" w:name="_Toc436905813"/>
      <w:bookmarkStart w:id="563" w:name="_Toc436906034"/>
      <w:bookmarkStart w:id="564" w:name="_Toc437515787"/>
      <w:bookmarkStart w:id="565" w:name="_Toc447533387"/>
      <w:bookmarkStart w:id="566" w:name="_Toc456878295"/>
      <w:bookmarkStart w:id="567" w:name="_Toc456951812"/>
      <w:bookmarkEnd w:id="554"/>
      <w:bookmarkEnd w:id="555"/>
      <w:bookmarkEnd w:id="556"/>
      <w:bookmarkEnd w:id="557"/>
      <w:bookmarkEnd w:id="558"/>
      <w:bookmarkEnd w:id="559"/>
      <w:bookmarkEnd w:id="560"/>
      <w:r>
        <w:tab/>
        <w:t>[Division 9 inserted in Gazette 5 Jul 2016 p. 2817.]</w:t>
      </w:r>
    </w:p>
    <w:p>
      <w:pPr>
        <w:pStyle w:val="yHeading3"/>
        <w:rPr>
          <w:rStyle w:val="CharSDivText"/>
        </w:rPr>
      </w:pPr>
      <w:bookmarkStart w:id="568" w:name="_Toc458590396"/>
      <w:bookmarkStart w:id="569" w:name="_Toc458590618"/>
      <w:bookmarkStart w:id="570" w:name="_Toc458590839"/>
      <w:bookmarkStart w:id="571" w:name="_Toc462045494"/>
      <w:r>
        <w:rPr>
          <w:rStyle w:val="CharSDivNo"/>
        </w:rPr>
        <w:t>Division 10</w:t>
      </w:r>
      <w:r>
        <w:rPr>
          <w:b w:val="0"/>
        </w:rPr>
        <w:t> — </w:t>
      </w:r>
      <w:r>
        <w:rPr>
          <w:rStyle w:val="CharSDivText"/>
        </w:rPr>
        <w:t>Entrance fees for Monkey Mia Conservation Park</w:t>
      </w:r>
      <w:bookmarkEnd w:id="568"/>
      <w:bookmarkEnd w:id="569"/>
      <w:bookmarkEnd w:id="570"/>
      <w:bookmarkEnd w:id="571"/>
    </w:p>
    <w:p>
      <w:pPr>
        <w:pStyle w:val="yFootnoteheading"/>
        <w:keepNext/>
        <w:keepLines/>
        <w:spacing w:after="60"/>
        <w:rPr>
          <w:snapToGrid w:val="0"/>
        </w:rPr>
      </w:pPr>
      <w:r>
        <w:tab/>
        <w:t>[Heading inserted in Gazette 5 Jul 2016 p. 2817.]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zyTableNAm"/>
            </w:pPr>
          </w:p>
        </w:tc>
        <w:tc>
          <w:tcPr>
            <w:tcW w:w="5245" w:type="dxa"/>
          </w:tcPr>
          <w:p>
            <w:pPr>
              <w:pStyle w:val="zyTableNAm"/>
            </w:pPr>
          </w:p>
        </w:tc>
        <w:tc>
          <w:tcPr>
            <w:tcW w:w="992" w:type="dxa"/>
            <w:vAlign w:val="center"/>
          </w:tcPr>
          <w:p>
            <w:pPr>
              <w:pStyle w:val="yTableNAm"/>
              <w:jc w:val="center"/>
              <w:rPr>
                <w:b/>
              </w:rP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992" w:type="dxa"/>
          </w:tcPr>
          <w:p>
            <w:pPr>
              <w:pStyle w:val="yTableNAm"/>
              <w:jc w:val="center"/>
            </w:pPr>
            <w:r>
              <w:t>12.00</w:t>
            </w:r>
          </w:p>
        </w:tc>
      </w:tr>
      <w:tr>
        <w:trPr>
          <w:cantSplit/>
        </w:trPr>
        <w:tc>
          <w:tcPr>
            <w:tcW w:w="709" w:type="dxa"/>
          </w:tcPr>
          <w:p>
            <w:pPr>
              <w:pStyle w:val="yTableNAm"/>
            </w:pPr>
            <w:r>
              <w:t>2.</w:t>
            </w:r>
          </w:p>
        </w:tc>
        <w:tc>
          <w:tcPr>
            <w:tcW w:w="5245" w:type="dxa"/>
          </w:tcPr>
          <w:p>
            <w:pPr>
              <w:pStyle w:val="yTableNAm"/>
            </w:pPr>
            <w:r>
              <w:t>For person of more than 5 and less than 16 years of age</w:t>
            </w:r>
          </w:p>
        </w:tc>
        <w:tc>
          <w:tcPr>
            <w:tcW w:w="992" w:type="dxa"/>
          </w:tcPr>
          <w:p>
            <w:pPr>
              <w:pStyle w:val="yTableNAm"/>
              <w:jc w:val="center"/>
            </w:pPr>
            <w:r>
              <w:t>4.50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vAlign w:val="center"/>
          </w:tcPr>
          <w:p>
            <w:pPr>
              <w:pStyle w:val="yTableNAm"/>
              <w:jc w:val="center"/>
            </w:pPr>
            <w:r>
              <w:br/>
              <w:t>28.50</w:t>
            </w:r>
          </w:p>
        </w:tc>
      </w:tr>
      <w:tr>
        <w:trPr>
          <w:cantSplit/>
        </w:trP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9.00</w:t>
            </w:r>
          </w:p>
        </w:tc>
      </w:tr>
      <w:tr>
        <w:trPr>
          <w:cantSplit/>
        </w:trPr>
        <w:tc>
          <w:tcPr>
            <w:tcW w:w="709" w:type="dxa"/>
          </w:tcPr>
          <w:p>
            <w:pPr>
              <w:pStyle w:val="yTableNAm"/>
            </w:pPr>
            <w:r>
              <w:t>5.</w:t>
            </w:r>
          </w:p>
        </w:tc>
        <w:tc>
          <w:tcPr>
            <w:tcW w:w="5245" w:type="dxa"/>
          </w:tcPr>
          <w:p>
            <w:pPr>
              <w:pStyle w:val="yTableNAm"/>
            </w:pPr>
            <w:r>
              <w:t>One month pass for person 16 years of age or over</w:t>
            </w:r>
          </w:p>
        </w:tc>
        <w:tc>
          <w:tcPr>
            <w:tcW w:w="992" w:type="dxa"/>
          </w:tcPr>
          <w:p>
            <w:pPr>
              <w:pStyle w:val="yTableNAm"/>
              <w:jc w:val="center"/>
            </w:pPr>
            <w:r>
              <w:t>18.00</w:t>
            </w:r>
          </w:p>
        </w:tc>
      </w:tr>
      <w:tr>
        <w:trPr>
          <w:cantSplit/>
        </w:trPr>
        <w:tc>
          <w:tcPr>
            <w:tcW w:w="709" w:type="dxa"/>
          </w:tcPr>
          <w:p>
            <w:pPr>
              <w:pStyle w:val="yTableNAm"/>
            </w:pPr>
            <w:r>
              <w:t>6.</w:t>
            </w:r>
          </w:p>
        </w:tc>
        <w:tc>
          <w:tcPr>
            <w:tcW w:w="5245" w:type="dxa"/>
          </w:tcPr>
          <w:p>
            <w:pPr>
              <w:pStyle w:val="yTableNAm"/>
            </w:pPr>
            <w:r>
              <w:t>One month pass for person of more than 5 and less than 16 years of age</w:t>
            </w:r>
          </w:p>
        </w:tc>
        <w:tc>
          <w:tcPr>
            <w:tcW w:w="992" w:type="dxa"/>
          </w:tcPr>
          <w:p>
            <w:pPr>
              <w:pStyle w:val="yTableNAm"/>
              <w:jc w:val="center"/>
            </w:pPr>
            <w:r>
              <w:br/>
              <w:t>7.50</w:t>
            </w:r>
          </w:p>
        </w:tc>
      </w:tr>
      <w:tr>
        <w:trPr>
          <w:cantSplit/>
        </w:trPr>
        <w:tc>
          <w:tcPr>
            <w:tcW w:w="709" w:type="dxa"/>
          </w:tcPr>
          <w:p>
            <w:pPr>
              <w:pStyle w:val="yTableNAm"/>
            </w:pPr>
            <w:r>
              <w:t>7.</w:t>
            </w:r>
          </w:p>
        </w:tc>
        <w:tc>
          <w:tcPr>
            <w:tcW w:w="5245" w:type="dxa"/>
          </w:tcPr>
          <w:p>
            <w:pPr>
              <w:pStyle w:val="yTableNAm"/>
            </w:pPr>
            <w:r>
              <w:t>One month pass for family (2 adults and 2 children of more than 5 and less than 16 years of age)</w:t>
            </w:r>
          </w:p>
        </w:tc>
        <w:tc>
          <w:tcPr>
            <w:tcW w:w="992" w:type="dxa"/>
          </w:tcPr>
          <w:p>
            <w:pPr>
              <w:pStyle w:val="yTableNAm"/>
              <w:jc w:val="center"/>
            </w:pPr>
            <w:r>
              <w:br/>
              <w:t>43.50</w:t>
            </w:r>
          </w:p>
        </w:tc>
      </w:tr>
      <w:tr>
        <w:trPr>
          <w:cantSplit/>
        </w:trPr>
        <w:tc>
          <w:tcPr>
            <w:tcW w:w="709" w:type="dxa"/>
          </w:tcPr>
          <w:p>
            <w:pPr>
              <w:pStyle w:val="yTableNAm"/>
            </w:pPr>
            <w:r>
              <w:t>8.</w:t>
            </w:r>
          </w:p>
        </w:tc>
        <w:tc>
          <w:tcPr>
            <w:tcW w:w="5245" w:type="dxa"/>
          </w:tcPr>
          <w:p>
            <w:pPr>
              <w:pStyle w:val="yTableNAm"/>
            </w:pPr>
            <w:r>
              <w:t>One month pass for holder of a concession card</w:t>
            </w:r>
          </w:p>
        </w:tc>
        <w:tc>
          <w:tcPr>
            <w:tcW w:w="992" w:type="dxa"/>
          </w:tcPr>
          <w:p>
            <w:pPr>
              <w:pStyle w:val="yTableNAm"/>
              <w:jc w:val="center"/>
            </w:pPr>
            <w:r>
              <w:t>15.00</w:t>
            </w:r>
          </w:p>
        </w:tc>
      </w:tr>
    </w:tbl>
    <w:p>
      <w:pPr>
        <w:pStyle w:val="yFootnotesection"/>
      </w:pPr>
      <w:r>
        <w:tab/>
        <w:t>[Division 10 inserted in Gazette 5 Jul 2016 p. 2817.]</w:t>
      </w:r>
    </w:p>
    <w:p>
      <w:pPr>
        <w:pStyle w:val="yHeading3"/>
        <w:pageBreakBefore/>
        <w:spacing w:before="0"/>
      </w:pPr>
      <w:bookmarkStart w:id="572" w:name="_Toc436903872"/>
      <w:bookmarkStart w:id="573" w:name="_Toc436905814"/>
      <w:bookmarkStart w:id="574" w:name="_Toc436906035"/>
      <w:bookmarkStart w:id="575" w:name="_Toc437515788"/>
      <w:bookmarkStart w:id="576" w:name="_Toc447533388"/>
      <w:bookmarkStart w:id="577" w:name="_Toc456878296"/>
      <w:bookmarkStart w:id="578" w:name="_Toc456951813"/>
      <w:bookmarkStart w:id="579" w:name="_Toc458590397"/>
      <w:bookmarkStart w:id="580" w:name="_Toc458590619"/>
      <w:bookmarkStart w:id="581" w:name="_Toc458590840"/>
      <w:bookmarkStart w:id="582" w:name="_Toc462045495"/>
      <w:bookmarkEnd w:id="561"/>
      <w:bookmarkEnd w:id="562"/>
      <w:bookmarkEnd w:id="563"/>
      <w:bookmarkEnd w:id="564"/>
      <w:bookmarkEnd w:id="565"/>
      <w:bookmarkEnd w:id="566"/>
      <w:bookmarkEnd w:id="567"/>
      <w:r>
        <w:rPr>
          <w:rStyle w:val="CharSDivNo"/>
        </w:rPr>
        <w:t>Division 11</w:t>
      </w:r>
      <w:r>
        <w:rPr>
          <w:b w:val="0"/>
        </w:rPr>
        <w:t> — </w:t>
      </w:r>
      <w:r>
        <w:rPr>
          <w:rStyle w:val="CharSDivText"/>
        </w:rPr>
        <w:t>Apiary permit and licence fees</w:t>
      </w:r>
      <w:bookmarkEnd w:id="572"/>
      <w:bookmarkEnd w:id="573"/>
      <w:bookmarkEnd w:id="574"/>
      <w:bookmarkEnd w:id="575"/>
      <w:bookmarkEnd w:id="576"/>
      <w:bookmarkEnd w:id="577"/>
      <w:bookmarkEnd w:id="578"/>
      <w:bookmarkEnd w:id="579"/>
      <w:bookmarkEnd w:id="580"/>
      <w:bookmarkEnd w:id="581"/>
      <w:bookmarkEnd w:id="582"/>
    </w:p>
    <w:p>
      <w:pPr>
        <w:pStyle w:val="yFootnoteheading"/>
        <w:keepNext/>
        <w:keepLines/>
        <w:spacing w:after="60"/>
      </w:pPr>
      <w:r>
        <w:tab/>
        <w:t>[Heading inserted in Gazette 3 Sep 2010 p. 4283.]</w:t>
      </w:r>
    </w:p>
    <w:tbl>
      <w:tblPr>
        <w:tblW w:w="0" w:type="auto"/>
        <w:tblInd w:w="85" w:type="dxa"/>
        <w:tblLayout w:type="fixed"/>
        <w:tblCellMar>
          <w:left w:w="85" w:type="dxa"/>
          <w:bottom w:w="57" w:type="dxa"/>
          <w:right w:w="85" w:type="dxa"/>
        </w:tblCellMar>
        <w:tblLook w:val="0000" w:firstRow="0" w:lastRow="0" w:firstColumn="0" w:lastColumn="0" w:noHBand="0" w:noVBand="0"/>
      </w:tblPr>
      <w:tblGrid>
        <w:gridCol w:w="652"/>
        <w:gridCol w:w="5444"/>
        <w:gridCol w:w="992"/>
      </w:tblGrid>
      <w:tr>
        <w:trPr>
          <w:tblHeader/>
        </w:trPr>
        <w:tc>
          <w:tcPr>
            <w:tcW w:w="652" w:type="dxa"/>
          </w:tcPr>
          <w:p>
            <w:pPr>
              <w:pStyle w:val="yTableNAm"/>
              <w:keepNext/>
              <w:keepLines/>
              <w:spacing w:before="60"/>
            </w:pPr>
          </w:p>
        </w:tc>
        <w:tc>
          <w:tcPr>
            <w:tcW w:w="5444" w:type="dxa"/>
          </w:tcPr>
          <w:p>
            <w:pPr>
              <w:pStyle w:val="yTableNAm"/>
              <w:keepNext/>
              <w:keepLines/>
              <w:spacing w:before="60"/>
            </w:pPr>
          </w:p>
        </w:tc>
        <w:tc>
          <w:tcPr>
            <w:tcW w:w="992" w:type="dxa"/>
            <w:vAlign w:val="bottom"/>
          </w:tcPr>
          <w:p>
            <w:pPr>
              <w:pStyle w:val="yTableNAm"/>
              <w:keepNext/>
              <w:keepLines/>
              <w:tabs>
                <w:tab w:val="clear" w:pos="567"/>
              </w:tabs>
              <w:spacing w:before="60"/>
              <w:jc w:val="center"/>
              <w:rPr>
                <w:b/>
                <w:bCs/>
              </w:rPr>
            </w:pPr>
            <w:r>
              <w:rPr>
                <w:b/>
                <w:bCs/>
              </w:rPr>
              <w:t>$</w:t>
            </w:r>
          </w:p>
        </w:tc>
      </w:tr>
      <w:tr>
        <w:trPr>
          <w:cantSplit/>
        </w:trPr>
        <w:tc>
          <w:tcPr>
            <w:tcW w:w="652" w:type="dxa"/>
          </w:tcPr>
          <w:p>
            <w:pPr>
              <w:pStyle w:val="yTableNAm"/>
              <w:spacing w:before="60"/>
            </w:pPr>
            <w:r>
              <w:t>1.</w:t>
            </w:r>
          </w:p>
        </w:tc>
        <w:tc>
          <w:tcPr>
            <w:tcW w:w="5444" w:type="dxa"/>
          </w:tcPr>
          <w:p>
            <w:pPr>
              <w:pStyle w:val="yTableNAm"/>
              <w:spacing w:before="60"/>
            </w:pPr>
            <w:r>
              <w:t xml:space="preserve">Application for grant of apiary authority where item 4 does not apply — </w:t>
            </w:r>
          </w:p>
          <w:p>
            <w:pPr>
              <w:pStyle w:val="yTableNAm"/>
              <w:spacing w:before="60"/>
              <w:ind w:left="567" w:hanging="567"/>
            </w:pPr>
            <w:r>
              <w:t>(a)</w:t>
            </w:r>
            <w:r>
              <w:tab/>
              <w:t>for apiary site in South</w:t>
            </w:r>
            <w:r>
              <w:noBreakHyphen/>
              <w:t>west zone</w:t>
            </w:r>
            <w:r>
              <w:br/>
              <w:t>(fee per 5 sites)</w:t>
            </w:r>
          </w:p>
          <w:p>
            <w:pPr>
              <w:pStyle w:val="yTableNAm"/>
              <w:spacing w:before="60"/>
              <w:ind w:left="567" w:hanging="567"/>
            </w:pPr>
            <w:r>
              <w:t>(b)</w:t>
            </w:r>
            <w:r>
              <w:tab/>
              <w:t>for apiary site outside the South</w:t>
            </w:r>
            <w:r>
              <w:noBreakHyphen/>
              <w:t xml:space="preserve">west zone </w:t>
            </w:r>
            <w:r>
              <w:br/>
              <w:t>(fee per 5 sites)</w:t>
            </w:r>
          </w:p>
        </w:tc>
        <w:tc>
          <w:tcPr>
            <w:tcW w:w="992" w:type="dxa"/>
            <w:vAlign w:val="bottom"/>
          </w:tcPr>
          <w:p>
            <w:pPr>
              <w:pStyle w:val="yTableNAm"/>
              <w:tabs>
                <w:tab w:val="clear" w:pos="567"/>
              </w:tabs>
              <w:spacing w:before="60"/>
              <w:jc w:val="center"/>
            </w:pPr>
            <w:r>
              <w:br/>
            </w:r>
          </w:p>
          <w:p>
            <w:pPr>
              <w:pStyle w:val="yTableNAm"/>
              <w:tabs>
                <w:tab w:val="clear" w:pos="567"/>
              </w:tabs>
              <w:spacing w:before="60"/>
              <w:jc w:val="center"/>
            </w:pPr>
            <w:r>
              <w:br/>
              <w:t>148.00</w:t>
            </w:r>
          </w:p>
          <w:p>
            <w:pPr>
              <w:pStyle w:val="yTableNAm"/>
              <w:tabs>
                <w:tab w:val="clear" w:pos="567"/>
              </w:tabs>
              <w:spacing w:before="60"/>
              <w:jc w:val="center"/>
            </w:pPr>
            <w:r>
              <w:br/>
              <w:t>71.00</w:t>
            </w:r>
          </w:p>
        </w:tc>
      </w:tr>
      <w:tr>
        <w:tc>
          <w:tcPr>
            <w:tcW w:w="652" w:type="dxa"/>
          </w:tcPr>
          <w:p>
            <w:pPr>
              <w:pStyle w:val="yTableNAm"/>
              <w:spacing w:before="60"/>
            </w:pPr>
            <w:r>
              <w:t>2.</w:t>
            </w:r>
          </w:p>
        </w:tc>
        <w:tc>
          <w:tcPr>
            <w:tcW w:w="5444" w:type="dxa"/>
          </w:tcPr>
          <w:p>
            <w:pPr>
              <w:pStyle w:val="yTableNAm"/>
              <w:spacing w:before="60"/>
              <w:rPr>
                <w:rStyle w:val="DraftersNotes"/>
              </w:rPr>
            </w:pPr>
            <w:r>
              <w:t>Application to transfer apiary authority</w:t>
            </w:r>
          </w:p>
        </w:tc>
        <w:tc>
          <w:tcPr>
            <w:tcW w:w="992" w:type="dxa"/>
            <w:vAlign w:val="bottom"/>
          </w:tcPr>
          <w:p>
            <w:pPr>
              <w:pStyle w:val="yTableNAm"/>
              <w:tabs>
                <w:tab w:val="clear" w:pos="567"/>
              </w:tabs>
              <w:spacing w:before="60"/>
              <w:jc w:val="center"/>
            </w:pPr>
            <w:r>
              <w:t>13.00</w:t>
            </w:r>
          </w:p>
        </w:tc>
      </w:tr>
      <w:tr>
        <w:tc>
          <w:tcPr>
            <w:tcW w:w="652" w:type="dxa"/>
          </w:tcPr>
          <w:p>
            <w:pPr>
              <w:pStyle w:val="yTableNAm"/>
              <w:spacing w:before="60"/>
            </w:pPr>
            <w:r>
              <w:t>3.</w:t>
            </w:r>
          </w:p>
        </w:tc>
        <w:tc>
          <w:tcPr>
            <w:tcW w:w="5444" w:type="dxa"/>
          </w:tcPr>
          <w:p>
            <w:pPr>
              <w:pStyle w:val="yTableNAm"/>
              <w:spacing w:before="60"/>
            </w:pPr>
            <w:r>
              <w:t xml:space="preserve">Application to vary apiary licence to change the site to which it relates — </w:t>
            </w:r>
          </w:p>
          <w:p>
            <w:pPr>
              <w:pStyle w:val="yTableNAm"/>
              <w:spacing w:before="60"/>
              <w:ind w:left="567" w:hanging="567"/>
            </w:pPr>
            <w:r>
              <w:t>(a)</w:t>
            </w:r>
            <w:r>
              <w:tab/>
              <w:t>where new site is in the South</w:t>
            </w:r>
            <w:r>
              <w:noBreakHyphen/>
              <w:t xml:space="preserve">west zone </w:t>
            </w:r>
            <w:r>
              <w:br/>
              <w:t>(fee per 5 new sites)</w:t>
            </w:r>
          </w:p>
          <w:p>
            <w:pPr>
              <w:pStyle w:val="yTableNAm"/>
              <w:spacing w:before="60"/>
              <w:ind w:left="567" w:hanging="567"/>
            </w:pPr>
            <w:r>
              <w:t>(b)</w:t>
            </w:r>
            <w:r>
              <w:tab/>
              <w:t>where new site is outside the South</w:t>
            </w:r>
            <w:r>
              <w:noBreakHyphen/>
              <w:t>west zone (fee per 5 new sites)</w:t>
            </w:r>
          </w:p>
        </w:tc>
        <w:tc>
          <w:tcPr>
            <w:tcW w:w="992" w:type="dxa"/>
            <w:vAlign w:val="bottom"/>
          </w:tcPr>
          <w:p>
            <w:pPr>
              <w:pStyle w:val="yTableNAm"/>
              <w:tabs>
                <w:tab w:val="clear" w:pos="567"/>
              </w:tabs>
              <w:spacing w:before="60"/>
              <w:jc w:val="center"/>
            </w:pPr>
            <w:r>
              <w:br/>
            </w:r>
          </w:p>
          <w:p>
            <w:pPr>
              <w:pStyle w:val="yTableNAm"/>
              <w:tabs>
                <w:tab w:val="clear" w:pos="567"/>
              </w:tabs>
              <w:spacing w:before="60"/>
              <w:jc w:val="center"/>
            </w:pPr>
            <w:r>
              <w:br/>
              <w:t>110.00</w:t>
            </w:r>
          </w:p>
          <w:p>
            <w:pPr>
              <w:pStyle w:val="yTableNAm"/>
              <w:tabs>
                <w:tab w:val="clear" w:pos="567"/>
              </w:tabs>
              <w:spacing w:before="60"/>
              <w:jc w:val="center"/>
            </w:pPr>
            <w:r>
              <w:br/>
              <w:t>55.00</w:t>
            </w:r>
          </w:p>
        </w:tc>
      </w:tr>
      <w:tr>
        <w:tc>
          <w:tcPr>
            <w:tcW w:w="652" w:type="dxa"/>
          </w:tcPr>
          <w:p>
            <w:pPr>
              <w:pStyle w:val="yTableNAm"/>
              <w:spacing w:before="80"/>
            </w:pPr>
            <w:r>
              <w:t>4.</w:t>
            </w:r>
          </w:p>
        </w:tc>
        <w:tc>
          <w:tcPr>
            <w:tcW w:w="5444" w:type="dxa"/>
          </w:tcPr>
          <w:p>
            <w:pPr>
              <w:pStyle w:val="yTableNAm"/>
              <w:spacing w:before="80"/>
            </w:pPr>
            <w:r>
              <w:t xml:space="preserve">Application for grant of apiary permit where permit is sought to replace a permit held by the applicant for a different site which will be surrendered if the application is granted — </w:t>
            </w:r>
          </w:p>
          <w:p>
            <w:pPr>
              <w:pStyle w:val="yTableNAm"/>
              <w:spacing w:before="80"/>
              <w:ind w:left="567" w:hanging="567"/>
            </w:pPr>
            <w:r>
              <w:t>(a)</w:t>
            </w:r>
            <w:r>
              <w:tab/>
              <w:t>where new site is in the South</w:t>
            </w:r>
            <w:r>
              <w:noBreakHyphen/>
              <w:t xml:space="preserve">west zone </w:t>
            </w:r>
            <w:r>
              <w:br/>
              <w:t>(fee per 5 new sites)</w:t>
            </w:r>
          </w:p>
          <w:p>
            <w:pPr>
              <w:pStyle w:val="yTableNAm"/>
              <w:spacing w:before="80"/>
              <w:ind w:left="567" w:hanging="567"/>
            </w:pPr>
            <w:r>
              <w:t>(b)</w:t>
            </w:r>
            <w:r>
              <w:tab/>
              <w:t>where new site is outside the South</w:t>
            </w:r>
            <w:r>
              <w:noBreakHyphen/>
              <w:t>west zone (fee per 5 new sites)</w:t>
            </w:r>
          </w:p>
        </w:tc>
        <w:tc>
          <w:tcPr>
            <w:tcW w:w="992" w:type="dxa"/>
            <w:vAlign w:val="bottom"/>
          </w:tcPr>
          <w:p>
            <w:pPr>
              <w:pStyle w:val="yTableNAm"/>
              <w:tabs>
                <w:tab w:val="clear" w:pos="567"/>
              </w:tabs>
              <w:spacing w:before="80"/>
              <w:jc w:val="center"/>
            </w:pPr>
            <w:r>
              <w:br/>
            </w:r>
            <w:r>
              <w:br/>
            </w:r>
            <w:r>
              <w:br/>
            </w:r>
          </w:p>
          <w:p>
            <w:pPr>
              <w:pStyle w:val="yTableNAm"/>
              <w:tabs>
                <w:tab w:val="clear" w:pos="567"/>
              </w:tabs>
              <w:spacing w:before="80"/>
              <w:jc w:val="center"/>
            </w:pPr>
            <w:r>
              <w:br/>
              <w:t>110.00</w:t>
            </w:r>
          </w:p>
          <w:p>
            <w:pPr>
              <w:pStyle w:val="yTableNAm"/>
              <w:tabs>
                <w:tab w:val="clear" w:pos="567"/>
              </w:tabs>
              <w:spacing w:before="80"/>
              <w:jc w:val="center"/>
            </w:pPr>
            <w:r>
              <w:br/>
              <w:t>55.00</w:t>
            </w:r>
          </w:p>
        </w:tc>
      </w:tr>
    </w:tbl>
    <w:p>
      <w:pPr>
        <w:pStyle w:val="yFootnotesection"/>
      </w:pPr>
      <w:r>
        <w:tab/>
        <w:t>[Division 11 inserted in Gazette 3 Sep 2010 p. 4283; amended in Gazette 14 Jul 2015 p. 2789.]</w:t>
      </w:r>
    </w:p>
    <w:p>
      <w:pPr>
        <w:pStyle w:val="yHeading3"/>
        <w:spacing w:before="360"/>
      </w:pPr>
      <w:bookmarkStart w:id="583" w:name="_Toc436903873"/>
      <w:bookmarkStart w:id="584" w:name="_Toc436905815"/>
      <w:bookmarkStart w:id="585" w:name="_Toc436906036"/>
      <w:bookmarkStart w:id="586" w:name="_Toc437515789"/>
      <w:bookmarkStart w:id="587" w:name="_Toc447533389"/>
      <w:bookmarkStart w:id="588" w:name="_Toc456878297"/>
      <w:bookmarkStart w:id="589" w:name="_Toc456951814"/>
      <w:bookmarkStart w:id="590" w:name="_Toc458590398"/>
      <w:bookmarkStart w:id="591" w:name="_Toc458590620"/>
      <w:bookmarkStart w:id="592" w:name="_Toc458590841"/>
      <w:bookmarkStart w:id="593" w:name="_Toc462045496"/>
      <w:r>
        <w:rPr>
          <w:rStyle w:val="CharSDivNo"/>
        </w:rPr>
        <w:t>Division 12</w:t>
      </w:r>
      <w:r>
        <w:rPr>
          <w:b w:val="0"/>
        </w:rPr>
        <w:t> — </w:t>
      </w:r>
      <w:r>
        <w:rPr>
          <w:rStyle w:val="CharSDivText"/>
        </w:rPr>
        <w:t>Landing fees for aircraft</w:t>
      </w:r>
      <w:bookmarkEnd w:id="583"/>
      <w:bookmarkEnd w:id="584"/>
      <w:bookmarkEnd w:id="585"/>
      <w:bookmarkEnd w:id="586"/>
      <w:bookmarkEnd w:id="587"/>
      <w:bookmarkEnd w:id="588"/>
      <w:bookmarkEnd w:id="589"/>
      <w:bookmarkEnd w:id="590"/>
      <w:bookmarkEnd w:id="591"/>
      <w:bookmarkEnd w:id="592"/>
      <w:bookmarkEnd w:id="593"/>
    </w:p>
    <w:p>
      <w:pPr>
        <w:pStyle w:val="yFootnoteheading"/>
        <w:keepNext/>
        <w:keepLines/>
        <w:spacing w:after="60"/>
      </w:pPr>
      <w:r>
        <w:tab/>
        <w:t>[Heading inserted in Gazette 3 Dec 2010 p. 6052.]</w:t>
      </w:r>
    </w:p>
    <w:tbl>
      <w:tblPr>
        <w:tblW w:w="0" w:type="auto"/>
        <w:tblInd w:w="85" w:type="dxa"/>
        <w:tblLayout w:type="fixed"/>
        <w:tblCellMar>
          <w:left w:w="85" w:type="dxa"/>
          <w:right w:w="85" w:type="dxa"/>
        </w:tblCellMar>
        <w:tblLook w:val="0000" w:firstRow="0" w:lastRow="0" w:firstColumn="0" w:lastColumn="0" w:noHBand="0" w:noVBand="0"/>
      </w:tblPr>
      <w:tblGrid>
        <w:gridCol w:w="652"/>
        <w:gridCol w:w="5444"/>
        <w:gridCol w:w="992"/>
      </w:tblGrid>
      <w:tr>
        <w:tc>
          <w:tcPr>
            <w:tcW w:w="652" w:type="dxa"/>
          </w:tcPr>
          <w:p>
            <w:pPr>
              <w:pStyle w:val="yTableNAm"/>
            </w:pPr>
            <w:r>
              <w:t>1.</w:t>
            </w:r>
          </w:p>
        </w:tc>
        <w:tc>
          <w:tcPr>
            <w:tcW w:w="5444" w:type="dxa"/>
          </w:tcPr>
          <w:p>
            <w:pPr>
              <w:pStyle w:val="yTableNAm"/>
            </w:pPr>
            <w:r>
              <w:t>Daily landing fee for each occupant of an aircraft landing on an aircraft landing area</w:t>
            </w:r>
          </w:p>
        </w:tc>
        <w:tc>
          <w:tcPr>
            <w:tcW w:w="992" w:type="dxa"/>
          </w:tcPr>
          <w:p>
            <w:pPr>
              <w:pStyle w:val="yTableNAm"/>
              <w:jc w:val="center"/>
            </w:pPr>
            <w:r>
              <w:br/>
              <w:t>11.00</w:t>
            </w:r>
          </w:p>
        </w:tc>
      </w:tr>
    </w:tbl>
    <w:p>
      <w:pPr>
        <w:pStyle w:val="yFootnotesection"/>
      </w:pPr>
      <w:r>
        <w:tab/>
        <w:t>[Division 12 inserted in Gazette 3 Dec 2010 p. 6052.]</w:t>
      </w:r>
    </w:p>
    <w:p>
      <w:pPr>
        <w:pStyle w:val="yScheduleHeading"/>
        <w:outlineLvl w:val="0"/>
      </w:pPr>
      <w:bookmarkStart w:id="594" w:name="_Toc436903874"/>
      <w:bookmarkStart w:id="595" w:name="_Toc436905816"/>
      <w:bookmarkStart w:id="596" w:name="_Toc436906037"/>
      <w:bookmarkStart w:id="597" w:name="_Toc437515790"/>
      <w:bookmarkStart w:id="598" w:name="_Toc447533390"/>
      <w:bookmarkStart w:id="599" w:name="_Toc456878298"/>
      <w:bookmarkStart w:id="600" w:name="_Toc456951815"/>
      <w:bookmarkStart w:id="601" w:name="_Toc458590399"/>
      <w:bookmarkStart w:id="602" w:name="_Toc458590621"/>
      <w:bookmarkStart w:id="603" w:name="_Toc458590842"/>
      <w:bookmarkStart w:id="604" w:name="_Toc462045497"/>
      <w:r>
        <w:rPr>
          <w:rStyle w:val="CharSchNo"/>
        </w:rPr>
        <w:t>Schedule 2</w:t>
      </w:r>
      <w:r>
        <w:t xml:space="preserve"> — </w:t>
      </w:r>
      <w:r>
        <w:rPr>
          <w:rStyle w:val="CharSchText"/>
        </w:rPr>
        <w:t>Offences to which modified penalties apply</w:t>
      </w:r>
      <w:bookmarkEnd w:id="594"/>
      <w:bookmarkEnd w:id="595"/>
      <w:bookmarkEnd w:id="596"/>
      <w:bookmarkEnd w:id="597"/>
      <w:bookmarkEnd w:id="598"/>
      <w:bookmarkEnd w:id="599"/>
      <w:bookmarkEnd w:id="600"/>
      <w:bookmarkEnd w:id="601"/>
      <w:bookmarkEnd w:id="602"/>
      <w:bookmarkEnd w:id="603"/>
      <w:bookmarkEnd w:id="604"/>
    </w:p>
    <w:p>
      <w:pPr>
        <w:pStyle w:val="yShoulderClause"/>
      </w:pPr>
      <w:r>
        <w:t xml:space="preserve">[r. 112] </w:t>
      </w:r>
    </w:p>
    <w:p>
      <w:pPr>
        <w:pStyle w:val="yHeading3"/>
        <w:spacing w:after="80"/>
      </w:pPr>
      <w:bookmarkStart w:id="605" w:name="_Toc436903875"/>
      <w:bookmarkStart w:id="606" w:name="_Toc436905817"/>
      <w:bookmarkStart w:id="607" w:name="_Toc436906038"/>
      <w:bookmarkStart w:id="608" w:name="_Toc437515791"/>
      <w:bookmarkStart w:id="609" w:name="_Toc447533391"/>
      <w:bookmarkStart w:id="610" w:name="_Toc456878299"/>
      <w:bookmarkStart w:id="611" w:name="_Toc456951816"/>
      <w:bookmarkStart w:id="612" w:name="_Toc458590400"/>
      <w:bookmarkStart w:id="613" w:name="_Toc458590622"/>
      <w:bookmarkStart w:id="614" w:name="_Toc458590843"/>
      <w:bookmarkStart w:id="615" w:name="_Toc462045498"/>
      <w:r>
        <w:rPr>
          <w:rStyle w:val="CharSDivNo"/>
        </w:rPr>
        <w:t>Division 1</w:t>
      </w:r>
      <w:r>
        <w:rPr>
          <w:rStyle w:val="CharDivNo"/>
        </w:rPr>
        <w:t xml:space="preserve"> </w:t>
      </w:r>
      <w:r>
        <w:t xml:space="preserve">— </w:t>
      </w:r>
      <w:r>
        <w:rPr>
          <w:rStyle w:val="CharSDivText"/>
        </w:rPr>
        <w:t>Offences under the Act</w:t>
      </w:r>
      <w:bookmarkEnd w:id="605"/>
      <w:bookmarkEnd w:id="606"/>
      <w:bookmarkEnd w:id="607"/>
      <w:bookmarkEnd w:id="608"/>
      <w:bookmarkEnd w:id="609"/>
      <w:bookmarkEnd w:id="610"/>
      <w:bookmarkEnd w:id="611"/>
      <w:bookmarkEnd w:id="612"/>
      <w:bookmarkEnd w:id="613"/>
      <w:bookmarkEnd w:id="614"/>
      <w:bookmarkEnd w:id="615"/>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c>
          <w:tcPr>
            <w:tcW w:w="840" w:type="dxa"/>
            <w:vAlign w:val="center"/>
          </w:tcPr>
          <w:p>
            <w:pPr>
              <w:pStyle w:val="yTable"/>
              <w:rPr>
                <w:b/>
              </w:rPr>
            </w:pPr>
          </w:p>
        </w:tc>
        <w:tc>
          <w:tcPr>
            <w:tcW w:w="1320" w:type="dxa"/>
          </w:tcPr>
          <w:p>
            <w:pPr>
              <w:pStyle w:val="yTable"/>
              <w:rPr>
                <w:b/>
              </w:rPr>
            </w:pPr>
            <w:r>
              <w:rPr>
                <w:b/>
              </w:rPr>
              <w:t>Column 1</w:t>
            </w:r>
          </w:p>
        </w:tc>
        <w:tc>
          <w:tcPr>
            <w:tcW w:w="3720" w:type="dxa"/>
          </w:tcPr>
          <w:p>
            <w:pPr>
              <w:pStyle w:val="yTable"/>
              <w:jc w:val="center"/>
              <w:rPr>
                <w:b/>
              </w:rPr>
            </w:pPr>
            <w:r>
              <w:rPr>
                <w:b/>
              </w:rPr>
              <w:t>Column 2</w:t>
            </w:r>
          </w:p>
        </w:tc>
        <w:tc>
          <w:tcPr>
            <w:tcW w:w="1200" w:type="dxa"/>
          </w:tcPr>
          <w:p>
            <w:pPr>
              <w:pStyle w:val="yTable"/>
              <w:jc w:val="center"/>
              <w:rPr>
                <w:b/>
              </w:rPr>
            </w:pPr>
            <w:r>
              <w:rPr>
                <w:b/>
              </w:rPr>
              <w:t>Column 3</w:t>
            </w:r>
          </w:p>
        </w:tc>
      </w:tr>
      <w:tr>
        <w:tc>
          <w:tcPr>
            <w:tcW w:w="840" w:type="dxa"/>
            <w:vAlign w:val="center"/>
          </w:tcPr>
          <w:p>
            <w:pPr>
              <w:pStyle w:val="yTable"/>
              <w:rPr>
                <w:b/>
              </w:rPr>
            </w:pPr>
            <w:r>
              <w:rPr>
                <w:b/>
              </w:rPr>
              <w:t>Item No.</w:t>
            </w:r>
            <w:r>
              <w:rPr>
                <w:b/>
              </w:rPr>
              <w:br/>
            </w:r>
          </w:p>
        </w:tc>
        <w:tc>
          <w:tcPr>
            <w:tcW w:w="1320" w:type="dxa"/>
          </w:tcPr>
          <w:p>
            <w:pPr>
              <w:pStyle w:val="yTable"/>
              <w:rPr>
                <w:b/>
              </w:rPr>
            </w:pPr>
            <w:r>
              <w:rPr>
                <w:b/>
              </w:rPr>
              <w:t>Section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c>
          <w:tcPr>
            <w:tcW w:w="840" w:type="dxa"/>
          </w:tcPr>
          <w:p>
            <w:pPr>
              <w:pStyle w:val="yTable"/>
            </w:pPr>
            <w:r>
              <w:t>1.</w:t>
            </w:r>
          </w:p>
        </w:tc>
        <w:tc>
          <w:tcPr>
            <w:tcW w:w="1320" w:type="dxa"/>
          </w:tcPr>
          <w:p>
            <w:pPr>
              <w:pStyle w:val="yTable"/>
            </w:pPr>
            <w:r>
              <w:t>101C</w:t>
            </w:r>
          </w:p>
        </w:tc>
        <w:tc>
          <w:tcPr>
            <w:tcW w:w="3720" w:type="dxa"/>
          </w:tcPr>
          <w:p>
            <w:pPr>
              <w:pStyle w:val="yTable"/>
            </w:pPr>
            <w:r>
              <w:t>Unlawfully taking flora or fauna in marine nature reserve, marine park or marine management area</w:t>
            </w:r>
          </w:p>
        </w:tc>
        <w:tc>
          <w:tcPr>
            <w:tcW w:w="1200" w:type="dxa"/>
            <w:vAlign w:val="bottom"/>
          </w:tcPr>
          <w:p>
            <w:pPr>
              <w:pStyle w:val="yTable"/>
              <w:jc w:val="center"/>
            </w:pPr>
            <w:r>
              <w:t>200</w:t>
            </w:r>
          </w:p>
        </w:tc>
      </w:tr>
      <w:tr>
        <w:trPr>
          <w:cantSplit/>
        </w:trPr>
        <w:tc>
          <w:tcPr>
            <w:tcW w:w="840" w:type="dxa"/>
          </w:tcPr>
          <w:p>
            <w:pPr>
              <w:pStyle w:val="yTable"/>
            </w:pPr>
            <w:r>
              <w:t>2.</w:t>
            </w:r>
          </w:p>
        </w:tc>
        <w:tc>
          <w:tcPr>
            <w:tcW w:w="1320" w:type="dxa"/>
          </w:tcPr>
          <w:p>
            <w:pPr>
              <w:pStyle w:val="yTable"/>
              <w:tabs>
                <w:tab w:val="decimal" w:pos="340"/>
              </w:tabs>
            </w:pPr>
            <w:r>
              <w:t>103(1)</w:t>
            </w:r>
          </w:p>
        </w:tc>
        <w:tc>
          <w:tcPr>
            <w:tcW w:w="3720" w:type="dxa"/>
          </w:tcPr>
          <w:p>
            <w:pPr>
              <w:pStyle w:val="yTable"/>
            </w:pPr>
            <w:r>
              <w:t>Unlawful taking of forest produce</w:t>
            </w:r>
          </w:p>
        </w:tc>
        <w:tc>
          <w:tcPr>
            <w:tcW w:w="1200" w:type="dxa"/>
            <w:vAlign w:val="bottom"/>
          </w:tcPr>
          <w:p>
            <w:pPr>
              <w:pStyle w:val="yTable"/>
              <w:jc w:val="center"/>
            </w:pPr>
            <w:r>
              <w:t>200</w:t>
            </w:r>
          </w:p>
        </w:tc>
      </w:tr>
      <w:tr>
        <w:trPr>
          <w:cantSplit/>
        </w:trPr>
        <w:tc>
          <w:tcPr>
            <w:tcW w:w="840" w:type="dxa"/>
          </w:tcPr>
          <w:p>
            <w:pPr>
              <w:pStyle w:val="yTable"/>
            </w:pPr>
            <w:r>
              <w:t>3.</w:t>
            </w:r>
          </w:p>
        </w:tc>
        <w:tc>
          <w:tcPr>
            <w:tcW w:w="1320" w:type="dxa"/>
          </w:tcPr>
          <w:p>
            <w:pPr>
              <w:pStyle w:val="yTable"/>
              <w:tabs>
                <w:tab w:val="decimal" w:pos="177"/>
              </w:tabs>
            </w:pPr>
            <w:r>
              <w:t>106</w:t>
            </w:r>
          </w:p>
        </w:tc>
        <w:tc>
          <w:tcPr>
            <w:tcW w:w="3720" w:type="dxa"/>
          </w:tcPr>
          <w:p>
            <w:pPr>
              <w:pStyle w:val="yTable"/>
            </w:pPr>
            <w:r>
              <w:t>Unlawful occupation of land</w:t>
            </w:r>
          </w:p>
        </w:tc>
        <w:tc>
          <w:tcPr>
            <w:tcW w:w="1200" w:type="dxa"/>
            <w:vAlign w:val="bottom"/>
          </w:tcPr>
          <w:p>
            <w:pPr>
              <w:pStyle w:val="yTable"/>
              <w:jc w:val="center"/>
            </w:pPr>
            <w:r>
              <w:t>200</w:t>
            </w:r>
          </w:p>
        </w:tc>
      </w:tr>
      <w:tr>
        <w:trPr>
          <w:cantSplit/>
        </w:trPr>
        <w:tc>
          <w:tcPr>
            <w:tcW w:w="840" w:type="dxa"/>
          </w:tcPr>
          <w:p>
            <w:pPr>
              <w:pStyle w:val="yTable"/>
            </w:pPr>
            <w:r>
              <w:t>4.</w:t>
            </w:r>
          </w:p>
        </w:tc>
        <w:tc>
          <w:tcPr>
            <w:tcW w:w="1320" w:type="dxa"/>
          </w:tcPr>
          <w:p>
            <w:pPr>
              <w:pStyle w:val="yTable"/>
              <w:tabs>
                <w:tab w:val="decimal" w:pos="340"/>
              </w:tabs>
            </w:pPr>
            <w:r>
              <w:t>107(b)</w:t>
            </w:r>
          </w:p>
        </w:tc>
        <w:tc>
          <w:tcPr>
            <w:tcW w:w="3720" w:type="dxa"/>
          </w:tcPr>
          <w:p>
            <w:pPr>
              <w:pStyle w:val="yTable"/>
            </w:pPr>
            <w:r>
              <w:t>Unlawfully altering signs etc.</w:t>
            </w:r>
          </w:p>
        </w:tc>
        <w:tc>
          <w:tcPr>
            <w:tcW w:w="1200" w:type="dxa"/>
            <w:vAlign w:val="bottom"/>
          </w:tcPr>
          <w:p>
            <w:pPr>
              <w:pStyle w:val="yTable"/>
              <w:jc w:val="center"/>
            </w:pPr>
            <w:r>
              <w:t>200</w:t>
            </w:r>
          </w:p>
        </w:tc>
      </w:tr>
      <w:tr>
        <w:trPr>
          <w:cantSplit/>
        </w:trPr>
        <w:tc>
          <w:tcPr>
            <w:tcW w:w="840" w:type="dxa"/>
          </w:tcPr>
          <w:p>
            <w:pPr>
              <w:pStyle w:val="yTable"/>
            </w:pPr>
            <w:r>
              <w:t>5.</w:t>
            </w:r>
          </w:p>
        </w:tc>
        <w:tc>
          <w:tcPr>
            <w:tcW w:w="1320" w:type="dxa"/>
          </w:tcPr>
          <w:p>
            <w:pPr>
              <w:pStyle w:val="yTable"/>
              <w:tabs>
                <w:tab w:val="decimal" w:pos="340"/>
              </w:tabs>
            </w:pPr>
            <w:r>
              <w:t>107(c)</w:t>
            </w:r>
          </w:p>
        </w:tc>
        <w:tc>
          <w:tcPr>
            <w:tcW w:w="3720" w:type="dxa"/>
          </w:tcPr>
          <w:p>
            <w:pPr>
              <w:pStyle w:val="yTable"/>
            </w:pPr>
            <w:r>
              <w:t>Damaging buildings etc.</w:t>
            </w:r>
          </w:p>
        </w:tc>
        <w:tc>
          <w:tcPr>
            <w:tcW w:w="1200" w:type="dxa"/>
            <w:vAlign w:val="bottom"/>
          </w:tcPr>
          <w:p>
            <w:pPr>
              <w:pStyle w:val="yTable"/>
              <w:jc w:val="center"/>
            </w:pPr>
            <w:r>
              <w:t>200</w:t>
            </w:r>
          </w:p>
        </w:tc>
      </w:tr>
      <w:tr>
        <w:trPr>
          <w:cantSplit/>
        </w:trPr>
        <w:tc>
          <w:tcPr>
            <w:tcW w:w="840" w:type="dxa"/>
          </w:tcPr>
          <w:p>
            <w:pPr>
              <w:pStyle w:val="yTable"/>
            </w:pPr>
            <w:r>
              <w:t>6.</w:t>
            </w:r>
          </w:p>
        </w:tc>
        <w:tc>
          <w:tcPr>
            <w:tcW w:w="1320" w:type="dxa"/>
          </w:tcPr>
          <w:p>
            <w:pPr>
              <w:pStyle w:val="yTable"/>
              <w:tabs>
                <w:tab w:val="decimal" w:pos="340"/>
              </w:tabs>
            </w:pPr>
            <w:r>
              <w:t>107(d)</w:t>
            </w:r>
          </w:p>
        </w:tc>
        <w:tc>
          <w:tcPr>
            <w:tcW w:w="3720" w:type="dxa"/>
          </w:tcPr>
          <w:p>
            <w:pPr>
              <w:pStyle w:val="yTable"/>
            </w:pPr>
            <w:r>
              <w:t>Destroying dams etc.</w:t>
            </w:r>
          </w:p>
        </w:tc>
        <w:tc>
          <w:tcPr>
            <w:tcW w:w="1200" w:type="dxa"/>
            <w:vAlign w:val="bottom"/>
          </w:tcPr>
          <w:p>
            <w:pPr>
              <w:pStyle w:val="yTable"/>
              <w:jc w:val="center"/>
            </w:pPr>
            <w:r>
              <w:t>200</w:t>
            </w:r>
          </w:p>
        </w:tc>
      </w:tr>
      <w:tr>
        <w:trPr>
          <w:cantSplit/>
        </w:trPr>
        <w:tc>
          <w:tcPr>
            <w:tcW w:w="840" w:type="dxa"/>
          </w:tcPr>
          <w:p>
            <w:pPr>
              <w:pStyle w:val="yTable"/>
            </w:pPr>
            <w:r>
              <w:t>7.</w:t>
            </w:r>
          </w:p>
        </w:tc>
        <w:tc>
          <w:tcPr>
            <w:tcW w:w="1320" w:type="dxa"/>
          </w:tcPr>
          <w:p>
            <w:pPr>
              <w:pStyle w:val="yTable"/>
              <w:tabs>
                <w:tab w:val="decimal" w:pos="340"/>
              </w:tabs>
            </w:pPr>
            <w:r>
              <w:t>107(i)</w:t>
            </w:r>
          </w:p>
        </w:tc>
        <w:tc>
          <w:tcPr>
            <w:tcW w:w="3720" w:type="dxa"/>
          </w:tcPr>
          <w:p>
            <w:pPr>
              <w:pStyle w:val="yTable"/>
            </w:pPr>
            <w:r>
              <w:t>Removing forest produce without paying</w:t>
            </w:r>
          </w:p>
        </w:tc>
        <w:tc>
          <w:tcPr>
            <w:tcW w:w="1200" w:type="dxa"/>
            <w:vAlign w:val="bottom"/>
          </w:tcPr>
          <w:p>
            <w:pPr>
              <w:pStyle w:val="yTable"/>
              <w:jc w:val="center"/>
            </w:pPr>
            <w:r>
              <w:t>200</w:t>
            </w:r>
          </w:p>
        </w:tc>
      </w:tr>
    </w:tbl>
    <w:p>
      <w:pPr>
        <w:pStyle w:val="yFootnotesection"/>
        <w:rPr>
          <w:rStyle w:val="CharPartNo"/>
        </w:rPr>
      </w:pPr>
      <w:r>
        <w:tab/>
        <w:t>[Division 1 amended in Gazette 29 Sep 2006 p. 4330</w:t>
      </w:r>
      <w:r>
        <w:noBreakHyphen/>
        <w:t>1.]</w:t>
      </w:r>
    </w:p>
    <w:p>
      <w:pPr>
        <w:pStyle w:val="yHeading3"/>
        <w:spacing w:after="80"/>
      </w:pPr>
      <w:bookmarkStart w:id="616" w:name="_Toc436903876"/>
      <w:bookmarkStart w:id="617" w:name="_Toc436905818"/>
      <w:bookmarkStart w:id="618" w:name="_Toc436906039"/>
      <w:bookmarkStart w:id="619" w:name="_Toc437515792"/>
      <w:bookmarkStart w:id="620" w:name="_Toc447533392"/>
      <w:bookmarkStart w:id="621" w:name="_Toc456878300"/>
      <w:bookmarkStart w:id="622" w:name="_Toc456951817"/>
      <w:bookmarkStart w:id="623" w:name="_Toc458590401"/>
      <w:bookmarkStart w:id="624" w:name="_Toc458590623"/>
      <w:bookmarkStart w:id="625" w:name="_Toc458590844"/>
      <w:bookmarkStart w:id="626" w:name="_Toc462045499"/>
      <w:r>
        <w:rPr>
          <w:rStyle w:val="CharSDivNo"/>
        </w:rPr>
        <w:t>Division 2</w:t>
      </w:r>
      <w:r>
        <w:rPr>
          <w:rStyle w:val="CharDivNo"/>
        </w:rPr>
        <w:t xml:space="preserve"> </w:t>
      </w:r>
      <w:r>
        <w:t>—</w:t>
      </w:r>
      <w:r>
        <w:rPr>
          <w:rStyle w:val="CharDivText"/>
        </w:rPr>
        <w:t xml:space="preserve"> </w:t>
      </w:r>
      <w:r>
        <w:rPr>
          <w:rStyle w:val="CharSDivText"/>
        </w:rPr>
        <w:t>Offences under these regulations</w:t>
      </w:r>
      <w:bookmarkEnd w:id="616"/>
      <w:bookmarkEnd w:id="617"/>
      <w:bookmarkEnd w:id="618"/>
      <w:bookmarkEnd w:id="619"/>
      <w:bookmarkEnd w:id="620"/>
      <w:bookmarkEnd w:id="621"/>
      <w:bookmarkEnd w:id="622"/>
      <w:bookmarkEnd w:id="623"/>
      <w:bookmarkEnd w:id="624"/>
      <w:bookmarkEnd w:id="625"/>
      <w:bookmarkEnd w:id="626"/>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jc w:val="center"/>
              <w:rPr>
                <w:b/>
              </w:rPr>
            </w:pPr>
          </w:p>
        </w:tc>
        <w:tc>
          <w:tcPr>
            <w:tcW w:w="1320" w:type="dxa"/>
            <w:vAlign w:val="center"/>
          </w:tcPr>
          <w:p>
            <w:pPr>
              <w:pStyle w:val="yTable"/>
              <w:rPr>
                <w:b/>
              </w:rPr>
            </w:pPr>
            <w:r>
              <w:rPr>
                <w:b/>
              </w:rPr>
              <w:t>Column 1</w:t>
            </w:r>
          </w:p>
        </w:tc>
        <w:tc>
          <w:tcPr>
            <w:tcW w:w="3720" w:type="dxa"/>
            <w:vAlign w:val="center"/>
          </w:tcPr>
          <w:p>
            <w:pPr>
              <w:pStyle w:val="yTable"/>
              <w:jc w:val="center"/>
              <w:rPr>
                <w:b/>
              </w:rPr>
            </w:pPr>
            <w:r>
              <w:rPr>
                <w:b/>
              </w:rPr>
              <w:t>Column 2</w:t>
            </w:r>
          </w:p>
        </w:tc>
        <w:tc>
          <w:tcPr>
            <w:tcW w:w="1200" w:type="dxa"/>
            <w:vAlign w:val="center"/>
          </w:tcPr>
          <w:p>
            <w:pPr>
              <w:pStyle w:val="yTable"/>
              <w:jc w:val="center"/>
              <w:rPr>
                <w:b/>
              </w:rPr>
            </w:pPr>
            <w:r>
              <w:rPr>
                <w:b/>
              </w:rPr>
              <w:t>Column 3</w:t>
            </w:r>
          </w:p>
        </w:tc>
      </w:tr>
      <w:tr>
        <w:trPr>
          <w:cantSplit/>
          <w:trHeight w:val="240"/>
          <w:tblHeader/>
        </w:trPr>
        <w:tc>
          <w:tcPr>
            <w:tcW w:w="840" w:type="dxa"/>
          </w:tcPr>
          <w:p>
            <w:pPr>
              <w:pStyle w:val="yTable"/>
              <w:rPr>
                <w:b/>
              </w:rPr>
            </w:pPr>
            <w:r>
              <w:rPr>
                <w:b/>
              </w:rPr>
              <w:t>Item No.</w:t>
            </w:r>
          </w:p>
          <w:p>
            <w:pPr>
              <w:pStyle w:val="yTable"/>
              <w:rPr>
                <w:b/>
              </w:rPr>
            </w:pPr>
          </w:p>
        </w:tc>
        <w:tc>
          <w:tcPr>
            <w:tcW w:w="1320" w:type="dxa"/>
          </w:tcPr>
          <w:p>
            <w:pPr>
              <w:pStyle w:val="yTable"/>
              <w:rPr>
                <w:b/>
              </w:rPr>
            </w:pPr>
            <w:r>
              <w:rPr>
                <w:b/>
              </w:rPr>
              <w:t>Regulation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rPr>
          <w:cantSplit/>
        </w:trPr>
        <w:tc>
          <w:tcPr>
            <w:tcW w:w="840" w:type="dxa"/>
          </w:tcPr>
          <w:p>
            <w:pPr>
              <w:pStyle w:val="yTable"/>
            </w:pPr>
            <w:r>
              <w:t>1.</w:t>
            </w:r>
          </w:p>
        </w:tc>
        <w:tc>
          <w:tcPr>
            <w:tcW w:w="1320" w:type="dxa"/>
          </w:tcPr>
          <w:p>
            <w:pPr>
              <w:pStyle w:val="yTable"/>
            </w:pPr>
            <w:r>
              <w:t>8(1)</w:t>
            </w:r>
          </w:p>
        </w:tc>
        <w:tc>
          <w:tcPr>
            <w:tcW w:w="3720" w:type="dxa"/>
          </w:tcPr>
          <w:p>
            <w:pPr>
              <w:pStyle w:val="yTable"/>
              <w:tabs>
                <w:tab w:val="left" w:pos="340"/>
              </w:tabs>
            </w:pPr>
            <w:r>
              <w:t>Taking flora or fauna</w:t>
            </w:r>
          </w:p>
        </w:tc>
        <w:tc>
          <w:tcPr>
            <w:tcW w:w="1200" w:type="dxa"/>
          </w:tcPr>
          <w:p>
            <w:pPr>
              <w:pStyle w:val="yTable"/>
              <w:tabs>
                <w:tab w:val="decimal" w:pos="766"/>
              </w:tabs>
              <w:rPr>
                <w:rFonts w:ascii="NewCenturySchlbk" w:hAnsi="NewCenturySchlbk"/>
                <w:b/>
                <w:i/>
                <w:sz w:val="19"/>
              </w:rPr>
            </w:pPr>
            <w:r>
              <w:t>200</w:t>
            </w:r>
          </w:p>
        </w:tc>
      </w:tr>
      <w:tr>
        <w:trPr>
          <w:cantSplit/>
          <w:trHeight w:val="360"/>
        </w:trPr>
        <w:tc>
          <w:tcPr>
            <w:tcW w:w="840" w:type="dxa"/>
          </w:tcPr>
          <w:p>
            <w:pPr>
              <w:pStyle w:val="yTable"/>
            </w:pPr>
            <w:r>
              <w:t>2.</w:t>
            </w:r>
          </w:p>
        </w:tc>
        <w:tc>
          <w:tcPr>
            <w:tcW w:w="1320" w:type="dxa"/>
          </w:tcPr>
          <w:p>
            <w:pPr>
              <w:pStyle w:val="yTable"/>
            </w:pPr>
            <w:r>
              <w:t>9(1)</w:t>
            </w:r>
          </w:p>
        </w:tc>
        <w:tc>
          <w:tcPr>
            <w:tcW w:w="3720" w:type="dxa"/>
          </w:tcPr>
          <w:p>
            <w:pPr>
              <w:pStyle w:val="yTable"/>
              <w:tabs>
                <w:tab w:val="left" w:pos="340"/>
              </w:tabs>
            </w:pPr>
            <w:r>
              <w:t>Fishing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3.</w:t>
            </w:r>
          </w:p>
        </w:tc>
        <w:tc>
          <w:tcPr>
            <w:tcW w:w="1320" w:type="dxa"/>
          </w:tcPr>
          <w:p>
            <w:pPr>
              <w:pStyle w:val="yTable"/>
            </w:pPr>
            <w:r>
              <w:t>10</w:t>
            </w:r>
          </w:p>
        </w:tc>
        <w:tc>
          <w:tcPr>
            <w:tcW w:w="3720" w:type="dxa"/>
          </w:tcPr>
          <w:p>
            <w:pPr>
              <w:pStyle w:val="yTable"/>
            </w:pPr>
            <w:r>
              <w:t>Feeding fauna</w:t>
            </w:r>
          </w:p>
        </w:tc>
        <w:tc>
          <w:tcPr>
            <w:tcW w:w="1200" w:type="dxa"/>
          </w:tcPr>
          <w:p>
            <w:pPr>
              <w:pStyle w:val="yTable"/>
              <w:tabs>
                <w:tab w:val="decimal" w:pos="766"/>
              </w:tabs>
            </w:pPr>
            <w:r>
              <w:rPr>
                <w:szCs w:val="22"/>
              </w:rPr>
              <w:t>100</w:t>
            </w:r>
          </w:p>
        </w:tc>
      </w:tr>
      <w:tr>
        <w:trPr>
          <w:cantSplit/>
        </w:trPr>
        <w:tc>
          <w:tcPr>
            <w:tcW w:w="840" w:type="dxa"/>
          </w:tcPr>
          <w:p>
            <w:pPr>
              <w:pStyle w:val="yTable"/>
            </w:pPr>
            <w:r>
              <w:t>4.</w:t>
            </w:r>
          </w:p>
        </w:tc>
        <w:tc>
          <w:tcPr>
            <w:tcW w:w="1320" w:type="dxa"/>
          </w:tcPr>
          <w:p>
            <w:pPr>
              <w:pStyle w:val="yTable"/>
            </w:pPr>
            <w:r>
              <w:t>12(1)</w:t>
            </w:r>
          </w:p>
        </w:tc>
        <w:tc>
          <w:tcPr>
            <w:tcW w:w="3720" w:type="dxa"/>
          </w:tcPr>
          <w:p>
            <w:pPr>
              <w:pStyle w:val="yTable"/>
            </w:pPr>
            <w:r>
              <w:t>Failing to stow firearm or ammunition</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5.</w:t>
            </w:r>
          </w:p>
        </w:tc>
        <w:tc>
          <w:tcPr>
            <w:tcW w:w="1320" w:type="dxa"/>
          </w:tcPr>
          <w:p>
            <w:pPr>
              <w:pStyle w:val="yTable"/>
            </w:pPr>
            <w:r>
              <w:t>12(2)</w:t>
            </w:r>
          </w:p>
        </w:tc>
        <w:tc>
          <w:tcPr>
            <w:tcW w:w="3720" w:type="dxa"/>
          </w:tcPr>
          <w:p>
            <w:pPr>
              <w:pStyle w:val="yTable"/>
            </w:pPr>
            <w:r>
              <w:t>Possession in restricted or classified area of unstowed spear, speargun or gidgie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w:t>
            </w:r>
          </w:p>
        </w:tc>
        <w:tc>
          <w:tcPr>
            <w:tcW w:w="1320" w:type="dxa"/>
          </w:tcPr>
          <w:p>
            <w:pPr>
              <w:pStyle w:val="yTable"/>
            </w:pPr>
            <w:r>
              <w:t>12(3)</w:t>
            </w:r>
          </w:p>
        </w:tc>
        <w:tc>
          <w:tcPr>
            <w:tcW w:w="3720" w:type="dxa"/>
          </w:tcPr>
          <w:p>
            <w:pPr>
              <w:pStyle w:val="yTable"/>
            </w:pPr>
            <w:r>
              <w:t>Possession of restricted device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6a.</w:t>
            </w:r>
          </w:p>
        </w:tc>
        <w:tc>
          <w:tcPr>
            <w:tcW w:w="1320" w:type="dxa"/>
          </w:tcPr>
          <w:p>
            <w:pPr>
              <w:pStyle w:val="yTable"/>
            </w:pPr>
            <w:r>
              <w:t>12(3a)</w:t>
            </w:r>
          </w:p>
        </w:tc>
        <w:tc>
          <w:tcPr>
            <w:tcW w:w="3720" w:type="dxa"/>
          </w:tcPr>
          <w:p>
            <w:pPr>
              <w:pStyle w:val="yTable"/>
            </w:pPr>
            <w:r>
              <w:t>Unauthorised use of firearm, spear gun etc.</w:t>
            </w:r>
          </w:p>
        </w:tc>
        <w:tc>
          <w:tcPr>
            <w:tcW w:w="1200" w:type="dxa"/>
            <w:vAlign w:val="bottom"/>
          </w:tcPr>
          <w:p>
            <w:pPr>
              <w:pStyle w:val="yTable"/>
              <w:tabs>
                <w:tab w:val="decimal" w:pos="766"/>
              </w:tabs>
            </w:pPr>
            <w:r>
              <w:t>200</w:t>
            </w:r>
          </w:p>
        </w:tc>
      </w:tr>
      <w:tr>
        <w:trPr>
          <w:cantSplit/>
        </w:trPr>
        <w:tc>
          <w:tcPr>
            <w:tcW w:w="840" w:type="dxa"/>
          </w:tcPr>
          <w:p>
            <w:pPr>
              <w:pStyle w:val="yTable"/>
            </w:pPr>
            <w:r>
              <w:t>6B.</w:t>
            </w:r>
          </w:p>
        </w:tc>
        <w:tc>
          <w:tcPr>
            <w:tcW w:w="1320" w:type="dxa"/>
          </w:tcPr>
          <w:p>
            <w:pPr>
              <w:pStyle w:val="yTable"/>
            </w:pPr>
            <w:r>
              <w:t>13(1)</w:t>
            </w:r>
          </w:p>
        </w:tc>
        <w:tc>
          <w:tcPr>
            <w:tcW w:w="3720" w:type="dxa"/>
          </w:tcPr>
          <w:p>
            <w:pPr>
              <w:pStyle w:val="yTable"/>
            </w:pPr>
            <w:r>
              <w:t>Cultivating plants</w:t>
            </w:r>
          </w:p>
        </w:tc>
        <w:tc>
          <w:tcPr>
            <w:tcW w:w="1200" w:type="dxa"/>
            <w:vAlign w:val="bottom"/>
          </w:tcPr>
          <w:p>
            <w:pPr>
              <w:pStyle w:val="yTable"/>
              <w:tabs>
                <w:tab w:val="decimal" w:pos="766"/>
              </w:tabs>
            </w:pPr>
            <w:r>
              <w:t>200</w:t>
            </w:r>
          </w:p>
        </w:tc>
      </w:tr>
      <w:tr>
        <w:trPr>
          <w:cantSplit/>
        </w:trPr>
        <w:tc>
          <w:tcPr>
            <w:tcW w:w="840" w:type="dxa"/>
          </w:tcPr>
          <w:p>
            <w:pPr>
              <w:pStyle w:val="yTable"/>
            </w:pPr>
            <w:r>
              <w:t>6C.</w:t>
            </w:r>
          </w:p>
        </w:tc>
        <w:tc>
          <w:tcPr>
            <w:tcW w:w="1320" w:type="dxa"/>
          </w:tcPr>
          <w:p>
            <w:pPr>
              <w:pStyle w:val="yTable"/>
            </w:pPr>
            <w:r>
              <w:t>14(2)</w:t>
            </w:r>
          </w:p>
        </w:tc>
        <w:tc>
          <w:tcPr>
            <w:tcW w:w="3720" w:type="dxa"/>
          </w:tcPr>
          <w:p>
            <w:pPr>
              <w:pStyle w:val="yTable"/>
            </w:pPr>
            <w:r>
              <w:t>Failing to comply with direction to remove plants, equipment</w:t>
            </w:r>
          </w:p>
        </w:tc>
        <w:tc>
          <w:tcPr>
            <w:tcW w:w="1200" w:type="dxa"/>
            <w:vAlign w:val="bottom"/>
          </w:tcPr>
          <w:p>
            <w:pPr>
              <w:pStyle w:val="yTable"/>
              <w:tabs>
                <w:tab w:val="decimal" w:pos="766"/>
              </w:tabs>
            </w:pPr>
            <w:r>
              <w:br/>
              <w:t>200</w:t>
            </w:r>
          </w:p>
        </w:tc>
      </w:tr>
      <w:tr>
        <w:trPr>
          <w:cantSplit/>
        </w:trPr>
        <w:tc>
          <w:tcPr>
            <w:tcW w:w="840" w:type="dxa"/>
          </w:tcPr>
          <w:p>
            <w:pPr>
              <w:pStyle w:val="yTable"/>
            </w:pPr>
            <w:r>
              <w:t>7.</w:t>
            </w:r>
          </w:p>
        </w:tc>
        <w:tc>
          <w:tcPr>
            <w:tcW w:w="1320" w:type="dxa"/>
          </w:tcPr>
          <w:p>
            <w:pPr>
              <w:pStyle w:val="yTable"/>
            </w:pPr>
            <w:r>
              <w:t>15</w:t>
            </w:r>
          </w:p>
        </w:tc>
        <w:tc>
          <w:tcPr>
            <w:tcW w:w="3720" w:type="dxa"/>
          </w:tcPr>
          <w:p>
            <w:pPr>
              <w:pStyle w:val="yTable"/>
            </w:pPr>
            <w:r>
              <w:t>Bringing animal on to, or allowing animal to enter or remain, on CALM land</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8.</w:t>
            </w:r>
          </w:p>
        </w:tc>
        <w:tc>
          <w:tcPr>
            <w:tcW w:w="1320" w:type="dxa"/>
          </w:tcPr>
          <w:p>
            <w:pPr>
              <w:pStyle w:val="yTable"/>
            </w:pPr>
            <w:r>
              <w:t>16(2)</w:t>
            </w:r>
          </w:p>
        </w:tc>
        <w:tc>
          <w:tcPr>
            <w:tcW w:w="3720" w:type="dxa"/>
          </w:tcPr>
          <w:p>
            <w:pPr>
              <w:pStyle w:val="yTable"/>
            </w:pPr>
            <w:r>
              <w:t>Failing to control or manage dog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9.</w:t>
            </w:r>
          </w:p>
        </w:tc>
        <w:tc>
          <w:tcPr>
            <w:tcW w:w="1320" w:type="dxa"/>
          </w:tcPr>
          <w:p>
            <w:pPr>
              <w:pStyle w:val="yTable"/>
            </w:pPr>
            <w:r>
              <w:t>17(2)</w:t>
            </w:r>
          </w:p>
        </w:tc>
        <w:tc>
          <w:tcPr>
            <w:tcW w:w="3720" w:type="dxa"/>
          </w:tcPr>
          <w:p>
            <w:pPr>
              <w:pStyle w:val="yTable"/>
            </w:pPr>
            <w:r>
              <w:t>Failing to control or manage horse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10.</w:t>
            </w:r>
          </w:p>
        </w:tc>
        <w:tc>
          <w:tcPr>
            <w:tcW w:w="1320" w:type="dxa"/>
          </w:tcPr>
          <w:p>
            <w:pPr>
              <w:pStyle w:val="yTable"/>
            </w:pPr>
            <w:r>
              <w:t>18</w:t>
            </w:r>
          </w:p>
        </w:tc>
        <w:tc>
          <w:tcPr>
            <w:tcW w:w="3720" w:type="dxa"/>
          </w:tcPr>
          <w:p>
            <w:pPr>
              <w:pStyle w:val="yTable"/>
            </w:pPr>
            <w:r>
              <w:t>Hunting etc. non</w:t>
            </w:r>
            <w:r>
              <w:noBreakHyphen/>
              <w:t>indigenous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11.</w:t>
            </w:r>
          </w:p>
        </w:tc>
        <w:tc>
          <w:tcPr>
            <w:tcW w:w="1320" w:type="dxa"/>
          </w:tcPr>
          <w:p>
            <w:pPr>
              <w:pStyle w:val="yTable"/>
            </w:pPr>
            <w:r>
              <w:t>19</w:t>
            </w:r>
          </w:p>
        </w:tc>
        <w:tc>
          <w:tcPr>
            <w:tcW w:w="3720" w:type="dxa"/>
          </w:tcPr>
          <w:p>
            <w:pPr>
              <w:pStyle w:val="yTable"/>
            </w:pPr>
            <w:r>
              <w:t>Failing to remove animal</w:t>
            </w:r>
          </w:p>
        </w:tc>
        <w:tc>
          <w:tcPr>
            <w:tcW w:w="1200" w:type="dxa"/>
          </w:tcPr>
          <w:p>
            <w:pPr>
              <w:pStyle w:val="yTable"/>
              <w:tabs>
                <w:tab w:val="decimal" w:pos="766"/>
              </w:tabs>
            </w:pPr>
            <w:r>
              <w:rPr>
                <w:szCs w:val="22"/>
              </w:rPr>
              <w:t>200</w:t>
            </w:r>
          </w:p>
        </w:tc>
      </w:tr>
      <w:tr>
        <w:trPr>
          <w:cantSplit/>
        </w:trPr>
        <w:tc>
          <w:tcPr>
            <w:tcW w:w="840" w:type="dxa"/>
          </w:tcPr>
          <w:p>
            <w:pPr>
              <w:pStyle w:val="yTable"/>
            </w:pPr>
            <w:r>
              <w:t>12.</w:t>
            </w:r>
          </w:p>
        </w:tc>
        <w:tc>
          <w:tcPr>
            <w:tcW w:w="1320" w:type="dxa"/>
          </w:tcPr>
          <w:p>
            <w:pPr>
              <w:pStyle w:val="yTable"/>
            </w:pPr>
            <w:r>
              <w:t>21(1)</w:t>
            </w:r>
          </w:p>
        </w:tc>
        <w:tc>
          <w:tcPr>
            <w:tcW w:w="3720" w:type="dxa"/>
          </w:tcPr>
          <w:p>
            <w:pPr>
              <w:pStyle w:val="yTable"/>
            </w:pPr>
            <w:r>
              <w:t>Causing or allowing waste to be discharged or placed on CALM land</w:t>
            </w:r>
          </w:p>
        </w:tc>
        <w:tc>
          <w:tcPr>
            <w:tcW w:w="1200" w:type="dxa"/>
            <w:vAlign w:val="bottom"/>
          </w:tcPr>
          <w:p>
            <w:pPr>
              <w:pStyle w:val="yTable"/>
              <w:tabs>
                <w:tab w:val="decimal" w:pos="766"/>
              </w:tabs>
            </w:pPr>
            <w:r>
              <w:t>200</w:t>
            </w:r>
          </w:p>
        </w:tc>
      </w:tr>
      <w:tr>
        <w:trPr>
          <w:cantSplit/>
        </w:trPr>
        <w:tc>
          <w:tcPr>
            <w:tcW w:w="840" w:type="dxa"/>
          </w:tcPr>
          <w:p>
            <w:pPr>
              <w:pStyle w:val="yTable"/>
            </w:pPr>
            <w:r>
              <w:t>13.</w:t>
            </w:r>
          </w:p>
        </w:tc>
        <w:tc>
          <w:tcPr>
            <w:tcW w:w="1320" w:type="dxa"/>
          </w:tcPr>
          <w:p>
            <w:pPr>
              <w:pStyle w:val="yTable"/>
            </w:pPr>
            <w:r>
              <w:t>21(4)</w:t>
            </w:r>
          </w:p>
        </w:tc>
        <w:tc>
          <w:tcPr>
            <w:tcW w:w="3720" w:type="dxa"/>
          </w:tcPr>
          <w:p>
            <w:pPr>
              <w:pStyle w:val="yTable"/>
            </w:pPr>
            <w:r>
              <w:t>Failing to comply with conditions for discharging sewage in designated area</w:t>
            </w:r>
          </w:p>
        </w:tc>
        <w:tc>
          <w:tcPr>
            <w:tcW w:w="1200" w:type="dxa"/>
            <w:vAlign w:val="bottom"/>
          </w:tcPr>
          <w:p>
            <w:pPr>
              <w:pStyle w:val="yTable"/>
              <w:tabs>
                <w:tab w:val="decimal" w:pos="766"/>
              </w:tabs>
            </w:pPr>
            <w:r>
              <w:t>200</w:t>
            </w:r>
          </w:p>
        </w:tc>
      </w:tr>
      <w:tr>
        <w:trPr>
          <w:cantSplit/>
        </w:trPr>
        <w:tc>
          <w:tcPr>
            <w:tcW w:w="840" w:type="dxa"/>
          </w:tcPr>
          <w:p>
            <w:pPr>
              <w:pStyle w:val="yTable"/>
            </w:pPr>
            <w:r>
              <w:t>14.</w:t>
            </w:r>
          </w:p>
        </w:tc>
        <w:tc>
          <w:tcPr>
            <w:tcW w:w="1320" w:type="dxa"/>
          </w:tcPr>
          <w:p>
            <w:pPr>
              <w:pStyle w:val="yTable"/>
            </w:pPr>
            <w:r>
              <w:t>22</w:t>
            </w:r>
          </w:p>
        </w:tc>
        <w:tc>
          <w:tcPr>
            <w:tcW w:w="3720" w:type="dxa"/>
          </w:tcPr>
          <w:p>
            <w:pPr>
              <w:pStyle w:val="yTable"/>
            </w:pPr>
            <w:r>
              <w:t>Painting or treating vessels</w:t>
            </w:r>
          </w:p>
        </w:tc>
        <w:tc>
          <w:tcPr>
            <w:tcW w:w="1200" w:type="dxa"/>
            <w:vAlign w:val="bottom"/>
          </w:tcPr>
          <w:p>
            <w:pPr>
              <w:pStyle w:val="yTable"/>
              <w:tabs>
                <w:tab w:val="decimal" w:pos="766"/>
              </w:tabs>
            </w:pPr>
            <w:r>
              <w:t>200</w:t>
            </w:r>
          </w:p>
        </w:tc>
      </w:tr>
      <w:tr>
        <w:trPr>
          <w:cantSplit/>
        </w:trPr>
        <w:tc>
          <w:tcPr>
            <w:tcW w:w="840" w:type="dxa"/>
          </w:tcPr>
          <w:p>
            <w:pPr>
              <w:pStyle w:val="yTable"/>
            </w:pPr>
            <w:r>
              <w:t>15.</w:t>
            </w:r>
          </w:p>
        </w:tc>
        <w:tc>
          <w:tcPr>
            <w:tcW w:w="1320" w:type="dxa"/>
          </w:tcPr>
          <w:p>
            <w:pPr>
              <w:pStyle w:val="yTable"/>
            </w:pPr>
            <w:r>
              <w:t>23(1)</w:t>
            </w:r>
          </w:p>
        </w:tc>
        <w:tc>
          <w:tcPr>
            <w:tcW w:w="3720" w:type="dxa"/>
          </w:tcPr>
          <w:p>
            <w:pPr>
              <w:pStyle w:val="yTable"/>
            </w:pPr>
            <w:r>
              <w:t>Polluting water supply</w:t>
            </w:r>
          </w:p>
        </w:tc>
        <w:tc>
          <w:tcPr>
            <w:tcW w:w="1200" w:type="dxa"/>
            <w:vAlign w:val="bottom"/>
          </w:tcPr>
          <w:p>
            <w:pPr>
              <w:pStyle w:val="yTable"/>
              <w:tabs>
                <w:tab w:val="decimal" w:pos="766"/>
              </w:tabs>
            </w:pPr>
            <w:r>
              <w:t>200</w:t>
            </w:r>
          </w:p>
        </w:tc>
      </w:tr>
      <w:tr>
        <w:trPr>
          <w:cantSplit/>
        </w:trPr>
        <w:tc>
          <w:tcPr>
            <w:tcW w:w="840" w:type="dxa"/>
          </w:tcPr>
          <w:p>
            <w:pPr>
              <w:pStyle w:val="yTable"/>
            </w:pPr>
            <w:r>
              <w:t>16.</w:t>
            </w:r>
          </w:p>
        </w:tc>
        <w:tc>
          <w:tcPr>
            <w:tcW w:w="1320" w:type="dxa"/>
          </w:tcPr>
          <w:p>
            <w:pPr>
              <w:pStyle w:val="yTable"/>
            </w:pPr>
            <w:r>
              <w:t>23(2)</w:t>
            </w:r>
          </w:p>
        </w:tc>
        <w:tc>
          <w:tcPr>
            <w:tcW w:w="3720" w:type="dxa"/>
          </w:tcPr>
          <w:p>
            <w:pPr>
              <w:pStyle w:val="yTable"/>
            </w:pPr>
            <w:r>
              <w:t>Swimming etc. in reservoir or tank</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17.</w:t>
            </w:r>
          </w:p>
        </w:tc>
        <w:tc>
          <w:tcPr>
            <w:tcW w:w="1320" w:type="dxa"/>
          </w:tcPr>
          <w:p>
            <w:pPr>
              <w:pStyle w:val="yTable"/>
            </w:pPr>
            <w:r>
              <w:t>24(1)</w:t>
            </w:r>
          </w:p>
        </w:tc>
        <w:tc>
          <w:tcPr>
            <w:tcW w:w="3720" w:type="dxa"/>
          </w:tcPr>
          <w:p>
            <w:pPr>
              <w:pStyle w:val="yTable"/>
            </w:pPr>
            <w:r>
              <w:t>Littering</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18.</w:t>
            </w:r>
          </w:p>
        </w:tc>
        <w:tc>
          <w:tcPr>
            <w:tcW w:w="1320" w:type="dxa"/>
          </w:tcPr>
          <w:p>
            <w:pPr>
              <w:pStyle w:val="yTable"/>
            </w:pPr>
            <w:r>
              <w:t>26</w:t>
            </w:r>
          </w:p>
        </w:tc>
        <w:tc>
          <w:tcPr>
            <w:tcW w:w="3720" w:type="dxa"/>
          </w:tcPr>
          <w:p>
            <w:pPr>
              <w:pStyle w:val="yTable"/>
            </w:pPr>
            <w:r>
              <w:t>Taking glass into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19.</w:t>
            </w:r>
          </w:p>
        </w:tc>
        <w:tc>
          <w:tcPr>
            <w:tcW w:w="1320" w:type="dxa"/>
          </w:tcPr>
          <w:p>
            <w:pPr>
              <w:pStyle w:val="yTable"/>
            </w:pPr>
            <w:r>
              <w:t>27(2)</w:t>
            </w:r>
          </w:p>
        </w:tc>
        <w:tc>
          <w:tcPr>
            <w:tcW w:w="3720" w:type="dxa"/>
          </w:tcPr>
          <w:p>
            <w:pPr>
              <w:pStyle w:val="yTable"/>
            </w:pPr>
            <w:r>
              <w:t>Failing to comply with direction to remove litter</w:t>
            </w:r>
          </w:p>
        </w:tc>
        <w:tc>
          <w:tcPr>
            <w:tcW w:w="1200" w:type="dxa"/>
            <w:vAlign w:val="bottom"/>
          </w:tcPr>
          <w:p>
            <w:pPr>
              <w:pStyle w:val="yTable"/>
              <w:tabs>
                <w:tab w:val="decimal" w:pos="766"/>
              </w:tabs>
            </w:pPr>
            <w:r>
              <w:t>200</w:t>
            </w:r>
          </w:p>
        </w:tc>
      </w:tr>
      <w:tr>
        <w:trPr>
          <w:cantSplit/>
        </w:trPr>
        <w:tc>
          <w:tcPr>
            <w:tcW w:w="840" w:type="dxa"/>
          </w:tcPr>
          <w:p>
            <w:pPr>
              <w:pStyle w:val="yTable"/>
            </w:pPr>
            <w:r>
              <w:t>20.</w:t>
            </w:r>
          </w:p>
        </w:tc>
        <w:tc>
          <w:tcPr>
            <w:tcW w:w="1320" w:type="dxa"/>
          </w:tcPr>
          <w:p>
            <w:pPr>
              <w:pStyle w:val="yTable"/>
            </w:pPr>
            <w:r>
              <w:t>28</w:t>
            </w:r>
          </w:p>
        </w:tc>
        <w:tc>
          <w:tcPr>
            <w:tcW w:w="3720" w:type="dxa"/>
          </w:tcPr>
          <w:p>
            <w:pPr>
              <w:pStyle w:val="yTable"/>
            </w:pPr>
            <w:r>
              <w:t>Cleaning etc. fish in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21.</w:t>
            </w:r>
          </w:p>
        </w:tc>
        <w:tc>
          <w:tcPr>
            <w:tcW w:w="1320" w:type="dxa"/>
          </w:tcPr>
          <w:p>
            <w:pPr>
              <w:pStyle w:val="yTable"/>
            </w:pPr>
            <w:r>
              <w:t>29(1)</w:t>
            </w:r>
          </w:p>
        </w:tc>
        <w:tc>
          <w:tcPr>
            <w:tcW w:w="3720" w:type="dxa"/>
          </w:tcPr>
          <w:p>
            <w:pPr>
              <w:pStyle w:val="yTable"/>
            </w:pPr>
            <w:r>
              <w:t>Smoking in cave</w:t>
            </w:r>
          </w:p>
        </w:tc>
        <w:tc>
          <w:tcPr>
            <w:tcW w:w="1200" w:type="dxa"/>
            <w:vAlign w:val="bottom"/>
          </w:tcPr>
          <w:p>
            <w:pPr>
              <w:pStyle w:val="yTable"/>
              <w:tabs>
                <w:tab w:val="decimal" w:pos="766"/>
              </w:tabs>
            </w:pPr>
            <w:r>
              <w:t>50</w:t>
            </w:r>
          </w:p>
        </w:tc>
      </w:tr>
      <w:tr>
        <w:trPr>
          <w:cantSplit/>
        </w:trPr>
        <w:tc>
          <w:tcPr>
            <w:tcW w:w="840" w:type="dxa"/>
          </w:tcPr>
          <w:p>
            <w:pPr>
              <w:pStyle w:val="yTable"/>
            </w:pPr>
            <w:r>
              <w:t>22.</w:t>
            </w:r>
          </w:p>
        </w:tc>
        <w:tc>
          <w:tcPr>
            <w:tcW w:w="1320" w:type="dxa"/>
          </w:tcPr>
          <w:p>
            <w:pPr>
              <w:pStyle w:val="yTable"/>
            </w:pPr>
            <w:r>
              <w:t>29(2)</w:t>
            </w:r>
          </w:p>
        </w:tc>
        <w:tc>
          <w:tcPr>
            <w:tcW w:w="3720" w:type="dxa"/>
          </w:tcPr>
          <w:p>
            <w:pPr>
              <w:pStyle w:val="yTable"/>
            </w:pPr>
            <w:r>
              <w:t>Lighting a fire in a cave</w:t>
            </w:r>
          </w:p>
        </w:tc>
        <w:tc>
          <w:tcPr>
            <w:tcW w:w="1200" w:type="dxa"/>
            <w:vAlign w:val="bottom"/>
          </w:tcPr>
          <w:p>
            <w:pPr>
              <w:pStyle w:val="yTable"/>
              <w:tabs>
                <w:tab w:val="decimal" w:pos="766"/>
              </w:tabs>
            </w:pPr>
            <w:r>
              <w:t>200</w:t>
            </w:r>
          </w:p>
        </w:tc>
      </w:tr>
      <w:tr>
        <w:trPr>
          <w:cantSplit/>
        </w:trPr>
        <w:tc>
          <w:tcPr>
            <w:tcW w:w="840" w:type="dxa"/>
          </w:tcPr>
          <w:p>
            <w:pPr>
              <w:pStyle w:val="yTable"/>
            </w:pPr>
            <w:r>
              <w:t>23.</w:t>
            </w:r>
          </w:p>
        </w:tc>
        <w:tc>
          <w:tcPr>
            <w:tcW w:w="1320" w:type="dxa"/>
          </w:tcPr>
          <w:p>
            <w:pPr>
              <w:pStyle w:val="yTable"/>
            </w:pPr>
            <w:r>
              <w:t>31(1)</w:t>
            </w:r>
          </w:p>
        </w:tc>
        <w:tc>
          <w:tcPr>
            <w:tcW w:w="3720" w:type="dxa"/>
          </w:tcPr>
          <w:p>
            <w:pPr>
              <w:pStyle w:val="yTable"/>
            </w:pPr>
            <w:r>
              <w:t>Damaging, disturbing or removing naturally occurring feature</w:t>
            </w:r>
          </w:p>
        </w:tc>
        <w:tc>
          <w:tcPr>
            <w:tcW w:w="1200" w:type="dxa"/>
            <w:vAlign w:val="bottom"/>
          </w:tcPr>
          <w:p>
            <w:pPr>
              <w:pStyle w:val="yTable"/>
              <w:tabs>
                <w:tab w:val="decimal" w:pos="766"/>
              </w:tabs>
            </w:pPr>
            <w:r>
              <w:t>200</w:t>
            </w:r>
          </w:p>
        </w:tc>
      </w:tr>
      <w:tr>
        <w:trPr>
          <w:cantSplit/>
        </w:trPr>
        <w:tc>
          <w:tcPr>
            <w:tcW w:w="840" w:type="dxa"/>
          </w:tcPr>
          <w:p>
            <w:pPr>
              <w:pStyle w:val="yTable"/>
              <w:keepNext/>
            </w:pPr>
            <w:r>
              <w:t>24.</w:t>
            </w:r>
          </w:p>
        </w:tc>
        <w:tc>
          <w:tcPr>
            <w:tcW w:w="1320" w:type="dxa"/>
          </w:tcPr>
          <w:p>
            <w:pPr>
              <w:pStyle w:val="yTable"/>
              <w:keepNext/>
            </w:pPr>
            <w:r>
              <w:t>32</w:t>
            </w:r>
          </w:p>
        </w:tc>
        <w:tc>
          <w:tcPr>
            <w:tcW w:w="3720" w:type="dxa"/>
          </w:tcPr>
          <w:p>
            <w:pPr>
              <w:pStyle w:val="yTable"/>
              <w:keepNext/>
            </w:pPr>
            <w:r>
              <w:t>Sandboarding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25.</w:t>
            </w:r>
          </w:p>
        </w:tc>
        <w:tc>
          <w:tcPr>
            <w:tcW w:w="1320" w:type="dxa"/>
          </w:tcPr>
          <w:p>
            <w:pPr>
              <w:pStyle w:val="yTable"/>
            </w:pPr>
            <w:r>
              <w:t>33</w:t>
            </w:r>
          </w:p>
        </w:tc>
        <w:tc>
          <w:tcPr>
            <w:tcW w:w="3720" w:type="dxa"/>
          </w:tcPr>
          <w:p>
            <w:pPr>
              <w:pStyle w:val="yTable"/>
            </w:pPr>
            <w:r>
              <w:t>Abseiling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keepNext/>
            </w:pPr>
            <w:r>
              <w:t>25a.</w:t>
            </w:r>
          </w:p>
        </w:tc>
        <w:tc>
          <w:tcPr>
            <w:tcW w:w="1320" w:type="dxa"/>
          </w:tcPr>
          <w:p>
            <w:pPr>
              <w:pStyle w:val="yTable"/>
              <w:keepNext/>
            </w:pPr>
            <w:r>
              <w:t>34(1)</w:t>
            </w:r>
          </w:p>
        </w:tc>
        <w:tc>
          <w:tcPr>
            <w:tcW w:w="3720" w:type="dxa"/>
          </w:tcPr>
          <w:p>
            <w:pPr>
              <w:pStyle w:val="yTable"/>
              <w:keepNext/>
            </w:pPr>
            <w:r>
              <w:t>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25b.</w:t>
            </w:r>
          </w:p>
        </w:tc>
        <w:tc>
          <w:tcPr>
            <w:tcW w:w="1320" w:type="dxa"/>
          </w:tcPr>
          <w:p>
            <w:pPr>
              <w:pStyle w:val="yTable"/>
            </w:pPr>
            <w:r>
              <w:t>34(4)</w:t>
            </w:r>
          </w:p>
        </w:tc>
        <w:tc>
          <w:tcPr>
            <w:tcW w:w="3720" w:type="dxa"/>
          </w:tcPr>
          <w:p>
            <w:pPr>
              <w:pStyle w:val="yTable"/>
            </w:pPr>
            <w:r>
              <w:t>Failing to comply with direction to pull down etc. 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25c.</w:t>
            </w:r>
          </w:p>
        </w:tc>
        <w:tc>
          <w:tcPr>
            <w:tcW w:w="1320" w:type="dxa"/>
          </w:tcPr>
          <w:p>
            <w:pPr>
              <w:pStyle w:val="yTable"/>
            </w:pPr>
            <w:r>
              <w:t>35A(1)</w:t>
            </w:r>
          </w:p>
        </w:tc>
        <w:tc>
          <w:tcPr>
            <w:tcW w:w="3720" w:type="dxa"/>
          </w:tcPr>
          <w:p>
            <w:pPr>
              <w:pStyle w:val="yTable"/>
            </w:pPr>
            <w:r>
              <w:t>Quarrying, removing or disturbing soil etc.</w:t>
            </w:r>
          </w:p>
        </w:tc>
        <w:tc>
          <w:tcPr>
            <w:tcW w:w="1200" w:type="dxa"/>
            <w:vAlign w:val="bottom"/>
          </w:tcPr>
          <w:p>
            <w:pPr>
              <w:pStyle w:val="yTable"/>
              <w:tabs>
                <w:tab w:val="decimal" w:pos="766"/>
              </w:tabs>
            </w:pPr>
            <w:r>
              <w:t>200</w:t>
            </w:r>
          </w:p>
        </w:tc>
      </w:tr>
      <w:tr>
        <w:trPr>
          <w:cantSplit/>
        </w:trPr>
        <w:tc>
          <w:tcPr>
            <w:tcW w:w="840" w:type="dxa"/>
          </w:tcPr>
          <w:p>
            <w:pPr>
              <w:pStyle w:val="yTable"/>
            </w:pPr>
            <w:r>
              <w:t>26.</w:t>
            </w:r>
          </w:p>
        </w:tc>
        <w:tc>
          <w:tcPr>
            <w:tcW w:w="1320" w:type="dxa"/>
          </w:tcPr>
          <w:p>
            <w:pPr>
              <w:pStyle w:val="yTable"/>
            </w:pPr>
            <w:r>
              <w:t>36</w:t>
            </w:r>
          </w:p>
        </w:tc>
        <w:tc>
          <w:tcPr>
            <w:tcW w:w="3720" w:type="dxa"/>
          </w:tcPr>
          <w:p>
            <w:pPr>
              <w:pStyle w:val="yTable"/>
            </w:pPr>
            <w:r>
              <w:t>Dumping of vehicles etc.</w:t>
            </w:r>
          </w:p>
        </w:tc>
        <w:tc>
          <w:tcPr>
            <w:tcW w:w="1200" w:type="dxa"/>
            <w:vAlign w:val="bottom"/>
          </w:tcPr>
          <w:p>
            <w:pPr>
              <w:pStyle w:val="yTable"/>
              <w:tabs>
                <w:tab w:val="decimal" w:pos="766"/>
              </w:tabs>
            </w:pPr>
            <w:r>
              <w:t>200</w:t>
            </w:r>
          </w:p>
        </w:tc>
      </w:tr>
      <w:tr>
        <w:trPr>
          <w:cantSplit/>
        </w:trPr>
        <w:tc>
          <w:tcPr>
            <w:tcW w:w="840" w:type="dxa"/>
          </w:tcPr>
          <w:p>
            <w:pPr>
              <w:pStyle w:val="yTable"/>
            </w:pPr>
            <w:r>
              <w:t>27.</w:t>
            </w:r>
          </w:p>
        </w:tc>
        <w:tc>
          <w:tcPr>
            <w:tcW w:w="1320" w:type="dxa"/>
          </w:tcPr>
          <w:p>
            <w:pPr>
              <w:pStyle w:val="yTable"/>
            </w:pPr>
            <w:r>
              <w:t>37(1)</w:t>
            </w:r>
          </w:p>
        </w:tc>
        <w:tc>
          <w:tcPr>
            <w:tcW w:w="3720" w:type="dxa"/>
          </w:tcPr>
          <w:p>
            <w:pPr>
              <w:pStyle w:val="yTable"/>
            </w:pPr>
            <w:r>
              <w:t>Billsticking etc.</w:t>
            </w:r>
          </w:p>
        </w:tc>
        <w:tc>
          <w:tcPr>
            <w:tcW w:w="1200" w:type="dxa"/>
            <w:vAlign w:val="bottom"/>
          </w:tcPr>
          <w:p>
            <w:pPr>
              <w:pStyle w:val="yTable"/>
              <w:tabs>
                <w:tab w:val="decimal" w:pos="766"/>
              </w:tabs>
            </w:pPr>
            <w:r>
              <w:t>50</w:t>
            </w:r>
          </w:p>
        </w:tc>
      </w:tr>
      <w:tr>
        <w:trPr>
          <w:cantSplit/>
        </w:trPr>
        <w:tc>
          <w:tcPr>
            <w:tcW w:w="840" w:type="dxa"/>
          </w:tcPr>
          <w:p>
            <w:pPr>
              <w:pStyle w:val="yTable"/>
            </w:pPr>
            <w:r>
              <w:t>28.</w:t>
            </w:r>
          </w:p>
        </w:tc>
        <w:tc>
          <w:tcPr>
            <w:tcW w:w="1320" w:type="dxa"/>
          </w:tcPr>
          <w:p>
            <w:pPr>
              <w:pStyle w:val="yTable"/>
            </w:pPr>
            <w:r>
              <w:t>37(2)</w:t>
            </w:r>
          </w:p>
        </w:tc>
        <w:tc>
          <w:tcPr>
            <w:tcW w:w="3720" w:type="dxa"/>
          </w:tcPr>
          <w:p>
            <w:pPr>
              <w:pStyle w:val="yTable"/>
            </w:pPr>
            <w:r>
              <w:t>Damaging or interfering with thing or structure</w:t>
            </w:r>
          </w:p>
        </w:tc>
        <w:tc>
          <w:tcPr>
            <w:tcW w:w="1200" w:type="dxa"/>
            <w:vAlign w:val="bottom"/>
          </w:tcPr>
          <w:p>
            <w:pPr>
              <w:pStyle w:val="yTable"/>
              <w:tabs>
                <w:tab w:val="decimal" w:pos="766"/>
              </w:tabs>
            </w:pPr>
            <w:r>
              <w:t>200</w:t>
            </w:r>
          </w:p>
        </w:tc>
      </w:tr>
      <w:tr>
        <w:trPr>
          <w:cantSplit/>
        </w:trPr>
        <w:tc>
          <w:tcPr>
            <w:tcW w:w="840" w:type="dxa"/>
          </w:tcPr>
          <w:p>
            <w:pPr>
              <w:pStyle w:val="yTable"/>
            </w:pPr>
            <w:r>
              <w:t>29.</w:t>
            </w:r>
          </w:p>
        </w:tc>
        <w:tc>
          <w:tcPr>
            <w:tcW w:w="1320" w:type="dxa"/>
          </w:tcPr>
          <w:p>
            <w:pPr>
              <w:pStyle w:val="yTable"/>
            </w:pPr>
            <w:r>
              <w:t>38(1)</w:t>
            </w:r>
          </w:p>
        </w:tc>
        <w:tc>
          <w:tcPr>
            <w:tcW w:w="3720" w:type="dxa"/>
          </w:tcPr>
          <w:p>
            <w:pPr>
              <w:pStyle w:val="yTable"/>
            </w:pPr>
            <w:r>
              <w:t>Erecting unauthorised sign or notice</w:t>
            </w:r>
          </w:p>
        </w:tc>
        <w:tc>
          <w:tcPr>
            <w:tcW w:w="1200" w:type="dxa"/>
            <w:vAlign w:val="bottom"/>
          </w:tcPr>
          <w:p>
            <w:pPr>
              <w:pStyle w:val="yTable"/>
              <w:tabs>
                <w:tab w:val="decimal" w:pos="766"/>
              </w:tabs>
            </w:pPr>
            <w:r>
              <w:t>100</w:t>
            </w:r>
          </w:p>
        </w:tc>
      </w:tr>
      <w:tr>
        <w:trPr>
          <w:cantSplit/>
        </w:trPr>
        <w:tc>
          <w:tcPr>
            <w:tcW w:w="840" w:type="dxa"/>
          </w:tcPr>
          <w:p>
            <w:pPr>
              <w:pStyle w:val="yTable"/>
            </w:pPr>
            <w:r>
              <w:t>30.</w:t>
            </w:r>
          </w:p>
        </w:tc>
        <w:tc>
          <w:tcPr>
            <w:tcW w:w="1320" w:type="dxa"/>
          </w:tcPr>
          <w:p>
            <w:pPr>
              <w:pStyle w:val="yTable"/>
            </w:pPr>
            <w:r>
              <w:t>39(1) or (2)</w:t>
            </w:r>
          </w:p>
        </w:tc>
        <w:tc>
          <w:tcPr>
            <w:tcW w:w="3720" w:type="dxa"/>
          </w:tcPr>
          <w:p>
            <w:pPr>
              <w:pStyle w:val="yTable"/>
            </w:pPr>
            <w:r>
              <w:t>Unlawful lighting of fires etc.</w:t>
            </w:r>
          </w:p>
        </w:tc>
        <w:tc>
          <w:tcPr>
            <w:tcW w:w="1200" w:type="dxa"/>
            <w:vAlign w:val="bottom"/>
          </w:tcPr>
          <w:p>
            <w:pPr>
              <w:pStyle w:val="yTable"/>
              <w:tabs>
                <w:tab w:val="decimal" w:pos="766"/>
              </w:tabs>
            </w:pPr>
            <w:r>
              <w:t>200</w:t>
            </w:r>
          </w:p>
        </w:tc>
      </w:tr>
      <w:tr>
        <w:trPr>
          <w:cantSplit/>
        </w:trPr>
        <w:tc>
          <w:tcPr>
            <w:tcW w:w="840" w:type="dxa"/>
          </w:tcPr>
          <w:p>
            <w:pPr>
              <w:pStyle w:val="yTable"/>
            </w:pPr>
            <w:r>
              <w:t>31.</w:t>
            </w:r>
          </w:p>
        </w:tc>
        <w:tc>
          <w:tcPr>
            <w:tcW w:w="1320" w:type="dxa"/>
          </w:tcPr>
          <w:p>
            <w:pPr>
              <w:pStyle w:val="yTable"/>
            </w:pPr>
            <w:r>
              <w:t>40(3)</w:t>
            </w:r>
          </w:p>
        </w:tc>
        <w:tc>
          <w:tcPr>
            <w:tcW w:w="3720" w:type="dxa"/>
          </w:tcPr>
          <w:p>
            <w:pPr>
              <w:pStyle w:val="yTable"/>
            </w:pPr>
            <w:r>
              <w:t>Failing to comply with direction under regulation 40(1) or (2)</w:t>
            </w:r>
          </w:p>
        </w:tc>
        <w:tc>
          <w:tcPr>
            <w:tcW w:w="1200" w:type="dxa"/>
            <w:vAlign w:val="bottom"/>
          </w:tcPr>
          <w:p>
            <w:pPr>
              <w:pStyle w:val="yTable"/>
              <w:tabs>
                <w:tab w:val="decimal" w:pos="766"/>
              </w:tabs>
            </w:pPr>
            <w:r>
              <w:t>200</w:t>
            </w:r>
          </w:p>
        </w:tc>
      </w:tr>
      <w:tr>
        <w:trPr>
          <w:cantSplit/>
        </w:trPr>
        <w:tc>
          <w:tcPr>
            <w:tcW w:w="840" w:type="dxa"/>
          </w:tcPr>
          <w:p>
            <w:pPr>
              <w:pStyle w:val="yTable"/>
            </w:pPr>
            <w:r>
              <w:t>32.</w:t>
            </w:r>
          </w:p>
        </w:tc>
        <w:tc>
          <w:tcPr>
            <w:tcW w:w="1320" w:type="dxa"/>
          </w:tcPr>
          <w:p>
            <w:pPr>
              <w:pStyle w:val="yTable"/>
            </w:pPr>
            <w:r>
              <w:t>41</w:t>
            </w:r>
          </w:p>
        </w:tc>
        <w:tc>
          <w:tcPr>
            <w:tcW w:w="3720" w:type="dxa"/>
          </w:tcPr>
          <w:p>
            <w:pPr>
              <w:pStyle w:val="yTable"/>
            </w:pPr>
            <w:r>
              <w:t>Entering certain classified areas</w:t>
            </w:r>
          </w:p>
        </w:tc>
        <w:tc>
          <w:tcPr>
            <w:tcW w:w="1200" w:type="dxa"/>
            <w:vAlign w:val="bottom"/>
          </w:tcPr>
          <w:p>
            <w:pPr>
              <w:pStyle w:val="yTable"/>
              <w:tabs>
                <w:tab w:val="decimal" w:pos="766"/>
              </w:tabs>
            </w:pPr>
            <w:r>
              <w:t>200</w:t>
            </w:r>
          </w:p>
        </w:tc>
      </w:tr>
      <w:tr>
        <w:trPr>
          <w:cantSplit/>
        </w:trPr>
        <w:tc>
          <w:tcPr>
            <w:tcW w:w="840" w:type="dxa"/>
          </w:tcPr>
          <w:p>
            <w:pPr>
              <w:pStyle w:val="yTable"/>
            </w:pPr>
            <w:r>
              <w:t>33.</w:t>
            </w:r>
          </w:p>
        </w:tc>
        <w:tc>
          <w:tcPr>
            <w:tcW w:w="1320" w:type="dxa"/>
          </w:tcPr>
          <w:p>
            <w:pPr>
              <w:pStyle w:val="yTable"/>
            </w:pPr>
            <w:r>
              <w:t>42</w:t>
            </w:r>
          </w:p>
        </w:tc>
        <w:tc>
          <w:tcPr>
            <w:tcW w:w="3720" w:type="dxa"/>
          </w:tcPr>
          <w:p>
            <w:pPr>
              <w:pStyle w:val="yTable"/>
            </w:pPr>
            <w:r>
              <w:t>Entering limited access area other than on foot or by vessel</w:t>
            </w:r>
          </w:p>
        </w:tc>
        <w:tc>
          <w:tcPr>
            <w:tcW w:w="1200" w:type="dxa"/>
            <w:vAlign w:val="bottom"/>
          </w:tcPr>
          <w:p>
            <w:pPr>
              <w:pStyle w:val="yTable"/>
              <w:tabs>
                <w:tab w:val="decimal" w:pos="766"/>
              </w:tabs>
            </w:pPr>
            <w:r>
              <w:t>200</w:t>
            </w:r>
          </w:p>
        </w:tc>
      </w:tr>
      <w:tr>
        <w:trPr>
          <w:cantSplit/>
        </w:trPr>
        <w:tc>
          <w:tcPr>
            <w:tcW w:w="840" w:type="dxa"/>
          </w:tcPr>
          <w:p>
            <w:pPr>
              <w:pStyle w:val="yTable"/>
            </w:pPr>
            <w:r>
              <w:t>34.</w:t>
            </w:r>
          </w:p>
        </w:tc>
        <w:tc>
          <w:tcPr>
            <w:tcW w:w="1320" w:type="dxa"/>
          </w:tcPr>
          <w:p>
            <w:pPr>
              <w:pStyle w:val="yTable"/>
            </w:pPr>
            <w:r>
              <w:t>43</w:t>
            </w:r>
          </w:p>
        </w:tc>
        <w:tc>
          <w:tcPr>
            <w:tcW w:w="3720" w:type="dxa"/>
          </w:tcPr>
          <w:p>
            <w:pPr>
              <w:pStyle w:val="yTable"/>
            </w:pPr>
            <w:r>
              <w:t>Entering wilderness area by vehicle, vessel or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35.</w:t>
            </w:r>
          </w:p>
        </w:tc>
        <w:tc>
          <w:tcPr>
            <w:tcW w:w="1320" w:type="dxa"/>
          </w:tcPr>
          <w:p>
            <w:pPr>
              <w:pStyle w:val="yTable"/>
            </w:pPr>
            <w:r>
              <w:t>46(1)</w:t>
            </w:r>
          </w:p>
        </w:tc>
        <w:tc>
          <w:tcPr>
            <w:tcW w:w="3720" w:type="dxa"/>
          </w:tcPr>
          <w:p>
            <w:pPr>
              <w:pStyle w:val="yTable"/>
            </w:pPr>
            <w:r>
              <w:t>Entering closed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36A.</w:t>
            </w:r>
          </w:p>
        </w:tc>
        <w:tc>
          <w:tcPr>
            <w:tcW w:w="1320" w:type="dxa"/>
          </w:tcPr>
          <w:p>
            <w:pPr>
              <w:pStyle w:val="yTable"/>
            </w:pPr>
            <w:r>
              <w:t>46(2)</w:t>
            </w:r>
          </w:p>
        </w:tc>
        <w:tc>
          <w:tcPr>
            <w:tcW w:w="3720" w:type="dxa"/>
          </w:tcPr>
          <w:p>
            <w:pPr>
              <w:pStyle w:val="yTable"/>
            </w:pPr>
            <w:r>
              <w:t>Failing to leave a closed area</w:t>
            </w:r>
          </w:p>
        </w:tc>
        <w:tc>
          <w:tcPr>
            <w:tcW w:w="1200" w:type="dxa"/>
            <w:vAlign w:val="bottom"/>
          </w:tcPr>
          <w:p>
            <w:pPr>
              <w:pStyle w:val="yTable"/>
              <w:tabs>
                <w:tab w:val="decimal" w:pos="766"/>
              </w:tabs>
            </w:pPr>
            <w:r>
              <w:t>200</w:t>
            </w:r>
          </w:p>
        </w:tc>
      </w:tr>
      <w:tr>
        <w:trPr>
          <w:cantSplit/>
        </w:trPr>
        <w:tc>
          <w:tcPr>
            <w:tcW w:w="840" w:type="dxa"/>
          </w:tcPr>
          <w:p>
            <w:pPr>
              <w:pStyle w:val="yTable"/>
            </w:pPr>
            <w:r>
              <w:t>36.</w:t>
            </w:r>
          </w:p>
        </w:tc>
        <w:tc>
          <w:tcPr>
            <w:tcW w:w="1320" w:type="dxa"/>
          </w:tcPr>
          <w:p>
            <w:pPr>
              <w:pStyle w:val="yTable"/>
            </w:pPr>
            <w:r>
              <w:t>47(1)</w:t>
            </w:r>
          </w:p>
        </w:tc>
        <w:tc>
          <w:tcPr>
            <w:tcW w:w="3720" w:type="dxa"/>
          </w:tcPr>
          <w:p>
            <w:pPr>
              <w:pStyle w:val="yTable"/>
            </w:pPr>
            <w:r>
              <w:t>Failing to enter through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w:t>
            </w:r>
          </w:p>
        </w:tc>
        <w:tc>
          <w:tcPr>
            <w:tcW w:w="1320" w:type="dxa"/>
          </w:tcPr>
          <w:p>
            <w:pPr>
              <w:pStyle w:val="yTable"/>
            </w:pPr>
            <w:r>
              <w:t>47(2)</w:t>
            </w:r>
          </w:p>
        </w:tc>
        <w:tc>
          <w:tcPr>
            <w:tcW w:w="3720" w:type="dxa"/>
          </w:tcPr>
          <w:p>
            <w:pPr>
              <w:pStyle w:val="yTable"/>
            </w:pPr>
            <w:r>
              <w:t>Unlawfully unlocking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37a.</w:t>
            </w:r>
          </w:p>
        </w:tc>
        <w:tc>
          <w:tcPr>
            <w:tcW w:w="1320" w:type="dxa"/>
          </w:tcPr>
          <w:p>
            <w:pPr>
              <w:pStyle w:val="yTable"/>
            </w:pPr>
            <w:r>
              <w:t>47(3)</w:t>
            </w:r>
          </w:p>
        </w:tc>
        <w:tc>
          <w:tcPr>
            <w:tcW w:w="3720" w:type="dxa"/>
          </w:tcPr>
          <w:p>
            <w:pPr>
              <w:pStyle w:val="yTable"/>
            </w:pPr>
            <w:r>
              <w:t>Unlawfully removing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38.</w:t>
            </w:r>
          </w:p>
        </w:tc>
        <w:tc>
          <w:tcPr>
            <w:tcW w:w="1320" w:type="dxa"/>
          </w:tcPr>
          <w:p>
            <w:pPr>
              <w:pStyle w:val="yTable"/>
            </w:pPr>
            <w:r>
              <w:t>48</w:t>
            </w:r>
          </w:p>
        </w:tc>
        <w:tc>
          <w:tcPr>
            <w:tcW w:w="3720" w:type="dxa"/>
          </w:tcPr>
          <w:p>
            <w:pPr>
              <w:pStyle w:val="yTable"/>
            </w:pPr>
            <w:r>
              <w:t>Entering or remaining on area set aside for Departmental purposes</w:t>
            </w:r>
          </w:p>
        </w:tc>
        <w:tc>
          <w:tcPr>
            <w:tcW w:w="1200" w:type="dxa"/>
            <w:vAlign w:val="bottom"/>
          </w:tcPr>
          <w:p>
            <w:pPr>
              <w:pStyle w:val="yTable"/>
              <w:tabs>
                <w:tab w:val="decimal" w:pos="766"/>
              </w:tabs>
            </w:pPr>
            <w:r>
              <w:t>50</w:t>
            </w:r>
          </w:p>
        </w:tc>
      </w:tr>
      <w:tr>
        <w:trPr>
          <w:cantSplit/>
        </w:trPr>
        <w:tc>
          <w:tcPr>
            <w:tcW w:w="840" w:type="dxa"/>
          </w:tcPr>
          <w:p>
            <w:pPr>
              <w:pStyle w:val="yTable"/>
            </w:pPr>
            <w:r>
              <w:t>39A.</w:t>
            </w:r>
          </w:p>
        </w:tc>
        <w:tc>
          <w:tcPr>
            <w:tcW w:w="1320" w:type="dxa"/>
          </w:tcPr>
          <w:p>
            <w:pPr>
              <w:pStyle w:val="yTable"/>
            </w:pPr>
            <w:r>
              <w:t>49A</w:t>
            </w:r>
          </w:p>
        </w:tc>
        <w:tc>
          <w:tcPr>
            <w:tcW w:w="3720" w:type="dxa"/>
          </w:tcPr>
          <w:p>
            <w:pPr>
              <w:pStyle w:val="yTable"/>
            </w:pPr>
            <w:r>
              <w:t xml:space="preserve">Accessing restricted area on foot </w:t>
            </w:r>
          </w:p>
        </w:tc>
        <w:tc>
          <w:tcPr>
            <w:tcW w:w="1200" w:type="dxa"/>
            <w:vAlign w:val="bottom"/>
          </w:tcPr>
          <w:p>
            <w:pPr>
              <w:pStyle w:val="yTable"/>
              <w:tabs>
                <w:tab w:val="decimal" w:pos="766"/>
              </w:tabs>
            </w:pPr>
            <w:r>
              <w:t>200</w:t>
            </w:r>
          </w:p>
        </w:tc>
      </w:tr>
      <w:tr>
        <w:trPr>
          <w:cantSplit/>
        </w:trPr>
        <w:tc>
          <w:tcPr>
            <w:tcW w:w="840" w:type="dxa"/>
          </w:tcPr>
          <w:p>
            <w:pPr>
              <w:pStyle w:val="yTable"/>
            </w:pPr>
            <w:r>
              <w:t>39.</w:t>
            </w:r>
          </w:p>
        </w:tc>
        <w:tc>
          <w:tcPr>
            <w:tcW w:w="1320" w:type="dxa"/>
          </w:tcPr>
          <w:p>
            <w:pPr>
              <w:pStyle w:val="yTable"/>
            </w:pPr>
            <w:r>
              <w:t>49(4)</w:t>
            </w:r>
          </w:p>
        </w:tc>
        <w:tc>
          <w:tcPr>
            <w:tcW w:w="3720" w:type="dxa"/>
          </w:tcPr>
          <w:p>
            <w:pPr>
              <w:pStyle w:val="yTable"/>
            </w:pPr>
            <w:r>
              <w:t>Entering or remaining in cave</w:t>
            </w:r>
          </w:p>
        </w:tc>
        <w:tc>
          <w:tcPr>
            <w:tcW w:w="1200" w:type="dxa"/>
            <w:vAlign w:val="bottom"/>
          </w:tcPr>
          <w:p>
            <w:pPr>
              <w:pStyle w:val="yTable"/>
              <w:tabs>
                <w:tab w:val="decimal" w:pos="766"/>
              </w:tabs>
            </w:pPr>
            <w:r>
              <w:t>100</w:t>
            </w:r>
          </w:p>
        </w:tc>
      </w:tr>
      <w:tr>
        <w:trPr>
          <w:cantSplit/>
        </w:trPr>
        <w:tc>
          <w:tcPr>
            <w:tcW w:w="840" w:type="dxa"/>
          </w:tcPr>
          <w:p>
            <w:pPr>
              <w:pStyle w:val="yTable"/>
            </w:pPr>
            <w:r>
              <w:t>40.</w:t>
            </w:r>
          </w:p>
        </w:tc>
        <w:tc>
          <w:tcPr>
            <w:tcW w:w="1320" w:type="dxa"/>
          </w:tcPr>
          <w:p>
            <w:pPr>
              <w:pStyle w:val="yTable"/>
            </w:pPr>
            <w:r>
              <w:t>49(5)</w:t>
            </w:r>
          </w:p>
        </w:tc>
        <w:tc>
          <w:tcPr>
            <w:tcW w:w="3720" w:type="dxa"/>
          </w:tcPr>
          <w:p>
            <w:pPr>
              <w:pStyle w:val="yTable"/>
            </w:pPr>
            <w:r>
              <w:t>Failing to comply with condition or restriction of permit to enter cave</w:t>
            </w:r>
          </w:p>
        </w:tc>
        <w:tc>
          <w:tcPr>
            <w:tcW w:w="1200" w:type="dxa"/>
            <w:vAlign w:val="bottom"/>
          </w:tcPr>
          <w:p>
            <w:pPr>
              <w:pStyle w:val="yTable"/>
              <w:tabs>
                <w:tab w:val="decimal" w:pos="766"/>
              </w:tabs>
            </w:pPr>
            <w:r>
              <w:t>100</w:t>
            </w:r>
          </w:p>
        </w:tc>
      </w:tr>
      <w:tr>
        <w:trPr>
          <w:cantSplit/>
        </w:trPr>
        <w:tc>
          <w:tcPr>
            <w:tcW w:w="840" w:type="dxa"/>
          </w:tcPr>
          <w:p>
            <w:pPr>
              <w:pStyle w:val="yTable"/>
            </w:pPr>
            <w:r>
              <w:t>40a.</w:t>
            </w:r>
          </w:p>
        </w:tc>
        <w:tc>
          <w:tcPr>
            <w:tcW w:w="1320" w:type="dxa"/>
          </w:tcPr>
          <w:p>
            <w:pPr>
              <w:pStyle w:val="yTable"/>
            </w:pPr>
            <w:r>
              <w:t>50</w:t>
            </w:r>
          </w:p>
        </w:tc>
        <w:tc>
          <w:tcPr>
            <w:tcW w:w="3720" w:type="dxa"/>
          </w:tcPr>
          <w:p>
            <w:pPr>
              <w:pStyle w:val="yTable"/>
            </w:pPr>
            <w:r>
              <w:t>Unlawfully organising cross country events etc.</w:t>
            </w:r>
          </w:p>
        </w:tc>
        <w:tc>
          <w:tcPr>
            <w:tcW w:w="1200" w:type="dxa"/>
            <w:vAlign w:val="bottom"/>
          </w:tcPr>
          <w:p>
            <w:pPr>
              <w:pStyle w:val="yTable"/>
              <w:tabs>
                <w:tab w:val="decimal" w:pos="766"/>
              </w:tabs>
            </w:pPr>
            <w:r>
              <w:t>100</w:t>
            </w:r>
          </w:p>
        </w:tc>
      </w:tr>
      <w:tr>
        <w:trPr>
          <w:cantSplit/>
        </w:trPr>
        <w:tc>
          <w:tcPr>
            <w:tcW w:w="840" w:type="dxa"/>
          </w:tcPr>
          <w:p>
            <w:pPr>
              <w:pStyle w:val="yTable"/>
            </w:pPr>
            <w:r>
              <w:t>41.</w:t>
            </w:r>
          </w:p>
        </w:tc>
        <w:tc>
          <w:tcPr>
            <w:tcW w:w="1320" w:type="dxa"/>
          </w:tcPr>
          <w:p>
            <w:pPr>
              <w:pStyle w:val="yTable"/>
            </w:pPr>
            <w:r>
              <w:t>51(1)</w:t>
            </w:r>
          </w:p>
        </w:tc>
        <w:tc>
          <w:tcPr>
            <w:tcW w:w="3720" w:type="dxa"/>
          </w:tcPr>
          <w:p>
            <w:pPr>
              <w:pStyle w:val="yTable"/>
            </w:pPr>
            <w:r>
              <w:t>Unlawfully driving or using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41a.</w:t>
            </w:r>
          </w:p>
        </w:tc>
        <w:tc>
          <w:tcPr>
            <w:tcW w:w="1320" w:type="dxa"/>
          </w:tcPr>
          <w:p>
            <w:pPr>
              <w:pStyle w:val="yTable"/>
            </w:pPr>
            <w:r>
              <w:t>51(3)</w:t>
            </w:r>
          </w:p>
        </w:tc>
        <w:tc>
          <w:tcPr>
            <w:tcW w:w="3720" w:type="dxa"/>
          </w:tcPr>
          <w:p>
            <w:pPr>
              <w:pStyle w:val="yTable"/>
            </w:pPr>
            <w:r>
              <w:t>Unlawfully driving or using vehicle in restricted area</w:t>
            </w:r>
          </w:p>
        </w:tc>
        <w:tc>
          <w:tcPr>
            <w:tcW w:w="1200" w:type="dxa"/>
            <w:vAlign w:val="bottom"/>
          </w:tcPr>
          <w:p>
            <w:pPr>
              <w:pStyle w:val="yTable"/>
              <w:tabs>
                <w:tab w:val="decimal" w:pos="766"/>
              </w:tabs>
            </w:pPr>
            <w:r>
              <w:t>200</w:t>
            </w:r>
          </w:p>
        </w:tc>
      </w:tr>
      <w:tr>
        <w:trPr>
          <w:cantSplit/>
        </w:trPr>
        <w:tc>
          <w:tcPr>
            <w:tcW w:w="840" w:type="dxa"/>
          </w:tcPr>
          <w:p>
            <w:pPr>
              <w:pStyle w:val="yTable"/>
            </w:pPr>
            <w:r>
              <w:t>41b.</w:t>
            </w:r>
          </w:p>
        </w:tc>
        <w:tc>
          <w:tcPr>
            <w:tcW w:w="1320" w:type="dxa"/>
          </w:tcPr>
          <w:p>
            <w:pPr>
              <w:pStyle w:val="yTable"/>
            </w:pPr>
            <w:r>
              <w:t>51A(1)</w:t>
            </w:r>
          </w:p>
        </w:tc>
        <w:tc>
          <w:tcPr>
            <w:tcW w:w="3720" w:type="dxa"/>
          </w:tcPr>
          <w:p>
            <w:pPr>
              <w:pStyle w:val="yTable"/>
            </w:pPr>
            <w:r>
              <w:t>Unlawfully riding a bicycle on CALM land</w:t>
            </w:r>
          </w:p>
        </w:tc>
        <w:tc>
          <w:tcPr>
            <w:tcW w:w="1200" w:type="dxa"/>
            <w:vAlign w:val="bottom"/>
          </w:tcPr>
          <w:p>
            <w:pPr>
              <w:pStyle w:val="yTable"/>
              <w:tabs>
                <w:tab w:val="decimal" w:pos="766"/>
              </w:tabs>
            </w:pPr>
            <w:r>
              <w:t>50</w:t>
            </w:r>
          </w:p>
        </w:tc>
      </w:tr>
      <w:tr>
        <w:trPr>
          <w:cantSplit/>
        </w:trPr>
        <w:tc>
          <w:tcPr>
            <w:tcW w:w="840" w:type="dxa"/>
          </w:tcPr>
          <w:p>
            <w:pPr>
              <w:pStyle w:val="yTable"/>
            </w:pPr>
            <w:r>
              <w:t>41c.</w:t>
            </w:r>
          </w:p>
        </w:tc>
        <w:tc>
          <w:tcPr>
            <w:tcW w:w="1320" w:type="dxa"/>
          </w:tcPr>
          <w:p>
            <w:pPr>
              <w:pStyle w:val="yTable"/>
            </w:pPr>
            <w:r>
              <w:t>51A(3)</w:t>
            </w:r>
          </w:p>
        </w:tc>
        <w:tc>
          <w:tcPr>
            <w:tcW w:w="3720" w:type="dxa"/>
          </w:tcPr>
          <w:p>
            <w:pPr>
              <w:pStyle w:val="yTable"/>
            </w:pPr>
            <w:r>
              <w:t>Unlawfully riding a bicycle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42.</w:t>
            </w:r>
          </w:p>
        </w:tc>
        <w:tc>
          <w:tcPr>
            <w:tcW w:w="1320" w:type="dxa"/>
          </w:tcPr>
          <w:p>
            <w:pPr>
              <w:pStyle w:val="yTable"/>
            </w:pPr>
            <w:r>
              <w:t>52</w:t>
            </w:r>
          </w:p>
        </w:tc>
        <w:tc>
          <w:tcPr>
            <w:tcW w:w="3720" w:type="dxa"/>
          </w:tcPr>
          <w:p>
            <w:pPr>
              <w:pStyle w:val="yTable"/>
            </w:pPr>
            <w:r>
              <w:t>Unlawfully using off</w:t>
            </w:r>
            <w:r>
              <w:noBreakHyphen/>
              <w:t>road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42a.</w:t>
            </w:r>
          </w:p>
        </w:tc>
        <w:tc>
          <w:tcPr>
            <w:tcW w:w="1320" w:type="dxa"/>
          </w:tcPr>
          <w:p>
            <w:pPr>
              <w:pStyle w:val="yTable"/>
            </w:pPr>
            <w:r>
              <w:t>53</w:t>
            </w:r>
          </w:p>
        </w:tc>
        <w:tc>
          <w:tcPr>
            <w:tcW w:w="3720" w:type="dxa"/>
          </w:tcPr>
          <w:p>
            <w:pPr>
              <w:pStyle w:val="yTable"/>
            </w:pPr>
            <w:r>
              <w:t>Unlawfully organising car rallies etc.</w:t>
            </w:r>
          </w:p>
        </w:tc>
        <w:tc>
          <w:tcPr>
            <w:tcW w:w="1200" w:type="dxa"/>
            <w:vAlign w:val="bottom"/>
          </w:tcPr>
          <w:p>
            <w:pPr>
              <w:pStyle w:val="yTable"/>
              <w:tabs>
                <w:tab w:val="decimal" w:pos="766"/>
              </w:tabs>
            </w:pPr>
            <w:r>
              <w:t>200</w:t>
            </w:r>
          </w:p>
        </w:tc>
      </w:tr>
      <w:tr>
        <w:trPr>
          <w:cantSplit/>
        </w:trPr>
        <w:tc>
          <w:tcPr>
            <w:tcW w:w="840" w:type="dxa"/>
          </w:tcPr>
          <w:p>
            <w:pPr>
              <w:pStyle w:val="yTable"/>
            </w:pPr>
            <w:r>
              <w:t>43.</w:t>
            </w:r>
          </w:p>
        </w:tc>
        <w:tc>
          <w:tcPr>
            <w:tcW w:w="1320" w:type="dxa"/>
          </w:tcPr>
          <w:p>
            <w:pPr>
              <w:pStyle w:val="yTable"/>
            </w:pPr>
            <w:r>
              <w:t>54(1)</w:t>
            </w:r>
          </w:p>
        </w:tc>
        <w:tc>
          <w:tcPr>
            <w:tcW w:w="3720" w:type="dxa"/>
          </w:tcPr>
          <w:p>
            <w:pPr>
              <w:pStyle w:val="yTable"/>
            </w:pPr>
            <w:r>
              <w:t>Breaching traffic law</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44A.</w:t>
            </w:r>
          </w:p>
        </w:tc>
        <w:tc>
          <w:tcPr>
            <w:tcW w:w="1320" w:type="dxa"/>
          </w:tcPr>
          <w:p>
            <w:pPr>
              <w:pStyle w:val="yTable"/>
            </w:pPr>
            <w:r>
              <w:t>54(2)</w:t>
            </w:r>
          </w:p>
        </w:tc>
        <w:tc>
          <w:tcPr>
            <w:tcW w:w="3720" w:type="dxa"/>
          </w:tcPr>
          <w:p>
            <w:pPr>
              <w:pStyle w:val="yTable"/>
            </w:pPr>
            <w:r>
              <w:t>Driving a vehicle in a dangerous or careless manner</w:t>
            </w:r>
          </w:p>
        </w:tc>
        <w:tc>
          <w:tcPr>
            <w:tcW w:w="1200" w:type="dxa"/>
            <w:vAlign w:val="bottom"/>
          </w:tcPr>
          <w:p>
            <w:pPr>
              <w:pStyle w:val="yTable"/>
              <w:tabs>
                <w:tab w:val="decimal" w:pos="766"/>
              </w:tabs>
            </w:pPr>
            <w:r>
              <w:br/>
              <w:t>100</w:t>
            </w:r>
          </w:p>
        </w:tc>
      </w:tr>
      <w:tr>
        <w:trPr>
          <w:cantSplit/>
        </w:trPr>
        <w:tc>
          <w:tcPr>
            <w:tcW w:w="840" w:type="dxa"/>
          </w:tcPr>
          <w:p>
            <w:pPr>
              <w:pStyle w:val="yTable"/>
            </w:pPr>
            <w:r>
              <w:t>44.</w:t>
            </w:r>
          </w:p>
        </w:tc>
        <w:tc>
          <w:tcPr>
            <w:tcW w:w="1320" w:type="dxa"/>
          </w:tcPr>
          <w:p>
            <w:pPr>
              <w:pStyle w:val="yTable"/>
            </w:pPr>
            <w:r>
              <w:t>55</w:t>
            </w:r>
          </w:p>
        </w:tc>
        <w:tc>
          <w:tcPr>
            <w:tcW w:w="3720" w:type="dxa"/>
          </w:tcPr>
          <w:p>
            <w:pPr>
              <w:pStyle w:val="yTable"/>
            </w:pPr>
            <w:r>
              <w:t>Failing to obey direction in relation to the parking or movement of vehicle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45.</w:t>
            </w:r>
          </w:p>
        </w:tc>
        <w:tc>
          <w:tcPr>
            <w:tcW w:w="1320" w:type="dxa"/>
          </w:tcPr>
          <w:p>
            <w:pPr>
              <w:pStyle w:val="yTable"/>
            </w:pPr>
            <w:r>
              <w:t>56(1)</w:t>
            </w:r>
          </w:p>
        </w:tc>
        <w:tc>
          <w:tcPr>
            <w:tcW w:w="3720" w:type="dxa"/>
          </w:tcPr>
          <w:p>
            <w:pPr>
              <w:pStyle w:val="yTable"/>
            </w:pPr>
            <w:r>
              <w:t>Parking contrary to direction on sign</w:t>
            </w:r>
          </w:p>
        </w:tc>
        <w:tc>
          <w:tcPr>
            <w:tcW w:w="1200" w:type="dxa"/>
            <w:vAlign w:val="bottom"/>
          </w:tcPr>
          <w:p>
            <w:pPr>
              <w:pStyle w:val="yTable"/>
              <w:tabs>
                <w:tab w:val="decimal" w:pos="766"/>
              </w:tabs>
            </w:pPr>
            <w:r>
              <w:t>50</w:t>
            </w:r>
          </w:p>
        </w:tc>
      </w:tr>
      <w:tr>
        <w:trPr>
          <w:cantSplit/>
        </w:trPr>
        <w:tc>
          <w:tcPr>
            <w:tcW w:w="840" w:type="dxa"/>
          </w:tcPr>
          <w:p>
            <w:pPr>
              <w:pStyle w:val="yTable"/>
            </w:pPr>
            <w:r>
              <w:t>46.</w:t>
            </w:r>
          </w:p>
        </w:tc>
        <w:tc>
          <w:tcPr>
            <w:tcW w:w="1320" w:type="dxa"/>
          </w:tcPr>
          <w:p>
            <w:pPr>
              <w:pStyle w:val="yTable"/>
            </w:pPr>
            <w:r>
              <w:t>56(4)</w:t>
            </w:r>
          </w:p>
        </w:tc>
        <w:tc>
          <w:tcPr>
            <w:tcW w:w="3720" w:type="dxa"/>
          </w:tcPr>
          <w:p>
            <w:pPr>
              <w:pStyle w:val="yTable"/>
            </w:pPr>
            <w:r>
              <w:t>Failing to pay parking charge or display ticket</w:t>
            </w:r>
          </w:p>
        </w:tc>
        <w:tc>
          <w:tcPr>
            <w:tcW w:w="1200" w:type="dxa"/>
            <w:vAlign w:val="bottom"/>
          </w:tcPr>
          <w:p>
            <w:pPr>
              <w:pStyle w:val="yTable"/>
              <w:tabs>
                <w:tab w:val="decimal" w:pos="766"/>
              </w:tabs>
            </w:pPr>
            <w:r>
              <w:t>50</w:t>
            </w:r>
          </w:p>
        </w:tc>
      </w:tr>
      <w:tr>
        <w:trPr>
          <w:cantSplit/>
        </w:trPr>
        <w:tc>
          <w:tcPr>
            <w:tcW w:w="840" w:type="dxa"/>
          </w:tcPr>
          <w:p>
            <w:pPr>
              <w:pStyle w:val="yTable"/>
            </w:pPr>
            <w:r>
              <w:t>47.</w:t>
            </w:r>
          </w:p>
        </w:tc>
        <w:tc>
          <w:tcPr>
            <w:tcW w:w="1320" w:type="dxa"/>
          </w:tcPr>
          <w:p>
            <w:pPr>
              <w:pStyle w:val="yTable"/>
            </w:pPr>
            <w:r>
              <w:t>57</w:t>
            </w:r>
          </w:p>
        </w:tc>
        <w:tc>
          <w:tcPr>
            <w:tcW w:w="3720" w:type="dxa"/>
          </w:tcPr>
          <w:p>
            <w:pPr>
              <w:pStyle w:val="yTable"/>
            </w:pPr>
            <w:r>
              <w:t>Obstructing vehicle etc.</w:t>
            </w:r>
          </w:p>
        </w:tc>
        <w:tc>
          <w:tcPr>
            <w:tcW w:w="1200" w:type="dxa"/>
            <w:vAlign w:val="bottom"/>
          </w:tcPr>
          <w:p>
            <w:pPr>
              <w:pStyle w:val="yTable"/>
              <w:tabs>
                <w:tab w:val="decimal" w:pos="766"/>
              </w:tabs>
            </w:pPr>
            <w:r>
              <w:t>50</w:t>
            </w:r>
          </w:p>
        </w:tc>
      </w:tr>
      <w:tr>
        <w:trPr>
          <w:cantSplit/>
        </w:trPr>
        <w:tc>
          <w:tcPr>
            <w:tcW w:w="840" w:type="dxa"/>
          </w:tcPr>
          <w:p>
            <w:pPr>
              <w:pStyle w:val="yTable"/>
            </w:pPr>
            <w:r>
              <w:t>47a.</w:t>
            </w:r>
          </w:p>
        </w:tc>
        <w:tc>
          <w:tcPr>
            <w:tcW w:w="1320" w:type="dxa"/>
          </w:tcPr>
          <w:p>
            <w:pPr>
              <w:pStyle w:val="yTable"/>
            </w:pPr>
            <w:r>
              <w:t>59(1)</w:t>
            </w:r>
          </w:p>
        </w:tc>
        <w:tc>
          <w:tcPr>
            <w:tcW w:w="3720" w:type="dxa"/>
          </w:tcPr>
          <w:p>
            <w:pPr>
              <w:pStyle w:val="yTable"/>
            </w:pPr>
            <w:r>
              <w:t>Unlawfully having a mooring</w:t>
            </w:r>
          </w:p>
        </w:tc>
        <w:tc>
          <w:tcPr>
            <w:tcW w:w="1200" w:type="dxa"/>
            <w:vAlign w:val="bottom"/>
          </w:tcPr>
          <w:p>
            <w:pPr>
              <w:pStyle w:val="yTable"/>
              <w:tabs>
                <w:tab w:val="decimal" w:pos="766"/>
              </w:tabs>
            </w:pPr>
            <w:r>
              <w:t>200</w:t>
            </w:r>
          </w:p>
        </w:tc>
      </w:tr>
      <w:tr>
        <w:trPr>
          <w:cantSplit/>
        </w:trPr>
        <w:tc>
          <w:tcPr>
            <w:tcW w:w="840" w:type="dxa"/>
          </w:tcPr>
          <w:p>
            <w:pPr>
              <w:pStyle w:val="yTable"/>
            </w:pPr>
            <w:r>
              <w:t>48.</w:t>
            </w:r>
          </w:p>
        </w:tc>
        <w:tc>
          <w:tcPr>
            <w:tcW w:w="1320" w:type="dxa"/>
          </w:tcPr>
          <w:p>
            <w:pPr>
              <w:pStyle w:val="yTable"/>
            </w:pPr>
            <w:r>
              <w:t>59(2)</w:t>
            </w:r>
          </w:p>
        </w:tc>
        <w:tc>
          <w:tcPr>
            <w:tcW w:w="3720" w:type="dxa"/>
          </w:tcPr>
          <w:p>
            <w:pPr>
              <w:pStyle w:val="yTable"/>
            </w:pPr>
            <w:r>
              <w:t>Using an unlawful mooring</w:t>
            </w:r>
          </w:p>
        </w:tc>
        <w:tc>
          <w:tcPr>
            <w:tcW w:w="1200" w:type="dxa"/>
            <w:vAlign w:val="bottom"/>
          </w:tcPr>
          <w:p>
            <w:pPr>
              <w:pStyle w:val="yTable"/>
              <w:tabs>
                <w:tab w:val="decimal" w:pos="766"/>
              </w:tabs>
            </w:pPr>
            <w:r>
              <w:t>100</w:t>
            </w:r>
          </w:p>
        </w:tc>
      </w:tr>
      <w:tr>
        <w:trPr>
          <w:cantSplit/>
        </w:trPr>
        <w:tc>
          <w:tcPr>
            <w:tcW w:w="840" w:type="dxa"/>
          </w:tcPr>
          <w:p>
            <w:pPr>
              <w:pStyle w:val="yTable"/>
            </w:pPr>
            <w:r>
              <w:t>48A.</w:t>
            </w:r>
          </w:p>
        </w:tc>
        <w:tc>
          <w:tcPr>
            <w:tcW w:w="1320" w:type="dxa"/>
          </w:tcPr>
          <w:p>
            <w:pPr>
              <w:pStyle w:val="yTable"/>
            </w:pPr>
            <w:r>
              <w:t>59(3A)</w:t>
            </w:r>
          </w:p>
        </w:tc>
        <w:tc>
          <w:tcPr>
            <w:tcW w:w="3720" w:type="dxa"/>
          </w:tcPr>
          <w:p>
            <w:pPr>
              <w:pStyle w:val="yTable"/>
            </w:pPr>
            <w:r>
              <w:t>Unlawfully securing vessel to mooring</w:t>
            </w:r>
          </w:p>
        </w:tc>
        <w:tc>
          <w:tcPr>
            <w:tcW w:w="1200" w:type="dxa"/>
            <w:vAlign w:val="bottom"/>
          </w:tcPr>
          <w:p>
            <w:pPr>
              <w:pStyle w:val="yTable"/>
              <w:tabs>
                <w:tab w:val="decimal" w:pos="766"/>
              </w:tabs>
            </w:pPr>
            <w:r>
              <w:t>100</w:t>
            </w:r>
          </w:p>
        </w:tc>
      </w:tr>
      <w:tr>
        <w:trPr>
          <w:cantSplit/>
        </w:trPr>
        <w:tc>
          <w:tcPr>
            <w:tcW w:w="840" w:type="dxa"/>
          </w:tcPr>
          <w:p>
            <w:pPr>
              <w:pStyle w:val="yTable"/>
            </w:pPr>
            <w:r>
              <w:t>49.</w:t>
            </w:r>
          </w:p>
        </w:tc>
        <w:tc>
          <w:tcPr>
            <w:tcW w:w="1320" w:type="dxa"/>
          </w:tcPr>
          <w:p>
            <w:pPr>
              <w:pStyle w:val="yTable"/>
            </w:pPr>
            <w:r>
              <w:t>59(3)</w:t>
            </w:r>
          </w:p>
        </w:tc>
        <w:tc>
          <w:tcPr>
            <w:tcW w:w="3720" w:type="dxa"/>
          </w:tcPr>
          <w:p>
            <w:pPr>
              <w:pStyle w:val="yTable"/>
            </w:pPr>
            <w:r>
              <w:t>Securing a vessel in an unlawful manner</w:t>
            </w:r>
          </w:p>
        </w:tc>
        <w:tc>
          <w:tcPr>
            <w:tcW w:w="1200" w:type="dxa"/>
            <w:vAlign w:val="bottom"/>
          </w:tcPr>
          <w:p>
            <w:pPr>
              <w:pStyle w:val="yTable"/>
              <w:tabs>
                <w:tab w:val="decimal" w:pos="766"/>
              </w:tabs>
            </w:pPr>
            <w:r>
              <w:t>100</w:t>
            </w:r>
          </w:p>
        </w:tc>
      </w:tr>
      <w:tr>
        <w:trPr>
          <w:cantSplit/>
        </w:trPr>
        <w:tc>
          <w:tcPr>
            <w:tcW w:w="840" w:type="dxa"/>
          </w:tcPr>
          <w:p>
            <w:pPr>
              <w:pStyle w:val="yTable"/>
            </w:pPr>
            <w:r>
              <w:t>50.</w:t>
            </w:r>
          </w:p>
        </w:tc>
        <w:tc>
          <w:tcPr>
            <w:tcW w:w="1320" w:type="dxa"/>
          </w:tcPr>
          <w:p>
            <w:pPr>
              <w:pStyle w:val="yTable"/>
            </w:pPr>
            <w:r>
              <w:t>60(1)</w:t>
            </w:r>
          </w:p>
        </w:tc>
        <w:tc>
          <w:tcPr>
            <w:tcW w:w="3720" w:type="dxa"/>
          </w:tcPr>
          <w:p>
            <w:pPr>
              <w:pStyle w:val="yTable"/>
            </w:pPr>
            <w:r>
              <w:t>Anchoring a vessel in a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50A.</w:t>
            </w:r>
          </w:p>
        </w:tc>
        <w:tc>
          <w:tcPr>
            <w:tcW w:w="1320" w:type="dxa"/>
          </w:tcPr>
          <w:p>
            <w:pPr>
              <w:pStyle w:val="yTable"/>
            </w:pPr>
            <w:r>
              <w:t>60A(4)</w:t>
            </w:r>
          </w:p>
        </w:tc>
        <w:tc>
          <w:tcPr>
            <w:tcW w:w="3720" w:type="dxa"/>
          </w:tcPr>
          <w:p>
            <w:pPr>
              <w:pStyle w:val="yTable"/>
            </w:pPr>
            <w:r>
              <w:t>Failure to comply with conditions of use of public mooring</w:t>
            </w:r>
          </w:p>
        </w:tc>
        <w:tc>
          <w:tcPr>
            <w:tcW w:w="1200" w:type="dxa"/>
          </w:tcPr>
          <w:p>
            <w:pPr>
              <w:pStyle w:val="yTable"/>
              <w:tabs>
                <w:tab w:val="decimal" w:pos="766"/>
              </w:tabs>
            </w:pPr>
            <w:r>
              <w:br/>
              <w:t>200</w:t>
            </w:r>
          </w:p>
        </w:tc>
      </w:tr>
      <w:tr>
        <w:trPr>
          <w:cantSplit/>
        </w:trPr>
        <w:tc>
          <w:tcPr>
            <w:tcW w:w="840" w:type="dxa"/>
          </w:tcPr>
          <w:p>
            <w:pPr>
              <w:pStyle w:val="yTable"/>
            </w:pPr>
            <w:r>
              <w:t>50B.</w:t>
            </w:r>
          </w:p>
        </w:tc>
        <w:tc>
          <w:tcPr>
            <w:tcW w:w="1320" w:type="dxa"/>
          </w:tcPr>
          <w:p>
            <w:pPr>
              <w:pStyle w:val="yTable"/>
            </w:pPr>
            <w:r>
              <w:t>60(2A)</w:t>
            </w:r>
          </w:p>
        </w:tc>
        <w:tc>
          <w:tcPr>
            <w:tcW w:w="3720" w:type="dxa"/>
          </w:tcPr>
          <w:p>
            <w:pPr>
              <w:pStyle w:val="yTable"/>
            </w:pPr>
            <w:r>
              <w:t>Anchoring vessel within 50 metres of mooring</w:t>
            </w:r>
          </w:p>
        </w:tc>
        <w:tc>
          <w:tcPr>
            <w:tcW w:w="1200" w:type="dxa"/>
          </w:tcPr>
          <w:p>
            <w:pPr>
              <w:pStyle w:val="yTable"/>
              <w:tabs>
                <w:tab w:val="decimal" w:pos="766"/>
              </w:tabs>
            </w:pPr>
            <w:r>
              <w:br/>
              <w:t>100</w:t>
            </w:r>
          </w:p>
        </w:tc>
      </w:tr>
      <w:tr>
        <w:trPr>
          <w:cantSplit/>
        </w:trPr>
        <w:tc>
          <w:tcPr>
            <w:tcW w:w="840" w:type="dxa"/>
          </w:tcPr>
          <w:p>
            <w:pPr>
              <w:pStyle w:val="yTable"/>
            </w:pPr>
            <w:r>
              <w:t>51.</w:t>
            </w:r>
          </w:p>
        </w:tc>
        <w:tc>
          <w:tcPr>
            <w:tcW w:w="1320" w:type="dxa"/>
          </w:tcPr>
          <w:p>
            <w:pPr>
              <w:pStyle w:val="yTable"/>
            </w:pPr>
            <w:r>
              <w:t>61</w:t>
            </w:r>
          </w:p>
        </w:tc>
        <w:tc>
          <w:tcPr>
            <w:tcW w:w="3720" w:type="dxa"/>
          </w:tcPr>
          <w:p>
            <w:pPr>
              <w:pStyle w:val="yTable"/>
            </w:pPr>
            <w:r>
              <w:t>Operating certain vessels in a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51a.</w:t>
            </w:r>
          </w:p>
        </w:tc>
        <w:tc>
          <w:tcPr>
            <w:tcW w:w="1320" w:type="dxa"/>
          </w:tcPr>
          <w:p>
            <w:pPr>
              <w:pStyle w:val="yTable"/>
            </w:pPr>
            <w:r>
              <w:t>61A</w:t>
            </w:r>
          </w:p>
        </w:tc>
        <w:tc>
          <w:tcPr>
            <w:tcW w:w="3720" w:type="dxa"/>
          </w:tcPr>
          <w:p>
            <w:pPr>
              <w:pStyle w:val="yTable"/>
            </w:pPr>
            <w:r>
              <w:t>Unlawful operation of vessels in nature reserves</w:t>
            </w:r>
          </w:p>
        </w:tc>
        <w:tc>
          <w:tcPr>
            <w:tcW w:w="1200" w:type="dxa"/>
            <w:vAlign w:val="bottom"/>
          </w:tcPr>
          <w:p>
            <w:pPr>
              <w:pStyle w:val="yTable"/>
              <w:tabs>
                <w:tab w:val="decimal" w:pos="766"/>
              </w:tabs>
            </w:pPr>
            <w:r>
              <w:t>100</w:t>
            </w:r>
          </w:p>
        </w:tc>
      </w:tr>
      <w:tr>
        <w:trPr>
          <w:cantSplit/>
        </w:trPr>
        <w:tc>
          <w:tcPr>
            <w:tcW w:w="840" w:type="dxa"/>
          </w:tcPr>
          <w:p>
            <w:pPr>
              <w:pStyle w:val="yTable"/>
            </w:pPr>
            <w:r>
              <w:t>51AA.</w:t>
            </w:r>
          </w:p>
        </w:tc>
        <w:tc>
          <w:tcPr>
            <w:tcW w:w="1320" w:type="dxa"/>
          </w:tcPr>
          <w:p>
            <w:pPr>
              <w:pStyle w:val="yTable"/>
            </w:pPr>
            <w:r>
              <w:t>61B(4)</w:t>
            </w:r>
          </w:p>
        </w:tc>
        <w:tc>
          <w:tcPr>
            <w:tcW w:w="3720" w:type="dxa"/>
          </w:tcPr>
          <w:p>
            <w:pPr>
              <w:pStyle w:val="yTable"/>
            </w:pPr>
            <w:r>
              <w:t>Operating vessel in excess of speed limit</w:t>
            </w:r>
          </w:p>
        </w:tc>
        <w:tc>
          <w:tcPr>
            <w:tcW w:w="1200" w:type="dxa"/>
            <w:vAlign w:val="bottom"/>
          </w:tcPr>
          <w:p>
            <w:pPr>
              <w:pStyle w:val="yTable"/>
              <w:tabs>
                <w:tab w:val="decimal" w:pos="766"/>
              </w:tabs>
            </w:pPr>
            <w:r>
              <w:t>200</w:t>
            </w:r>
          </w:p>
        </w:tc>
      </w:tr>
      <w:tr>
        <w:trPr>
          <w:cantSplit/>
        </w:trPr>
        <w:tc>
          <w:tcPr>
            <w:tcW w:w="840" w:type="dxa"/>
          </w:tcPr>
          <w:p>
            <w:pPr>
              <w:pStyle w:val="yTable"/>
            </w:pPr>
            <w:r>
              <w:t>51b.</w:t>
            </w:r>
          </w:p>
        </w:tc>
        <w:tc>
          <w:tcPr>
            <w:tcW w:w="1320" w:type="dxa"/>
          </w:tcPr>
          <w:p>
            <w:pPr>
              <w:pStyle w:val="yTable"/>
            </w:pPr>
            <w:r>
              <w:t>62(1)</w:t>
            </w:r>
          </w:p>
        </w:tc>
        <w:tc>
          <w:tcPr>
            <w:tcW w:w="3720" w:type="dxa"/>
          </w:tcPr>
          <w:p>
            <w:pPr>
              <w:pStyle w:val="yTable"/>
            </w:pPr>
            <w:r>
              <w:t>Unsafe navigation of vessels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51C.</w:t>
            </w:r>
          </w:p>
        </w:tc>
        <w:tc>
          <w:tcPr>
            <w:tcW w:w="1320" w:type="dxa"/>
          </w:tcPr>
          <w:p>
            <w:pPr>
              <w:pStyle w:val="yTable"/>
            </w:pPr>
            <w:r>
              <w:t>62(2)</w:t>
            </w:r>
          </w:p>
        </w:tc>
        <w:tc>
          <w:tcPr>
            <w:tcW w:w="3720" w:type="dxa"/>
          </w:tcPr>
          <w:p>
            <w:pPr>
              <w:pStyle w:val="yTable"/>
            </w:pPr>
            <w:r>
              <w:t>Navigating a vessel in a manner that causes nuisance etc.</w:t>
            </w:r>
          </w:p>
        </w:tc>
        <w:tc>
          <w:tcPr>
            <w:tcW w:w="1200" w:type="dxa"/>
            <w:vAlign w:val="bottom"/>
          </w:tcPr>
          <w:p>
            <w:pPr>
              <w:pStyle w:val="yTable"/>
              <w:tabs>
                <w:tab w:val="decimal" w:pos="766"/>
              </w:tabs>
            </w:pPr>
            <w:r>
              <w:br/>
              <w:t>100</w:t>
            </w:r>
          </w:p>
        </w:tc>
      </w:tr>
      <w:tr>
        <w:trPr>
          <w:cantSplit/>
        </w:trPr>
        <w:tc>
          <w:tcPr>
            <w:tcW w:w="840" w:type="dxa"/>
          </w:tcPr>
          <w:p>
            <w:pPr>
              <w:pStyle w:val="yTable"/>
            </w:pPr>
            <w:r>
              <w:t>52.</w:t>
            </w:r>
          </w:p>
        </w:tc>
        <w:tc>
          <w:tcPr>
            <w:tcW w:w="1320" w:type="dxa"/>
          </w:tcPr>
          <w:p>
            <w:pPr>
              <w:pStyle w:val="yTable"/>
            </w:pPr>
            <w:r>
              <w:t>63</w:t>
            </w:r>
          </w:p>
        </w:tc>
        <w:tc>
          <w:tcPr>
            <w:tcW w:w="3720" w:type="dxa"/>
          </w:tcPr>
          <w:p>
            <w:pPr>
              <w:pStyle w:val="yTable"/>
            </w:pPr>
            <w:r>
              <w:t>Failing to obey direction as to vessel</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53.</w:t>
            </w:r>
          </w:p>
        </w:tc>
        <w:tc>
          <w:tcPr>
            <w:tcW w:w="1320" w:type="dxa"/>
          </w:tcPr>
          <w:p>
            <w:pPr>
              <w:pStyle w:val="yTable"/>
            </w:pPr>
            <w:r>
              <w:t>64(1)</w:t>
            </w:r>
          </w:p>
        </w:tc>
        <w:tc>
          <w:tcPr>
            <w:tcW w:w="3720" w:type="dxa"/>
          </w:tcPr>
          <w:p>
            <w:pPr>
              <w:pStyle w:val="yTable"/>
            </w:pPr>
            <w:r>
              <w:t>Launching etc. vessel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53a.</w:t>
            </w:r>
          </w:p>
        </w:tc>
        <w:tc>
          <w:tcPr>
            <w:tcW w:w="1320" w:type="dxa"/>
          </w:tcPr>
          <w:p>
            <w:pPr>
              <w:pStyle w:val="yTable"/>
            </w:pPr>
            <w:r>
              <w:t>64(2)</w:t>
            </w:r>
          </w:p>
        </w:tc>
        <w:tc>
          <w:tcPr>
            <w:tcW w:w="3720" w:type="dxa"/>
          </w:tcPr>
          <w:p>
            <w:pPr>
              <w:pStyle w:val="yTable"/>
            </w:pPr>
            <w:r>
              <w:t>Launching etc. vessel in restricted area — contravention of restriction</w:t>
            </w:r>
          </w:p>
        </w:tc>
        <w:tc>
          <w:tcPr>
            <w:tcW w:w="1200" w:type="dxa"/>
            <w:vAlign w:val="bottom"/>
          </w:tcPr>
          <w:p>
            <w:pPr>
              <w:pStyle w:val="yTable"/>
              <w:tabs>
                <w:tab w:val="decimal" w:pos="766"/>
              </w:tabs>
            </w:pPr>
            <w:r>
              <w:t>100</w:t>
            </w:r>
          </w:p>
        </w:tc>
      </w:tr>
      <w:tr>
        <w:trPr>
          <w:cantSplit/>
        </w:trPr>
        <w:tc>
          <w:tcPr>
            <w:tcW w:w="840" w:type="dxa"/>
          </w:tcPr>
          <w:p>
            <w:pPr>
              <w:pStyle w:val="yTable"/>
            </w:pPr>
            <w:r>
              <w:t>54.</w:t>
            </w:r>
          </w:p>
        </w:tc>
        <w:tc>
          <w:tcPr>
            <w:tcW w:w="1320" w:type="dxa"/>
          </w:tcPr>
          <w:p>
            <w:pPr>
              <w:pStyle w:val="yTable"/>
            </w:pPr>
            <w:r>
              <w:t>64(4)</w:t>
            </w:r>
          </w:p>
        </w:tc>
        <w:tc>
          <w:tcPr>
            <w:tcW w:w="3720" w:type="dxa"/>
            <w:vAlign w:val="bottom"/>
          </w:tcPr>
          <w:p>
            <w:pPr>
              <w:pStyle w:val="yTable"/>
            </w:pPr>
            <w:r>
              <w:t>Failing to comply with direction to remove vessel</w:t>
            </w:r>
          </w:p>
        </w:tc>
        <w:tc>
          <w:tcPr>
            <w:tcW w:w="1200" w:type="dxa"/>
            <w:vAlign w:val="bottom"/>
          </w:tcPr>
          <w:p>
            <w:pPr>
              <w:pStyle w:val="yTable"/>
              <w:tabs>
                <w:tab w:val="decimal" w:pos="766"/>
              </w:tabs>
            </w:pPr>
            <w:r>
              <w:t>100</w:t>
            </w:r>
          </w:p>
        </w:tc>
      </w:tr>
      <w:tr>
        <w:trPr>
          <w:cantSplit/>
        </w:trPr>
        <w:tc>
          <w:tcPr>
            <w:tcW w:w="840" w:type="dxa"/>
          </w:tcPr>
          <w:p>
            <w:pPr>
              <w:pStyle w:val="yTable"/>
            </w:pPr>
            <w:r>
              <w:t>54aa.</w:t>
            </w:r>
          </w:p>
        </w:tc>
        <w:tc>
          <w:tcPr>
            <w:tcW w:w="1320" w:type="dxa"/>
          </w:tcPr>
          <w:p>
            <w:pPr>
              <w:pStyle w:val="yTable"/>
            </w:pPr>
            <w:r>
              <w:t>65A(2)</w:t>
            </w:r>
          </w:p>
        </w:tc>
        <w:tc>
          <w:tcPr>
            <w:tcW w:w="3720" w:type="dxa"/>
          </w:tcPr>
          <w:p>
            <w:pPr>
              <w:pStyle w:val="yTable"/>
            </w:pPr>
            <w:r>
              <w:t>Unlawful use of vessel storage facility</w:t>
            </w:r>
          </w:p>
        </w:tc>
        <w:tc>
          <w:tcPr>
            <w:tcW w:w="1200" w:type="dxa"/>
          </w:tcPr>
          <w:p>
            <w:pPr>
              <w:pStyle w:val="yTable"/>
              <w:tabs>
                <w:tab w:val="decimal" w:pos="766"/>
              </w:tabs>
            </w:pPr>
            <w:r>
              <w:t>200</w:t>
            </w:r>
          </w:p>
        </w:tc>
      </w:tr>
      <w:tr>
        <w:trPr>
          <w:cantSplit/>
        </w:trPr>
        <w:tc>
          <w:tcPr>
            <w:tcW w:w="840" w:type="dxa"/>
          </w:tcPr>
          <w:p>
            <w:pPr>
              <w:pStyle w:val="yTable"/>
            </w:pPr>
            <w:r>
              <w:t>54a.</w:t>
            </w:r>
          </w:p>
        </w:tc>
        <w:tc>
          <w:tcPr>
            <w:tcW w:w="1320" w:type="dxa"/>
          </w:tcPr>
          <w:p>
            <w:pPr>
              <w:pStyle w:val="yTable"/>
            </w:pPr>
            <w:r>
              <w:t>65(1)</w:t>
            </w:r>
          </w:p>
        </w:tc>
        <w:tc>
          <w:tcPr>
            <w:tcW w:w="3720" w:type="dxa"/>
          </w:tcPr>
          <w:p>
            <w:pPr>
              <w:pStyle w:val="yTable"/>
            </w:pPr>
            <w:r>
              <w:t>Unlawful landing of aircraft etc.</w:t>
            </w:r>
          </w:p>
        </w:tc>
        <w:tc>
          <w:tcPr>
            <w:tcW w:w="1200" w:type="dxa"/>
            <w:vAlign w:val="bottom"/>
          </w:tcPr>
          <w:p>
            <w:pPr>
              <w:pStyle w:val="yTable"/>
              <w:tabs>
                <w:tab w:val="decimal" w:pos="766"/>
              </w:tabs>
            </w:pPr>
            <w:r>
              <w:t>100</w:t>
            </w:r>
          </w:p>
        </w:tc>
      </w:tr>
      <w:tr>
        <w:trPr>
          <w:cantSplit/>
        </w:trPr>
        <w:tc>
          <w:tcPr>
            <w:tcW w:w="840" w:type="dxa"/>
          </w:tcPr>
          <w:p>
            <w:pPr>
              <w:pStyle w:val="yTable"/>
            </w:pPr>
            <w:r>
              <w:t>55.</w:t>
            </w:r>
          </w:p>
        </w:tc>
        <w:tc>
          <w:tcPr>
            <w:tcW w:w="1320" w:type="dxa"/>
          </w:tcPr>
          <w:p>
            <w:pPr>
              <w:pStyle w:val="yTable"/>
            </w:pPr>
            <w:r>
              <w:t>66(1)</w:t>
            </w:r>
          </w:p>
        </w:tc>
        <w:tc>
          <w:tcPr>
            <w:tcW w:w="3720" w:type="dxa"/>
          </w:tcPr>
          <w:p>
            <w:pPr>
              <w:pStyle w:val="yTable"/>
            </w:pPr>
            <w:r>
              <w:t>Camping other than in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56.</w:t>
            </w:r>
          </w:p>
        </w:tc>
        <w:tc>
          <w:tcPr>
            <w:tcW w:w="1320" w:type="dxa"/>
          </w:tcPr>
          <w:p>
            <w:pPr>
              <w:pStyle w:val="yTable"/>
            </w:pPr>
            <w:r>
              <w:t>66(2)</w:t>
            </w:r>
          </w:p>
        </w:tc>
        <w:tc>
          <w:tcPr>
            <w:tcW w:w="3720" w:type="dxa"/>
          </w:tcPr>
          <w:p>
            <w:pPr>
              <w:pStyle w:val="yTable"/>
            </w:pPr>
            <w:r>
              <w:t>Failing to comply with condition of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57.</w:t>
            </w:r>
          </w:p>
        </w:tc>
        <w:tc>
          <w:tcPr>
            <w:tcW w:w="1320" w:type="dxa"/>
          </w:tcPr>
          <w:p>
            <w:pPr>
              <w:pStyle w:val="yTable"/>
            </w:pPr>
            <w:r>
              <w:t>67(2)</w:t>
            </w:r>
          </w:p>
        </w:tc>
        <w:tc>
          <w:tcPr>
            <w:tcW w:w="3720" w:type="dxa"/>
          </w:tcPr>
          <w:p>
            <w:pPr>
              <w:pStyle w:val="yTable"/>
            </w:pPr>
            <w:r>
              <w:t>Failing to comply with direction to vacate camp</w:t>
            </w:r>
            <w:r>
              <w:rPr>
                <w:szCs w:val="22"/>
              </w:rPr>
              <w:t xml:space="preserve"> or not camp</w:t>
            </w:r>
          </w:p>
        </w:tc>
        <w:tc>
          <w:tcPr>
            <w:tcW w:w="1200" w:type="dxa"/>
            <w:vAlign w:val="bottom"/>
          </w:tcPr>
          <w:p>
            <w:pPr>
              <w:pStyle w:val="yTable"/>
              <w:tabs>
                <w:tab w:val="decimal" w:pos="766"/>
              </w:tabs>
            </w:pPr>
            <w:r>
              <w:t>100</w:t>
            </w:r>
          </w:p>
        </w:tc>
      </w:tr>
      <w:tr>
        <w:trPr>
          <w:cantSplit/>
        </w:trPr>
        <w:tc>
          <w:tcPr>
            <w:tcW w:w="840" w:type="dxa"/>
          </w:tcPr>
          <w:p>
            <w:pPr>
              <w:pStyle w:val="yTable"/>
            </w:pPr>
            <w:r>
              <w:t>58.</w:t>
            </w:r>
          </w:p>
        </w:tc>
        <w:tc>
          <w:tcPr>
            <w:tcW w:w="1320" w:type="dxa"/>
          </w:tcPr>
          <w:p>
            <w:pPr>
              <w:pStyle w:val="yTable"/>
            </w:pPr>
            <w:r>
              <w:t>68</w:t>
            </w:r>
          </w:p>
        </w:tc>
        <w:tc>
          <w:tcPr>
            <w:tcW w:w="3720" w:type="dxa"/>
          </w:tcPr>
          <w:p>
            <w:pPr>
              <w:pStyle w:val="yTable"/>
            </w:pPr>
            <w:r>
              <w:t>Entering camping unit without authority</w:t>
            </w:r>
          </w:p>
        </w:tc>
        <w:tc>
          <w:tcPr>
            <w:tcW w:w="1200" w:type="dxa"/>
            <w:vAlign w:val="bottom"/>
          </w:tcPr>
          <w:p>
            <w:pPr>
              <w:pStyle w:val="yTable"/>
              <w:tabs>
                <w:tab w:val="decimal" w:pos="766"/>
              </w:tabs>
            </w:pPr>
            <w:r>
              <w:t>50</w:t>
            </w:r>
          </w:p>
        </w:tc>
      </w:tr>
      <w:tr>
        <w:trPr>
          <w:cantSplit/>
        </w:trPr>
        <w:tc>
          <w:tcPr>
            <w:tcW w:w="840" w:type="dxa"/>
          </w:tcPr>
          <w:p>
            <w:pPr>
              <w:pStyle w:val="yTable"/>
            </w:pPr>
            <w:r>
              <w:t>59.</w:t>
            </w:r>
          </w:p>
        </w:tc>
        <w:tc>
          <w:tcPr>
            <w:tcW w:w="1320" w:type="dxa"/>
          </w:tcPr>
          <w:p>
            <w:pPr>
              <w:pStyle w:val="yTable"/>
            </w:pPr>
            <w:r>
              <w:t>69(1)</w:t>
            </w:r>
          </w:p>
        </w:tc>
        <w:tc>
          <w:tcPr>
            <w:tcW w:w="3720" w:type="dxa"/>
          </w:tcPr>
          <w:p>
            <w:pPr>
              <w:pStyle w:val="yTable"/>
            </w:pPr>
            <w:r>
              <w:t>Unlawful construction of camping unit</w:t>
            </w:r>
          </w:p>
        </w:tc>
        <w:tc>
          <w:tcPr>
            <w:tcW w:w="1200" w:type="dxa"/>
            <w:vAlign w:val="bottom"/>
          </w:tcPr>
          <w:p>
            <w:pPr>
              <w:pStyle w:val="yTable"/>
              <w:tabs>
                <w:tab w:val="decimal" w:pos="766"/>
              </w:tabs>
            </w:pPr>
            <w:r>
              <w:t>100</w:t>
            </w:r>
          </w:p>
        </w:tc>
      </w:tr>
      <w:tr>
        <w:trPr>
          <w:cantSplit/>
        </w:trPr>
        <w:tc>
          <w:tcPr>
            <w:tcW w:w="840" w:type="dxa"/>
          </w:tcPr>
          <w:p>
            <w:pPr>
              <w:pStyle w:val="yTable"/>
            </w:pPr>
            <w:r>
              <w:t>60.</w:t>
            </w:r>
          </w:p>
        </w:tc>
        <w:tc>
          <w:tcPr>
            <w:tcW w:w="1320" w:type="dxa"/>
          </w:tcPr>
          <w:p>
            <w:pPr>
              <w:pStyle w:val="yTable"/>
            </w:pPr>
            <w:r>
              <w:t>69(2)</w:t>
            </w:r>
          </w:p>
        </w:tc>
        <w:tc>
          <w:tcPr>
            <w:tcW w:w="3720" w:type="dxa"/>
          </w:tcPr>
          <w:p>
            <w:pPr>
              <w:pStyle w:val="yTable"/>
            </w:pPr>
            <w:r>
              <w:t>Unlawful positioning of camping unit</w:t>
            </w:r>
          </w:p>
        </w:tc>
        <w:tc>
          <w:tcPr>
            <w:tcW w:w="1200" w:type="dxa"/>
            <w:vAlign w:val="bottom"/>
          </w:tcPr>
          <w:p>
            <w:pPr>
              <w:pStyle w:val="yTable"/>
              <w:tabs>
                <w:tab w:val="decimal" w:pos="766"/>
              </w:tabs>
            </w:pPr>
            <w:r>
              <w:t>50</w:t>
            </w:r>
          </w:p>
        </w:tc>
      </w:tr>
      <w:tr>
        <w:trPr>
          <w:cantSplit/>
        </w:trPr>
        <w:tc>
          <w:tcPr>
            <w:tcW w:w="840" w:type="dxa"/>
          </w:tcPr>
          <w:p>
            <w:pPr>
              <w:pStyle w:val="yTable"/>
            </w:pPr>
            <w:r>
              <w:t>61.</w:t>
            </w:r>
          </w:p>
        </w:tc>
        <w:tc>
          <w:tcPr>
            <w:tcW w:w="1320" w:type="dxa"/>
          </w:tcPr>
          <w:p>
            <w:pPr>
              <w:pStyle w:val="yTable"/>
            </w:pPr>
            <w:r>
              <w:t>69(3)</w:t>
            </w:r>
          </w:p>
        </w:tc>
        <w:tc>
          <w:tcPr>
            <w:tcW w:w="3720" w:type="dxa"/>
          </w:tcPr>
          <w:p>
            <w:pPr>
              <w:pStyle w:val="yTable"/>
            </w:pPr>
            <w:r>
              <w:t>Failing to maintain camping site in clean and sanitary condition</w:t>
            </w:r>
          </w:p>
        </w:tc>
        <w:tc>
          <w:tcPr>
            <w:tcW w:w="1200" w:type="dxa"/>
            <w:vAlign w:val="bottom"/>
          </w:tcPr>
          <w:p>
            <w:pPr>
              <w:pStyle w:val="yTable"/>
              <w:tabs>
                <w:tab w:val="decimal" w:pos="766"/>
              </w:tabs>
            </w:pPr>
            <w:r>
              <w:t>50</w:t>
            </w:r>
          </w:p>
        </w:tc>
      </w:tr>
      <w:tr>
        <w:trPr>
          <w:cantSplit/>
        </w:trPr>
        <w:tc>
          <w:tcPr>
            <w:tcW w:w="840" w:type="dxa"/>
          </w:tcPr>
          <w:p>
            <w:pPr>
              <w:pStyle w:val="yTable"/>
              <w:keepNext/>
            </w:pPr>
            <w:r>
              <w:t>62.</w:t>
            </w:r>
          </w:p>
        </w:tc>
        <w:tc>
          <w:tcPr>
            <w:tcW w:w="1320" w:type="dxa"/>
          </w:tcPr>
          <w:p>
            <w:pPr>
              <w:pStyle w:val="yTable"/>
              <w:keepNext/>
            </w:pPr>
            <w:r>
              <w:t>69(4)</w:t>
            </w:r>
          </w:p>
        </w:tc>
        <w:tc>
          <w:tcPr>
            <w:tcW w:w="3720" w:type="dxa"/>
          </w:tcPr>
          <w:p>
            <w:pPr>
              <w:pStyle w:val="yTable"/>
              <w:keepNext/>
            </w:pPr>
            <w:r>
              <w:t>Failing to confine camp to allotted or defined site</w:t>
            </w:r>
          </w:p>
        </w:tc>
        <w:tc>
          <w:tcPr>
            <w:tcW w:w="1200" w:type="dxa"/>
            <w:vAlign w:val="bottom"/>
          </w:tcPr>
          <w:p>
            <w:pPr>
              <w:pStyle w:val="yTable"/>
              <w:tabs>
                <w:tab w:val="decimal" w:pos="766"/>
              </w:tabs>
            </w:pPr>
            <w:r>
              <w:t>50</w:t>
            </w:r>
          </w:p>
        </w:tc>
      </w:tr>
      <w:tr>
        <w:trPr>
          <w:cantSplit/>
        </w:trPr>
        <w:tc>
          <w:tcPr>
            <w:tcW w:w="840" w:type="dxa"/>
          </w:tcPr>
          <w:p>
            <w:pPr>
              <w:pStyle w:val="yTable"/>
            </w:pPr>
            <w:r>
              <w:t>63.</w:t>
            </w:r>
          </w:p>
        </w:tc>
        <w:tc>
          <w:tcPr>
            <w:tcW w:w="1320" w:type="dxa"/>
          </w:tcPr>
          <w:p>
            <w:pPr>
              <w:pStyle w:val="yTable"/>
            </w:pPr>
            <w:r>
              <w:t>69(6)</w:t>
            </w:r>
          </w:p>
        </w:tc>
        <w:tc>
          <w:tcPr>
            <w:tcW w:w="3720" w:type="dxa"/>
          </w:tcPr>
          <w:p>
            <w:pPr>
              <w:pStyle w:val="yTable"/>
            </w:pPr>
            <w:r>
              <w:t>Failing to comply with direction to move site</w:t>
            </w:r>
          </w:p>
        </w:tc>
        <w:tc>
          <w:tcPr>
            <w:tcW w:w="1200" w:type="dxa"/>
            <w:vAlign w:val="bottom"/>
          </w:tcPr>
          <w:p>
            <w:pPr>
              <w:pStyle w:val="yTable"/>
              <w:tabs>
                <w:tab w:val="decimal" w:pos="766"/>
              </w:tabs>
            </w:pPr>
            <w:r>
              <w:t>100</w:t>
            </w:r>
          </w:p>
        </w:tc>
      </w:tr>
      <w:tr>
        <w:trPr>
          <w:cantSplit/>
        </w:trPr>
        <w:tc>
          <w:tcPr>
            <w:tcW w:w="840" w:type="dxa"/>
          </w:tcPr>
          <w:p>
            <w:pPr>
              <w:pStyle w:val="yTable"/>
            </w:pPr>
            <w:r>
              <w:t>64.</w:t>
            </w:r>
          </w:p>
        </w:tc>
        <w:tc>
          <w:tcPr>
            <w:tcW w:w="1320" w:type="dxa"/>
          </w:tcPr>
          <w:p>
            <w:pPr>
              <w:pStyle w:val="yTable"/>
            </w:pPr>
            <w:r>
              <w:t>70(2)</w:t>
            </w:r>
          </w:p>
        </w:tc>
        <w:tc>
          <w:tcPr>
            <w:tcW w:w="3720" w:type="dxa"/>
          </w:tcPr>
          <w:p>
            <w:pPr>
              <w:pStyle w:val="yTable"/>
            </w:pPr>
            <w:r>
              <w:t>Failing to comply with direction as to power generator</w:t>
            </w:r>
          </w:p>
        </w:tc>
        <w:tc>
          <w:tcPr>
            <w:tcW w:w="1200" w:type="dxa"/>
            <w:vAlign w:val="bottom"/>
          </w:tcPr>
          <w:p>
            <w:pPr>
              <w:pStyle w:val="yTable"/>
              <w:tabs>
                <w:tab w:val="decimal" w:pos="766"/>
              </w:tabs>
            </w:pPr>
            <w:r>
              <w:t>100</w:t>
            </w:r>
          </w:p>
        </w:tc>
      </w:tr>
      <w:tr>
        <w:trPr>
          <w:cantSplit/>
        </w:trPr>
        <w:tc>
          <w:tcPr>
            <w:tcW w:w="840" w:type="dxa"/>
          </w:tcPr>
          <w:p>
            <w:pPr>
              <w:pStyle w:val="yTable"/>
            </w:pPr>
            <w:r>
              <w:t>64a.</w:t>
            </w:r>
          </w:p>
        </w:tc>
        <w:tc>
          <w:tcPr>
            <w:tcW w:w="1320" w:type="dxa"/>
          </w:tcPr>
          <w:p>
            <w:pPr>
              <w:pStyle w:val="yTable"/>
            </w:pPr>
            <w:r>
              <w:t>71(2a)</w:t>
            </w:r>
          </w:p>
        </w:tc>
        <w:tc>
          <w:tcPr>
            <w:tcW w:w="3720" w:type="dxa"/>
          </w:tcPr>
          <w:p>
            <w:pPr>
              <w:pStyle w:val="yTable"/>
            </w:pPr>
            <w:r>
              <w:t>Unlawfully collecting firewood for campfire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64BA.</w:t>
            </w:r>
          </w:p>
        </w:tc>
        <w:tc>
          <w:tcPr>
            <w:tcW w:w="1320" w:type="dxa"/>
          </w:tcPr>
          <w:p>
            <w:pPr>
              <w:pStyle w:val="yTable"/>
            </w:pPr>
            <w:r>
              <w:t>72(2)</w:t>
            </w:r>
          </w:p>
        </w:tc>
        <w:tc>
          <w:tcPr>
            <w:tcW w:w="3720" w:type="dxa"/>
          </w:tcPr>
          <w:p>
            <w:pPr>
              <w:pStyle w:val="yTable"/>
            </w:pPr>
            <w:r>
              <w:t>Failing to comply with direction to cease behaviour</w:t>
            </w:r>
          </w:p>
        </w:tc>
        <w:tc>
          <w:tcPr>
            <w:tcW w:w="1200" w:type="dxa"/>
            <w:vAlign w:val="bottom"/>
          </w:tcPr>
          <w:p>
            <w:pPr>
              <w:pStyle w:val="yTable"/>
              <w:tabs>
                <w:tab w:val="decimal" w:pos="766"/>
              </w:tabs>
            </w:pPr>
            <w:r>
              <w:br/>
              <w:t>100</w:t>
            </w:r>
          </w:p>
        </w:tc>
      </w:tr>
      <w:tr>
        <w:trPr>
          <w:cantSplit/>
        </w:trPr>
        <w:tc>
          <w:tcPr>
            <w:tcW w:w="840" w:type="dxa"/>
          </w:tcPr>
          <w:p>
            <w:pPr>
              <w:pStyle w:val="yTable"/>
            </w:pPr>
            <w:r>
              <w:t>64BB.</w:t>
            </w:r>
          </w:p>
        </w:tc>
        <w:tc>
          <w:tcPr>
            <w:tcW w:w="1320" w:type="dxa"/>
          </w:tcPr>
          <w:p>
            <w:pPr>
              <w:pStyle w:val="yTable"/>
            </w:pPr>
            <w:r>
              <w:t>73(1)</w:t>
            </w:r>
          </w:p>
        </w:tc>
        <w:tc>
          <w:tcPr>
            <w:tcW w:w="3720" w:type="dxa"/>
          </w:tcPr>
          <w:p>
            <w:pPr>
              <w:pStyle w:val="yTable"/>
            </w:pPr>
            <w:r>
              <w:t>Behaving in a way that causes nuisance or offence etc.</w:t>
            </w:r>
          </w:p>
        </w:tc>
        <w:tc>
          <w:tcPr>
            <w:tcW w:w="1200" w:type="dxa"/>
            <w:vAlign w:val="bottom"/>
          </w:tcPr>
          <w:p>
            <w:pPr>
              <w:pStyle w:val="yTable"/>
              <w:tabs>
                <w:tab w:val="decimal" w:pos="766"/>
              </w:tabs>
            </w:pPr>
            <w:r>
              <w:br/>
              <w:t>100</w:t>
            </w:r>
          </w:p>
        </w:tc>
      </w:tr>
      <w:tr>
        <w:trPr>
          <w:cantSplit/>
        </w:trPr>
        <w:tc>
          <w:tcPr>
            <w:tcW w:w="840" w:type="dxa"/>
          </w:tcPr>
          <w:p>
            <w:pPr>
              <w:pStyle w:val="yTable"/>
            </w:pPr>
            <w:r>
              <w:t>64b.</w:t>
            </w:r>
          </w:p>
        </w:tc>
        <w:tc>
          <w:tcPr>
            <w:tcW w:w="1320" w:type="dxa"/>
          </w:tcPr>
          <w:p>
            <w:pPr>
              <w:pStyle w:val="yTable"/>
            </w:pPr>
            <w:r>
              <w:t>73(2)</w:t>
            </w:r>
          </w:p>
        </w:tc>
        <w:tc>
          <w:tcPr>
            <w:tcW w:w="3720" w:type="dxa"/>
          </w:tcPr>
          <w:p>
            <w:pPr>
              <w:pStyle w:val="yTable"/>
            </w:pPr>
            <w:r>
              <w:t>Failing to comply with signs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64C.</w:t>
            </w:r>
          </w:p>
        </w:tc>
        <w:tc>
          <w:tcPr>
            <w:tcW w:w="1320" w:type="dxa"/>
          </w:tcPr>
          <w:p>
            <w:pPr>
              <w:pStyle w:val="yTable"/>
            </w:pPr>
            <w:r>
              <w:t>75(1)</w:t>
            </w:r>
          </w:p>
        </w:tc>
        <w:tc>
          <w:tcPr>
            <w:tcW w:w="3720" w:type="dxa"/>
          </w:tcPr>
          <w:p>
            <w:pPr>
              <w:pStyle w:val="yTable"/>
            </w:pPr>
            <w:r>
              <w:t>Entering or remaining on CALM land when seriously affected by alcohol or drugs etc.</w:t>
            </w:r>
          </w:p>
        </w:tc>
        <w:tc>
          <w:tcPr>
            <w:tcW w:w="1200" w:type="dxa"/>
            <w:vAlign w:val="bottom"/>
          </w:tcPr>
          <w:p>
            <w:pPr>
              <w:pStyle w:val="yTable"/>
              <w:tabs>
                <w:tab w:val="decimal" w:pos="766"/>
              </w:tabs>
            </w:pPr>
            <w:r>
              <w:br/>
            </w:r>
            <w:r>
              <w:br/>
              <w:t>100</w:t>
            </w:r>
          </w:p>
        </w:tc>
      </w:tr>
      <w:tr>
        <w:trPr>
          <w:cantSplit/>
        </w:trPr>
        <w:tc>
          <w:tcPr>
            <w:tcW w:w="840" w:type="dxa"/>
          </w:tcPr>
          <w:p>
            <w:pPr>
              <w:pStyle w:val="yTable"/>
            </w:pPr>
            <w:r>
              <w:t>65.</w:t>
            </w:r>
          </w:p>
        </w:tc>
        <w:tc>
          <w:tcPr>
            <w:tcW w:w="1320" w:type="dxa"/>
          </w:tcPr>
          <w:p>
            <w:pPr>
              <w:pStyle w:val="yTable"/>
            </w:pPr>
            <w:r>
              <w:t>75(2)</w:t>
            </w:r>
          </w:p>
        </w:tc>
        <w:tc>
          <w:tcPr>
            <w:tcW w:w="3720" w:type="dxa"/>
          </w:tcPr>
          <w:p>
            <w:pPr>
              <w:pStyle w:val="yTable"/>
            </w:pPr>
            <w:r>
              <w:t>Taking intoxicating substance into cave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65A.</w:t>
            </w:r>
          </w:p>
        </w:tc>
        <w:tc>
          <w:tcPr>
            <w:tcW w:w="1320" w:type="dxa"/>
          </w:tcPr>
          <w:p>
            <w:pPr>
              <w:pStyle w:val="yTable"/>
            </w:pPr>
            <w:r>
              <w:t>75(4)</w:t>
            </w:r>
          </w:p>
        </w:tc>
        <w:tc>
          <w:tcPr>
            <w:tcW w:w="3720" w:type="dxa"/>
          </w:tcPr>
          <w:p>
            <w:pPr>
              <w:pStyle w:val="yTable"/>
            </w:pPr>
            <w:r>
              <w:t>Failing to comply with a direction not to bring alcohol or intoxicating substance onto CALM land</w:t>
            </w:r>
          </w:p>
        </w:tc>
        <w:tc>
          <w:tcPr>
            <w:tcW w:w="1200" w:type="dxa"/>
            <w:vAlign w:val="bottom"/>
          </w:tcPr>
          <w:p>
            <w:pPr>
              <w:pStyle w:val="yTable"/>
              <w:tabs>
                <w:tab w:val="decimal" w:pos="766"/>
              </w:tabs>
            </w:pPr>
            <w:r>
              <w:br/>
            </w:r>
            <w:r>
              <w:br/>
              <w:t>100</w:t>
            </w:r>
          </w:p>
        </w:tc>
      </w:tr>
      <w:tr>
        <w:trPr>
          <w:cantSplit/>
        </w:trPr>
        <w:tc>
          <w:tcPr>
            <w:tcW w:w="840" w:type="dxa"/>
          </w:tcPr>
          <w:p>
            <w:pPr>
              <w:pStyle w:val="yTable"/>
            </w:pPr>
            <w:r>
              <w:t>66.</w:t>
            </w:r>
          </w:p>
        </w:tc>
        <w:tc>
          <w:tcPr>
            <w:tcW w:w="1320" w:type="dxa"/>
          </w:tcPr>
          <w:p>
            <w:pPr>
              <w:pStyle w:val="yTable"/>
            </w:pPr>
            <w:r>
              <w:t>76(1)</w:t>
            </w:r>
          </w:p>
        </w:tc>
        <w:tc>
          <w:tcPr>
            <w:tcW w:w="3720" w:type="dxa"/>
          </w:tcPr>
          <w:p>
            <w:pPr>
              <w:pStyle w:val="yTable"/>
            </w:pPr>
            <w:r>
              <w:t>Removing CALM property</w:t>
            </w:r>
          </w:p>
        </w:tc>
        <w:tc>
          <w:tcPr>
            <w:tcW w:w="1200" w:type="dxa"/>
            <w:vAlign w:val="bottom"/>
          </w:tcPr>
          <w:p>
            <w:pPr>
              <w:pStyle w:val="yTable"/>
              <w:tabs>
                <w:tab w:val="decimal" w:pos="766"/>
              </w:tabs>
            </w:pPr>
            <w:r>
              <w:t>200</w:t>
            </w:r>
          </w:p>
        </w:tc>
      </w:tr>
      <w:tr>
        <w:trPr>
          <w:cantSplit/>
        </w:trPr>
        <w:tc>
          <w:tcPr>
            <w:tcW w:w="840" w:type="dxa"/>
          </w:tcPr>
          <w:p>
            <w:pPr>
              <w:pStyle w:val="yTable"/>
            </w:pPr>
            <w:r>
              <w:t>66AA.</w:t>
            </w:r>
          </w:p>
        </w:tc>
        <w:tc>
          <w:tcPr>
            <w:tcW w:w="1320" w:type="dxa"/>
          </w:tcPr>
          <w:p>
            <w:pPr>
              <w:pStyle w:val="yTable"/>
            </w:pPr>
            <w:r>
              <w:t>76(3)</w:t>
            </w:r>
          </w:p>
        </w:tc>
        <w:tc>
          <w:tcPr>
            <w:tcW w:w="3720" w:type="dxa"/>
          </w:tcPr>
          <w:p>
            <w:pPr>
              <w:pStyle w:val="yTable"/>
            </w:pPr>
            <w:r>
              <w:t>Failing to comply with a direction to leave object</w:t>
            </w:r>
          </w:p>
        </w:tc>
        <w:tc>
          <w:tcPr>
            <w:tcW w:w="1200" w:type="dxa"/>
            <w:vAlign w:val="bottom"/>
          </w:tcPr>
          <w:p>
            <w:pPr>
              <w:pStyle w:val="yTable"/>
              <w:tabs>
                <w:tab w:val="decimal" w:pos="766"/>
              </w:tabs>
            </w:pPr>
            <w:r>
              <w:br/>
              <w:t>200</w:t>
            </w:r>
          </w:p>
        </w:tc>
      </w:tr>
      <w:tr>
        <w:trPr>
          <w:cantSplit/>
        </w:trPr>
        <w:tc>
          <w:tcPr>
            <w:tcW w:w="840" w:type="dxa"/>
          </w:tcPr>
          <w:p>
            <w:pPr>
              <w:pStyle w:val="yTable"/>
            </w:pPr>
            <w:r>
              <w:t>66a.</w:t>
            </w:r>
          </w:p>
        </w:tc>
        <w:tc>
          <w:tcPr>
            <w:tcW w:w="1320" w:type="dxa"/>
          </w:tcPr>
          <w:p>
            <w:pPr>
              <w:pStyle w:val="yTable"/>
            </w:pPr>
            <w:r>
              <w:t>78(1a)</w:t>
            </w:r>
          </w:p>
        </w:tc>
        <w:tc>
          <w:tcPr>
            <w:tcW w:w="3720" w:type="dxa"/>
          </w:tcPr>
          <w:p>
            <w:pPr>
              <w:pStyle w:val="yTable"/>
            </w:pPr>
            <w:r>
              <w:t>Failing to comply with order to remove unauthorised property</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67.</w:t>
            </w:r>
          </w:p>
        </w:tc>
        <w:tc>
          <w:tcPr>
            <w:tcW w:w="1320" w:type="dxa"/>
          </w:tcPr>
          <w:p>
            <w:pPr>
              <w:pStyle w:val="yTable"/>
            </w:pPr>
            <w:r>
              <w:t>88(2)</w:t>
            </w:r>
          </w:p>
        </w:tc>
        <w:tc>
          <w:tcPr>
            <w:tcW w:w="3720" w:type="dxa"/>
          </w:tcPr>
          <w:p>
            <w:pPr>
              <w:pStyle w:val="yTable"/>
            </w:pPr>
            <w:r>
              <w:t>Failing to comply with requirement to return licence</w:t>
            </w:r>
          </w:p>
        </w:tc>
        <w:tc>
          <w:tcPr>
            <w:tcW w:w="1200" w:type="dxa"/>
            <w:vAlign w:val="bottom"/>
          </w:tcPr>
          <w:p>
            <w:pPr>
              <w:pStyle w:val="yTable"/>
              <w:tabs>
                <w:tab w:val="decimal" w:pos="766"/>
              </w:tabs>
            </w:pPr>
            <w:r>
              <w:t>50</w:t>
            </w:r>
          </w:p>
        </w:tc>
      </w:tr>
      <w:tr>
        <w:trPr>
          <w:cantSplit/>
        </w:trPr>
        <w:tc>
          <w:tcPr>
            <w:tcW w:w="840" w:type="dxa"/>
          </w:tcPr>
          <w:p>
            <w:pPr>
              <w:pStyle w:val="yTable"/>
            </w:pPr>
            <w:r>
              <w:t>68AA.</w:t>
            </w:r>
          </w:p>
        </w:tc>
        <w:tc>
          <w:tcPr>
            <w:tcW w:w="1320" w:type="dxa"/>
          </w:tcPr>
          <w:p>
            <w:pPr>
              <w:pStyle w:val="yTable"/>
            </w:pPr>
            <w:r>
              <w:t>93(5)</w:t>
            </w:r>
          </w:p>
        </w:tc>
        <w:tc>
          <w:tcPr>
            <w:tcW w:w="3720" w:type="dxa"/>
          </w:tcPr>
          <w:p>
            <w:pPr>
              <w:pStyle w:val="yTable"/>
            </w:pPr>
            <w:r>
              <w:t>Contravention of condition or restriction of scientific purposes licence</w:t>
            </w:r>
          </w:p>
        </w:tc>
        <w:tc>
          <w:tcPr>
            <w:tcW w:w="1200" w:type="dxa"/>
            <w:vAlign w:val="bottom"/>
          </w:tcPr>
          <w:p>
            <w:pPr>
              <w:pStyle w:val="yTable"/>
              <w:tabs>
                <w:tab w:val="decimal" w:pos="766"/>
              </w:tabs>
            </w:pPr>
            <w:r>
              <w:br/>
              <w:t>100</w:t>
            </w:r>
          </w:p>
        </w:tc>
      </w:tr>
      <w:tr>
        <w:trPr>
          <w:cantSplit/>
        </w:trPr>
        <w:tc>
          <w:tcPr>
            <w:tcW w:w="840" w:type="dxa"/>
          </w:tcPr>
          <w:p>
            <w:pPr>
              <w:pStyle w:val="yTable"/>
            </w:pPr>
            <w:r>
              <w:t>68.</w:t>
            </w:r>
          </w:p>
        </w:tc>
        <w:tc>
          <w:tcPr>
            <w:tcW w:w="1320" w:type="dxa"/>
          </w:tcPr>
          <w:p>
            <w:pPr>
              <w:pStyle w:val="yTable"/>
            </w:pPr>
            <w:r>
              <w:t>98(3)</w:t>
            </w:r>
          </w:p>
        </w:tc>
        <w:tc>
          <w:tcPr>
            <w:tcW w:w="3720" w:type="dxa"/>
          </w:tcPr>
          <w:p>
            <w:pPr>
              <w:pStyle w:val="yTable"/>
            </w:pPr>
            <w:r>
              <w:t>Contravention of condition of commercial operations licence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68A.</w:t>
            </w:r>
          </w:p>
        </w:tc>
        <w:tc>
          <w:tcPr>
            <w:tcW w:w="1320" w:type="dxa"/>
          </w:tcPr>
          <w:p>
            <w:pPr>
              <w:pStyle w:val="yTable"/>
            </w:pPr>
            <w:r>
              <w:t>98AF(3)</w:t>
            </w:r>
          </w:p>
        </w:tc>
        <w:tc>
          <w:tcPr>
            <w:tcW w:w="3720" w:type="dxa"/>
          </w:tcPr>
          <w:p>
            <w:pPr>
              <w:pStyle w:val="yTable"/>
            </w:pPr>
            <w:r>
              <w:t>Contravention of condition of rental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68B.</w:t>
            </w:r>
          </w:p>
        </w:tc>
        <w:tc>
          <w:tcPr>
            <w:tcW w:w="1320" w:type="dxa"/>
          </w:tcPr>
          <w:p>
            <w:pPr>
              <w:pStyle w:val="yTable"/>
            </w:pPr>
            <w:r>
              <w:t>98AL(4)</w:t>
            </w:r>
          </w:p>
        </w:tc>
        <w:tc>
          <w:tcPr>
            <w:tcW w:w="3720" w:type="dxa"/>
          </w:tcPr>
          <w:p>
            <w:pPr>
              <w:pStyle w:val="yTable"/>
            </w:pPr>
            <w:r>
              <w:t>Failing to have written consent of licence holder in possession</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68C.</w:t>
            </w:r>
          </w:p>
        </w:tc>
        <w:tc>
          <w:tcPr>
            <w:tcW w:w="1320" w:type="dxa"/>
          </w:tcPr>
          <w:p>
            <w:pPr>
              <w:pStyle w:val="yTable"/>
            </w:pPr>
            <w:r>
              <w:t>98AR(3)</w:t>
            </w:r>
          </w:p>
        </w:tc>
        <w:tc>
          <w:tcPr>
            <w:tcW w:w="3720" w:type="dxa"/>
          </w:tcPr>
          <w:p>
            <w:pPr>
              <w:pStyle w:val="yTable"/>
            </w:pPr>
            <w:r>
              <w:t>Contravention of condition of private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68D.</w:t>
            </w:r>
          </w:p>
        </w:tc>
        <w:tc>
          <w:tcPr>
            <w:tcW w:w="1320" w:type="dxa"/>
          </w:tcPr>
          <w:p>
            <w:pPr>
              <w:pStyle w:val="yTable"/>
            </w:pPr>
            <w:r>
              <w:t>98AT(3)</w:t>
            </w:r>
          </w:p>
        </w:tc>
        <w:tc>
          <w:tcPr>
            <w:tcW w:w="3720" w:type="dxa"/>
          </w:tcPr>
          <w:p>
            <w:pPr>
              <w:pStyle w:val="yTable"/>
            </w:pPr>
            <w:r>
              <w:t>Failing to provide inspection report for mooring</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68E.</w:t>
            </w:r>
          </w:p>
        </w:tc>
        <w:tc>
          <w:tcPr>
            <w:tcW w:w="1320" w:type="dxa"/>
          </w:tcPr>
          <w:p>
            <w:pPr>
              <w:pStyle w:val="yTable"/>
            </w:pPr>
            <w:r>
              <w:t>98AU(3)</w:t>
            </w:r>
          </w:p>
        </w:tc>
        <w:tc>
          <w:tcPr>
            <w:tcW w:w="3720" w:type="dxa"/>
          </w:tcPr>
          <w:p>
            <w:pPr>
              <w:pStyle w:val="yTable"/>
            </w:pPr>
            <w:r>
              <w:t>Failing to comply with a requirement to repair, relocate or remove a private mooring</w:t>
            </w:r>
          </w:p>
        </w:tc>
        <w:tc>
          <w:tcPr>
            <w:tcW w:w="1200" w:type="dxa"/>
            <w:vAlign w:val="bottom"/>
          </w:tcPr>
          <w:p>
            <w:pPr>
              <w:pStyle w:val="yTable"/>
              <w:tabs>
                <w:tab w:val="decimal" w:pos="766"/>
              </w:tabs>
              <w:rPr>
                <w:szCs w:val="22"/>
              </w:rPr>
            </w:pPr>
            <w:r>
              <w:t>200</w:t>
            </w:r>
          </w:p>
        </w:tc>
      </w:tr>
      <w:tr>
        <w:trPr>
          <w:cantSplit/>
        </w:trPr>
        <w:tc>
          <w:tcPr>
            <w:tcW w:w="840" w:type="dxa"/>
          </w:tcPr>
          <w:p>
            <w:pPr>
              <w:pStyle w:val="yTable"/>
            </w:pPr>
            <w:r>
              <w:t>68F.</w:t>
            </w:r>
          </w:p>
        </w:tc>
        <w:tc>
          <w:tcPr>
            <w:tcW w:w="1320" w:type="dxa"/>
          </w:tcPr>
          <w:p>
            <w:pPr>
              <w:pStyle w:val="yTable"/>
            </w:pPr>
            <w:r>
              <w:t>98AW</w:t>
            </w:r>
          </w:p>
        </w:tc>
        <w:tc>
          <w:tcPr>
            <w:tcW w:w="3720" w:type="dxa"/>
          </w:tcPr>
          <w:p>
            <w:pPr>
              <w:pStyle w:val="yTable"/>
            </w:pPr>
            <w:r>
              <w:t>Failing to notify change of particulars for private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69.</w:t>
            </w:r>
          </w:p>
        </w:tc>
        <w:tc>
          <w:tcPr>
            <w:tcW w:w="1320" w:type="dxa"/>
          </w:tcPr>
          <w:p>
            <w:pPr>
              <w:pStyle w:val="yTable"/>
            </w:pPr>
            <w:r>
              <w:t>99(5)</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69a.</w:t>
            </w:r>
          </w:p>
        </w:tc>
        <w:tc>
          <w:tcPr>
            <w:tcW w:w="1320" w:type="dxa"/>
          </w:tcPr>
          <w:p>
            <w:pPr>
              <w:pStyle w:val="yTable"/>
            </w:pPr>
            <w:r>
              <w:t>99A(4)</w:t>
            </w:r>
          </w:p>
        </w:tc>
        <w:tc>
          <w:tcPr>
            <w:tcW w:w="3720" w:type="dxa"/>
          </w:tcPr>
          <w:p>
            <w:pPr>
              <w:pStyle w:val="yTable"/>
            </w:pPr>
            <w:r>
              <w:t>Failing to pay landing fee for aircraft</w:t>
            </w:r>
          </w:p>
        </w:tc>
        <w:tc>
          <w:tcPr>
            <w:tcW w:w="1200" w:type="dxa"/>
            <w:vAlign w:val="bottom"/>
          </w:tcPr>
          <w:p>
            <w:pPr>
              <w:pStyle w:val="yTable"/>
              <w:tabs>
                <w:tab w:val="decimal" w:pos="766"/>
              </w:tabs>
            </w:pPr>
            <w:r>
              <w:t>100</w:t>
            </w:r>
          </w:p>
        </w:tc>
      </w:tr>
      <w:tr>
        <w:trPr>
          <w:cantSplit/>
        </w:trPr>
        <w:tc>
          <w:tcPr>
            <w:tcW w:w="840" w:type="dxa"/>
          </w:tcPr>
          <w:p>
            <w:pPr>
              <w:pStyle w:val="yTable"/>
            </w:pPr>
            <w:r>
              <w:t>69b.</w:t>
            </w:r>
          </w:p>
        </w:tc>
        <w:tc>
          <w:tcPr>
            <w:tcW w:w="1320" w:type="dxa"/>
          </w:tcPr>
          <w:p>
            <w:pPr>
              <w:pStyle w:val="yTable"/>
            </w:pPr>
            <w:r>
              <w:t>99C(4)</w:t>
            </w:r>
          </w:p>
        </w:tc>
        <w:tc>
          <w:tcPr>
            <w:tcW w:w="3720" w:type="dxa"/>
          </w:tcPr>
          <w:p>
            <w:pPr>
              <w:pStyle w:val="yTable"/>
            </w:pPr>
            <w:r>
              <w:t xml:space="preserve">Failing to pay entrance fee for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p>
        </w:tc>
        <w:tc>
          <w:tcPr>
            <w:tcW w:w="1200" w:type="dxa"/>
          </w:tcPr>
          <w:p>
            <w:pPr>
              <w:pStyle w:val="yTable"/>
              <w:tabs>
                <w:tab w:val="decimal" w:pos="766"/>
              </w:tabs>
            </w:pPr>
            <w:r>
              <w:br/>
              <w:t>35</w:t>
            </w:r>
          </w:p>
        </w:tc>
      </w:tr>
      <w:tr>
        <w:trPr>
          <w:cantSplit/>
        </w:trPr>
        <w:tc>
          <w:tcPr>
            <w:tcW w:w="840" w:type="dxa"/>
          </w:tcPr>
          <w:p>
            <w:pPr>
              <w:pStyle w:val="yTable"/>
            </w:pPr>
            <w:r>
              <w:t>70.</w:t>
            </w:r>
          </w:p>
        </w:tc>
        <w:tc>
          <w:tcPr>
            <w:tcW w:w="1320" w:type="dxa"/>
          </w:tcPr>
          <w:p>
            <w:pPr>
              <w:pStyle w:val="yTable"/>
              <w:ind w:left="-74" w:firstLine="45"/>
            </w:pPr>
            <w:r>
              <w:t>100(4)</w:t>
            </w:r>
          </w:p>
        </w:tc>
        <w:tc>
          <w:tcPr>
            <w:tcW w:w="3720" w:type="dxa"/>
          </w:tcPr>
          <w:p>
            <w:pPr>
              <w:pStyle w:val="yTable"/>
            </w:pPr>
            <w:r>
              <w:t>Failing to pay fee for Tree Top Walk</w:t>
            </w:r>
          </w:p>
        </w:tc>
        <w:tc>
          <w:tcPr>
            <w:tcW w:w="1200" w:type="dxa"/>
            <w:vAlign w:val="bottom"/>
          </w:tcPr>
          <w:p>
            <w:pPr>
              <w:pStyle w:val="yTable"/>
              <w:tabs>
                <w:tab w:val="decimal" w:pos="766"/>
              </w:tabs>
            </w:pPr>
            <w:r>
              <w:t>35</w:t>
            </w:r>
          </w:p>
        </w:tc>
      </w:tr>
      <w:tr>
        <w:trPr>
          <w:cantSplit/>
        </w:trPr>
        <w:tc>
          <w:tcPr>
            <w:tcW w:w="840" w:type="dxa"/>
          </w:tcPr>
          <w:p>
            <w:pPr>
              <w:pStyle w:val="yTable"/>
            </w:pPr>
            <w:r>
              <w:t>70a.</w:t>
            </w:r>
          </w:p>
        </w:tc>
        <w:tc>
          <w:tcPr>
            <w:tcW w:w="1320" w:type="dxa"/>
          </w:tcPr>
          <w:p>
            <w:pPr>
              <w:pStyle w:val="yTable"/>
              <w:ind w:left="-74" w:firstLine="45"/>
            </w:pPr>
            <w:r>
              <w:t>100A(4)</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71.</w:t>
            </w:r>
          </w:p>
        </w:tc>
        <w:tc>
          <w:tcPr>
            <w:tcW w:w="1320" w:type="dxa"/>
          </w:tcPr>
          <w:p>
            <w:pPr>
              <w:pStyle w:val="yTable"/>
              <w:ind w:left="-74" w:firstLine="45"/>
            </w:pPr>
            <w:r>
              <w:t>102</w:t>
            </w:r>
          </w:p>
        </w:tc>
        <w:tc>
          <w:tcPr>
            <w:tcW w:w="3720" w:type="dxa"/>
          </w:tcPr>
          <w:p>
            <w:pPr>
              <w:pStyle w:val="yTable"/>
            </w:pPr>
            <w:r>
              <w:t>Failing to pay entrance fee when entering on horseback</w:t>
            </w:r>
          </w:p>
        </w:tc>
        <w:tc>
          <w:tcPr>
            <w:tcW w:w="1200" w:type="dxa"/>
            <w:vAlign w:val="bottom"/>
          </w:tcPr>
          <w:p>
            <w:pPr>
              <w:pStyle w:val="yTable"/>
              <w:tabs>
                <w:tab w:val="decimal" w:pos="766"/>
              </w:tabs>
            </w:pPr>
            <w:r>
              <w:t>35</w:t>
            </w:r>
          </w:p>
        </w:tc>
      </w:tr>
      <w:tr>
        <w:trPr>
          <w:cantSplit/>
        </w:trPr>
        <w:tc>
          <w:tcPr>
            <w:tcW w:w="840" w:type="dxa"/>
          </w:tcPr>
          <w:p>
            <w:pPr>
              <w:pStyle w:val="yTable"/>
            </w:pPr>
            <w:r>
              <w:t>71a.</w:t>
            </w:r>
          </w:p>
        </w:tc>
        <w:tc>
          <w:tcPr>
            <w:tcW w:w="1320" w:type="dxa"/>
          </w:tcPr>
          <w:p>
            <w:pPr>
              <w:pStyle w:val="yTable"/>
              <w:ind w:left="-74" w:firstLine="45"/>
            </w:pPr>
            <w:r>
              <w:t>102A(3)</w:t>
            </w:r>
          </w:p>
        </w:tc>
        <w:tc>
          <w:tcPr>
            <w:tcW w:w="3720" w:type="dxa"/>
          </w:tcPr>
          <w:p>
            <w:pPr>
              <w:pStyle w:val="yTable"/>
            </w:pPr>
            <w:r>
              <w:t>Failing to pay abseiling fee</w:t>
            </w:r>
          </w:p>
        </w:tc>
        <w:tc>
          <w:tcPr>
            <w:tcW w:w="1200" w:type="dxa"/>
            <w:vAlign w:val="bottom"/>
          </w:tcPr>
          <w:p>
            <w:pPr>
              <w:pStyle w:val="yTable"/>
              <w:tabs>
                <w:tab w:val="decimal" w:pos="766"/>
              </w:tabs>
            </w:pPr>
            <w:r>
              <w:t>35</w:t>
            </w:r>
          </w:p>
        </w:tc>
      </w:tr>
      <w:tr>
        <w:trPr>
          <w:cantSplit/>
        </w:trPr>
        <w:tc>
          <w:tcPr>
            <w:tcW w:w="840" w:type="dxa"/>
          </w:tcPr>
          <w:p>
            <w:pPr>
              <w:pStyle w:val="yTable"/>
            </w:pPr>
            <w:r>
              <w:t>72.</w:t>
            </w:r>
          </w:p>
        </w:tc>
        <w:tc>
          <w:tcPr>
            <w:tcW w:w="1320" w:type="dxa"/>
          </w:tcPr>
          <w:p>
            <w:pPr>
              <w:pStyle w:val="yTable"/>
              <w:ind w:left="-74" w:firstLine="45"/>
            </w:pPr>
            <w:r>
              <w:t>103(4)</w:t>
            </w:r>
          </w:p>
        </w:tc>
        <w:tc>
          <w:tcPr>
            <w:tcW w:w="3720" w:type="dxa"/>
          </w:tcPr>
          <w:p>
            <w:pPr>
              <w:pStyle w:val="yTable"/>
            </w:pPr>
            <w:r>
              <w:t>Failing to pay camping fee</w:t>
            </w:r>
          </w:p>
        </w:tc>
        <w:tc>
          <w:tcPr>
            <w:tcW w:w="1200" w:type="dxa"/>
            <w:vAlign w:val="bottom"/>
          </w:tcPr>
          <w:p>
            <w:pPr>
              <w:pStyle w:val="yTable"/>
              <w:tabs>
                <w:tab w:val="decimal" w:pos="766"/>
              </w:tabs>
            </w:pPr>
            <w:r>
              <w:t>35</w:t>
            </w:r>
          </w:p>
        </w:tc>
      </w:tr>
      <w:tr>
        <w:trPr>
          <w:cantSplit/>
        </w:trPr>
        <w:tc>
          <w:tcPr>
            <w:tcW w:w="840" w:type="dxa"/>
          </w:tcPr>
          <w:p>
            <w:pPr>
              <w:pStyle w:val="yTable"/>
            </w:pPr>
            <w:r>
              <w:t>73.</w:t>
            </w:r>
          </w:p>
        </w:tc>
        <w:tc>
          <w:tcPr>
            <w:tcW w:w="1320" w:type="dxa"/>
          </w:tcPr>
          <w:p>
            <w:pPr>
              <w:pStyle w:val="yTable"/>
              <w:ind w:left="-74" w:firstLine="45"/>
            </w:pPr>
            <w:r>
              <w:t>105(1)</w:t>
            </w:r>
          </w:p>
        </w:tc>
        <w:tc>
          <w:tcPr>
            <w:tcW w:w="3720" w:type="dxa"/>
          </w:tcPr>
          <w:p>
            <w:pPr>
              <w:pStyle w:val="yTable"/>
            </w:pPr>
            <w:r>
              <w:t>Organising etc. meeting etc.</w:t>
            </w:r>
          </w:p>
        </w:tc>
        <w:tc>
          <w:tcPr>
            <w:tcW w:w="1200" w:type="dxa"/>
            <w:vAlign w:val="bottom"/>
          </w:tcPr>
          <w:p>
            <w:pPr>
              <w:pStyle w:val="yTable"/>
              <w:tabs>
                <w:tab w:val="decimal" w:pos="766"/>
              </w:tabs>
            </w:pPr>
            <w:r>
              <w:t>200</w:t>
            </w:r>
          </w:p>
        </w:tc>
      </w:tr>
      <w:tr>
        <w:trPr>
          <w:cantSplit/>
        </w:trPr>
        <w:tc>
          <w:tcPr>
            <w:tcW w:w="840" w:type="dxa"/>
          </w:tcPr>
          <w:p>
            <w:pPr>
              <w:pStyle w:val="yTable"/>
            </w:pPr>
            <w:r>
              <w:t>74.</w:t>
            </w:r>
          </w:p>
        </w:tc>
        <w:tc>
          <w:tcPr>
            <w:tcW w:w="1320" w:type="dxa"/>
          </w:tcPr>
          <w:p>
            <w:pPr>
              <w:pStyle w:val="yTable"/>
              <w:ind w:left="-74" w:firstLine="45"/>
            </w:pPr>
            <w:r>
              <w:t>106(1)</w:t>
            </w:r>
          </w:p>
        </w:tc>
        <w:tc>
          <w:tcPr>
            <w:tcW w:w="3720" w:type="dxa"/>
          </w:tcPr>
          <w:p>
            <w:pPr>
              <w:pStyle w:val="yTable"/>
            </w:pPr>
            <w:r>
              <w:t>Selling goods or services, or carrying on business</w:t>
            </w:r>
          </w:p>
        </w:tc>
        <w:tc>
          <w:tcPr>
            <w:tcW w:w="1200" w:type="dxa"/>
            <w:vAlign w:val="bottom"/>
          </w:tcPr>
          <w:p>
            <w:pPr>
              <w:pStyle w:val="yTable"/>
              <w:tabs>
                <w:tab w:val="decimal" w:pos="766"/>
              </w:tabs>
            </w:pPr>
            <w:r>
              <w:t>200</w:t>
            </w:r>
          </w:p>
        </w:tc>
      </w:tr>
      <w:tr>
        <w:trPr>
          <w:cantSplit/>
        </w:trPr>
        <w:tc>
          <w:tcPr>
            <w:tcW w:w="840" w:type="dxa"/>
          </w:tcPr>
          <w:p>
            <w:pPr>
              <w:pStyle w:val="yTable"/>
            </w:pPr>
            <w:r>
              <w:t>74a.</w:t>
            </w:r>
          </w:p>
        </w:tc>
        <w:tc>
          <w:tcPr>
            <w:tcW w:w="1320" w:type="dxa"/>
          </w:tcPr>
          <w:p>
            <w:pPr>
              <w:pStyle w:val="yTable"/>
              <w:ind w:left="-74" w:firstLine="45"/>
            </w:pPr>
            <w:r>
              <w:t>106(2)</w:t>
            </w:r>
          </w:p>
        </w:tc>
        <w:tc>
          <w:tcPr>
            <w:tcW w:w="3720" w:type="dxa"/>
          </w:tcPr>
          <w:p>
            <w:pPr>
              <w:pStyle w:val="yTable"/>
            </w:pPr>
            <w:r>
              <w:t>Advertising goods or services or a business</w:t>
            </w:r>
          </w:p>
        </w:tc>
        <w:tc>
          <w:tcPr>
            <w:tcW w:w="1200" w:type="dxa"/>
            <w:vAlign w:val="bottom"/>
          </w:tcPr>
          <w:p>
            <w:pPr>
              <w:pStyle w:val="yTable"/>
              <w:tabs>
                <w:tab w:val="decimal" w:pos="766"/>
              </w:tabs>
            </w:pPr>
            <w:r>
              <w:t>200</w:t>
            </w:r>
          </w:p>
        </w:tc>
      </w:tr>
      <w:tr>
        <w:trPr>
          <w:cantSplit/>
        </w:trPr>
        <w:tc>
          <w:tcPr>
            <w:tcW w:w="840" w:type="dxa"/>
          </w:tcPr>
          <w:p>
            <w:pPr>
              <w:pStyle w:val="yTable"/>
            </w:pPr>
            <w:r>
              <w:t>75.</w:t>
            </w:r>
          </w:p>
        </w:tc>
        <w:tc>
          <w:tcPr>
            <w:tcW w:w="1320" w:type="dxa"/>
          </w:tcPr>
          <w:p>
            <w:pPr>
              <w:pStyle w:val="yTable"/>
              <w:ind w:left="-74" w:firstLine="45"/>
            </w:pPr>
            <w:r>
              <w:t>107</w:t>
            </w:r>
          </w:p>
        </w:tc>
        <w:tc>
          <w:tcPr>
            <w:tcW w:w="3720" w:type="dxa"/>
          </w:tcPr>
          <w:p>
            <w:pPr>
              <w:pStyle w:val="yTable"/>
            </w:pPr>
            <w:r>
              <w:t>Distributing etc. printed matter etc.</w:t>
            </w:r>
          </w:p>
        </w:tc>
        <w:tc>
          <w:tcPr>
            <w:tcW w:w="1200" w:type="dxa"/>
            <w:vAlign w:val="bottom"/>
          </w:tcPr>
          <w:p>
            <w:pPr>
              <w:pStyle w:val="yTable"/>
              <w:tabs>
                <w:tab w:val="decimal" w:pos="766"/>
              </w:tabs>
            </w:pPr>
            <w:r>
              <w:t>50</w:t>
            </w:r>
          </w:p>
        </w:tc>
      </w:tr>
      <w:tr>
        <w:trPr>
          <w:cantSplit/>
        </w:trPr>
        <w:tc>
          <w:tcPr>
            <w:tcW w:w="840" w:type="dxa"/>
          </w:tcPr>
          <w:p>
            <w:pPr>
              <w:pStyle w:val="yTable"/>
              <w:widowControl w:val="0"/>
            </w:pPr>
            <w:r>
              <w:t>76.</w:t>
            </w:r>
          </w:p>
        </w:tc>
        <w:tc>
          <w:tcPr>
            <w:tcW w:w="1320" w:type="dxa"/>
          </w:tcPr>
          <w:p>
            <w:pPr>
              <w:pStyle w:val="yTable"/>
              <w:widowControl w:val="0"/>
              <w:ind w:left="-74" w:firstLine="45"/>
            </w:pPr>
            <w:r>
              <w:t>108</w:t>
            </w:r>
          </w:p>
        </w:tc>
        <w:tc>
          <w:tcPr>
            <w:tcW w:w="3720" w:type="dxa"/>
          </w:tcPr>
          <w:p>
            <w:pPr>
              <w:pStyle w:val="yTable"/>
              <w:widowControl w:val="0"/>
            </w:pPr>
            <w:r>
              <w:t>Unlawfully taking still or motion pictures</w:t>
            </w:r>
          </w:p>
        </w:tc>
        <w:tc>
          <w:tcPr>
            <w:tcW w:w="1200" w:type="dxa"/>
            <w:vAlign w:val="bottom"/>
          </w:tcPr>
          <w:p>
            <w:pPr>
              <w:pStyle w:val="yTable"/>
              <w:widowControl w:val="0"/>
              <w:tabs>
                <w:tab w:val="decimal" w:pos="766"/>
              </w:tabs>
            </w:pPr>
            <w:r>
              <w:t>50</w:t>
            </w:r>
          </w:p>
        </w:tc>
      </w:tr>
      <w:tr>
        <w:trPr>
          <w:cantSplit/>
        </w:trPr>
        <w:tc>
          <w:tcPr>
            <w:tcW w:w="840" w:type="dxa"/>
          </w:tcPr>
          <w:p>
            <w:pPr>
              <w:pStyle w:val="yTable"/>
              <w:pageBreakBefore/>
              <w:widowControl w:val="0"/>
            </w:pPr>
            <w:r>
              <w:t>77.</w:t>
            </w:r>
          </w:p>
        </w:tc>
        <w:tc>
          <w:tcPr>
            <w:tcW w:w="1320" w:type="dxa"/>
          </w:tcPr>
          <w:p>
            <w:pPr>
              <w:pStyle w:val="yTable"/>
              <w:keepNext/>
              <w:keepLines/>
              <w:widowControl w:val="0"/>
              <w:ind w:left="-74" w:firstLine="45"/>
            </w:pPr>
            <w:r>
              <w:t>109</w:t>
            </w:r>
          </w:p>
        </w:tc>
        <w:tc>
          <w:tcPr>
            <w:tcW w:w="3720" w:type="dxa"/>
          </w:tcPr>
          <w:p>
            <w:pPr>
              <w:pStyle w:val="yTable"/>
              <w:keepNext/>
              <w:keepLines/>
              <w:widowControl w:val="0"/>
            </w:pPr>
            <w:r>
              <w:t>Failing to produce licence etc.</w:t>
            </w:r>
          </w:p>
        </w:tc>
        <w:tc>
          <w:tcPr>
            <w:tcW w:w="1200" w:type="dxa"/>
            <w:vAlign w:val="bottom"/>
          </w:tcPr>
          <w:p>
            <w:pPr>
              <w:pStyle w:val="yTable"/>
              <w:keepNext/>
              <w:keepLines/>
              <w:widowControl w:val="0"/>
              <w:tabs>
                <w:tab w:val="decimal" w:pos="766"/>
              </w:tabs>
            </w:pPr>
            <w:r>
              <w:rPr>
                <w:szCs w:val="22"/>
              </w:rPr>
              <w:t>200</w:t>
            </w:r>
          </w:p>
        </w:tc>
      </w:tr>
      <w:tr>
        <w:trPr>
          <w:cantSplit/>
        </w:trPr>
        <w:tc>
          <w:tcPr>
            <w:tcW w:w="840" w:type="dxa"/>
          </w:tcPr>
          <w:p>
            <w:pPr>
              <w:pStyle w:val="yTable"/>
              <w:keepNext/>
              <w:widowControl w:val="0"/>
            </w:pPr>
            <w:r>
              <w:t>78.</w:t>
            </w:r>
          </w:p>
        </w:tc>
        <w:tc>
          <w:tcPr>
            <w:tcW w:w="1320" w:type="dxa"/>
          </w:tcPr>
          <w:p>
            <w:pPr>
              <w:pStyle w:val="yTable"/>
              <w:keepNext/>
              <w:widowControl w:val="0"/>
              <w:ind w:left="-74" w:firstLine="45"/>
            </w:pPr>
            <w:r>
              <w:t>110</w:t>
            </w:r>
          </w:p>
        </w:tc>
        <w:tc>
          <w:tcPr>
            <w:tcW w:w="3720" w:type="dxa"/>
          </w:tcPr>
          <w:p>
            <w:pPr>
              <w:pStyle w:val="yTable"/>
              <w:keepNext/>
              <w:widowControl w:val="0"/>
            </w:pPr>
            <w:r>
              <w:t>Giving false or misleading information</w:t>
            </w:r>
          </w:p>
        </w:tc>
        <w:tc>
          <w:tcPr>
            <w:tcW w:w="1200" w:type="dxa"/>
            <w:vAlign w:val="bottom"/>
          </w:tcPr>
          <w:p>
            <w:pPr>
              <w:pStyle w:val="yTable"/>
              <w:keepNext/>
              <w:keepLines/>
              <w:widowControl w:val="0"/>
              <w:tabs>
                <w:tab w:val="decimal" w:pos="766"/>
              </w:tabs>
            </w:pPr>
            <w:r>
              <w:rPr>
                <w:szCs w:val="22"/>
              </w:rPr>
              <w:t>200</w:t>
            </w:r>
          </w:p>
        </w:tc>
      </w:tr>
    </w:tbl>
    <w:p>
      <w:pPr>
        <w:pStyle w:val="yFootnotesection"/>
        <w:keepNext/>
      </w:pPr>
      <w:r>
        <w:tab/>
        <w:t>[Division 2 amended in Gazette 29 Sep 2006 p. 4331</w:t>
      </w:r>
      <w:r>
        <w:noBreakHyphen/>
        <w:t>3; 27 Feb 2007 p. 625</w:t>
      </w:r>
      <w:r>
        <w:noBreakHyphen/>
        <w:t>6; 3 Dec 2010 p. 6052; 19 Sep 2014 p. 3333</w:t>
      </w:r>
      <w:r>
        <w:noBreakHyphen/>
        <w:t>4 and 3336</w:t>
      </w:r>
      <w:r>
        <w:noBreakHyphen/>
        <w:t>7; 24 Mar 2015 p. 1043</w:t>
      </w:r>
      <w:r>
        <w:noBreakHyphen/>
        <w:t>4; 10 Nov 2015 p. 4606.]</w:t>
      </w:r>
    </w:p>
    <w:p>
      <w:pPr>
        <w:pStyle w:val="yHeading3"/>
        <w:spacing w:before="300" w:after="80"/>
        <w:rPr>
          <w:i/>
        </w:rPr>
      </w:pPr>
      <w:bookmarkStart w:id="627" w:name="_Toc436903877"/>
      <w:bookmarkStart w:id="628" w:name="_Toc436905819"/>
      <w:bookmarkStart w:id="629" w:name="_Toc436906040"/>
      <w:bookmarkStart w:id="630" w:name="_Toc437515793"/>
      <w:bookmarkStart w:id="631" w:name="_Toc447533393"/>
      <w:bookmarkStart w:id="632" w:name="_Toc456878301"/>
      <w:bookmarkStart w:id="633" w:name="_Toc456951818"/>
      <w:bookmarkStart w:id="634" w:name="_Toc458590402"/>
      <w:bookmarkStart w:id="635" w:name="_Toc458590624"/>
      <w:bookmarkStart w:id="636" w:name="_Toc458590845"/>
      <w:bookmarkStart w:id="637" w:name="_Toc462045500"/>
      <w:r>
        <w:rPr>
          <w:rStyle w:val="CharSDivNo"/>
        </w:rPr>
        <w:t>Division 3</w:t>
      </w:r>
      <w:r>
        <w:t xml:space="preserve"> — </w:t>
      </w:r>
      <w:r>
        <w:rPr>
          <w:rStyle w:val="CharSDivText"/>
        </w:rPr>
        <w:t xml:space="preserve">Offences under </w:t>
      </w:r>
      <w:r>
        <w:rPr>
          <w:rStyle w:val="CharSDivText"/>
          <w:i/>
        </w:rPr>
        <w:t>Forest Management Regulations 1993</w:t>
      </w:r>
      <w:bookmarkEnd w:id="627"/>
      <w:bookmarkEnd w:id="628"/>
      <w:bookmarkEnd w:id="629"/>
      <w:bookmarkEnd w:id="630"/>
      <w:bookmarkEnd w:id="631"/>
      <w:bookmarkEnd w:id="632"/>
      <w:bookmarkEnd w:id="633"/>
      <w:bookmarkEnd w:id="634"/>
      <w:bookmarkEnd w:id="635"/>
      <w:bookmarkEnd w:id="636"/>
      <w:bookmarkEnd w:id="637"/>
    </w:p>
    <w:p>
      <w:pPr>
        <w:pStyle w:val="yFootnoteheading"/>
        <w:spacing w:after="60"/>
      </w:pPr>
      <w:r>
        <w:tab/>
        <w:t>[Heading inserted in Gazette 7 Dec 2012 p. 5972.]</w:t>
      </w:r>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keepNext/>
              <w:keepLines/>
              <w:jc w:val="center"/>
              <w:rPr>
                <w:b/>
              </w:rPr>
            </w:pPr>
          </w:p>
        </w:tc>
        <w:tc>
          <w:tcPr>
            <w:tcW w:w="1320" w:type="dxa"/>
            <w:vAlign w:val="center"/>
          </w:tcPr>
          <w:p>
            <w:pPr>
              <w:pStyle w:val="yTable"/>
              <w:keepNext/>
              <w:keepLines/>
              <w:rPr>
                <w:b/>
              </w:rPr>
            </w:pPr>
            <w:r>
              <w:rPr>
                <w:b/>
              </w:rPr>
              <w:t>Column 1</w:t>
            </w:r>
          </w:p>
        </w:tc>
        <w:tc>
          <w:tcPr>
            <w:tcW w:w="3720" w:type="dxa"/>
            <w:vAlign w:val="center"/>
          </w:tcPr>
          <w:p>
            <w:pPr>
              <w:pStyle w:val="yTable"/>
              <w:keepNext/>
              <w:keepLines/>
              <w:jc w:val="center"/>
              <w:rPr>
                <w:b/>
              </w:rPr>
            </w:pPr>
            <w:r>
              <w:rPr>
                <w:b/>
              </w:rPr>
              <w:t>Column 2</w:t>
            </w:r>
          </w:p>
        </w:tc>
        <w:tc>
          <w:tcPr>
            <w:tcW w:w="1200" w:type="dxa"/>
            <w:vAlign w:val="center"/>
          </w:tcPr>
          <w:p>
            <w:pPr>
              <w:pStyle w:val="yTable"/>
              <w:keepNext/>
              <w:keepLines/>
              <w:jc w:val="center"/>
              <w:rPr>
                <w:b/>
              </w:rPr>
            </w:pPr>
            <w:r>
              <w:rPr>
                <w:b/>
              </w:rPr>
              <w:t>Column 3</w:t>
            </w:r>
          </w:p>
        </w:tc>
      </w:tr>
      <w:tr>
        <w:trPr>
          <w:cantSplit/>
          <w:trHeight w:val="240"/>
          <w:tblHeader/>
        </w:trPr>
        <w:tc>
          <w:tcPr>
            <w:tcW w:w="840" w:type="dxa"/>
          </w:tcPr>
          <w:p>
            <w:pPr>
              <w:pStyle w:val="yTableNAm"/>
              <w:spacing w:before="60"/>
              <w:rPr>
                <w:b/>
              </w:rPr>
            </w:pPr>
            <w:r>
              <w:rPr>
                <w:b/>
              </w:rPr>
              <w:t>Item No.</w:t>
            </w:r>
          </w:p>
        </w:tc>
        <w:tc>
          <w:tcPr>
            <w:tcW w:w="1320" w:type="dxa"/>
          </w:tcPr>
          <w:p>
            <w:pPr>
              <w:pStyle w:val="yTableNAm"/>
              <w:spacing w:before="60"/>
            </w:pPr>
            <w:r>
              <w:rPr>
                <w:b/>
              </w:rPr>
              <w:t>Regulation creating offence</w:t>
            </w:r>
          </w:p>
        </w:tc>
        <w:tc>
          <w:tcPr>
            <w:tcW w:w="3720" w:type="dxa"/>
          </w:tcPr>
          <w:p>
            <w:pPr>
              <w:pStyle w:val="yTableNAm"/>
              <w:spacing w:before="60"/>
              <w:jc w:val="center"/>
            </w:pPr>
            <w:r>
              <w:rPr>
                <w:b/>
              </w:rPr>
              <w:t>Nature of offence</w:t>
            </w:r>
          </w:p>
        </w:tc>
        <w:tc>
          <w:tcPr>
            <w:tcW w:w="1200" w:type="dxa"/>
          </w:tcPr>
          <w:p>
            <w:pPr>
              <w:pStyle w:val="yTableNAm"/>
              <w:spacing w:before="60"/>
              <w:jc w:val="center"/>
            </w:pPr>
            <w:r>
              <w:rPr>
                <w:b/>
              </w:rPr>
              <w:t>Penalty</w:t>
            </w:r>
          </w:p>
          <w:p>
            <w:pPr>
              <w:pStyle w:val="yTableNAm"/>
              <w:spacing w:before="60"/>
              <w:jc w:val="center"/>
              <w:rPr>
                <w:b/>
              </w:rPr>
            </w:pPr>
            <w:r>
              <w:rPr>
                <w:b/>
              </w:rPr>
              <w:t>$</w:t>
            </w:r>
          </w:p>
        </w:tc>
      </w:tr>
      <w:tr>
        <w:trPr>
          <w:cantSplit/>
        </w:trPr>
        <w:tc>
          <w:tcPr>
            <w:tcW w:w="840" w:type="dxa"/>
          </w:tcPr>
          <w:p>
            <w:pPr>
              <w:pStyle w:val="yTableNAm"/>
              <w:spacing w:before="60"/>
            </w:pPr>
            <w:r>
              <w:t>1.</w:t>
            </w:r>
          </w:p>
        </w:tc>
        <w:tc>
          <w:tcPr>
            <w:tcW w:w="1320" w:type="dxa"/>
          </w:tcPr>
          <w:p>
            <w:pPr>
              <w:pStyle w:val="yTableNAm"/>
              <w:spacing w:before="60"/>
            </w:pPr>
            <w:r>
              <w:t>108</w:t>
            </w:r>
          </w:p>
        </w:tc>
        <w:tc>
          <w:tcPr>
            <w:tcW w:w="3720" w:type="dxa"/>
          </w:tcPr>
          <w:p>
            <w:pPr>
              <w:pStyle w:val="yTableNAm"/>
              <w:spacing w:before="60"/>
            </w:pPr>
            <w:r>
              <w:t>Entry, use, movement of potential carrier without authorisation or contrary to condition</w:t>
            </w:r>
          </w:p>
        </w:tc>
        <w:tc>
          <w:tcPr>
            <w:tcW w:w="1200" w:type="dxa"/>
            <w:vAlign w:val="bottom"/>
          </w:tcPr>
          <w:p>
            <w:pPr>
              <w:pStyle w:val="yTableNAm"/>
              <w:spacing w:before="60"/>
              <w:jc w:val="center"/>
            </w:pPr>
            <w:r>
              <w:t>200</w:t>
            </w:r>
          </w:p>
        </w:tc>
      </w:tr>
      <w:tr>
        <w:trPr>
          <w:cantSplit/>
          <w:trHeight w:val="360"/>
        </w:trPr>
        <w:tc>
          <w:tcPr>
            <w:tcW w:w="840" w:type="dxa"/>
          </w:tcPr>
          <w:p>
            <w:pPr>
              <w:pStyle w:val="yTableNAm"/>
              <w:spacing w:before="60"/>
            </w:pPr>
            <w:r>
              <w:t>2.</w:t>
            </w:r>
          </w:p>
        </w:tc>
        <w:tc>
          <w:tcPr>
            <w:tcW w:w="1320" w:type="dxa"/>
          </w:tcPr>
          <w:p>
            <w:pPr>
              <w:pStyle w:val="yTableNAm"/>
              <w:spacing w:before="60"/>
            </w:pPr>
            <w:r>
              <w:t>109</w:t>
            </w:r>
          </w:p>
        </w:tc>
        <w:tc>
          <w:tcPr>
            <w:tcW w:w="3720" w:type="dxa"/>
          </w:tcPr>
          <w:p>
            <w:pPr>
              <w:pStyle w:val="yTableNAm"/>
              <w:spacing w:before="60"/>
            </w:pPr>
            <w:r>
              <w:t>Entry, use, movement of potential carrier contrary to instruction or direction</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3.</w:t>
            </w:r>
          </w:p>
        </w:tc>
        <w:tc>
          <w:tcPr>
            <w:tcW w:w="1320" w:type="dxa"/>
          </w:tcPr>
          <w:p>
            <w:pPr>
              <w:pStyle w:val="yTableNAm"/>
              <w:spacing w:before="60"/>
            </w:pPr>
            <w:r>
              <w:t>111</w:t>
            </w:r>
          </w:p>
        </w:tc>
        <w:tc>
          <w:tcPr>
            <w:tcW w:w="3720" w:type="dxa"/>
          </w:tcPr>
          <w:p>
            <w:pPr>
              <w:pStyle w:val="yTableNAm"/>
              <w:spacing w:before="60"/>
            </w:pPr>
            <w:r>
              <w:t>Failure to carry or produce written authorisation in respect of potential carrier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4.</w:t>
            </w:r>
          </w:p>
        </w:tc>
        <w:tc>
          <w:tcPr>
            <w:tcW w:w="1320" w:type="dxa"/>
          </w:tcPr>
          <w:p>
            <w:pPr>
              <w:pStyle w:val="yTableNAm"/>
              <w:spacing w:before="60"/>
            </w:pPr>
            <w:r>
              <w:t>113</w:t>
            </w:r>
          </w:p>
        </w:tc>
        <w:tc>
          <w:tcPr>
            <w:tcW w:w="3720" w:type="dxa"/>
          </w:tcPr>
          <w:p>
            <w:pPr>
              <w:pStyle w:val="yTableNAm"/>
              <w:spacing w:before="60"/>
            </w:pPr>
            <w:r>
              <w:t>Failure to produce information relating to forest disease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5.</w:t>
            </w:r>
          </w:p>
        </w:tc>
        <w:tc>
          <w:tcPr>
            <w:tcW w:w="1320" w:type="dxa"/>
          </w:tcPr>
          <w:p>
            <w:pPr>
              <w:pStyle w:val="yTableNAm"/>
              <w:spacing w:before="60"/>
            </w:pPr>
            <w:r>
              <w:t>119</w:t>
            </w:r>
          </w:p>
        </w:tc>
        <w:tc>
          <w:tcPr>
            <w:tcW w:w="3720" w:type="dxa"/>
          </w:tcPr>
          <w:p>
            <w:pPr>
              <w:pStyle w:val="yTableNAm"/>
              <w:spacing w:before="60"/>
            </w:pPr>
            <w:r>
              <w:t>Failure to cleanse or disinfect infected carrier or potential carrier</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6.</w:t>
            </w:r>
          </w:p>
        </w:tc>
        <w:tc>
          <w:tcPr>
            <w:tcW w:w="1320" w:type="dxa"/>
          </w:tcPr>
          <w:p>
            <w:pPr>
              <w:pStyle w:val="yTableNAm"/>
              <w:spacing w:before="60"/>
            </w:pPr>
            <w:r>
              <w:t>123</w:t>
            </w:r>
          </w:p>
        </w:tc>
        <w:tc>
          <w:tcPr>
            <w:tcW w:w="3720" w:type="dxa"/>
          </w:tcPr>
          <w:p>
            <w:pPr>
              <w:pStyle w:val="yTableNAm"/>
              <w:spacing w:before="60"/>
            </w:pPr>
            <w:r>
              <w:t>Failure to give name and address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7.</w:t>
            </w:r>
          </w:p>
        </w:tc>
        <w:tc>
          <w:tcPr>
            <w:tcW w:w="1320" w:type="dxa"/>
          </w:tcPr>
          <w:p>
            <w:pPr>
              <w:pStyle w:val="yTableNAm"/>
              <w:spacing w:before="60"/>
            </w:pPr>
            <w:r>
              <w:t>124</w:t>
            </w:r>
          </w:p>
        </w:tc>
        <w:tc>
          <w:tcPr>
            <w:tcW w:w="3720" w:type="dxa"/>
          </w:tcPr>
          <w:p>
            <w:pPr>
              <w:pStyle w:val="yTableNAm"/>
              <w:spacing w:before="60"/>
            </w:pPr>
            <w:r>
              <w:t>Failure to comply with request to stop or with signpost, or avoiding or breaking through barrier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8.</w:t>
            </w:r>
          </w:p>
        </w:tc>
        <w:tc>
          <w:tcPr>
            <w:tcW w:w="1320" w:type="dxa"/>
          </w:tcPr>
          <w:p>
            <w:pPr>
              <w:pStyle w:val="yTableNAm"/>
              <w:spacing w:before="60"/>
            </w:pPr>
            <w:r>
              <w:t>125</w:t>
            </w:r>
          </w:p>
        </w:tc>
        <w:tc>
          <w:tcPr>
            <w:tcW w:w="3720" w:type="dxa"/>
          </w:tcPr>
          <w:p>
            <w:pPr>
              <w:pStyle w:val="yTableNAm"/>
              <w:spacing w:before="60"/>
            </w:pPr>
            <w:r>
              <w:t>Hindering, obstructing or failing to comply with direction of authorised person</w:t>
            </w:r>
          </w:p>
        </w:tc>
        <w:tc>
          <w:tcPr>
            <w:tcW w:w="1200" w:type="dxa"/>
            <w:vAlign w:val="bottom"/>
          </w:tcPr>
          <w:p>
            <w:pPr>
              <w:pStyle w:val="yTableNAm"/>
              <w:spacing w:before="60"/>
              <w:jc w:val="center"/>
            </w:pPr>
            <w:r>
              <w:t>150</w:t>
            </w:r>
          </w:p>
        </w:tc>
      </w:tr>
    </w:tbl>
    <w:p>
      <w:pPr>
        <w:pStyle w:val="yFootnotesection"/>
      </w:pPr>
      <w:r>
        <w:tab/>
        <w:t>[Division 3 inserted in Gazette 7 Dec 2012 p. 5972-3.]</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outlineLvl w:val="0"/>
      </w:pPr>
      <w:bookmarkStart w:id="639" w:name="_Toc436903878"/>
      <w:bookmarkStart w:id="640" w:name="_Toc436905820"/>
      <w:bookmarkStart w:id="641" w:name="_Toc436906041"/>
      <w:bookmarkStart w:id="642" w:name="_Toc437515794"/>
      <w:bookmarkStart w:id="643" w:name="_Toc447533394"/>
      <w:bookmarkStart w:id="644" w:name="_Toc456878302"/>
      <w:bookmarkStart w:id="645" w:name="_Toc456951819"/>
      <w:bookmarkStart w:id="646" w:name="_Toc458590403"/>
      <w:bookmarkStart w:id="647" w:name="_Toc458590625"/>
      <w:bookmarkStart w:id="648" w:name="_Toc458590846"/>
      <w:bookmarkStart w:id="649" w:name="_Toc462045501"/>
      <w:r>
        <w:rPr>
          <w:rStyle w:val="CharSchNo"/>
        </w:rPr>
        <w:t>Schedule 3</w:t>
      </w:r>
      <w:r>
        <w:rPr>
          <w:rStyle w:val="CharSDivNo"/>
        </w:rPr>
        <w:t xml:space="preserve"> </w:t>
      </w:r>
      <w:r>
        <w:t>—</w:t>
      </w:r>
      <w:r>
        <w:rPr>
          <w:rStyle w:val="CharSDivText"/>
        </w:rPr>
        <w:t xml:space="preserve"> </w:t>
      </w:r>
      <w:r>
        <w:rPr>
          <w:rStyle w:val="CharSchText"/>
        </w:rPr>
        <w:t>Forms</w:t>
      </w:r>
      <w:bookmarkEnd w:id="639"/>
      <w:bookmarkEnd w:id="640"/>
      <w:bookmarkEnd w:id="641"/>
      <w:bookmarkEnd w:id="642"/>
      <w:bookmarkEnd w:id="643"/>
      <w:bookmarkEnd w:id="644"/>
      <w:bookmarkEnd w:id="645"/>
      <w:bookmarkEnd w:id="646"/>
      <w:bookmarkEnd w:id="647"/>
      <w:bookmarkEnd w:id="648"/>
      <w:bookmarkEnd w:id="649"/>
    </w:p>
    <w:p>
      <w:pPr>
        <w:pStyle w:val="yShoulderClause"/>
      </w:pPr>
      <w:r>
        <w:t>[r. 112(3)]</w:t>
      </w:r>
    </w:p>
    <w:p>
      <w:pPr>
        <w:pStyle w:val="yTHeadingNAm"/>
        <w:spacing w:after="80"/>
      </w:pPr>
      <w:r>
        <w:rPr>
          <w:rStyle w:val="CharSClsNo"/>
          <w:bCs w:val="0"/>
        </w:rPr>
        <w:t>Form 1</w:t>
      </w:r>
      <w:r>
        <w:t> — Infringement notice [r. 112(3)]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1134"/>
        <w:gridCol w:w="425"/>
        <w:gridCol w:w="721"/>
        <w:gridCol w:w="130"/>
        <w:gridCol w:w="283"/>
        <w:gridCol w:w="851"/>
        <w:gridCol w:w="1599"/>
      </w:tblGrid>
      <w:tr>
        <w:trPr>
          <w:cantSplit/>
          <w:trHeight w:val="282"/>
        </w:trPr>
        <w:tc>
          <w:tcPr>
            <w:tcW w:w="5529" w:type="dxa"/>
            <w:gridSpan w:val="7"/>
          </w:tcPr>
          <w:p>
            <w:pPr>
              <w:pStyle w:val="yTableNAm"/>
            </w:pPr>
            <w:r>
              <w:rPr>
                <w:b/>
              </w:rPr>
              <w:br w:type="page"/>
            </w:r>
            <w:r>
              <w:rPr>
                <w:i/>
              </w:rPr>
              <w:t>Conservation and Land Management Act 1984</w:t>
            </w:r>
          </w:p>
          <w:p>
            <w:pPr>
              <w:pStyle w:val="yTableNAm"/>
            </w:pPr>
            <w:r>
              <w:rPr>
                <w:i/>
              </w:rPr>
              <w:t>Conservation and Land Management Regulations 2002</w:t>
            </w:r>
          </w:p>
          <w:p>
            <w:pPr>
              <w:pStyle w:val="yTableNAm"/>
            </w:pPr>
            <w:r>
              <w:rPr>
                <w:i/>
              </w:rPr>
              <w:t>Forest Management Regulations 1993</w:t>
            </w:r>
          </w:p>
          <w:p>
            <w:pPr>
              <w:pStyle w:val="yTableNAm"/>
              <w:jc w:val="center"/>
              <w:rPr>
                <w:b/>
                <w:sz w:val="28"/>
                <w:szCs w:val="28"/>
              </w:rPr>
            </w:pPr>
            <w:r>
              <w:rPr>
                <w:b/>
                <w:sz w:val="28"/>
                <w:szCs w:val="28"/>
              </w:rPr>
              <w:t>INFRINGEMENT NOTICE</w:t>
            </w:r>
          </w:p>
        </w:tc>
        <w:tc>
          <w:tcPr>
            <w:tcW w:w="1599" w:type="dxa"/>
          </w:tcPr>
          <w:p>
            <w:pPr>
              <w:pStyle w:val="yTableNAm"/>
            </w:pPr>
            <w:r>
              <w:t xml:space="preserve">Infringement </w:t>
            </w:r>
            <w:r>
              <w:br/>
              <w:t>notice no.</w:t>
            </w:r>
          </w:p>
        </w:tc>
      </w:tr>
      <w:tr>
        <w:trPr>
          <w:cantSplit/>
          <w:trHeight w:val="150"/>
        </w:trPr>
        <w:tc>
          <w:tcPr>
            <w:tcW w:w="1985" w:type="dxa"/>
            <w:vMerge w:val="restart"/>
          </w:tcPr>
          <w:p>
            <w:pPr>
              <w:pStyle w:val="yTableNAm"/>
            </w:pPr>
            <w:r>
              <w:rPr>
                <w:b/>
              </w:rPr>
              <w:t>Alleged offender</w:t>
            </w:r>
          </w:p>
          <w:p>
            <w:pPr>
              <w:pStyle w:val="yTableNAm"/>
            </w:pPr>
            <w:r>
              <w:t>(not required if notice served under s. 114B or 114D)</w:t>
            </w:r>
          </w:p>
        </w:tc>
        <w:tc>
          <w:tcPr>
            <w:tcW w:w="1559" w:type="dxa"/>
            <w:gridSpan w:val="2"/>
          </w:tcPr>
          <w:p>
            <w:pPr>
              <w:pStyle w:val="yTableNAm"/>
            </w:pPr>
            <w:r>
              <w:t>Family name</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Given names</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Company/</w:t>
            </w:r>
            <w:r>
              <w:br/>
              <w:t>business trading as</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 xml:space="preserve">ACN/ABN </w:t>
            </w:r>
            <w:r>
              <w:br/>
              <w:t>(if applicable)</w:t>
            </w:r>
          </w:p>
        </w:tc>
        <w:tc>
          <w:tcPr>
            <w:tcW w:w="3584" w:type="dxa"/>
            <w:gridSpan w:val="5"/>
          </w:tcPr>
          <w:p>
            <w:pPr>
              <w:pStyle w:val="yTableNAm"/>
            </w:pPr>
          </w:p>
        </w:tc>
      </w:tr>
      <w:tr>
        <w:trPr>
          <w:cantSplit/>
          <w:trHeight w:val="906"/>
        </w:trPr>
        <w:tc>
          <w:tcPr>
            <w:tcW w:w="1985" w:type="dxa"/>
            <w:vMerge/>
          </w:tcPr>
          <w:p>
            <w:pPr>
              <w:pStyle w:val="zyTableNAm"/>
            </w:pPr>
          </w:p>
        </w:tc>
        <w:tc>
          <w:tcPr>
            <w:tcW w:w="1559" w:type="dxa"/>
            <w:gridSpan w:val="2"/>
          </w:tcPr>
          <w:p>
            <w:pPr>
              <w:pStyle w:val="yTableNAm"/>
            </w:pPr>
            <w:r>
              <w:t xml:space="preserve">Address </w:t>
            </w:r>
          </w:p>
        </w:tc>
        <w:tc>
          <w:tcPr>
            <w:tcW w:w="3584" w:type="dxa"/>
            <w:gridSpan w:val="5"/>
          </w:tcPr>
          <w:p>
            <w:pPr>
              <w:pStyle w:val="yTableNAm"/>
            </w:pPr>
          </w:p>
        </w:tc>
      </w:tr>
      <w:tr>
        <w:trPr>
          <w:cantSplit/>
          <w:trHeight w:val="707"/>
        </w:trPr>
        <w:tc>
          <w:tcPr>
            <w:tcW w:w="1985" w:type="dxa"/>
          </w:tcPr>
          <w:p>
            <w:pPr>
              <w:pStyle w:val="zyTableNAm"/>
              <w:rPr>
                <w:b/>
              </w:rPr>
            </w:pPr>
          </w:p>
        </w:tc>
        <w:tc>
          <w:tcPr>
            <w:tcW w:w="5143" w:type="dxa"/>
            <w:gridSpan w:val="7"/>
          </w:tcPr>
          <w:p>
            <w:pPr>
              <w:pStyle w:val="yTableNAm"/>
              <w:ind w:left="581" w:hanging="581"/>
            </w:pPr>
            <w:r>
              <w:rPr>
                <w:rFonts w:eastAsia="MS Mincho"/>
              </w:rPr>
              <w:sym w:font="ZapfDingbats" w:char="F072"/>
            </w:r>
            <w:r>
              <w:tab/>
              <w:t>The responsible person for vehicle or owner of vessel in relation to which offence occurred</w:t>
            </w:r>
          </w:p>
        </w:tc>
      </w:tr>
      <w:tr>
        <w:trPr>
          <w:cantSplit/>
          <w:trHeight w:val="702"/>
        </w:trPr>
        <w:tc>
          <w:tcPr>
            <w:tcW w:w="1985" w:type="dxa"/>
          </w:tcPr>
          <w:p>
            <w:pPr>
              <w:pStyle w:val="yTableNAm"/>
            </w:pPr>
            <w:r>
              <w:rPr>
                <w:b/>
              </w:rPr>
              <w:t>Vehicle/vessel registration no.</w:t>
            </w:r>
          </w:p>
        </w:tc>
        <w:tc>
          <w:tcPr>
            <w:tcW w:w="5143" w:type="dxa"/>
            <w:gridSpan w:val="7"/>
          </w:tcPr>
          <w:p>
            <w:pPr>
              <w:pStyle w:val="yTableNAm"/>
            </w:pPr>
          </w:p>
        </w:tc>
      </w:tr>
      <w:tr>
        <w:trPr>
          <w:cantSplit/>
          <w:trHeight w:val="150"/>
        </w:trPr>
        <w:tc>
          <w:tcPr>
            <w:tcW w:w="1985" w:type="dxa"/>
            <w:vMerge w:val="restart"/>
          </w:tcPr>
          <w:p>
            <w:pPr>
              <w:pStyle w:val="yTableNAm"/>
            </w:pPr>
            <w:r>
              <w:rPr>
                <w:b/>
              </w:rPr>
              <w:t>Details of alleged offence</w:t>
            </w:r>
          </w:p>
        </w:tc>
        <w:tc>
          <w:tcPr>
            <w:tcW w:w="2280" w:type="dxa"/>
            <w:gridSpan w:val="3"/>
          </w:tcPr>
          <w:p>
            <w:pPr>
              <w:pStyle w:val="yTableNAm"/>
            </w:pPr>
            <w:r>
              <w:t>Date:</w:t>
            </w:r>
            <w:r>
              <w:tab/>
              <w:t>/</w:t>
            </w:r>
            <w:r>
              <w:tab/>
              <w:t>/20</w:t>
            </w:r>
          </w:p>
        </w:tc>
        <w:tc>
          <w:tcPr>
            <w:tcW w:w="2863" w:type="dxa"/>
            <w:gridSpan w:val="4"/>
          </w:tcPr>
          <w:p>
            <w:pPr>
              <w:pStyle w:val="yTableNAm"/>
            </w:pPr>
            <w:r>
              <w:t>Time:</w:t>
            </w:r>
            <w:r>
              <w:tab/>
              <w:t>am/pm</w:t>
            </w:r>
          </w:p>
        </w:tc>
      </w:tr>
      <w:tr>
        <w:trPr>
          <w:cantSplit/>
          <w:trHeight w:val="1139"/>
        </w:trPr>
        <w:tc>
          <w:tcPr>
            <w:tcW w:w="1985" w:type="dxa"/>
            <w:vMerge/>
          </w:tcPr>
          <w:p>
            <w:pPr>
              <w:pStyle w:val="zyTableNAm"/>
            </w:pPr>
          </w:p>
        </w:tc>
        <w:tc>
          <w:tcPr>
            <w:tcW w:w="5143" w:type="dxa"/>
            <w:gridSpan w:val="7"/>
          </w:tcPr>
          <w:p>
            <w:pPr>
              <w:pStyle w:val="yTableNAm"/>
            </w:pPr>
            <w:r>
              <w:t>Place</w:t>
            </w:r>
          </w:p>
          <w:p>
            <w:pPr>
              <w:pStyle w:val="yTableNAm"/>
            </w:pPr>
            <w:r>
              <w:t>Near</w:t>
            </w:r>
          </w:p>
          <w:p>
            <w:pPr>
              <w:pStyle w:val="yTableNAm"/>
            </w:pPr>
            <w:r>
              <w:t>Locality/tenure</w:t>
            </w:r>
          </w:p>
        </w:tc>
      </w:tr>
      <w:tr>
        <w:trPr>
          <w:cantSplit/>
          <w:trHeight w:val="150"/>
        </w:trPr>
        <w:tc>
          <w:tcPr>
            <w:tcW w:w="1985" w:type="dxa"/>
            <w:vMerge/>
          </w:tcPr>
          <w:p>
            <w:pPr>
              <w:pStyle w:val="zyTableNAm"/>
            </w:pPr>
          </w:p>
        </w:tc>
        <w:tc>
          <w:tcPr>
            <w:tcW w:w="2693" w:type="dxa"/>
            <w:gridSpan w:val="5"/>
          </w:tcPr>
          <w:p>
            <w:pPr>
              <w:pStyle w:val="yTableNAm"/>
            </w:pPr>
            <w:r>
              <w:t>Act/regulation contravened:</w:t>
            </w:r>
          </w:p>
        </w:tc>
        <w:tc>
          <w:tcPr>
            <w:tcW w:w="2450" w:type="dxa"/>
            <w:gridSpan w:val="2"/>
          </w:tcPr>
          <w:p>
            <w:pPr>
              <w:pStyle w:val="yTableNAm"/>
            </w:pPr>
            <w:r>
              <w:t>Section/</w:t>
            </w:r>
            <w:r>
              <w:br/>
              <w:t>regulation:</w:t>
            </w:r>
          </w:p>
        </w:tc>
      </w:tr>
      <w:tr>
        <w:trPr>
          <w:cantSplit/>
          <w:trHeight w:val="150"/>
        </w:trPr>
        <w:tc>
          <w:tcPr>
            <w:tcW w:w="1985" w:type="dxa"/>
            <w:vMerge/>
          </w:tcPr>
          <w:p>
            <w:pPr>
              <w:pStyle w:val="zyTableNAm"/>
            </w:pPr>
          </w:p>
        </w:tc>
        <w:tc>
          <w:tcPr>
            <w:tcW w:w="5143" w:type="dxa"/>
            <w:gridSpan w:val="7"/>
          </w:tcPr>
          <w:p>
            <w:pPr>
              <w:pStyle w:val="yTableNAm"/>
            </w:pPr>
            <w:r>
              <w:t>Details of offence:</w:t>
            </w:r>
          </w:p>
        </w:tc>
      </w:tr>
      <w:tr>
        <w:trPr>
          <w:cantSplit/>
        </w:trPr>
        <w:tc>
          <w:tcPr>
            <w:tcW w:w="1985" w:type="dxa"/>
          </w:tcPr>
          <w:p>
            <w:pPr>
              <w:pStyle w:val="yTableNAm"/>
              <w:keepNext/>
            </w:pPr>
            <w:r>
              <w:rPr>
                <w:b/>
              </w:rPr>
              <w:t>Date</w:t>
            </w:r>
          </w:p>
        </w:tc>
        <w:tc>
          <w:tcPr>
            <w:tcW w:w="2410" w:type="dxa"/>
            <w:gridSpan w:val="4"/>
          </w:tcPr>
          <w:p>
            <w:pPr>
              <w:pStyle w:val="yTableNAm"/>
              <w:keepNext/>
            </w:pPr>
            <w:r>
              <w:t>Date of notice:</w:t>
            </w:r>
          </w:p>
        </w:tc>
        <w:tc>
          <w:tcPr>
            <w:tcW w:w="2733" w:type="dxa"/>
            <w:gridSpan w:val="3"/>
          </w:tcPr>
          <w:p>
            <w:pPr>
              <w:pStyle w:val="yTableNAm"/>
              <w:keepNext/>
            </w:pPr>
            <w:r>
              <w:t>Time of notice:</w:t>
            </w:r>
          </w:p>
        </w:tc>
      </w:tr>
      <w:tr>
        <w:trPr>
          <w:cantSplit/>
        </w:trPr>
        <w:tc>
          <w:tcPr>
            <w:tcW w:w="1985" w:type="dxa"/>
            <w:vMerge w:val="restart"/>
          </w:tcPr>
          <w:p>
            <w:pPr>
              <w:pStyle w:val="yTableNAm"/>
            </w:pPr>
            <w:r>
              <w:rPr>
                <w:b/>
              </w:rPr>
              <w:t>Issuing officer</w:t>
            </w:r>
          </w:p>
        </w:tc>
        <w:tc>
          <w:tcPr>
            <w:tcW w:w="2410" w:type="dxa"/>
            <w:gridSpan w:val="4"/>
          </w:tcPr>
          <w:p>
            <w:pPr>
              <w:pStyle w:val="yTableNAm"/>
            </w:pPr>
            <w:r>
              <w:t>Surname:</w:t>
            </w:r>
          </w:p>
        </w:tc>
        <w:tc>
          <w:tcPr>
            <w:tcW w:w="2733" w:type="dxa"/>
            <w:gridSpan w:val="3"/>
          </w:tcPr>
          <w:p>
            <w:pPr>
              <w:pStyle w:val="yTableNAm"/>
            </w:pPr>
            <w:r>
              <w:t>Number:</w:t>
            </w:r>
          </w:p>
        </w:tc>
      </w:tr>
      <w:tr>
        <w:trPr>
          <w:cantSplit/>
        </w:trPr>
        <w:tc>
          <w:tcPr>
            <w:tcW w:w="1985" w:type="dxa"/>
            <w:vMerge/>
          </w:tcPr>
          <w:p>
            <w:pPr>
              <w:pStyle w:val="zyTableNAm"/>
            </w:pPr>
          </w:p>
        </w:tc>
        <w:tc>
          <w:tcPr>
            <w:tcW w:w="5143" w:type="dxa"/>
            <w:gridSpan w:val="7"/>
          </w:tcPr>
          <w:p>
            <w:pPr>
              <w:pStyle w:val="yTableNAm"/>
            </w:pPr>
            <w:r>
              <w:t>Signature:</w:t>
            </w:r>
          </w:p>
        </w:tc>
      </w:tr>
      <w:tr>
        <w:trPr>
          <w:cantSplit/>
          <w:trHeight w:val="604"/>
        </w:trPr>
        <w:tc>
          <w:tcPr>
            <w:tcW w:w="1985" w:type="dxa"/>
          </w:tcPr>
          <w:p>
            <w:pPr>
              <w:pStyle w:val="yTableNAm"/>
            </w:pPr>
            <w:r>
              <w:rPr>
                <w:b/>
              </w:rPr>
              <w:t>Modified penalty</w:t>
            </w:r>
          </w:p>
        </w:tc>
        <w:tc>
          <w:tcPr>
            <w:tcW w:w="5143" w:type="dxa"/>
            <w:gridSpan w:val="7"/>
          </w:tcPr>
          <w:p>
            <w:pPr>
              <w:pStyle w:val="yTableNAm"/>
            </w:pPr>
            <w:r>
              <w:t>$_____</w:t>
            </w:r>
          </w:p>
        </w:tc>
      </w:tr>
      <w:tr>
        <w:trPr>
          <w:cantSplit/>
          <w:trHeight w:val="604"/>
        </w:trPr>
        <w:tc>
          <w:tcPr>
            <w:tcW w:w="1985" w:type="dxa"/>
          </w:tcPr>
          <w:p>
            <w:pPr>
              <w:pStyle w:val="yTableNAm"/>
            </w:pPr>
            <w:r>
              <w:rPr>
                <w:b/>
              </w:rPr>
              <w:t>TAKE NOTICE</w:t>
            </w:r>
          </w:p>
        </w:tc>
        <w:tc>
          <w:tcPr>
            <w:tcW w:w="5143" w:type="dxa"/>
            <w:gridSpan w:val="7"/>
          </w:tcPr>
          <w:p>
            <w:pPr>
              <w:pStyle w:val="yTableNAm"/>
            </w:pPr>
            <w:r>
              <w:t>It is alleged that you have committed the above offence/that you are the responsible person for the vehicle/vessel in relation to which the above offence occurred.</w:t>
            </w:r>
          </w:p>
          <w:p>
            <w:pPr>
              <w:pStyle w:val="yTableNAm"/>
            </w:pPr>
            <w:r>
              <w:rPr>
                <w:b/>
              </w:rPr>
              <w:t>If you do not want to be prosecuted in court for the offence</w:t>
            </w:r>
            <w:r>
              <w:t>, the modified penalty must be paid to the CEO within 28 days after the date of this notice.</w:t>
            </w:r>
          </w:p>
          <w:p>
            <w:pPr>
              <w:pStyle w:val="yTableNAm"/>
            </w:pPr>
            <w:r>
              <w:t xml:space="preserve">If the modified penalty is not paid within 28 days, you may be prosecuted or enforcement action may be taken under the </w:t>
            </w:r>
            <w:r>
              <w:rPr>
                <w:i/>
              </w:rPr>
              <w:t>Fines, Penalties and Infringement Notices Enforcement Act 1994</w:t>
            </w:r>
            <w:r>
              <w:t>.  Under that Act, some or all of the following action may be taken:</w:t>
            </w:r>
          </w:p>
          <w:p>
            <w:pPr>
              <w:pStyle w:val="yTableNAm"/>
            </w:pPr>
            <w:r>
              <w:t>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r>
              <w:t>Paying the modified penalty will not be regarded as an admission for the purposes of any civil or criminal court case.</w:t>
            </w:r>
          </w:p>
          <w:p>
            <w:pPr>
              <w:pStyle w:val="yTableNAm"/>
              <w:rPr>
                <w:b/>
              </w:rPr>
            </w:pPr>
            <w:r>
              <w:rPr>
                <w:b/>
              </w:rPr>
              <w:t>If you want this matter to be dealt with by prosecution in court:</w:t>
            </w:r>
          </w:p>
          <w:p>
            <w:pPr>
              <w:pStyle w:val="yTableNAm"/>
            </w:pPr>
            <w:r>
              <w:t>Lodge a request online using the form provided at www.dpaw.wa.gov.au</w:t>
            </w:r>
          </w:p>
          <w:p>
            <w:pPr>
              <w:pStyle w:val="yTableNAm"/>
            </w:pPr>
            <w:r>
              <w:t>OR</w:t>
            </w:r>
          </w:p>
          <w:p>
            <w:pPr>
              <w:pStyle w:val="yTableNAm"/>
            </w:pPr>
            <w:r>
              <w:t xml:space="preserve">Sign and date here: </w:t>
            </w:r>
          </w:p>
          <w:p>
            <w:pPr>
              <w:pStyle w:val="yTableNAm"/>
            </w:pPr>
            <w:r>
              <w:t xml:space="preserve">__________________________________     /    /20   </w:t>
            </w:r>
            <w:r>
              <w:br/>
              <w:t xml:space="preserve">and post this notice to the CEO at the address below. </w:t>
            </w:r>
          </w:p>
        </w:tc>
      </w:tr>
      <w:tr>
        <w:trPr>
          <w:cantSplit/>
          <w:trHeight w:val="401"/>
        </w:trPr>
        <w:tc>
          <w:tcPr>
            <w:tcW w:w="1985" w:type="dxa"/>
          </w:tcPr>
          <w:p>
            <w:pPr>
              <w:pStyle w:val="yTableNAm"/>
            </w:pPr>
          </w:p>
        </w:tc>
        <w:tc>
          <w:tcPr>
            <w:tcW w:w="5143" w:type="dxa"/>
            <w:gridSpan w:val="7"/>
          </w:tcPr>
          <w:p>
            <w:pPr>
              <w:pStyle w:val="yTableNAm"/>
            </w:pPr>
            <w:r>
              <w:t>If you consider that you have good reason to have this notice withdrawn, you can write to the CEO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985" w:type="dxa"/>
          </w:tcPr>
          <w:p>
            <w:pPr>
              <w:pStyle w:val="yTableNAm"/>
            </w:pPr>
            <w:r>
              <w:rPr>
                <w:b/>
              </w:rPr>
              <w:t>If infringement notice served on responsible person for a vehicle or owner of a vessel</w:t>
            </w:r>
          </w:p>
        </w:tc>
        <w:tc>
          <w:tcPr>
            <w:tcW w:w="5143" w:type="dxa"/>
            <w:gridSpan w:val="7"/>
          </w:tcPr>
          <w:p>
            <w:pPr>
              <w:pStyle w:val="yTableNAm"/>
            </w:pPr>
            <w:r>
              <w:t>As the responsible person/owner you will be presumed to have been the driver or person in charge of the vehicle/vessel unless within 28 days after the date of this notice:</w:t>
            </w:r>
          </w:p>
          <w:p>
            <w:pPr>
              <w:pStyle w:val="yTableNAm"/>
              <w:ind w:left="595" w:hanging="595"/>
            </w:pPr>
            <w:r>
              <w:t>(a)</w:t>
            </w:r>
            <w:r>
              <w:tab/>
              <w:t>the modified penalty is paid; or</w:t>
            </w:r>
          </w:p>
          <w:p>
            <w:pPr>
              <w:pStyle w:val="yTableNAm"/>
              <w:ind w:left="595" w:hanging="595"/>
            </w:pPr>
            <w:r>
              <w:t>(b)</w:t>
            </w:r>
            <w:r>
              <w:tab/>
              <w:t>you supply the CEO with the following information:</w:t>
            </w:r>
          </w:p>
          <w:p>
            <w:pPr>
              <w:pStyle w:val="yTableNAm"/>
            </w:pPr>
            <w:r>
              <w:t>the name and address of the driver or person in charge of the vehicle/vessel at the time of the alleged offence</w:t>
            </w:r>
          </w:p>
          <w:p>
            <w:pPr>
              <w:pStyle w:val="yTableNAm"/>
            </w:pPr>
            <w:r>
              <w:t>or</w:t>
            </w:r>
          </w:p>
          <w:p>
            <w:pPr>
              <w:pStyle w:val="yTableNAm"/>
            </w:pPr>
            <w:r>
              <w:t>information showing that at the time of the alleged offence the vehicle/vessel had been stolen or unlawfully taken or was being unlawfully used.</w:t>
            </w:r>
          </w:p>
          <w:p>
            <w:pPr>
              <w:pStyle w:val="yTableNAm"/>
            </w:pPr>
            <w:r>
              <w:t xml:space="preserve">For further information see the </w:t>
            </w:r>
            <w:r>
              <w:rPr>
                <w:i/>
              </w:rPr>
              <w:t>Conservation and Land Management Act 1984</w:t>
            </w:r>
            <w:r>
              <w:t xml:space="preserve"> sections 114A</w:t>
            </w:r>
            <w:r>
              <w:noBreakHyphen/>
              <w:t>114E (www.slp.wa.gov.au).</w:t>
            </w:r>
          </w:p>
        </w:tc>
      </w:tr>
      <w:tr>
        <w:trPr>
          <w:cantSplit/>
          <w:trHeight w:val="401"/>
        </w:trPr>
        <w:tc>
          <w:tcPr>
            <w:tcW w:w="1985" w:type="dxa"/>
            <w:vMerge w:val="restart"/>
          </w:tcPr>
          <w:p>
            <w:pPr>
              <w:pStyle w:val="yTableNAm"/>
              <w:pageBreakBefore/>
            </w:pPr>
            <w:r>
              <w:rPr>
                <w:b/>
                <w:spacing w:val="-6"/>
              </w:rPr>
              <w:t>How to pay</w:t>
            </w:r>
          </w:p>
          <w:p>
            <w:pPr>
              <w:pStyle w:val="yTableNAm"/>
              <w:rPr>
                <w:b/>
              </w:rPr>
            </w:pPr>
            <w:r>
              <w:rPr>
                <w:b/>
              </w:rPr>
              <w:t>Note: for payment in person you MUST ensure that you provide your INFRINGEMENT NOTICE NUMBER</w:t>
            </w:r>
          </w:p>
        </w:tc>
        <w:tc>
          <w:tcPr>
            <w:tcW w:w="1134" w:type="dxa"/>
          </w:tcPr>
          <w:p>
            <w:pPr>
              <w:pStyle w:val="yTableNAm"/>
            </w:pPr>
            <w:r>
              <w:t>By post</w:t>
            </w:r>
          </w:p>
        </w:tc>
        <w:tc>
          <w:tcPr>
            <w:tcW w:w="4009" w:type="dxa"/>
            <w:gridSpan w:val="6"/>
          </w:tcPr>
          <w:p>
            <w:pPr>
              <w:pStyle w:val="yTableNAm"/>
            </w:pPr>
            <w:r>
              <w:t>Tick the relevant box below and post payment to:</w:t>
            </w:r>
          </w:p>
          <w:p>
            <w:pPr>
              <w:pStyle w:val="yTableNAm"/>
            </w:pPr>
            <w:r>
              <w:t>Chief Executive Officer</w:t>
            </w:r>
            <w:r>
              <w:br/>
              <w:t>Department of Parks and Wildlife</w:t>
            </w:r>
            <w:r>
              <w:br/>
              <w:t>Locked Bag 104</w:t>
            </w:r>
            <w:r>
              <w:br/>
              <w:t>Bentley DC</w:t>
            </w:r>
          </w:p>
          <w:p>
            <w:pPr>
              <w:pStyle w:val="yTableNAm"/>
            </w:pPr>
            <w:r>
              <w:t>Bentley  WA  6983.</w:t>
            </w:r>
          </w:p>
          <w:p>
            <w:pPr>
              <w:pStyle w:val="yTableNAm"/>
              <w:tabs>
                <w:tab w:val="clear" w:pos="567"/>
                <w:tab w:val="left" w:pos="301"/>
              </w:tabs>
              <w:ind w:left="315" w:hanging="315"/>
            </w:pPr>
            <w:r>
              <w:rPr>
                <w:rFonts w:eastAsia="MS Mincho"/>
              </w:rPr>
              <w:sym w:font="ZapfDingbats" w:char="F072"/>
            </w:r>
            <w:r>
              <w:tab/>
              <w:t>A cheque or money order (payable to ‘Chief Executive Officer, Department of Parks and Wildlife’) for the modified penalty is enclosed.</w:t>
            </w:r>
          </w:p>
        </w:tc>
      </w:tr>
      <w:tr>
        <w:trPr>
          <w:cantSplit/>
          <w:trHeight w:val="401"/>
        </w:trPr>
        <w:tc>
          <w:tcPr>
            <w:tcW w:w="1985" w:type="dxa"/>
            <w:vMerge/>
          </w:tcPr>
          <w:p>
            <w:pPr>
              <w:pStyle w:val="zyTableNAm"/>
            </w:pPr>
          </w:p>
        </w:tc>
        <w:tc>
          <w:tcPr>
            <w:tcW w:w="1134" w:type="dxa"/>
          </w:tcPr>
          <w:p>
            <w:pPr>
              <w:pStyle w:val="yTableNAm"/>
            </w:pPr>
            <w:r>
              <w:t>In person</w:t>
            </w:r>
          </w:p>
        </w:tc>
        <w:tc>
          <w:tcPr>
            <w:tcW w:w="4009" w:type="dxa"/>
            <w:gridSpan w:val="6"/>
          </w:tcPr>
          <w:p>
            <w:pPr>
              <w:pStyle w:val="yTableNAm"/>
            </w:pPr>
            <w:r>
              <w:rPr>
                <w:rFonts w:eastAsia="MS Mincho"/>
              </w:rPr>
              <w:t>At any Commonwealth Bank</w:t>
            </w:r>
          </w:p>
        </w:tc>
      </w:tr>
    </w:tbl>
    <w:p>
      <w:pPr>
        <w:pStyle w:val="yFootnotesection"/>
      </w:pPr>
      <w:r>
        <w:tab/>
        <w:t>[Form 1 inserted in Gazette 11 Dec 2015 p. 4954</w:t>
      </w:r>
      <w:r>
        <w:noBreakHyphen/>
        <w:t>6.]</w:t>
      </w:r>
    </w:p>
    <w:p>
      <w:pPr>
        <w:pStyle w:val="yMiscellaneousBody"/>
        <w:pageBreakBefore/>
        <w:jc w:val="center"/>
      </w:pPr>
      <w:r>
        <w:rPr>
          <w:rStyle w:val="CharSClsNo"/>
          <w:b/>
        </w:rPr>
        <w:t>Form 2</w:t>
      </w:r>
    </w:p>
    <w:p>
      <w:pPr>
        <w:pStyle w:val="yMiscellaneousBody"/>
        <w:jc w:val="right"/>
        <w:rPr>
          <w:snapToGrid w:val="0"/>
        </w:rPr>
      </w:pPr>
      <w:r>
        <w:rPr>
          <w:snapToGrid w:val="0"/>
        </w:rPr>
        <w:t>[r.</w:t>
      </w:r>
      <w:r>
        <w:t xml:space="preserve"> 112(4)</w:t>
      </w:r>
      <w:r>
        <w:rPr>
          <w:snapToGrid w:val="0"/>
        </w:rPr>
        <w:t>]</w:t>
      </w:r>
    </w:p>
    <w:p>
      <w:pPr>
        <w:pStyle w:val="yMiscellaneousBody"/>
        <w:jc w:val="center"/>
        <w:rPr>
          <w:i/>
          <w:snapToGrid w:val="0"/>
        </w:rPr>
      </w:pPr>
      <w:r>
        <w:rPr>
          <w:i/>
          <w:snapToGrid w:val="0"/>
        </w:rPr>
        <w:t>Conservation and Land Management Regulations 2002</w:t>
      </w:r>
    </w:p>
    <w:p>
      <w:pPr>
        <w:pStyle w:val="yMiscellaneousBody"/>
        <w:jc w:val="center"/>
        <w:rPr>
          <w:snapToGrid w:val="0"/>
        </w:rPr>
      </w:pPr>
      <w:r>
        <w:rPr>
          <w:snapToGrid w:val="0"/>
        </w:rPr>
        <w:t>Withdrawal of Infringement Notice</w:t>
      </w:r>
    </w:p>
    <w:p>
      <w:pPr>
        <w:pStyle w:val="yMiscellaneousBody"/>
        <w:jc w:val="center"/>
        <w:rPr>
          <w:i/>
          <w:snapToGrid w:val="0"/>
        </w:rPr>
      </w:pPr>
      <w:r>
        <w:rPr>
          <w:i/>
          <w:snapToGrid w:val="0"/>
        </w:rPr>
        <w:t>Conservation and Land Management Act 1984</w:t>
      </w:r>
    </w:p>
    <w:p>
      <w:pPr>
        <w:pStyle w:val="yMiscellaneousBody"/>
        <w:rPr>
          <w:snapToGrid w:val="0"/>
        </w:rPr>
      </w:pPr>
      <w:r>
        <w:rPr>
          <w:snapToGrid w:val="0"/>
        </w:rPr>
        <w:t>(section 114A(6))                                                           No. ..................................</w:t>
      </w:r>
    </w:p>
    <w:p>
      <w:pPr>
        <w:pStyle w:val="yMiscellaneousBody"/>
        <w:rPr>
          <w:snapToGrid w:val="0"/>
        </w:rPr>
      </w:pPr>
      <w:r>
        <w:rPr>
          <w:snapToGrid w:val="0"/>
        </w:rPr>
        <w:t xml:space="preserve">                                                                                        Date ........./........./..........</w:t>
      </w:r>
    </w:p>
    <w:p>
      <w:pPr>
        <w:pStyle w:val="yMiscellaneousBody"/>
        <w:spacing w:before="0"/>
        <w:rPr>
          <w:snapToGrid w:val="0"/>
        </w:rPr>
      </w:pPr>
      <w:r>
        <w:rPr>
          <w:snapToGrid w:val="0"/>
        </w:rPr>
        <w:t>To ............................................................................................................... (name) of ............................................................................................................................ ................................................................................................................. (address)</w:t>
      </w:r>
    </w:p>
    <w:p>
      <w:pPr>
        <w:pStyle w:val="yMiscellaneousBody"/>
        <w:rPr>
          <w:snapToGrid w:val="0"/>
        </w:rPr>
      </w:pPr>
    </w:p>
    <w:p>
      <w:pPr>
        <w:pStyle w:val="yMiscellaneousBody"/>
        <w:rPr>
          <w:snapToGrid w:val="0"/>
        </w:rPr>
      </w:pPr>
      <w:r>
        <w:rPr>
          <w:snapToGrid w:val="0"/>
        </w:rPr>
        <w:t>1. Infringement Notice No. .......................... Date ......./......./....... for the alleged offence of .............................................................................................................. ......................................................................................................................... and specifying the modified penalty of $........................ is withdrawn.</w:t>
      </w:r>
    </w:p>
    <w:p>
      <w:pPr>
        <w:pStyle w:val="yMiscellaneousBody"/>
        <w:rPr>
          <w:snapToGrid w:val="0"/>
        </w:rPr>
      </w:pPr>
      <w:r>
        <w:rPr>
          <w:snapToGrid w:val="0"/>
        </w:rPr>
        <w:t>2. No further action will be taken against you. *</w:t>
      </w:r>
    </w:p>
    <w:p>
      <w:pPr>
        <w:pStyle w:val="yMiscellaneousBody"/>
        <w:rPr>
          <w:snapToGrid w:val="0"/>
        </w:rPr>
      </w:pPr>
      <w:r>
        <w:rPr>
          <w:snapToGrid w:val="0"/>
        </w:rPr>
        <w:t>OR</w:t>
      </w:r>
    </w:p>
    <w:p>
      <w:pPr>
        <w:pStyle w:val="yMiscellaneousBody"/>
        <w:rPr>
          <w:snapToGrid w:val="0"/>
        </w:rPr>
      </w:pPr>
      <w:r>
        <w:rPr>
          <w:snapToGrid w:val="0"/>
        </w:rPr>
        <w:t>It is proposed to commence court proceedings against you for the alleged offence. *</w:t>
      </w:r>
    </w:p>
    <w:p>
      <w:pPr>
        <w:pStyle w:val="yMiscellaneousBody"/>
        <w:rPr>
          <w:snapToGrid w:val="0"/>
        </w:rPr>
      </w:pPr>
      <w:r>
        <w:rPr>
          <w:snapToGrid w:val="0"/>
        </w:rPr>
        <w:t>(* Delete whichever does not apply.)</w:t>
      </w:r>
    </w:p>
    <w:p>
      <w:pPr>
        <w:pStyle w:val="yMiscellaneousBody"/>
        <w:jc w:val="right"/>
        <w:rPr>
          <w:snapToGrid w:val="0"/>
        </w:rPr>
      </w:pPr>
      <w:r>
        <w:rPr>
          <w:snapToGrid w:val="0"/>
        </w:rPr>
        <w:t>...........................................................</w:t>
      </w:r>
    </w:p>
    <w:p>
      <w:pPr>
        <w:pStyle w:val="yMiscellaneousBody"/>
        <w:spacing w:before="0"/>
        <w:jc w:val="right"/>
        <w:rPr>
          <w:snapToGrid w:val="0"/>
        </w:rPr>
      </w:pPr>
      <w:r>
        <w:t>Chief Executive Officer</w:t>
      </w:r>
      <w:r>
        <w:rPr>
          <w:snapToGrid w:val="0"/>
        </w:rPr>
        <w:t>,</w:t>
      </w:r>
    </w:p>
    <w:p>
      <w:pPr>
        <w:pStyle w:val="yMiscellaneousBody"/>
        <w:spacing w:before="0"/>
        <w:jc w:val="right"/>
        <w:rPr>
          <w:snapToGrid w:val="0"/>
          <w:vertAlign w:val="superscript"/>
        </w:rPr>
      </w:pPr>
      <w:r>
        <w:t>Department of Environment and Conservation</w:t>
      </w:r>
      <w:r>
        <w:rPr>
          <w:vertAlign w:val="superscript"/>
        </w:rPr>
        <w:t> 3</w:t>
      </w:r>
    </w:p>
    <w:p>
      <w:pPr>
        <w:pStyle w:val="yFootnotesection"/>
      </w:pPr>
      <w:r>
        <w:tab/>
        <w:t>[Form 2 amended in Gazette 29 Sep 2006 p. 4333.]</w:t>
      </w:r>
    </w:p>
    <w:p>
      <w:pPr>
        <w:pStyle w:val="yTHeadingNAm"/>
        <w:pageBreakBefore/>
        <w:spacing w:before="0" w:after="0"/>
      </w:pPr>
      <w:r>
        <w:rPr>
          <w:rStyle w:val="CharSClsNo"/>
        </w:rPr>
        <w:t>Form 3</w:t>
      </w:r>
      <w:r>
        <w:t xml:space="preserve"> — Apiary permit</w:t>
      </w:r>
    </w:p>
    <w:p>
      <w:pPr>
        <w:pStyle w:val="yTableNAm"/>
        <w:spacing w:before="0"/>
        <w:jc w:val="right"/>
        <w:rPr>
          <w:sz w:val="17"/>
          <w:szCs w:val="17"/>
        </w:rPr>
      </w:pPr>
      <w:r>
        <w:rPr>
          <w:sz w:val="17"/>
          <w:szCs w:val="17"/>
        </w:rPr>
        <w:t>Regulation 98D(1)</w:t>
      </w:r>
    </w:p>
    <w:p>
      <w:pPr>
        <w:pStyle w:val="yTableNAm"/>
        <w:spacing w:before="80"/>
        <w:jc w:val="center"/>
        <w:rPr>
          <w:i/>
          <w:sz w:val="17"/>
          <w:szCs w:val="17"/>
        </w:rPr>
      </w:pPr>
      <w:r>
        <w:rPr>
          <w:i/>
          <w:sz w:val="17"/>
          <w:szCs w:val="17"/>
        </w:rPr>
        <w:t>CONSERVATION AND LAND MANAGEMENT REGULATIONS 2002</w:t>
      </w:r>
    </w:p>
    <w:p>
      <w:pPr>
        <w:pStyle w:val="yTableNAm"/>
        <w:spacing w:before="80"/>
        <w:jc w:val="center"/>
        <w:rPr>
          <w:sz w:val="17"/>
          <w:szCs w:val="17"/>
        </w:rPr>
      </w:pPr>
      <w:r>
        <w:rPr>
          <w:sz w:val="17"/>
          <w:szCs w:val="17"/>
        </w:rPr>
        <w:t>APIARY PERMIT</w:t>
      </w:r>
    </w:p>
    <w:tbl>
      <w:tblPr>
        <w:tblStyle w:val="TableGrid"/>
        <w:tblW w:w="0" w:type="auto"/>
        <w:tblInd w:w="5188" w:type="dxa"/>
        <w:tblCellMar>
          <w:left w:w="28" w:type="dxa"/>
          <w:right w:w="28" w:type="dxa"/>
        </w:tblCellMar>
        <w:tblLook w:val="04A0" w:firstRow="1" w:lastRow="0" w:firstColumn="1" w:lastColumn="0" w:noHBand="0" w:noVBand="1"/>
      </w:tblPr>
      <w:tblGrid>
        <w:gridCol w:w="1888"/>
      </w:tblGrid>
      <w:tr>
        <w:tc>
          <w:tcPr>
            <w:tcW w:w="1888" w:type="dxa"/>
          </w:tcPr>
          <w:p>
            <w:pPr>
              <w:pStyle w:val="yTableNAm"/>
              <w:spacing w:before="60" w:after="40"/>
              <w:rPr>
                <w:sz w:val="17"/>
                <w:szCs w:val="17"/>
              </w:rPr>
            </w:pPr>
            <w:r>
              <w:rPr>
                <w:sz w:val="17"/>
                <w:szCs w:val="17"/>
              </w:rPr>
              <w:t>Permit No. ____________</w:t>
            </w:r>
          </w:p>
        </w:tc>
      </w:tr>
    </w:tbl>
    <w:p>
      <w:pPr>
        <w:rPr>
          <w:sz w:val="12"/>
          <w:szCs w:val="12"/>
        </w:rPr>
      </w:pPr>
    </w:p>
    <w:tbl>
      <w:tblPr>
        <w:tblStyle w:val="TableGrid"/>
        <w:tblW w:w="0" w:type="auto"/>
        <w:tblCellMar>
          <w:left w:w="28" w:type="dxa"/>
          <w:right w:w="28" w:type="dxa"/>
        </w:tblCellMar>
        <w:tblLook w:val="04A0" w:firstRow="1" w:lastRow="0" w:firstColumn="1" w:lastColumn="0" w:noHBand="0" w:noVBand="1"/>
      </w:tblPr>
      <w:tblGrid>
        <w:gridCol w:w="7083"/>
      </w:tblGrid>
      <w:tr>
        <w:tc>
          <w:tcPr>
            <w:tcW w:w="7047" w:type="dxa"/>
          </w:tcPr>
          <w:p>
            <w:pPr>
              <w:pStyle w:val="yTableNAm"/>
              <w:tabs>
                <w:tab w:val="clear" w:pos="567"/>
              </w:tabs>
              <w:spacing w:before="60"/>
              <w:rPr>
                <w:sz w:val="17"/>
                <w:szCs w:val="17"/>
              </w:rPr>
            </w:pPr>
            <w:r>
              <w:rPr>
                <w:sz w:val="17"/>
                <w:szCs w:val="17"/>
              </w:rPr>
              <w:t>I____________________________________________________________ Reg Brand____________</w:t>
            </w:r>
          </w:p>
          <w:p>
            <w:pPr>
              <w:pStyle w:val="yTableNAm"/>
              <w:tabs>
                <w:tab w:val="clear" w:pos="567"/>
              </w:tabs>
              <w:spacing w:before="60" w:after="40"/>
              <w:rPr>
                <w:sz w:val="17"/>
                <w:szCs w:val="17"/>
              </w:rPr>
            </w:pPr>
            <w:r>
              <w:rPr>
                <w:sz w:val="17"/>
                <w:szCs w:val="17"/>
              </w:rPr>
              <w:t>of_________________________________________________________________________________</w:t>
            </w:r>
          </w:p>
        </w:tc>
      </w:tr>
    </w:tbl>
    <w:p>
      <w:pPr>
        <w:pStyle w:val="yTableNAm"/>
        <w:spacing w:before="0"/>
        <w:rPr>
          <w:sz w:val="17"/>
          <w:szCs w:val="17"/>
        </w:rPr>
      </w:pPr>
      <w:r>
        <w:rPr>
          <w:sz w:val="17"/>
          <w:szCs w:val="17"/>
        </w:rPr>
        <w:t xml:space="preserve">is authorised, subject to the </w:t>
      </w:r>
      <w:r>
        <w:rPr>
          <w:i/>
          <w:sz w:val="17"/>
          <w:szCs w:val="17"/>
        </w:rPr>
        <w:t>Conservation and Land Management Regulations 2002</w:t>
      </w:r>
      <w:r>
        <w:rPr>
          <w:sz w:val="17"/>
          <w:szCs w:val="17"/>
        </w:rPr>
        <w:t xml:space="preserve"> —</w:t>
      </w:r>
    </w:p>
    <w:p>
      <w:pPr>
        <w:pStyle w:val="yTableNAm"/>
        <w:spacing w:before="60"/>
        <w:rPr>
          <w:sz w:val="17"/>
          <w:szCs w:val="17"/>
        </w:rPr>
      </w:pPr>
      <w:r>
        <w:rPr>
          <w:sz w:val="17"/>
          <w:szCs w:val="17"/>
        </w:rPr>
        <w:t>a) to occupy the land described below for the purpose of operating an apiary; and</w:t>
      </w:r>
      <w:r>
        <w:rPr>
          <w:sz w:val="17"/>
          <w:szCs w:val="17"/>
        </w:rPr>
        <w:br/>
        <w:t>b) to remove honey, bees-wax and pollen from that land</w:t>
      </w:r>
    </w:p>
    <w:p>
      <w:pPr>
        <w:pStyle w:val="yTableNAm"/>
        <w:spacing w:before="60"/>
        <w:rPr>
          <w:sz w:val="17"/>
          <w:szCs w:val="17"/>
        </w:rPr>
      </w:pPr>
      <w:r>
        <w:rPr>
          <w:sz w:val="17"/>
          <w:szCs w:val="17"/>
        </w:rPr>
        <w:t>In accordance with the terms and conditions and any limitations set out below, and not otherwise.</w:t>
      </w:r>
    </w:p>
    <w:p>
      <w:pPr>
        <w:pStyle w:val="yTableNAm"/>
        <w:spacing w:before="60" w:after="60"/>
        <w:rPr>
          <w:i/>
          <w:sz w:val="17"/>
          <w:szCs w:val="17"/>
        </w:rPr>
      </w:pPr>
      <w:r>
        <w:rPr>
          <w:i/>
          <w:sz w:val="17"/>
          <w:szCs w:val="17"/>
        </w:rPr>
        <w:t>Note: The authority conferred by this permit is of no effect at any time when a term, condition or limitation of the permit is not being complied with.</w:t>
      </w:r>
    </w:p>
    <w:tbl>
      <w:tblPr>
        <w:tblStyle w:val="TableGrid"/>
        <w:tblW w:w="7047" w:type="dxa"/>
        <w:tblLayout w:type="fixed"/>
        <w:tblCellMar>
          <w:left w:w="28" w:type="dxa"/>
          <w:right w:w="28" w:type="dxa"/>
        </w:tblCellMar>
        <w:tblLook w:val="04A0" w:firstRow="1" w:lastRow="0" w:firstColumn="1" w:lastColumn="0" w:noHBand="0" w:noVBand="1"/>
      </w:tblPr>
      <w:tblGrid>
        <w:gridCol w:w="76"/>
        <w:gridCol w:w="2440"/>
        <w:gridCol w:w="90"/>
        <w:gridCol w:w="964"/>
        <w:gridCol w:w="425"/>
        <w:gridCol w:w="142"/>
        <w:gridCol w:w="2834"/>
        <w:gridCol w:w="76"/>
      </w:tblGrid>
      <w:tr>
        <w:tc>
          <w:tcPr>
            <w:tcW w:w="7047" w:type="dxa"/>
            <w:gridSpan w:val="8"/>
            <w:tcBorders>
              <w:top w:val="single" w:sz="4" w:space="0" w:color="auto"/>
              <w:bottom w:val="nil"/>
            </w:tcBorders>
          </w:tcPr>
          <w:p>
            <w:pPr>
              <w:spacing w:before="40" w:after="20"/>
              <w:ind w:left="85"/>
              <w:rPr>
                <w:sz w:val="17"/>
                <w:szCs w:val="17"/>
              </w:rPr>
            </w:pPr>
            <w:r>
              <w:rPr>
                <w:sz w:val="17"/>
                <w:szCs w:val="17"/>
              </w:rPr>
              <w:t>Site that may be occupied</w:t>
            </w:r>
          </w:p>
        </w:tc>
      </w:tr>
      <w:tr>
        <w:tc>
          <w:tcPr>
            <w:tcW w:w="76" w:type="dxa"/>
            <w:tcBorders>
              <w:top w:val="nil"/>
              <w:bottom w:val="nil"/>
            </w:tcBorders>
          </w:tcPr>
          <w:p>
            <w:pPr>
              <w:rPr>
                <w:sz w:val="16"/>
                <w:szCs w:val="16"/>
              </w:rPr>
            </w:pPr>
          </w:p>
        </w:tc>
        <w:tc>
          <w:tcPr>
            <w:tcW w:w="2440" w:type="dxa"/>
            <w:tcBorders>
              <w:top w:val="single" w:sz="4" w:space="0" w:color="auto"/>
              <w:bottom w:val="single" w:sz="4" w:space="0" w:color="auto"/>
              <w:right w:val="nil"/>
            </w:tcBorders>
          </w:tcPr>
          <w:p>
            <w:pPr>
              <w:pStyle w:val="yTableNAm"/>
              <w:spacing w:before="40"/>
              <w:rPr>
                <w:sz w:val="17"/>
                <w:szCs w:val="17"/>
              </w:rPr>
            </w:pPr>
            <w:r>
              <w:rPr>
                <w:sz w:val="17"/>
                <w:szCs w:val="17"/>
              </w:rPr>
              <w:t>DEC REGION/DISTRICT</w:t>
            </w:r>
          </w:p>
          <w:p>
            <w:pPr>
              <w:pStyle w:val="yTableNAm"/>
              <w:spacing w:before="40"/>
              <w:rPr>
                <w:sz w:val="17"/>
                <w:szCs w:val="17"/>
              </w:rPr>
            </w:pPr>
            <w:r>
              <w:rPr>
                <w:sz w:val="17"/>
                <w:szCs w:val="17"/>
              </w:rPr>
              <w:t>_________________________</w:t>
            </w:r>
          </w:p>
          <w:p>
            <w:pPr>
              <w:pStyle w:val="yTableNAm"/>
              <w:spacing w:before="40"/>
              <w:rPr>
                <w:sz w:val="17"/>
                <w:szCs w:val="17"/>
              </w:rPr>
            </w:pPr>
            <w:r>
              <w:rPr>
                <w:sz w:val="17"/>
                <w:szCs w:val="17"/>
              </w:rPr>
              <w:t>Forest Block</w:t>
            </w:r>
          </w:p>
          <w:p>
            <w:pPr>
              <w:pStyle w:val="yTableNAm"/>
              <w:spacing w:before="40"/>
              <w:rPr>
                <w:sz w:val="17"/>
                <w:szCs w:val="17"/>
              </w:rPr>
            </w:pPr>
            <w:r>
              <w:rPr>
                <w:sz w:val="17"/>
                <w:szCs w:val="17"/>
              </w:rPr>
              <w:t>_________________________</w:t>
            </w:r>
          </w:p>
          <w:p>
            <w:pPr>
              <w:pStyle w:val="yTableNAm"/>
              <w:spacing w:before="40"/>
              <w:rPr>
                <w:sz w:val="17"/>
                <w:szCs w:val="17"/>
              </w:rPr>
            </w:pPr>
            <w:r>
              <w:rPr>
                <w:sz w:val="17"/>
                <w:szCs w:val="17"/>
              </w:rPr>
              <w:t>DEC Apiary Zone</w:t>
            </w:r>
          </w:p>
          <w:p>
            <w:pPr>
              <w:pStyle w:val="yTableNAm"/>
              <w:spacing w:before="40"/>
              <w:rPr>
                <w:sz w:val="17"/>
                <w:szCs w:val="17"/>
              </w:rPr>
            </w:pPr>
            <w:r>
              <w:rPr>
                <w:sz w:val="17"/>
                <w:szCs w:val="17"/>
              </w:rPr>
              <w:t>_________________________</w:t>
            </w:r>
          </w:p>
        </w:tc>
        <w:tc>
          <w:tcPr>
            <w:tcW w:w="1479" w:type="dxa"/>
            <w:gridSpan w:val="3"/>
            <w:tcBorders>
              <w:top w:val="single" w:sz="4" w:space="0" w:color="auto"/>
              <w:left w:val="nil"/>
              <w:bottom w:val="single" w:sz="4" w:space="0" w:color="auto"/>
              <w:right w:val="nil"/>
            </w:tcBorders>
          </w:tcPr>
          <w:p>
            <w:pPr>
              <w:pStyle w:val="yTableNAm"/>
              <w:spacing w:before="40"/>
              <w:rPr>
                <w:sz w:val="17"/>
                <w:szCs w:val="17"/>
              </w:rPr>
            </w:pPr>
            <w:r>
              <w:rPr>
                <w:sz w:val="17"/>
                <w:szCs w:val="17"/>
              </w:rPr>
              <w:t>DEC Plan &amp; Ref</w:t>
            </w:r>
          </w:p>
          <w:p>
            <w:pPr>
              <w:spacing w:before="40"/>
              <w:rPr>
                <w:sz w:val="17"/>
                <w:szCs w:val="17"/>
              </w:rPr>
            </w:pPr>
            <w:r>
              <w:rPr>
                <w:sz w:val="17"/>
                <w:szCs w:val="17"/>
              </w:rPr>
              <w:t>________________</w:t>
            </w:r>
          </w:p>
          <w:p>
            <w:pPr>
              <w:spacing w:before="40"/>
              <w:rPr>
                <w:sz w:val="17"/>
                <w:szCs w:val="17"/>
              </w:rPr>
            </w:pPr>
            <w:r>
              <w:rPr>
                <w:sz w:val="17"/>
                <w:szCs w:val="17"/>
              </w:rPr>
              <w:t>or COG Map Ref</w:t>
            </w:r>
          </w:p>
          <w:p>
            <w:pPr>
              <w:spacing w:before="40"/>
              <w:rPr>
                <w:sz w:val="17"/>
                <w:szCs w:val="17"/>
              </w:rPr>
            </w:pPr>
            <w:r>
              <w:rPr>
                <w:sz w:val="17"/>
                <w:szCs w:val="17"/>
              </w:rPr>
              <w:t>________________</w:t>
            </w:r>
          </w:p>
          <w:p>
            <w:pPr>
              <w:spacing w:before="40"/>
              <w:rPr>
                <w:sz w:val="17"/>
                <w:szCs w:val="17"/>
              </w:rPr>
            </w:pPr>
            <w:r>
              <w:rPr>
                <w:sz w:val="17"/>
                <w:szCs w:val="17"/>
              </w:rPr>
              <w:t>Nearest Road/Track</w:t>
            </w:r>
          </w:p>
          <w:p>
            <w:pPr>
              <w:spacing w:before="40" w:after="40"/>
              <w:rPr>
                <w:sz w:val="17"/>
                <w:szCs w:val="17"/>
              </w:rPr>
            </w:pPr>
            <w:r>
              <w:rPr>
                <w:sz w:val="17"/>
                <w:szCs w:val="17"/>
              </w:rPr>
              <w:t>________________</w:t>
            </w:r>
          </w:p>
        </w:tc>
        <w:tc>
          <w:tcPr>
            <w:tcW w:w="2976" w:type="dxa"/>
            <w:gridSpan w:val="2"/>
            <w:tcBorders>
              <w:top w:val="single" w:sz="4" w:space="0" w:color="auto"/>
              <w:left w:val="nil"/>
              <w:bottom w:val="single" w:sz="4" w:space="0" w:color="auto"/>
            </w:tcBorders>
          </w:tcPr>
          <w:p>
            <w:pPr>
              <w:pStyle w:val="yTableNAm"/>
              <w:spacing w:before="40"/>
              <w:jc w:val="center"/>
              <w:rPr>
                <w:sz w:val="17"/>
                <w:szCs w:val="17"/>
              </w:rPr>
            </w:pPr>
            <w:r>
              <w:rPr>
                <w:sz w:val="17"/>
                <w:szCs w:val="17"/>
              </w:rPr>
              <w:t>Land Tenure</w:t>
            </w:r>
          </w:p>
          <w:p>
            <w:pPr>
              <w:pStyle w:val="yTableNAm"/>
              <w:spacing w:before="40"/>
              <w:rPr>
                <w:sz w:val="17"/>
                <w:szCs w:val="17"/>
              </w:rPr>
            </w:pPr>
          </w:p>
          <w:p>
            <w:pPr>
              <w:pStyle w:val="yTableNAm"/>
              <w:spacing w:before="40"/>
              <w:ind w:right="57"/>
              <w:jc w:val="right"/>
              <w:rPr>
                <w:sz w:val="17"/>
                <w:szCs w:val="17"/>
              </w:rPr>
            </w:pPr>
            <w:r>
              <w:rPr>
                <w:sz w:val="17"/>
                <w:szCs w:val="17"/>
              </w:rPr>
              <w:t>________________________________</w:t>
            </w:r>
          </w:p>
          <w:p>
            <w:pPr>
              <w:pStyle w:val="yTableNAm"/>
              <w:spacing w:before="80"/>
              <w:ind w:right="57"/>
              <w:jc w:val="right"/>
              <w:rPr>
                <w:sz w:val="17"/>
                <w:szCs w:val="17"/>
              </w:rPr>
            </w:pPr>
            <w:r>
              <w:rPr>
                <w:sz w:val="17"/>
                <w:szCs w:val="17"/>
              </w:rPr>
              <w:t>GPS Reading — Map Location</w:t>
            </w:r>
            <w:r>
              <w:rPr>
                <w:sz w:val="17"/>
                <w:szCs w:val="17"/>
              </w:rPr>
              <w:br/>
              <w:t>Longitude__________________</w:t>
            </w:r>
            <w:r>
              <w:rPr>
                <w:sz w:val="17"/>
                <w:szCs w:val="17"/>
              </w:rPr>
              <w:br/>
              <w:t>Latitude__________________</w:t>
            </w:r>
          </w:p>
        </w:tc>
        <w:tc>
          <w:tcPr>
            <w:tcW w:w="76" w:type="dxa"/>
            <w:tcBorders>
              <w:top w:val="nil"/>
              <w:bottom w:val="nil"/>
            </w:tcBorders>
          </w:tcPr>
          <w:p>
            <w:pPr>
              <w:ind w:left="-170" w:right="-311"/>
              <w:rPr>
                <w:sz w:val="17"/>
                <w:szCs w:val="17"/>
              </w:rPr>
            </w:pPr>
          </w:p>
          <w:p>
            <w:pPr>
              <w:rPr>
                <w:sz w:val="17"/>
                <w:szCs w:val="17"/>
              </w:rPr>
            </w:pPr>
          </w:p>
          <w:p>
            <w:pPr>
              <w:rPr>
                <w:sz w:val="17"/>
                <w:szCs w:val="17"/>
              </w:rPr>
            </w:pPr>
          </w:p>
        </w:tc>
      </w:tr>
      <w:tr>
        <w:tc>
          <w:tcPr>
            <w:tcW w:w="76" w:type="dxa"/>
            <w:tcBorders>
              <w:top w:val="nil"/>
              <w:bottom w:val="nil"/>
              <w:right w:val="nil"/>
            </w:tcBorders>
          </w:tcPr>
          <w:p>
            <w:pPr>
              <w:rPr>
                <w:sz w:val="16"/>
                <w:szCs w:val="16"/>
              </w:rPr>
            </w:pPr>
          </w:p>
        </w:tc>
        <w:tc>
          <w:tcPr>
            <w:tcW w:w="2440" w:type="dxa"/>
            <w:tcBorders>
              <w:top w:val="single" w:sz="4" w:space="0" w:color="auto"/>
              <w:left w:val="nil"/>
              <w:bottom w:val="single" w:sz="4" w:space="0" w:color="auto"/>
              <w:right w:val="nil"/>
            </w:tcBorders>
          </w:tcPr>
          <w:p>
            <w:pPr>
              <w:rPr>
                <w:sz w:val="17"/>
                <w:szCs w:val="17"/>
              </w:rPr>
            </w:pPr>
            <w:r>
              <w:rPr>
                <w:sz w:val="17"/>
                <w:szCs w:val="17"/>
              </w:rPr>
              <w:t>Conditions to be followed</w:t>
            </w:r>
          </w:p>
        </w:tc>
        <w:tc>
          <w:tcPr>
            <w:tcW w:w="1479" w:type="dxa"/>
            <w:gridSpan w:val="3"/>
            <w:tcBorders>
              <w:top w:val="single" w:sz="4" w:space="0" w:color="auto"/>
              <w:left w:val="nil"/>
              <w:bottom w:val="single" w:sz="4" w:space="0" w:color="auto"/>
              <w:right w:val="nil"/>
            </w:tcBorders>
          </w:tcPr>
          <w:p>
            <w:pPr>
              <w:rPr>
                <w:sz w:val="17"/>
                <w:szCs w:val="17"/>
              </w:rPr>
            </w:pPr>
          </w:p>
        </w:tc>
        <w:tc>
          <w:tcPr>
            <w:tcW w:w="142" w:type="dxa"/>
            <w:tcBorders>
              <w:top w:val="single" w:sz="4" w:space="0" w:color="auto"/>
              <w:left w:val="nil"/>
              <w:bottom w:val="nil"/>
              <w:right w:val="nil"/>
            </w:tcBorders>
          </w:tcPr>
          <w:p>
            <w:pPr>
              <w:rPr>
                <w:sz w:val="17"/>
                <w:szCs w:val="17"/>
              </w:rPr>
            </w:pPr>
          </w:p>
        </w:tc>
        <w:tc>
          <w:tcPr>
            <w:tcW w:w="2834" w:type="dxa"/>
            <w:tcBorders>
              <w:top w:val="single" w:sz="4" w:space="0" w:color="auto"/>
              <w:left w:val="nil"/>
              <w:bottom w:val="single" w:sz="4" w:space="0" w:color="auto"/>
              <w:right w:val="nil"/>
            </w:tcBorders>
          </w:tcPr>
          <w:p>
            <w:pPr>
              <w:rPr>
                <w:sz w:val="17"/>
                <w:szCs w:val="17"/>
              </w:rPr>
            </w:pPr>
            <w:r>
              <w:rPr>
                <w:sz w:val="17"/>
                <w:szCs w:val="17"/>
              </w:rPr>
              <w:t>Authority to Issue Permit</w:t>
            </w:r>
          </w:p>
        </w:tc>
        <w:tc>
          <w:tcPr>
            <w:tcW w:w="76" w:type="dxa"/>
            <w:tcBorders>
              <w:top w:val="nil"/>
              <w:left w:val="nil"/>
              <w:bottom w:val="nil"/>
            </w:tcBorders>
          </w:tcPr>
          <w:p>
            <w:pPr>
              <w:ind w:left="-170" w:right="-311"/>
              <w:rPr>
                <w:sz w:val="17"/>
                <w:szCs w:val="17"/>
              </w:rPr>
            </w:pPr>
          </w:p>
        </w:tc>
      </w:tr>
      <w:tr>
        <w:trPr>
          <w:trHeight w:val="428"/>
        </w:trPr>
        <w:tc>
          <w:tcPr>
            <w:tcW w:w="76" w:type="dxa"/>
            <w:vMerge w:val="restart"/>
            <w:tcBorders>
              <w:top w:val="nil"/>
              <w:bottom w:val="nil"/>
            </w:tcBorders>
          </w:tcPr>
          <w:p>
            <w:pPr>
              <w:rPr>
                <w:sz w:val="16"/>
                <w:szCs w:val="16"/>
              </w:rPr>
            </w:pPr>
          </w:p>
        </w:tc>
        <w:tc>
          <w:tcPr>
            <w:tcW w:w="2440" w:type="dxa"/>
            <w:vMerge w:val="restart"/>
            <w:tcBorders>
              <w:top w:val="single" w:sz="4" w:space="0" w:color="auto"/>
              <w:right w:val="nil"/>
            </w:tcBorders>
          </w:tcPr>
          <w:p>
            <w:pPr>
              <w:spacing w:before="60"/>
              <w:rPr>
                <w:sz w:val="17"/>
                <w:szCs w:val="17"/>
              </w:rPr>
            </w:pPr>
            <w:r>
              <w:rPr>
                <w:sz w:val="17"/>
                <w:szCs w:val="17"/>
              </w:rPr>
              <w:t>DRA Permit</w:t>
            </w:r>
          </w:p>
          <w:p>
            <w:pPr>
              <w:spacing w:before="60"/>
              <w:ind w:left="256" w:hanging="256"/>
              <w:rPr>
                <w:sz w:val="17"/>
                <w:szCs w:val="17"/>
              </w:rPr>
            </w:pPr>
            <w:r>
              <w:rPr>
                <w:sz w:val="17"/>
                <w:szCs w:val="17"/>
              </w:rPr>
              <w:t>Water Catchment</w:t>
            </w:r>
            <w:r>
              <w:rPr>
                <w:sz w:val="17"/>
                <w:szCs w:val="17"/>
              </w:rPr>
              <w:br/>
              <w:t>Catchment Area</w:t>
            </w:r>
          </w:p>
          <w:p>
            <w:pPr>
              <w:spacing w:before="60"/>
              <w:rPr>
                <w:sz w:val="17"/>
                <w:szCs w:val="17"/>
              </w:rPr>
            </w:pPr>
            <w:r>
              <w:rPr>
                <w:sz w:val="17"/>
                <w:szCs w:val="17"/>
              </w:rPr>
              <w:t>Pastoral Lease</w:t>
            </w:r>
          </w:p>
          <w:p>
            <w:pPr>
              <w:spacing w:before="60"/>
              <w:rPr>
                <w:sz w:val="17"/>
                <w:szCs w:val="17"/>
              </w:rPr>
            </w:pPr>
            <w:r>
              <w:rPr>
                <w:sz w:val="17"/>
                <w:szCs w:val="17"/>
              </w:rPr>
              <w:t>Special Conditions</w:t>
            </w:r>
          </w:p>
          <w:p>
            <w:pPr>
              <w:spacing w:before="60"/>
              <w:rPr>
                <w:sz w:val="17"/>
                <w:szCs w:val="17"/>
              </w:rPr>
            </w:pPr>
            <w:r>
              <w:rPr>
                <w:sz w:val="17"/>
                <w:szCs w:val="17"/>
              </w:rPr>
              <w:t>Standard Apiary Site Conditions</w:t>
            </w:r>
          </w:p>
        </w:tc>
        <w:tc>
          <w:tcPr>
            <w:tcW w:w="1479" w:type="dxa"/>
            <w:gridSpan w:val="3"/>
            <w:vMerge w:val="restart"/>
            <w:tcBorders>
              <w:top w:val="single" w:sz="4" w:space="0" w:color="auto"/>
              <w:left w:val="nil"/>
            </w:tcBorders>
          </w:tcPr>
          <w:p>
            <w:pPr>
              <w:spacing w:before="60"/>
              <w:rPr>
                <w:sz w:val="17"/>
                <w:szCs w:val="17"/>
              </w:rPr>
            </w:pPr>
            <w:r>
              <w:rPr>
                <w:sz w:val="17"/>
                <w:szCs w:val="17"/>
              </w:rPr>
              <w:t>________________</w:t>
            </w:r>
          </w:p>
          <w:p>
            <w:pPr>
              <w:spacing w:before="60"/>
              <w:rPr>
                <w:sz w:val="17"/>
                <w:szCs w:val="17"/>
              </w:rPr>
            </w:pPr>
            <w:r>
              <w:rPr>
                <w:sz w:val="17"/>
                <w:szCs w:val="17"/>
              </w:rPr>
              <w:t>________________</w:t>
            </w:r>
          </w:p>
          <w:p>
            <w:pPr>
              <w:rPr>
                <w:sz w:val="17"/>
                <w:szCs w:val="17"/>
              </w:rPr>
            </w:pPr>
            <w:r>
              <w:rPr>
                <w:sz w:val="17"/>
                <w:szCs w:val="17"/>
              </w:rPr>
              <w:t>________________</w:t>
            </w:r>
          </w:p>
          <w:p>
            <w:pPr>
              <w:spacing w:before="60"/>
              <w:rPr>
                <w:sz w:val="17"/>
                <w:szCs w:val="17"/>
              </w:rPr>
            </w:pPr>
            <w:r>
              <w:rPr>
                <w:sz w:val="17"/>
                <w:szCs w:val="17"/>
              </w:rPr>
              <w:t>________________</w:t>
            </w:r>
          </w:p>
          <w:p>
            <w:pPr>
              <w:spacing w:before="60"/>
              <w:rPr>
                <w:sz w:val="17"/>
                <w:szCs w:val="17"/>
              </w:rPr>
            </w:pPr>
            <w:r>
              <w:rPr>
                <w:sz w:val="17"/>
                <w:szCs w:val="17"/>
              </w:rPr>
              <w:t>________________</w:t>
            </w:r>
          </w:p>
          <w:p>
            <w:pPr>
              <w:spacing w:before="60"/>
              <w:rPr>
                <w:sz w:val="17"/>
                <w:szCs w:val="17"/>
              </w:rPr>
            </w:pPr>
            <w:r>
              <w:rPr>
                <w:sz w:val="17"/>
                <w:szCs w:val="17"/>
              </w:rPr>
              <w:t>________________</w:t>
            </w:r>
          </w:p>
        </w:tc>
        <w:tc>
          <w:tcPr>
            <w:tcW w:w="142" w:type="dxa"/>
            <w:tcBorders>
              <w:top w:val="nil"/>
              <w:bottom w:val="nil"/>
            </w:tcBorders>
          </w:tcPr>
          <w:p>
            <w:pPr>
              <w:rPr>
                <w:sz w:val="17"/>
                <w:szCs w:val="17"/>
              </w:rPr>
            </w:pPr>
          </w:p>
        </w:tc>
        <w:tc>
          <w:tcPr>
            <w:tcW w:w="2834" w:type="dxa"/>
            <w:tcBorders>
              <w:top w:val="single" w:sz="4" w:space="0" w:color="auto"/>
              <w:bottom w:val="single" w:sz="4" w:space="0" w:color="auto"/>
            </w:tcBorders>
          </w:tcPr>
          <w:p>
            <w:pPr>
              <w:tabs>
                <w:tab w:val="left" w:pos="2240"/>
              </w:tabs>
              <w:spacing w:before="60"/>
              <w:rPr>
                <w:sz w:val="17"/>
                <w:szCs w:val="17"/>
              </w:rPr>
            </w:pPr>
            <w:r>
              <w:rPr>
                <w:sz w:val="17"/>
                <w:szCs w:val="17"/>
              </w:rPr>
              <w:t xml:space="preserve">Apiary Batch Number </w:t>
            </w:r>
            <w:r>
              <w:rPr>
                <w:sz w:val="17"/>
                <w:szCs w:val="17"/>
              </w:rPr>
              <w:tab/>
              <w:t>______</w:t>
            </w:r>
          </w:p>
          <w:p>
            <w:pPr>
              <w:tabs>
                <w:tab w:val="left" w:pos="2240"/>
              </w:tabs>
              <w:spacing w:before="60"/>
              <w:rPr>
                <w:sz w:val="17"/>
                <w:szCs w:val="17"/>
              </w:rPr>
            </w:pPr>
            <w:r>
              <w:rPr>
                <w:sz w:val="17"/>
                <w:szCs w:val="17"/>
              </w:rPr>
              <w:t>Commission</w:t>
            </w:r>
            <w:r>
              <w:rPr>
                <w:sz w:val="17"/>
                <w:szCs w:val="17"/>
              </w:rPr>
              <w:tab/>
              <w:t>______</w:t>
            </w:r>
          </w:p>
          <w:p>
            <w:pPr>
              <w:tabs>
                <w:tab w:val="left" w:pos="2240"/>
              </w:tabs>
              <w:spacing w:before="60" w:after="60"/>
              <w:rPr>
                <w:sz w:val="17"/>
                <w:szCs w:val="17"/>
              </w:rPr>
            </w:pPr>
            <w:r>
              <w:rPr>
                <w:sz w:val="17"/>
                <w:szCs w:val="17"/>
              </w:rPr>
              <w:t xml:space="preserve">Minister for the Environment </w:t>
            </w:r>
            <w:r>
              <w:rPr>
                <w:sz w:val="17"/>
                <w:szCs w:val="17"/>
              </w:rPr>
              <w:br/>
              <w:t>or his Delegate’s Approval</w:t>
            </w:r>
            <w:r>
              <w:rPr>
                <w:sz w:val="17"/>
                <w:szCs w:val="17"/>
              </w:rPr>
              <w:tab/>
              <w:t>______</w:t>
            </w:r>
          </w:p>
        </w:tc>
        <w:tc>
          <w:tcPr>
            <w:tcW w:w="76" w:type="dxa"/>
            <w:tcBorders>
              <w:top w:val="nil"/>
              <w:bottom w:val="nil"/>
            </w:tcBorders>
          </w:tcPr>
          <w:p>
            <w:pPr>
              <w:ind w:left="-170" w:right="-311"/>
              <w:rPr>
                <w:sz w:val="17"/>
                <w:szCs w:val="17"/>
              </w:rPr>
            </w:pPr>
          </w:p>
        </w:tc>
      </w:tr>
      <w:tr>
        <w:tc>
          <w:tcPr>
            <w:tcW w:w="76" w:type="dxa"/>
            <w:vMerge/>
            <w:tcBorders>
              <w:top w:val="nil"/>
              <w:bottom w:val="nil"/>
            </w:tcBorders>
          </w:tcPr>
          <w:p>
            <w:pPr>
              <w:rPr>
                <w:sz w:val="16"/>
                <w:szCs w:val="16"/>
              </w:rPr>
            </w:pPr>
          </w:p>
        </w:tc>
        <w:tc>
          <w:tcPr>
            <w:tcW w:w="2440" w:type="dxa"/>
            <w:vMerge/>
            <w:tcBorders>
              <w:right w:val="nil"/>
            </w:tcBorders>
          </w:tcPr>
          <w:p>
            <w:pPr>
              <w:rPr>
                <w:sz w:val="17"/>
                <w:szCs w:val="17"/>
              </w:rPr>
            </w:pPr>
          </w:p>
        </w:tc>
        <w:tc>
          <w:tcPr>
            <w:tcW w:w="1479" w:type="dxa"/>
            <w:gridSpan w:val="3"/>
            <w:vMerge/>
            <w:tcBorders>
              <w:left w:val="nil"/>
            </w:tcBorders>
          </w:tcPr>
          <w:p>
            <w:pPr>
              <w:rPr>
                <w:sz w:val="17"/>
                <w:szCs w:val="17"/>
              </w:rPr>
            </w:pPr>
          </w:p>
        </w:tc>
        <w:tc>
          <w:tcPr>
            <w:tcW w:w="142" w:type="dxa"/>
            <w:tcBorders>
              <w:top w:val="nil"/>
              <w:bottom w:val="nil"/>
              <w:right w:val="nil"/>
            </w:tcBorders>
          </w:tcPr>
          <w:p>
            <w:pPr>
              <w:rPr>
                <w:sz w:val="17"/>
                <w:szCs w:val="17"/>
              </w:rPr>
            </w:pPr>
          </w:p>
        </w:tc>
        <w:tc>
          <w:tcPr>
            <w:tcW w:w="2834" w:type="dxa"/>
            <w:tcBorders>
              <w:left w:val="nil"/>
              <w:right w:val="nil"/>
            </w:tcBorders>
          </w:tcPr>
          <w:p>
            <w:pPr>
              <w:rPr>
                <w:sz w:val="17"/>
                <w:szCs w:val="17"/>
              </w:rPr>
            </w:pPr>
            <w:r>
              <w:rPr>
                <w:sz w:val="17"/>
                <w:szCs w:val="17"/>
              </w:rPr>
              <w:t>Rental</w:t>
            </w:r>
          </w:p>
        </w:tc>
        <w:tc>
          <w:tcPr>
            <w:tcW w:w="76" w:type="dxa"/>
            <w:tcBorders>
              <w:top w:val="nil"/>
              <w:left w:val="nil"/>
              <w:bottom w:val="nil"/>
            </w:tcBorders>
          </w:tcPr>
          <w:p>
            <w:pPr>
              <w:ind w:left="-170" w:right="-311"/>
              <w:rPr>
                <w:sz w:val="17"/>
                <w:szCs w:val="17"/>
              </w:rPr>
            </w:pPr>
          </w:p>
        </w:tc>
      </w:tr>
      <w:tr>
        <w:tc>
          <w:tcPr>
            <w:tcW w:w="76" w:type="dxa"/>
            <w:vMerge/>
            <w:tcBorders>
              <w:top w:val="nil"/>
              <w:bottom w:val="nil"/>
            </w:tcBorders>
          </w:tcPr>
          <w:p>
            <w:pPr>
              <w:rPr>
                <w:sz w:val="16"/>
                <w:szCs w:val="16"/>
              </w:rPr>
            </w:pPr>
          </w:p>
        </w:tc>
        <w:tc>
          <w:tcPr>
            <w:tcW w:w="2440" w:type="dxa"/>
            <w:vMerge/>
            <w:tcBorders>
              <w:bottom w:val="single" w:sz="4" w:space="0" w:color="auto"/>
              <w:right w:val="nil"/>
            </w:tcBorders>
          </w:tcPr>
          <w:p>
            <w:pPr>
              <w:rPr>
                <w:sz w:val="17"/>
                <w:szCs w:val="17"/>
              </w:rPr>
            </w:pPr>
          </w:p>
        </w:tc>
        <w:tc>
          <w:tcPr>
            <w:tcW w:w="1479" w:type="dxa"/>
            <w:gridSpan w:val="3"/>
            <w:vMerge/>
            <w:tcBorders>
              <w:left w:val="nil"/>
              <w:bottom w:val="single" w:sz="4" w:space="0" w:color="auto"/>
            </w:tcBorders>
          </w:tcPr>
          <w:p>
            <w:pPr>
              <w:rPr>
                <w:sz w:val="17"/>
                <w:szCs w:val="17"/>
              </w:rPr>
            </w:pPr>
          </w:p>
        </w:tc>
        <w:tc>
          <w:tcPr>
            <w:tcW w:w="142" w:type="dxa"/>
            <w:tcBorders>
              <w:top w:val="nil"/>
              <w:bottom w:val="nil"/>
            </w:tcBorders>
          </w:tcPr>
          <w:p>
            <w:pPr>
              <w:rPr>
                <w:sz w:val="17"/>
                <w:szCs w:val="17"/>
              </w:rPr>
            </w:pPr>
          </w:p>
        </w:tc>
        <w:tc>
          <w:tcPr>
            <w:tcW w:w="2834" w:type="dxa"/>
            <w:tcBorders>
              <w:bottom w:val="single" w:sz="4" w:space="0" w:color="auto"/>
            </w:tcBorders>
          </w:tcPr>
          <w:p>
            <w:pPr>
              <w:tabs>
                <w:tab w:val="left" w:pos="2240"/>
              </w:tabs>
              <w:spacing w:before="40"/>
              <w:rPr>
                <w:sz w:val="17"/>
                <w:szCs w:val="17"/>
              </w:rPr>
            </w:pPr>
            <w:r>
              <w:rPr>
                <w:sz w:val="12"/>
                <w:szCs w:val="12"/>
              </w:rPr>
              <w:t xml:space="preserve">per annum, subject to review </w:t>
            </w:r>
            <w:r>
              <w:rPr>
                <w:sz w:val="17"/>
                <w:szCs w:val="17"/>
              </w:rPr>
              <w:tab/>
              <w:t>______</w:t>
            </w:r>
          </w:p>
          <w:p>
            <w:pPr>
              <w:rPr>
                <w:sz w:val="12"/>
                <w:szCs w:val="12"/>
              </w:rPr>
            </w:pPr>
            <w:r>
              <w:rPr>
                <w:sz w:val="12"/>
                <w:szCs w:val="12"/>
              </w:rPr>
              <w:t>from time to time</w:t>
            </w:r>
          </w:p>
        </w:tc>
        <w:tc>
          <w:tcPr>
            <w:tcW w:w="76" w:type="dxa"/>
            <w:tcBorders>
              <w:top w:val="nil"/>
              <w:bottom w:val="nil"/>
            </w:tcBorders>
          </w:tcPr>
          <w:p>
            <w:pPr>
              <w:ind w:left="-170" w:right="-311"/>
              <w:rPr>
                <w:sz w:val="17"/>
                <w:szCs w:val="17"/>
              </w:rPr>
            </w:pPr>
          </w:p>
        </w:tc>
      </w:tr>
      <w:tr>
        <w:tc>
          <w:tcPr>
            <w:tcW w:w="76" w:type="dxa"/>
            <w:tcBorders>
              <w:top w:val="nil"/>
              <w:bottom w:val="nil"/>
              <w:right w:val="nil"/>
            </w:tcBorders>
          </w:tcPr>
          <w:p>
            <w:pPr>
              <w:rPr>
                <w:sz w:val="12"/>
                <w:szCs w:val="12"/>
              </w:rPr>
            </w:pPr>
          </w:p>
        </w:tc>
        <w:tc>
          <w:tcPr>
            <w:tcW w:w="2440" w:type="dxa"/>
            <w:tcBorders>
              <w:left w:val="nil"/>
              <w:right w:val="nil"/>
            </w:tcBorders>
          </w:tcPr>
          <w:p>
            <w:pPr>
              <w:rPr>
                <w:sz w:val="12"/>
                <w:szCs w:val="12"/>
              </w:rPr>
            </w:pPr>
          </w:p>
        </w:tc>
        <w:tc>
          <w:tcPr>
            <w:tcW w:w="1479" w:type="dxa"/>
            <w:gridSpan w:val="3"/>
            <w:tcBorders>
              <w:left w:val="nil"/>
              <w:right w:val="nil"/>
            </w:tcBorders>
          </w:tcPr>
          <w:p>
            <w:pPr>
              <w:rPr>
                <w:sz w:val="12"/>
                <w:szCs w:val="12"/>
              </w:rPr>
            </w:pPr>
          </w:p>
        </w:tc>
        <w:tc>
          <w:tcPr>
            <w:tcW w:w="142" w:type="dxa"/>
            <w:tcBorders>
              <w:top w:val="nil"/>
              <w:left w:val="nil"/>
              <w:right w:val="nil"/>
            </w:tcBorders>
          </w:tcPr>
          <w:p>
            <w:pPr>
              <w:rPr>
                <w:sz w:val="12"/>
                <w:szCs w:val="12"/>
              </w:rPr>
            </w:pPr>
          </w:p>
        </w:tc>
        <w:tc>
          <w:tcPr>
            <w:tcW w:w="2834" w:type="dxa"/>
            <w:tcBorders>
              <w:left w:val="nil"/>
              <w:right w:val="nil"/>
            </w:tcBorders>
          </w:tcPr>
          <w:p>
            <w:pPr>
              <w:tabs>
                <w:tab w:val="left" w:pos="2240"/>
              </w:tabs>
              <w:rPr>
                <w:sz w:val="12"/>
                <w:szCs w:val="12"/>
              </w:rPr>
            </w:pPr>
          </w:p>
        </w:tc>
        <w:tc>
          <w:tcPr>
            <w:tcW w:w="76" w:type="dxa"/>
            <w:tcBorders>
              <w:top w:val="nil"/>
              <w:left w:val="nil"/>
              <w:bottom w:val="nil"/>
            </w:tcBorders>
          </w:tcPr>
          <w:p>
            <w:pPr>
              <w:ind w:left="-170" w:right="-311"/>
              <w:rPr>
                <w:sz w:val="12"/>
                <w:szCs w:val="12"/>
              </w:rPr>
            </w:pPr>
          </w:p>
        </w:tc>
      </w:tr>
      <w:tr>
        <w:tc>
          <w:tcPr>
            <w:tcW w:w="76" w:type="dxa"/>
            <w:tcBorders>
              <w:top w:val="nil"/>
              <w:bottom w:val="nil"/>
            </w:tcBorders>
          </w:tcPr>
          <w:p>
            <w:pPr>
              <w:rPr>
                <w:sz w:val="17"/>
                <w:szCs w:val="17"/>
              </w:rPr>
            </w:pPr>
          </w:p>
        </w:tc>
        <w:tc>
          <w:tcPr>
            <w:tcW w:w="6895" w:type="dxa"/>
            <w:gridSpan w:val="6"/>
          </w:tcPr>
          <w:p>
            <w:pPr>
              <w:rPr>
                <w:sz w:val="17"/>
                <w:szCs w:val="17"/>
              </w:rPr>
            </w:pPr>
            <w:r>
              <w:rPr>
                <w:sz w:val="17"/>
                <w:szCs w:val="17"/>
              </w:rPr>
              <w:t>Special Conditions</w:t>
            </w:r>
          </w:p>
          <w:p>
            <w:pPr>
              <w:spacing w:before="180"/>
              <w:rPr>
                <w:sz w:val="17"/>
                <w:szCs w:val="17"/>
              </w:rPr>
            </w:pPr>
          </w:p>
          <w:p>
            <w:pPr>
              <w:rPr>
                <w:sz w:val="17"/>
                <w:szCs w:val="17"/>
              </w:rPr>
            </w:pPr>
          </w:p>
        </w:tc>
        <w:tc>
          <w:tcPr>
            <w:tcW w:w="76" w:type="dxa"/>
            <w:tcBorders>
              <w:top w:val="nil"/>
              <w:bottom w:val="nil"/>
            </w:tcBorders>
          </w:tcPr>
          <w:p>
            <w:pPr>
              <w:ind w:left="-170" w:right="-311"/>
              <w:rPr>
                <w:sz w:val="17"/>
                <w:szCs w:val="17"/>
              </w:rPr>
            </w:pPr>
          </w:p>
        </w:tc>
      </w:tr>
      <w:tr>
        <w:tc>
          <w:tcPr>
            <w:tcW w:w="76" w:type="dxa"/>
            <w:tcBorders>
              <w:top w:val="nil"/>
              <w:bottom w:val="nil"/>
              <w:right w:val="nil"/>
            </w:tcBorders>
          </w:tcPr>
          <w:p>
            <w:pPr>
              <w:rPr>
                <w:sz w:val="17"/>
                <w:szCs w:val="17"/>
              </w:rPr>
            </w:pPr>
          </w:p>
        </w:tc>
        <w:tc>
          <w:tcPr>
            <w:tcW w:w="6895" w:type="dxa"/>
            <w:gridSpan w:val="6"/>
            <w:tcBorders>
              <w:left w:val="nil"/>
              <w:bottom w:val="single" w:sz="4" w:space="0" w:color="auto"/>
              <w:right w:val="nil"/>
            </w:tcBorders>
          </w:tcPr>
          <w:p>
            <w:pPr>
              <w:rPr>
                <w:sz w:val="17"/>
                <w:szCs w:val="17"/>
              </w:rPr>
            </w:pPr>
            <w:r>
              <w:rPr>
                <w:sz w:val="17"/>
                <w:szCs w:val="17"/>
              </w:rPr>
              <w:t>Period during which site may be occupied</w:t>
            </w:r>
          </w:p>
        </w:tc>
        <w:tc>
          <w:tcPr>
            <w:tcW w:w="76" w:type="dxa"/>
            <w:tcBorders>
              <w:top w:val="nil"/>
              <w:left w:val="nil"/>
              <w:bottom w:val="nil"/>
            </w:tcBorders>
          </w:tcPr>
          <w:p>
            <w:pPr>
              <w:ind w:left="-170" w:right="-311"/>
              <w:rPr>
                <w:sz w:val="17"/>
                <w:szCs w:val="17"/>
              </w:rPr>
            </w:pPr>
          </w:p>
        </w:tc>
      </w:tr>
      <w:tr>
        <w:tc>
          <w:tcPr>
            <w:tcW w:w="76" w:type="dxa"/>
            <w:tcBorders>
              <w:top w:val="nil"/>
              <w:bottom w:val="nil"/>
            </w:tcBorders>
          </w:tcPr>
          <w:p>
            <w:pPr>
              <w:rPr>
                <w:sz w:val="17"/>
                <w:szCs w:val="17"/>
              </w:rPr>
            </w:pPr>
          </w:p>
        </w:tc>
        <w:tc>
          <w:tcPr>
            <w:tcW w:w="3494" w:type="dxa"/>
            <w:gridSpan w:val="3"/>
            <w:tcBorders>
              <w:bottom w:val="single" w:sz="4" w:space="0" w:color="auto"/>
              <w:right w:val="nil"/>
            </w:tcBorders>
          </w:tcPr>
          <w:p>
            <w:pPr>
              <w:rPr>
                <w:sz w:val="17"/>
                <w:szCs w:val="17"/>
              </w:rPr>
            </w:pPr>
            <w:r>
              <w:rPr>
                <w:sz w:val="17"/>
                <w:szCs w:val="17"/>
              </w:rPr>
              <w:t>First day of Period: _______________________</w:t>
            </w:r>
          </w:p>
        </w:tc>
        <w:tc>
          <w:tcPr>
            <w:tcW w:w="3401" w:type="dxa"/>
            <w:gridSpan w:val="3"/>
            <w:tcBorders>
              <w:left w:val="nil"/>
              <w:bottom w:val="single" w:sz="4" w:space="0" w:color="auto"/>
            </w:tcBorders>
          </w:tcPr>
          <w:p>
            <w:pPr>
              <w:spacing w:after="40"/>
              <w:rPr>
                <w:sz w:val="17"/>
                <w:szCs w:val="17"/>
              </w:rPr>
            </w:pPr>
            <w:r>
              <w:rPr>
                <w:sz w:val="17"/>
                <w:szCs w:val="17"/>
              </w:rPr>
              <w:t>Last day of Period: _______________________</w:t>
            </w:r>
          </w:p>
        </w:tc>
        <w:tc>
          <w:tcPr>
            <w:tcW w:w="76" w:type="dxa"/>
            <w:tcBorders>
              <w:top w:val="nil"/>
              <w:bottom w:val="nil"/>
            </w:tcBorders>
          </w:tcPr>
          <w:p>
            <w:pPr>
              <w:ind w:left="-170" w:right="-311"/>
              <w:rPr>
                <w:sz w:val="17"/>
                <w:szCs w:val="17"/>
              </w:rPr>
            </w:pPr>
          </w:p>
        </w:tc>
      </w:tr>
      <w:tr>
        <w:tc>
          <w:tcPr>
            <w:tcW w:w="76" w:type="dxa"/>
            <w:tcBorders>
              <w:top w:val="nil"/>
              <w:bottom w:val="single" w:sz="4" w:space="0" w:color="auto"/>
              <w:right w:val="nil"/>
            </w:tcBorders>
          </w:tcPr>
          <w:p>
            <w:pPr>
              <w:rPr>
                <w:sz w:val="12"/>
                <w:szCs w:val="12"/>
              </w:rPr>
            </w:pPr>
          </w:p>
        </w:tc>
        <w:tc>
          <w:tcPr>
            <w:tcW w:w="2530" w:type="dxa"/>
            <w:gridSpan w:val="2"/>
            <w:tcBorders>
              <w:top w:val="single" w:sz="4" w:space="0" w:color="auto"/>
              <w:left w:val="nil"/>
              <w:bottom w:val="single" w:sz="4" w:space="0" w:color="auto"/>
              <w:right w:val="nil"/>
            </w:tcBorders>
          </w:tcPr>
          <w:p>
            <w:pPr>
              <w:rPr>
                <w:sz w:val="12"/>
                <w:szCs w:val="12"/>
              </w:rPr>
            </w:pPr>
          </w:p>
        </w:tc>
        <w:tc>
          <w:tcPr>
            <w:tcW w:w="964" w:type="dxa"/>
            <w:tcBorders>
              <w:top w:val="single" w:sz="4" w:space="0" w:color="auto"/>
              <w:left w:val="nil"/>
              <w:bottom w:val="single" w:sz="4" w:space="0" w:color="auto"/>
              <w:right w:val="nil"/>
            </w:tcBorders>
          </w:tcPr>
          <w:p>
            <w:pPr>
              <w:rPr>
                <w:sz w:val="12"/>
                <w:szCs w:val="12"/>
              </w:rPr>
            </w:pPr>
          </w:p>
        </w:tc>
        <w:tc>
          <w:tcPr>
            <w:tcW w:w="3401" w:type="dxa"/>
            <w:gridSpan w:val="3"/>
            <w:tcBorders>
              <w:top w:val="nil"/>
              <w:left w:val="nil"/>
              <w:bottom w:val="single" w:sz="4" w:space="0" w:color="auto"/>
              <w:right w:val="nil"/>
            </w:tcBorders>
          </w:tcPr>
          <w:p>
            <w:pPr>
              <w:rPr>
                <w:sz w:val="12"/>
                <w:szCs w:val="12"/>
              </w:rPr>
            </w:pPr>
          </w:p>
        </w:tc>
        <w:tc>
          <w:tcPr>
            <w:tcW w:w="76" w:type="dxa"/>
            <w:tcBorders>
              <w:top w:val="nil"/>
              <w:left w:val="nil"/>
              <w:bottom w:val="single" w:sz="4" w:space="0" w:color="auto"/>
            </w:tcBorders>
          </w:tcPr>
          <w:p>
            <w:pPr>
              <w:ind w:left="-170" w:right="-311"/>
              <w:rPr>
                <w:sz w:val="12"/>
                <w:szCs w:val="12"/>
              </w:rPr>
            </w:pPr>
          </w:p>
        </w:tc>
      </w:tr>
      <w:tr>
        <w:tc>
          <w:tcPr>
            <w:tcW w:w="7047" w:type="dxa"/>
            <w:gridSpan w:val="8"/>
            <w:tcBorders>
              <w:left w:val="nil"/>
              <w:bottom w:val="nil"/>
              <w:right w:val="nil"/>
            </w:tcBorders>
          </w:tcPr>
          <w:p>
            <w:pPr>
              <w:rPr>
                <w:sz w:val="12"/>
                <w:szCs w:val="12"/>
              </w:rPr>
            </w:pPr>
            <w:r>
              <w:rPr>
                <w:sz w:val="12"/>
                <w:szCs w:val="12"/>
              </w:rPr>
              <w:t>This permit is not valid without the signature of the Director General or his delegate.</w:t>
            </w:r>
          </w:p>
          <w:p>
            <w:pPr>
              <w:rPr>
                <w:sz w:val="17"/>
                <w:szCs w:val="17"/>
              </w:rPr>
            </w:pPr>
          </w:p>
          <w:p>
            <w:pPr>
              <w:tabs>
                <w:tab w:val="left" w:pos="5103"/>
              </w:tabs>
              <w:rPr>
                <w:sz w:val="17"/>
                <w:szCs w:val="17"/>
              </w:rPr>
            </w:pPr>
            <w:r>
              <w:rPr>
                <w:sz w:val="17"/>
                <w:szCs w:val="17"/>
              </w:rPr>
              <w:t>____________________________________________________</w:t>
            </w:r>
            <w:r>
              <w:rPr>
                <w:sz w:val="17"/>
                <w:szCs w:val="17"/>
              </w:rPr>
              <w:tab/>
              <w:t>______________________</w:t>
            </w:r>
          </w:p>
          <w:p>
            <w:pPr>
              <w:tabs>
                <w:tab w:val="left" w:pos="4820"/>
                <w:tab w:val="left" w:pos="5954"/>
              </w:tabs>
              <w:rPr>
                <w:sz w:val="17"/>
                <w:szCs w:val="17"/>
              </w:rPr>
            </w:pPr>
            <w:r>
              <w:rPr>
                <w:sz w:val="17"/>
                <w:szCs w:val="17"/>
              </w:rPr>
              <w:t>DIRECTOR GENERAL</w:t>
            </w:r>
            <w:r>
              <w:rPr>
                <w:sz w:val="17"/>
                <w:szCs w:val="17"/>
              </w:rPr>
              <w:tab/>
            </w:r>
            <w:r>
              <w:rPr>
                <w:sz w:val="17"/>
                <w:szCs w:val="17"/>
              </w:rPr>
              <w:tab/>
              <w:t>Date</w:t>
            </w:r>
          </w:p>
          <w:p>
            <w:pPr>
              <w:rPr>
                <w:sz w:val="17"/>
                <w:szCs w:val="17"/>
                <w:vertAlign w:val="superscript"/>
              </w:rPr>
            </w:pPr>
            <w:r>
              <w:rPr>
                <w:sz w:val="17"/>
                <w:szCs w:val="17"/>
              </w:rPr>
              <w:t>DEPARTMENT OF PARKS AND WILDLIFE</w:t>
            </w:r>
          </w:p>
        </w:tc>
      </w:tr>
    </w:tbl>
    <w:p>
      <w:pPr>
        <w:pStyle w:val="yFootnotesection"/>
        <w:spacing w:before="40"/>
      </w:pPr>
      <w:r>
        <w:tab/>
        <w:t>[Form 3 inserted in Gazette 3 Sep 2010 p. 4284; amended in Gazette 6 May 2016 p. 1382.]</w:t>
      </w:r>
    </w:p>
    <w:p>
      <w:pPr>
        <w:pStyle w:val="yFootnotesection"/>
        <w:spacing w:before="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decimal" w:pos="766"/>
        </w:tabs>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outlineLvl w:val="0"/>
      </w:pPr>
      <w:bookmarkStart w:id="650" w:name="_Toc436903879"/>
      <w:bookmarkStart w:id="651" w:name="_Toc436905821"/>
      <w:bookmarkStart w:id="652" w:name="_Toc436906042"/>
      <w:bookmarkStart w:id="653" w:name="_Toc437515795"/>
      <w:bookmarkStart w:id="654" w:name="_Toc447533395"/>
      <w:bookmarkStart w:id="655" w:name="_Toc456878303"/>
      <w:bookmarkStart w:id="656" w:name="_Toc456951820"/>
      <w:bookmarkStart w:id="657" w:name="_Toc458590404"/>
      <w:bookmarkStart w:id="658" w:name="_Toc458590626"/>
      <w:bookmarkStart w:id="659" w:name="_Toc458590847"/>
      <w:bookmarkStart w:id="660" w:name="_Toc462045502"/>
      <w:r>
        <w:t>Notes</w:t>
      </w:r>
      <w:bookmarkEnd w:id="650"/>
      <w:bookmarkEnd w:id="651"/>
      <w:bookmarkEnd w:id="652"/>
      <w:bookmarkEnd w:id="653"/>
      <w:bookmarkEnd w:id="654"/>
      <w:bookmarkEnd w:id="655"/>
      <w:bookmarkEnd w:id="656"/>
      <w:bookmarkEnd w:id="657"/>
      <w:bookmarkEnd w:id="658"/>
      <w:bookmarkEnd w:id="659"/>
      <w:bookmarkEnd w:id="660"/>
    </w:p>
    <w:p>
      <w:pPr>
        <w:pStyle w:val="nSubsection"/>
      </w:pPr>
      <w:r>
        <w:rPr>
          <w:vertAlign w:val="superscript"/>
        </w:rPr>
        <w:t>1</w:t>
      </w:r>
      <w:r>
        <w:tab/>
        <w:t xml:space="preserve">This reprint is a compilation as at 21 October 2016 of the </w:t>
      </w:r>
      <w:r>
        <w:rPr>
          <w:i/>
          <w:noProof/>
        </w:rPr>
        <w:t>Conservation and Land Management Regulations 2002</w:t>
      </w:r>
      <w:r>
        <w:t xml:space="preserve"> and includes the amendments made by the other written laws referred to in the following table.  The table also contains information about any reprint.</w:t>
      </w:r>
    </w:p>
    <w:p>
      <w:pPr>
        <w:pStyle w:val="nHeading3"/>
      </w:pPr>
      <w:bookmarkStart w:id="661" w:name="_Toc462045503"/>
      <w:r>
        <w:t>Compilation table</w:t>
      </w:r>
      <w:bookmarkEnd w:id="66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Conservation and Land Management Regulations 2002</w:t>
            </w:r>
          </w:p>
        </w:tc>
        <w:tc>
          <w:tcPr>
            <w:tcW w:w="1276" w:type="dxa"/>
            <w:tcBorders>
              <w:top w:val="single" w:sz="8" w:space="0" w:color="auto"/>
            </w:tcBorders>
          </w:tcPr>
          <w:p>
            <w:pPr>
              <w:pStyle w:val="nTable"/>
              <w:spacing w:after="40"/>
            </w:pPr>
            <w:r>
              <w:t>3 May 2002 p. 2233</w:t>
            </w:r>
            <w:r>
              <w:noBreakHyphen/>
              <w:t>308</w:t>
            </w:r>
          </w:p>
        </w:tc>
        <w:tc>
          <w:tcPr>
            <w:tcW w:w="2693" w:type="dxa"/>
            <w:tcBorders>
              <w:top w:val="single" w:sz="8" w:space="0" w:color="auto"/>
            </w:tcBorders>
          </w:tcPr>
          <w:p>
            <w:pPr>
              <w:pStyle w:val="nTable"/>
              <w:spacing w:after="40"/>
            </w:pPr>
            <w:r>
              <w:t>3 May 2002</w:t>
            </w:r>
          </w:p>
        </w:tc>
      </w:tr>
      <w:tr>
        <w:tc>
          <w:tcPr>
            <w:tcW w:w="3119" w:type="dxa"/>
          </w:tcPr>
          <w:p>
            <w:pPr>
              <w:pStyle w:val="nTable"/>
              <w:spacing w:after="40"/>
              <w:rPr>
                <w:i/>
              </w:rPr>
            </w:pPr>
            <w:r>
              <w:rPr>
                <w:i/>
              </w:rPr>
              <w:t>Conservation and Land Management Amendment Regulations 2002</w:t>
            </w:r>
          </w:p>
        </w:tc>
        <w:tc>
          <w:tcPr>
            <w:tcW w:w="1276" w:type="dxa"/>
          </w:tcPr>
          <w:p>
            <w:pPr>
              <w:pStyle w:val="nTable"/>
              <w:spacing w:after="40"/>
            </w:pPr>
            <w:r>
              <w:t>4 Oct 2002 p. 5065</w:t>
            </w:r>
            <w:r>
              <w:noBreakHyphen/>
              <w:t>6</w:t>
            </w:r>
          </w:p>
        </w:tc>
        <w:tc>
          <w:tcPr>
            <w:tcW w:w="2693" w:type="dxa"/>
          </w:tcPr>
          <w:p>
            <w:pPr>
              <w:pStyle w:val="nTable"/>
              <w:spacing w:after="40"/>
            </w:pPr>
            <w:r>
              <w:t>4 Oct 2002</w:t>
            </w:r>
          </w:p>
        </w:tc>
      </w:tr>
      <w:tr>
        <w:tc>
          <w:tcPr>
            <w:tcW w:w="3119" w:type="dxa"/>
          </w:tcPr>
          <w:p>
            <w:pPr>
              <w:pStyle w:val="nTable"/>
              <w:spacing w:after="40"/>
              <w:rPr>
                <w:i/>
              </w:rPr>
            </w:pPr>
            <w:r>
              <w:rPr>
                <w:i/>
              </w:rPr>
              <w:t>Conservation and Land Management Amendment Regulations 2004</w:t>
            </w:r>
          </w:p>
        </w:tc>
        <w:tc>
          <w:tcPr>
            <w:tcW w:w="1276" w:type="dxa"/>
          </w:tcPr>
          <w:p>
            <w:pPr>
              <w:pStyle w:val="nTable"/>
              <w:spacing w:after="40"/>
            </w:pPr>
            <w:r>
              <w:t>4 May 2004 p. 1383</w:t>
            </w:r>
          </w:p>
        </w:tc>
        <w:tc>
          <w:tcPr>
            <w:tcW w:w="2693" w:type="dxa"/>
          </w:tcPr>
          <w:p>
            <w:pPr>
              <w:pStyle w:val="nTable"/>
              <w:spacing w:after="40"/>
            </w:pPr>
            <w:r>
              <w:t>4 May 2004</w:t>
            </w:r>
          </w:p>
        </w:tc>
      </w:tr>
      <w:tr>
        <w:tc>
          <w:tcPr>
            <w:tcW w:w="3119" w:type="dxa"/>
          </w:tcPr>
          <w:p>
            <w:pPr>
              <w:pStyle w:val="nTable"/>
              <w:spacing w:after="40"/>
              <w:rPr>
                <w:i/>
              </w:rPr>
            </w:pPr>
            <w:r>
              <w:rPr>
                <w:i/>
              </w:rPr>
              <w:t>Conservation and Land Management Amendment Regulations (No. 2) 2004</w:t>
            </w:r>
          </w:p>
        </w:tc>
        <w:tc>
          <w:tcPr>
            <w:tcW w:w="1276" w:type="dxa"/>
          </w:tcPr>
          <w:p>
            <w:pPr>
              <w:pStyle w:val="nTable"/>
              <w:spacing w:after="40"/>
            </w:pPr>
            <w:r>
              <w:t>27 Jul 2004 p. 3077</w:t>
            </w:r>
            <w:r>
              <w:noBreakHyphen/>
              <w:t>8</w:t>
            </w:r>
          </w:p>
        </w:tc>
        <w:tc>
          <w:tcPr>
            <w:tcW w:w="2693" w:type="dxa"/>
          </w:tcPr>
          <w:p>
            <w:pPr>
              <w:pStyle w:val="nTable"/>
              <w:spacing w:after="40"/>
            </w:pPr>
            <w:r>
              <w:t>27 Jul 2004</w:t>
            </w:r>
          </w:p>
        </w:tc>
      </w:tr>
      <w:tr>
        <w:tc>
          <w:tcPr>
            <w:tcW w:w="3119" w:type="dxa"/>
          </w:tcPr>
          <w:p>
            <w:pPr>
              <w:pStyle w:val="nTable"/>
              <w:spacing w:after="40"/>
              <w:rPr>
                <w:i/>
              </w:rPr>
            </w:pPr>
            <w:r>
              <w:rPr>
                <w:i/>
              </w:rPr>
              <w:t>Conservation and Land Management Amendment Regulations 2006</w:t>
            </w:r>
          </w:p>
        </w:tc>
        <w:tc>
          <w:tcPr>
            <w:tcW w:w="1276" w:type="dxa"/>
          </w:tcPr>
          <w:p>
            <w:pPr>
              <w:pStyle w:val="nTable"/>
              <w:spacing w:after="40"/>
            </w:pPr>
            <w:r>
              <w:t>29 Sep 2006 p. 4297</w:t>
            </w:r>
            <w:r>
              <w:noBreakHyphen/>
              <w:t>334</w:t>
            </w:r>
          </w:p>
        </w:tc>
        <w:tc>
          <w:tcPr>
            <w:tcW w:w="2693" w:type="dxa"/>
          </w:tcPr>
          <w:p>
            <w:pPr>
              <w:pStyle w:val="nTable"/>
              <w:spacing w:after="40"/>
            </w:pPr>
            <w:r>
              <w:t>29 Sep 2006 (see r. 2)</w:t>
            </w:r>
          </w:p>
        </w:tc>
      </w:tr>
      <w:tr>
        <w:trPr>
          <w:cantSplit/>
        </w:trPr>
        <w:tc>
          <w:tcPr>
            <w:tcW w:w="7088" w:type="dxa"/>
            <w:gridSpan w:val="3"/>
          </w:tcPr>
          <w:p>
            <w:pPr>
              <w:pStyle w:val="nTable"/>
              <w:spacing w:after="40"/>
            </w:pPr>
            <w:r>
              <w:rPr>
                <w:b/>
                <w:bCs/>
              </w:rPr>
              <w:t xml:space="preserve">Reprint 1:  The </w:t>
            </w:r>
            <w:r>
              <w:rPr>
                <w:b/>
                <w:bCs/>
                <w:i/>
              </w:rPr>
              <w:t>Conservation and Land Management Regulations 2002</w:t>
            </w:r>
            <w:r>
              <w:rPr>
                <w:b/>
                <w:bCs/>
              </w:rPr>
              <w:t xml:space="preserve"> as at 3 Nov 2006</w:t>
            </w:r>
            <w:r>
              <w:t xml:space="preserve"> (includes amendments listed above)</w:t>
            </w:r>
          </w:p>
        </w:tc>
      </w:tr>
      <w:tr>
        <w:tc>
          <w:tcPr>
            <w:tcW w:w="3119" w:type="dxa"/>
          </w:tcPr>
          <w:p>
            <w:pPr>
              <w:pStyle w:val="nTable"/>
              <w:spacing w:after="40"/>
              <w:rPr>
                <w:i/>
              </w:rPr>
            </w:pPr>
            <w:r>
              <w:rPr>
                <w:i/>
              </w:rPr>
              <w:t>Conservation and Land Management Amendment Regulations 2007</w:t>
            </w:r>
          </w:p>
        </w:tc>
        <w:tc>
          <w:tcPr>
            <w:tcW w:w="1276" w:type="dxa"/>
          </w:tcPr>
          <w:p>
            <w:pPr>
              <w:pStyle w:val="nTable"/>
              <w:spacing w:after="40"/>
            </w:pPr>
            <w:r>
              <w:t>27 Feb 2007 p. 625</w:t>
            </w:r>
            <w:r>
              <w:noBreakHyphen/>
              <w:t>6</w:t>
            </w:r>
          </w:p>
        </w:tc>
        <w:tc>
          <w:tcPr>
            <w:tcW w:w="2693" w:type="dxa"/>
          </w:tcPr>
          <w:p>
            <w:pPr>
              <w:pStyle w:val="nTable"/>
              <w:spacing w:after="40"/>
            </w:pPr>
            <w:r>
              <w:t>27 Feb 2007</w:t>
            </w:r>
          </w:p>
        </w:tc>
      </w:tr>
      <w:tr>
        <w:tc>
          <w:tcPr>
            <w:tcW w:w="3119" w:type="dxa"/>
          </w:tcPr>
          <w:p>
            <w:pPr>
              <w:pStyle w:val="nTable"/>
              <w:spacing w:after="40"/>
              <w:rPr>
                <w:i/>
              </w:rPr>
            </w:pPr>
            <w:r>
              <w:rPr>
                <w:i/>
              </w:rPr>
              <w:t>Conservation and Land Management Amendment Regulations (No. 2) 2007</w:t>
            </w:r>
          </w:p>
        </w:tc>
        <w:tc>
          <w:tcPr>
            <w:tcW w:w="1276" w:type="dxa"/>
          </w:tcPr>
          <w:p>
            <w:pPr>
              <w:pStyle w:val="nTable"/>
              <w:spacing w:after="40"/>
            </w:pPr>
            <w:r>
              <w:t>29 Jan 2008 p. 241</w:t>
            </w:r>
            <w:r>
              <w:noBreakHyphen/>
              <w:t>2</w:t>
            </w:r>
          </w:p>
        </w:tc>
        <w:tc>
          <w:tcPr>
            <w:tcW w:w="2693" w:type="dxa"/>
          </w:tcPr>
          <w:p>
            <w:pPr>
              <w:pStyle w:val="nTable"/>
              <w:spacing w:after="40"/>
            </w:pPr>
            <w:r>
              <w:t>r. 1 and 2: 29 Jan 2008 (see r. 2(a));</w:t>
            </w:r>
            <w:r>
              <w:br/>
              <w:t>Regulations other than r. 1 and 2: 30 Jan 2008 (see r. 2(b))</w:t>
            </w:r>
          </w:p>
        </w:tc>
      </w:tr>
      <w:tr>
        <w:tc>
          <w:tcPr>
            <w:tcW w:w="3119" w:type="dxa"/>
          </w:tcPr>
          <w:p>
            <w:pPr>
              <w:pStyle w:val="nTable"/>
              <w:spacing w:after="40"/>
              <w:rPr>
                <w:i/>
              </w:rPr>
            </w:pPr>
            <w:r>
              <w:rPr>
                <w:i/>
              </w:rPr>
              <w:t xml:space="preserve">Financial Management (Transitional Provisions) Regulations 2009 </w:t>
            </w:r>
            <w:r>
              <w:rPr>
                <w:iCs/>
              </w:rPr>
              <w:t>r. 3</w:t>
            </w:r>
            <w:r>
              <w:rPr>
                <w:iCs/>
                <w:vertAlign w:val="superscript"/>
              </w:rPr>
              <w:t> 4</w:t>
            </w:r>
          </w:p>
        </w:tc>
        <w:tc>
          <w:tcPr>
            <w:tcW w:w="1276" w:type="dxa"/>
          </w:tcPr>
          <w:p>
            <w:pPr>
              <w:pStyle w:val="nTable"/>
              <w:spacing w:after="40"/>
            </w:pPr>
            <w:r>
              <w:t>27 Feb 2009 p. 529</w:t>
            </w:r>
            <w:r>
              <w:noBreakHyphen/>
              <w:t>30</w:t>
            </w:r>
          </w:p>
        </w:tc>
        <w:tc>
          <w:tcPr>
            <w:tcW w:w="2693" w:type="dxa"/>
          </w:tcPr>
          <w:p>
            <w:pPr>
              <w:pStyle w:val="nTable"/>
              <w:spacing w:after="40"/>
            </w:pPr>
            <w:r>
              <w:t>28 Feb 2009 (see r. 2(b))</w:t>
            </w:r>
          </w:p>
        </w:tc>
      </w:tr>
      <w:tr>
        <w:tc>
          <w:tcPr>
            <w:tcW w:w="3119" w:type="dxa"/>
          </w:tcPr>
          <w:p>
            <w:pPr>
              <w:pStyle w:val="nTable"/>
              <w:spacing w:after="40"/>
              <w:rPr>
                <w:i/>
              </w:rPr>
            </w:pPr>
            <w:r>
              <w:rPr>
                <w:i/>
              </w:rPr>
              <w:t>Conservation and Land Management Amendment Regulations 2009</w:t>
            </w:r>
          </w:p>
        </w:tc>
        <w:tc>
          <w:tcPr>
            <w:tcW w:w="1276" w:type="dxa"/>
          </w:tcPr>
          <w:p>
            <w:pPr>
              <w:pStyle w:val="nTable"/>
              <w:spacing w:after="40"/>
            </w:pPr>
            <w:r>
              <w:t>28 Aug 2009 p. 3354</w:t>
            </w:r>
            <w:r>
              <w:noBreakHyphen/>
              <w:t>7</w:t>
            </w:r>
          </w:p>
        </w:tc>
        <w:tc>
          <w:tcPr>
            <w:tcW w:w="2693" w:type="dxa"/>
          </w:tcPr>
          <w:p>
            <w:pPr>
              <w:pStyle w:val="nTable"/>
              <w:spacing w:after="40"/>
            </w:pPr>
            <w:r>
              <w:t>r. 1 and 2: 28 Aug 2009 (see r. 2(a));</w:t>
            </w:r>
            <w:r>
              <w:br/>
              <w:t>Regulations other than r. 1 and 2: 1 Sep 2009 (see r. 2(b))</w:t>
            </w:r>
          </w:p>
        </w:tc>
      </w:tr>
      <w:tr>
        <w:tc>
          <w:tcPr>
            <w:tcW w:w="3119" w:type="dxa"/>
          </w:tcPr>
          <w:p>
            <w:pPr>
              <w:pStyle w:val="nTable"/>
              <w:spacing w:after="40"/>
              <w:rPr>
                <w:i/>
              </w:rPr>
            </w:pPr>
            <w:r>
              <w:rPr>
                <w:i/>
              </w:rPr>
              <w:t>Conservation and Land Management Amendment Regulations (No. 2) 2010</w:t>
            </w:r>
          </w:p>
        </w:tc>
        <w:tc>
          <w:tcPr>
            <w:tcW w:w="1276" w:type="dxa"/>
          </w:tcPr>
          <w:p>
            <w:pPr>
              <w:pStyle w:val="nTable"/>
              <w:spacing w:after="40"/>
            </w:pPr>
            <w:r>
              <w:t>3 Sep 2010 p. 4278</w:t>
            </w:r>
            <w:r>
              <w:noBreakHyphen/>
              <w:t>84</w:t>
            </w:r>
          </w:p>
        </w:tc>
        <w:tc>
          <w:tcPr>
            <w:tcW w:w="2693" w:type="dxa"/>
          </w:tcPr>
          <w:p>
            <w:pPr>
              <w:pStyle w:val="nTable"/>
              <w:spacing w:after="40"/>
            </w:pPr>
            <w:r>
              <w:rPr>
                <w:snapToGrid w:val="0"/>
              </w:rPr>
              <w:t>r. 1 and 2: 3 Sep 2010 (see r. 2(a));</w:t>
            </w:r>
            <w:r>
              <w:rPr>
                <w:snapToGrid w:val="0"/>
              </w:rPr>
              <w:br/>
              <w:t xml:space="preserve">Regulations other than r. 1 and 2: 4 Sep 2010 (see r. 2(b) and </w:t>
            </w:r>
            <w:r>
              <w:rPr>
                <w:i/>
                <w:iCs/>
                <w:snapToGrid w:val="0"/>
              </w:rPr>
              <w:t>Gazette</w:t>
            </w:r>
            <w:r>
              <w:rPr>
                <w:snapToGrid w:val="0"/>
              </w:rPr>
              <w:t xml:space="preserve"> 3 Sep 2010 p. 4273)</w:t>
            </w:r>
          </w:p>
        </w:tc>
      </w:tr>
      <w:tr>
        <w:trPr>
          <w:cantSplit/>
        </w:trPr>
        <w:tc>
          <w:tcPr>
            <w:tcW w:w="7088" w:type="dxa"/>
            <w:gridSpan w:val="3"/>
          </w:tcPr>
          <w:p>
            <w:pPr>
              <w:pStyle w:val="nTable"/>
              <w:spacing w:after="40"/>
              <w:rPr>
                <w:snapToGrid w:val="0"/>
                <w:spacing w:val="-2"/>
              </w:rPr>
            </w:pPr>
            <w:r>
              <w:rPr>
                <w:b/>
                <w:bCs/>
              </w:rPr>
              <w:t xml:space="preserve">Reprint 2:  The </w:t>
            </w:r>
            <w:r>
              <w:rPr>
                <w:b/>
                <w:bCs/>
                <w:i/>
              </w:rPr>
              <w:t>Conservation and Land Management Regulations 2002</w:t>
            </w:r>
            <w:r>
              <w:rPr>
                <w:b/>
                <w:bCs/>
              </w:rPr>
              <w:t xml:space="preserve"> as at 5 Nov 2010</w:t>
            </w:r>
            <w:r>
              <w:t xml:space="preserve"> (includes amendments listed above)</w:t>
            </w:r>
          </w:p>
        </w:tc>
      </w:tr>
      <w:tr>
        <w:tc>
          <w:tcPr>
            <w:tcW w:w="3119" w:type="dxa"/>
          </w:tcPr>
          <w:p>
            <w:pPr>
              <w:pStyle w:val="nTable"/>
              <w:keepNext/>
              <w:spacing w:after="40"/>
              <w:rPr>
                <w:i/>
              </w:rPr>
            </w:pPr>
            <w:r>
              <w:rPr>
                <w:i/>
              </w:rPr>
              <w:t>Conservation and Land Management Amendment Regulations (No. 3) 2010</w:t>
            </w:r>
          </w:p>
        </w:tc>
        <w:tc>
          <w:tcPr>
            <w:tcW w:w="1276" w:type="dxa"/>
          </w:tcPr>
          <w:p>
            <w:pPr>
              <w:pStyle w:val="nTable"/>
              <w:keepNext/>
              <w:spacing w:after="40"/>
            </w:pPr>
            <w:r>
              <w:t>3 Dec 2010 p. 6045</w:t>
            </w:r>
            <w:r>
              <w:noBreakHyphen/>
              <w:t>54</w:t>
            </w:r>
          </w:p>
        </w:tc>
        <w:tc>
          <w:tcPr>
            <w:tcW w:w="2693" w:type="dxa"/>
          </w:tcPr>
          <w:p>
            <w:pPr>
              <w:pStyle w:val="nTable"/>
              <w:keepNext/>
              <w:spacing w:after="40"/>
            </w:pPr>
            <w:r>
              <w:rPr>
                <w:snapToGrid w:val="0"/>
              </w:rPr>
              <w:t>r. 1 and 2: 3 Dec 2010 (see r. 2(a));</w:t>
            </w:r>
            <w:r>
              <w:rPr>
                <w:snapToGrid w:val="0"/>
              </w:rPr>
              <w:br/>
              <w:t>Regulations other than r. 1 and 2: 4 Dec 2010 (see r. 2(b))</w:t>
            </w:r>
          </w:p>
        </w:tc>
      </w:tr>
      <w:tr>
        <w:tc>
          <w:tcPr>
            <w:tcW w:w="3119" w:type="dxa"/>
          </w:tcPr>
          <w:p>
            <w:pPr>
              <w:pStyle w:val="nTable"/>
              <w:spacing w:after="40"/>
              <w:rPr>
                <w:i/>
              </w:rPr>
            </w:pPr>
            <w:r>
              <w:rPr>
                <w:i/>
              </w:rPr>
              <w:t>Conservation and Land Management Amendment Regulations (No. 2) 2011</w:t>
            </w:r>
          </w:p>
        </w:tc>
        <w:tc>
          <w:tcPr>
            <w:tcW w:w="1276" w:type="dxa"/>
          </w:tcPr>
          <w:p>
            <w:pPr>
              <w:pStyle w:val="nTable"/>
              <w:spacing w:after="40"/>
            </w:pPr>
            <w:r>
              <w:t>30 Sep 2011 p. 3897-8</w:t>
            </w:r>
          </w:p>
        </w:tc>
        <w:tc>
          <w:tcPr>
            <w:tcW w:w="2693" w:type="dxa"/>
          </w:tcPr>
          <w:p>
            <w:pPr>
              <w:pStyle w:val="nTable"/>
              <w:spacing w:after="40"/>
              <w:rPr>
                <w:snapToGrid w:val="0"/>
              </w:rPr>
            </w:pPr>
            <w:r>
              <w:rPr>
                <w:snapToGrid w:val="0"/>
              </w:rPr>
              <w:t>r. 1 and 2: 30 Sep 2011 (see r. 2(a));</w:t>
            </w:r>
            <w:r>
              <w:rPr>
                <w:snapToGrid w:val="0"/>
              </w:rPr>
              <w:br/>
              <w:t>Regulations other than r. 1 and 2: 1 Oct 2011 (see r. 2(b))</w:t>
            </w:r>
          </w:p>
        </w:tc>
      </w:tr>
      <w:tr>
        <w:tc>
          <w:tcPr>
            <w:tcW w:w="3119" w:type="dxa"/>
          </w:tcPr>
          <w:p>
            <w:pPr>
              <w:pStyle w:val="nTable"/>
              <w:spacing w:after="40"/>
              <w:rPr>
                <w:i/>
              </w:rPr>
            </w:pPr>
            <w:r>
              <w:rPr>
                <w:i/>
              </w:rPr>
              <w:t>Conservation and Land Management Amendment Regulations 2012</w:t>
            </w:r>
          </w:p>
        </w:tc>
        <w:tc>
          <w:tcPr>
            <w:tcW w:w="1276" w:type="dxa"/>
          </w:tcPr>
          <w:p>
            <w:pPr>
              <w:pStyle w:val="nTable"/>
              <w:spacing w:after="40"/>
            </w:pPr>
            <w:r>
              <w:t>7 Dec 2012 p. 5964-74</w:t>
            </w:r>
          </w:p>
        </w:tc>
        <w:tc>
          <w:tcPr>
            <w:tcW w:w="2693" w:type="dxa"/>
          </w:tcPr>
          <w:p>
            <w:pPr>
              <w:pStyle w:val="nTable"/>
              <w:spacing w:after="40"/>
              <w:rPr>
                <w:snapToGrid w:val="0"/>
              </w:rPr>
            </w:pPr>
            <w:r>
              <w:rPr>
                <w:snapToGrid w:val="0"/>
              </w:rPr>
              <w:t>r. 1 and 2: 7 Dec 2012 (see r. 2(a));</w:t>
            </w:r>
            <w:r>
              <w:rPr>
                <w:snapToGrid w:val="0"/>
              </w:rPr>
              <w:br/>
              <w:t xml:space="preserve">Regulations other than r. 1 and 2: 8 Dec 2012 (see r. 2(b) and </w:t>
            </w:r>
            <w:r>
              <w:rPr>
                <w:i/>
                <w:snapToGrid w:val="0"/>
              </w:rPr>
              <w:t>Gazette</w:t>
            </w:r>
            <w:r>
              <w:rPr>
                <w:snapToGrid w:val="0"/>
              </w:rPr>
              <w:t xml:space="preserve"> 7 Dec 2012 p. 5963)</w:t>
            </w:r>
          </w:p>
        </w:tc>
      </w:tr>
      <w:tr>
        <w:tc>
          <w:tcPr>
            <w:tcW w:w="3119" w:type="dxa"/>
            <w:shd w:val="clear" w:color="auto" w:fill="auto"/>
          </w:tcPr>
          <w:p>
            <w:pPr>
              <w:pStyle w:val="nTable"/>
              <w:spacing w:after="40"/>
              <w:rPr>
                <w:i/>
              </w:rPr>
            </w:pPr>
            <w:r>
              <w:rPr>
                <w:i/>
              </w:rPr>
              <w:t>Conservation and Land Management Amendment Regulations 2013</w:t>
            </w:r>
          </w:p>
        </w:tc>
        <w:tc>
          <w:tcPr>
            <w:tcW w:w="1276" w:type="dxa"/>
            <w:shd w:val="clear" w:color="auto" w:fill="auto"/>
          </w:tcPr>
          <w:p>
            <w:pPr>
              <w:pStyle w:val="nTable"/>
              <w:spacing w:after="40"/>
            </w:pPr>
            <w:r>
              <w:t>5 Feb 2013 p. 833</w:t>
            </w:r>
            <w:r>
              <w:noBreakHyphen/>
              <w:t>4</w:t>
            </w:r>
          </w:p>
        </w:tc>
        <w:tc>
          <w:tcPr>
            <w:tcW w:w="2693" w:type="dxa"/>
            <w:shd w:val="clear" w:color="auto" w:fill="auto"/>
          </w:tcPr>
          <w:p>
            <w:pPr>
              <w:pStyle w:val="nTable"/>
              <w:spacing w:after="40"/>
              <w:rPr>
                <w:snapToGrid w:val="0"/>
              </w:rPr>
            </w:pPr>
            <w:r>
              <w:rPr>
                <w:snapToGrid w:val="0"/>
              </w:rPr>
              <w:t>r. 1 and 2: 5 Feb 2013 (see r. 2(a));</w:t>
            </w:r>
            <w:r>
              <w:rPr>
                <w:snapToGrid w:val="0"/>
              </w:rPr>
              <w:br/>
              <w:t xml:space="preserve">Regulations other than r. 1 and 2: </w:t>
            </w:r>
            <w:r>
              <w:t xml:space="preserve">1 May 2013 (see r. 2(b)(i) and </w:t>
            </w:r>
            <w:r>
              <w:rPr>
                <w:i/>
              </w:rPr>
              <w:t>Gazette</w:t>
            </w:r>
            <w:r>
              <w:t xml:space="preserve"> 5 Feb 2013 p. 823)</w:t>
            </w:r>
          </w:p>
        </w:tc>
      </w:tr>
      <w:tr>
        <w:tc>
          <w:tcPr>
            <w:tcW w:w="7088" w:type="dxa"/>
            <w:gridSpan w:val="3"/>
            <w:shd w:val="clear" w:color="auto" w:fill="auto"/>
          </w:tcPr>
          <w:p>
            <w:pPr>
              <w:pStyle w:val="nTable"/>
              <w:spacing w:after="40"/>
              <w:rPr>
                <w:snapToGrid w:val="0"/>
              </w:rPr>
            </w:pPr>
            <w:r>
              <w:rPr>
                <w:b/>
                <w:bCs/>
              </w:rPr>
              <w:t xml:space="preserve">Reprint 3:  The </w:t>
            </w:r>
            <w:r>
              <w:rPr>
                <w:b/>
                <w:bCs/>
                <w:i/>
              </w:rPr>
              <w:t>Conservation and Land Management Regulations 2002</w:t>
            </w:r>
            <w:r>
              <w:rPr>
                <w:b/>
                <w:bCs/>
              </w:rPr>
              <w:t xml:space="preserve"> as at 12 Jul 2013</w:t>
            </w:r>
            <w:r>
              <w:t xml:space="preserve"> (includes amendments listed above)</w:t>
            </w:r>
          </w:p>
        </w:tc>
      </w:tr>
      <w:tr>
        <w:tc>
          <w:tcPr>
            <w:tcW w:w="3119" w:type="dxa"/>
            <w:shd w:val="clear" w:color="auto" w:fill="auto"/>
          </w:tcPr>
          <w:p>
            <w:pPr>
              <w:pStyle w:val="nTable"/>
              <w:spacing w:after="40"/>
              <w:rPr>
                <w:i/>
              </w:rPr>
            </w:pPr>
            <w:r>
              <w:rPr>
                <w:i/>
              </w:rPr>
              <w:t>Conservation and Land Management Amendment Regulations (No. 3) 2013</w:t>
            </w:r>
          </w:p>
        </w:tc>
        <w:tc>
          <w:tcPr>
            <w:tcW w:w="1276" w:type="dxa"/>
            <w:shd w:val="clear" w:color="auto" w:fill="auto"/>
          </w:tcPr>
          <w:p>
            <w:pPr>
              <w:pStyle w:val="nTable"/>
              <w:spacing w:after="40"/>
            </w:pPr>
            <w:r>
              <w:t>27 Sep 2013 p. 4525-9</w:t>
            </w:r>
          </w:p>
        </w:tc>
        <w:tc>
          <w:tcPr>
            <w:tcW w:w="2693" w:type="dxa"/>
            <w:shd w:val="clear" w:color="auto" w:fill="auto"/>
          </w:tcPr>
          <w:p>
            <w:pPr>
              <w:pStyle w:val="nTable"/>
              <w:spacing w:after="40"/>
              <w:rPr>
                <w:snapToGrid w:val="0"/>
              </w:rPr>
            </w:pPr>
            <w:r>
              <w:rPr>
                <w:snapToGrid w:val="0"/>
              </w:rPr>
              <w:t>r. 1 and 2: 27 Sep 2013 (see r. 2(a));</w:t>
            </w:r>
            <w:r>
              <w:rPr>
                <w:snapToGrid w:val="0"/>
              </w:rPr>
              <w:br/>
              <w:t>Regulations other than r. 1 and 2: 1 Oct </w:t>
            </w:r>
            <w:r>
              <w:t>2013 (see r. 2(b))</w:t>
            </w:r>
          </w:p>
        </w:tc>
      </w:tr>
      <w:tr>
        <w:tc>
          <w:tcPr>
            <w:tcW w:w="3119" w:type="dxa"/>
            <w:shd w:val="clear" w:color="auto" w:fill="auto"/>
          </w:tcPr>
          <w:p>
            <w:pPr>
              <w:pStyle w:val="nTable"/>
              <w:spacing w:after="40"/>
              <w:rPr>
                <w:i/>
              </w:rPr>
            </w:pPr>
            <w:r>
              <w:rPr>
                <w:i/>
              </w:rPr>
              <w:t>Conservation and Land Management Amendment Regulations (No. 2) 2014</w:t>
            </w:r>
          </w:p>
        </w:tc>
        <w:tc>
          <w:tcPr>
            <w:tcW w:w="1276" w:type="dxa"/>
            <w:shd w:val="clear" w:color="auto" w:fill="auto"/>
          </w:tcPr>
          <w:p>
            <w:pPr>
              <w:pStyle w:val="nTable"/>
              <w:spacing w:after="40"/>
            </w:pPr>
            <w:r>
              <w:t>19 Sep 2014 p. 3330</w:t>
            </w:r>
            <w:r>
              <w:noBreakHyphen/>
              <w:t>7</w:t>
            </w:r>
          </w:p>
        </w:tc>
        <w:tc>
          <w:tcPr>
            <w:tcW w:w="2693" w:type="dxa"/>
            <w:shd w:val="clear" w:color="auto" w:fill="auto"/>
          </w:tcPr>
          <w:p>
            <w:pPr>
              <w:pStyle w:val="nTable"/>
              <w:spacing w:after="40"/>
              <w:rPr>
                <w:snapToGrid w:val="0"/>
              </w:rPr>
            </w:pPr>
            <w:r>
              <w:rPr>
                <w:snapToGrid w:val="0"/>
              </w:rPr>
              <w:t>r. 1 and 2: 19 Sep 2014 (see r. 2(a));</w:t>
            </w:r>
            <w:r>
              <w:rPr>
                <w:snapToGrid w:val="0"/>
              </w:rPr>
              <w:br/>
              <w:t>Regulations other than r. 1 and 2: 20 Sep </w:t>
            </w:r>
            <w:r>
              <w:t>2014 (see r. 2(b))</w:t>
            </w:r>
          </w:p>
        </w:tc>
      </w:tr>
      <w:tr>
        <w:tc>
          <w:tcPr>
            <w:tcW w:w="3119" w:type="dxa"/>
            <w:shd w:val="clear" w:color="auto" w:fill="auto"/>
          </w:tcPr>
          <w:p>
            <w:pPr>
              <w:pStyle w:val="nTable"/>
              <w:spacing w:after="40"/>
              <w:rPr>
                <w:i/>
              </w:rPr>
            </w:pPr>
            <w:r>
              <w:rPr>
                <w:i/>
              </w:rPr>
              <w:t>Conservation and Land Management Amendment Regulations 2014</w:t>
            </w:r>
          </w:p>
        </w:tc>
        <w:tc>
          <w:tcPr>
            <w:tcW w:w="1276" w:type="dxa"/>
            <w:shd w:val="clear" w:color="auto" w:fill="auto"/>
          </w:tcPr>
          <w:p>
            <w:pPr>
              <w:pStyle w:val="nTable"/>
              <w:spacing w:after="40"/>
            </w:pPr>
            <w:r>
              <w:t>8 Jan 2015 p. 135</w:t>
            </w:r>
            <w:r>
              <w:noBreakHyphen/>
              <w:t>6</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9" w:type="dxa"/>
            <w:shd w:val="clear" w:color="auto" w:fill="auto"/>
          </w:tcPr>
          <w:p>
            <w:pPr>
              <w:pStyle w:val="nTable"/>
              <w:spacing w:after="40"/>
              <w:rPr>
                <w:i/>
              </w:rPr>
            </w:pPr>
            <w:r>
              <w:rPr>
                <w:i/>
              </w:rPr>
              <w:t>Conservation and Land Management Amendment Regulations 2015</w:t>
            </w:r>
          </w:p>
        </w:tc>
        <w:tc>
          <w:tcPr>
            <w:tcW w:w="1276" w:type="dxa"/>
            <w:shd w:val="clear" w:color="auto" w:fill="auto"/>
          </w:tcPr>
          <w:p>
            <w:pPr>
              <w:pStyle w:val="nTable"/>
              <w:spacing w:after="40"/>
            </w:pPr>
            <w:r>
              <w:t>24 Mar 2015 p. 1033</w:t>
            </w:r>
            <w:r>
              <w:noBreakHyphen/>
              <w:t>44</w:t>
            </w:r>
          </w:p>
        </w:tc>
        <w:tc>
          <w:tcPr>
            <w:tcW w:w="2693" w:type="dxa"/>
            <w:shd w:val="clear" w:color="auto" w:fill="auto"/>
          </w:tcPr>
          <w:p>
            <w:pPr>
              <w:pStyle w:val="nTable"/>
              <w:spacing w:after="40"/>
              <w:rPr>
                <w:snapToGrid w:val="0"/>
              </w:rPr>
            </w:pPr>
            <w:r>
              <w:rPr>
                <w:snapToGrid w:val="0"/>
              </w:rPr>
              <w:t>r. 1 and 2: 24 Mar 2015 (see r. 2(a));</w:t>
            </w:r>
            <w:r>
              <w:rPr>
                <w:snapToGrid w:val="0"/>
              </w:rPr>
              <w:br/>
              <w:t>Regulations other than r. 1 and 2: 25 Mar 2015 (see r. 2(b))</w:t>
            </w:r>
          </w:p>
        </w:tc>
      </w:tr>
      <w:tr>
        <w:tc>
          <w:tcPr>
            <w:tcW w:w="3119" w:type="dxa"/>
            <w:shd w:val="clear" w:color="auto" w:fill="auto"/>
          </w:tcPr>
          <w:p>
            <w:pPr>
              <w:pStyle w:val="nTable"/>
              <w:spacing w:after="40"/>
              <w:rPr>
                <w:i/>
              </w:rPr>
            </w:pPr>
            <w:r>
              <w:rPr>
                <w:i/>
              </w:rPr>
              <w:t>Conservation and Land Management Amendment Regulations (No. 2) 2015</w:t>
            </w:r>
          </w:p>
        </w:tc>
        <w:tc>
          <w:tcPr>
            <w:tcW w:w="1276" w:type="dxa"/>
            <w:shd w:val="clear" w:color="auto" w:fill="auto"/>
          </w:tcPr>
          <w:p>
            <w:pPr>
              <w:pStyle w:val="nTable"/>
              <w:spacing w:after="40"/>
            </w:pPr>
            <w:r>
              <w:t>19 Jun 2015 p. 2095</w:t>
            </w:r>
            <w:r>
              <w:noBreakHyphen/>
              <w:t>6</w:t>
            </w:r>
          </w:p>
        </w:tc>
        <w:tc>
          <w:tcPr>
            <w:tcW w:w="2693" w:type="dxa"/>
            <w:shd w:val="clear" w:color="auto" w:fill="auto"/>
          </w:tcPr>
          <w:p>
            <w:pPr>
              <w:pStyle w:val="nTable"/>
              <w:spacing w:after="40"/>
              <w:rPr>
                <w:snapToGrid w:val="0"/>
              </w:rPr>
            </w:pPr>
            <w:r>
              <w:rPr>
                <w:snapToGrid w:val="0"/>
              </w:rPr>
              <w:t>r. 1 and 2: 19 Jun 2015 (see r. 2(a));</w:t>
            </w:r>
            <w:r>
              <w:rPr>
                <w:snapToGrid w:val="0"/>
              </w:rPr>
              <w:br/>
              <w:t>Regulations other than r. 1 and 2: 1 Jul 2015 (see r. 2(b))</w:t>
            </w:r>
          </w:p>
        </w:tc>
      </w:tr>
      <w:tr>
        <w:trPr>
          <w:cantSplit/>
        </w:trPr>
        <w:tc>
          <w:tcPr>
            <w:tcW w:w="3119" w:type="dxa"/>
            <w:shd w:val="clear" w:color="auto" w:fill="auto"/>
          </w:tcPr>
          <w:p>
            <w:pPr>
              <w:pStyle w:val="nTable"/>
              <w:spacing w:after="40"/>
              <w:rPr>
                <w:i/>
              </w:rPr>
            </w:pPr>
            <w:r>
              <w:rPr>
                <w:i/>
              </w:rPr>
              <w:t>Conservation and Land Management Amendment Regulations (No. 4) 2015</w:t>
            </w:r>
          </w:p>
        </w:tc>
        <w:tc>
          <w:tcPr>
            <w:tcW w:w="1276" w:type="dxa"/>
            <w:shd w:val="clear" w:color="auto" w:fill="auto"/>
          </w:tcPr>
          <w:p>
            <w:pPr>
              <w:pStyle w:val="nTable"/>
              <w:spacing w:after="40"/>
            </w:pPr>
            <w:r>
              <w:t>14 Jul 2015 p. 2787</w:t>
            </w:r>
            <w:r>
              <w:noBreakHyphen/>
              <w:t>9</w:t>
            </w:r>
          </w:p>
        </w:tc>
        <w:tc>
          <w:tcPr>
            <w:tcW w:w="2693" w:type="dxa"/>
            <w:shd w:val="clear" w:color="auto" w:fill="auto"/>
          </w:tcPr>
          <w:p>
            <w:pPr>
              <w:pStyle w:val="nTable"/>
              <w:spacing w:after="40"/>
              <w:rPr>
                <w:snapToGrid w:val="0"/>
              </w:rPr>
            </w:pPr>
            <w:r>
              <w:t>r. 1 and 2: 14 Jul 2015 (see r. 2(a));</w:t>
            </w:r>
            <w:r>
              <w:br/>
              <w:t>Regulations other than r. 1 and 2: 1 Sep 2015 (see r. 2(b))</w:t>
            </w:r>
          </w:p>
        </w:tc>
      </w:tr>
      <w:tr>
        <w:tc>
          <w:tcPr>
            <w:tcW w:w="3119" w:type="dxa"/>
            <w:shd w:val="clear" w:color="auto" w:fill="auto"/>
          </w:tcPr>
          <w:p>
            <w:pPr>
              <w:pStyle w:val="nTable"/>
              <w:spacing w:after="40"/>
              <w:rPr>
                <w:i/>
              </w:rPr>
            </w:pPr>
            <w:r>
              <w:rPr>
                <w:i/>
              </w:rPr>
              <w:t>Conservation and Land Management Amendment Regulations (No. 3) 2015</w:t>
            </w:r>
          </w:p>
        </w:tc>
        <w:tc>
          <w:tcPr>
            <w:tcW w:w="1276" w:type="dxa"/>
            <w:shd w:val="clear" w:color="auto" w:fill="auto"/>
          </w:tcPr>
          <w:p>
            <w:pPr>
              <w:pStyle w:val="nTable"/>
              <w:spacing w:after="40"/>
            </w:pPr>
            <w:r>
              <w:t>10 Nov 2015 p. 4605-6</w:t>
            </w:r>
          </w:p>
        </w:tc>
        <w:tc>
          <w:tcPr>
            <w:tcW w:w="2693" w:type="dxa"/>
            <w:shd w:val="clear" w:color="auto" w:fill="auto"/>
          </w:tcPr>
          <w:p>
            <w:pPr>
              <w:pStyle w:val="nTable"/>
              <w:spacing w:after="40"/>
            </w:pPr>
            <w:r>
              <w:rPr>
                <w:noProof/>
              </w:rPr>
              <w:t xml:space="preserve">r. 1 and 2: </w:t>
            </w:r>
            <w:r>
              <w:t>10 Nov 2015 (see r. 2(a));</w:t>
            </w:r>
            <w:r>
              <w:br/>
              <w:t xml:space="preserve">Regulations other than r. 1 and 2: </w:t>
            </w:r>
            <w:r>
              <w:rPr>
                <w:rFonts w:ascii="Times" w:hAnsi="Times"/>
                <w:bCs/>
                <w:snapToGrid w:val="0"/>
                <w:spacing w:val="-2"/>
              </w:rPr>
              <w:t>11 Nov 2015 (see r. 2(b))</w:t>
            </w:r>
          </w:p>
        </w:tc>
      </w:tr>
      <w:tr>
        <w:tc>
          <w:tcPr>
            <w:tcW w:w="3119" w:type="dxa"/>
            <w:shd w:val="clear" w:color="auto" w:fill="auto"/>
          </w:tcPr>
          <w:p>
            <w:pPr>
              <w:pStyle w:val="nTable"/>
              <w:spacing w:after="40"/>
              <w:rPr>
                <w:i/>
              </w:rPr>
            </w:pPr>
            <w:r>
              <w:rPr>
                <w:i/>
              </w:rPr>
              <w:t>Conservation and Land Management Amendment Regulations (No. 5) 2015</w:t>
            </w:r>
          </w:p>
        </w:tc>
        <w:tc>
          <w:tcPr>
            <w:tcW w:w="1276" w:type="dxa"/>
            <w:shd w:val="clear" w:color="auto" w:fill="auto"/>
          </w:tcPr>
          <w:p>
            <w:pPr>
              <w:pStyle w:val="nTable"/>
              <w:spacing w:after="40"/>
            </w:pPr>
            <w:r>
              <w:t>4 Dec 2015 p. 4841-2</w:t>
            </w:r>
          </w:p>
        </w:tc>
        <w:tc>
          <w:tcPr>
            <w:tcW w:w="2693" w:type="dxa"/>
            <w:shd w:val="clear" w:color="auto" w:fill="auto"/>
          </w:tcPr>
          <w:p>
            <w:pPr>
              <w:pStyle w:val="nTable"/>
              <w:spacing w:after="40"/>
              <w:rPr>
                <w:noProof/>
              </w:rPr>
            </w:pPr>
            <w:r>
              <w:rPr>
                <w:noProof/>
              </w:rPr>
              <w:t xml:space="preserve">r. 1 and 2: </w:t>
            </w:r>
            <w:r>
              <w:t>4 Dec 2015 (see r. 2(a));</w:t>
            </w:r>
            <w:r>
              <w:br/>
              <w:t xml:space="preserve">Regulations other than r. 1 and 2: </w:t>
            </w:r>
            <w:r>
              <w:rPr>
                <w:rFonts w:ascii="Times" w:hAnsi="Times"/>
                <w:bCs/>
                <w:snapToGrid w:val="0"/>
                <w:spacing w:val="-2"/>
              </w:rPr>
              <w:t>5 Dec 2015 (see r. 2(b))</w:t>
            </w:r>
          </w:p>
        </w:tc>
      </w:tr>
      <w:tr>
        <w:tc>
          <w:tcPr>
            <w:tcW w:w="3119" w:type="dxa"/>
            <w:shd w:val="clear" w:color="auto" w:fill="auto"/>
          </w:tcPr>
          <w:p>
            <w:pPr>
              <w:pStyle w:val="nTable"/>
              <w:spacing w:after="40"/>
              <w:rPr>
                <w:i/>
              </w:rPr>
            </w:pPr>
            <w:r>
              <w:rPr>
                <w:i/>
              </w:rPr>
              <w:t>Conservation and Land Management Amendment Regulations (No. 6) 2015</w:t>
            </w:r>
          </w:p>
        </w:tc>
        <w:tc>
          <w:tcPr>
            <w:tcW w:w="1276" w:type="dxa"/>
            <w:shd w:val="clear" w:color="auto" w:fill="auto"/>
          </w:tcPr>
          <w:p>
            <w:pPr>
              <w:pStyle w:val="nTable"/>
              <w:spacing w:after="40"/>
            </w:pPr>
            <w:r>
              <w:t>11 Dec 2015 p. 4954</w:t>
            </w:r>
            <w:r>
              <w:noBreakHyphen/>
              <w:t>6</w:t>
            </w:r>
          </w:p>
        </w:tc>
        <w:tc>
          <w:tcPr>
            <w:tcW w:w="2693" w:type="dxa"/>
            <w:shd w:val="clear" w:color="auto" w:fill="auto"/>
          </w:tcPr>
          <w:p>
            <w:pPr>
              <w:pStyle w:val="nTable"/>
              <w:spacing w:after="40"/>
              <w:rPr>
                <w:noProof/>
              </w:rPr>
            </w:pPr>
            <w:r>
              <w:t>12</w:t>
            </w:r>
            <w:r>
              <w:rPr>
                <w:rFonts w:ascii="Times" w:hAnsi="Times"/>
                <w:bCs/>
                <w:snapToGrid w:val="0"/>
                <w:spacing w:val="-2"/>
              </w:rPr>
              <w:t xml:space="preserve"> Dec 2015 (see r. 2 and </w:t>
            </w:r>
            <w:r>
              <w:rPr>
                <w:rFonts w:ascii="Times" w:hAnsi="Times"/>
                <w:bCs/>
                <w:i/>
                <w:snapToGrid w:val="0"/>
                <w:spacing w:val="-2"/>
              </w:rPr>
              <w:t>Gazette</w:t>
            </w:r>
            <w:r>
              <w:rPr>
                <w:rFonts w:ascii="Times" w:hAnsi="Times"/>
                <w:bCs/>
                <w:snapToGrid w:val="0"/>
                <w:spacing w:val="-2"/>
              </w:rPr>
              <w:t xml:space="preserve"> 11 Dec 2015 p. 4953)</w:t>
            </w:r>
          </w:p>
        </w:tc>
      </w:tr>
      <w:tr>
        <w:tc>
          <w:tcPr>
            <w:tcW w:w="3119" w:type="dxa"/>
            <w:shd w:val="clear" w:color="auto" w:fill="auto"/>
          </w:tcPr>
          <w:p>
            <w:pPr>
              <w:pStyle w:val="nTable"/>
              <w:spacing w:after="40"/>
              <w:rPr>
                <w:i/>
              </w:rPr>
            </w:pPr>
            <w:r>
              <w:rPr>
                <w:i/>
              </w:rPr>
              <w:t>Conservation and Land Management Amendment Regulations (No. 2) 2016</w:t>
            </w:r>
          </w:p>
        </w:tc>
        <w:tc>
          <w:tcPr>
            <w:tcW w:w="1276" w:type="dxa"/>
            <w:shd w:val="clear" w:color="auto" w:fill="auto"/>
          </w:tcPr>
          <w:p>
            <w:pPr>
              <w:pStyle w:val="nTable"/>
              <w:spacing w:after="40"/>
            </w:pPr>
            <w:r>
              <w:t>4 Apr 2016 p. 1011</w:t>
            </w:r>
            <w:r>
              <w:noBreakHyphen/>
              <w:t>12</w:t>
            </w:r>
          </w:p>
        </w:tc>
        <w:tc>
          <w:tcPr>
            <w:tcW w:w="2693" w:type="dxa"/>
            <w:shd w:val="clear" w:color="auto" w:fill="auto"/>
          </w:tcPr>
          <w:p>
            <w:pPr>
              <w:pStyle w:val="nTable"/>
              <w:spacing w:after="40"/>
            </w:pPr>
            <w:r>
              <w:rPr>
                <w:noProof/>
              </w:rPr>
              <w:t xml:space="preserve">r. 1 and 2: </w:t>
            </w:r>
            <w:r>
              <w:t>4 Apr 2016 (see r. 2(a));</w:t>
            </w:r>
            <w:r>
              <w:br/>
              <w:t>Regulations other than r. 1 and 2: 4</w:t>
            </w:r>
            <w:r>
              <w:rPr>
                <w:rFonts w:ascii="Times" w:hAnsi="Times"/>
                <w:bCs/>
                <w:snapToGrid w:val="0"/>
                <w:spacing w:val="-2"/>
              </w:rPr>
              <w:t> Apr 2016 (see r. 2(b))</w:t>
            </w:r>
          </w:p>
        </w:tc>
      </w:tr>
      <w:tr>
        <w:tc>
          <w:tcPr>
            <w:tcW w:w="3119" w:type="dxa"/>
            <w:shd w:val="clear" w:color="auto" w:fill="auto"/>
          </w:tcPr>
          <w:p>
            <w:pPr>
              <w:pStyle w:val="nTable"/>
              <w:spacing w:after="40"/>
              <w:rPr>
                <w:i/>
              </w:rPr>
            </w:pPr>
            <w:r>
              <w:rPr>
                <w:i/>
              </w:rPr>
              <w:t>Conservation and Land Management Amendment Regulations 2016</w:t>
            </w:r>
          </w:p>
        </w:tc>
        <w:tc>
          <w:tcPr>
            <w:tcW w:w="1276" w:type="dxa"/>
            <w:shd w:val="clear" w:color="auto" w:fill="auto"/>
          </w:tcPr>
          <w:p>
            <w:pPr>
              <w:pStyle w:val="nTable"/>
              <w:spacing w:after="40"/>
            </w:pPr>
            <w:r>
              <w:t>6 May 2016 p. 1381</w:t>
            </w:r>
            <w:r>
              <w:noBreakHyphen/>
              <w:t>2</w:t>
            </w:r>
          </w:p>
        </w:tc>
        <w:tc>
          <w:tcPr>
            <w:tcW w:w="2693" w:type="dxa"/>
            <w:shd w:val="clear" w:color="auto" w:fill="auto"/>
          </w:tcPr>
          <w:p>
            <w:pPr>
              <w:pStyle w:val="nTable"/>
              <w:spacing w:after="40"/>
              <w:rPr>
                <w:noProof/>
              </w:rPr>
            </w:pPr>
            <w:r>
              <w:rPr>
                <w:rFonts w:ascii="Times" w:hAnsi="Times"/>
                <w:bCs/>
                <w:snapToGrid w:val="0"/>
                <w:spacing w:val="-2"/>
              </w:rPr>
              <w:t xml:space="preserve">7 May 2016 (see r. 2 and </w:t>
            </w:r>
            <w:r>
              <w:rPr>
                <w:rFonts w:ascii="Times" w:hAnsi="Times"/>
                <w:bCs/>
                <w:i/>
                <w:snapToGrid w:val="0"/>
                <w:spacing w:val="-2"/>
              </w:rPr>
              <w:t>Gazette</w:t>
            </w:r>
            <w:r>
              <w:rPr>
                <w:rFonts w:ascii="Times" w:hAnsi="Times"/>
                <w:bCs/>
                <w:snapToGrid w:val="0"/>
                <w:spacing w:val="-2"/>
              </w:rPr>
              <w:t xml:space="preserve"> 6 May 2016 p. 1379</w:t>
            </w:r>
            <w:r>
              <w:rPr>
                <w:rFonts w:ascii="Times" w:hAnsi="Times"/>
                <w:bCs/>
                <w:snapToGrid w:val="0"/>
                <w:spacing w:val="-2"/>
              </w:rPr>
              <w:noBreakHyphen/>
              <w:t>80)</w:t>
            </w:r>
          </w:p>
        </w:tc>
      </w:tr>
      <w:tr>
        <w:tc>
          <w:tcPr>
            <w:tcW w:w="3119" w:type="dxa"/>
            <w:shd w:val="clear" w:color="auto" w:fill="auto"/>
          </w:tcPr>
          <w:p>
            <w:pPr>
              <w:pStyle w:val="nTable"/>
              <w:spacing w:before="30" w:after="30"/>
              <w:rPr>
                <w:i/>
              </w:rPr>
            </w:pPr>
            <w:r>
              <w:rPr>
                <w:i/>
              </w:rPr>
              <w:t>Conservation and Land Management Amendment Regulations (No. 3) 2016</w:t>
            </w:r>
          </w:p>
        </w:tc>
        <w:tc>
          <w:tcPr>
            <w:tcW w:w="1276" w:type="dxa"/>
            <w:shd w:val="clear" w:color="auto" w:fill="auto"/>
          </w:tcPr>
          <w:p>
            <w:pPr>
              <w:pStyle w:val="nTable"/>
              <w:spacing w:before="30" w:after="30"/>
            </w:pPr>
            <w:r>
              <w:t>5 Jul 2016 p. 2815</w:t>
            </w:r>
            <w:r>
              <w:noBreakHyphen/>
              <w:t>17</w:t>
            </w:r>
          </w:p>
        </w:tc>
        <w:tc>
          <w:tcPr>
            <w:tcW w:w="2693" w:type="dxa"/>
            <w:shd w:val="clear" w:color="auto" w:fill="auto"/>
          </w:tcPr>
          <w:p>
            <w:pPr>
              <w:pStyle w:val="nTable"/>
              <w:spacing w:before="30" w:after="30"/>
              <w:rPr>
                <w:rFonts w:ascii="Times" w:hAnsi="Times"/>
                <w:bCs/>
                <w:snapToGrid w:val="0"/>
                <w:spacing w:val="-2"/>
              </w:rPr>
            </w:pPr>
            <w:r>
              <w:rPr>
                <w:noProof/>
              </w:rPr>
              <w:t xml:space="preserve">r. 1 and 2: </w:t>
            </w:r>
            <w:r>
              <w:t>5 Jul 2016 (see r. 2(a));</w:t>
            </w:r>
            <w:r>
              <w:br/>
              <w:t xml:space="preserve">Regulations other than r. 1 and 2: </w:t>
            </w:r>
            <w:r>
              <w:rPr>
                <w:szCs w:val="19"/>
              </w:rPr>
              <w:t>1 Sep 2016 (see r. 2(b))</w:t>
            </w:r>
          </w:p>
        </w:tc>
      </w:tr>
      <w:tr>
        <w:tc>
          <w:tcPr>
            <w:tcW w:w="3119" w:type="dxa"/>
            <w:shd w:val="clear" w:color="auto" w:fill="auto"/>
          </w:tcPr>
          <w:p>
            <w:pPr>
              <w:pStyle w:val="nTable"/>
              <w:spacing w:before="30" w:after="30"/>
              <w:rPr>
                <w:i/>
              </w:rPr>
            </w:pPr>
            <w:r>
              <w:rPr>
                <w:i/>
              </w:rPr>
              <w:t>Conservation and Land Management Amendment Regulations (No. 4) 2016</w:t>
            </w:r>
          </w:p>
        </w:tc>
        <w:tc>
          <w:tcPr>
            <w:tcW w:w="1276" w:type="dxa"/>
            <w:shd w:val="clear" w:color="auto" w:fill="auto"/>
          </w:tcPr>
          <w:p>
            <w:pPr>
              <w:pStyle w:val="nTable"/>
              <w:spacing w:before="30" w:after="30"/>
            </w:pPr>
            <w:r>
              <w:t>30 Aug 2016 p. 3685</w:t>
            </w:r>
            <w:r>
              <w:noBreakHyphen/>
              <w:t>6</w:t>
            </w:r>
          </w:p>
        </w:tc>
        <w:tc>
          <w:tcPr>
            <w:tcW w:w="2693" w:type="dxa"/>
            <w:shd w:val="clear" w:color="auto" w:fill="auto"/>
          </w:tcPr>
          <w:p>
            <w:pPr>
              <w:pStyle w:val="nTable"/>
              <w:spacing w:before="30" w:after="30"/>
              <w:rPr>
                <w:rFonts w:ascii="Times" w:hAnsi="Times"/>
                <w:bCs/>
                <w:snapToGrid w:val="0"/>
                <w:spacing w:val="-2"/>
              </w:rPr>
            </w:pPr>
            <w:r>
              <w:rPr>
                <w:noProof/>
              </w:rPr>
              <w:t>r. 1 and 2: 30</w:t>
            </w:r>
            <w:r>
              <w:t> Aug 2016 (see r. 2(a));</w:t>
            </w:r>
            <w:r>
              <w:br/>
              <w:t>Regulations other than r. 1 and 2: 31</w:t>
            </w:r>
            <w:r>
              <w:rPr>
                <w:rFonts w:ascii="Times" w:hAnsi="Times"/>
                <w:bCs/>
                <w:snapToGrid w:val="0"/>
                <w:spacing w:val="-2"/>
              </w:rPr>
              <w:t> Aug 2016 (see r. 2(b))</w:t>
            </w:r>
          </w:p>
        </w:tc>
      </w:tr>
      <w:tr>
        <w:tc>
          <w:tcPr>
            <w:tcW w:w="7088" w:type="dxa"/>
            <w:gridSpan w:val="3"/>
            <w:tcBorders>
              <w:bottom w:val="single" w:sz="8" w:space="0" w:color="auto"/>
            </w:tcBorders>
            <w:shd w:val="clear" w:color="auto" w:fill="auto"/>
          </w:tcPr>
          <w:p>
            <w:pPr>
              <w:pStyle w:val="nTable"/>
              <w:spacing w:after="40"/>
              <w:rPr>
                <w:noProof/>
              </w:rPr>
            </w:pPr>
            <w:r>
              <w:rPr>
                <w:b/>
                <w:noProof/>
              </w:rPr>
              <w:t xml:space="preserve">Reprint 4: The </w:t>
            </w:r>
            <w:r>
              <w:rPr>
                <w:b/>
                <w:i/>
                <w:noProof/>
              </w:rPr>
              <w:t>Conservation and Land Management Regulations 2002</w:t>
            </w:r>
            <w:r>
              <w:rPr>
                <w:b/>
                <w:noProof/>
              </w:rPr>
              <w:t xml:space="preserve"> as at 21 Oct 2016</w:t>
            </w:r>
            <w:r>
              <w:rPr>
                <w:noProof/>
              </w:rPr>
              <w:t xml:space="preserve"> (includes amendments listed above)</w:t>
            </w:r>
          </w:p>
        </w:tc>
      </w:tr>
    </w:tbl>
    <w:p>
      <w:pPr>
        <w:pStyle w:val="nSubsection"/>
        <w:spacing w:before="160"/>
        <w:rPr>
          <w:i/>
        </w:rPr>
      </w:pPr>
      <w:r>
        <w:rPr>
          <w:vertAlign w:val="superscript"/>
        </w:rPr>
        <w:t>2</w:t>
      </w:r>
      <w:r>
        <w:tab/>
        <w:t xml:space="preserve">The </w:t>
      </w:r>
      <w:r>
        <w:rPr>
          <w:i/>
        </w:rPr>
        <w:t>Conservation and Land Management Regulations 1992</w:t>
      </w:r>
      <w:r>
        <w:t xml:space="preserve"> were repealed by the </w:t>
      </w:r>
      <w:r>
        <w:rPr>
          <w:i/>
        </w:rPr>
        <w:t xml:space="preserve">Conservation and Land Management Regulations 2002 </w:t>
      </w:r>
      <w:r>
        <w:t xml:space="preserve">(see r. 115 of those regulations as published in </w:t>
      </w:r>
      <w:r>
        <w:rPr>
          <w:i/>
        </w:rPr>
        <w:t>Gazette</w:t>
      </w:r>
      <w:r>
        <w:t xml:space="preserve"> 3 May 2002 p. 2295).</w:t>
      </w:r>
    </w:p>
    <w:p>
      <w:pPr>
        <w:pStyle w:val="nSubsection"/>
        <w:spacing w:before="90"/>
        <w:rPr>
          <w:snapToGrid w:val="0"/>
        </w:rPr>
      </w:pPr>
      <w:r>
        <w:rPr>
          <w:vertAlign w:val="superscript"/>
        </w:rPr>
        <w:t>3</w:t>
      </w:r>
      <w:r>
        <w:rPr>
          <w:vertAlign w:val="superscript"/>
        </w:rPr>
        <w:tab/>
      </w:r>
      <w:r>
        <w:t xml:space="preserve">Under the </w:t>
      </w:r>
      <w:r>
        <w:rPr>
          <w:i/>
        </w:rPr>
        <w:t xml:space="preserve">Alteration of Statutory Designations Order (No. 2) 2013 </w:t>
      </w:r>
      <w:r>
        <w:t>a reference in any law to the Department of Environment and Conservation is to be read and construed as a reference to the Department of Parks and Wildlife unless the context of the reference requires otherwise.</w:t>
      </w:r>
    </w:p>
    <w:p>
      <w:pPr>
        <w:pStyle w:val="nSubsection"/>
        <w:keepNext/>
        <w:rPr>
          <w:iCs/>
        </w:rPr>
      </w:pPr>
      <w:r>
        <w:rPr>
          <w:vertAlign w:val="superscript"/>
        </w:rPr>
        <w:t>4</w:t>
      </w:r>
      <w:r>
        <w:tab/>
        <w:t xml:space="preserve">The </w:t>
      </w:r>
      <w:r>
        <w:rPr>
          <w:i/>
        </w:rPr>
        <w:t>Financial Management (Transitional Provisions) Regulations 2009</w:t>
      </w:r>
      <w:r>
        <w:rPr>
          <w:iCs/>
        </w:rPr>
        <w:t xml:space="preserve"> r. 4 reads as follows:</w:t>
      </w:r>
    </w:p>
    <w:p>
      <w:pPr>
        <w:pStyle w:val="BlankOpen"/>
      </w:pPr>
    </w:p>
    <w:p>
      <w:pPr>
        <w:pStyle w:val="nzHeading5"/>
        <w:spacing w:before="0"/>
      </w:pPr>
      <w:r>
        <w:rPr>
          <w:rStyle w:val="CharSectno"/>
        </w:rPr>
        <w:t>4</w:t>
      </w:r>
      <w:r>
        <w:t>.</w:t>
      </w:r>
      <w:r>
        <w:tab/>
        <w:t xml:space="preserve">Transitional provision for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Trust Account</w:t>
      </w:r>
    </w:p>
    <w:p>
      <w:pPr>
        <w:pStyle w:val="nzSubsection"/>
        <w:keepNext/>
        <w:spacing w:before="50"/>
      </w:pPr>
      <w:r>
        <w:tab/>
        <w:t>(1)</w:t>
      </w:r>
      <w:r>
        <w:tab/>
        <w:t xml:space="preserve">In this regulation — </w:t>
      </w:r>
    </w:p>
    <w:p>
      <w:pPr>
        <w:pStyle w:val="nzDefstart"/>
      </w:pPr>
      <w:r>
        <w:tab/>
      </w:r>
      <w:r>
        <w:rPr>
          <w:rStyle w:val="CharDefText"/>
        </w:rPr>
        <w:t>Barrow Island Net Conservation Benefit Account</w:t>
      </w:r>
      <w:r>
        <w:t xml:space="preserve"> means the account of that name established as an agency special purpose account under the </w:t>
      </w:r>
      <w:r>
        <w:rPr>
          <w:i/>
        </w:rPr>
        <w:t>Financial Management Act 2006</w:t>
      </w:r>
      <w:r>
        <w:t xml:space="preserve"> section 16 in accordance with the </w:t>
      </w:r>
      <w:r>
        <w:rPr>
          <w:i/>
        </w:rPr>
        <w:t>Conservation and Land Management Act 1984</w:t>
      </w:r>
      <w:r>
        <w:t xml:space="preserve"> section 69(1);</w:t>
      </w:r>
    </w:p>
    <w:p>
      <w:pPr>
        <w:pStyle w:val="nzDefstart"/>
      </w:pPr>
      <w:r>
        <w:tab/>
      </w:r>
      <w:r>
        <w:rPr>
          <w:rStyle w:val="CharDefText"/>
        </w:rPr>
        <w:t>Barrow Island Trust Account</w:t>
      </w:r>
      <w:r>
        <w:t xml:space="preserve"> means the account referred to in the </w:t>
      </w:r>
      <w:r>
        <w:rPr>
          <w:i/>
        </w:rPr>
        <w:t>Conservation and Land Management Regulations </w:t>
      </w:r>
      <w:r>
        <w:rPr>
          <w:i/>
          <w:iCs/>
        </w:rPr>
        <w:t>2002</w:t>
      </w:r>
      <w:r>
        <w:t xml:space="preserve"> Part 7A immediately before the commencement of regulation 3.</w:t>
      </w:r>
    </w:p>
    <w:p>
      <w:pPr>
        <w:pStyle w:val="nzSubsection"/>
        <w:spacing w:before="50"/>
      </w:pPr>
      <w:r>
        <w:tab/>
        <w:t>(2)</w:t>
      </w:r>
      <w:r>
        <w:tab/>
        <w:t>Any money standing to the credit of the Barrow Island Trust Account immediately before the commencement of regulation 3 is to be transferred to the Barrow Island Net Conservation Benefit Account.</w:t>
      </w:r>
    </w:p>
    <w:p>
      <w:pPr>
        <w:pStyle w:val="BlankClose"/>
      </w:pPr>
    </w:p>
    <w:p>
      <w:pPr>
        <w:pStyle w:val="nzSubsection"/>
        <w:spacing w:before="50"/>
      </w:pPr>
    </w:p>
    <w:p>
      <w:pPr>
        <w:pStyle w:val="nzSubsection"/>
        <w:spacing w:before="50"/>
      </w:pPr>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pStyle w:val="nHeading2"/>
        <w:rPr>
          <w:sz w:val="28"/>
        </w:rPr>
      </w:pPr>
      <w:bookmarkStart w:id="663" w:name="_Toc462045504"/>
      <w:r>
        <w:rPr>
          <w:sz w:val="28"/>
        </w:rPr>
        <w:t>Defined terms</w:t>
      </w:r>
      <w:bookmarkEnd w:id="6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artefact</w:t>
      </w:r>
      <w:r>
        <w:tab/>
        <w:t>2</w:t>
      </w:r>
    </w:p>
    <w:p>
      <w:pPr>
        <w:pStyle w:val="DefinedTerms"/>
      </w:pPr>
      <w:r>
        <w:t>Aboriginal site</w:t>
      </w:r>
      <w:r>
        <w:tab/>
        <w:t>2</w:t>
      </w:r>
    </w:p>
    <w:p>
      <w:pPr>
        <w:pStyle w:val="DefinedTerms"/>
      </w:pPr>
      <w:r>
        <w:t>abseiling area</w:t>
      </w:r>
      <w:r>
        <w:tab/>
        <w:t>2</w:t>
      </w:r>
    </w:p>
    <w:p>
      <w:pPr>
        <w:pStyle w:val="DefinedTerms"/>
      </w:pPr>
      <w:r>
        <w:t>aircraft</w:t>
      </w:r>
      <w:r>
        <w:tab/>
        <w:t>2</w:t>
      </w:r>
    </w:p>
    <w:p>
      <w:pPr>
        <w:pStyle w:val="DefinedTerms"/>
      </w:pPr>
      <w:r>
        <w:t>aircraft landing area</w:t>
      </w:r>
      <w:r>
        <w:tab/>
        <w:t>99A(1)</w:t>
      </w:r>
    </w:p>
    <w:p>
      <w:pPr>
        <w:pStyle w:val="DefinedTerms"/>
      </w:pPr>
      <w:r>
        <w:t>apiarist</w:t>
      </w:r>
      <w:r>
        <w:tab/>
        <w:t>98G(1)</w:t>
      </w:r>
    </w:p>
    <w:p>
      <w:pPr>
        <w:pStyle w:val="DefinedTerms"/>
      </w:pPr>
      <w:r>
        <w:t>apiary authority</w:t>
      </w:r>
      <w:r>
        <w:tab/>
        <w:t>98A</w:t>
      </w:r>
    </w:p>
    <w:p>
      <w:pPr>
        <w:pStyle w:val="DefinedTerms"/>
      </w:pPr>
      <w:r>
        <w:t>apiary licence</w:t>
      </w:r>
      <w:r>
        <w:tab/>
        <w:t>98A</w:t>
      </w:r>
    </w:p>
    <w:p>
      <w:pPr>
        <w:pStyle w:val="DefinedTerms"/>
      </w:pPr>
      <w:r>
        <w:t>apiary permit</w:t>
      </w:r>
      <w:r>
        <w:tab/>
        <w:t>98A</w:t>
      </w:r>
    </w:p>
    <w:p>
      <w:pPr>
        <w:pStyle w:val="DefinedTerms"/>
      </w:pPr>
      <w:r>
        <w:t>apiary site</w:t>
      </w:r>
      <w:r>
        <w:tab/>
        <w:t>98A</w:t>
      </w:r>
    </w:p>
    <w:p>
      <w:pPr>
        <w:pStyle w:val="DefinedTerms"/>
      </w:pPr>
      <w:r>
        <w:t>authorised officer</w:t>
      </w:r>
      <w:r>
        <w:tab/>
        <w:t>2</w:t>
      </w:r>
    </w:p>
    <w:p>
      <w:pPr>
        <w:pStyle w:val="DefinedTerms"/>
      </w:pPr>
      <w:r>
        <w:t>beach</w:t>
      </w:r>
      <w:r>
        <w:tab/>
        <w:t>64(7)</w:t>
      </w:r>
    </w:p>
    <w:p>
      <w:pPr>
        <w:pStyle w:val="DefinedTerms"/>
      </w:pPr>
      <w:r>
        <w:t>bicycle</w:t>
      </w:r>
      <w:r>
        <w:tab/>
        <w:t>2</w:t>
      </w:r>
    </w:p>
    <w:p>
      <w:pPr>
        <w:pStyle w:val="DefinedTerms"/>
      </w:pPr>
      <w:r>
        <w:t>bicycle path</w:t>
      </w:r>
      <w:r>
        <w:tab/>
        <w:t>51A(4)</w:t>
      </w:r>
    </w:p>
    <w:p>
      <w:pPr>
        <w:pStyle w:val="DefinedTerms"/>
      </w:pPr>
      <w:r>
        <w:t>CALM land</w:t>
      </w:r>
      <w:r>
        <w:tab/>
        <w:t>2, 8(3)</w:t>
      </w:r>
    </w:p>
    <w:p>
      <w:pPr>
        <w:pStyle w:val="DefinedTerms"/>
      </w:pPr>
      <w:r>
        <w:t>camp</w:t>
      </w:r>
      <w:r>
        <w:tab/>
        <w:t>2</w:t>
      </w:r>
    </w:p>
    <w:p>
      <w:pPr>
        <w:pStyle w:val="DefinedTerms"/>
      </w:pPr>
      <w:r>
        <w:t>camping area</w:t>
      </w:r>
      <w:r>
        <w:tab/>
        <w:t>2</w:t>
      </w:r>
    </w:p>
    <w:p>
      <w:pPr>
        <w:pStyle w:val="DefinedTerms"/>
      </w:pPr>
      <w:r>
        <w:t>camping unit</w:t>
      </w:r>
      <w:r>
        <w:tab/>
        <w:t>2</w:t>
      </w:r>
    </w:p>
    <w:p>
      <w:pPr>
        <w:pStyle w:val="DefinedTerms"/>
      </w:pPr>
      <w:r>
        <w:t>caravan</w:t>
      </w:r>
      <w:r>
        <w:tab/>
        <w:t>2</w:t>
      </w:r>
    </w:p>
    <w:p>
      <w:pPr>
        <w:pStyle w:val="DefinedTerms"/>
      </w:pPr>
      <w:r>
        <w:t>category A firearm</w:t>
      </w:r>
      <w:r>
        <w:tab/>
        <w:t>121(1)</w:t>
      </w:r>
    </w:p>
    <w:p>
      <w:pPr>
        <w:pStyle w:val="DefinedTerms"/>
      </w:pPr>
      <w:r>
        <w:t>category B firearm</w:t>
      </w:r>
      <w:r>
        <w:tab/>
        <w:t>121(1)</w:t>
      </w:r>
    </w:p>
    <w:p>
      <w:pPr>
        <w:pStyle w:val="DefinedTerms"/>
      </w:pPr>
      <w:r>
        <w:t>cave</w:t>
      </w:r>
      <w:r>
        <w:tab/>
        <w:t>49(1)</w:t>
      </w:r>
    </w:p>
    <w:p>
      <w:pPr>
        <w:pStyle w:val="DefinedTerms"/>
      </w:pPr>
      <w:r>
        <w:t>commercial operations licence</w:t>
      </w:r>
      <w:r>
        <w:tab/>
        <w:t>2</w:t>
      </w:r>
    </w:p>
    <w:p>
      <w:pPr>
        <w:pStyle w:val="DefinedTerms"/>
      </w:pPr>
      <w:r>
        <w:t>commercial purpose</w:t>
      </w:r>
      <w:r>
        <w:tab/>
        <w:t>2</w:t>
      </w:r>
    </w:p>
    <w:p>
      <w:pPr>
        <w:pStyle w:val="DefinedTerms"/>
      </w:pPr>
      <w:r>
        <w:t>Companion Card</w:t>
      </w:r>
      <w:r>
        <w:tab/>
        <w:t>2</w:t>
      </w:r>
    </w:p>
    <w:p>
      <w:pPr>
        <w:pStyle w:val="DefinedTerms"/>
      </w:pPr>
      <w:r>
        <w:t>concession card</w:t>
      </w:r>
      <w:r>
        <w:tab/>
        <w:t>2</w:t>
      </w:r>
    </w:p>
    <w:p>
      <w:pPr>
        <w:pStyle w:val="DefinedTerms"/>
      </w:pPr>
      <w:r>
        <w:t>current inspection report</w:t>
      </w:r>
      <w:r>
        <w:tab/>
        <w:t>98AI(1)</w:t>
      </w:r>
    </w:p>
    <w:p>
      <w:pPr>
        <w:pStyle w:val="DefinedTerms"/>
      </w:pPr>
      <w:r>
        <w:t>designated area</w:t>
      </w:r>
      <w:r>
        <w:tab/>
        <w:t>2</w:t>
      </w:r>
    </w:p>
    <w:p>
      <w:pPr>
        <w:pStyle w:val="DefinedTerms"/>
      </w:pPr>
      <w:r>
        <w:t>dog area</w:t>
      </w:r>
      <w:r>
        <w:tab/>
        <w:t>2</w:t>
      </w:r>
    </w:p>
    <w:p>
      <w:pPr>
        <w:pStyle w:val="DefinedTerms"/>
      </w:pPr>
      <w:r>
        <w:t>fauna</w:t>
      </w:r>
      <w:r>
        <w:tab/>
        <w:t>8(3)</w:t>
      </w:r>
    </w:p>
    <w:p>
      <w:pPr>
        <w:pStyle w:val="DefinedTerms"/>
      </w:pPr>
      <w:r>
        <w:t>firewood</w:t>
      </w:r>
      <w:r>
        <w:tab/>
        <w:t>71(4)</w:t>
      </w:r>
    </w:p>
    <w:p>
      <w:pPr>
        <w:pStyle w:val="DefinedTerms"/>
      </w:pPr>
      <w:r>
        <w:t>fish</w:t>
      </w:r>
      <w:r>
        <w:tab/>
        <w:t>121(1)</w:t>
      </w:r>
    </w:p>
    <w:p>
      <w:pPr>
        <w:pStyle w:val="DefinedTerms"/>
      </w:pPr>
      <w:r>
        <w:t>fishing activity</w:t>
      </w:r>
      <w:r>
        <w:tab/>
        <w:t>9(2)</w:t>
      </w:r>
    </w:p>
    <w:p>
      <w:pPr>
        <w:pStyle w:val="DefinedTerms"/>
      </w:pPr>
      <w:r>
        <w:t>horse area</w:t>
      </w:r>
      <w:r>
        <w:tab/>
        <w:t>2</w:t>
      </w:r>
    </w:p>
    <w:p>
      <w:pPr>
        <w:pStyle w:val="DefinedTerms"/>
      </w:pPr>
      <w:r>
        <w:t>inspection report</w:t>
      </w:r>
      <w:r>
        <w:tab/>
        <w:t>98AI(1)</w:t>
      </w:r>
    </w:p>
    <w:p>
      <w:pPr>
        <w:pStyle w:val="DefinedTerms"/>
      </w:pPr>
      <w:r>
        <w:t>licence</w:t>
      </w:r>
      <w:r>
        <w:tab/>
        <w:t>82</w:t>
      </w:r>
    </w:p>
    <w:p>
      <w:pPr>
        <w:pStyle w:val="DefinedTerms"/>
      </w:pPr>
      <w:r>
        <w:t>licence holder</w:t>
      </w:r>
      <w:r>
        <w:tab/>
        <w:t>98AA, 98AI(1)</w:t>
      </w:r>
    </w:p>
    <w:p>
      <w:pPr>
        <w:pStyle w:val="DefinedTerms"/>
      </w:pPr>
      <w:r>
        <w:t>licensed mooring</w:t>
      </w:r>
      <w:r>
        <w:tab/>
        <w:t>98AI(1)</w:t>
      </w:r>
    </w:p>
    <w:p>
      <w:pPr>
        <w:pStyle w:val="DefinedTerms"/>
      </w:pPr>
      <w:r>
        <w:t>litter</w:t>
      </w:r>
      <w:r>
        <w:tab/>
        <w:t>24(2)</w:t>
      </w:r>
    </w:p>
    <w:p>
      <w:pPr>
        <w:pStyle w:val="DefinedTerms"/>
      </w:pPr>
      <w:r>
        <w:t>local departmental office</w:t>
      </w:r>
      <w:r>
        <w:tab/>
        <w:t>98G(1)</w:t>
      </w:r>
    </w:p>
    <w:p>
      <w:pPr>
        <w:pStyle w:val="DefinedTerms"/>
      </w:pPr>
      <w:r>
        <w:t>loss</w:t>
      </w:r>
      <w:r>
        <w:tab/>
        <w:t>98AH(1)</w:t>
      </w:r>
    </w:p>
    <w:p>
      <w:pPr>
        <w:pStyle w:val="DefinedTerms"/>
      </w:pPr>
      <w:r>
        <w:t>mooring</w:t>
      </w:r>
      <w:r>
        <w:tab/>
        <w:t>2</w:t>
      </w:r>
    </w:p>
    <w:p>
      <w:pPr>
        <w:pStyle w:val="DefinedTerms"/>
      </w:pPr>
      <w:r>
        <w:t>mooring licence area</w:t>
      </w:r>
      <w:r>
        <w:tab/>
        <w:t>98AI(1)</w:t>
      </w:r>
    </w:p>
    <w:p>
      <w:pPr>
        <w:pStyle w:val="DefinedTerms"/>
      </w:pPr>
      <w:r>
        <w:t>naturally occurring feature</w:t>
      </w:r>
      <w:r>
        <w:tab/>
        <w:t>31(4)</w:t>
      </w:r>
    </w:p>
    <w:p>
      <w:pPr>
        <w:pStyle w:val="DefinedTerms"/>
      </w:pPr>
      <w:r>
        <w:t>non</w:t>
      </w:r>
      <w:r>
        <w:noBreakHyphen/>
        <w:t>indigenous animal</w:t>
      </w:r>
      <w:r>
        <w:tab/>
        <w:t>2</w:t>
      </w:r>
    </w:p>
    <w:p>
      <w:pPr>
        <w:pStyle w:val="DefinedTerms"/>
      </w:pPr>
      <w:r>
        <w:t>non</w:t>
      </w:r>
      <w:r>
        <w:noBreakHyphen/>
        <w:t>tour motor vehicle</w:t>
      </w:r>
      <w:r>
        <w:tab/>
        <w:t>99(1)</w:t>
      </w:r>
    </w:p>
    <w:p>
      <w:pPr>
        <w:pStyle w:val="DefinedTerms"/>
      </w:pPr>
      <w:r>
        <w:t>occupant</w:t>
      </w:r>
      <w:r>
        <w:tab/>
        <w:t>99A(1)</w:t>
      </w:r>
    </w:p>
    <w:p>
      <w:pPr>
        <w:pStyle w:val="DefinedTerms"/>
      </w:pPr>
      <w:r>
        <w:t>permission</w:t>
      </w:r>
      <w:r>
        <w:tab/>
        <w:t>123(1)</w:t>
      </w:r>
    </w:p>
    <w:p>
      <w:pPr>
        <w:pStyle w:val="DefinedTerms"/>
      </w:pPr>
      <w:r>
        <w:t>permission holder</w:t>
      </w:r>
      <w:r>
        <w:tab/>
        <w:t>123(1)</w:t>
      </w:r>
    </w:p>
    <w:p>
      <w:pPr>
        <w:pStyle w:val="DefinedTerms"/>
      </w:pPr>
      <w:r>
        <w:t>plant</w:t>
      </w:r>
      <w:r>
        <w:tab/>
        <w:t>13(2)</w:t>
      </w:r>
    </w:p>
    <w:p>
      <w:pPr>
        <w:pStyle w:val="DefinedTerms"/>
      </w:pPr>
      <w:r>
        <w:t>poison risk area</w:t>
      </w:r>
      <w:r>
        <w:tab/>
        <w:t>115(1)</w:t>
      </w:r>
    </w:p>
    <w:p>
      <w:pPr>
        <w:pStyle w:val="DefinedTerms"/>
      </w:pPr>
      <w:r>
        <w:t>poison risk map</w:t>
      </w:r>
      <w:r>
        <w:tab/>
        <w:t>115(1)</w:t>
      </w:r>
    </w:p>
    <w:p>
      <w:pPr>
        <w:pStyle w:val="DefinedTerms"/>
      </w:pPr>
      <w:r>
        <w:t>private mooring</w:t>
      </w:r>
      <w:r>
        <w:tab/>
        <w:t>98AI(1)</w:t>
      </w:r>
    </w:p>
    <w:p>
      <w:pPr>
        <w:pStyle w:val="DefinedTerms"/>
      </w:pPr>
      <w:r>
        <w:t>private mooring licence</w:t>
      </w:r>
      <w:r>
        <w:tab/>
        <w:t>98AI(1)</w:t>
      </w:r>
    </w:p>
    <w:p>
      <w:pPr>
        <w:pStyle w:val="DefinedTerms"/>
      </w:pPr>
      <w:r>
        <w:t>property</w:t>
      </w:r>
      <w:r>
        <w:tab/>
        <w:t>77(1)</w:t>
      </w:r>
    </w:p>
    <w:p>
      <w:pPr>
        <w:pStyle w:val="DefinedTerms"/>
      </w:pPr>
      <w:r>
        <w:t>public mooring</w:t>
      </w:r>
      <w:r>
        <w:tab/>
        <w:t>2</w:t>
      </w:r>
    </w:p>
    <w:p>
      <w:pPr>
        <w:pStyle w:val="DefinedTerms"/>
      </w:pPr>
      <w:r>
        <w:t>recreational land</w:t>
      </w:r>
      <w:r>
        <w:tab/>
        <w:t>114</w:t>
      </w:r>
    </w:p>
    <w:p>
      <w:pPr>
        <w:pStyle w:val="DefinedTerms"/>
      </w:pPr>
      <w:r>
        <w:t>relevant area</w:t>
      </w:r>
      <w:r>
        <w:tab/>
        <w:t>121(1)</w:t>
      </w:r>
    </w:p>
    <w:p>
      <w:pPr>
        <w:pStyle w:val="DefinedTerms"/>
      </w:pPr>
      <w:r>
        <w:t>rental mooring</w:t>
      </w:r>
      <w:r>
        <w:tab/>
        <w:t>98AA</w:t>
      </w:r>
    </w:p>
    <w:p>
      <w:pPr>
        <w:pStyle w:val="DefinedTerms"/>
      </w:pPr>
      <w:r>
        <w:t>rental mooring licence</w:t>
      </w:r>
      <w:r>
        <w:tab/>
        <w:t>98AA</w:t>
      </w:r>
    </w:p>
    <w:p>
      <w:pPr>
        <w:pStyle w:val="DefinedTerms"/>
      </w:pPr>
      <w:r>
        <w:t>restricted area</w:t>
      </w:r>
      <w:r>
        <w:tab/>
        <w:t>2</w:t>
      </w:r>
    </w:p>
    <w:p>
      <w:pPr>
        <w:pStyle w:val="DefinedTerms"/>
      </w:pPr>
      <w:r>
        <w:t>restricted device</w:t>
      </w:r>
      <w:r>
        <w:tab/>
        <w:t>12(5)</w:t>
      </w:r>
    </w:p>
    <w:p>
      <w:pPr>
        <w:pStyle w:val="DefinedTerms"/>
      </w:pPr>
      <w:r>
        <w:t>school holidays</w:t>
      </w:r>
      <w:r>
        <w:tab/>
        <w:t>2</w:t>
      </w:r>
    </w:p>
    <w:p>
      <w:pPr>
        <w:pStyle w:val="DefinedTerms"/>
      </w:pPr>
      <w:r>
        <w:t>scientific purposes licence</w:t>
      </w:r>
      <w:r>
        <w:tab/>
        <w:t>2</w:t>
      </w:r>
    </w:p>
    <w:p>
      <w:pPr>
        <w:pStyle w:val="DefinedTerms"/>
      </w:pPr>
      <w:r>
        <w:t>section 12 commencement</w:t>
      </w:r>
      <w:r>
        <w:tab/>
        <w:t>124(1)</w:t>
      </w:r>
    </w:p>
    <w:p>
      <w:pPr>
        <w:pStyle w:val="DefinedTerms"/>
      </w:pPr>
      <w:r>
        <w:t>section 9(2)</w:t>
      </w:r>
      <w:r>
        <w:tab/>
        <w:t>124(1)</w:t>
      </w:r>
    </w:p>
    <w:p>
      <w:pPr>
        <w:pStyle w:val="DefinedTerms"/>
      </w:pPr>
      <w:r>
        <w:t>sell</w:t>
      </w:r>
      <w:r>
        <w:tab/>
        <w:t>2</w:t>
      </w:r>
    </w:p>
    <w:p>
      <w:pPr>
        <w:pStyle w:val="DefinedTerms"/>
      </w:pPr>
      <w:r>
        <w:t>services</w:t>
      </w:r>
      <w:r>
        <w:tab/>
        <w:t>2</w:t>
      </w:r>
    </w:p>
    <w:p>
      <w:pPr>
        <w:pStyle w:val="DefinedTerms"/>
      </w:pPr>
      <w:r>
        <w:t>sign</w:t>
      </w:r>
      <w:r>
        <w:tab/>
        <w:t>2</w:t>
      </w:r>
    </w:p>
    <w:p>
      <w:pPr>
        <w:pStyle w:val="DefinedTerms"/>
      </w:pPr>
      <w:r>
        <w:t>soil</w:t>
      </w:r>
      <w:r>
        <w:tab/>
        <w:t>35A(2)</w:t>
      </w:r>
    </w:p>
    <w:p>
      <w:pPr>
        <w:pStyle w:val="DefinedTerms"/>
      </w:pPr>
      <w:r>
        <w:t>South</w:t>
      </w:r>
      <w:r>
        <w:noBreakHyphen/>
        <w:t>west zone</w:t>
      </w:r>
      <w:r>
        <w:tab/>
        <w:t>98A</w:t>
      </w:r>
    </w:p>
    <w:p>
      <w:pPr>
        <w:pStyle w:val="DefinedTerms"/>
      </w:pPr>
      <w:r>
        <w:t>specified</w:t>
      </w:r>
      <w:r>
        <w:tab/>
        <w:t>56(6), 61B(1), 98AC(1)</w:t>
      </w:r>
    </w:p>
    <w:p>
      <w:pPr>
        <w:pStyle w:val="DefinedTerms"/>
      </w:pPr>
      <w:r>
        <w:t>State forest resolution</w:t>
      </w:r>
      <w:r>
        <w:tab/>
        <w:t>124(1)</w:t>
      </w:r>
    </w:p>
    <w:p>
      <w:pPr>
        <w:pStyle w:val="DefinedTerms"/>
      </w:pPr>
      <w:r>
        <w:t>structure</w:t>
      </w:r>
      <w:r>
        <w:tab/>
        <w:t>34(2)</w:t>
      </w:r>
    </w:p>
    <w:p>
      <w:pPr>
        <w:pStyle w:val="DefinedTerms"/>
      </w:pPr>
      <w:r>
        <w:t>take</w:t>
      </w:r>
      <w:r>
        <w:tab/>
        <w:t>2</w:t>
      </w:r>
    </w:p>
    <w:p>
      <w:pPr>
        <w:pStyle w:val="DefinedTerms"/>
      </w:pPr>
      <w:r>
        <w:t>temporary mooring area</w:t>
      </w:r>
      <w:r>
        <w:tab/>
        <w:t>2</w:t>
      </w:r>
    </w:p>
    <w:p>
      <w:pPr>
        <w:pStyle w:val="DefinedTerms"/>
      </w:pPr>
      <w:r>
        <w:t>tender</w:t>
      </w:r>
      <w:r>
        <w:tab/>
        <w:t>2</w:t>
      </w:r>
    </w:p>
    <w:p>
      <w:pPr>
        <w:pStyle w:val="DefinedTerms"/>
      </w:pPr>
      <w:r>
        <w:t>ticket vending machine</w:t>
      </w:r>
      <w:r>
        <w:tab/>
        <w:t>56(6)</w:t>
      </w:r>
    </w:p>
    <w:p>
      <w:pPr>
        <w:pStyle w:val="DefinedTerms"/>
      </w:pPr>
      <w:r>
        <w:t>tour vehicle</w:t>
      </w:r>
      <w:r>
        <w:tab/>
        <w:t>99(1)</w:t>
      </w:r>
    </w:p>
    <w:p>
      <w:pPr>
        <w:pStyle w:val="DefinedTerms"/>
      </w:pPr>
      <w:r>
        <w:t>townsite</w:t>
      </w:r>
      <w:r>
        <w:tab/>
        <w:t>114</w:t>
      </w:r>
    </w:p>
    <w:p>
      <w:pPr>
        <w:pStyle w:val="DefinedTerms"/>
      </w:pPr>
      <w:r>
        <w:t>tree</w:t>
      </w:r>
      <w:r>
        <w:tab/>
        <w:t>2</w:t>
      </w:r>
    </w:p>
    <w:p>
      <w:pPr>
        <w:pStyle w:val="DefinedTerms"/>
      </w:pPr>
      <w:r>
        <w:t>Tree Top Walk</w:t>
      </w:r>
      <w:r>
        <w:tab/>
        <w:t>100(1)</w:t>
      </w:r>
    </w:p>
    <w:p>
      <w:pPr>
        <w:pStyle w:val="DefinedTerms"/>
      </w:pPr>
      <w:r>
        <w:t>urban land</w:t>
      </w:r>
      <w:r>
        <w:tab/>
        <w:t>114, 118(2), 119(3)</w:t>
      </w:r>
    </w:p>
    <w:p>
      <w:pPr>
        <w:pStyle w:val="DefinedTerms"/>
      </w:pPr>
      <w:r>
        <w:t>vehicle</w:t>
      </w:r>
      <w:r>
        <w:tab/>
        <w:t>2</w:t>
      </w:r>
    </w:p>
    <w:p>
      <w:pPr>
        <w:pStyle w:val="DefinedTerms"/>
      </w:pPr>
      <w:r>
        <w:t>vessel storage facility</w:t>
      </w:r>
      <w:r>
        <w:tab/>
        <w:t>65A(1)</w:t>
      </w:r>
    </w:p>
    <w:p>
      <w:pPr>
        <w:pStyle w:val="DefinedTerms"/>
      </w:pPr>
      <w:r>
        <w:t>visitor area</w:t>
      </w:r>
      <w:r>
        <w:tab/>
        <w:t>114</w:t>
      </w:r>
    </w:p>
    <w:p>
      <w:pPr>
        <w:pStyle w:val="DefinedTerms"/>
      </w:pPr>
      <w:r>
        <w:t>waste</w:t>
      </w:r>
      <w:r>
        <w:tab/>
        <w:t>21(5)</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38" w:name="Schedule"/>
    <w:bookmarkEnd w:id="63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Offences to which modified penalties apply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Forest Management Regulations 1993</w:t>
          </w:r>
          <w:r>
            <w:fldChar w:fldCharType="end"/>
          </w:r>
        </w:p>
      </w:tc>
    </w:tr>
    <w:tr>
      <w:tc>
        <w:tcPr>
          <w:tcW w:w="1548" w:type="dxa"/>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Offences to which modified penalties apply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Offences under Forest Management Regulations 1993</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62" w:name="Compilation"/>
    <w:bookmarkEnd w:id="66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64" w:name="DefinedTerms"/>
    <w:bookmarkEnd w:id="664"/>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65" w:name="Coversheet"/>
    <w:bookmarkEnd w:id="66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28A8312"/>
    <w:lvl w:ilvl="0">
      <w:start w:val="1"/>
      <w:numFmt w:val="decimal"/>
      <w:lvlText w:val="%1."/>
      <w:lvlJc w:val="left"/>
      <w:pPr>
        <w:tabs>
          <w:tab w:val="num" w:pos="1492"/>
        </w:tabs>
        <w:ind w:left="1492" w:hanging="360"/>
      </w:pPr>
    </w:lvl>
  </w:abstractNum>
  <w:abstractNum w:abstractNumId="1">
    <w:nsid w:val="FFFFFF7D"/>
    <w:multiLevelType w:val="singleLevel"/>
    <w:tmpl w:val="419C7592"/>
    <w:lvl w:ilvl="0">
      <w:start w:val="1"/>
      <w:numFmt w:val="decimal"/>
      <w:lvlText w:val="%1."/>
      <w:lvlJc w:val="left"/>
      <w:pPr>
        <w:tabs>
          <w:tab w:val="num" w:pos="1209"/>
        </w:tabs>
        <w:ind w:left="1209" w:hanging="360"/>
      </w:pPr>
    </w:lvl>
  </w:abstractNum>
  <w:abstractNum w:abstractNumId="2">
    <w:nsid w:val="FFFFFF7E"/>
    <w:multiLevelType w:val="singleLevel"/>
    <w:tmpl w:val="DD1C0FEC"/>
    <w:lvl w:ilvl="0">
      <w:start w:val="1"/>
      <w:numFmt w:val="decimal"/>
      <w:lvlText w:val="%1."/>
      <w:lvlJc w:val="left"/>
      <w:pPr>
        <w:tabs>
          <w:tab w:val="num" w:pos="926"/>
        </w:tabs>
        <w:ind w:left="926" w:hanging="360"/>
      </w:pPr>
    </w:lvl>
  </w:abstractNum>
  <w:abstractNum w:abstractNumId="3">
    <w:nsid w:val="FFFFFF7F"/>
    <w:multiLevelType w:val="singleLevel"/>
    <w:tmpl w:val="A300E0C0"/>
    <w:lvl w:ilvl="0">
      <w:start w:val="1"/>
      <w:numFmt w:val="decimal"/>
      <w:lvlText w:val="%1."/>
      <w:lvlJc w:val="left"/>
      <w:pPr>
        <w:tabs>
          <w:tab w:val="num" w:pos="643"/>
        </w:tabs>
        <w:ind w:left="643" w:hanging="360"/>
      </w:pPr>
    </w:lvl>
  </w:abstractNum>
  <w:abstractNum w:abstractNumId="4">
    <w:nsid w:val="FFFFFF80"/>
    <w:multiLevelType w:val="singleLevel"/>
    <w:tmpl w:val="25D4822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AC6893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328271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3E64BC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C436FA"/>
    <w:lvl w:ilvl="0">
      <w:start w:val="1"/>
      <w:numFmt w:val="decimal"/>
      <w:lvlText w:val="%1."/>
      <w:lvlJc w:val="left"/>
      <w:pPr>
        <w:tabs>
          <w:tab w:val="num" w:pos="360"/>
        </w:tabs>
        <w:ind w:left="360" w:hanging="360"/>
      </w:pPr>
    </w:lvl>
  </w:abstractNum>
  <w:abstractNum w:abstractNumId="9">
    <w:nsid w:val="FFFFFF89"/>
    <w:multiLevelType w:val="singleLevel"/>
    <w:tmpl w:val="C76295BC"/>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DD522B3E"/>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44043"/>
    <w:docVar w:name="WAFER_20140115141237" w:val="RemoveTocBookmarks,RemoveUnusedBookmarks,RemoveLanguageTags,UsedStyles,ResetPageSize,UpdateArrangement"/>
    <w:docVar w:name="WAFER_20140115141237_GUID" w:val="cfdced70-9e04-4561-a7de-1ac3a8ac76f6"/>
    <w:docVar w:name="WAFER_20140919100941" w:val="RemoveTocBookmarks,RunningHeaders"/>
    <w:docVar w:name="WAFER_20140919100941_GUID" w:val="f43aeac4-711b-4744-885e-d31246cbdb1c"/>
    <w:docVar w:name="WAFER_20140919101009" w:val="RemoveTocBookmarks,RunningHeaders"/>
    <w:docVar w:name="WAFER_20140919101009_GUID" w:val="1d2a74d2-e5a9-4ade-a5e4-5c02b5ab9ebb"/>
    <w:docVar w:name="WAFER_20150108164059" w:val="RemoveTocBookmarks,RunningHeaders"/>
    <w:docVar w:name="WAFER_20150108164059_GUID" w:val="be47908d-f08d-4404-a951-123f83c64947"/>
    <w:docVar w:name="WAFER_20150323155010" w:val="ResetPageSize,UpdateArrangement,UpdateNTable"/>
    <w:docVar w:name="WAFER_20150323155010_GUID" w:val="189d785f-6ef1-488b-8c00-d87ee536a6fd"/>
    <w:docVar w:name="WAFER_20151102161559" w:val="UpdateStyles,UsedStyles"/>
    <w:docVar w:name="WAFER_20151102161559_GUID" w:val="ad0c5fc1-8026-483b-a9ec-2c18f56af9df"/>
    <w:docVar w:name="WAFER_20151102161631" w:val="UpdateStyles,UsedStyles"/>
    <w:docVar w:name="WAFER_20151102161631_GUID" w:val="a4be736d-3977-43d9-9206-31eed6f7ea5a"/>
    <w:docVar w:name="WAFER_20151109144043" w:val="RemoveTocBookmarks,RemoveUnusedBookmarks,RemoveLanguageTags,UsedStyles,ResetPageSize"/>
    <w:docVar w:name="WAFER_20151109144043_GUID" w:val="9743634a-1174-4d2f-81d4-1c80537465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3.png"/><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2045D2-3344-4182-88D2-FCD8A01DAA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141</Pages>
  <Words>31387</Words>
  <Characters>146893</Characters>
  <Application>Microsoft Office Word</Application>
  <DocSecurity>0</DocSecurity>
  <Lines>5065</Lines>
  <Paragraphs>3714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174566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Regulations 2002 - 04-a0-00</dc:title>
  <dc:subject/>
  <dc:creator/>
  <cp:keywords/>
  <dc:description/>
  <cp:lastModifiedBy>svcMRProcess</cp:lastModifiedBy>
  <cp:revision>4</cp:revision>
  <cp:lastPrinted>2016-10-27T02:46:00Z</cp:lastPrinted>
  <dcterms:created xsi:type="dcterms:W3CDTF">2018-09-11T02:50:00Z</dcterms:created>
  <dcterms:modified xsi:type="dcterms:W3CDTF">2018-09-11T02:50:00Z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May 2002 p. 2233-308</vt:lpwstr>
  </property>
  <property fmtid="{D5CDD505-2E9C-101B-9397-08002B2CF9AE}" pid="3" name="DocumentType">
    <vt:lpwstr>Reg</vt:lpwstr>
  </property>
  <property fmtid="{D5CDD505-2E9C-101B-9397-08002B2CF9AE}" pid="4" name="OwlsUID">
    <vt:i4>609</vt:i4>
  </property>
  <property fmtid="{D5CDD505-2E9C-101B-9397-08002B2CF9AE}" pid="5" name="ReprintedAsAt">
    <vt:filetime>2016-10-20T16:00:00Z</vt:filetime>
  </property>
  <property fmtid="{D5CDD505-2E9C-101B-9397-08002B2CF9AE}" pid="6" name="ReprintNo">
    <vt:lpwstr>4</vt:lpwstr>
  </property>
  <property fmtid="{D5CDD505-2E9C-101B-9397-08002B2CF9AE}" pid="7" name="AsAtDate">
    <vt:lpwstr>21 Oct 2016</vt:lpwstr>
  </property>
  <property fmtid="{D5CDD505-2E9C-101B-9397-08002B2CF9AE}" pid="8" name="Suffix">
    <vt:lpwstr>04-a0-00</vt:lpwstr>
  </property>
  <property fmtid="{D5CDD505-2E9C-101B-9397-08002B2CF9AE}" pid="9" name="CommencementDate">
    <vt:lpwstr>20161021</vt:lpwstr>
  </property>
</Properties>
</file>