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_Toc525145585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_Toc525145586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_Toc525145587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_Toc525145589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_Toc525145591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_Toc525145592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_Toc525145593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_Toc525145594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_Toc525145595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_Toc525145596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_Toc525145598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_Toc525145599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_Toc525145602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_Toc525145604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_Toc525145605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_Toc525145606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_Toc525145607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_Toc525145609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_Toc525145610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_Toc525145611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_Toc525145614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_Toc525145616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_Toc525145618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_Toc525145619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_Toc525145620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_Toc525145621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_Toc525145622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_Toc525145623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_Toc525145624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_Toc525145625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_Toc525145626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_Toc525145628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_Toc525145629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_Toc525145631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_Toc525145632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_Toc525145633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_Toc525145635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_Toc525145639 \h </w:instrText>
      </w:r>
      <w:r>
        <w:fldChar w:fldCharType="separate"/>
      </w:r>
      <w:r>
        <w:t>66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_Toc525145640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525145584"/>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5145585"/>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 w:name="_Toc525145586"/>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6" w:name="_Toc525145587"/>
      <w:r>
        <w:rPr>
          <w:rStyle w:val="CharSectno"/>
        </w:rPr>
        <w:t>3</w:t>
      </w:r>
      <w:r>
        <w:rPr>
          <w:snapToGrid w:val="0"/>
        </w:rPr>
        <w:t>.</w:t>
      </w:r>
      <w:r>
        <w:rPr>
          <w:snapToGrid w:val="0"/>
        </w:rPr>
        <w:tab/>
        <w:t>Term used: section</w:t>
      </w:r>
      <w:bookmarkEnd w:id="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7" w:name="_Toc525145588"/>
      <w:r>
        <w:rPr>
          <w:rStyle w:val="CharPartNo"/>
        </w:rPr>
        <w:t>Part 2</w:t>
      </w:r>
      <w:r>
        <w:rPr>
          <w:rStyle w:val="CharDivNo"/>
        </w:rPr>
        <w:t> </w:t>
      </w:r>
      <w:r>
        <w:t>—</w:t>
      </w:r>
      <w:r>
        <w:rPr>
          <w:rStyle w:val="CharDivText"/>
        </w:rPr>
        <w:t> </w:t>
      </w:r>
      <w:r>
        <w:rPr>
          <w:rStyle w:val="CharPartText"/>
        </w:rPr>
        <w:t>Matters prescribed for terms used in road laws</w:t>
      </w:r>
      <w:bookmarkEnd w:id="7"/>
    </w:p>
    <w:p>
      <w:pPr>
        <w:pStyle w:val="Heading5"/>
      </w:pPr>
      <w:bookmarkStart w:id="8" w:name="_Toc525145589"/>
      <w:r>
        <w:rPr>
          <w:rStyle w:val="CharSectno"/>
        </w:rPr>
        <w:t>4</w:t>
      </w:r>
      <w:r>
        <w:t>.</w:t>
      </w:r>
      <w:r>
        <w:tab/>
        <w:t>Power assisted pedal cycles</w:t>
      </w:r>
      <w:bookmarkEnd w:id="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9" w:name="_Toc525145590"/>
      <w:r>
        <w:rPr>
          <w:rStyle w:val="CharPartNo"/>
        </w:rPr>
        <w:t>Part 3</w:t>
      </w:r>
      <w:r>
        <w:rPr>
          <w:rStyle w:val="CharDivNo"/>
        </w:rPr>
        <w:t> </w:t>
      </w:r>
      <w:r>
        <w:t>—</w:t>
      </w:r>
      <w:r>
        <w:rPr>
          <w:rStyle w:val="CharDivText"/>
        </w:rPr>
        <w:t> </w:t>
      </w:r>
      <w:r>
        <w:rPr>
          <w:rStyle w:val="CharPartText"/>
        </w:rPr>
        <w:t>Information</w:t>
      </w:r>
      <w:bookmarkEnd w:id="9"/>
    </w:p>
    <w:p>
      <w:pPr>
        <w:pStyle w:val="Heading5"/>
      </w:pPr>
      <w:bookmarkStart w:id="10" w:name="_Toc525145591"/>
      <w:r>
        <w:rPr>
          <w:rStyle w:val="CharSectno"/>
        </w:rPr>
        <w:t>5</w:t>
      </w:r>
      <w:r>
        <w:t>.</w:t>
      </w:r>
      <w:r>
        <w:tab/>
        <w:t>Information to be disclosed by Commissioner of Police to CEO: s. 12(4)(d)</w:t>
      </w:r>
      <w:bookmarkEnd w:id="1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1" w:name="_Toc525145592"/>
      <w:r>
        <w:rPr>
          <w:rStyle w:val="CharSectno"/>
        </w:rPr>
        <w:t>6</w:t>
      </w:r>
      <w:r>
        <w:t>.</w:t>
      </w:r>
      <w:r>
        <w:tab/>
        <w:t>Exchange of information between CEO and other authorities</w:t>
      </w:r>
      <w:bookmarkEnd w:id="1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2" w:name="_Toc525145593"/>
      <w:r>
        <w:rPr>
          <w:rStyle w:val="CharSectno"/>
        </w:rPr>
        <w:t>7</w:t>
      </w:r>
      <w:r>
        <w:t>.</w:t>
      </w:r>
      <w:r>
        <w:tab/>
        <w:t>Disclosure of information to prescribed persons</w:t>
      </w:r>
      <w:bookmarkEnd w:id="1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3" w:name="_Toc525145594"/>
      <w:r>
        <w:rPr>
          <w:rStyle w:val="CharSectno"/>
        </w:rPr>
        <w:t>8A</w:t>
      </w:r>
      <w:r>
        <w:t>.</w:t>
      </w:r>
      <w:r>
        <w:tab/>
        <w:t>Authorised purposes for disclosure of information to prescribed persons</w:t>
      </w:r>
      <w:bookmarkEnd w:id="13"/>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4" w:name="_Toc525145595"/>
      <w:r>
        <w:rPr>
          <w:rStyle w:val="CharSectno"/>
        </w:rPr>
        <w:t>8</w:t>
      </w:r>
      <w:r>
        <w:t>.</w:t>
      </w:r>
      <w:r>
        <w:tab/>
        <w:t>Disclosure of written</w:t>
      </w:r>
      <w:r>
        <w:noBreakHyphen/>
        <w:t>off vehicle register information</w:t>
      </w:r>
      <w:bookmarkEnd w:id="1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5" w:name="_Toc525145596"/>
      <w:r>
        <w:rPr>
          <w:rStyle w:val="CharSectno"/>
        </w:rPr>
        <w:t>9A</w:t>
      </w:r>
      <w:r>
        <w:t>.</w:t>
      </w:r>
      <w:r>
        <w:tab/>
        <w:t>Use of information: s. 143A(1)(d)</w:t>
      </w:r>
      <w:bookmarkEnd w:id="1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6" w:name="_Toc525145597"/>
      <w:r>
        <w:rPr>
          <w:rStyle w:val="CharPartNo"/>
        </w:rPr>
        <w:t>Part 4</w:t>
      </w:r>
      <w:r>
        <w:rPr>
          <w:rStyle w:val="CharDivNo"/>
        </w:rPr>
        <w:t> </w:t>
      </w:r>
      <w:r>
        <w:t>—</w:t>
      </w:r>
      <w:r>
        <w:rPr>
          <w:rStyle w:val="CharDivText"/>
        </w:rPr>
        <w:t> </w:t>
      </w:r>
      <w:r>
        <w:rPr>
          <w:rStyle w:val="CharPartText"/>
        </w:rPr>
        <w:t>Other jurisdictions</w:t>
      </w:r>
      <w:bookmarkEnd w:id="16"/>
    </w:p>
    <w:p>
      <w:pPr>
        <w:pStyle w:val="Heading5"/>
      </w:pPr>
      <w:bookmarkStart w:id="17" w:name="_Toc525145598"/>
      <w:r>
        <w:rPr>
          <w:rStyle w:val="CharSectno"/>
        </w:rPr>
        <w:t>9</w:t>
      </w:r>
      <w:r>
        <w:t>.</w:t>
      </w:r>
      <w:r>
        <w:tab/>
        <w:t>Effect of directions etc., administrative actions of other jurisdictions: s. 18</w:t>
      </w:r>
      <w:bookmarkEnd w:id="1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8" w:name="_Toc525145599"/>
      <w:r>
        <w:rPr>
          <w:rStyle w:val="CharSectno"/>
        </w:rPr>
        <w:t>10</w:t>
      </w:r>
      <w:r>
        <w:t>.</w:t>
      </w:r>
      <w:r>
        <w:tab/>
        <w:t>Effect of orders of courts, tribunals of other jurisdictions: s. 19</w:t>
      </w:r>
      <w:bookmarkEnd w:id="1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9" w:name="_Toc525145600"/>
      <w:r>
        <w:rPr>
          <w:rStyle w:val="CharPartNo"/>
        </w:rPr>
        <w:t>Part 5</w:t>
      </w:r>
      <w:r>
        <w:t> — </w:t>
      </w:r>
      <w:r>
        <w:rPr>
          <w:rStyle w:val="CharPartText"/>
        </w:rPr>
        <w:t>Wardens</w:t>
      </w:r>
      <w:bookmarkEnd w:id="19"/>
    </w:p>
    <w:p>
      <w:pPr>
        <w:pStyle w:val="Heading3"/>
      </w:pPr>
      <w:bookmarkStart w:id="20" w:name="_Toc525145601"/>
      <w:r>
        <w:rPr>
          <w:rStyle w:val="CharDivNo"/>
        </w:rPr>
        <w:t>Division 1</w:t>
      </w:r>
      <w:r>
        <w:t> — </w:t>
      </w:r>
      <w:r>
        <w:rPr>
          <w:rStyle w:val="CharDivText"/>
        </w:rPr>
        <w:t>General</w:t>
      </w:r>
      <w:bookmarkEnd w:id="20"/>
    </w:p>
    <w:p>
      <w:pPr>
        <w:pStyle w:val="Heading5"/>
      </w:pPr>
      <w:bookmarkStart w:id="21" w:name="_Toc525145602"/>
      <w:r>
        <w:rPr>
          <w:rStyle w:val="CharSectno"/>
        </w:rPr>
        <w:t>11</w:t>
      </w:r>
      <w:r>
        <w:t>.</w:t>
      </w:r>
      <w:r>
        <w:tab/>
        <w:t>No use of force against a person</w:t>
      </w:r>
      <w:bookmarkEnd w:id="21"/>
    </w:p>
    <w:p>
      <w:pPr>
        <w:pStyle w:val="Subsection"/>
      </w:pPr>
      <w:r>
        <w:tab/>
      </w:r>
      <w:r>
        <w:tab/>
        <w:t>Nothing in these regulations authorises a warden to use force against a person.</w:t>
      </w:r>
    </w:p>
    <w:p>
      <w:pPr>
        <w:pStyle w:val="Heading3"/>
      </w:pPr>
      <w:bookmarkStart w:id="22" w:name="_Toc525145603"/>
      <w:r>
        <w:rPr>
          <w:rStyle w:val="CharDivNo"/>
        </w:rPr>
        <w:t>Division 2</w:t>
      </w:r>
      <w:r>
        <w:t> — </w:t>
      </w:r>
      <w:r>
        <w:rPr>
          <w:rStyle w:val="CharDivText"/>
        </w:rPr>
        <w:t>Warden functions for persons authorised by CEO</w:t>
      </w:r>
      <w:bookmarkEnd w:id="22"/>
      <w:r>
        <w:rPr>
          <w:rStyle w:val="CharDivText"/>
        </w:rPr>
        <w:t xml:space="preserve"> </w:t>
      </w:r>
    </w:p>
    <w:p>
      <w:pPr>
        <w:pStyle w:val="Heading5"/>
      </w:pPr>
      <w:bookmarkStart w:id="23" w:name="_Toc525145604"/>
      <w:r>
        <w:rPr>
          <w:rStyle w:val="CharSectno"/>
        </w:rPr>
        <w:t>12</w:t>
      </w:r>
      <w:r>
        <w:t>.</w:t>
      </w:r>
      <w:r>
        <w:tab/>
        <w:t>Transport warden’s functions and powers</w:t>
      </w:r>
      <w:bookmarkEnd w:id="2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4" w:name="_Toc525145605"/>
      <w:r>
        <w:rPr>
          <w:rStyle w:val="CharSectno"/>
        </w:rPr>
        <w:t>13</w:t>
      </w:r>
      <w:r>
        <w:t>.</w:t>
      </w:r>
      <w:r>
        <w:tab/>
        <w:t>Transport inspection wardens</w:t>
      </w:r>
      <w:bookmarkEnd w:id="2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5" w:name="_Toc525145606"/>
      <w:r>
        <w:rPr>
          <w:rStyle w:val="CharSectno"/>
        </w:rPr>
        <w:t>14</w:t>
      </w:r>
      <w:r>
        <w:t>.</w:t>
      </w:r>
      <w:r>
        <w:tab/>
        <w:t>Transport investigation wardens</w:t>
      </w:r>
      <w:bookmarkEnd w:id="2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6" w:name="_Toc525145607"/>
      <w:r>
        <w:rPr>
          <w:rStyle w:val="CharSectno"/>
        </w:rPr>
        <w:t>15</w:t>
      </w:r>
      <w:r>
        <w:t>.</w:t>
      </w:r>
      <w:r>
        <w:tab/>
        <w:t>Wardens who can commence certain prosecutions</w:t>
      </w:r>
      <w:bookmarkEnd w:id="26"/>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7" w:name="_Toc525145608"/>
      <w:r>
        <w:rPr>
          <w:rStyle w:val="CharDivNo"/>
        </w:rPr>
        <w:t>Division 3</w:t>
      </w:r>
      <w:r>
        <w:t> — </w:t>
      </w:r>
      <w:r>
        <w:rPr>
          <w:rStyle w:val="CharDivText"/>
        </w:rPr>
        <w:t>Warden functions for persons authorised by Commissioner of Police</w:t>
      </w:r>
      <w:bookmarkEnd w:id="27"/>
    </w:p>
    <w:p>
      <w:pPr>
        <w:pStyle w:val="Heading5"/>
      </w:pPr>
      <w:bookmarkStart w:id="28" w:name="_Toc525145609"/>
      <w:r>
        <w:rPr>
          <w:rStyle w:val="CharSectno"/>
        </w:rPr>
        <w:t>16</w:t>
      </w:r>
      <w:r>
        <w:t>.</w:t>
      </w:r>
      <w:r>
        <w:tab/>
        <w:t>Crossing attendant warden’s powers</w:t>
      </w:r>
      <w:bookmarkEnd w:id="2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9" w:name="_Toc525145610"/>
      <w:r>
        <w:rPr>
          <w:rStyle w:val="CharSectno"/>
        </w:rPr>
        <w:t>17</w:t>
      </w:r>
      <w:r>
        <w:t>.</w:t>
      </w:r>
      <w:r>
        <w:tab/>
        <w:t>Traffic escort wardens</w:t>
      </w:r>
      <w:bookmarkEnd w:id="2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30" w:name="_Toc525145611"/>
      <w:r>
        <w:rPr>
          <w:rStyle w:val="CharSectno"/>
        </w:rPr>
        <w:t>18</w:t>
      </w:r>
      <w:r>
        <w:t>.</w:t>
      </w:r>
      <w:r>
        <w:tab/>
        <w:t>Commissioner of Police parking wardens</w:t>
      </w:r>
      <w:bookmarkEnd w:id="3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31" w:name="_Toc525145612"/>
      <w:r>
        <w:rPr>
          <w:rStyle w:val="CharPartNo"/>
        </w:rPr>
        <w:t>Part 6</w:t>
      </w:r>
      <w:r>
        <w:t> — </w:t>
      </w:r>
      <w:r>
        <w:rPr>
          <w:rStyle w:val="CharPartText"/>
        </w:rPr>
        <w:t>Enforcement of road laws</w:t>
      </w:r>
      <w:bookmarkEnd w:id="31"/>
    </w:p>
    <w:p>
      <w:pPr>
        <w:pStyle w:val="Heading3"/>
      </w:pPr>
      <w:bookmarkStart w:id="32" w:name="_Toc525145613"/>
      <w:r>
        <w:rPr>
          <w:rStyle w:val="CharDivNo"/>
        </w:rPr>
        <w:t>Division 1</w:t>
      </w:r>
      <w:r>
        <w:t> — </w:t>
      </w:r>
      <w:r>
        <w:rPr>
          <w:rStyle w:val="CharDivText"/>
        </w:rPr>
        <w:t>Entry warrants</w:t>
      </w:r>
      <w:bookmarkEnd w:id="32"/>
    </w:p>
    <w:p>
      <w:pPr>
        <w:pStyle w:val="Heading5"/>
      </w:pPr>
      <w:bookmarkStart w:id="33" w:name="_Toc525145614"/>
      <w:r>
        <w:rPr>
          <w:rStyle w:val="CharSectno"/>
        </w:rPr>
        <w:t>19</w:t>
      </w:r>
      <w:r>
        <w:t>.</w:t>
      </w:r>
      <w:r>
        <w:tab/>
        <w:t>Form of entry warrant</w:t>
      </w:r>
      <w:bookmarkEnd w:id="33"/>
    </w:p>
    <w:p>
      <w:pPr>
        <w:pStyle w:val="Subsection"/>
      </w:pPr>
      <w:r>
        <w:tab/>
      </w:r>
      <w:r>
        <w:tab/>
        <w:t>For section 65(3), the form of a warrant authorising entry to premises is set out in Schedule 1.</w:t>
      </w:r>
    </w:p>
    <w:p>
      <w:pPr>
        <w:pStyle w:val="Heading3"/>
        <w:rPr>
          <w:rStyle w:val="CharDivText"/>
        </w:rPr>
      </w:pPr>
      <w:bookmarkStart w:id="34" w:name="_Toc525145615"/>
      <w:r>
        <w:rPr>
          <w:rStyle w:val="CharDivNo"/>
        </w:rPr>
        <w:t>Division 2</w:t>
      </w:r>
      <w:r>
        <w:t> — </w:t>
      </w:r>
      <w:r>
        <w:rPr>
          <w:rStyle w:val="CharDivText"/>
        </w:rPr>
        <w:t>Embargo notices</w:t>
      </w:r>
      <w:bookmarkEnd w:id="34"/>
    </w:p>
    <w:p>
      <w:pPr>
        <w:pStyle w:val="Heading5"/>
      </w:pPr>
      <w:bookmarkStart w:id="35" w:name="_Toc525145616"/>
      <w:r>
        <w:rPr>
          <w:rStyle w:val="CharSectno"/>
        </w:rPr>
        <w:t>20</w:t>
      </w:r>
      <w:r>
        <w:t>.</w:t>
      </w:r>
      <w:r>
        <w:tab/>
        <w:t>Particulars for embargo notice</w:t>
      </w:r>
      <w:bookmarkEnd w:id="35"/>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6" w:name="_Toc525145617"/>
      <w:r>
        <w:rPr>
          <w:rStyle w:val="CharPartNo"/>
        </w:rPr>
        <w:t>Part 7</w:t>
      </w:r>
      <w:r>
        <w:rPr>
          <w:rStyle w:val="CharDivNo"/>
        </w:rPr>
        <w:t> </w:t>
      </w:r>
      <w:r>
        <w:t>—</w:t>
      </w:r>
      <w:r>
        <w:rPr>
          <w:rStyle w:val="CharDivText"/>
        </w:rPr>
        <w:t> </w:t>
      </w:r>
      <w:r>
        <w:rPr>
          <w:rStyle w:val="CharPartText"/>
        </w:rPr>
        <w:t>Infringement notices</w:t>
      </w:r>
      <w:bookmarkEnd w:id="36"/>
    </w:p>
    <w:p>
      <w:pPr>
        <w:pStyle w:val="Heading5"/>
        <w:rPr>
          <w:i/>
        </w:rPr>
      </w:pPr>
      <w:bookmarkStart w:id="37" w:name="_Toc525145618"/>
      <w:r>
        <w:rPr>
          <w:rStyle w:val="CharSectno"/>
        </w:rPr>
        <w:t>21</w:t>
      </w:r>
      <w:r>
        <w:t>.</w:t>
      </w:r>
      <w:r>
        <w:tab/>
        <w:t xml:space="preserve">Infringement notice offences and penalties: </w:t>
      </w:r>
      <w:r>
        <w:rPr>
          <w:i/>
        </w:rPr>
        <w:t>Road Traffic (Administration) Act 2008</w:t>
      </w:r>
      <w:bookmarkEnd w:id="3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8" w:name="_Toc525145619"/>
      <w:r>
        <w:rPr>
          <w:rStyle w:val="CharSectno"/>
        </w:rPr>
        <w:t>22</w:t>
      </w:r>
      <w:r>
        <w:t>.</w:t>
      </w:r>
      <w:r>
        <w:tab/>
        <w:t xml:space="preserve">Infringement notice offences and penalties: </w:t>
      </w:r>
      <w:r>
        <w:rPr>
          <w:i/>
        </w:rPr>
        <w:t>Road Traffic (Vehicles) Act 2012</w:t>
      </w:r>
      <w:bookmarkEnd w:id="3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9" w:name="_Toc525145620"/>
      <w:r>
        <w:rPr>
          <w:rStyle w:val="CharSectno"/>
        </w:rPr>
        <w:t>23</w:t>
      </w:r>
      <w:r>
        <w:t>.</w:t>
      </w:r>
      <w:r>
        <w:tab/>
        <w:t xml:space="preserve">Infringement notice offences and penalties: </w:t>
      </w:r>
      <w:r>
        <w:rPr>
          <w:i/>
        </w:rPr>
        <w:t>Road Traffic Act 1974</w:t>
      </w:r>
      <w:bookmarkEnd w:id="3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40" w:name="_Toc525145621"/>
      <w:r>
        <w:rPr>
          <w:rStyle w:val="CharSectno"/>
        </w:rPr>
        <w:t>24</w:t>
      </w:r>
      <w:r>
        <w:t>.</w:t>
      </w:r>
      <w:r>
        <w:tab/>
        <w:t>Infringement notice offences and penalties: road law regulations</w:t>
      </w:r>
      <w:bookmarkEnd w:id="4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w:t>
      </w:r>
    </w:p>
    <w:p>
      <w:pPr>
        <w:pStyle w:val="Heading5"/>
      </w:pPr>
      <w:bookmarkStart w:id="41" w:name="_Toc525145622"/>
      <w:r>
        <w:rPr>
          <w:rStyle w:val="CharSectno"/>
        </w:rPr>
        <w:t>25</w:t>
      </w:r>
      <w:r>
        <w:t>.</w:t>
      </w:r>
      <w:r>
        <w:tab/>
        <w:t>Offences for which infringement notices may be served by transport wardens</w:t>
      </w:r>
      <w:bookmarkEnd w:id="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42" w:name="_Toc525145623"/>
      <w:r>
        <w:rPr>
          <w:rStyle w:val="CharSectno"/>
        </w:rPr>
        <w:t>26</w:t>
      </w:r>
      <w:r>
        <w:t>.</w:t>
      </w:r>
      <w:r>
        <w:tab/>
        <w:t>Offences for which infringement notices may be served by transport inspection wardens, transport investigation wardens</w:t>
      </w:r>
      <w:bookmarkEnd w:id="4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14 and 16</w:t>
            </w:r>
          </w:p>
        </w:tc>
      </w:tr>
    </w:tbl>
    <w:p>
      <w:pPr>
        <w:pStyle w:val="Footnotesection"/>
      </w:pPr>
      <w:r>
        <w:tab/>
        <w:t>[Regulation 26 amended in Gazette 24 Jun 2016 p. 2343.]</w:t>
      </w:r>
    </w:p>
    <w:p>
      <w:pPr>
        <w:pStyle w:val="Heading5"/>
      </w:pPr>
      <w:bookmarkStart w:id="43" w:name="_Toc525145624"/>
      <w:r>
        <w:rPr>
          <w:rStyle w:val="CharSectno"/>
        </w:rPr>
        <w:t>27</w:t>
      </w:r>
      <w:r>
        <w:t>.</w:t>
      </w:r>
      <w:r>
        <w:tab/>
        <w:t>Forms of notices</w:t>
      </w:r>
      <w:bookmarkEnd w:id="43"/>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4" w:name="_Toc525145625"/>
      <w:r>
        <w:rPr>
          <w:rStyle w:val="CharSectno"/>
        </w:rPr>
        <w:t>28</w:t>
      </w:r>
      <w:r>
        <w:t>.</w:t>
      </w:r>
      <w:r>
        <w:tab/>
        <w:t>Officers who may sign notices to withdraw notices</w:t>
      </w:r>
      <w:bookmarkEnd w:id="44"/>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5" w:name="_Toc525145626"/>
      <w:r>
        <w:rPr>
          <w:rStyle w:val="CharSectno"/>
        </w:rPr>
        <w:t>29</w:t>
      </w:r>
      <w:r>
        <w:t>.</w:t>
      </w:r>
      <w:r>
        <w:tab/>
        <w:t>Infringement notice not to be altered</w:t>
      </w:r>
      <w:bookmarkEnd w:id="45"/>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6" w:name="_Toc525145627"/>
      <w:r>
        <w:rPr>
          <w:rStyle w:val="CharPartNo"/>
        </w:rPr>
        <w:t>Part 8</w:t>
      </w:r>
      <w:r>
        <w:rPr>
          <w:rStyle w:val="CharDivNo"/>
        </w:rPr>
        <w:t> </w:t>
      </w:r>
      <w:r>
        <w:t>—</w:t>
      </w:r>
      <w:r>
        <w:rPr>
          <w:rStyle w:val="CharDivText"/>
        </w:rPr>
        <w:t> </w:t>
      </w:r>
      <w:r>
        <w:rPr>
          <w:rStyle w:val="CharPartText"/>
        </w:rPr>
        <w:t>Prosecutions</w:t>
      </w:r>
      <w:bookmarkEnd w:id="46"/>
    </w:p>
    <w:p>
      <w:pPr>
        <w:pStyle w:val="Heading5"/>
      </w:pPr>
      <w:bookmarkStart w:id="47" w:name="_Toc525145628"/>
      <w:r>
        <w:rPr>
          <w:rStyle w:val="CharSectno"/>
        </w:rPr>
        <w:t>30</w:t>
      </w:r>
      <w:r>
        <w:t>.</w:t>
      </w:r>
      <w:r>
        <w:tab/>
        <w:t>Persons to approve prosecution for breach of mass, dimension or loading requirement</w:t>
      </w:r>
      <w:bookmarkEnd w:id="4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8" w:name="_Toc525145629"/>
      <w:r>
        <w:rPr>
          <w:rStyle w:val="CharSectno"/>
        </w:rPr>
        <w:t>31</w:t>
      </w:r>
      <w:r>
        <w:t>.</w:t>
      </w:r>
      <w:r>
        <w:tab/>
        <w:t>Ascertaining mass supported on part of vehicle</w:t>
      </w:r>
      <w:bookmarkEnd w:id="4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9" w:name="_Toc525145630"/>
      <w:r>
        <w:rPr>
          <w:rStyle w:val="CharPartNo"/>
        </w:rPr>
        <w:t>Part 9</w:t>
      </w:r>
      <w:r>
        <w:rPr>
          <w:rStyle w:val="CharDivNo"/>
        </w:rPr>
        <w:t> </w:t>
      </w:r>
      <w:r>
        <w:t>—</w:t>
      </w:r>
      <w:r>
        <w:rPr>
          <w:rStyle w:val="CharDivText"/>
        </w:rPr>
        <w:t> </w:t>
      </w:r>
      <w:r>
        <w:rPr>
          <w:rStyle w:val="CharPartText"/>
        </w:rPr>
        <w:t>Review of decisions under road laws</w:t>
      </w:r>
      <w:bookmarkEnd w:id="49"/>
    </w:p>
    <w:p>
      <w:pPr>
        <w:pStyle w:val="Heading5"/>
        <w:rPr>
          <w:i/>
        </w:rPr>
      </w:pPr>
      <w:bookmarkStart w:id="50" w:name="_Toc525145631"/>
      <w:r>
        <w:rPr>
          <w:rStyle w:val="CharSectno"/>
        </w:rPr>
        <w:t>32</w:t>
      </w:r>
      <w:r>
        <w:t>.</w:t>
      </w:r>
      <w:r>
        <w:tab/>
        <w:t xml:space="preserve">Review of decisions under </w:t>
      </w:r>
      <w:r>
        <w:rPr>
          <w:i/>
        </w:rPr>
        <w:t>Road Traffic (Authorisation to Drive) Act 2008</w:t>
      </w:r>
      <w:bookmarkEnd w:id="5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1" w:name="_Toc525145632"/>
      <w:r>
        <w:rPr>
          <w:rStyle w:val="CharSectno"/>
        </w:rPr>
        <w:t>33</w:t>
      </w:r>
      <w:r>
        <w:t>.</w:t>
      </w:r>
      <w:r>
        <w:tab/>
        <w:t xml:space="preserve">Review of decisions under </w:t>
      </w:r>
      <w:r>
        <w:rPr>
          <w:i/>
        </w:rPr>
        <w:t>Road Traffic (Vehicles) Act 2012</w:t>
      </w:r>
      <w:bookmarkEnd w:id="5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52" w:name="_Toc525145633"/>
      <w:r>
        <w:rPr>
          <w:rStyle w:val="CharSectno"/>
        </w:rPr>
        <w:t>34</w:t>
      </w:r>
      <w:r>
        <w:t>.</w:t>
      </w:r>
      <w:r>
        <w:tab/>
        <w:t>Right of CEO or Commissioner of Police to be heard</w:t>
      </w:r>
      <w:bookmarkEnd w:id="5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3" w:name="_Toc525145634"/>
      <w:r>
        <w:rPr>
          <w:rStyle w:val="CharPartNo"/>
        </w:rPr>
        <w:t>Part 10</w:t>
      </w:r>
      <w:r>
        <w:rPr>
          <w:rStyle w:val="CharDivNo"/>
        </w:rPr>
        <w:t> </w:t>
      </w:r>
      <w:r>
        <w:t>—</w:t>
      </w:r>
      <w:r>
        <w:rPr>
          <w:rStyle w:val="CharDivText"/>
        </w:rPr>
        <w:t> </w:t>
      </w:r>
      <w:r>
        <w:rPr>
          <w:rStyle w:val="CharPartText"/>
        </w:rPr>
        <w:t>Fees and charges</w:t>
      </w:r>
      <w:bookmarkEnd w:id="53"/>
    </w:p>
    <w:p>
      <w:pPr>
        <w:pStyle w:val="Heading5"/>
      </w:pPr>
      <w:bookmarkStart w:id="54" w:name="_Toc525145635"/>
      <w:r>
        <w:rPr>
          <w:rStyle w:val="CharSectno"/>
        </w:rPr>
        <w:t>35</w:t>
      </w:r>
      <w:r>
        <w:t>.</w:t>
      </w:r>
      <w:r>
        <w:tab/>
        <w:t>Disclosure of information to prescribed persons or for road safety purposes: s. 143(3)(a)</w:t>
      </w:r>
      <w:bookmarkEnd w:id="5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5" w:name="_Toc525145636"/>
      <w:r>
        <w:rPr>
          <w:rStyle w:val="CharSchNo"/>
        </w:rPr>
        <w:t>Schedule 1</w:t>
      </w:r>
      <w:r>
        <w:rPr>
          <w:rStyle w:val="CharSDivNo"/>
        </w:rPr>
        <w:t> </w:t>
      </w:r>
      <w:r>
        <w:t>—</w:t>
      </w:r>
      <w:r>
        <w:rPr>
          <w:rStyle w:val="CharSDivText"/>
        </w:rPr>
        <w:t> </w:t>
      </w:r>
      <w:r>
        <w:rPr>
          <w:rStyle w:val="CharSchText"/>
        </w:rPr>
        <w:t>Entry warrant</w:t>
      </w:r>
      <w:bookmarkEnd w:id="5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6" w:name="_Toc525145637"/>
      <w:r>
        <w:rPr>
          <w:rStyle w:val="CharSchNo"/>
        </w:rPr>
        <w:t>Schedule 2</w:t>
      </w:r>
      <w:r>
        <w:rPr>
          <w:rStyle w:val="CharSDivNo"/>
        </w:rPr>
        <w:t> </w:t>
      </w:r>
      <w:r>
        <w:t>—</w:t>
      </w:r>
      <w:r>
        <w:rPr>
          <w:rStyle w:val="CharSDivText"/>
        </w:rPr>
        <w:t> </w:t>
      </w:r>
      <w:r>
        <w:rPr>
          <w:rStyle w:val="CharSchText"/>
        </w:rPr>
        <w:t>Forms for infringement notice matters</w:t>
      </w:r>
      <w:bookmarkEnd w:id="56"/>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8" w:name="_Toc525145638"/>
      <w:r>
        <w:t>Notes</w:t>
      </w:r>
      <w:bookmarkEnd w:id="58"/>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 </w:t>
      </w:r>
      <w:r>
        <w:rPr>
          <w:vertAlign w:val="superscript"/>
        </w:rPr>
        <w:t>1a</w:t>
      </w:r>
      <w:r>
        <w:t>.</w:t>
      </w:r>
    </w:p>
    <w:p>
      <w:pPr>
        <w:pStyle w:val="nHeading3"/>
        <w:rPr>
          <w:snapToGrid w:val="0"/>
        </w:rPr>
      </w:pPr>
      <w:bookmarkStart w:id="59" w:name="_Toc525145639"/>
      <w:r>
        <w:rPr>
          <w:snapToGrid w:val="0"/>
        </w:rP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single" w:sz="4" w:space="0" w:color="auto"/>
              <w:right w:val="nil"/>
            </w:tcBorders>
          </w:tcPr>
          <w:p>
            <w:pPr>
              <w:pStyle w:val="nTable"/>
              <w:spacing w:after="40"/>
              <w:rPr>
                <w:i/>
              </w:rPr>
            </w:pPr>
            <w:r>
              <w:rPr>
                <w:i/>
              </w:rPr>
              <w:t>Road Traffic (Administration) Amendment Regulations 2016</w:t>
            </w:r>
          </w:p>
        </w:tc>
        <w:tc>
          <w:tcPr>
            <w:tcW w:w="1276" w:type="dxa"/>
            <w:tcBorders>
              <w:top w:val="nil"/>
              <w:left w:val="nil"/>
              <w:bottom w:val="single" w:sz="4" w:space="0" w:color="auto"/>
              <w:right w:val="nil"/>
            </w:tcBorders>
          </w:tcPr>
          <w:p>
            <w:pPr>
              <w:pStyle w:val="nTable"/>
              <w:spacing w:after="40"/>
            </w:pPr>
            <w:r>
              <w:t>20 Sep 2016 p. 3983-4</w:t>
            </w:r>
          </w:p>
        </w:tc>
        <w:tc>
          <w:tcPr>
            <w:tcW w:w="2693" w:type="dxa"/>
            <w:tcBorders>
              <w:top w:val="nil"/>
              <w:left w:val="nil"/>
              <w:bottom w:val="single" w:sz="4" w:space="0" w:color="auto"/>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525145640"/>
      <w:r>
        <w:t>Provisions that have not come into operation</w:t>
      </w:r>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keepNext/>
              <w:spacing w:after="40"/>
              <w:rPr>
                <w:vertAlign w:val="superscript"/>
              </w:rPr>
            </w:pPr>
            <w:r>
              <w:rPr>
                <w:i/>
              </w:rPr>
              <w:t>Road Traffic Regulations Amendment (Pilot Vehicle Drivers) Regulations 2016</w:t>
            </w:r>
            <w:r>
              <w:t xml:space="preserve"> Pt. 3 </w:t>
            </w:r>
            <w:r>
              <w:rPr>
                <w:vertAlign w:val="superscript"/>
              </w:rPr>
              <w:t>2</w:t>
            </w:r>
          </w:p>
        </w:tc>
        <w:tc>
          <w:tcPr>
            <w:tcW w:w="1276" w:type="dxa"/>
          </w:tcPr>
          <w:p>
            <w:pPr>
              <w:pStyle w:val="nTable"/>
              <w:keepNext/>
              <w:spacing w:after="40"/>
            </w:pPr>
            <w:r>
              <w:t>15 Nov 2016 p. 5062-77</w:t>
            </w:r>
          </w:p>
        </w:tc>
        <w:tc>
          <w:tcPr>
            <w:tcW w:w="2693" w:type="dxa"/>
          </w:tcPr>
          <w:p>
            <w:pPr>
              <w:pStyle w:val="nTable"/>
              <w:keepNext/>
              <w:spacing w:after="40"/>
            </w:pPr>
            <w:r>
              <w:t>28 Nov 2016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Road Traffic Regulations Amendment (Pilot Vehicle Drivers) Regulations 2016</w:t>
      </w:r>
      <w:r>
        <w:t xml:space="preserve"> Pt. 3</w:t>
      </w:r>
      <w:r>
        <w:rPr>
          <w:snapToGrid w:val="0"/>
        </w:rPr>
        <w:t xml:space="preserve"> had not come into operation.  It reads as follows:</w:t>
      </w:r>
    </w:p>
    <w:p>
      <w:pPr>
        <w:pStyle w:val="BlankOpen"/>
        <w:rPr>
          <w:snapToGrid w:val="0"/>
        </w:rPr>
      </w:pPr>
    </w:p>
    <w:p>
      <w:pPr>
        <w:pStyle w:val="nzHeading2"/>
      </w:pPr>
      <w:bookmarkStart w:id="61" w:name="_Toc460243292"/>
      <w:bookmarkStart w:id="62" w:name="_Toc460243345"/>
      <w:bookmarkStart w:id="63" w:name="_Toc460243475"/>
      <w:bookmarkStart w:id="64" w:name="_Toc460332894"/>
      <w:bookmarkStart w:id="65" w:name="_Toc461529458"/>
      <w:bookmarkStart w:id="66" w:name="_Toc461529509"/>
      <w:bookmarkStart w:id="67" w:name="_Toc461529820"/>
      <w:bookmarkStart w:id="68" w:name="_Toc462922661"/>
      <w:bookmarkStart w:id="69" w:name="_Toc462923450"/>
      <w:bookmarkStart w:id="70" w:name="_Toc462923901"/>
      <w:bookmarkStart w:id="71" w:name="_Toc462923956"/>
      <w:bookmarkStart w:id="72" w:name="_Toc464565866"/>
      <w:bookmarkStart w:id="73" w:name="_Toc464566676"/>
      <w:bookmarkStart w:id="74" w:name="_Toc464657306"/>
      <w:r>
        <w:rPr>
          <w:rStyle w:val="CharPartNo"/>
        </w:rPr>
        <w:t>Part 3</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nzHeading5"/>
      </w:pPr>
      <w:bookmarkStart w:id="75" w:name="_Toc464657307"/>
      <w:r>
        <w:rPr>
          <w:rStyle w:val="CharSectno"/>
        </w:rPr>
        <w:t>7</w:t>
      </w:r>
      <w:r>
        <w:t>.</w:t>
      </w:r>
      <w:r>
        <w:tab/>
        <w:t>Regulations amended</w:t>
      </w:r>
      <w:bookmarkEnd w:id="75"/>
    </w:p>
    <w:p>
      <w:pPr>
        <w:pStyle w:val="nzSubsection"/>
      </w:pPr>
      <w:r>
        <w:tab/>
      </w:r>
      <w:r>
        <w:tab/>
        <w:t xml:space="preserve">This Part amend the </w:t>
      </w:r>
      <w:r>
        <w:rPr>
          <w:i/>
        </w:rPr>
        <w:t>Road Traffic (Administration) Regulations 2014</w:t>
      </w:r>
      <w:r>
        <w:t>.</w:t>
      </w:r>
    </w:p>
    <w:p>
      <w:pPr>
        <w:pStyle w:val="nzHeading5"/>
      </w:pPr>
      <w:bookmarkStart w:id="76" w:name="_Toc464657308"/>
      <w:r>
        <w:rPr>
          <w:rStyle w:val="CharSectno"/>
        </w:rPr>
        <w:t>8</w:t>
      </w:r>
      <w:r>
        <w:t>.</w:t>
      </w:r>
      <w:r>
        <w:tab/>
        <w:t>Regulation 13 amended</w:t>
      </w:r>
      <w:bookmarkEnd w:id="76"/>
    </w:p>
    <w:p>
      <w:pPr>
        <w:pStyle w:val="nzSubsection"/>
      </w:pPr>
      <w:r>
        <w:tab/>
      </w:r>
      <w:r>
        <w:tab/>
        <w:t>In regulation 13(1) in the Table after the item for “</w:t>
      </w:r>
      <w:r>
        <w:rPr>
          <w:i/>
        </w:rPr>
        <w:t>Road Traffic (Vehicles) Regulations 2014</w:t>
      </w:r>
      <w:r>
        <w:t xml:space="preserve"> r. 140”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TableNAm"/>
              <w:rPr>
                <w:i/>
                <w:sz w:val="20"/>
              </w:rPr>
            </w:pPr>
            <w:r>
              <w:rPr>
                <w:i/>
                <w:sz w:val="20"/>
              </w:rPr>
              <w:t>Road Traffic (Vehicles) Regulations 2014</w:t>
            </w:r>
            <w:r>
              <w:rPr>
                <w:sz w:val="20"/>
              </w:rPr>
              <w:t xml:space="preserve"> r. 454X</w:t>
            </w:r>
          </w:p>
        </w:tc>
        <w:tc>
          <w:tcPr>
            <w:tcW w:w="3034" w:type="dxa"/>
          </w:tcPr>
          <w:p>
            <w:pPr>
              <w:pStyle w:val="TableNAm"/>
              <w:rPr>
                <w:i/>
                <w:sz w:val="20"/>
              </w:rPr>
            </w:pPr>
            <w:r>
              <w:rPr>
                <w:i/>
                <w:sz w:val="20"/>
              </w:rPr>
              <w:t>Direct production of heavy vehicle pilot licence</w:t>
            </w:r>
          </w:p>
        </w:tc>
      </w:tr>
    </w:tbl>
    <w:p>
      <w:pPr>
        <w:pStyle w:val="BlankClose"/>
      </w:pPr>
    </w:p>
    <w:p>
      <w:pPr>
        <w:pStyle w:val="nzHeading5"/>
      </w:pPr>
      <w:bookmarkStart w:id="77" w:name="_Toc464657309"/>
      <w:r>
        <w:rPr>
          <w:rStyle w:val="CharSectno"/>
        </w:rPr>
        <w:t>9</w:t>
      </w:r>
      <w:r>
        <w:t>.</w:t>
      </w:r>
      <w:r>
        <w:tab/>
        <w:t>Regulation 14 amended</w:t>
      </w:r>
      <w:bookmarkEnd w:id="77"/>
    </w:p>
    <w:p>
      <w:pPr>
        <w:pStyle w:val="nzSubsection"/>
      </w:pPr>
      <w:r>
        <w:tab/>
      </w:r>
      <w:r>
        <w:tab/>
        <w:t>In regulation 14(1) in the Table after the item for “</w:t>
      </w:r>
      <w:r>
        <w:rPr>
          <w:i/>
        </w:rPr>
        <w:t>Road Traffic (Vehicles) Regulations 2014</w:t>
      </w:r>
      <w:r>
        <w:t xml:space="preserve"> r. 140”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TableNAm"/>
              <w:rPr>
                <w:sz w:val="20"/>
              </w:rPr>
            </w:pPr>
            <w:r>
              <w:rPr>
                <w:i/>
                <w:sz w:val="20"/>
              </w:rPr>
              <w:t>Road Traffic (Vehicles) Regulations 2014</w:t>
            </w:r>
            <w:r>
              <w:rPr>
                <w:sz w:val="20"/>
              </w:rPr>
              <w:t xml:space="preserve"> r. 454X</w:t>
            </w:r>
          </w:p>
        </w:tc>
        <w:tc>
          <w:tcPr>
            <w:tcW w:w="3034" w:type="dxa"/>
          </w:tcPr>
          <w:p>
            <w:pPr>
              <w:pStyle w:val="TableNAm"/>
              <w:rPr>
                <w:sz w:val="20"/>
              </w:rPr>
            </w:pPr>
            <w:r>
              <w:rPr>
                <w:sz w:val="20"/>
              </w:rPr>
              <w:t>Direct production of heavy vehicle pilot licence</w:t>
            </w:r>
          </w:p>
        </w:tc>
      </w:tr>
    </w:tbl>
    <w:p>
      <w:pPr>
        <w:pStyle w:val="BlankClose"/>
      </w:pPr>
    </w:p>
    <w:p>
      <w:pPr>
        <w:pStyle w:val="nzHeading5"/>
      </w:pPr>
      <w:bookmarkStart w:id="78" w:name="_Toc464657310"/>
      <w:r>
        <w:rPr>
          <w:rStyle w:val="CharSectno"/>
        </w:rPr>
        <w:t>10</w:t>
      </w:r>
      <w:r>
        <w:t>.</w:t>
      </w:r>
      <w:r>
        <w:tab/>
        <w:t>Regulation 17 amended</w:t>
      </w:r>
      <w:bookmarkEnd w:id="78"/>
    </w:p>
    <w:p>
      <w:pPr>
        <w:pStyle w:val="nzSubsection"/>
      </w:pPr>
      <w:r>
        <w:tab/>
        <w:t>(1)</w:t>
      </w:r>
      <w:r>
        <w:tab/>
        <w:t>In regulation 17(2) at the end of the Table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TableNAm"/>
              <w:rPr>
                <w:sz w:val="20"/>
              </w:rPr>
            </w:pPr>
            <w:r>
              <w:rPr>
                <w:i/>
                <w:sz w:val="20"/>
              </w:rPr>
              <w:t>Road Traffic (Vehicles) Regulations 2014</w:t>
            </w:r>
            <w:r>
              <w:rPr>
                <w:sz w:val="20"/>
              </w:rPr>
              <w:t xml:space="preserve"> r. 454X</w:t>
            </w:r>
          </w:p>
        </w:tc>
        <w:tc>
          <w:tcPr>
            <w:tcW w:w="3034" w:type="dxa"/>
          </w:tcPr>
          <w:p>
            <w:pPr>
              <w:pStyle w:val="TableNAm"/>
              <w:rPr>
                <w:sz w:val="20"/>
              </w:rPr>
            </w:pPr>
            <w:r>
              <w:rPr>
                <w:sz w:val="20"/>
              </w:rPr>
              <w:t>Direct production of heavy vehicle pilot licence</w:t>
            </w:r>
          </w:p>
        </w:tc>
      </w:tr>
    </w:tbl>
    <w:p>
      <w:pPr>
        <w:pStyle w:val="BlankClose"/>
      </w:pPr>
    </w:p>
    <w:p>
      <w:pPr>
        <w:pStyle w:val="nzSubsection"/>
      </w:pPr>
      <w:r>
        <w:tab/>
        <w:t>(2)</w:t>
      </w:r>
      <w:r>
        <w:tab/>
        <w:t>In regulation 17(3)(d) delete “regulation 452(2).” and insert:</w:t>
      </w:r>
    </w:p>
    <w:p>
      <w:pPr>
        <w:pStyle w:val="BlankOpen"/>
      </w:pPr>
    </w:p>
    <w:p>
      <w:pPr>
        <w:pStyle w:val="nzSubsection"/>
      </w:pPr>
      <w:r>
        <w:tab/>
      </w:r>
      <w:r>
        <w:tab/>
        <w:t>regulation 452(2) or 454X.</w:t>
      </w:r>
    </w:p>
    <w:p>
      <w:pPr>
        <w:pStyle w:val="BlankClose"/>
      </w:pPr>
    </w:p>
    <w:p>
      <w:pPr>
        <w:pStyle w:val="nzHeading5"/>
      </w:pPr>
      <w:bookmarkStart w:id="79" w:name="_Toc464657311"/>
      <w:r>
        <w:rPr>
          <w:rStyle w:val="CharSectno"/>
        </w:rPr>
        <w:t>11</w:t>
      </w:r>
      <w:r>
        <w:t>.</w:t>
      </w:r>
      <w:r>
        <w:tab/>
        <w:t>Regulation 24 amended</w:t>
      </w:r>
      <w:bookmarkEnd w:id="79"/>
    </w:p>
    <w:p>
      <w:pPr>
        <w:pStyle w:val="nzSubsection"/>
      </w:pPr>
      <w:r>
        <w:tab/>
      </w:r>
      <w:r>
        <w:tab/>
        <w:t xml:space="preserve">In regulation 24(1) in the definition of </w:t>
      </w:r>
      <w:r>
        <w:rPr>
          <w:b/>
          <w:i/>
        </w:rPr>
        <w:t>road law regulation offence</w:t>
      </w:r>
      <w:r>
        <w:t xml:space="preserve"> in the last item in the Table after “12,” insert:</w:t>
      </w:r>
    </w:p>
    <w:p>
      <w:pPr>
        <w:pStyle w:val="BlankOpen"/>
      </w:pPr>
    </w:p>
    <w:p>
      <w:pPr>
        <w:pStyle w:val="nzSubsection"/>
      </w:pPr>
      <w:r>
        <w:tab/>
      </w:r>
      <w:r>
        <w:tab/>
        <w:t>13A,</w:t>
      </w:r>
    </w:p>
    <w:p>
      <w:pPr>
        <w:pStyle w:val="BlankClose"/>
      </w:pPr>
    </w:p>
    <w:p>
      <w:pPr>
        <w:pStyle w:val="nzHeading5"/>
      </w:pPr>
      <w:bookmarkStart w:id="80" w:name="_Toc464657312"/>
      <w:r>
        <w:rPr>
          <w:rStyle w:val="CharSectno"/>
        </w:rPr>
        <w:t>12</w:t>
      </w:r>
      <w:r>
        <w:t>.</w:t>
      </w:r>
      <w:r>
        <w:tab/>
        <w:t>Regulation 26 amended</w:t>
      </w:r>
      <w:bookmarkEnd w:id="80"/>
    </w:p>
    <w:p>
      <w:pPr>
        <w:pStyle w:val="nzSubsection"/>
      </w:pPr>
      <w:r>
        <w:tab/>
      </w:r>
      <w:r>
        <w:tab/>
        <w:t>In regulation 26 in the last item in the Table after “12,” insert:</w:t>
      </w:r>
    </w:p>
    <w:p>
      <w:pPr>
        <w:pStyle w:val="BlankOpen"/>
      </w:pPr>
    </w:p>
    <w:p>
      <w:pPr>
        <w:pStyle w:val="nzSubsection"/>
      </w:pPr>
      <w:r>
        <w:tab/>
      </w:r>
      <w:r>
        <w:tab/>
        <w:t>13A,</w:t>
      </w:r>
    </w:p>
    <w:p>
      <w:pPr>
        <w:pStyle w:val="BlankClose"/>
      </w:pPr>
    </w:p>
    <w:p>
      <w:pPr>
        <w:pStyle w:val="BlankClose"/>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2" w:name="_Toc525145641"/>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727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2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004CB-8DDA-43CE-B2A5-BEE48A5ED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13506</Words>
  <Characters>68346</Characters>
  <Application>Microsoft Office Word</Application>
  <DocSecurity>0</DocSecurity>
  <Lines>3254</Lines>
  <Paragraphs>1604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2014 - 00-j0-00</dc:title>
  <dc:subject/>
  <dc:creator/>
  <cp:keywords/>
  <dc:description/>
  <cp:lastModifiedBy>svcMRProcess</cp:lastModifiedBy>
  <cp:revision>4</cp:revision>
  <cp:lastPrinted>2014-11-27T00:08:00Z</cp:lastPrinted>
  <dcterms:created xsi:type="dcterms:W3CDTF">2018-09-19T10:37:00Z</dcterms:created>
  <dcterms:modified xsi:type="dcterms:W3CDTF">2018-09-19T10:37:00Z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15 Nov 2016</vt:lpwstr>
  </property>
  <property fmtid="{D5CDD505-2E9C-101B-9397-08002B2CF9AE}" pid="4" name="Suffix">
    <vt:lpwstr>00-j0-00</vt:lpwstr>
  </property>
  <property fmtid="{D5CDD505-2E9C-101B-9397-08002B2CF9AE}" pid="5" name="DocumentType">
    <vt:lpwstr>Reg</vt:lpwstr>
  </property>
  <property fmtid="{D5CDD505-2E9C-101B-9397-08002B2CF9AE}" pid="6" name="CommencementDate">
    <vt:lpwstr>20161115</vt:lpwstr>
  </property>
</Properties>
</file>