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_Toc467146838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_Toc467146839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_Toc467146840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_Toc467146841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orders</w:t>
      </w:r>
      <w:r>
        <w:tab/>
      </w:r>
      <w:r>
        <w:fldChar w:fldCharType="begin"/>
      </w:r>
      <w:r>
        <w:instrText xml:space="preserve"> PAGEREF _Toc467146842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Officers</w:t>
      </w:r>
      <w:r>
        <w:tab/>
      </w:r>
      <w:r>
        <w:fldChar w:fldCharType="begin"/>
      </w:r>
      <w:r>
        <w:instrText xml:space="preserve"> PAGEREF _Toc467146844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Inspectors</w:t>
      </w:r>
      <w:r>
        <w:tab/>
      </w:r>
      <w:r>
        <w:fldChar w:fldCharType="begin"/>
      </w:r>
      <w:r>
        <w:instrText xml:space="preserve"> PAGEREF _Toc467146845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Inspector’s certificate</w:t>
      </w:r>
      <w:r>
        <w:tab/>
      </w:r>
      <w:r>
        <w:fldChar w:fldCharType="begin"/>
      </w:r>
      <w:r>
        <w:instrText xml:space="preserve"> PAGEREF _Toc467146846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 subject to chief executive officer</w:t>
      </w:r>
      <w:r>
        <w:tab/>
      </w:r>
      <w:r>
        <w:fldChar w:fldCharType="begin"/>
      </w:r>
      <w:r>
        <w:instrText xml:space="preserve"> PAGEREF _Toc467146847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Retail trading hours</w:t>
      </w:r>
    </w:p>
    <w:p>
      <w:pPr>
        <w:pStyle w:val="TOC8"/>
        <w:rPr>
          <w:rFonts w:asciiTheme="minorHAnsi" w:eastAsiaTheme="minorEastAsia" w:hAnsiTheme="minorHAnsi" w:cstheme="minorBidi"/>
          <w:szCs w:val="22"/>
        </w:rPr>
      </w:pPr>
      <w:r>
        <w:t>10</w:t>
      </w:r>
      <w:r>
        <w:rPr>
          <w:snapToGrid w:val="0"/>
        </w:rPr>
        <w:t>.</w:t>
      </w:r>
      <w:r>
        <w:rPr>
          <w:snapToGrid w:val="0"/>
        </w:rPr>
        <w:tab/>
        <w:t>Categories of retail shops</w:t>
      </w:r>
      <w:r>
        <w:tab/>
      </w:r>
      <w:r>
        <w:fldChar w:fldCharType="begin"/>
      </w:r>
      <w:r>
        <w:instrText xml:space="preserve"> PAGEREF _Toc467146849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Certifying shops as small retail shops or special retail shops</w:t>
      </w:r>
      <w:r>
        <w:tab/>
      </w:r>
      <w:r>
        <w:fldChar w:fldCharType="begin"/>
      </w:r>
      <w:r>
        <w:instrText xml:space="preserve"> PAGEREF _Toc467146850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Trading hours for some general retail shops</w:t>
      </w:r>
      <w:r>
        <w:tab/>
      </w:r>
      <w:r>
        <w:fldChar w:fldCharType="begin"/>
      </w:r>
      <w:r>
        <w:instrText xml:space="preserve"> PAGEREF _Toc467146851 \h </w:instrText>
      </w:r>
      <w:r>
        <w:fldChar w:fldCharType="separate"/>
      </w:r>
      <w:r>
        <w:t>13</w:t>
      </w:r>
      <w:r>
        <w:fldChar w:fldCharType="end"/>
      </w:r>
    </w:p>
    <w:p>
      <w:pPr>
        <w:pStyle w:val="TOC8"/>
        <w:rPr>
          <w:rFonts w:asciiTheme="minorHAnsi" w:eastAsiaTheme="minorEastAsia" w:hAnsiTheme="minorHAnsi" w:cstheme="minorBidi"/>
          <w:szCs w:val="22"/>
        </w:rPr>
      </w:pPr>
      <w:r>
        <w:t>12A.</w:t>
      </w:r>
      <w:r>
        <w:tab/>
        <w:t>Trading hours for general retail shops in holiday resorts</w:t>
      </w:r>
      <w:r>
        <w:tab/>
      </w:r>
      <w:r>
        <w:fldChar w:fldCharType="begin"/>
      </w:r>
      <w:r>
        <w:instrText xml:space="preserve"> PAGEREF _Toc467146852 \h </w:instrText>
      </w:r>
      <w:r>
        <w:fldChar w:fldCharType="separate"/>
      </w:r>
      <w:r>
        <w:t>14</w:t>
      </w:r>
      <w:r>
        <w:fldChar w:fldCharType="end"/>
      </w:r>
    </w:p>
    <w:p>
      <w:pPr>
        <w:pStyle w:val="TOC8"/>
        <w:rPr>
          <w:rFonts w:asciiTheme="minorHAnsi" w:eastAsiaTheme="minorEastAsia" w:hAnsiTheme="minorHAnsi" w:cstheme="minorBidi"/>
          <w:szCs w:val="22"/>
        </w:rPr>
      </w:pPr>
      <w:r>
        <w:t>12B.</w:t>
      </w:r>
      <w:r>
        <w:tab/>
        <w:t>Trading hours for motor vehicle shops</w:t>
      </w:r>
      <w:r>
        <w:tab/>
      </w:r>
      <w:r>
        <w:fldChar w:fldCharType="begin"/>
      </w:r>
      <w:r>
        <w:instrText xml:space="preserve"> PAGEREF _Toc467146853 \h </w:instrText>
      </w:r>
      <w:r>
        <w:fldChar w:fldCharType="separate"/>
      </w:r>
      <w:r>
        <w:t>15</w:t>
      </w:r>
      <w:r>
        <w:fldChar w:fldCharType="end"/>
      </w:r>
    </w:p>
    <w:p>
      <w:pPr>
        <w:pStyle w:val="TOC8"/>
        <w:rPr>
          <w:rFonts w:asciiTheme="minorHAnsi" w:eastAsiaTheme="minorEastAsia" w:hAnsiTheme="minorHAnsi" w:cstheme="minorBidi"/>
          <w:szCs w:val="22"/>
        </w:rPr>
      </w:pPr>
      <w:r>
        <w:t>12C.</w:t>
      </w:r>
      <w:r>
        <w:tab/>
        <w:t>No restriction on trading hours for small retail shops</w:t>
      </w:r>
      <w:r>
        <w:tab/>
      </w:r>
      <w:r>
        <w:fldChar w:fldCharType="begin"/>
      </w:r>
      <w:r>
        <w:instrText xml:space="preserve"> PAGEREF _Toc467146854 \h </w:instrText>
      </w:r>
      <w:r>
        <w:fldChar w:fldCharType="separate"/>
      </w:r>
      <w:r>
        <w:t>15</w:t>
      </w:r>
      <w:r>
        <w:fldChar w:fldCharType="end"/>
      </w:r>
    </w:p>
    <w:p>
      <w:pPr>
        <w:pStyle w:val="TOC8"/>
        <w:rPr>
          <w:rFonts w:asciiTheme="minorHAnsi" w:eastAsiaTheme="minorEastAsia" w:hAnsiTheme="minorHAnsi" w:cstheme="minorBidi"/>
          <w:szCs w:val="22"/>
        </w:rPr>
      </w:pPr>
      <w:r>
        <w:t>12D.</w:t>
      </w:r>
      <w:r>
        <w:tab/>
        <w:t>Trading hours for special retail shops</w:t>
      </w:r>
      <w:r>
        <w:tab/>
      </w:r>
      <w:r>
        <w:fldChar w:fldCharType="begin"/>
      </w:r>
      <w:r>
        <w:instrText xml:space="preserve"> PAGEREF _Toc467146855 \h </w:instrText>
      </w:r>
      <w:r>
        <w:fldChar w:fldCharType="separate"/>
      </w:r>
      <w:r>
        <w:t>15</w:t>
      </w:r>
      <w:r>
        <w:fldChar w:fldCharType="end"/>
      </w:r>
    </w:p>
    <w:p>
      <w:pPr>
        <w:pStyle w:val="TOC8"/>
        <w:rPr>
          <w:rFonts w:asciiTheme="minorHAnsi" w:eastAsiaTheme="minorEastAsia" w:hAnsiTheme="minorHAnsi" w:cstheme="minorBidi"/>
          <w:szCs w:val="22"/>
        </w:rPr>
      </w:pPr>
      <w:r>
        <w:t>12E.</w:t>
      </w:r>
      <w:r>
        <w:tab/>
        <w:t>Variation of trading hours</w:t>
      </w:r>
      <w:r>
        <w:tab/>
      </w:r>
      <w:r>
        <w:fldChar w:fldCharType="begin"/>
      </w:r>
      <w:r>
        <w:instrText xml:space="preserve"> PAGEREF _Toc467146856 \h </w:instrText>
      </w:r>
      <w:r>
        <w:fldChar w:fldCharType="separate"/>
      </w:r>
      <w:r>
        <w:t>16</w:t>
      </w:r>
      <w:r>
        <w:fldChar w:fldCharType="end"/>
      </w:r>
    </w:p>
    <w:p>
      <w:pPr>
        <w:pStyle w:val="TOC8"/>
        <w:rPr>
          <w:rFonts w:asciiTheme="minorHAnsi" w:eastAsiaTheme="minorEastAsia" w:hAnsiTheme="minorHAnsi" w:cstheme="minorBidi"/>
          <w:szCs w:val="22"/>
        </w:rPr>
      </w:pPr>
      <w:r>
        <w:t>14.</w:t>
      </w:r>
      <w:r>
        <w:tab/>
        <w:t>No restriction on trading hours for filling stations</w:t>
      </w:r>
      <w:r>
        <w:tab/>
      </w:r>
      <w:r>
        <w:fldChar w:fldCharType="begin"/>
      </w:r>
      <w:r>
        <w:instrText xml:space="preserve"> PAGEREF _Toc467146857 \h </w:instrText>
      </w:r>
      <w:r>
        <w:fldChar w:fldCharType="separate"/>
      </w:r>
      <w:r>
        <w:t>17</w:t>
      </w:r>
      <w:r>
        <w:fldChar w:fldCharType="end"/>
      </w:r>
    </w:p>
    <w:p>
      <w:pPr>
        <w:pStyle w:val="TOC8"/>
        <w:rPr>
          <w:rFonts w:asciiTheme="minorHAnsi" w:eastAsiaTheme="minorEastAsia" w:hAnsiTheme="minorHAnsi" w:cstheme="minorBidi"/>
          <w:szCs w:val="22"/>
        </w:rPr>
      </w:pPr>
      <w:r>
        <w:t>14A.</w:t>
      </w:r>
      <w:r>
        <w:tab/>
        <w:t>Goods that can be sold at filling stations</w:t>
      </w:r>
      <w:r>
        <w:tab/>
      </w:r>
      <w:r>
        <w:fldChar w:fldCharType="begin"/>
      </w:r>
      <w:r>
        <w:instrText xml:space="preserve"> PAGEREF _Toc467146858 \h </w:instrText>
      </w:r>
      <w:r>
        <w:fldChar w:fldCharType="separate"/>
      </w:r>
      <w:r>
        <w:t>17</w:t>
      </w:r>
      <w:r>
        <w:fldChar w:fldCharType="end"/>
      </w:r>
    </w:p>
    <w:p>
      <w:pPr>
        <w:pStyle w:val="TOC8"/>
        <w:rPr>
          <w:rFonts w:asciiTheme="minorHAnsi" w:eastAsiaTheme="minorEastAsia" w:hAnsiTheme="minorHAnsi" w:cstheme="minorBidi"/>
          <w:szCs w:val="22"/>
        </w:rPr>
      </w:pPr>
      <w:r>
        <w:t>14B.</w:t>
      </w:r>
      <w:r>
        <w:tab/>
        <w:t>Small filling stations, general provisions about</w:t>
      </w:r>
      <w:r>
        <w:tab/>
      </w:r>
      <w:r>
        <w:fldChar w:fldCharType="begin"/>
      </w:r>
      <w:r>
        <w:instrText xml:space="preserve"> PAGEREF _Toc467146859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14C.</w:t>
      </w:r>
      <w:r>
        <w:tab/>
        <w:t>Certifying filling stations as small filling stations</w:t>
      </w:r>
      <w:r>
        <w:tab/>
      </w:r>
      <w:r>
        <w:fldChar w:fldCharType="begin"/>
      </w:r>
      <w:r>
        <w:instrText xml:space="preserve"> PAGEREF _Toc467146860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Permits</w:t>
      </w:r>
      <w:r>
        <w:tab/>
      </w:r>
      <w:r>
        <w:fldChar w:fldCharType="begin"/>
      </w:r>
      <w:r>
        <w:instrText xml:space="preserve"> PAGEREF _Toc467146861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Covenants relating to opening of retail shops</w:t>
      </w:r>
      <w:r>
        <w:tab/>
      </w:r>
      <w:r>
        <w:fldChar w:fldCharType="begin"/>
      </w:r>
      <w:r>
        <w:instrText xml:space="preserve"> PAGEREF _Toc467146862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22</w:t>
      </w:r>
      <w:r>
        <w:rPr>
          <w:snapToGrid w:val="0"/>
        </w:rPr>
        <w:t>.</w:t>
      </w:r>
      <w:r>
        <w:rPr>
          <w:snapToGrid w:val="0"/>
        </w:rPr>
        <w:tab/>
        <w:t>Covenants contrary to this Act negated</w:t>
      </w:r>
      <w:r>
        <w:tab/>
      </w:r>
      <w:r>
        <w:fldChar w:fldCharType="begin"/>
      </w:r>
      <w:r>
        <w:instrText xml:space="preserve"> PAGEREF _Toc467146864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Auctions of domestic furniture at dwelling house</w:t>
      </w:r>
      <w:r>
        <w:tab/>
      </w:r>
      <w:r>
        <w:fldChar w:fldCharType="begin"/>
      </w:r>
      <w:r>
        <w:instrText xml:space="preserve"> PAGEREF _Toc467146865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When retail shop deemed not to be closed</w:t>
      </w:r>
      <w:r>
        <w:tab/>
      </w:r>
      <w:r>
        <w:fldChar w:fldCharType="begin"/>
      </w:r>
      <w:r>
        <w:instrText xml:space="preserve"> PAGEREF _Toc467146866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as to operating retail shops</w:t>
      </w:r>
      <w:r>
        <w:tab/>
      </w:r>
      <w:r>
        <w:fldChar w:fldCharType="begin"/>
      </w:r>
      <w:r>
        <w:instrText xml:space="preserve"> PAGEREF _Toc467146867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Advertisements of retail shopping hours, restrictions on</w:t>
      </w:r>
      <w:r>
        <w:tab/>
      </w:r>
      <w:r>
        <w:fldChar w:fldCharType="begin"/>
      </w:r>
      <w:r>
        <w:instrText xml:space="preserve"> PAGEREF _Toc467146868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Chief executive officer’s powers</w:t>
      </w:r>
      <w:r>
        <w:tab/>
      </w:r>
      <w:r>
        <w:fldChar w:fldCharType="begin"/>
      </w:r>
      <w:r>
        <w:instrText xml:space="preserve"> PAGEREF _Toc467146869 \h </w:instrText>
      </w:r>
      <w:r>
        <w:fldChar w:fldCharType="separate"/>
      </w:r>
      <w:r>
        <w:t>26</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Delegation</w:t>
      </w:r>
      <w:r>
        <w:tab/>
      </w:r>
      <w:r>
        <w:fldChar w:fldCharType="begin"/>
      </w:r>
      <w:r>
        <w:instrText xml:space="preserve"> PAGEREF _Toc467146870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Access to places, books etc.</w:t>
      </w:r>
      <w:r>
        <w:tab/>
      </w:r>
      <w:r>
        <w:fldChar w:fldCharType="begin"/>
      </w:r>
      <w:r>
        <w:instrText xml:space="preserve"> PAGEREF _Toc467146871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 or authorised person may require information</w:t>
      </w:r>
      <w:r>
        <w:tab/>
      </w:r>
      <w:r>
        <w:fldChar w:fldCharType="begin"/>
      </w:r>
      <w:r>
        <w:instrText xml:space="preserve"> PAGEREF _Toc467146872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Obstructing etc. inspector, authorised person etc.</w:t>
      </w:r>
      <w:r>
        <w:tab/>
      </w:r>
      <w:r>
        <w:fldChar w:fldCharType="begin"/>
      </w:r>
      <w:r>
        <w:instrText xml:space="preserve"> PAGEREF _Toc467146873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person questioned</w:t>
      </w:r>
      <w:r>
        <w:tab/>
      </w:r>
      <w:r>
        <w:fldChar w:fldCharType="begin"/>
      </w:r>
      <w:r>
        <w:instrText xml:space="preserve"> PAGEREF _Toc467146874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disclosure of information</w:t>
      </w:r>
      <w:r>
        <w:tab/>
      </w:r>
      <w:r>
        <w:fldChar w:fldCharType="begin"/>
      </w:r>
      <w:r>
        <w:instrText xml:space="preserve"> PAGEREF _Toc467146875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as to dishonesty or damage</w:t>
      </w:r>
      <w:r>
        <w:tab/>
      </w:r>
      <w:r>
        <w:fldChar w:fldCharType="begin"/>
      </w:r>
      <w:r>
        <w:instrText xml:space="preserve"> PAGEREF _Toc467146876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Liability of directors etc. of bodies corporate</w:t>
      </w:r>
      <w:r>
        <w:tab/>
      </w:r>
      <w:r>
        <w:fldChar w:fldCharType="begin"/>
      </w:r>
      <w:r>
        <w:instrText xml:space="preserve"> PAGEREF _Toc467146877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Records etc. for this Act, availability of</w:t>
      </w:r>
      <w:r>
        <w:tab/>
      </w:r>
      <w:r>
        <w:fldChar w:fldCharType="begin"/>
      </w:r>
      <w:r>
        <w:instrText xml:space="preserve"> PAGEREF _Toc467146878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Records etc. for this Act to be in English</w:t>
      </w:r>
      <w:r>
        <w:tab/>
      </w:r>
      <w:r>
        <w:fldChar w:fldCharType="begin"/>
      </w:r>
      <w:r>
        <w:instrText xml:space="preserve"> PAGEREF _Toc467146879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Prosecutions of offences need chief executive officer’s consent</w:t>
      </w:r>
      <w:r>
        <w:tab/>
      </w:r>
      <w:r>
        <w:fldChar w:fldCharType="begin"/>
      </w:r>
      <w:r>
        <w:instrText xml:space="preserve"> PAGEREF _Toc467146880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of officers, members and others</w:t>
      </w:r>
      <w:r>
        <w:tab/>
      </w:r>
      <w:r>
        <w:fldChar w:fldCharType="begin"/>
      </w:r>
      <w:r>
        <w:instrText xml:space="preserve"> PAGEREF _Toc467146881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w:t>
      </w:r>
      <w:r>
        <w:tab/>
      </w:r>
      <w:r>
        <w:fldChar w:fldCharType="begin"/>
      </w:r>
      <w:r>
        <w:instrText xml:space="preserve"> PAGEREF _Toc467146882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_Toc467146883 \h </w:instrText>
      </w:r>
      <w:r>
        <w:fldChar w:fldCharType="separate"/>
      </w:r>
      <w:r>
        <w:t>33</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_Toc467146884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Savings</w:t>
      </w:r>
      <w:r>
        <w:tab/>
      </w:r>
      <w:r>
        <w:fldChar w:fldCharType="begin"/>
      </w:r>
      <w:r>
        <w:instrText xml:space="preserve"> PAGEREF _Toc467146885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_Toc467146887 \h </w:instrText>
      </w:r>
      <w:r>
        <w:fldChar w:fldCharType="separate"/>
      </w:r>
      <w:r>
        <w:t>35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_Toc467146888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080" w:after="180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3" w:name="_Toc404159173"/>
      <w:bookmarkStart w:id="4" w:name="_Toc416962492"/>
      <w:bookmarkStart w:id="5" w:name="_Toc416962544"/>
      <w:bookmarkStart w:id="6" w:name="_Toc423357102"/>
      <w:bookmarkStart w:id="7" w:name="_Toc425754771"/>
      <w:bookmarkStart w:id="8" w:name="_Toc46714683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404159174"/>
      <w:bookmarkStart w:id="10" w:name="_Toc467146838"/>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1" w:name="_Toc404159175"/>
      <w:bookmarkStart w:id="12" w:name="_Toc467146839"/>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3" w:name="_Toc404159176"/>
      <w:bookmarkStart w:id="14" w:name="_Toc467146840"/>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No. 8 of 2012 s. 169; No. 23 of 2014 s. 91.] </w:t>
      </w:r>
    </w:p>
    <w:p>
      <w:pPr>
        <w:pStyle w:val="Heading5"/>
        <w:spacing w:before="180"/>
        <w:rPr>
          <w:snapToGrid w:val="0"/>
        </w:rPr>
      </w:pPr>
      <w:bookmarkStart w:id="15" w:name="_Toc404159177"/>
      <w:bookmarkStart w:id="16" w:name="_Toc467146841"/>
      <w:r>
        <w:rPr>
          <w:rStyle w:val="CharSectno"/>
        </w:rPr>
        <w:t>4</w:t>
      </w:r>
      <w:r>
        <w:rPr>
          <w:snapToGrid w:val="0"/>
        </w:rPr>
        <w:t>.</w:t>
      </w:r>
      <w:r>
        <w:rPr>
          <w:snapToGrid w:val="0"/>
        </w:rPr>
        <w:tab/>
        <w:t>Application</w:t>
      </w:r>
      <w:bookmarkEnd w:id="15"/>
      <w:bookmarkEnd w:id="16"/>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17" w:name="_Toc404159178"/>
      <w:bookmarkStart w:id="18" w:name="_Toc467146842"/>
      <w:r>
        <w:rPr>
          <w:rStyle w:val="CharSectno"/>
        </w:rPr>
        <w:t>5</w:t>
      </w:r>
      <w:r>
        <w:t>.</w:t>
      </w:r>
      <w:r>
        <w:tab/>
        <w:t xml:space="preserve">Application of </w:t>
      </w:r>
      <w:r>
        <w:rPr>
          <w:i/>
        </w:rPr>
        <w:t>Interpretation Act 1984</w:t>
      </w:r>
      <w:r>
        <w:t xml:space="preserve"> to orders</w:t>
      </w:r>
      <w:bookmarkEnd w:id="17"/>
      <w:bookmarkEnd w:id="18"/>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19" w:name="_Toc404159179"/>
      <w:bookmarkStart w:id="20" w:name="_Toc416962498"/>
      <w:bookmarkStart w:id="21" w:name="_Toc416962550"/>
      <w:bookmarkStart w:id="22" w:name="_Toc423357108"/>
      <w:bookmarkStart w:id="23" w:name="_Toc425754777"/>
      <w:bookmarkStart w:id="24" w:name="_Toc467146843"/>
      <w:r>
        <w:rPr>
          <w:rStyle w:val="CharPartNo"/>
        </w:rPr>
        <w:t>Part II</w:t>
      </w:r>
      <w:r>
        <w:rPr>
          <w:rStyle w:val="CharDivNo"/>
        </w:rPr>
        <w:t> </w:t>
      </w:r>
      <w:r>
        <w:t>—</w:t>
      </w:r>
      <w:r>
        <w:rPr>
          <w:rStyle w:val="CharDivText"/>
        </w:rPr>
        <w:t> </w:t>
      </w:r>
      <w:r>
        <w:rPr>
          <w:rStyle w:val="CharPartText"/>
        </w:rPr>
        <w:t>Administration</w:t>
      </w:r>
      <w:bookmarkEnd w:id="19"/>
      <w:bookmarkEnd w:id="20"/>
      <w:bookmarkEnd w:id="21"/>
      <w:bookmarkEnd w:id="22"/>
      <w:bookmarkEnd w:id="23"/>
      <w:bookmarkEnd w:id="24"/>
      <w:r>
        <w:rPr>
          <w:rStyle w:val="CharPartText"/>
        </w:rPr>
        <w:t xml:space="preserve"> </w:t>
      </w:r>
    </w:p>
    <w:p>
      <w:pPr>
        <w:pStyle w:val="Heading5"/>
        <w:rPr>
          <w:snapToGrid w:val="0"/>
        </w:rPr>
      </w:pPr>
      <w:bookmarkStart w:id="25" w:name="_Toc404159180"/>
      <w:bookmarkStart w:id="26" w:name="_Toc467146844"/>
      <w:r>
        <w:rPr>
          <w:rStyle w:val="CharSectno"/>
        </w:rPr>
        <w:t>6</w:t>
      </w:r>
      <w:r>
        <w:rPr>
          <w:snapToGrid w:val="0"/>
        </w:rPr>
        <w:t>.</w:t>
      </w:r>
      <w:r>
        <w:rPr>
          <w:snapToGrid w:val="0"/>
        </w:rPr>
        <w:tab/>
        <w:t>Officers</w:t>
      </w:r>
      <w:bookmarkEnd w:id="25"/>
      <w:bookmarkEnd w:id="26"/>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27" w:name="_Toc404159181"/>
      <w:bookmarkStart w:id="28" w:name="_Toc467146845"/>
      <w:r>
        <w:rPr>
          <w:rStyle w:val="CharSectno"/>
        </w:rPr>
        <w:t>7</w:t>
      </w:r>
      <w:r>
        <w:rPr>
          <w:snapToGrid w:val="0"/>
        </w:rPr>
        <w:t>.</w:t>
      </w:r>
      <w:r>
        <w:rPr>
          <w:snapToGrid w:val="0"/>
        </w:rPr>
        <w:tab/>
        <w:t>Inspectors</w:t>
      </w:r>
      <w:bookmarkEnd w:id="27"/>
      <w:bookmarkEnd w:id="28"/>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29" w:name="_Toc404159182"/>
      <w:bookmarkStart w:id="30" w:name="_Toc467146846"/>
      <w:r>
        <w:rPr>
          <w:rStyle w:val="CharSectno"/>
        </w:rPr>
        <w:t>8</w:t>
      </w:r>
      <w:r>
        <w:rPr>
          <w:snapToGrid w:val="0"/>
        </w:rPr>
        <w:t>.</w:t>
      </w:r>
      <w:r>
        <w:rPr>
          <w:snapToGrid w:val="0"/>
        </w:rPr>
        <w:tab/>
        <w:t>Inspector’s certificate</w:t>
      </w:r>
      <w:bookmarkEnd w:id="29"/>
      <w:bookmarkEnd w:id="30"/>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31" w:name="_Toc404159183"/>
      <w:bookmarkStart w:id="32" w:name="_Toc467146847"/>
      <w:r>
        <w:rPr>
          <w:rStyle w:val="CharSectno"/>
        </w:rPr>
        <w:t>9</w:t>
      </w:r>
      <w:r>
        <w:rPr>
          <w:snapToGrid w:val="0"/>
        </w:rPr>
        <w:t>.</w:t>
      </w:r>
      <w:r>
        <w:rPr>
          <w:snapToGrid w:val="0"/>
        </w:rPr>
        <w:tab/>
        <w:t>Inspector subject to chief executive officer</w:t>
      </w:r>
      <w:bookmarkEnd w:id="31"/>
      <w:bookmarkEnd w:id="32"/>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33" w:name="_Toc404159184"/>
      <w:bookmarkStart w:id="34" w:name="_Toc416962503"/>
      <w:bookmarkStart w:id="35" w:name="_Toc416962555"/>
      <w:bookmarkStart w:id="36" w:name="_Toc423357113"/>
      <w:bookmarkStart w:id="37" w:name="_Toc425754782"/>
      <w:bookmarkStart w:id="38" w:name="_Toc467146848"/>
      <w:r>
        <w:rPr>
          <w:rStyle w:val="CharPartNo"/>
        </w:rPr>
        <w:t>Part III</w:t>
      </w:r>
      <w:r>
        <w:rPr>
          <w:rStyle w:val="CharDivNo"/>
        </w:rPr>
        <w:t> </w:t>
      </w:r>
      <w:r>
        <w:t>—</w:t>
      </w:r>
      <w:r>
        <w:rPr>
          <w:rStyle w:val="CharDivText"/>
        </w:rPr>
        <w:t> </w:t>
      </w:r>
      <w:r>
        <w:rPr>
          <w:rStyle w:val="CharPartText"/>
        </w:rPr>
        <w:t>Retail trading hours</w:t>
      </w:r>
      <w:bookmarkEnd w:id="33"/>
      <w:bookmarkEnd w:id="34"/>
      <w:bookmarkEnd w:id="35"/>
      <w:bookmarkEnd w:id="36"/>
      <w:bookmarkEnd w:id="37"/>
      <w:bookmarkEnd w:id="38"/>
      <w:r>
        <w:rPr>
          <w:rStyle w:val="CharPartText"/>
        </w:rPr>
        <w:t xml:space="preserve"> </w:t>
      </w:r>
    </w:p>
    <w:p>
      <w:pPr>
        <w:pStyle w:val="Heading5"/>
        <w:spacing w:before="200"/>
        <w:rPr>
          <w:snapToGrid w:val="0"/>
        </w:rPr>
      </w:pPr>
      <w:bookmarkStart w:id="39" w:name="_Toc404159185"/>
      <w:bookmarkStart w:id="40" w:name="_Toc467146849"/>
      <w:r>
        <w:rPr>
          <w:rStyle w:val="CharSectno"/>
        </w:rPr>
        <w:t>10</w:t>
      </w:r>
      <w:r>
        <w:rPr>
          <w:snapToGrid w:val="0"/>
        </w:rPr>
        <w:t>.</w:t>
      </w:r>
      <w:r>
        <w:rPr>
          <w:snapToGrid w:val="0"/>
        </w:rPr>
        <w:tab/>
        <w:t>Categories of retail shops</w:t>
      </w:r>
      <w:bookmarkEnd w:id="39"/>
      <w:bookmarkEnd w:id="40"/>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No. 23 of 2014 s. 92.] </w:t>
      </w:r>
    </w:p>
    <w:p>
      <w:pPr>
        <w:pStyle w:val="Heading5"/>
        <w:rPr>
          <w:snapToGrid w:val="0"/>
        </w:rPr>
      </w:pPr>
      <w:bookmarkStart w:id="41" w:name="_Toc404159186"/>
      <w:bookmarkStart w:id="42" w:name="_Toc467146850"/>
      <w:r>
        <w:rPr>
          <w:rStyle w:val="CharSectno"/>
        </w:rPr>
        <w:t>11</w:t>
      </w:r>
      <w:r>
        <w:rPr>
          <w:snapToGrid w:val="0"/>
        </w:rPr>
        <w:t>.</w:t>
      </w:r>
      <w:r>
        <w:rPr>
          <w:snapToGrid w:val="0"/>
        </w:rPr>
        <w:tab/>
        <w:t>Certifying shops as small retail shops or special retail shops</w:t>
      </w:r>
      <w:bookmarkEnd w:id="41"/>
      <w:bookmarkEnd w:id="42"/>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43" w:name="_Toc404159187"/>
      <w:bookmarkStart w:id="44" w:name="_Toc467146851"/>
      <w:r>
        <w:rPr>
          <w:rStyle w:val="CharSectno"/>
        </w:rPr>
        <w:t>12</w:t>
      </w:r>
      <w:r>
        <w:rPr>
          <w:snapToGrid w:val="0"/>
        </w:rPr>
        <w:t>.</w:t>
      </w:r>
      <w:r>
        <w:rPr>
          <w:snapToGrid w:val="0"/>
        </w:rPr>
        <w:tab/>
        <w:t>Trading hours for some general retail shops</w:t>
      </w:r>
      <w:bookmarkEnd w:id="43"/>
      <w:bookmarkEnd w:id="44"/>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holiday resort, as defined in section 12A(4); or</w:t>
      </w:r>
    </w:p>
    <w:p>
      <w:pPr>
        <w:pStyle w:val="Ednotepara"/>
      </w:pPr>
      <w:r>
        <w:tab/>
        <w:t>[(b)</w:t>
      </w:r>
      <w:r>
        <w:tab/>
        <w:t>deleted]</w:t>
      </w:r>
    </w:p>
    <w:p>
      <w:pPr>
        <w:pStyle w:val="Indenta"/>
      </w:pPr>
      <w:r>
        <w:tab/>
        <w:t>(c)</w:t>
      </w:r>
      <w:r>
        <w:tab/>
        <w:t>a motor vehicle shop.</w:t>
      </w:r>
    </w:p>
    <w:p>
      <w:pPr>
        <w:pStyle w:val="Footnotesection"/>
      </w:pPr>
      <w:r>
        <w:tab/>
        <w:t xml:space="preserve">[Section 12 amended by No. 1 of 1991 s. 8; No. 47 of 2006 s. 8; No. 22 of 2010 s. 4; No. 38 of 2010 s. 4; No. 13 of 2012 s. 4.] </w:t>
      </w:r>
    </w:p>
    <w:p>
      <w:pPr>
        <w:pStyle w:val="Heading5"/>
        <w:spacing w:before="240"/>
      </w:pPr>
      <w:bookmarkStart w:id="45" w:name="_Toc404159188"/>
      <w:bookmarkStart w:id="46" w:name="_Toc467146852"/>
      <w:r>
        <w:rPr>
          <w:rStyle w:val="CharSectno"/>
        </w:rPr>
        <w:t>12A</w:t>
      </w:r>
      <w:r>
        <w:t>.</w:t>
      </w:r>
      <w:r>
        <w:tab/>
        <w:t>Trading hours for general retail shops in holiday resorts</w:t>
      </w:r>
      <w:bookmarkEnd w:id="45"/>
      <w:bookmarkEnd w:id="46"/>
    </w:p>
    <w:p>
      <w:pPr>
        <w:pStyle w:val="Subsection"/>
        <w:spacing w:before="180"/>
      </w:pPr>
      <w:r>
        <w:tab/>
        <w:t>(1)</w:t>
      </w:r>
      <w:r>
        <w:tab/>
        <w:t xml:space="preserve">The Minister may by order fix a time or times when general retail shops in a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holiday resort; or</w:t>
      </w:r>
    </w:p>
    <w:p>
      <w:pPr>
        <w:pStyle w:val="Indenta"/>
      </w:pPr>
      <w:r>
        <w:tab/>
        <w:t>(b)</w:t>
      </w:r>
      <w:r>
        <w:tab/>
        <w:t>general retail shops in the holiday resort of a class specified in the order; or</w:t>
      </w:r>
    </w:p>
    <w:p>
      <w:pPr>
        <w:pStyle w:val="Indenta"/>
      </w:pPr>
      <w:r>
        <w:tab/>
        <w:t>(c)</w:t>
      </w:r>
      <w:r>
        <w:tab/>
        <w:t>general retail shops in the holiday resort that are specified in the order.</w:t>
      </w:r>
    </w:p>
    <w:p>
      <w:pPr>
        <w:pStyle w:val="Ednotesubsection"/>
      </w:pPr>
      <w:r>
        <w:tab/>
        <w:t>[(3)</w:t>
      </w:r>
      <w:r>
        <w:tab/>
        <w:t>deleted]</w:t>
      </w:r>
    </w:p>
    <w:p>
      <w:pPr>
        <w:pStyle w:val="Subsection"/>
      </w:pPr>
      <w:r>
        <w:tab/>
        <w:t>(4)</w:t>
      </w:r>
      <w:r>
        <w:tab/>
        <w:t xml:space="preserve">In this section — </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keepNext/>
      </w:pPr>
      <w:r>
        <w:rPr>
          <w:b/>
        </w:rPr>
        <w:tab/>
      </w:r>
      <w:r>
        <w:rPr>
          <w:rStyle w:val="CharDefText"/>
        </w:rPr>
        <w:t>Wanneroo holiday resort</w:t>
      </w:r>
      <w:r>
        <w:t xml:space="preserve"> means the area or areas prescribed for the purposes of this definition.</w:t>
      </w:r>
    </w:p>
    <w:p>
      <w:pPr>
        <w:pStyle w:val="Footnotesection"/>
      </w:pPr>
      <w:r>
        <w:tab/>
        <w:t>[Section 12A inserted by No. 47 of 2006 s. 9; amended by No. 22 of 2010 s. 5; No. 36 of 2010 s. 4; No. 37 of 2010 s. 4; No. 13 of 2012 s. 5.]</w:t>
      </w:r>
    </w:p>
    <w:p>
      <w:pPr>
        <w:pStyle w:val="Heading5"/>
      </w:pPr>
      <w:bookmarkStart w:id="47" w:name="_Toc404159189"/>
      <w:bookmarkStart w:id="48" w:name="_Toc467146853"/>
      <w:r>
        <w:rPr>
          <w:rStyle w:val="CharSectno"/>
        </w:rPr>
        <w:t>12B</w:t>
      </w:r>
      <w:r>
        <w:t>.</w:t>
      </w:r>
      <w:r>
        <w:tab/>
        <w:t>Trading hours for motor vehicle shops</w:t>
      </w:r>
      <w:bookmarkEnd w:id="47"/>
      <w:bookmarkEnd w:id="48"/>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by No. 47 of 2006 s. 9.]</w:t>
      </w:r>
    </w:p>
    <w:p>
      <w:pPr>
        <w:pStyle w:val="Heading5"/>
      </w:pPr>
      <w:bookmarkStart w:id="49" w:name="_Toc404159190"/>
      <w:bookmarkStart w:id="50" w:name="_Toc467146854"/>
      <w:r>
        <w:rPr>
          <w:rStyle w:val="CharSectno"/>
        </w:rPr>
        <w:t>12C</w:t>
      </w:r>
      <w:r>
        <w:t>.</w:t>
      </w:r>
      <w:r>
        <w:tab/>
        <w:t>No restriction on trading hours for small retail shops</w:t>
      </w:r>
      <w:bookmarkEnd w:id="49"/>
      <w:bookmarkEnd w:id="50"/>
    </w:p>
    <w:p>
      <w:pPr>
        <w:pStyle w:val="Subsection"/>
      </w:pPr>
      <w:r>
        <w:tab/>
      </w:r>
      <w:r>
        <w:tab/>
        <w:t>A small retail shop may be open at any time.</w:t>
      </w:r>
    </w:p>
    <w:p>
      <w:pPr>
        <w:pStyle w:val="Footnotesection"/>
      </w:pPr>
      <w:r>
        <w:tab/>
        <w:t>[Section 12C inserted by No. 47 of 2006 s. 9.]</w:t>
      </w:r>
    </w:p>
    <w:p>
      <w:pPr>
        <w:pStyle w:val="Heading5"/>
      </w:pPr>
      <w:bookmarkStart w:id="51" w:name="_Toc404159191"/>
      <w:bookmarkStart w:id="52" w:name="_Toc467146855"/>
      <w:r>
        <w:rPr>
          <w:rStyle w:val="CharSectno"/>
        </w:rPr>
        <w:t>12D</w:t>
      </w:r>
      <w:r>
        <w:t>.</w:t>
      </w:r>
      <w:r>
        <w:tab/>
        <w:t>Trading hours for special retail shops</w:t>
      </w:r>
      <w:bookmarkEnd w:id="51"/>
      <w:bookmarkEnd w:id="52"/>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by No. 47 of 2006 s. 9.]</w:t>
      </w:r>
    </w:p>
    <w:p>
      <w:pPr>
        <w:pStyle w:val="Heading5"/>
      </w:pPr>
      <w:bookmarkStart w:id="53" w:name="_Toc404159192"/>
      <w:bookmarkStart w:id="54" w:name="_Toc467146856"/>
      <w:r>
        <w:rPr>
          <w:rStyle w:val="CharSectno"/>
        </w:rPr>
        <w:t>12E</w:t>
      </w:r>
      <w:r>
        <w:t>.</w:t>
      </w:r>
      <w:r>
        <w:tab/>
        <w:t>Variation of trading hours</w:t>
      </w:r>
      <w:bookmarkEnd w:id="53"/>
      <w:bookmarkEnd w:id="54"/>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 No. 13 of 2012 s. 6.]</w:t>
      </w:r>
    </w:p>
    <w:p>
      <w:pPr>
        <w:pStyle w:val="Ednotesection"/>
      </w:pPr>
      <w:r>
        <w:t>[</w:t>
      </w:r>
      <w:r>
        <w:rPr>
          <w:b/>
          <w:bCs/>
        </w:rPr>
        <w:t>13.</w:t>
      </w:r>
      <w:r>
        <w:tab/>
        <w:t>Deleted by No. 47 of 2006 s. 10.]</w:t>
      </w:r>
    </w:p>
    <w:p>
      <w:pPr>
        <w:pStyle w:val="Heading5"/>
      </w:pPr>
      <w:bookmarkStart w:id="55" w:name="_Toc404159193"/>
      <w:bookmarkStart w:id="56" w:name="_Toc467146857"/>
      <w:r>
        <w:rPr>
          <w:rStyle w:val="CharSectno"/>
        </w:rPr>
        <w:t>14</w:t>
      </w:r>
      <w:r>
        <w:t>.</w:t>
      </w:r>
      <w:r>
        <w:tab/>
        <w:t>No restriction on trading hours for filling stations</w:t>
      </w:r>
      <w:bookmarkEnd w:id="55"/>
      <w:bookmarkEnd w:id="56"/>
    </w:p>
    <w:p>
      <w:pPr>
        <w:pStyle w:val="Subsection"/>
      </w:pPr>
      <w:r>
        <w:tab/>
      </w:r>
      <w:r>
        <w:tab/>
        <w:t>A filling station may be open at any time.</w:t>
      </w:r>
    </w:p>
    <w:p>
      <w:pPr>
        <w:pStyle w:val="Footnotesection"/>
      </w:pPr>
      <w:r>
        <w:tab/>
        <w:t>[Section 14 inserted by No. 47 of 2006 s. 11.]</w:t>
      </w:r>
    </w:p>
    <w:p>
      <w:pPr>
        <w:pStyle w:val="Heading5"/>
      </w:pPr>
      <w:bookmarkStart w:id="57" w:name="_Toc404159194"/>
      <w:bookmarkStart w:id="58" w:name="_Toc467146858"/>
      <w:r>
        <w:rPr>
          <w:rStyle w:val="CharSectno"/>
        </w:rPr>
        <w:t>14A</w:t>
      </w:r>
      <w:r>
        <w:t>.</w:t>
      </w:r>
      <w:r>
        <w:tab/>
        <w:t>Goods that can be sold at filling stations</w:t>
      </w:r>
      <w:bookmarkEnd w:id="57"/>
      <w:bookmarkEnd w:id="58"/>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by No. 47 of 2006 s. 11; amended by No. 38 of 2010 s. 6.]</w:t>
      </w:r>
    </w:p>
    <w:p>
      <w:pPr>
        <w:pStyle w:val="Heading5"/>
      </w:pPr>
      <w:bookmarkStart w:id="59" w:name="_Toc404159195"/>
      <w:bookmarkStart w:id="60" w:name="_Toc467146859"/>
      <w:r>
        <w:rPr>
          <w:rStyle w:val="CharSectno"/>
        </w:rPr>
        <w:t>14B</w:t>
      </w:r>
      <w:r>
        <w:t>.</w:t>
      </w:r>
      <w:r>
        <w:tab/>
        <w:t>Small filling stations, general provisions about</w:t>
      </w:r>
      <w:bookmarkEnd w:id="59"/>
      <w:bookmarkEnd w:id="60"/>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r>
        <w:tab/>
        <w:t>[Section 14B inserted by No. 47 of 2006 s. 11.]</w:t>
      </w:r>
    </w:p>
    <w:p>
      <w:pPr>
        <w:pStyle w:val="Heading5"/>
      </w:pPr>
      <w:bookmarkStart w:id="61" w:name="_Toc404159196"/>
      <w:bookmarkStart w:id="62" w:name="_Toc467146860"/>
      <w:r>
        <w:rPr>
          <w:rStyle w:val="CharSectno"/>
        </w:rPr>
        <w:t>14C</w:t>
      </w:r>
      <w:r>
        <w:t>.</w:t>
      </w:r>
      <w:r>
        <w:tab/>
        <w:t>Certifying filling stations as small filling stations</w:t>
      </w:r>
      <w:bookmarkEnd w:id="61"/>
      <w:bookmarkEnd w:id="62"/>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spacing w:before="120"/>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spacing w:before="120"/>
      </w:pPr>
      <w:r>
        <w:tab/>
        <w:t>(3)</w:t>
      </w:r>
      <w:r>
        <w:tab/>
        <w:t>A person who is aggrieved by a decision of the chief executive officer refusing the issue of a certificate under subsection (2) may appeal to the Minister, whose decision is final.</w:t>
      </w:r>
    </w:p>
    <w:p>
      <w:pPr>
        <w:pStyle w:val="Subsection"/>
        <w:spacing w:before="120"/>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spacing w:before="120"/>
      </w:pPr>
      <w:r>
        <w:tab/>
        <w:t>(5)</w:t>
      </w:r>
      <w:r>
        <w:tab/>
        <w:t>The cancellation of a certificate under this section does not prevent a person from being prosecuted for an offence against this Act.</w:t>
      </w:r>
    </w:p>
    <w:p>
      <w:pPr>
        <w:pStyle w:val="Footnotesection"/>
        <w:spacing w:before="80"/>
        <w:ind w:left="890" w:hanging="890"/>
      </w:pPr>
      <w:r>
        <w:tab/>
        <w:t>[Section 14C inserted by No. 47 of 2006 s. 11; amended by No. 38 of 2010 s. 7.]</w:t>
      </w:r>
    </w:p>
    <w:p>
      <w:pPr>
        <w:pStyle w:val="Heading5"/>
        <w:rPr>
          <w:snapToGrid w:val="0"/>
        </w:rPr>
      </w:pPr>
      <w:bookmarkStart w:id="63" w:name="_Toc404159197"/>
      <w:bookmarkStart w:id="64" w:name="_Toc467146861"/>
      <w:r>
        <w:rPr>
          <w:rStyle w:val="CharSectno"/>
        </w:rPr>
        <w:t>15</w:t>
      </w:r>
      <w:r>
        <w:rPr>
          <w:snapToGrid w:val="0"/>
        </w:rPr>
        <w:t>.</w:t>
      </w:r>
      <w:r>
        <w:rPr>
          <w:snapToGrid w:val="0"/>
        </w:rPr>
        <w:tab/>
        <w:t>Permits</w:t>
      </w:r>
      <w:bookmarkEnd w:id="63"/>
      <w:bookmarkEnd w:id="64"/>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spacing w:before="160"/>
        <w:rPr>
          <w:snapToGrid w:val="0"/>
        </w:rPr>
      </w:pPr>
      <w:bookmarkStart w:id="65" w:name="_Toc404159198"/>
      <w:bookmarkStart w:id="66" w:name="_Toc467146862"/>
      <w:r>
        <w:rPr>
          <w:rStyle w:val="CharSectno"/>
        </w:rPr>
        <w:t>16</w:t>
      </w:r>
      <w:r>
        <w:rPr>
          <w:snapToGrid w:val="0"/>
        </w:rPr>
        <w:t>.</w:t>
      </w:r>
      <w:r>
        <w:rPr>
          <w:snapToGrid w:val="0"/>
        </w:rPr>
        <w:tab/>
        <w:t>Covenants relating to opening of retail shops</w:t>
      </w:r>
      <w:bookmarkEnd w:id="65"/>
      <w:bookmarkEnd w:id="66"/>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Ednotesection"/>
        <w:spacing w:before="160"/>
        <w:ind w:left="890" w:hanging="890"/>
      </w:pPr>
      <w:r>
        <w:t>[</w:t>
      </w:r>
      <w:r>
        <w:rPr>
          <w:b/>
          <w:bCs/>
        </w:rPr>
        <w:t>17-21.</w:t>
      </w:r>
      <w:r>
        <w:tab/>
        <w:t>Deleted by No. 23 of 2014 s. 93.]</w:t>
      </w:r>
    </w:p>
    <w:p>
      <w:pPr>
        <w:pStyle w:val="Heading2"/>
      </w:pPr>
      <w:bookmarkStart w:id="67" w:name="_Toc404159199"/>
      <w:bookmarkStart w:id="68" w:name="_Toc416962518"/>
      <w:bookmarkStart w:id="69" w:name="_Toc416962570"/>
      <w:bookmarkStart w:id="70" w:name="_Toc423357128"/>
      <w:bookmarkStart w:id="71" w:name="_Toc425754797"/>
      <w:bookmarkStart w:id="72" w:name="_Toc467146863"/>
      <w:r>
        <w:rPr>
          <w:rStyle w:val="CharPartNo"/>
        </w:rPr>
        <w:t>Part IV</w:t>
      </w:r>
      <w:r>
        <w:rPr>
          <w:rStyle w:val="CharDivNo"/>
        </w:rPr>
        <w:t> </w:t>
      </w:r>
      <w:r>
        <w:t>—</w:t>
      </w:r>
      <w:r>
        <w:rPr>
          <w:rStyle w:val="CharDivText"/>
        </w:rPr>
        <w:t> </w:t>
      </w:r>
      <w:r>
        <w:rPr>
          <w:rStyle w:val="CharPartText"/>
        </w:rPr>
        <w:t>Miscellaneous</w:t>
      </w:r>
      <w:bookmarkEnd w:id="67"/>
      <w:bookmarkEnd w:id="68"/>
      <w:bookmarkEnd w:id="69"/>
      <w:bookmarkEnd w:id="70"/>
      <w:bookmarkEnd w:id="71"/>
      <w:bookmarkEnd w:id="72"/>
      <w:r>
        <w:rPr>
          <w:rStyle w:val="CharPartText"/>
        </w:rPr>
        <w:t xml:space="preserve"> </w:t>
      </w:r>
    </w:p>
    <w:p>
      <w:pPr>
        <w:pStyle w:val="Heading5"/>
        <w:rPr>
          <w:snapToGrid w:val="0"/>
        </w:rPr>
      </w:pPr>
      <w:bookmarkStart w:id="73" w:name="_Toc404159200"/>
      <w:bookmarkStart w:id="74" w:name="_Toc467146864"/>
      <w:r>
        <w:rPr>
          <w:rStyle w:val="CharSectno"/>
        </w:rPr>
        <w:t>22</w:t>
      </w:r>
      <w:r>
        <w:rPr>
          <w:snapToGrid w:val="0"/>
        </w:rPr>
        <w:t>.</w:t>
      </w:r>
      <w:r>
        <w:rPr>
          <w:snapToGrid w:val="0"/>
        </w:rPr>
        <w:tab/>
        <w:t>Covenants contrary to this Act negated</w:t>
      </w:r>
      <w:bookmarkEnd w:id="73"/>
      <w:bookmarkEnd w:id="74"/>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75" w:name="_Toc404159201"/>
      <w:bookmarkStart w:id="76" w:name="_Toc467146865"/>
      <w:r>
        <w:rPr>
          <w:rStyle w:val="CharSectno"/>
        </w:rPr>
        <w:t>23</w:t>
      </w:r>
      <w:r>
        <w:rPr>
          <w:snapToGrid w:val="0"/>
        </w:rPr>
        <w:t>.</w:t>
      </w:r>
      <w:r>
        <w:rPr>
          <w:snapToGrid w:val="0"/>
        </w:rPr>
        <w:tab/>
        <w:t>Auctions of domestic furniture at dwelling house</w:t>
      </w:r>
      <w:bookmarkEnd w:id="75"/>
      <w:bookmarkEnd w:id="76"/>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77" w:name="_Toc404159202"/>
      <w:bookmarkStart w:id="78" w:name="_Toc467146866"/>
      <w:r>
        <w:rPr>
          <w:rStyle w:val="CharSectno"/>
        </w:rPr>
        <w:t>24</w:t>
      </w:r>
      <w:r>
        <w:rPr>
          <w:snapToGrid w:val="0"/>
        </w:rPr>
        <w:t>.</w:t>
      </w:r>
      <w:r>
        <w:rPr>
          <w:snapToGrid w:val="0"/>
        </w:rPr>
        <w:tab/>
        <w:t>When retail shop deemed not to be closed</w:t>
      </w:r>
      <w:bookmarkEnd w:id="77"/>
      <w:bookmarkEnd w:id="78"/>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79" w:name="_Toc404159203"/>
      <w:bookmarkStart w:id="80" w:name="_Toc467146867"/>
      <w:r>
        <w:rPr>
          <w:rStyle w:val="CharSectno"/>
        </w:rPr>
        <w:t>25</w:t>
      </w:r>
      <w:r>
        <w:rPr>
          <w:snapToGrid w:val="0"/>
        </w:rPr>
        <w:t>.</w:t>
      </w:r>
      <w:r>
        <w:rPr>
          <w:snapToGrid w:val="0"/>
        </w:rPr>
        <w:tab/>
        <w:t>Offences as to operating retail shops</w:t>
      </w:r>
      <w:bookmarkEnd w:id="79"/>
      <w:bookmarkEnd w:id="80"/>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81" w:name="_Toc404159204"/>
      <w:bookmarkStart w:id="82" w:name="_Toc467146868"/>
      <w:r>
        <w:rPr>
          <w:rStyle w:val="CharSectno"/>
        </w:rPr>
        <w:t>26</w:t>
      </w:r>
      <w:r>
        <w:rPr>
          <w:snapToGrid w:val="0"/>
        </w:rPr>
        <w:t>.</w:t>
      </w:r>
      <w:r>
        <w:rPr>
          <w:snapToGrid w:val="0"/>
        </w:rPr>
        <w:tab/>
        <w:t>Advertisements of retail shopping hours, restrictions on</w:t>
      </w:r>
      <w:bookmarkEnd w:id="81"/>
      <w:bookmarkEnd w:id="82"/>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83" w:name="_Toc404159205"/>
      <w:bookmarkStart w:id="84" w:name="_Toc467146869"/>
      <w:r>
        <w:rPr>
          <w:rStyle w:val="CharSectno"/>
        </w:rPr>
        <w:t>27</w:t>
      </w:r>
      <w:r>
        <w:rPr>
          <w:snapToGrid w:val="0"/>
        </w:rPr>
        <w:t>.</w:t>
      </w:r>
      <w:r>
        <w:rPr>
          <w:snapToGrid w:val="0"/>
        </w:rPr>
        <w:tab/>
        <w:t>Chief executive officer’s powers</w:t>
      </w:r>
      <w:bookmarkEnd w:id="83"/>
      <w:bookmarkEnd w:id="84"/>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85" w:name="_Toc404159206"/>
      <w:bookmarkStart w:id="86" w:name="_Toc467146870"/>
      <w:r>
        <w:rPr>
          <w:rStyle w:val="CharSectno"/>
        </w:rPr>
        <w:t>27A</w:t>
      </w:r>
      <w:r>
        <w:rPr>
          <w:snapToGrid w:val="0"/>
        </w:rPr>
        <w:t>.</w:t>
      </w:r>
      <w:r>
        <w:rPr>
          <w:snapToGrid w:val="0"/>
        </w:rPr>
        <w:tab/>
        <w:t>Delegation</w:t>
      </w:r>
      <w:bookmarkEnd w:id="85"/>
      <w:bookmarkEnd w:id="86"/>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87" w:name="_Toc404159207"/>
      <w:bookmarkStart w:id="88" w:name="_Toc467146871"/>
      <w:r>
        <w:rPr>
          <w:rStyle w:val="CharSectno"/>
        </w:rPr>
        <w:t>28</w:t>
      </w:r>
      <w:r>
        <w:rPr>
          <w:snapToGrid w:val="0"/>
        </w:rPr>
        <w:t>.</w:t>
      </w:r>
      <w:r>
        <w:rPr>
          <w:snapToGrid w:val="0"/>
        </w:rPr>
        <w:tab/>
        <w:t>Access to places, books etc.</w:t>
      </w:r>
      <w:bookmarkEnd w:id="87"/>
      <w:bookmarkEnd w:id="88"/>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keepLines w:val="0"/>
        <w:widowControl w:val="0"/>
        <w:rPr>
          <w:snapToGrid w:val="0"/>
        </w:rPr>
      </w:pPr>
      <w:bookmarkStart w:id="89" w:name="_Toc404159208"/>
      <w:bookmarkStart w:id="90" w:name="_Toc467146872"/>
      <w:r>
        <w:rPr>
          <w:rStyle w:val="CharSectno"/>
        </w:rPr>
        <w:t>29</w:t>
      </w:r>
      <w:r>
        <w:rPr>
          <w:snapToGrid w:val="0"/>
        </w:rPr>
        <w:t>.</w:t>
      </w:r>
      <w:r>
        <w:rPr>
          <w:snapToGrid w:val="0"/>
        </w:rPr>
        <w:tab/>
        <w:t>Inspector or authorised person may require information</w:t>
      </w:r>
      <w:bookmarkEnd w:id="89"/>
      <w:bookmarkEnd w:id="90"/>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91" w:name="_Toc404159209"/>
      <w:bookmarkStart w:id="92" w:name="_Toc467146873"/>
      <w:r>
        <w:rPr>
          <w:rStyle w:val="CharSectno"/>
        </w:rPr>
        <w:t>30</w:t>
      </w:r>
      <w:r>
        <w:rPr>
          <w:snapToGrid w:val="0"/>
        </w:rPr>
        <w:t>.</w:t>
      </w:r>
      <w:r>
        <w:rPr>
          <w:snapToGrid w:val="0"/>
        </w:rPr>
        <w:tab/>
        <w:t>Obstructing etc. inspector, authorised person etc.</w:t>
      </w:r>
      <w:bookmarkEnd w:id="91"/>
      <w:bookmarkEnd w:id="9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spacing w:before="240"/>
        <w:rPr>
          <w:snapToGrid w:val="0"/>
        </w:rPr>
      </w:pPr>
      <w:bookmarkStart w:id="93" w:name="_Toc404159210"/>
      <w:bookmarkStart w:id="94" w:name="_Toc467146874"/>
      <w:r>
        <w:rPr>
          <w:rStyle w:val="CharSectno"/>
        </w:rPr>
        <w:t>31</w:t>
      </w:r>
      <w:r>
        <w:rPr>
          <w:snapToGrid w:val="0"/>
        </w:rPr>
        <w:t>.</w:t>
      </w:r>
      <w:r>
        <w:rPr>
          <w:snapToGrid w:val="0"/>
        </w:rPr>
        <w:tab/>
        <w:t>Protection of person questioned</w:t>
      </w:r>
      <w:bookmarkEnd w:id="93"/>
      <w:bookmarkEnd w:id="94"/>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95" w:name="_Toc404159211"/>
      <w:bookmarkStart w:id="96" w:name="_Toc467146875"/>
      <w:r>
        <w:rPr>
          <w:rStyle w:val="CharSectno"/>
        </w:rPr>
        <w:t>32</w:t>
      </w:r>
      <w:r>
        <w:rPr>
          <w:snapToGrid w:val="0"/>
        </w:rPr>
        <w:t>.</w:t>
      </w:r>
      <w:r>
        <w:rPr>
          <w:snapToGrid w:val="0"/>
        </w:rPr>
        <w:tab/>
        <w:t>Unauthorised disclosure of information</w:t>
      </w:r>
      <w:bookmarkEnd w:id="95"/>
      <w:bookmarkEnd w:id="96"/>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by No. 47 of 2006 s. 17.]</w:t>
      </w:r>
    </w:p>
    <w:p>
      <w:pPr>
        <w:pStyle w:val="Heading5"/>
        <w:spacing w:before="240"/>
        <w:rPr>
          <w:snapToGrid w:val="0"/>
        </w:rPr>
      </w:pPr>
      <w:bookmarkStart w:id="97" w:name="_Toc404159212"/>
      <w:bookmarkStart w:id="98" w:name="_Toc467146876"/>
      <w:r>
        <w:rPr>
          <w:rStyle w:val="CharSectno"/>
        </w:rPr>
        <w:t>33</w:t>
      </w:r>
      <w:r>
        <w:rPr>
          <w:snapToGrid w:val="0"/>
        </w:rPr>
        <w:t>.</w:t>
      </w:r>
      <w:r>
        <w:rPr>
          <w:snapToGrid w:val="0"/>
        </w:rPr>
        <w:tab/>
        <w:t>Offences as to dishonesty or damage</w:t>
      </w:r>
      <w:bookmarkEnd w:id="97"/>
      <w:bookmarkEnd w:id="98"/>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by No. 47 of 2006 s. 17.]</w:t>
      </w:r>
    </w:p>
    <w:p>
      <w:pPr>
        <w:pStyle w:val="Heading5"/>
        <w:spacing w:before="240"/>
        <w:rPr>
          <w:snapToGrid w:val="0"/>
        </w:rPr>
      </w:pPr>
      <w:bookmarkStart w:id="99" w:name="_Toc404159213"/>
      <w:bookmarkStart w:id="100" w:name="_Toc467146877"/>
      <w:r>
        <w:rPr>
          <w:rStyle w:val="CharSectno"/>
        </w:rPr>
        <w:t>34</w:t>
      </w:r>
      <w:r>
        <w:rPr>
          <w:snapToGrid w:val="0"/>
        </w:rPr>
        <w:t>.</w:t>
      </w:r>
      <w:r>
        <w:rPr>
          <w:snapToGrid w:val="0"/>
        </w:rPr>
        <w:tab/>
        <w:t>Liability of directors etc. of bodies corporate</w:t>
      </w:r>
      <w:bookmarkEnd w:id="99"/>
      <w:bookmarkEnd w:id="100"/>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101" w:name="_Toc404159214"/>
      <w:bookmarkStart w:id="102" w:name="_Toc467146878"/>
      <w:r>
        <w:rPr>
          <w:rStyle w:val="CharSectno"/>
        </w:rPr>
        <w:t>35</w:t>
      </w:r>
      <w:r>
        <w:rPr>
          <w:snapToGrid w:val="0"/>
        </w:rPr>
        <w:t>.</w:t>
      </w:r>
      <w:r>
        <w:rPr>
          <w:snapToGrid w:val="0"/>
        </w:rPr>
        <w:tab/>
        <w:t>Records etc. for this Act, availability of</w:t>
      </w:r>
      <w:bookmarkEnd w:id="101"/>
      <w:bookmarkEnd w:id="102"/>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103" w:name="_Toc404159215"/>
      <w:bookmarkStart w:id="104" w:name="_Toc467146879"/>
      <w:r>
        <w:rPr>
          <w:rStyle w:val="CharSectno"/>
        </w:rPr>
        <w:t>36</w:t>
      </w:r>
      <w:r>
        <w:rPr>
          <w:snapToGrid w:val="0"/>
        </w:rPr>
        <w:t>.</w:t>
      </w:r>
      <w:r>
        <w:rPr>
          <w:snapToGrid w:val="0"/>
        </w:rPr>
        <w:tab/>
        <w:t>Records etc. for this Act to be in English</w:t>
      </w:r>
      <w:bookmarkEnd w:id="103"/>
      <w:bookmarkEnd w:id="104"/>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105" w:name="_Toc404159216"/>
      <w:bookmarkStart w:id="106" w:name="_Toc467146880"/>
      <w:r>
        <w:rPr>
          <w:rStyle w:val="CharSectno"/>
        </w:rPr>
        <w:t>37</w:t>
      </w:r>
      <w:r>
        <w:rPr>
          <w:snapToGrid w:val="0"/>
        </w:rPr>
        <w:t>.</w:t>
      </w:r>
      <w:r>
        <w:rPr>
          <w:snapToGrid w:val="0"/>
        </w:rPr>
        <w:tab/>
        <w:t>Prosecutions of offences need chief executive officer’s consent</w:t>
      </w:r>
      <w:bookmarkEnd w:id="105"/>
      <w:bookmarkEnd w:id="106"/>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107" w:name="_Toc404159217"/>
      <w:bookmarkStart w:id="108" w:name="_Toc467146881"/>
      <w:r>
        <w:rPr>
          <w:rStyle w:val="CharSectno"/>
        </w:rPr>
        <w:t>38</w:t>
      </w:r>
      <w:r>
        <w:rPr>
          <w:snapToGrid w:val="0"/>
        </w:rPr>
        <w:t>.</w:t>
      </w:r>
      <w:r>
        <w:rPr>
          <w:snapToGrid w:val="0"/>
        </w:rPr>
        <w:tab/>
        <w:t>Protection of officers, members and others</w:t>
      </w:r>
      <w:bookmarkEnd w:id="107"/>
      <w:bookmarkEnd w:id="108"/>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No. 23 of 2014 s. 94.] </w:t>
      </w:r>
    </w:p>
    <w:p>
      <w:pPr>
        <w:pStyle w:val="Heading5"/>
        <w:rPr>
          <w:snapToGrid w:val="0"/>
        </w:rPr>
      </w:pPr>
      <w:bookmarkStart w:id="109" w:name="_Toc404159218"/>
      <w:bookmarkStart w:id="110" w:name="_Toc467146882"/>
      <w:r>
        <w:rPr>
          <w:rStyle w:val="CharSectno"/>
        </w:rPr>
        <w:t>39</w:t>
      </w:r>
      <w:r>
        <w:rPr>
          <w:snapToGrid w:val="0"/>
        </w:rPr>
        <w:t>.</w:t>
      </w:r>
      <w:r>
        <w:rPr>
          <w:snapToGrid w:val="0"/>
        </w:rPr>
        <w:tab/>
        <w:t>Evidentiary provisions</w:t>
      </w:r>
      <w:bookmarkEnd w:id="109"/>
      <w:bookmarkEnd w:id="110"/>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111" w:name="_Toc404159219"/>
      <w:bookmarkStart w:id="112" w:name="_Toc467146883"/>
      <w:r>
        <w:rPr>
          <w:rStyle w:val="CharSectno"/>
        </w:rPr>
        <w:t>40</w:t>
      </w:r>
      <w:r>
        <w:rPr>
          <w:snapToGrid w:val="0"/>
        </w:rPr>
        <w:t>.</w:t>
      </w:r>
      <w:r>
        <w:rPr>
          <w:snapToGrid w:val="0"/>
        </w:rPr>
        <w:tab/>
        <w:t>Regulations</w:t>
      </w:r>
      <w:bookmarkEnd w:id="111"/>
      <w:bookmarkEnd w:id="112"/>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113" w:name="_Toc404159220"/>
      <w:bookmarkStart w:id="114" w:name="_Toc467146884"/>
      <w:r>
        <w:rPr>
          <w:rStyle w:val="CharSectno"/>
        </w:rPr>
        <w:t>41</w:t>
      </w:r>
      <w:r>
        <w:t>.</w:t>
      </w:r>
      <w:r>
        <w:tab/>
        <w:t>Review of Act</w:t>
      </w:r>
      <w:bookmarkEnd w:id="113"/>
      <w:bookmarkEnd w:id="114"/>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115" w:name="_Toc404159221"/>
      <w:bookmarkStart w:id="116" w:name="_Toc467146885"/>
      <w:r>
        <w:rPr>
          <w:rStyle w:val="CharSectno"/>
        </w:rPr>
        <w:t>42</w:t>
      </w:r>
      <w:r>
        <w:rPr>
          <w:snapToGrid w:val="0"/>
        </w:rPr>
        <w:t>.</w:t>
      </w:r>
      <w:r>
        <w:rPr>
          <w:snapToGrid w:val="0"/>
        </w:rPr>
        <w:tab/>
        <w:t>Savings</w:t>
      </w:r>
      <w:bookmarkEnd w:id="115"/>
      <w:bookmarkEnd w:id="116"/>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17" w:name="_Toc404159222"/>
      <w:bookmarkStart w:id="118" w:name="_Toc416962541"/>
      <w:bookmarkStart w:id="119" w:name="_Toc416962593"/>
      <w:bookmarkStart w:id="120" w:name="_Toc423357151"/>
      <w:bookmarkStart w:id="121" w:name="_Toc425754820"/>
      <w:bookmarkStart w:id="122" w:name="_Toc467146886"/>
      <w:r>
        <w:t>Notes</w:t>
      </w:r>
      <w:bookmarkEnd w:id="117"/>
      <w:bookmarkEnd w:id="118"/>
      <w:bookmarkEnd w:id="119"/>
      <w:bookmarkEnd w:id="120"/>
      <w:bookmarkEnd w:id="121"/>
      <w:bookmarkEnd w:id="122"/>
    </w:p>
    <w:p>
      <w:pPr>
        <w:pStyle w:val="nSubsection"/>
      </w:pPr>
      <w:r>
        <w:rPr>
          <w:vertAlign w:val="superscript"/>
        </w:rPr>
        <w:t>1</w:t>
      </w:r>
      <w:r>
        <w:tab/>
        <w:t xml:space="preserve">This is a compilation of the </w:t>
      </w:r>
      <w:r>
        <w:rPr>
          <w:i/>
        </w:rPr>
        <w:t xml:space="preserve">Retail Trading Hours Act 1987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123" w:name="_Toc467146887"/>
      <w:r>
        <w:t>Compilation table</w:t>
      </w:r>
      <w:bookmarkEnd w:id="12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rPr>
          <w:cantSplit/>
        </w:trPr>
        <w:tc>
          <w:tcPr>
            <w:tcW w:w="2269" w:type="dxa"/>
          </w:tcPr>
          <w:p>
            <w:pPr>
              <w:pStyle w:val="nTable"/>
              <w:spacing w:after="40"/>
              <w:rPr>
                <w:rFonts w:ascii="Times" w:hAnsi="Times"/>
                <w:i/>
                <w:iCs/>
                <w:snapToGrid w:val="0"/>
              </w:rPr>
            </w:pPr>
            <w:r>
              <w:rPr>
                <w:rFonts w:ascii="Times" w:hAnsi="Times"/>
                <w:i/>
                <w:iCs/>
                <w:snapToGrid w:val="0"/>
              </w:rPr>
              <w:t>Training Legislation Amendment and Repeal Act 2008</w:t>
            </w:r>
            <w:r>
              <w:rPr>
                <w:rFonts w:ascii="Times" w:hAnsi="Times"/>
                <w:snapToGrid w:val="0"/>
              </w:rPr>
              <w:t xml:space="preserve"> s. 60</w:t>
            </w:r>
          </w:p>
        </w:tc>
        <w:tc>
          <w:tcPr>
            <w:tcW w:w="1134" w:type="dxa"/>
          </w:tcPr>
          <w:p>
            <w:pPr>
              <w:pStyle w:val="nTable"/>
              <w:spacing w:after="40"/>
              <w:rPr>
                <w:rFonts w:ascii="Times" w:hAnsi="Times"/>
                <w:snapToGrid w:val="0"/>
              </w:rPr>
            </w:pPr>
            <w:r>
              <w:rPr>
                <w:rFonts w:ascii="Times" w:hAnsi="Times"/>
                <w:snapToGrid w:val="0"/>
              </w:rPr>
              <w:t>44 of 2008</w:t>
            </w:r>
          </w:p>
        </w:tc>
        <w:tc>
          <w:tcPr>
            <w:tcW w:w="1134" w:type="dxa"/>
          </w:tcPr>
          <w:p>
            <w:pPr>
              <w:pStyle w:val="nTable"/>
              <w:spacing w:after="40"/>
              <w:rPr>
                <w:rFonts w:ascii="Times" w:hAnsi="Times"/>
              </w:rPr>
            </w:pPr>
            <w:r>
              <w:rPr>
                <w:rFonts w:ascii="Times" w:hAnsi="Times"/>
                <w:snapToGrid w:val="0"/>
              </w:rPr>
              <w:t>10 Dec 2008</w:t>
            </w:r>
          </w:p>
        </w:tc>
        <w:tc>
          <w:tcPr>
            <w:tcW w:w="2552" w:type="dxa"/>
          </w:tcPr>
          <w:p>
            <w:pPr>
              <w:pStyle w:val="nTable"/>
              <w:spacing w:after="40"/>
              <w:rPr>
                <w:rFonts w:ascii="Times" w:hAnsi="Times"/>
                <w:snapToGrid w:val="0"/>
              </w:rPr>
            </w:pPr>
            <w:r>
              <w:rPr>
                <w:rFonts w:ascii="Times" w:hAnsi="Times"/>
                <w:snapToGrid w:val="0"/>
              </w:rPr>
              <w:t>10 Jun 2009 (see s. 2(2))</w:t>
            </w:r>
          </w:p>
        </w:tc>
      </w:tr>
      <w:tr>
        <w:trPr>
          <w:cantSplit/>
        </w:trPr>
        <w:tc>
          <w:tcPr>
            <w:tcW w:w="2269" w:type="dxa"/>
          </w:tcPr>
          <w:p>
            <w:pPr>
              <w:pStyle w:val="nTable"/>
              <w:spacing w:after="40"/>
              <w:rPr>
                <w:rFonts w:ascii="Times" w:hAnsi="Times"/>
                <w:iCs/>
                <w:snapToGrid w:val="0"/>
              </w:rPr>
            </w:pPr>
            <w:r>
              <w:rPr>
                <w:rFonts w:ascii="Times" w:hAnsi="Times"/>
                <w:i/>
                <w:snapToGrid w:val="0"/>
              </w:rPr>
              <w:t>Acts Amendment (Bankruptcy) Act 2009</w:t>
            </w:r>
            <w:r>
              <w:rPr>
                <w:rFonts w:ascii="Times" w:hAnsi="Times"/>
                <w:iCs/>
                <w:snapToGrid w:val="0"/>
              </w:rPr>
              <w:t xml:space="preserve"> s. 75</w:t>
            </w:r>
          </w:p>
        </w:tc>
        <w:tc>
          <w:tcPr>
            <w:tcW w:w="1134" w:type="dxa"/>
          </w:tcPr>
          <w:p>
            <w:pPr>
              <w:pStyle w:val="nTable"/>
              <w:spacing w:after="40"/>
              <w:rPr>
                <w:rFonts w:ascii="Times" w:hAnsi="Times"/>
              </w:rPr>
            </w:pPr>
            <w:r>
              <w:rPr>
                <w:rFonts w:ascii="Times" w:hAnsi="Times"/>
              </w:rPr>
              <w:t>18 of 2009</w:t>
            </w:r>
          </w:p>
        </w:tc>
        <w:tc>
          <w:tcPr>
            <w:tcW w:w="1134" w:type="dxa"/>
          </w:tcPr>
          <w:p>
            <w:pPr>
              <w:pStyle w:val="nTable"/>
              <w:spacing w:after="40"/>
              <w:rPr>
                <w:rFonts w:ascii="Times" w:hAnsi="Times"/>
              </w:rPr>
            </w:pPr>
            <w:r>
              <w:rPr>
                <w:rFonts w:ascii="Times" w:hAnsi="Times"/>
              </w:rPr>
              <w:t>16 Sep 2009</w:t>
            </w:r>
          </w:p>
        </w:tc>
        <w:tc>
          <w:tcPr>
            <w:tcW w:w="2552" w:type="dxa"/>
          </w:tcPr>
          <w:p>
            <w:pPr>
              <w:pStyle w:val="nTable"/>
              <w:spacing w:after="40"/>
              <w:rPr>
                <w:rFonts w:ascii="Times" w:hAnsi="Times"/>
              </w:rPr>
            </w:pPr>
            <w:r>
              <w:rPr>
                <w:rFonts w:ascii="Times" w:hAnsi="Times"/>
              </w:rPr>
              <w:t>17 Sep 2009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(Joondalup Special Trading Precinct) Act 2010</w:t>
            </w:r>
          </w:p>
        </w:tc>
        <w:tc>
          <w:tcPr>
            <w:tcW w:w="1134" w:type="dxa"/>
          </w:tcPr>
          <w:p>
            <w:pPr>
              <w:pStyle w:val="nTable"/>
              <w:spacing w:after="40"/>
              <w:rPr>
                <w:rFonts w:ascii="Times" w:hAnsi="Times"/>
              </w:rPr>
            </w:pPr>
            <w:r>
              <w:rPr>
                <w:rFonts w:ascii="Times" w:hAnsi="Times"/>
              </w:rPr>
              <w:t>22 of 2010</w:t>
            </w:r>
          </w:p>
        </w:tc>
        <w:tc>
          <w:tcPr>
            <w:tcW w:w="1134" w:type="dxa"/>
          </w:tcPr>
          <w:p>
            <w:pPr>
              <w:pStyle w:val="nTable"/>
              <w:spacing w:after="40"/>
              <w:rPr>
                <w:rFonts w:ascii="Times" w:hAnsi="Times"/>
              </w:rPr>
            </w:pPr>
            <w:r>
              <w:rPr>
                <w:rFonts w:ascii="Times" w:hAnsi="Times"/>
              </w:rPr>
              <w:t>7 Jul 2010</w:t>
            </w:r>
          </w:p>
        </w:tc>
        <w:tc>
          <w:tcPr>
            <w:tcW w:w="2552" w:type="dxa"/>
          </w:tcPr>
          <w:p>
            <w:pPr>
              <w:pStyle w:val="nTable"/>
              <w:spacing w:after="40"/>
              <w:rPr>
                <w:rFonts w:ascii="Times" w:hAnsi="Times"/>
              </w:rPr>
            </w:pPr>
            <w:r>
              <w:rPr>
                <w:rFonts w:ascii="Times" w:hAnsi="Times"/>
                <w:snapToGrid w:val="0"/>
              </w:rPr>
              <w:t>s. 1 and 2: 7 Jul 2010 (see s. 2(a));</w:t>
            </w:r>
            <w:r>
              <w:rPr>
                <w:rFonts w:ascii="Times" w:hAnsi="Times"/>
                <w:snapToGrid w:val="0"/>
              </w:rPr>
              <w:br/>
              <w:t>Act other than s. 1 and 2: 8 Jul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(Armadale Special Trading Precinct) Act 2010</w:t>
            </w:r>
          </w:p>
        </w:tc>
        <w:tc>
          <w:tcPr>
            <w:tcW w:w="1134" w:type="dxa"/>
          </w:tcPr>
          <w:p>
            <w:pPr>
              <w:pStyle w:val="nTable"/>
              <w:spacing w:after="40"/>
              <w:rPr>
                <w:rFonts w:ascii="Times" w:hAnsi="Times"/>
              </w:rPr>
            </w:pPr>
            <w:r>
              <w:rPr>
                <w:rFonts w:ascii="Times" w:hAnsi="Times"/>
              </w:rPr>
              <w:t>36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(Midland Special Trading Precinct) Act 2010</w:t>
            </w:r>
          </w:p>
        </w:tc>
        <w:tc>
          <w:tcPr>
            <w:tcW w:w="1134" w:type="dxa"/>
          </w:tcPr>
          <w:p>
            <w:pPr>
              <w:pStyle w:val="nTable"/>
              <w:spacing w:after="40"/>
              <w:rPr>
                <w:rFonts w:ascii="Times" w:hAnsi="Times"/>
              </w:rPr>
            </w:pPr>
            <w:r>
              <w:rPr>
                <w:rFonts w:ascii="Times" w:hAnsi="Times"/>
              </w:rPr>
              <w:t>37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Act 2010</w:t>
            </w:r>
          </w:p>
        </w:tc>
        <w:tc>
          <w:tcPr>
            <w:tcW w:w="1134" w:type="dxa"/>
          </w:tcPr>
          <w:p>
            <w:pPr>
              <w:pStyle w:val="nTable"/>
              <w:spacing w:after="40"/>
              <w:rPr>
                <w:rFonts w:ascii="Times" w:hAnsi="Times"/>
              </w:rPr>
            </w:pPr>
            <w:r>
              <w:rPr>
                <w:rFonts w:ascii="Times" w:hAnsi="Times"/>
              </w:rPr>
              <w:t xml:space="preserve">38 of 2010 </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s. 1 and 2: 1 Oct 2010 (see s. 2(a));</w:t>
            </w:r>
            <w:r>
              <w:rPr>
                <w:rFonts w:ascii="Times" w:hAnsi="Times"/>
                <w:snapToGrid w:val="0"/>
              </w:rPr>
              <w:br/>
              <w:t xml:space="preserve">Act other than s. 1 and 2: 1 Nov 2010 (see s. 2(b) and </w:t>
            </w:r>
            <w:r>
              <w:rPr>
                <w:rFonts w:ascii="Times" w:hAnsi="Times"/>
                <w:i/>
                <w:iCs/>
                <w:snapToGrid w:val="0"/>
              </w:rPr>
              <w:t xml:space="preserve">Gazette </w:t>
            </w:r>
            <w:r>
              <w:rPr>
                <w:rFonts w:ascii="Times" w:hAnsi="Times"/>
                <w:snapToGrid w:val="0"/>
              </w:rPr>
              <w:t>22 Oct 2010 p. 5207)</w:t>
            </w:r>
          </w:p>
        </w:tc>
      </w:tr>
      <w:tr>
        <w:trPr>
          <w:cantSplit/>
        </w:trPr>
        <w:tc>
          <w:tcPr>
            <w:tcW w:w="2269" w:type="dxa"/>
          </w:tcPr>
          <w:p>
            <w:pPr>
              <w:pStyle w:val="nTable"/>
              <w:spacing w:after="40"/>
              <w:rPr>
                <w:rFonts w:ascii="Times" w:hAnsi="Times"/>
                <w:i/>
                <w:snapToGrid w:val="0"/>
              </w:rPr>
            </w:pPr>
            <w:r>
              <w:rPr>
                <w:rFonts w:ascii="Times" w:hAnsi="Times"/>
                <w:i/>
                <w:snapToGrid w:val="0"/>
              </w:rPr>
              <w:t>Public Sector Reform Act 2010</w:t>
            </w:r>
            <w:r>
              <w:rPr>
                <w:rFonts w:ascii="Times" w:hAnsi="Times"/>
                <w:iCs/>
                <w:snapToGrid w:val="0"/>
              </w:rPr>
              <w:t xml:space="preserve"> s. 89</w:t>
            </w:r>
          </w:p>
        </w:tc>
        <w:tc>
          <w:tcPr>
            <w:tcW w:w="1134" w:type="dxa"/>
          </w:tcPr>
          <w:p>
            <w:pPr>
              <w:pStyle w:val="nTable"/>
              <w:spacing w:after="40"/>
              <w:rPr>
                <w:rFonts w:ascii="Times" w:hAnsi="Times"/>
              </w:rPr>
            </w:pPr>
            <w:r>
              <w:rPr>
                <w:rFonts w:ascii="Times" w:hAnsi="Times"/>
                <w:snapToGrid w:val="0"/>
              </w:rPr>
              <w:t>39 of 2010</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 xml:space="preserve">1 Dec 2010 (see s. 2(b) and </w:t>
            </w:r>
            <w:r>
              <w:rPr>
                <w:rFonts w:ascii="Times" w:hAnsi="Times"/>
                <w:i/>
                <w:iCs/>
                <w:snapToGrid w:val="0"/>
              </w:rPr>
              <w:t>Gazette</w:t>
            </w:r>
            <w:r>
              <w:rPr>
                <w:rFonts w:ascii="Times" w:hAnsi="Times"/>
                <w:snapToGrid w:val="0"/>
              </w:rPr>
              <w:t xml:space="preserve"> 5 Nov 2010 p. 5563)</w:t>
            </w:r>
          </w:p>
        </w:tc>
      </w:tr>
      <w:tr>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 w:name="_Toc467146888"/>
      <w:r>
        <w:t>Provisions that have not come into operation</w:t>
      </w:r>
      <w:bookmarkEnd w:id="1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rPr>
              <w:t>Retail Trading Hours Amendment Act 2016</w:t>
            </w:r>
            <w:r>
              <w:t xml:space="preserve"> Pt. 2</w:t>
            </w:r>
            <w:r>
              <w:rPr>
                <w:vertAlign w:val="superscript"/>
              </w:rPr>
              <w:t> 4</w:t>
            </w:r>
          </w:p>
        </w:tc>
        <w:tc>
          <w:tcPr>
            <w:tcW w:w="1134" w:type="dxa"/>
          </w:tcPr>
          <w:p>
            <w:pPr>
              <w:pStyle w:val="nTable"/>
              <w:spacing w:after="40"/>
            </w:pPr>
            <w:r>
              <w:t>35 of 2016</w:t>
            </w:r>
          </w:p>
        </w:tc>
        <w:tc>
          <w:tcPr>
            <w:tcW w:w="1134" w:type="dxa"/>
          </w:tcPr>
          <w:p>
            <w:pPr>
              <w:pStyle w:val="nTable"/>
              <w:spacing w:after="40"/>
            </w:pPr>
            <w:r>
              <w:t>16 Nov 2016</w:t>
            </w:r>
          </w:p>
        </w:tc>
        <w:tc>
          <w:tcPr>
            <w:tcW w:w="2552" w:type="dxa"/>
          </w:tcPr>
          <w:p>
            <w:pPr>
              <w:pStyle w:val="nTable"/>
              <w:spacing w:after="40"/>
            </w:pPr>
            <w:r>
              <w:t>To be proclaimed (see s. 2(b))</w:t>
            </w:r>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pStyle w:val="nSubsection"/>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Retail Trading Hours Amendment Act 2016 </w:t>
      </w:r>
      <w:r>
        <w:t>Pt. 2</w:t>
      </w:r>
      <w:r>
        <w:rPr>
          <w:snapToGrid w:val="0"/>
        </w:rPr>
        <w:t xml:space="preserve"> had not come into operation.  It reads as follows:</w:t>
      </w:r>
    </w:p>
    <w:p>
      <w:pPr>
        <w:pStyle w:val="BlankOpen"/>
        <w:rPr>
          <w:snapToGrid w:val="0"/>
        </w:rPr>
      </w:pPr>
    </w:p>
    <w:p>
      <w:pPr>
        <w:pStyle w:val="nzHeading2"/>
      </w:pPr>
      <w:bookmarkStart w:id="125" w:name="_Toc431312109"/>
      <w:bookmarkStart w:id="126" w:name="_Toc431312131"/>
      <w:bookmarkStart w:id="127" w:name="_Toc431312198"/>
      <w:bookmarkStart w:id="128" w:name="_Toc431312642"/>
      <w:bookmarkStart w:id="129" w:name="_Toc431387446"/>
      <w:bookmarkStart w:id="130" w:name="_Toc434321549"/>
      <w:bookmarkStart w:id="131" w:name="_Toc434321566"/>
      <w:bookmarkStart w:id="132" w:name="_Toc461703160"/>
      <w:bookmarkStart w:id="133" w:name="_Toc461703176"/>
      <w:bookmarkStart w:id="134" w:name="_Toc466451579"/>
      <w:bookmarkStart w:id="135" w:name="_Toc466451620"/>
      <w:bookmarkStart w:id="136" w:name="_Toc467143382"/>
      <w:r>
        <w:rPr>
          <w:rStyle w:val="CharPartNo"/>
        </w:rPr>
        <w:t>Part 2</w:t>
      </w:r>
      <w:r>
        <w:rPr>
          <w:rStyle w:val="CharDivNo"/>
        </w:rPr>
        <w:t> </w:t>
      </w:r>
      <w:r>
        <w:t>—</w:t>
      </w:r>
      <w:r>
        <w:rPr>
          <w:rStyle w:val="CharDivText"/>
        </w:rPr>
        <w:t> </w:t>
      </w:r>
      <w:r>
        <w:rPr>
          <w:rStyle w:val="CharPartText"/>
          <w:i/>
        </w:rPr>
        <w:t>Retail Trading Hours Act 1987</w:t>
      </w:r>
      <w:r>
        <w:rPr>
          <w:rStyle w:val="CharPartText"/>
        </w:rPr>
        <w:t xml:space="preserve"> amended</w:t>
      </w:r>
      <w:bookmarkEnd w:id="125"/>
      <w:bookmarkEnd w:id="126"/>
      <w:bookmarkEnd w:id="127"/>
      <w:bookmarkEnd w:id="128"/>
      <w:bookmarkEnd w:id="129"/>
      <w:bookmarkEnd w:id="130"/>
      <w:bookmarkEnd w:id="131"/>
      <w:bookmarkEnd w:id="132"/>
      <w:bookmarkEnd w:id="133"/>
      <w:bookmarkEnd w:id="134"/>
      <w:bookmarkEnd w:id="135"/>
      <w:bookmarkEnd w:id="136"/>
    </w:p>
    <w:p>
      <w:pPr>
        <w:pStyle w:val="nzHeading5"/>
        <w:rPr>
          <w:snapToGrid w:val="0"/>
        </w:rPr>
      </w:pPr>
      <w:bookmarkStart w:id="137" w:name="_Toc466451621"/>
      <w:bookmarkStart w:id="138" w:name="_Toc467143383"/>
      <w:r>
        <w:rPr>
          <w:rStyle w:val="CharSectno"/>
        </w:rPr>
        <w:t>3</w:t>
      </w:r>
      <w:r>
        <w:rPr>
          <w:snapToGrid w:val="0"/>
        </w:rPr>
        <w:t>.</w:t>
      </w:r>
      <w:r>
        <w:rPr>
          <w:snapToGrid w:val="0"/>
        </w:rPr>
        <w:tab/>
        <w:t>Act amended</w:t>
      </w:r>
      <w:bookmarkEnd w:id="137"/>
      <w:bookmarkEnd w:id="138"/>
    </w:p>
    <w:p>
      <w:pPr>
        <w:pStyle w:val="nzSubsection"/>
      </w:pPr>
      <w:r>
        <w:tab/>
      </w:r>
      <w:r>
        <w:tab/>
        <w:t xml:space="preserve">This Part amends the </w:t>
      </w:r>
      <w:r>
        <w:rPr>
          <w:i/>
        </w:rPr>
        <w:t>Retail Trading Hours Act 1987</w:t>
      </w:r>
      <w:r>
        <w:t>.</w:t>
      </w:r>
    </w:p>
    <w:p>
      <w:pPr>
        <w:pStyle w:val="nzHeading5"/>
      </w:pPr>
      <w:bookmarkStart w:id="139" w:name="_Toc466451622"/>
      <w:bookmarkStart w:id="140" w:name="_Toc467143384"/>
      <w:r>
        <w:rPr>
          <w:rStyle w:val="CharSectno"/>
        </w:rPr>
        <w:t>4</w:t>
      </w:r>
      <w:r>
        <w:t>.</w:t>
      </w:r>
      <w:r>
        <w:tab/>
        <w:t>Section 4 amended</w:t>
      </w:r>
      <w:bookmarkEnd w:id="139"/>
      <w:bookmarkEnd w:id="140"/>
    </w:p>
    <w:p>
      <w:pPr>
        <w:pStyle w:val="nzSubsection"/>
      </w:pPr>
      <w:r>
        <w:tab/>
        <w:t>(1)</w:t>
      </w:r>
      <w:r>
        <w:tab/>
        <w:t>After section 4(1) insert:</w:t>
      </w:r>
    </w:p>
    <w:p>
      <w:pPr>
        <w:pStyle w:val="BlankOpen"/>
      </w:pPr>
    </w:p>
    <w:p>
      <w:pPr>
        <w:pStyle w:val="nzSubsection"/>
      </w:pPr>
      <w:r>
        <w:tab/>
        <w:t>(2A)</w:t>
      </w:r>
      <w:r>
        <w:tab/>
        <w:t>Despite subsection (1), this Act does not apply to Rottnest Island.</w:t>
      </w:r>
    </w:p>
    <w:p>
      <w:pPr>
        <w:pStyle w:val="BlankClose"/>
      </w:pPr>
    </w:p>
    <w:p>
      <w:pPr>
        <w:pStyle w:val="nzSubsection"/>
      </w:pPr>
      <w:r>
        <w:tab/>
        <w:t>(2)</w:t>
      </w:r>
      <w:r>
        <w:tab/>
        <w:t>In section 4(3):</w:t>
      </w:r>
    </w:p>
    <w:p>
      <w:pPr>
        <w:pStyle w:val="nzIndenta"/>
      </w:pPr>
      <w:r>
        <w:tab/>
        <w:t>(a)</w:t>
      </w:r>
      <w:r>
        <w:tab/>
        <w:t>delete “is used as —” and insert:</w:t>
      </w:r>
    </w:p>
    <w:p>
      <w:pPr>
        <w:pStyle w:val="BlankOpen"/>
      </w:pPr>
    </w:p>
    <w:p>
      <w:pPr>
        <w:pStyle w:val="nzIndenta"/>
      </w:pPr>
      <w:r>
        <w:tab/>
      </w:r>
      <w:r>
        <w:tab/>
        <w:t xml:space="preserve">is — </w:t>
      </w:r>
    </w:p>
    <w:p>
      <w:pPr>
        <w:pStyle w:val="BlankClose"/>
      </w:pPr>
    </w:p>
    <w:p>
      <w:pPr>
        <w:pStyle w:val="nzIndenta"/>
      </w:pPr>
      <w:r>
        <w:tab/>
        <w:t>(b)</w:t>
      </w:r>
      <w:r>
        <w:tab/>
        <w:t>in paragraph (d) delete “and is”;</w:t>
      </w:r>
    </w:p>
    <w:p>
      <w:pPr>
        <w:pStyle w:val="nzIndenta"/>
      </w:pPr>
      <w:r>
        <w:tab/>
        <w:t>(c)</w:t>
      </w:r>
      <w:r>
        <w:tab/>
        <w:t>in paragraph (d) delete “running.” and insert:</w:t>
      </w:r>
    </w:p>
    <w:p>
      <w:pPr>
        <w:pStyle w:val="BlankOpen"/>
      </w:pPr>
    </w:p>
    <w:p>
      <w:pPr>
        <w:pStyle w:val="nzIndenta"/>
      </w:pPr>
      <w:r>
        <w:tab/>
      </w:r>
      <w:r>
        <w:tab/>
        <w:t xml:space="preserve">running; or </w:t>
      </w:r>
    </w:p>
    <w:p>
      <w:pPr>
        <w:pStyle w:val="BlankClose"/>
      </w:pPr>
    </w:p>
    <w:p>
      <w:pPr>
        <w:pStyle w:val="nzIndenta"/>
      </w:pPr>
      <w:r>
        <w:tab/>
        <w:t>(d)</w:t>
      </w:r>
      <w:r>
        <w:tab/>
        <w:t>after paragraph (d) insert:</w:t>
      </w:r>
    </w:p>
    <w:p>
      <w:pPr>
        <w:pStyle w:val="BlankOpen"/>
      </w:pPr>
    </w:p>
    <w:p>
      <w:pPr>
        <w:pStyle w:val="nzIndenta"/>
      </w:pPr>
      <w:r>
        <w:tab/>
        <w:t>(e)</w:t>
      </w:r>
      <w:r>
        <w:tab/>
        <w:t>a retail shop located in a short</w:t>
      </w:r>
      <w:r>
        <w:noBreakHyphen/>
        <w:t>term market.</w:t>
      </w:r>
    </w:p>
    <w:p>
      <w:pPr>
        <w:pStyle w:val="BlankClose"/>
      </w:pPr>
    </w:p>
    <w:p>
      <w:pPr>
        <w:pStyle w:val="nzSubsection"/>
      </w:pPr>
      <w:r>
        <w:tab/>
        <w:t>(3)</w:t>
      </w:r>
      <w:r>
        <w:tab/>
        <w:t>After section 4(3) insert:</w:t>
      </w:r>
    </w:p>
    <w:p>
      <w:pPr>
        <w:pStyle w:val="BlankOpen"/>
      </w:pPr>
    </w:p>
    <w:p>
      <w:pPr>
        <w:pStyle w:val="nzSubsection"/>
      </w:pPr>
      <w:r>
        <w:tab/>
        <w:t>(4A)</w:t>
      </w:r>
      <w:r>
        <w:tab/>
        <w:t>For the purposes of subsection (3)(e) a retail shop is located in a short</w:t>
      </w:r>
      <w:r>
        <w:noBreakHyphen/>
        <w:t xml:space="preserve">term market if — </w:t>
      </w:r>
    </w:p>
    <w:p>
      <w:pPr>
        <w:pStyle w:val="nzIndenta"/>
      </w:pPr>
      <w:r>
        <w:tab/>
        <w:t>(a)</w:t>
      </w:r>
      <w:r>
        <w:tab/>
        <w:t>it is one of a group of retail shops that are placed at a particular location on a particular day and removed from that location before midnight on that day; and</w:t>
      </w:r>
    </w:p>
    <w:p>
      <w:pPr>
        <w:pStyle w:val="nzIndenta"/>
      </w:pPr>
      <w:r>
        <w:tab/>
        <w:t>(b)</w:t>
      </w:r>
      <w:r>
        <w:tab/>
        <w:t>some or all of the retail shops in the group are operated by different persons; and</w:t>
      </w:r>
    </w:p>
    <w:p>
      <w:pPr>
        <w:pStyle w:val="nzIndenta"/>
      </w:pPr>
      <w:r>
        <w:tab/>
        <w:t>(c)</w:t>
      </w:r>
      <w:r>
        <w:tab/>
        <w:t>none of the shops in the group is a motor vehicle shop.</w:t>
      </w:r>
    </w:p>
    <w:p>
      <w:pPr>
        <w:pStyle w:val="BlankClose"/>
      </w:pPr>
    </w:p>
    <w:p>
      <w:pPr>
        <w:pStyle w:val="nzHeading5"/>
      </w:pPr>
      <w:bookmarkStart w:id="141" w:name="_Toc466451623"/>
      <w:bookmarkStart w:id="142" w:name="_Toc467143385"/>
      <w:r>
        <w:rPr>
          <w:rStyle w:val="CharSectno"/>
        </w:rPr>
        <w:t>5</w:t>
      </w:r>
      <w:r>
        <w:t>.</w:t>
      </w:r>
      <w:r>
        <w:tab/>
        <w:t>Section 5 amended</w:t>
      </w:r>
      <w:bookmarkEnd w:id="141"/>
      <w:bookmarkEnd w:id="142"/>
    </w:p>
    <w:p>
      <w:pPr>
        <w:pStyle w:val="nzSubsection"/>
      </w:pPr>
      <w:r>
        <w:tab/>
      </w:r>
      <w:r>
        <w:tab/>
        <w:t>In section 5(2) delete “or 14B(4)”.</w:t>
      </w:r>
    </w:p>
    <w:p>
      <w:pPr>
        <w:pStyle w:val="nzHeading5"/>
      </w:pPr>
      <w:bookmarkStart w:id="143" w:name="_Toc466451624"/>
      <w:bookmarkStart w:id="144" w:name="_Toc467143386"/>
      <w:r>
        <w:rPr>
          <w:rStyle w:val="CharSectno"/>
        </w:rPr>
        <w:t>6</w:t>
      </w:r>
      <w:r>
        <w:t>.</w:t>
      </w:r>
      <w:r>
        <w:tab/>
        <w:t>Section 12 amended</w:t>
      </w:r>
      <w:bookmarkEnd w:id="143"/>
      <w:bookmarkEnd w:id="144"/>
    </w:p>
    <w:p>
      <w:pPr>
        <w:pStyle w:val="nzSubsection"/>
      </w:pPr>
      <w:r>
        <w:tab/>
        <w:t>(1)</w:t>
      </w:r>
      <w:r>
        <w:tab/>
        <w:t>Delete section 12(2) and insert:</w:t>
      </w:r>
    </w:p>
    <w:p>
      <w:pPr>
        <w:pStyle w:val="BlankOpen"/>
      </w:pPr>
    </w:p>
    <w:p>
      <w:pPr>
        <w:pStyle w:val="nzSubsection"/>
      </w:pPr>
      <w:r>
        <w:tab/>
        <w:t>(2)</w:t>
      </w:r>
      <w:r>
        <w:tab/>
        <w:t>Subsection (1) does not apply to a motor vehicle shop.</w:t>
      </w:r>
    </w:p>
    <w:p>
      <w:pPr>
        <w:pStyle w:val="BlankClose"/>
      </w:pPr>
    </w:p>
    <w:p>
      <w:pPr>
        <w:pStyle w:val="nzSubsection"/>
      </w:pPr>
      <w:r>
        <w:tab/>
        <w:t>(2)</w:t>
      </w:r>
      <w:r>
        <w:tab/>
        <w:t>Delete section 12(4) and insert:</w:t>
      </w:r>
    </w:p>
    <w:p>
      <w:pPr>
        <w:pStyle w:val="BlankOpen"/>
      </w:pPr>
    </w:p>
    <w:p>
      <w:pPr>
        <w:pStyle w:val="nzSubsection"/>
      </w:pPr>
      <w:r>
        <w:tab/>
        <w:t>(4)</w:t>
      </w:r>
      <w:r>
        <w:tab/>
        <w:t>Subsection (3) does not apply to a motor vehicle shop.</w:t>
      </w:r>
    </w:p>
    <w:p>
      <w:pPr>
        <w:pStyle w:val="BlankClose"/>
      </w:pPr>
    </w:p>
    <w:p>
      <w:pPr>
        <w:pStyle w:val="nzHeading5"/>
      </w:pPr>
      <w:bookmarkStart w:id="145" w:name="_Toc466451625"/>
      <w:bookmarkStart w:id="146" w:name="_Toc467143387"/>
      <w:r>
        <w:rPr>
          <w:rStyle w:val="CharSectno"/>
        </w:rPr>
        <w:t>7</w:t>
      </w:r>
      <w:r>
        <w:t>.</w:t>
      </w:r>
      <w:r>
        <w:tab/>
        <w:t>Section 12A deleted</w:t>
      </w:r>
      <w:bookmarkEnd w:id="145"/>
      <w:bookmarkEnd w:id="146"/>
    </w:p>
    <w:p>
      <w:pPr>
        <w:pStyle w:val="nzSubsection"/>
      </w:pPr>
      <w:r>
        <w:tab/>
      </w:r>
      <w:r>
        <w:tab/>
        <w:t>Delete section 12A.</w:t>
      </w:r>
    </w:p>
    <w:p>
      <w:pPr>
        <w:pStyle w:val="nzHeading5"/>
      </w:pPr>
      <w:bookmarkStart w:id="147" w:name="_Toc466451626"/>
      <w:bookmarkStart w:id="148" w:name="_Toc467143388"/>
      <w:r>
        <w:rPr>
          <w:rStyle w:val="CharSectno"/>
        </w:rPr>
        <w:t>8</w:t>
      </w:r>
      <w:r>
        <w:t>.</w:t>
      </w:r>
      <w:r>
        <w:tab/>
        <w:t>Section 14A amended</w:t>
      </w:r>
      <w:bookmarkEnd w:id="147"/>
      <w:bookmarkEnd w:id="148"/>
    </w:p>
    <w:p>
      <w:pPr>
        <w:pStyle w:val="nzSubsection"/>
      </w:pPr>
      <w:r>
        <w:tab/>
      </w:r>
      <w:r>
        <w:tab/>
        <w:t>In section 14A(1):</w:t>
      </w:r>
    </w:p>
    <w:p>
      <w:pPr>
        <w:pStyle w:val="nzIndenta"/>
      </w:pPr>
      <w:r>
        <w:tab/>
        <w:t>(a)</w:t>
      </w:r>
      <w:r>
        <w:tab/>
        <w:t>in paragraph (b) delete “paragraph; or” and insert:</w:t>
      </w:r>
    </w:p>
    <w:p>
      <w:pPr>
        <w:pStyle w:val="BlankOpen"/>
      </w:pPr>
    </w:p>
    <w:p>
      <w:pPr>
        <w:pStyle w:val="nzIndenta"/>
      </w:pPr>
      <w:r>
        <w:tab/>
      </w:r>
      <w:r>
        <w:tab/>
        <w:t>paragraph.</w:t>
      </w:r>
    </w:p>
    <w:p>
      <w:pPr>
        <w:pStyle w:val="BlankClose"/>
      </w:pPr>
    </w:p>
    <w:p>
      <w:pPr>
        <w:pStyle w:val="nzIndenta"/>
      </w:pPr>
      <w:r>
        <w:tab/>
        <w:t>(b)</w:t>
      </w:r>
      <w:r>
        <w:tab/>
        <w:t>delete paragraphs (c) and (d).</w:t>
      </w:r>
    </w:p>
    <w:p>
      <w:pPr>
        <w:pStyle w:val="nzHeading5"/>
      </w:pPr>
      <w:bookmarkStart w:id="149" w:name="_Toc466451627"/>
      <w:bookmarkStart w:id="150" w:name="_Toc467143389"/>
      <w:r>
        <w:rPr>
          <w:rStyle w:val="CharSectno"/>
        </w:rPr>
        <w:t>9</w:t>
      </w:r>
      <w:r>
        <w:t>.</w:t>
      </w:r>
      <w:r>
        <w:tab/>
        <w:t>Sections 14B and 14C deleted</w:t>
      </w:r>
      <w:bookmarkEnd w:id="149"/>
      <w:bookmarkEnd w:id="150"/>
    </w:p>
    <w:p>
      <w:pPr>
        <w:pStyle w:val="nzSubsection"/>
      </w:pPr>
      <w:r>
        <w:tab/>
      </w:r>
      <w:r>
        <w:tab/>
        <w:t>Delete sections 14B and 14C.</w:t>
      </w:r>
    </w:p>
    <w:p>
      <w:pPr>
        <w:pStyle w:val="nzHeading5"/>
      </w:pPr>
      <w:bookmarkStart w:id="151" w:name="_Toc466451628"/>
      <w:bookmarkStart w:id="152" w:name="_Toc467143390"/>
      <w:r>
        <w:rPr>
          <w:rStyle w:val="CharSectno"/>
        </w:rPr>
        <w:t>10</w:t>
      </w:r>
      <w:r>
        <w:t>.</w:t>
      </w:r>
      <w:r>
        <w:tab/>
        <w:t>Section 15 amended</w:t>
      </w:r>
      <w:bookmarkEnd w:id="151"/>
      <w:bookmarkEnd w:id="152"/>
    </w:p>
    <w:p>
      <w:pPr>
        <w:pStyle w:val="nzSubsection"/>
      </w:pPr>
      <w:r>
        <w:tab/>
      </w:r>
      <w:r>
        <w:tab/>
        <w:t>In section 15(1)(e)(iii) delete “in, or prescribed for the purposes of, a relevant paragraph of section 14A(1).” and insert:</w:t>
      </w:r>
    </w:p>
    <w:p>
      <w:pPr>
        <w:pStyle w:val="BlankOpen"/>
      </w:pPr>
    </w:p>
    <w:p>
      <w:pPr>
        <w:pStyle w:val="nzSubsection"/>
      </w:pPr>
      <w:r>
        <w:tab/>
      </w:r>
      <w:r>
        <w:tab/>
        <w:t>in section 14A(1)(a) or prescribed for the purposes of section 14A(1)(b).</w:t>
      </w:r>
    </w:p>
    <w:p>
      <w:pPr>
        <w:pStyle w:val="BlankClose"/>
      </w:pPr>
    </w:p>
    <w:p>
      <w:pPr>
        <w:pStyle w:val="nzHeading5"/>
      </w:pPr>
      <w:bookmarkStart w:id="153" w:name="_Toc466451629"/>
      <w:bookmarkStart w:id="154" w:name="_Toc467143391"/>
      <w:r>
        <w:rPr>
          <w:rStyle w:val="CharSectno"/>
        </w:rPr>
        <w:t>11</w:t>
      </w:r>
      <w:r>
        <w:t>.</w:t>
      </w:r>
      <w:r>
        <w:tab/>
        <w:t>Section 25 amended</w:t>
      </w:r>
      <w:bookmarkEnd w:id="153"/>
      <w:bookmarkEnd w:id="154"/>
    </w:p>
    <w:p>
      <w:pPr>
        <w:pStyle w:val="nzSubsection"/>
      </w:pPr>
      <w:r>
        <w:tab/>
      </w:r>
      <w:r>
        <w:tab/>
        <w:t>Delete section 25(2) and insert:</w:t>
      </w:r>
    </w:p>
    <w:p>
      <w:pPr>
        <w:pStyle w:val="BlankOpen"/>
      </w:pPr>
    </w:p>
    <w:p>
      <w:pPr>
        <w:pStyle w:val="nzSubsection"/>
      </w:pPr>
      <w:r>
        <w:tab/>
        <w:t>(2)</w:t>
      </w:r>
      <w:r>
        <w:tab/>
        <w:t>A person commits an offence if the person operates a retail shop that is certified to be a small retail shop under section 10(3)(c) and is not owned and operated in accordance with section 10(3)(a), (b), (ba), (bb), (bc), (bd) and (be).</w:t>
      </w:r>
    </w:p>
    <w:p>
      <w:pPr>
        <w:pStyle w:val="BlankClose"/>
      </w:pP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156" w:name="_Toc416962596"/>
      <w:bookmarkStart w:id="157" w:name="_Toc423357153"/>
      <w:bookmarkStart w:id="158" w:name="_Toc425754822"/>
      <w:bookmarkStart w:id="159" w:name="_Toc467146889"/>
      <w:r>
        <w:rPr>
          <w:sz w:val="28"/>
        </w:rPr>
        <w:t>Defined terms</w:t>
      </w:r>
      <w:bookmarkEnd w:id="156"/>
      <w:bookmarkEnd w:id="157"/>
      <w:bookmarkEnd w:id="158"/>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14A(2)</w:t>
      </w:r>
    </w:p>
    <w:p>
      <w:pPr>
        <w:pStyle w:val="DefinedTerms"/>
      </w:pPr>
      <w:r>
        <w:t>agreement</w:t>
      </w:r>
      <w:r>
        <w:tab/>
        <w:t>3(1)</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corporation</w:t>
      </w:r>
      <w:r>
        <w:tab/>
        <w:t>10(3ab)</w:t>
      </w:r>
    </w:p>
    <w:p>
      <w:pPr>
        <w:pStyle w:val="DefinedTerms"/>
      </w:pPr>
      <w:r>
        <w:t>filling station</w:t>
      </w:r>
      <w:r>
        <w:tab/>
        <w:t>3(1)</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order</w:t>
      </w:r>
      <w:r>
        <w:tab/>
        <w:t>12E(8)</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r>
        <w:t>Rottnest Island holiday resort</w:t>
      </w:r>
      <w:r>
        <w:tab/>
        <w:t>12A(4)</w:t>
      </w:r>
    </w:p>
    <w:p>
      <w:pPr>
        <w:pStyle w:val="DefinedTerms"/>
      </w:pPr>
      <w:r>
        <w:t>sell</w:t>
      </w:r>
      <w:r>
        <w:tab/>
        <w:t>3(1)</w:t>
      </w:r>
    </w:p>
    <w:p>
      <w:pPr>
        <w:pStyle w:val="DefinedTerms"/>
      </w:pPr>
      <w:r>
        <w:t>specified</w:t>
      </w:r>
      <w:r>
        <w:tab/>
        <w:t>12E(8)</w:t>
      </w:r>
    </w:p>
    <w:p>
      <w:pPr>
        <w:pStyle w:val="DefinedTerms"/>
      </w:pPr>
      <w:r>
        <w:t>Wanneroo holiday resort</w:t>
      </w:r>
      <w:r>
        <w:tab/>
        <w:t>12A(4)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0" w:name="DefinedTerms"/>
    <w:bookmarkEnd w:id="1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 w:name="Coversheet"/>
    <w:bookmarkEnd w:id="1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6CBE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447"/>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 w:name="WAFER_20151111175447" w:val="UpdateStyles,UsedStyles"/>
    <w:docVar w:name="WAFER_20151111175447_GUID" w:val="198688db-abbb-4e4b-8615-20522e86b9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11005</Words>
  <Characters>49634</Characters>
  <Application>Microsoft Office Word</Application>
  <DocSecurity>0</DocSecurity>
  <Lines>1504</Lines>
  <Paragraphs>878</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59761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1987 - 04-b0-01</dc:title>
  <dc:subject/>
  <dc:creator/>
  <cp:keywords/>
  <dc:description/>
  <cp:lastModifiedBy>svcMRProcess</cp:lastModifiedBy>
  <cp:revision>4</cp:revision>
  <cp:lastPrinted>2015-07-28T01:49:00Z</cp:lastPrinted>
  <dcterms:created xsi:type="dcterms:W3CDTF">2016-11-18T08:57:00Z</dcterms:created>
  <dcterms:modified xsi:type="dcterms:W3CDTF">2016-11-18T08:57:00Z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DocumentType">
    <vt:lpwstr>Act</vt:lpwstr>
  </property>
  <property fmtid="{D5CDD505-2E9C-101B-9397-08002B2CF9AE}" pid="4" name="OwlsUID">
    <vt:i4>696</vt:i4>
  </property>
  <property fmtid="{D5CDD505-2E9C-101B-9397-08002B2CF9AE}" pid="5" name="ReprintedAsAt">
    <vt:filetime>2015-08-06T16:00:00Z</vt:filetime>
  </property>
  <property fmtid="{D5CDD505-2E9C-101B-9397-08002B2CF9AE}" pid="6" name="ReprintNo">
    <vt:lpwstr>4</vt:lpwstr>
  </property>
  <property fmtid="{D5CDD505-2E9C-101B-9397-08002B2CF9AE}" pid="7" name="AsAtDate">
    <vt:lpwstr>16 Nov 2016</vt:lpwstr>
  </property>
  <property fmtid="{D5CDD505-2E9C-101B-9397-08002B2CF9AE}" pid="8" name="Suffix">
    <vt:lpwstr>04-b0-01</vt:lpwstr>
  </property>
  <property fmtid="{D5CDD505-2E9C-101B-9397-08002B2CF9AE}" pid="9" name="CommencementDate">
    <vt:lpwstr>20161116</vt:lpwstr>
  </property>
</Properties>
</file>