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_Toc474487419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_Toc474487420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_Toc474487421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Electricity charges payable by consumers (Sch. 1, Sch. 2)</w:t>
      </w:r>
      <w:r>
        <w:tab/>
      </w:r>
      <w:r>
        <w:fldChar w:fldCharType="begin"/>
      </w:r>
      <w:r>
        <w:instrText xml:space="preserve"> PAGEREF _Toc474487422 \h </w:instrText>
      </w:r>
      <w:r>
        <w:fldChar w:fldCharType="separate"/>
      </w:r>
      <w:r>
        <w:t>2</w:t>
      </w:r>
      <w:r>
        <w:fldChar w:fldCharType="end"/>
      </w:r>
    </w:p>
    <w:p>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_Toc474487423 \h </w:instrText>
      </w:r>
      <w:r>
        <w:fldChar w:fldCharType="separate"/>
      </w:r>
      <w:r>
        <w:t>2</w:t>
      </w:r>
      <w:r>
        <w:fldChar w:fldCharType="end"/>
      </w:r>
    </w:p>
    <w:p>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_Toc474487424 \h </w:instrText>
      </w:r>
      <w:r>
        <w:fldChar w:fldCharType="separate"/>
      </w:r>
      <w:r>
        <w:t>3</w:t>
      </w:r>
      <w:r>
        <w:fldChar w:fldCharType="end"/>
      </w:r>
    </w:p>
    <w:p>
      <w:pPr>
        <w:pStyle w:val="TOC8"/>
        <w:rPr>
          <w:rFonts w:asciiTheme="minorHAnsi" w:eastAsiaTheme="minorEastAsia" w:hAnsiTheme="minorHAnsi" w:cstheme="minorBidi"/>
          <w:szCs w:val="22"/>
        </w:rPr>
      </w:pPr>
      <w:r>
        <w:t>7.</w:t>
      </w:r>
      <w:r>
        <w:tab/>
        <w:t>Fees (Sch. 4)</w:t>
      </w:r>
      <w:r>
        <w:tab/>
      </w:r>
      <w:r>
        <w:fldChar w:fldCharType="begin"/>
      </w:r>
      <w:r>
        <w:instrText xml:space="preserve"> PAGEREF _Toc474487425 \h </w:instrText>
      </w:r>
      <w:r>
        <w:fldChar w:fldCharType="separate"/>
      </w:r>
      <w:r>
        <w:t>3</w:t>
      </w:r>
      <w:r>
        <w:fldChar w:fldCharType="end"/>
      </w:r>
    </w:p>
    <w:p>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_Toc474487426 \h </w:instrText>
      </w:r>
      <w:r>
        <w:fldChar w:fldCharType="separate"/>
      </w:r>
      <w:r>
        <w:t>3</w:t>
      </w:r>
      <w:r>
        <w:fldChar w:fldCharType="end"/>
      </w:r>
    </w:p>
    <w:p>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_Toc474487427 \h </w:instrText>
      </w:r>
      <w:r>
        <w:fldChar w:fldCharType="separate"/>
      </w:r>
      <w:r>
        <w:t>4</w:t>
      </w:r>
      <w:r>
        <w:fldChar w:fldCharType="end"/>
      </w:r>
    </w:p>
    <w:p>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_Toc474487428 \h </w:instrText>
      </w:r>
      <w:r>
        <w:fldChar w:fldCharType="separate"/>
      </w:r>
      <w:r>
        <w:t>4</w:t>
      </w:r>
      <w:r>
        <w:fldChar w:fldCharType="end"/>
      </w:r>
    </w:p>
    <w:p>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_Toc474487429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Supply charges</w:t>
      </w:r>
    </w:p>
    <w:p>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_Toc474487431 \h </w:instrText>
      </w:r>
      <w:r>
        <w:fldChar w:fldCharType="separate"/>
      </w:r>
      <w:r>
        <w:t>6</w:t>
      </w:r>
      <w:r>
        <w:fldChar w:fldCharType="end"/>
      </w:r>
    </w:p>
    <w:p>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_Toc474487432 \h </w:instrText>
      </w:r>
      <w:r>
        <w:fldChar w:fldCharType="separate"/>
      </w:r>
      <w:r>
        <w:t>6</w:t>
      </w:r>
      <w:r>
        <w:fldChar w:fldCharType="end"/>
      </w:r>
    </w:p>
    <w:p>
      <w:pPr>
        <w:pStyle w:val="TOC8"/>
        <w:rPr>
          <w:rFonts w:asciiTheme="minorHAnsi" w:eastAsiaTheme="minorEastAsia" w:hAnsiTheme="minorHAnsi" w:cstheme="minorBidi"/>
          <w:szCs w:val="22"/>
        </w:rPr>
      </w:pPr>
      <w:r>
        <w:t>4.</w:t>
      </w:r>
      <w:r>
        <w:tab/>
        <w:t>Tariff R1 (time of use tariff)</w:t>
      </w:r>
      <w:r>
        <w:tab/>
      </w:r>
      <w:r>
        <w:fldChar w:fldCharType="begin"/>
      </w:r>
      <w:r>
        <w:instrText xml:space="preserve"> PAGEREF _Toc474487433 \h </w:instrText>
      </w:r>
      <w:r>
        <w:fldChar w:fldCharType="separate"/>
      </w:r>
      <w:r>
        <w:t>7</w:t>
      </w:r>
      <w:r>
        <w:fldChar w:fldCharType="end"/>
      </w:r>
    </w:p>
    <w:p>
      <w:pPr>
        <w:pStyle w:val="TOC8"/>
        <w:rPr>
          <w:rFonts w:asciiTheme="minorHAnsi" w:eastAsiaTheme="minorEastAsia" w:hAnsiTheme="minorHAnsi" w:cstheme="minorBidi"/>
          <w:szCs w:val="22"/>
        </w:rPr>
      </w:pPr>
      <w:r>
        <w:t>5.</w:t>
      </w:r>
      <w:r>
        <w:tab/>
        <w:t>Tariff R3 (time of use tariff)</w:t>
      </w:r>
      <w:r>
        <w:tab/>
      </w:r>
      <w:r>
        <w:fldChar w:fldCharType="begin"/>
      </w:r>
      <w:r>
        <w:instrText xml:space="preserve"> PAGEREF _Toc474487434 \h </w:instrText>
      </w:r>
      <w:r>
        <w:fldChar w:fldCharType="separate"/>
      </w:r>
      <w:r>
        <w:t>7</w:t>
      </w:r>
      <w:r>
        <w:fldChar w:fldCharType="end"/>
      </w:r>
    </w:p>
    <w:p>
      <w:pPr>
        <w:pStyle w:val="TOC8"/>
        <w:rPr>
          <w:rFonts w:asciiTheme="minorHAnsi" w:eastAsiaTheme="minorEastAsia" w:hAnsiTheme="minorHAnsi" w:cstheme="minorBidi"/>
          <w:szCs w:val="22"/>
        </w:rPr>
      </w:pPr>
      <w:r>
        <w:t>8.</w:t>
      </w:r>
      <w:r>
        <w:tab/>
        <w:t>Standby charges</w:t>
      </w:r>
      <w:r>
        <w:tab/>
      </w:r>
      <w:r>
        <w:fldChar w:fldCharType="begin"/>
      </w:r>
      <w:r>
        <w:instrText xml:space="preserve"> PAGEREF _Toc474487435 \h </w:instrText>
      </w:r>
      <w:r>
        <w:fldChar w:fldCharType="separate"/>
      </w:r>
      <w:r>
        <w:t>8</w:t>
      </w:r>
      <w:r>
        <w:fldChar w:fldCharType="end"/>
      </w:r>
    </w:p>
    <w:p>
      <w:pPr>
        <w:pStyle w:val="TOC8"/>
        <w:rPr>
          <w:rFonts w:asciiTheme="minorHAnsi" w:eastAsiaTheme="minorEastAsia" w:hAnsiTheme="minorHAnsi" w:cstheme="minorBidi"/>
          <w:szCs w:val="22"/>
        </w:rPr>
      </w:pPr>
      <w:r>
        <w:t>9.</w:t>
      </w:r>
      <w:r>
        <w:tab/>
        <w:t>Tariff A1 (residential tariff)</w:t>
      </w:r>
      <w:r>
        <w:tab/>
      </w:r>
      <w:r>
        <w:fldChar w:fldCharType="begin"/>
      </w:r>
      <w:r>
        <w:instrText xml:space="preserve"> PAGEREF _Toc474487436 \h </w:instrText>
      </w:r>
      <w:r>
        <w:fldChar w:fldCharType="separate"/>
      </w:r>
      <w:r>
        <w:t>9</w:t>
      </w:r>
      <w:r>
        <w:fldChar w:fldCharType="end"/>
      </w:r>
    </w:p>
    <w:p>
      <w:pPr>
        <w:pStyle w:val="TOC8"/>
        <w:rPr>
          <w:rFonts w:asciiTheme="minorHAnsi" w:eastAsiaTheme="minorEastAsia" w:hAnsiTheme="minorHAnsi" w:cstheme="minorBidi"/>
          <w:szCs w:val="22"/>
        </w:rPr>
      </w:pPr>
      <w:r>
        <w:t>10.</w:t>
      </w:r>
      <w:r>
        <w:tab/>
        <w:t>Tariff B1 (residential water heating tariff)</w:t>
      </w:r>
      <w:r>
        <w:tab/>
      </w:r>
      <w:r>
        <w:fldChar w:fldCharType="begin"/>
      </w:r>
      <w:r>
        <w:instrText xml:space="preserve"> PAGEREF _Toc474487437 \h </w:instrText>
      </w:r>
      <w:r>
        <w:fldChar w:fldCharType="separate"/>
      </w:r>
      <w:r>
        <w:t>10</w:t>
      </w:r>
      <w:r>
        <w:fldChar w:fldCharType="end"/>
      </w:r>
    </w:p>
    <w:p>
      <w:pPr>
        <w:pStyle w:val="TOC8"/>
        <w:rPr>
          <w:rFonts w:asciiTheme="minorHAnsi" w:eastAsiaTheme="minorEastAsia" w:hAnsiTheme="minorHAnsi" w:cstheme="minorBidi"/>
          <w:szCs w:val="22"/>
        </w:rPr>
      </w:pPr>
      <w:r>
        <w:t>11.</w:t>
      </w:r>
      <w:r>
        <w:tab/>
        <w:t>Tariff C1 (special community service tariff)</w:t>
      </w:r>
      <w:r>
        <w:tab/>
      </w:r>
      <w:r>
        <w:fldChar w:fldCharType="begin"/>
      </w:r>
      <w:r>
        <w:instrText xml:space="preserve"> PAGEREF _Toc474487438 \h </w:instrText>
      </w:r>
      <w:r>
        <w:fldChar w:fldCharType="separate"/>
      </w:r>
      <w:r>
        <w:t>10</w:t>
      </w:r>
      <w:r>
        <w:fldChar w:fldCharType="end"/>
      </w:r>
    </w:p>
    <w:p>
      <w:pPr>
        <w:pStyle w:val="TOC8"/>
        <w:rPr>
          <w:rFonts w:asciiTheme="minorHAnsi" w:eastAsiaTheme="minorEastAsia" w:hAnsiTheme="minorHAnsi" w:cstheme="minorBidi"/>
          <w:szCs w:val="22"/>
        </w:rPr>
      </w:pPr>
      <w:r>
        <w:t>12.</w:t>
      </w:r>
      <w:r>
        <w:tab/>
        <w:t>Tariff D1 (special tariff for certain premises)</w:t>
      </w:r>
      <w:r>
        <w:tab/>
      </w:r>
      <w:r>
        <w:fldChar w:fldCharType="begin"/>
      </w:r>
      <w:r>
        <w:instrText xml:space="preserve"> PAGEREF _Toc474487439 \h </w:instrText>
      </w:r>
      <w:r>
        <w:fldChar w:fldCharType="separate"/>
      </w:r>
      <w:r>
        <w:t>11</w:t>
      </w:r>
      <w:r>
        <w:fldChar w:fldCharType="end"/>
      </w:r>
    </w:p>
    <w:p>
      <w:pPr>
        <w:pStyle w:val="TOC8"/>
        <w:rPr>
          <w:rFonts w:asciiTheme="minorHAnsi" w:eastAsiaTheme="minorEastAsia" w:hAnsiTheme="minorHAnsi" w:cstheme="minorBidi"/>
          <w:szCs w:val="22"/>
        </w:rPr>
      </w:pPr>
      <w:r>
        <w:t>13.</w:t>
      </w:r>
      <w:r>
        <w:tab/>
        <w:t>Tariff K1 (general supply with residential tariff)</w:t>
      </w:r>
      <w:r>
        <w:tab/>
      </w:r>
      <w:r>
        <w:fldChar w:fldCharType="begin"/>
      </w:r>
      <w:r>
        <w:instrText xml:space="preserve"> PAGEREF _Toc474487440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2 — Unmetered supply</w:t>
      </w:r>
    </w:p>
    <w:p>
      <w:pPr>
        <w:pStyle w:val="TOC4"/>
        <w:tabs>
          <w:tab w:val="right" w:leader="dot" w:pos="7077"/>
        </w:tabs>
        <w:rPr>
          <w:rFonts w:asciiTheme="minorHAnsi" w:eastAsiaTheme="minorEastAsia" w:hAnsiTheme="minorHAnsi" w:cstheme="minorBidi"/>
          <w:b w:val="0"/>
          <w:szCs w:val="22"/>
        </w:rPr>
      </w:pPr>
      <w:r>
        <w:t>Division 1</w:t>
      </w:r>
      <w:r>
        <w:rPr>
          <w:b w:val="0"/>
        </w:rPr>
        <w:t> — </w:t>
      </w:r>
      <w:r>
        <w:t>Street lighting</w:t>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_Toc474487444 \h </w:instrText>
      </w:r>
      <w:r>
        <w:fldChar w:fldCharType="separate"/>
      </w:r>
      <w:r>
        <w:t>15</w:t>
      </w:r>
      <w:r>
        <w:fldChar w:fldCharType="end"/>
      </w:r>
    </w:p>
    <w:p>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_Toc474487445 \h </w:instrText>
      </w:r>
      <w:r>
        <w:fldChar w:fldCharType="separate"/>
      </w:r>
      <w:r>
        <w:t>15</w:t>
      </w:r>
      <w:r>
        <w:fldChar w:fldCharType="end"/>
      </w:r>
    </w:p>
    <w:p>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_Toc474487446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Meter rental</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_Toc474487450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3" w:name="_Toc474487419"/>
      <w:r>
        <w:rPr>
          <w:rStyle w:val="CharSectno"/>
        </w:rPr>
        <w:t>1</w:t>
      </w:r>
      <w:r>
        <w:t>.</w:t>
      </w:r>
      <w:r>
        <w:tab/>
        <w:t>Citation</w:t>
      </w:r>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474487420"/>
      <w:r>
        <w:rPr>
          <w:rStyle w:val="CharSectno"/>
        </w:rPr>
        <w:t>2</w:t>
      </w:r>
      <w:r>
        <w:t>.</w:t>
      </w:r>
      <w:r>
        <w:tab/>
        <w:t>Commencement</w:t>
      </w:r>
      <w:bookmarkEnd w:id="4"/>
    </w:p>
    <w:p>
      <w:pPr>
        <w:pStyle w:val="Subsection"/>
      </w:pPr>
      <w:r>
        <w:tab/>
      </w:r>
      <w:r>
        <w:tab/>
        <w:t>These by</w:t>
      </w:r>
      <w:r>
        <w:noBreakHyphen/>
        <w:t>laws come into operation on 1 April 2006.</w:t>
      </w:r>
    </w:p>
    <w:p>
      <w:pPr>
        <w:pStyle w:val="Heading5"/>
        <w:rPr>
          <w:snapToGrid w:val="0"/>
        </w:rPr>
      </w:pPr>
      <w:bookmarkStart w:id="5" w:name="_Toc474487421"/>
      <w:r>
        <w:rPr>
          <w:rStyle w:val="CharSectno"/>
        </w:rPr>
        <w:t>3</w:t>
      </w:r>
      <w:r>
        <w:t>.</w:t>
      </w:r>
      <w:r>
        <w:tab/>
      </w:r>
      <w:r>
        <w:rPr>
          <w:snapToGrid w:val="0"/>
        </w:rPr>
        <w:t>Terms used</w:t>
      </w:r>
      <w:bookmarkEnd w:id="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6" w:name="_Toc474487422"/>
      <w:r>
        <w:rPr>
          <w:rStyle w:val="CharSectno"/>
        </w:rPr>
        <w:t>4</w:t>
      </w:r>
      <w:r>
        <w:t>.</w:t>
      </w:r>
      <w:r>
        <w:tab/>
      </w:r>
      <w:r>
        <w:rPr>
          <w:snapToGrid w:val="0"/>
        </w:rPr>
        <w:t>Electricity charges payable by consumers (Sch. 1, Sch. 2)</w:t>
      </w:r>
      <w:bookmarkEnd w:id="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7" w:name="_Toc474487423"/>
      <w:r>
        <w:rPr>
          <w:rStyle w:val="CharSectno"/>
        </w:rPr>
        <w:t>5</w:t>
      </w:r>
      <w:r>
        <w:t>.</w:t>
      </w:r>
      <w:r>
        <w:tab/>
        <w:t>Residential tariffs, when applicable</w:t>
      </w:r>
      <w:bookmarkEnd w:id="7"/>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8" w:name="_Toc474487424"/>
      <w:r>
        <w:rPr>
          <w:rStyle w:val="CharSectno"/>
        </w:rPr>
        <w:t>6</w:t>
      </w:r>
      <w:r>
        <w:t>.</w:t>
      </w:r>
      <w:r>
        <w:tab/>
        <w:t>Subsidiary meters, rental for (Sch. 3)</w:t>
      </w:r>
      <w:bookmarkEnd w:id="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9" w:name="_Toc474487425"/>
      <w:r>
        <w:rPr>
          <w:rStyle w:val="CharSectno"/>
        </w:rPr>
        <w:t>7</w:t>
      </w:r>
      <w:r>
        <w:t>.</w:t>
      </w:r>
      <w:r>
        <w:tab/>
        <w:t>Fees (Sch. 4)</w:t>
      </w:r>
      <w:bookmarkEnd w:id="9"/>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0" w:name="_Toc474487426"/>
      <w:r>
        <w:rPr>
          <w:rStyle w:val="CharSectno"/>
        </w:rPr>
        <w:t>8</w:t>
      </w:r>
      <w:r>
        <w:t>.</w:t>
      </w:r>
      <w:r>
        <w:tab/>
        <w:t>When charges payable; interest on unpaid charges</w:t>
      </w:r>
      <w:bookmarkEnd w:id="1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1" w:name="_Toc474487427"/>
      <w:r>
        <w:rPr>
          <w:rStyle w:val="CharSectno"/>
        </w:rPr>
        <w:t>10</w:t>
      </w:r>
      <w:r>
        <w:t>.</w:t>
      </w:r>
      <w:r>
        <w:tab/>
        <w:t>Calculation of charges</w:t>
      </w:r>
      <w:bookmarkEnd w:id="1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12" w:name="_Toc474487428"/>
      <w:r>
        <w:rPr>
          <w:rStyle w:val="CharSectno"/>
        </w:rPr>
        <w:t>11</w:t>
      </w:r>
      <w:r>
        <w:t>.</w:t>
      </w:r>
      <w:r>
        <w:tab/>
        <w:t>Changes to rate of charges, adjustment for</w:t>
      </w:r>
      <w:bookmarkEnd w:id="1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13" w:name="_Toc474487429"/>
      <w:r>
        <w:rPr>
          <w:rStyle w:val="CharSectno"/>
        </w:rPr>
        <w:t>12</w:t>
      </w:r>
      <w:r>
        <w:t>.</w:t>
      </w:r>
      <w:r>
        <w:tab/>
        <w:t>Interest rate prescribed (Act s. 62(16))</w:t>
      </w:r>
      <w:bookmarkEnd w:id="1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 w:name="_Toc474486911"/>
      <w:bookmarkStart w:id="15" w:name="_Toc474486944"/>
      <w:bookmarkStart w:id="16" w:name="_Toc474486977"/>
      <w:bookmarkStart w:id="17" w:name="_Toc474487263"/>
      <w:bookmarkStart w:id="18" w:name="_Toc474487382"/>
      <w:bookmarkStart w:id="19" w:name="_Toc474487430"/>
      <w:bookmarkStart w:id="20" w:name="_Toc474333142"/>
      <w:bookmarkStart w:id="21" w:name="_Toc474333641"/>
      <w:bookmarkStart w:id="22" w:name="_Toc474333734"/>
      <w:bookmarkStart w:id="23" w:name="_Toc474486930"/>
      <w:bookmarkStart w:id="24" w:name="_Toc474486963"/>
      <w:bookmarkStart w:id="25" w:name="_Toc474486996"/>
      <w:bookmarkStart w:id="26" w:name="_Toc474487282"/>
      <w:bookmarkStart w:id="27" w:name="_Toc474487401"/>
      <w:bookmarkStart w:id="28" w:name="_Toc474487449"/>
      <w:r>
        <w:rPr>
          <w:rStyle w:val="CharSchNo"/>
        </w:rPr>
        <w:t>Schedule 1</w:t>
      </w:r>
      <w:r>
        <w:rPr>
          <w:rStyle w:val="CharSDivNo"/>
        </w:rPr>
        <w:t> </w:t>
      </w:r>
      <w:r>
        <w:t>—</w:t>
      </w:r>
      <w:r>
        <w:rPr>
          <w:rStyle w:val="CharSDivText"/>
        </w:rPr>
        <w:t> </w:t>
      </w:r>
      <w:r>
        <w:rPr>
          <w:rStyle w:val="CharSchText"/>
        </w:rPr>
        <w:t>Supply charges</w:t>
      </w:r>
      <w:bookmarkEnd w:id="14"/>
      <w:bookmarkEnd w:id="15"/>
      <w:bookmarkEnd w:id="16"/>
      <w:bookmarkEnd w:id="17"/>
      <w:bookmarkEnd w:id="18"/>
      <w:bookmarkEnd w:id="19"/>
    </w:p>
    <w:p>
      <w:pPr>
        <w:pStyle w:val="yShoulderClause"/>
      </w:pPr>
      <w:r>
        <w:t>[bl. 3, 4(1) and 10(1)]</w:t>
      </w:r>
    </w:p>
    <w:p>
      <w:pPr>
        <w:pStyle w:val="yFootnoteheading"/>
      </w:pPr>
      <w:r>
        <w:tab/>
        <w:t>[Heading inserted in Gazette 22 Aug 2014 p. 3024.]</w:t>
      </w:r>
    </w:p>
    <w:p>
      <w:pPr>
        <w:pStyle w:val="yHeading5"/>
      </w:pPr>
      <w:bookmarkStart w:id="29" w:name="_Toc474487431"/>
      <w:r>
        <w:rPr>
          <w:rStyle w:val="CharSClsNo"/>
        </w:rPr>
        <w:t>1</w:t>
      </w:r>
      <w:r>
        <w:t>.</w:t>
      </w:r>
      <w:r>
        <w:tab/>
        <w:t>Tariff L1 (general supply — low/medium voltage tariff)</w:t>
      </w:r>
      <w:bookmarkEnd w:id="29"/>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46.1185 cents per day; and</w:t>
      </w:r>
    </w:p>
    <w:p>
      <w:pPr>
        <w:pStyle w:val="yIndenta"/>
      </w:pPr>
      <w:r>
        <w:tab/>
        <w:t>(b)</w:t>
      </w:r>
      <w:r>
        <w:tab/>
        <w:t xml:space="preserve">a charge for metered consumption at the rate of — </w:t>
      </w:r>
    </w:p>
    <w:p>
      <w:pPr>
        <w:pStyle w:val="yIndenti0"/>
      </w:pPr>
      <w:r>
        <w:tab/>
        <w:t>(i)</w:t>
      </w:r>
      <w:r>
        <w:tab/>
        <w:t>30.3104 cents per unit for the first 1 650 units per day; and</w:t>
      </w:r>
    </w:p>
    <w:p>
      <w:pPr>
        <w:pStyle w:val="yIndenti0"/>
      </w:pPr>
      <w:r>
        <w:tab/>
        <w:t>(ii)</w:t>
      </w:r>
      <w:r>
        <w:tab/>
        <w:t>27.3503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[Clause 1 inserted in Gazette 26 Jun 2015 p. 2239</w:t>
      </w:r>
      <w:r>
        <w:noBreakHyphen/>
        <w:t>40; amended in Gazette 28 Jun 2016 p. 2623.]</w:t>
      </w:r>
    </w:p>
    <w:p>
      <w:pPr>
        <w:pStyle w:val="yHeading5"/>
      </w:pPr>
      <w:bookmarkStart w:id="30" w:name="_Toc474487432"/>
      <w:r>
        <w:rPr>
          <w:rStyle w:val="CharSClsNo"/>
        </w:rPr>
        <w:t>2</w:t>
      </w:r>
      <w:r>
        <w:t>.</w:t>
      </w:r>
      <w:r>
        <w:tab/>
        <w:t>Tariff L3 (general supply — low/medium voltage tariff)</w:t>
      </w:r>
      <w:bookmarkEnd w:id="3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r>
        <w:rPr>
          <w:szCs w:val="22"/>
        </w:rPr>
        <w:t xml:space="preserve">53.1612 </w:t>
      </w:r>
      <w:r>
        <w:t>cents per day; and</w:t>
      </w:r>
    </w:p>
    <w:p>
      <w:pPr>
        <w:pStyle w:val="yIndenta"/>
      </w:pPr>
      <w:r>
        <w:tab/>
        <w:t>(b)</w:t>
      </w:r>
      <w:r>
        <w:tab/>
        <w:t xml:space="preserve">a charge for metered consumption at the rate of — </w:t>
      </w:r>
    </w:p>
    <w:p>
      <w:pPr>
        <w:pStyle w:val="yIndenti0"/>
      </w:pPr>
      <w:r>
        <w:tab/>
        <w:t>(i)</w:t>
      </w:r>
      <w:r>
        <w:tab/>
      </w:r>
      <w:r>
        <w:rPr>
          <w:szCs w:val="22"/>
        </w:rPr>
        <w:t xml:space="preserve">34.9313 </w:t>
      </w:r>
      <w:r>
        <w:t>cents per unit for the first 1 650 units per day; and</w:t>
      </w:r>
    </w:p>
    <w:p>
      <w:pPr>
        <w:pStyle w:val="yIndenti0"/>
      </w:pPr>
      <w:r>
        <w:tab/>
        <w:t>(ii)</w:t>
      </w:r>
      <w:r>
        <w:tab/>
      </w:r>
      <w:r>
        <w:rPr>
          <w:szCs w:val="22"/>
        </w:rPr>
        <w:t xml:space="preserve">31.5293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[Clause 2 inserted in Gazette 26 Jun 2015 p. 2240; amended in Gazette 31 Aug 2016 p. 3702.]</w:t>
      </w:r>
    </w:p>
    <w:p>
      <w:pPr>
        <w:pStyle w:val="yEdnotesection"/>
      </w:pPr>
      <w:r>
        <w:t>[</w:t>
      </w:r>
      <w:r>
        <w:rPr>
          <w:b/>
        </w:rPr>
        <w:t>3.</w:t>
      </w:r>
      <w:r>
        <w:tab/>
        <w:t>Deleted in Gazette 31 Aug 2016 p. 3701.]</w:t>
      </w:r>
    </w:p>
    <w:p>
      <w:pPr>
        <w:pStyle w:val="yHeading5"/>
      </w:pPr>
      <w:bookmarkStart w:id="31" w:name="_Toc474487433"/>
      <w:r>
        <w:rPr>
          <w:rStyle w:val="CharSClsNo"/>
        </w:rPr>
        <w:t>4</w:t>
      </w:r>
      <w:r>
        <w:t>.</w:t>
      </w:r>
      <w:r>
        <w:tab/>
        <w:t>Tariff R1 (time of use tariff)</w:t>
      </w:r>
      <w:bookmarkEnd w:id="31"/>
    </w:p>
    <w:p>
      <w:pPr>
        <w:pStyle w:val="ySubsection"/>
      </w:pPr>
      <w:r>
        <w:tab/>
        <w:t>(1)</w:t>
      </w:r>
      <w:r>
        <w:tab/>
        <w:t>Tariff R1 comprises —</w:t>
      </w:r>
    </w:p>
    <w:p>
      <w:pPr>
        <w:pStyle w:val="yIndenta"/>
      </w:pPr>
      <w:r>
        <w:tab/>
        <w:t>(a)</w:t>
      </w:r>
      <w:r>
        <w:tab/>
        <w:t>a fixed charge at the rate of $1.8907 per day; and</w:t>
      </w:r>
    </w:p>
    <w:p>
      <w:pPr>
        <w:pStyle w:val="yIndenta"/>
      </w:pPr>
      <w:r>
        <w:tab/>
        <w:t>(b)</w:t>
      </w:r>
      <w:r>
        <w:tab/>
        <w:t>an energy charge consisting of — </w:t>
      </w:r>
    </w:p>
    <w:p>
      <w:pPr>
        <w:pStyle w:val="yIndenti0"/>
      </w:pPr>
      <w:r>
        <w:tab/>
        <w:t>(i)</w:t>
      </w:r>
      <w:r>
        <w:tab/>
        <w:t>an on peak energy charge at the rate of 33.1873 cents per unit; and</w:t>
      </w:r>
    </w:p>
    <w:p>
      <w:pPr>
        <w:pStyle w:val="yIndenti0"/>
      </w:pPr>
      <w:r>
        <w:tab/>
        <w:t>(ii)</w:t>
      </w:r>
      <w:r>
        <w:tab/>
        <w:t>an off peak energy charge at the rate of 10.2357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[Clause 4 inserted in Gazette 26 Jun 2015 p. 2240</w:t>
      </w:r>
      <w:r>
        <w:noBreakHyphen/>
        <w:t>1; amended in Gazette 28 Jun 2016 p. 2624.]</w:t>
      </w:r>
    </w:p>
    <w:p>
      <w:pPr>
        <w:pStyle w:val="yHeading5"/>
      </w:pPr>
      <w:bookmarkStart w:id="32" w:name="_Toc474487434"/>
      <w:r>
        <w:rPr>
          <w:rStyle w:val="CharSClsNo"/>
        </w:rPr>
        <w:t>5</w:t>
      </w:r>
      <w:r>
        <w:t>.</w:t>
      </w:r>
      <w:r>
        <w:tab/>
        <w:t>Tariff R3 (time of use tariff)</w:t>
      </w:r>
      <w:bookmarkEnd w:id="32"/>
    </w:p>
    <w:p>
      <w:pPr>
        <w:pStyle w:val="ySubsection"/>
      </w:pPr>
      <w:r>
        <w:tab/>
        <w:t>(1)</w:t>
      </w:r>
      <w:r>
        <w:tab/>
        <w:t>Tariff R3 comprises —</w:t>
      </w:r>
    </w:p>
    <w:p>
      <w:pPr>
        <w:pStyle w:val="yIndenta"/>
      </w:pPr>
      <w:r>
        <w:tab/>
        <w:t>(a)</w:t>
      </w:r>
      <w:r>
        <w:tab/>
        <w:t xml:space="preserve">a fixed charge at the rate of </w:t>
      </w:r>
      <w:r>
        <w:rPr>
          <w:szCs w:val="22"/>
        </w:rPr>
        <w:t>$2.5741</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45.0674 </w:t>
      </w:r>
      <w:r>
        <w:t>cents per unit; and</w:t>
      </w:r>
    </w:p>
    <w:p>
      <w:pPr>
        <w:pStyle w:val="yIndenti0"/>
      </w:pPr>
      <w:r>
        <w:tab/>
        <w:t>(ii)</w:t>
      </w:r>
      <w:r>
        <w:tab/>
        <w:t xml:space="preserve">an off peak energy charge at the rate of </w:t>
      </w:r>
      <w:r>
        <w:rPr>
          <w:szCs w:val="22"/>
        </w:rPr>
        <w:t xml:space="preserve">13.8742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[Clause 5 inserted in Gazette 26 Jun 2015 p. 2241; amended in Gazette 31 Aug 2016 p. 3702.]</w:t>
      </w:r>
    </w:p>
    <w:p>
      <w:pPr>
        <w:pStyle w:val="yEdnotesection"/>
      </w:pPr>
      <w:r>
        <w:t>[</w:t>
      </w:r>
      <w:r>
        <w:rPr>
          <w:b/>
        </w:rPr>
        <w:t>6, 7.</w:t>
      </w:r>
      <w:r>
        <w:tab/>
        <w:t>Deleted in Gazette 31 Aug 2016 p. 3701.]</w:t>
      </w:r>
    </w:p>
    <w:p>
      <w:pPr>
        <w:pStyle w:val="yHeading5"/>
      </w:pPr>
      <w:bookmarkStart w:id="33" w:name="_Toc474487435"/>
      <w:r>
        <w:rPr>
          <w:rStyle w:val="CharSClsNo"/>
        </w:rPr>
        <w:t>8</w:t>
      </w:r>
      <w:r>
        <w:t>.</w:t>
      </w:r>
      <w:r>
        <w:tab/>
        <w:t>Standby charges</w:t>
      </w:r>
      <w:bookmarkEnd w:id="33"/>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Ednotesubsection"/>
      </w:pPr>
      <w:r>
        <w:tab/>
        <w:t>[(3)-(5)</w:t>
      </w:r>
      <w:r>
        <w:tab/>
        <w:t>deleted]</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 amended in Gazette 31 Aug 2016 p. 3702.]</w:t>
      </w:r>
    </w:p>
    <w:p>
      <w:pPr>
        <w:pStyle w:val="yHeading5"/>
      </w:pPr>
      <w:bookmarkStart w:id="34" w:name="_Toc474487436"/>
      <w:r>
        <w:rPr>
          <w:rStyle w:val="CharSClsNo"/>
        </w:rPr>
        <w:t>9</w:t>
      </w:r>
      <w:r>
        <w:t>.</w:t>
      </w:r>
      <w:r>
        <w:tab/>
        <w:t>Tariff A1 (residential tariff)</w:t>
      </w:r>
      <w:bookmarkEnd w:id="34"/>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48.5989 cents per day or, for multiple dwellings supplied through one metered supply point, a fixed charge at the rate of —</w:t>
      </w:r>
    </w:p>
    <w:p>
      <w:pPr>
        <w:pStyle w:val="yIndenti0"/>
      </w:pPr>
      <w:r>
        <w:tab/>
        <w:t>(i)</w:t>
      </w:r>
      <w:r>
        <w:tab/>
        <w:t>48.5989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r>
        <w:tab/>
        <w:t>[Clause 9 inserted in Gazette 26 Jun 2015 p. 2242</w:t>
      </w:r>
      <w:r>
        <w:noBreakHyphen/>
        <w:t>3; amended in Gazette 28 Jun 2016 p. 2624.]</w:t>
      </w:r>
    </w:p>
    <w:p>
      <w:pPr>
        <w:pStyle w:val="yHeading5"/>
      </w:pPr>
      <w:bookmarkStart w:id="35" w:name="_Toc474487437"/>
      <w:r>
        <w:rPr>
          <w:rStyle w:val="CharSClsNo"/>
        </w:rPr>
        <w:t>10</w:t>
      </w:r>
      <w:r>
        <w:t>.</w:t>
      </w:r>
      <w:r>
        <w:tab/>
        <w:t>Tariff B1 (residential water heating tariff)</w:t>
      </w:r>
      <w:bookmarkEnd w:id="3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21.6970 cents per day or, for multiple dwellings supplied through one metered supply point, a fixed charge at the rate of 21.6970 cents per day for each dwelling; and</w:t>
      </w:r>
    </w:p>
    <w:p>
      <w:pPr>
        <w:pStyle w:val="yIndenta"/>
      </w:pPr>
      <w:r>
        <w:tab/>
        <w:t>(b)</w:t>
      </w:r>
      <w:r>
        <w:tab/>
        <w:t>a charge for metered consumption at the rate of 11.9863 cents per unit.</w:t>
      </w:r>
    </w:p>
    <w:p>
      <w:pPr>
        <w:pStyle w:val="yFootnotesection"/>
      </w:pPr>
      <w:r>
        <w:tab/>
        <w:t>[Clause 10 inserted in Gazette 26 Jun 2015 p. 2243; amended in Gazette 28 Jun 2016 p. 2624.]</w:t>
      </w:r>
    </w:p>
    <w:p>
      <w:pPr>
        <w:pStyle w:val="yHeading5"/>
      </w:pPr>
      <w:bookmarkStart w:id="36" w:name="_Toc474487438"/>
      <w:r>
        <w:rPr>
          <w:rStyle w:val="CharSClsNo"/>
        </w:rPr>
        <w:t>11</w:t>
      </w:r>
      <w:r>
        <w:t>.</w:t>
      </w:r>
      <w:r>
        <w:tab/>
        <w:t>Tariff C1 (special community service tariff)</w:t>
      </w:r>
      <w:bookmarkEnd w:id="36"/>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35.7763 cents per day; and</w:t>
      </w:r>
    </w:p>
    <w:p>
      <w:pPr>
        <w:pStyle w:val="yIndenta"/>
      </w:pPr>
      <w:r>
        <w:tab/>
        <w:t>(b)</w:t>
      </w:r>
      <w:r>
        <w:tab/>
        <w:t xml:space="preserve">a charge for metered consumption at the rate of — </w:t>
      </w:r>
    </w:p>
    <w:p>
      <w:pPr>
        <w:pStyle w:val="yIndenti0"/>
      </w:pPr>
      <w:r>
        <w:tab/>
        <w:t>(i)</w:t>
      </w:r>
      <w:r>
        <w:tab/>
        <w:t>19.5011 cents per unit for the first 20 units per day; and</w:t>
      </w:r>
    </w:p>
    <w:p>
      <w:pPr>
        <w:pStyle w:val="yIndenti0"/>
      </w:pPr>
      <w:r>
        <w:tab/>
        <w:t>(ii)</w:t>
      </w:r>
      <w:r>
        <w:tab/>
        <w:t>24.4331 cents per unit for the next 1 630 units per day; and</w:t>
      </w:r>
    </w:p>
    <w:p>
      <w:pPr>
        <w:pStyle w:val="yIndenti0"/>
      </w:pPr>
      <w:r>
        <w:tab/>
        <w:t>(iii)</w:t>
      </w:r>
      <w:r>
        <w:tab/>
        <w:t>22.0470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[Clause 11 inserted in Gazette 26 Jun 2015 p. 2243</w:t>
      </w:r>
      <w:r>
        <w:noBreakHyphen/>
        <w:t>4; amended in Gazette 28 Jun 2016 p. 2624.]</w:t>
      </w:r>
    </w:p>
    <w:p>
      <w:pPr>
        <w:pStyle w:val="yHeading5"/>
      </w:pPr>
      <w:bookmarkStart w:id="37" w:name="_Toc474487439"/>
      <w:r>
        <w:rPr>
          <w:rStyle w:val="CharSClsNo"/>
        </w:rPr>
        <w:t>12</w:t>
      </w:r>
      <w:r>
        <w:t>.</w:t>
      </w:r>
      <w:r>
        <w:tab/>
        <w:t>Tariff D1 (special tariff for certain premises)</w:t>
      </w:r>
      <w:bookmarkEnd w:id="37"/>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40.8681 cents per day; and</w:t>
      </w:r>
    </w:p>
    <w:p>
      <w:pPr>
        <w:pStyle w:val="yIndenta"/>
      </w:pPr>
      <w:r>
        <w:tab/>
        <w:t>(b)</w:t>
      </w:r>
      <w:r>
        <w:tab/>
        <w:t>if under subclause (3) there is deemed to be more than one equivalent domestic residence in the premises, a charge of 31.7323 cents per day for each equivalent domestic residence except the first that is deemed to be in the premises; and</w:t>
      </w:r>
    </w:p>
    <w:p>
      <w:pPr>
        <w:pStyle w:val="yIndenta"/>
      </w:pPr>
      <w:r>
        <w:tab/>
        <w:t>(c)</w:t>
      </w:r>
      <w:r>
        <w:tab/>
        <w:t>a charge for metered consumption at the rate of 22.2764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12 inserted in Gazette 26 Jun 2015 p. 2244; amended in Gazette 28 Jun 2016 p. 2625.]</w:t>
      </w:r>
    </w:p>
    <w:p>
      <w:pPr>
        <w:pStyle w:val="yHeading5"/>
      </w:pPr>
      <w:bookmarkStart w:id="38" w:name="_Toc474487440"/>
      <w:r>
        <w:rPr>
          <w:rStyle w:val="CharSClsNo"/>
        </w:rPr>
        <w:t>13</w:t>
      </w:r>
      <w:r>
        <w:t>.</w:t>
      </w:r>
      <w:r>
        <w:tab/>
        <w:t>Tariff K1 (general supply with residential tariff)</w:t>
      </w:r>
      <w:bookmarkEnd w:id="38"/>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48.5989 cents per day; and</w:t>
      </w:r>
    </w:p>
    <w:p>
      <w:pPr>
        <w:pStyle w:val="yIndenta"/>
      </w:pPr>
      <w:r>
        <w:tab/>
        <w:t>(b)</w:t>
      </w:r>
      <w:r>
        <w:tab/>
        <w:t>a charge for metered consumption at the rate of —</w:t>
      </w:r>
    </w:p>
    <w:p>
      <w:pPr>
        <w:pStyle w:val="yIndenti0"/>
      </w:pPr>
      <w:r>
        <w:tab/>
        <w:t>(i)</w:t>
      </w:r>
      <w:r>
        <w:tab/>
        <w:t>26.4740 cents per unit for the first 20 units per day; and</w:t>
      </w:r>
    </w:p>
    <w:p>
      <w:pPr>
        <w:pStyle w:val="yIndenti0"/>
      </w:pPr>
      <w:r>
        <w:tab/>
        <w:t>(ii)</w:t>
      </w:r>
      <w:r>
        <w:tab/>
        <w:t>30.3104 cents per unit for the next 1 630 units per day; and</w:t>
      </w:r>
    </w:p>
    <w:p>
      <w:pPr>
        <w:pStyle w:val="yIndenti0"/>
      </w:pPr>
      <w:r>
        <w:tab/>
        <w:t>(iii)</w:t>
      </w:r>
      <w:r>
        <w:tab/>
        <w:t>27.3503 cents per unit for all units exceeding 1 650 units per day.</w:t>
      </w:r>
    </w:p>
    <w:p>
      <w:pPr>
        <w:pStyle w:val="yFootnotesection"/>
      </w:pPr>
      <w:r>
        <w:tab/>
        <w:t>[Clause 13 inserted in Gazette 26 Jun 2015 p. 2244; amended in Gazette 28 Jun 2016 p. 2625.]</w:t>
      </w:r>
    </w:p>
    <w:p>
      <w:pPr>
        <w:pStyle w:val="yEdnoteschedule"/>
      </w:pPr>
      <w:r>
        <w:t>[Schedule 2A deleted in Gazette 22 Aug 2014 p. 3031.]</w:t>
      </w:r>
    </w:p>
    <w:p>
      <w:pPr>
        <w:sectPr>
          <w:headerReference w:type="even" r:id="rId26"/>
          <w:headerReference w:type="default" r:id="rId27"/>
          <w:pgSz w:w="11907" w:h="16840" w:code="9"/>
          <w:pgMar w:top="2381" w:right="2410" w:bottom="3544" w:left="2410" w:header="720" w:footer="3544" w:gutter="0"/>
          <w:cols w:space="720"/>
        </w:sectPr>
      </w:pPr>
      <w:bookmarkStart w:id="40" w:name="_Toc474333134"/>
      <w:bookmarkStart w:id="41" w:name="_Toc474333633"/>
      <w:bookmarkStart w:id="42" w:name="_Toc474333726"/>
      <w:bookmarkStart w:id="43" w:name="_Toc474486922"/>
      <w:bookmarkStart w:id="44" w:name="_Toc474486955"/>
      <w:bookmarkStart w:id="45" w:name="_Toc474486988"/>
      <w:bookmarkStart w:id="46" w:name="_Toc474487274"/>
      <w:bookmarkStart w:id="47" w:name="_Toc474487393"/>
      <w:bookmarkStart w:id="48" w:name="_Toc474487441"/>
    </w:p>
    <w:p>
      <w:pPr>
        <w:pStyle w:val="yScheduleHeading"/>
      </w:pPr>
      <w:r>
        <w:rPr>
          <w:rStyle w:val="CharSchNo"/>
        </w:rPr>
        <w:t>Schedule 2</w:t>
      </w:r>
      <w:r>
        <w:t> — </w:t>
      </w:r>
      <w:r>
        <w:rPr>
          <w:rStyle w:val="CharSchText"/>
        </w:rPr>
        <w:t>Unmetered supply</w:t>
      </w:r>
      <w:bookmarkEnd w:id="40"/>
      <w:bookmarkEnd w:id="41"/>
      <w:bookmarkEnd w:id="42"/>
      <w:bookmarkEnd w:id="43"/>
      <w:bookmarkEnd w:id="44"/>
      <w:bookmarkEnd w:id="45"/>
      <w:bookmarkEnd w:id="46"/>
      <w:bookmarkEnd w:id="47"/>
      <w:bookmarkEnd w:id="48"/>
    </w:p>
    <w:p>
      <w:pPr>
        <w:pStyle w:val="yShoulderClause"/>
      </w:pPr>
      <w:r>
        <w:t>[bl. 4(2) and (3)]</w:t>
      </w:r>
    </w:p>
    <w:p>
      <w:pPr>
        <w:pStyle w:val="yFootnoteheading"/>
        <w:spacing w:after="120"/>
      </w:pPr>
      <w:r>
        <w:tab/>
        <w:t>[Heading inserted in Gazette 26 Jun 2015 p. 2245.]</w:t>
      </w:r>
    </w:p>
    <w:p>
      <w:pPr>
        <w:pStyle w:val="yHeading3"/>
      </w:pPr>
      <w:bookmarkStart w:id="49" w:name="_Toc474333135"/>
      <w:bookmarkStart w:id="50" w:name="_Toc474333634"/>
      <w:bookmarkStart w:id="51" w:name="_Toc474333727"/>
      <w:bookmarkStart w:id="52" w:name="_Toc474486923"/>
      <w:bookmarkStart w:id="53" w:name="_Toc474486956"/>
      <w:bookmarkStart w:id="54" w:name="_Toc474486989"/>
      <w:bookmarkStart w:id="55" w:name="_Toc474487275"/>
      <w:bookmarkStart w:id="56" w:name="_Toc474487394"/>
      <w:bookmarkStart w:id="57" w:name="_Toc474487442"/>
      <w:r>
        <w:rPr>
          <w:rStyle w:val="CharSDivNo"/>
        </w:rPr>
        <w:t>Division 1</w:t>
      </w:r>
      <w:r>
        <w:rPr>
          <w:b w:val="0"/>
        </w:rPr>
        <w:t> — </w:t>
      </w:r>
      <w:r>
        <w:rPr>
          <w:rStyle w:val="CharSDivText"/>
        </w:rPr>
        <w:t>Street lighting</w:t>
      </w:r>
      <w:bookmarkEnd w:id="49"/>
      <w:bookmarkEnd w:id="50"/>
      <w:bookmarkEnd w:id="51"/>
      <w:bookmarkEnd w:id="52"/>
      <w:bookmarkEnd w:id="53"/>
      <w:bookmarkEnd w:id="54"/>
      <w:bookmarkEnd w:id="55"/>
      <w:bookmarkEnd w:id="56"/>
      <w:bookmarkEnd w:id="57"/>
    </w:p>
    <w:p>
      <w:pPr>
        <w:pStyle w:val="yFootnoteheading"/>
        <w:spacing w:after="80"/>
      </w:pPr>
      <w:r>
        <w:tab/>
        <w:t>[Heading inserted in Gazette 31 Aug 2016 p. 3703.]</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r>
              <w:rPr>
                <w:sz w:val="16"/>
                <w:szCs w:val="16"/>
              </w:rPr>
              <w:t>32.8606</w:t>
            </w:r>
          </w:p>
        </w:tc>
        <w:tc>
          <w:tcPr>
            <w:tcW w:w="1512" w:type="dxa"/>
          </w:tcPr>
          <w:p>
            <w:pPr>
              <w:pStyle w:val="yTableNAm"/>
            </w:pPr>
            <w:r>
              <w:rPr>
                <w:sz w:val="16"/>
                <w:szCs w:val="16"/>
              </w:rPr>
              <w:t>33.5644</w:t>
            </w:r>
          </w:p>
        </w:tc>
        <w:tc>
          <w:tcPr>
            <w:tcW w:w="1370" w:type="dxa"/>
          </w:tcPr>
          <w:p>
            <w:pPr>
              <w:pStyle w:val="yTableNAm"/>
            </w:pPr>
            <w:r>
              <w:rPr>
                <w:sz w:val="16"/>
                <w:szCs w:val="16"/>
              </w:rPr>
              <w:t>36.1068</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r>
              <w:rPr>
                <w:sz w:val="16"/>
                <w:szCs w:val="16"/>
              </w:rPr>
              <w:t>47.8599</w:t>
            </w:r>
          </w:p>
        </w:tc>
        <w:tc>
          <w:tcPr>
            <w:tcW w:w="1512" w:type="dxa"/>
          </w:tcPr>
          <w:p>
            <w:pPr>
              <w:pStyle w:val="yTableNAm"/>
            </w:pPr>
            <w:r>
              <w:rPr>
                <w:sz w:val="16"/>
                <w:szCs w:val="16"/>
              </w:rPr>
              <w:t>49.4111</w:t>
            </w:r>
          </w:p>
        </w:tc>
        <w:tc>
          <w:tcPr>
            <w:tcW w:w="1370" w:type="dxa"/>
          </w:tcPr>
          <w:p>
            <w:pPr>
              <w:pStyle w:val="yTableNAm"/>
            </w:pPr>
            <w:r>
              <w:rPr>
                <w:sz w:val="16"/>
                <w:szCs w:val="16"/>
              </w:rPr>
              <w:t>55.0077</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r>
              <w:rPr>
                <w:sz w:val="16"/>
                <w:szCs w:val="16"/>
              </w:rPr>
              <w:t>48.9793</w:t>
            </w:r>
          </w:p>
        </w:tc>
        <w:tc>
          <w:tcPr>
            <w:tcW w:w="1512" w:type="dxa"/>
          </w:tcPr>
          <w:p>
            <w:pPr>
              <w:pStyle w:val="yTableNAm"/>
            </w:pPr>
            <w:r>
              <w:rPr>
                <w:sz w:val="16"/>
                <w:szCs w:val="16"/>
              </w:rPr>
              <w:t>50.5784</w:t>
            </w:r>
          </w:p>
        </w:tc>
        <w:tc>
          <w:tcPr>
            <w:tcW w:w="1370" w:type="dxa"/>
          </w:tcPr>
          <w:p>
            <w:pPr>
              <w:pStyle w:val="yTableNAm"/>
            </w:pPr>
            <w:r>
              <w:rPr>
                <w:sz w:val="16"/>
                <w:szCs w:val="16"/>
              </w:rPr>
              <w:t>57.0066</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r>
              <w:rPr>
                <w:sz w:val="16"/>
                <w:szCs w:val="16"/>
              </w:rPr>
              <w:t>59.3892</w:t>
            </w:r>
          </w:p>
        </w:tc>
        <w:tc>
          <w:tcPr>
            <w:tcW w:w="1512" w:type="dxa"/>
          </w:tcPr>
          <w:p>
            <w:pPr>
              <w:pStyle w:val="yTableNAm"/>
            </w:pPr>
            <w:r>
              <w:rPr>
                <w:sz w:val="16"/>
                <w:szCs w:val="16"/>
              </w:rPr>
              <w:t>62.4114</w:t>
            </w:r>
          </w:p>
        </w:tc>
        <w:tc>
          <w:tcPr>
            <w:tcW w:w="1370" w:type="dxa"/>
          </w:tcPr>
          <w:p>
            <w:pPr>
              <w:pStyle w:val="yTableNAm"/>
            </w:pPr>
            <w:r>
              <w:rPr>
                <w:sz w:val="16"/>
                <w:szCs w:val="16"/>
              </w:rPr>
              <w:t>73.6847</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r>
              <w:rPr>
                <w:sz w:val="16"/>
                <w:szCs w:val="16"/>
              </w:rPr>
              <w:t>87.9803</w:t>
            </w:r>
          </w:p>
        </w:tc>
        <w:tc>
          <w:tcPr>
            <w:tcW w:w="1512" w:type="dxa"/>
          </w:tcPr>
          <w:p>
            <w:pPr>
              <w:pStyle w:val="yTableNAm"/>
            </w:pPr>
            <w:r>
              <w:rPr>
                <w:sz w:val="16"/>
                <w:szCs w:val="16"/>
              </w:rPr>
              <w:t>92.5856</w:t>
            </w:r>
          </w:p>
        </w:tc>
        <w:tc>
          <w:tcPr>
            <w:tcW w:w="1370" w:type="dxa"/>
          </w:tcPr>
          <w:p>
            <w:pPr>
              <w:pStyle w:val="yTableNAm"/>
            </w:pPr>
            <w:r>
              <w:rPr>
                <w:sz w:val="16"/>
                <w:szCs w:val="16"/>
              </w:rPr>
              <w:t>110.1752</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45.3334</w:t>
            </w:r>
          </w:p>
        </w:tc>
        <w:tc>
          <w:tcPr>
            <w:tcW w:w="1512" w:type="dxa"/>
          </w:tcPr>
          <w:p>
            <w:pPr>
              <w:pStyle w:val="yTableNAm"/>
            </w:pPr>
            <w:r>
              <w:rPr>
                <w:sz w:val="16"/>
                <w:szCs w:val="16"/>
              </w:rPr>
              <w:t>46.9965</w:t>
            </w:r>
          </w:p>
        </w:tc>
        <w:tc>
          <w:tcPr>
            <w:tcW w:w="1370" w:type="dxa"/>
          </w:tcPr>
          <w:p>
            <w:pPr>
              <w:pStyle w:val="yTableNAm"/>
            </w:pPr>
            <w:r>
              <w:rPr>
                <w:sz w:val="16"/>
                <w:szCs w:val="16"/>
              </w:rPr>
              <w:t>56.3028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r>
              <w:rPr>
                <w:sz w:val="16"/>
                <w:szCs w:val="16"/>
              </w:rPr>
              <w:t>67.2085</w:t>
            </w:r>
          </w:p>
        </w:tc>
        <w:tc>
          <w:tcPr>
            <w:tcW w:w="1512" w:type="dxa"/>
          </w:tcPr>
          <w:p>
            <w:pPr>
              <w:pStyle w:val="yTableNAm"/>
            </w:pPr>
            <w:r>
              <w:rPr>
                <w:sz w:val="16"/>
                <w:szCs w:val="16"/>
              </w:rPr>
              <w:t>70.7905</w:t>
            </w:r>
          </w:p>
        </w:tc>
        <w:tc>
          <w:tcPr>
            <w:tcW w:w="1370" w:type="dxa"/>
          </w:tcPr>
          <w:p>
            <w:pPr>
              <w:pStyle w:val="yTableNAm"/>
            </w:pPr>
            <w:r>
              <w:rPr>
                <w:sz w:val="16"/>
                <w:szCs w:val="16"/>
              </w:rPr>
              <w:t>84.6063</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r>
              <w:rPr>
                <w:sz w:val="16"/>
                <w:szCs w:val="16"/>
              </w:rPr>
              <w:t>245.3436</w:t>
            </w:r>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68.1679</w:t>
            </w:r>
          </w:p>
        </w:tc>
        <w:tc>
          <w:tcPr>
            <w:tcW w:w="1512" w:type="dxa"/>
          </w:tcPr>
          <w:p>
            <w:pPr>
              <w:pStyle w:val="yTableNAm"/>
            </w:pPr>
            <w:r>
              <w:rPr>
                <w:sz w:val="16"/>
                <w:szCs w:val="16"/>
              </w:rPr>
              <w:t>71.1423</w:t>
            </w:r>
          </w:p>
        </w:tc>
        <w:tc>
          <w:tcPr>
            <w:tcW w:w="1370" w:type="dxa"/>
          </w:tcPr>
          <w:p>
            <w:pPr>
              <w:pStyle w:val="yTableNAm"/>
            </w:pPr>
            <w:r>
              <w:rPr>
                <w:sz w:val="16"/>
                <w:szCs w:val="16"/>
              </w:rPr>
              <w:t>82.4636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r>
              <w:rPr>
                <w:sz w:val="16"/>
                <w:szCs w:val="16"/>
              </w:rPr>
              <w:t>76.9628</w:t>
            </w:r>
          </w:p>
        </w:tc>
        <w:tc>
          <w:tcPr>
            <w:tcW w:w="1512" w:type="dxa"/>
          </w:tcPr>
          <w:p>
            <w:pPr>
              <w:pStyle w:val="yTableNAm"/>
            </w:pPr>
            <w:r>
              <w:rPr>
                <w:sz w:val="16"/>
                <w:szCs w:val="16"/>
              </w:rPr>
              <w:t>79.9690</w:t>
            </w:r>
          </w:p>
        </w:tc>
        <w:tc>
          <w:tcPr>
            <w:tcW w:w="1370" w:type="dxa"/>
          </w:tcPr>
          <w:p>
            <w:pPr>
              <w:pStyle w:val="yTableNAm"/>
            </w:pPr>
            <w:r>
              <w:rPr>
                <w:sz w:val="16"/>
                <w:szCs w:val="16"/>
              </w:rPr>
              <w:t>91.2584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r>
              <w:rPr>
                <w:sz w:val="16"/>
                <w:szCs w:val="16"/>
              </w:rPr>
              <w:t>96.7751</w:t>
            </w:r>
          </w:p>
        </w:tc>
        <w:tc>
          <w:tcPr>
            <w:tcW w:w="1512" w:type="dxa"/>
          </w:tcPr>
          <w:p>
            <w:pPr>
              <w:pStyle w:val="yTableNAm"/>
            </w:pPr>
            <w:r>
              <w:rPr>
                <w:sz w:val="16"/>
                <w:szCs w:val="16"/>
              </w:rPr>
              <w:t>101.3966</w:t>
            </w:r>
          </w:p>
        </w:tc>
        <w:tc>
          <w:tcPr>
            <w:tcW w:w="1370" w:type="dxa"/>
          </w:tcPr>
          <w:p>
            <w:pPr>
              <w:pStyle w:val="yTableNAm"/>
            </w:pPr>
            <w:r>
              <w:rPr>
                <w:sz w:val="16"/>
                <w:szCs w:val="16"/>
              </w:rPr>
              <w:t>118.9222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r>
              <w:rPr>
                <w:sz w:val="16"/>
                <w:szCs w:val="16"/>
              </w:rPr>
              <w:t>105.5700</w:t>
            </w:r>
          </w:p>
        </w:tc>
        <w:tc>
          <w:tcPr>
            <w:tcW w:w="1512" w:type="dxa"/>
          </w:tcPr>
          <w:p>
            <w:pPr>
              <w:pStyle w:val="yTableNAm"/>
            </w:pPr>
            <w:r>
              <w:rPr>
                <w:sz w:val="16"/>
                <w:szCs w:val="16"/>
              </w:rPr>
              <w:t>110.1752</w:t>
            </w:r>
          </w:p>
        </w:tc>
        <w:tc>
          <w:tcPr>
            <w:tcW w:w="1370" w:type="dxa"/>
          </w:tcPr>
          <w:p>
            <w:pPr>
              <w:pStyle w:val="yTableNAm"/>
            </w:pPr>
            <w:r>
              <w:rPr>
                <w:sz w:val="16"/>
                <w:szCs w:val="16"/>
              </w:rPr>
              <w:t>127.6849</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r>
              <w:rPr>
                <w:sz w:val="16"/>
                <w:szCs w:val="16"/>
              </w:rPr>
              <w:t>69.9428</w:t>
            </w:r>
          </w:p>
        </w:tc>
        <w:tc>
          <w:tcPr>
            <w:tcW w:w="1512" w:type="dxa"/>
          </w:tcPr>
          <w:p>
            <w:pPr>
              <w:pStyle w:val="yTableNAm"/>
            </w:pPr>
            <w:r>
              <w:rPr>
                <w:sz w:val="16"/>
                <w:szCs w:val="16"/>
              </w:rPr>
              <w:t>71.5739</w:t>
            </w:r>
          </w:p>
        </w:tc>
        <w:tc>
          <w:tcPr>
            <w:tcW w:w="1370" w:type="dxa"/>
          </w:tcPr>
          <w:p>
            <w:pPr>
              <w:pStyle w:val="yTableNAm"/>
            </w:pPr>
            <w:r>
              <w:rPr>
                <w:sz w:val="16"/>
                <w:szCs w:val="16"/>
              </w:rPr>
              <w:t>80.8485</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r>
              <w:rPr>
                <w:sz w:val="16"/>
                <w:szCs w:val="16"/>
              </w:rPr>
              <w:t>80.3688</w:t>
            </w:r>
          </w:p>
        </w:tc>
        <w:tc>
          <w:tcPr>
            <w:tcW w:w="1512" w:type="dxa"/>
          </w:tcPr>
          <w:p>
            <w:pPr>
              <w:pStyle w:val="yTableNAm"/>
            </w:pPr>
            <w:r>
              <w:rPr>
                <w:sz w:val="16"/>
                <w:szCs w:val="16"/>
              </w:rPr>
              <w:t>83.9827</w:t>
            </w:r>
          </w:p>
        </w:tc>
        <w:tc>
          <w:tcPr>
            <w:tcW w:w="1370" w:type="dxa"/>
          </w:tcPr>
          <w:p>
            <w:pPr>
              <w:pStyle w:val="yTableNAm"/>
            </w:pPr>
            <w:r>
              <w:rPr>
                <w:sz w:val="16"/>
                <w:szCs w:val="16"/>
              </w:rPr>
              <w:t>97.7666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r>
              <w:rPr>
                <w:sz w:val="16"/>
                <w:szCs w:val="16"/>
              </w:rPr>
              <w:t>93.4969</w:t>
            </w:r>
          </w:p>
        </w:tc>
        <w:tc>
          <w:tcPr>
            <w:tcW w:w="1512" w:type="dxa"/>
          </w:tcPr>
          <w:p>
            <w:pPr>
              <w:pStyle w:val="yTableNAm"/>
            </w:pPr>
            <w:r>
              <w:rPr>
                <w:sz w:val="16"/>
                <w:szCs w:val="16"/>
              </w:rPr>
              <w:t>97.1589</w:t>
            </w:r>
          </w:p>
        </w:tc>
        <w:tc>
          <w:tcPr>
            <w:tcW w:w="1370" w:type="dxa"/>
          </w:tcPr>
          <w:p>
            <w:pPr>
              <w:pStyle w:val="yTableNAm"/>
            </w:pPr>
            <w:r>
              <w:rPr>
                <w:sz w:val="16"/>
                <w:szCs w:val="16"/>
              </w:rPr>
              <w:t>110.9588</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32.8607</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36.1066</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r>
              <w:rPr>
                <w:sz w:val="16"/>
                <w:szCs w:val="16"/>
              </w:rPr>
              <w:t>38.6973</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r>
              <w:rPr>
                <w:sz w:val="16"/>
                <w:szCs w:val="16"/>
              </w:rPr>
              <w:t>47.8599</w:t>
            </w:r>
          </w:p>
        </w:tc>
        <w:tc>
          <w:tcPr>
            <w:tcW w:w="1512" w:type="dxa"/>
          </w:tcPr>
          <w:p>
            <w:pPr>
              <w:pStyle w:val="yTableNAm"/>
            </w:pPr>
            <w:r>
              <w:rPr>
                <w:sz w:val="16"/>
                <w:szCs w:val="16"/>
              </w:rPr>
              <w:t>49.4109</w:t>
            </w:r>
          </w:p>
        </w:tc>
        <w:tc>
          <w:tcPr>
            <w:tcW w:w="1370" w:type="dxa"/>
          </w:tcPr>
          <w:p>
            <w:pPr>
              <w:pStyle w:val="yTableNAm"/>
            </w:pPr>
            <w:r>
              <w:rPr>
                <w:sz w:val="16"/>
                <w:szCs w:val="16"/>
              </w:rPr>
              <w:t>55.0076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r>
              <w:rPr>
                <w:sz w:val="16"/>
                <w:szCs w:val="16"/>
              </w:rPr>
              <w:t>76.9627</w:t>
            </w:r>
          </w:p>
        </w:tc>
        <w:tc>
          <w:tcPr>
            <w:tcW w:w="1512" w:type="dxa"/>
          </w:tcPr>
          <w:p>
            <w:pPr>
              <w:pStyle w:val="yTableNAm"/>
            </w:pPr>
            <w:r>
              <w:rPr>
                <w:sz w:val="16"/>
                <w:szCs w:val="16"/>
              </w:rPr>
              <w:t>79.9689</w:t>
            </w:r>
          </w:p>
        </w:tc>
        <w:tc>
          <w:tcPr>
            <w:tcW w:w="1370" w:type="dxa"/>
          </w:tcPr>
          <w:p>
            <w:pPr>
              <w:pStyle w:val="yTableNAm"/>
            </w:pPr>
            <w:r>
              <w:rPr>
                <w:sz w:val="16"/>
                <w:szCs w:val="16"/>
              </w:rPr>
              <w:t>91.2583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r>
              <w:rPr>
                <w:sz w:val="16"/>
                <w:szCs w:val="16"/>
              </w:rPr>
              <w:t>32.8606</w:t>
            </w:r>
          </w:p>
        </w:tc>
        <w:tc>
          <w:tcPr>
            <w:tcW w:w="1512" w:type="dxa"/>
          </w:tcPr>
          <w:p>
            <w:pPr>
              <w:pStyle w:val="yTableNAm"/>
            </w:pPr>
            <w:r>
              <w:rPr>
                <w:sz w:val="16"/>
                <w:szCs w:val="16"/>
              </w:rPr>
              <w:t>33.5643</w:t>
            </w:r>
          </w:p>
        </w:tc>
        <w:tc>
          <w:tcPr>
            <w:tcW w:w="1370" w:type="dxa"/>
          </w:tcPr>
          <w:p>
            <w:pPr>
              <w:pStyle w:val="yTableNAm"/>
            </w:pPr>
            <w:r>
              <w:rPr>
                <w:sz w:val="16"/>
                <w:szCs w:val="16"/>
              </w:rPr>
              <w:t>36.1067</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r>
              <w:rPr>
                <w:sz w:val="16"/>
                <w:szCs w:val="16"/>
              </w:rPr>
              <w:t>38.6971</w:t>
            </w:r>
          </w:p>
        </w:tc>
        <w:tc>
          <w:tcPr>
            <w:tcW w:w="1512" w:type="dxa"/>
          </w:tcPr>
          <w:p>
            <w:pPr>
              <w:pStyle w:val="yTableNAm"/>
            </w:pPr>
            <w:r>
              <w:rPr>
                <w:sz w:val="16"/>
                <w:szCs w:val="16"/>
              </w:rPr>
              <w:t>39.5607</w:t>
            </w:r>
          </w:p>
        </w:tc>
        <w:tc>
          <w:tcPr>
            <w:tcW w:w="1370" w:type="dxa"/>
          </w:tcPr>
          <w:p>
            <w:pPr>
              <w:pStyle w:val="yTableNAm"/>
            </w:pPr>
            <w:r>
              <w:rPr>
                <w:sz w:val="16"/>
                <w:szCs w:val="16"/>
              </w:rPr>
              <w:t>43.5266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r>
              <w:rPr>
                <w:sz w:val="16"/>
                <w:szCs w:val="16"/>
              </w:rPr>
              <w:t>54.1284</w:t>
            </w:r>
          </w:p>
        </w:tc>
        <w:tc>
          <w:tcPr>
            <w:tcW w:w="1512" w:type="dxa"/>
            <w:tcBorders>
              <w:bottom w:val="single" w:sz="4" w:space="0" w:color="auto"/>
            </w:tcBorders>
          </w:tcPr>
          <w:p>
            <w:pPr>
              <w:pStyle w:val="yTableNAm"/>
            </w:pPr>
            <w:r>
              <w:rPr>
                <w:sz w:val="16"/>
                <w:szCs w:val="16"/>
              </w:rPr>
              <w:t>54.8797</w:t>
            </w:r>
          </w:p>
        </w:tc>
        <w:tc>
          <w:tcPr>
            <w:tcW w:w="1370" w:type="dxa"/>
            <w:tcBorders>
              <w:bottom w:val="single" w:sz="4" w:space="0" w:color="auto"/>
            </w:tcBorders>
          </w:tcPr>
          <w:p>
            <w:pPr>
              <w:pStyle w:val="yTableNAm"/>
            </w:pPr>
            <w:r>
              <w:rPr>
                <w:sz w:val="16"/>
                <w:szCs w:val="16"/>
              </w:rPr>
              <w:t>63.6745</w:t>
            </w:r>
          </w:p>
        </w:tc>
      </w:tr>
    </w:tbl>
    <w:p>
      <w:pPr>
        <w:pStyle w:val="yFootnotesection"/>
      </w:pPr>
      <w:r>
        <w:tab/>
        <w:t>[Division 1 inserted in Gazette 31 Aug 2016 p. 3703</w:t>
      </w:r>
      <w:r>
        <w:noBreakHyphen/>
        <w:t>4.]</w:t>
      </w:r>
    </w:p>
    <w:p>
      <w:pPr>
        <w:pStyle w:val="yHeading3"/>
        <w:keepLines/>
        <w:pageBreakBefore/>
      </w:pPr>
      <w:bookmarkStart w:id="58" w:name="_Toc474333136"/>
      <w:bookmarkStart w:id="59" w:name="_Toc474333635"/>
      <w:bookmarkStart w:id="60" w:name="_Toc474333728"/>
      <w:bookmarkStart w:id="61" w:name="_Toc474486924"/>
      <w:bookmarkStart w:id="62" w:name="_Toc474486957"/>
      <w:bookmarkStart w:id="63" w:name="_Toc474486990"/>
      <w:bookmarkStart w:id="64" w:name="_Toc474487276"/>
      <w:bookmarkStart w:id="65" w:name="_Toc474487395"/>
      <w:bookmarkStart w:id="66" w:name="_Toc474487443"/>
      <w:r>
        <w:rPr>
          <w:rStyle w:val="CharSDivNo"/>
        </w:rPr>
        <w:t>Division 2</w:t>
      </w:r>
      <w:r>
        <w:t> — </w:t>
      </w:r>
      <w:r>
        <w:rPr>
          <w:rStyle w:val="CharSDivText"/>
        </w:rPr>
        <w:t>Miscellaneous</w:t>
      </w:r>
      <w:bookmarkEnd w:id="58"/>
      <w:bookmarkEnd w:id="59"/>
      <w:bookmarkEnd w:id="60"/>
      <w:bookmarkEnd w:id="61"/>
      <w:bookmarkEnd w:id="62"/>
      <w:bookmarkEnd w:id="63"/>
      <w:bookmarkEnd w:id="64"/>
      <w:bookmarkEnd w:id="65"/>
      <w:bookmarkEnd w:id="66"/>
    </w:p>
    <w:p>
      <w:pPr>
        <w:pStyle w:val="yFootnoteheading"/>
        <w:keepNext/>
        <w:spacing w:after="120"/>
      </w:pPr>
      <w:r>
        <w:tab/>
        <w:t>[Heading inserted in Gazette 26 Jun 2015 p. 2246.]</w:t>
      </w:r>
    </w:p>
    <w:p>
      <w:pPr>
        <w:pStyle w:val="yHeading5"/>
      </w:pPr>
      <w:bookmarkStart w:id="67" w:name="_Toc474487444"/>
      <w:r>
        <w:rPr>
          <w:rStyle w:val="CharSClsNo"/>
        </w:rPr>
        <w:t>1</w:t>
      </w:r>
      <w:r>
        <w:t>.</w:t>
      </w:r>
      <w:r>
        <w:tab/>
        <w:t>Traffic light installation</w:t>
      </w:r>
      <w:bookmarkEnd w:id="67"/>
    </w:p>
    <w:p>
      <w:pPr>
        <w:pStyle w:val="ySubsection"/>
      </w:pPr>
      <w:r>
        <w:tab/>
      </w:r>
      <w:r>
        <w:tab/>
        <w:t xml:space="preserve">Supply of electricity to traffic light installations comprises a charge of </w:t>
      </w:r>
      <w:r>
        <w:rPr>
          <w:szCs w:val="22"/>
        </w:rPr>
        <w:t xml:space="preserve">$6.4517 </w:t>
      </w:r>
      <w:r>
        <w:t>per day per kW of installed wattage.</w:t>
      </w:r>
    </w:p>
    <w:p>
      <w:pPr>
        <w:pStyle w:val="yFootnotesection"/>
      </w:pPr>
      <w:r>
        <w:tab/>
        <w:t>[Clause 1 inserted in Gazette 26 Jun 2015 p. 2246; amended in Gazette 31 Aug 2016 p. 3705.]</w:t>
      </w:r>
    </w:p>
    <w:p>
      <w:pPr>
        <w:pStyle w:val="yHeading5"/>
      </w:pPr>
      <w:bookmarkStart w:id="68" w:name="_Toc474487445"/>
      <w:r>
        <w:rPr>
          <w:rStyle w:val="CharSClsNo"/>
        </w:rPr>
        <w:t>2</w:t>
      </w:r>
      <w:r>
        <w:t>.</w:t>
      </w:r>
      <w:r>
        <w:tab/>
        <w:t>Public telephone facility</w:t>
      </w:r>
      <w:bookmarkEnd w:id="68"/>
    </w:p>
    <w:p>
      <w:pPr>
        <w:pStyle w:val="ySubsection"/>
      </w:pPr>
      <w:r>
        <w:tab/>
      </w:r>
      <w:r>
        <w:tab/>
        <w:t xml:space="preserve">Supply of electricity to a standard public telephone facility where supply is not independently metered comprises a charge of </w:t>
      </w:r>
      <w:r>
        <w:rPr>
          <w:szCs w:val="22"/>
        </w:rPr>
        <w:t>56.3511</w:t>
      </w:r>
      <w:r>
        <w:t xml:space="preserve"> cents per day.</w:t>
      </w:r>
    </w:p>
    <w:p>
      <w:pPr>
        <w:pStyle w:val="yFootnotesection"/>
      </w:pPr>
      <w:r>
        <w:tab/>
        <w:t>[Clause 2 inserted in Gazette 26 Jun 2015 p. 2246; amended in Gazette 31 Aug 2016 p. 3705.]</w:t>
      </w:r>
    </w:p>
    <w:p>
      <w:pPr>
        <w:pStyle w:val="yHeading5"/>
      </w:pPr>
      <w:bookmarkStart w:id="69" w:name="_Toc474487446"/>
      <w:r>
        <w:rPr>
          <w:rStyle w:val="CharSClsNo"/>
        </w:rPr>
        <w:t>3</w:t>
      </w:r>
      <w:r>
        <w:t>.</w:t>
      </w:r>
      <w:r>
        <w:tab/>
        <w:t>Railway crossing</w:t>
      </w:r>
      <w:bookmarkEnd w:id="69"/>
    </w:p>
    <w:p>
      <w:pPr>
        <w:pStyle w:val="ySubsection"/>
      </w:pPr>
      <w:r>
        <w:tab/>
      </w:r>
      <w:r>
        <w:tab/>
        <w:t xml:space="preserve">Supply of electricity to standard railway crossing lights comprises a charge of </w:t>
      </w:r>
      <w:r>
        <w:rPr>
          <w:szCs w:val="22"/>
        </w:rPr>
        <w:t xml:space="preserve">72.0130 </w:t>
      </w:r>
      <w:r>
        <w:t>cents per day.</w:t>
      </w:r>
    </w:p>
    <w:p>
      <w:pPr>
        <w:pStyle w:val="yFootnotesection"/>
      </w:pPr>
      <w:r>
        <w:tab/>
        <w:t>[Clause 3 inserted in Gazette 26 Jun 2015 p. 2246; amended in Gazette 31 Aug 2016 p. 3705.]</w:t>
      </w:r>
    </w:p>
    <w:p>
      <w:pPr>
        <w:pStyle w:val="yScheduleHeading"/>
      </w:pPr>
      <w:bookmarkStart w:id="70" w:name="_Toc474487280"/>
      <w:bookmarkStart w:id="71" w:name="_Toc474487399"/>
      <w:bookmarkStart w:id="72" w:name="_Toc474487447"/>
      <w:r>
        <w:rPr>
          <w:rStyle w:val="CharSchNo"/>
        </w:rPr>
        <w:t>Schedule 3</w:t>
      </w:r>
      <w:r>
        <w:rPr>
          <w:rStyle w:val="CharSDivNo"/>
        </w:rPr>
        <w:t> </w:t>
      </w:r>
      <w:r>
        <w:t>—</w:t>
      </w:r>
      <w:r>
        <w:rPr>
          <w:rStyle w:val="CharSDivText"/>
        </w:rPr>
        <w:t> </w:t>
      </w:r>
      <w:r>
        <w:rPr>
          <w:rStyle w:val="CharSchText"/>
        </w:rPr>
        <w:t>Meter rental</w:t>
      </w:r>
      <w:bookmarkEnd w:id="70"/>
      <w:bookmarkEnd w:id="71"/>
      <w:bookmarkEnd w:id="72"/>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3" w:name="_Toc474333141"/>
      <w:bookmarkStart w:id="74" w:name="_Toc474333640"/>
      <w:bookmarkStart w:id="75" w:name="_Toc474333733"/>
      <w:bookmarkStart w:id="76" w:name="_Toc474486929"/>
      <w:bookmarkStart w:id="77" w:name="_Toc474486962"/>
      <w:bookmarkStart w:id="78" w:name="_Toc474486995"/>
      <w:bookmarkStart w:id="79" w:name="_Toc474487281"/>
      <w:bookmarkStart w:id="80" w:name="_Toc474487400"/>
      <w:bookmarkStart w:id="81" w:name="_Toc474487448"/>
      <w:r>
        <w:rPr>
          <w:rStyle w:val="CharSchNo"/>
        </w:rPr>
        <w:t>Schedule 4</w:t>
      </w:r>
      <w:r>
        <w:rPr>
          <w:rStyle w:val="CharSDivNo"/>
        </w:rPr>
        <w:t> </w:t>
      </w:r>
      <w:r>
        <w:t>—</w:t>
      </w:r>
      <w:r>
        <w:rPr>
          <w:rStyle w:val="CharSDivText"/>
        </w:rPr>
        <w:t> </w:t>
      </w:r>
      <w:r>
        <w:rPr>
          <w:rStyle w:val="CharSchText"/>
        </w:rPr>
        <w:t>Fees</w:t>
      </w:r>
      <w:bookmarkEnd w:id="73"/>
      <w:bookmarkEnd w:id="74"/>
      <w:bookmarkEnd w:id="75"/>
      <w:bookmarkEnd w:id="76"/>
      <w:bookmarkEnd w:id="77"/>
      <w:bookmarkEnd w:id="78"/>
      <w:bookmarkEnd w:id="79"/>
      <w:bookmarkEnd w:id="80"/>
      <w:bookmarkEnd w:id="81"/>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$233.30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$336.15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$14.89</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keepNext/>
              <w:ind w:left="556" w:hanging="556"/>
            </w:pPr>
            <w:r>
              <w:t>10.</w:t>
            </w:r>
            <w:r>
              <w:tab/>
              <w:t>Overdue account notices .........................................</w:t>
            </w:r>
          </w:p>
        </w:tc>
        <w:tc>
          <w:tcPr>
            <w:tcW w:w="1482" w:type="dxa"/>
          </w:tcPr>
          <w:p>
            <w:pPr>
              <w:pStyle w:val="yTableNAm"/>
              <w:keepNext/>
            </w:pPr>
            <w:r>
              <w:t>$4.75</w:t>
            </w:r>
          </w:p>
        </w:tc>
      </w:tr>
      <w:tr>
        <w:tc>
          <w:tcPr>
            <w:tcW w:w="5586" w:type="dxa"/>
          </w:tcPr>
          <w:p>
            <w:pPr>
              <w:pStyle w:val="yTableNAm"/>
              <w:keepNext/>
              <w:ind w:left="556" w:hanging="556"/>
            </w:pPr>
            <w:r>
              <w:t>11.</w:t>
            </w:r>
            <w:r>
              <w:tab/>
              <w:t>Tariff R1 or R3 “time</w:t>
            </w:r>
            <w:r>
              <w:noBreakHyphen/>
              <w:t>of</w:t>
            </w:r>
            <w:r>
              <w:noBreakHyphen/>
              <w:t xml:space="preserve">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 28 Jun 2016 p. 2625</w:t>
      </w:r>
      <w:r>
        <w:rPr>
          <w:vertAlign w:val="superscript"/>
        </w:rPr>
        <w:t> </w:t>
      </w:r>
      <w:r>
        <w:rPr>
          <w:i w:val="0"/>
          <w:vertAlign w:val="superscript"/>
        </w:rPr>
        <w:t>3</w:t>
      </w:r>
      <w:r>
        <w:t>.]</w:t>
      </w:r>
    </w:p>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r>
        <w:t>Notes</w:t>
      </w:r>
      <w:bookmarkEnd w:id="20"/>
      <w:bookmarkEnd w:id="21"/>
      <w:bookmarkEnd w:id="22"/>
      <w:bookmarkEnd w:id="23"/>
      <w:bookmarkEnd w:id="24"/>
      <w:bookmarkEnd w:id="25"/>
      <w:bookmarkEnd w:id="26"/>
      <w:bookmarkEnd w:id="27"/>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82" w:name="_Toc474487450"/>
      <w:r>
        <w:t>Compilation table</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tcBorders>
              <w:bottom w:val="single" w:sz="4" w:space="0" w:color="auto"/>
            </w:tcBorders>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tcBorders>
              <w:bottom w:val="single" w:sz="4" w:space="0" w:color="auto"/>
            </w:tcBorders>
            <w:shd w:val="clear" w:color="auto" w:fill="auto"/>
          </w:tcPr>
          <w:p>
            <w:pPr>
              <w:pStyle w:val="nTable"/>
              <w:spacing w:after="40"/>
            </w:pPr>
            <w:r>
              <w:t>31 Aug 2016 p. 3701</w:t>
            </w:r>
            <w:r>
              <w:noBreakHyphen/>
              <w:t>5</w:t>
            </w:r>
          </w:p>
        </w:tc>
        <w:tc>
          <w:tcPr>
            <w:tcW w:w="2694" w:type="dxa"/>
            <w:tcBorders>
              <w:bottom w:val="single" w:sz="4" w:space="0" w:color="auto"/>
            </w:tcBorders>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474333144"/>
      <w:bookmarkStart w:id="85" w:name="_Toc474333643"/>
      <w:bookmarkStart w:id="86" w:name="_Toc474333736"/>
      <w:bookmarkStart w:id="87" w:name="_Toc474486932"/>
      <w:bookmarkStart w:id="88" w:name="_Toc474486965"/>
      <w:bookmarkStart w:id="89" w:name="_Toc474486998"/>
      <w:bookmarkStart w:id="90" w:name="_Toc474487284"/>
      <w:bookmarkStart w:id="91" w:name="_Toc474487403"/>
      <w:bookmarkStart w:id="92" w:name="_Toc474487451"/>
      <w:r>
        <w:rPr>
          <w:sz w:val="28"/>
        </w:rPr>
        <w:t>Defined terms</w:t>
      </w:r>
      <w:bookmarkEnd w:id="84"/>
      <w:bookmarkEnd w:id="85"/>
      <w:bookmarkEnd w:id="86"/>
      <w:bookmarkEnd w:id="87"/>
      <w:bookmarkEnd w:id="88"/>
      <w:bookmarkEnd w:id="89"/>
      <w:bookmarkEnd w:id="90"/>
      <w:bookmarkEnd w:id="91"/>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3</w:t>
      </w:r>
    </w:p>
    <w:p>
      <w:pPr>
        <w:pStyle w:val="DefinedTerms"/>
      </w:pPr>
      <w:r>
        <w:t>dwelling</w:t>
      </w:r>
      <w:r>
        <w:tab/>
        <w:t>3</w:t>
      </w:r>
    </w:p>
    <w:p>
      <w:pPr>
        <w:pStyle w:val="DefinedTerms"/>
      </w:pPr>
      <w:r>
        <w:t>half</w:t>
      </w:r>
      <w:r>
        <w:noBreakHyphen/>
        <w:t>hourly maximum demand</w:t>
      </w:r>
      <w:r>
        <w:tab/>
        <w:t>3</w:t>
      </w:r>
    </w:p>
    <w:p>
      <w:pPr>
        <w:pStyle w:val="DefinedTerms"/>
      </w:pPr>
      <w:r>
        <w:t>interest period</w:t>
      </w:r>
      <w:r>
        <w:tab/>
        <w:t>12(1)</w:t>
      </w:r>
    </w:p>
    <w:p>
      <w:pPr>
        <w:pStyle w:val="DefinedTerms"/>
      </w:pPr>
      <w:r>
        <w:t>off peak</w:t>
      </w:r>
      <w:r>
        <w:tab/>
        <w:t>3</w:t>
      </w:r>
    </w:p>
    <w:p>
      <w:pPr>
        <w:pStyle w:val="DefinedTerms"/>
      </w:pPr>
      <w:r>
        <w:t>on peak</w:t>
      </w:r>
      <w:r>
        <w:tab/>
        <w:t>3</w:t>
      </w:r>
    </w:p>
    <w:p>
      <w:pPr>
        <w:pStyle w:val="DefinedTerms"/>
      </w:pPr>
      <w:r>
        <w:t>RBA cash rate</w:t>
      </w:r>
      <w:r>
        <w:tab/>
        <w:t>3</w:t>
      </w:r>
    </w:p>
    <w:p>
      <w:pPr>
        <w:pStyle w:val="DefinedTerms"/>
      </w:pPr>
      <w:r>
        <w:t>relevant period</w:t>
      </w:r>
      <w:r>
        <w:tab/>
        <w:t>8(1)</w:t>
      </w:r>
    </w:p>
    <w:p>
      <w:pPr>
        <w:pStyle w:val="DefinedTerms"/>
      </w:pPr>
      <w:r>
        <w:t>residential tariff</w:t>
      </w:r>
      <w:r>
        <w:tab/>
        <w:t>3</w:t>
      </w:r>
    </w:p>
    <w:p>
      <w:pPr>
        <w:pStyle w:val="DefinedTerms"/>
      </w:pPr>
      <w:r>
        <w:t>Tariff</w:t>
      </w:r>
      <w:r>
        <w:tab/>
        <w:t>3</w:t>
      </w:r>
    </w:p>
    <w:p>
      <w:pPr>
        <w:pStyle w:val="DefinedTerms"/>
      </w:pPr>
      <w:r>
        <w:t>unit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Nov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82E40"/>
    <w:lvl w:ilvl="0">
      <w:start w:val="1"/>
      <w:numFmt w:val="decimal"/>
      <w:lvlText w:val="%1."/>
      <w:lvlJc w:val="left"/>
      <w:pPr>
        <w:tabs>
          <w:tab w:val="num" w:pos="1492"/>
        </w:tabs>
        <w:ind w:left="1492" w:hanging="360"/>
      </w:pPr>
    </w:lvl>
  </w:abstractNum>
  <w:abstractNum w:abstractNumId="1">
    <w:nsid w:val="FFFFFF7D"/>
    <w:multiLevelType w:val="singleLevel"/>
    <w:tmpl w:val="0542043A"/>
    <w:lvl w:ilvl="0">
      <w:start w:val="1"/>
      <w:numFmt w:val="decimal"/>
      <w:lvlText w:val="%1."/>
      <w:lvlJc w:val="left"/>
      <w:pPr>
        <w:tabs>
          <w:tab w:val="num" w:pos="1209"/>
        </w:tabs>
        <w:ind w:left="1209" w:hanging="360"/>
      </w:pPr>
    </w:lvl>
  </w:abstractNum>
  <w:abstractNum w:abstractNumId="2">
    <w:nsid w:val="FFFFFF7E"/>
    <w:multiLevelType w:val="singleLevel"/>
    <w:tmpl w:val="F718FF40"/>
    <w:lvl w:ilvl="0">
      <w:start w:val="1"/>
      <w:numFmt w:val="decimal"/>
      <w:lvlText w:val="%1."/>
      <w:lvlJc w:val="left"/>
      <w:pPr>
        <w:tabs>
          <w:tab w:val="num" w:pos="926"/>
        </w:tabs>
        <w:ind w:left="926" w:hanging="360"/>
      </w:pPr>
    </w:lvl>
  </w:abstractNum>
  <w:abstractNum w:abstractNumId="3">
    <w:nsid w:val="FFFFFF7F"/>
    <w:multiLevelType w:val="singleLevel"/>
    <w:tmpl w:val="13CA9712"/>
    <w:lvl w:ilvl="0">
      <w:start w:val="1"/>
      <w:numFmt w:val="decimal"/>
      <w:lvlText w:val="%1."/>
      <w:lvlJc w:val="left"/>
      <w:pPr>
        <w:tabs>
          <w:tab w:val="num" w:pos="643"/>
        </w:tabs>
        <w:ind w:left="643" w:hanging="360"/>
      </w:pPr>
    </w:lvl>
  </w:abstractNum>
  <w:abstractNum w:abstractNumId="4">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D21AD8"/>
    <w:lvl w:ilvl="0">
      <w:start w:val="1"/>
      <w:numFmt w:val="decimal"/>
      <w:lvlText w:val="%1."/>
      <w:lvlJc w:val="left"/>
      <w:pPr>
        <w:tabs>
          <w:tab w:val="num" w:pos="360"/>
        </w:tabs>
        <w:ind w:left="360" w:hanging="360"/>
      </w:pPr>
    </w:lvl>
  </w:abstractNum>
  <w:abstractNum w:abstractNumId="9">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8155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4590</Words>
  <Characters>22634</Characters>
  <Application>Microsoft Office Word</Application>
  <DocSecurity>0</DocSecurity>
  <Lines>905</Lines>
  <Paragraphs>648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2006 - 03-g0-07</dc:title>
  <dc:subject/>
  <dc:creator/>
  <cp:keywords/>
  <dc:description/>
  <cp:lastModifiedBy>svcMRProcess</cp:lastModifiedBy>
  <cp:revision>4</cp:revision>
  <cp:lastPrinted>2016-12-05T03:03:00Z</cp:lastPrinted>
  <dcterms:created xsi:type="dcterms:W3CDTF">2020-02-24T15:26:00Z</dcterms:created>
  <dcterms:modified xsi:type="dcterms:W3CDTF">2020-02-24T15:26:00Z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22 Nov 2016</vt:lpwstr>
  </property>
  <property fmtid="{D5CDD505-2E9C-101B-9397-08002B2CF9AE}" pid="8" name="Suffix">
    <vt:lpwstr>03-g0-07</vt:lpwstr>
  </property>
  <property fmtid="{D5CDD505-2E9C-101B-9397-08002B2CF9AE}" pid="9" name="CommencementDate">
    <vt:lpwstr>20161122</vt:lpwstr>
  </property>
</Properties>
</file>