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District Court (Fees) Regulations 2002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4"/>
        <w:rPr>
          <w:sz w:val="24"/>
          <w:szCs w:val="24"/>
        </w:rPr>
      </w:pPr>
      <w:r>
        <w:lastRenderedPageBreak/>
        <w:fldChar w:fldCharType="begin"/>
      </w:r>
      <w:r>
        <w:instrText xml:space="preserve"> TOC \o "1-3"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szCs w:val="24"/>
        </w:rPr>
        <w:t>1.</w:t>
      </w:r>
      <w:r>
        <w:rPr>
          <w:sz w:val="24"/>
          <w:szCs w:val="24"/>
        </w:rPr>
        <w:tab/>
      </w:r>
      <w:r>
        <w:rPr>
          <w:szCs w:val="24"/>
        </w:rPr>
        <w:t>Citation</w:t>
      </w:r>
      <w:r>
        <w:tab/>
      </w:r>
      <w:r>
        <w:fldChar w:fldCharType="begin"/>
      </w:r>
      <w:r>
        <w:instrText xml:space="preserve"> PAGEREF _Toc107624935 \h </w:instrText>
      </w:r>
      <w:r>
        <w:fldChar w:fldCharType="separate"/>
      </w:r>
      <w:r>
        <w:t>1</w:t>
      </w:r>
      <w:r>
        <w:fldChar w:fldCharType="end"/>
      </w:r>
    </w:p>
    <w:p>
      <w:pPr>
        <w:pStyle w:val="TOC4"/>
        <w:rPr>
          <w:sz w:val="24"/>
          <w:szCs w:val="24"/>
        </w:rPr>
      </w:pPr>
      <w:r>
        <w:rPr>
          <w:szCs w:val="24"/>
        </w:rPr>
        <w:t>2</w:t>
      </w:r>
      <w:r>
        <w:rPr>
          <w:spacing w:val="-2"/>
          <w:szCs w:val="24"/>
        </w:rPr>
        <w:t>.</w:t>
      </w:r>
      <w:r>
        <w:rPr>
          <w:sz w:val="24"/>
          <w:szCs w:val="24"/>
        </w:rPr>
        <w:tab/>
      </w:r>
      <w:r>
        <w:rPr>
          <w:spacing w:val="-2"/>
          <w:szCs w:val="24"/>
        </w:rPr>
        <w:t>Commencement</w:t>
      </w:r>
      <w:r>
        <w:tab/>
      </w:r>
      <w:r>
        <w:fldChar w:fldCharType="begin"/>
      </w:r>
      <w:r>
        <w:instrText xml:space="preserve"> PAGEREF _Toc107624936 \h </w:instrText>
      </w:r>
      <w:r>
        <w:fldChar w:fldCharType="separate"/>
      </w:r>
      <w:r>
        <w:t>1</w:t>
      </w:r>
      <w:r>
        <w:fldChar w:fldCharType="end"/>
      </w:r>
    </w:p>
    <w:p>
      <w:pPr>
        <w:pStyle w:val="TOC4"/>
        <w:rPr>
          <w:sz w:val="24"/>
          <w:szCs w:val="24"/>
        </w:rPr>
      </w:pPr>
      <w:r>
        <w:rPr>
          <w:szCs w:val="24"/>
        </w:rPr>
        <w:t>3.</w:t>
      </w:r>
      <w:r>
        <w:rPr>
          <w:sz w:val="24"/>
          <w:szCs w:val="24"/>
        </w:rPr>
        <w:tab/>
      </w:r>
      <w:r>
        <w:rPr>
          <w:szCs w:val="24"/>
        </w:rPr>
        <w:t>Interpretation</w:t>
      </w:r>
      <w:r>
        <w:tab/>
      </w:r>
      <w:r>
        <w:fldChar w:fldCharType="begin"/>
      </w:r>
      <w:r>
        <w:instrText xml:space="preserve"> PAGEREF _Toc107624937 \h </w:instrText>
      </w:r>
      <w:r>
        <w:fldChar w:fldCharType="separate"/>
      </w:r>
      <w:r>
        <w:t>1</w:t>
      </w:r>
      <w:r>
        <w:fldChar w:fldCharType="end"/>
      </w:r>
    </w:p>
    <w:p>
      <w:pPr>
        <w:pStyle w:val="TOC4"/>
        <w:rPr>
          <w:sz w:val="24"/>
          <w:szCs w:val="24"/>
        </w:rPr>
      </w:pPr>
      <w:r>
        <w:rPr>
          <w:szCs w:val="24"/>
        </w:rPr>
        <w:t>4.</w:t>
      </w:r>
      <w:r>
        <w:rPr>
          <w:sz w:val="24"/>
          <w:szCs w:val="24"/>
        </w:rPr>
        <w:tab/>
      </w:r>
      <w:r>
        <w:rPr>
          <w:snapToGrid w:val="0"/>
          <w:szCs w:val="24"/>
        </w:rPr>
        <w:t>Fees to be charged</w:t>
      </w:r>
      <w:r>
        <w:tab/>
      </w:r>
      <w:r>
        <w:fldChar w:fldCharType="begin"/>
      </w:r>
      <w:r>
        <w:instrText xml:space="preserve"> PAGEREF _Toc107624938 \h </w:instrText>
      </w:r>
      <w:r>
        <w:fldChar w:fldCharType="separate"/>
      </w:r>
      <w:r>
        <w:t>2</w:t>
      </w:r>
      <w:r>
        <w:fldChar w:fldCharType="end"/>
      </w:r>
    </w:p>
    <w:p>
      <w:pPr>
        <w:pStyle w:val="TOC4"/>
        <w:rPr>
          <w:sz w:val="24"/>
          <w:szCs w:val="24"/>
        </w:rPr>
      </w:pPr>
      <w:r>
        <w:rPr>
          <w:szCs w:val="24"/>
        </w:rPr>
        <w:t>5.</w:t>
      </w:r>
      <w:r>
        <w:rPr>
          <w:sz w:val="24"/>
          <w:szCs w:val="24"/>
        </w:rPr>
        <w:tab/>
      </w:r>
      <w:r>
        <w:rPr>
          <w:snapToGrid w:val="0"/>
          <w:szCs w:val="24"/>
        </w:rPr>
        <w:t>Exemptions</w:t>
      </w:r>
      <w:r>
        <w:tab/>
      </w:r>
      <w:r>
        <w:fldChar w:fldCharType="begin"/>
      </w:r>
      <w:r>
        <w:instrText xml:space="preserve"> PAGEREF _Toc107624939 \h </w:instrText>
      </w:r>
      <w:r>
        <w:fldChar w:fldCharType="separate"/>
      </w:r>
      <w:r>
        <w:t>5</w:t>
      </w:r>
      <w:r>
        <w:fldChar w:fldCharType="end"/>
      </w:r>
    </w:p>
    <w:p>
      <w:pPr>
        <w:pStyle w:val="TOC4"/>
        <w:rPr>
          <w:sz w:val="24"/>
          <w:szCs w:val="24"/>
        </w:rPr>
      </w:pPr>
      <w:r>
        <w:rPr>
          <w:szCs w:val="24"/>
        </w:rPr>
        <w:t>5A.</w:t>
      </w:r>
      <w:r>
        <w:rPr>
          <w:sz w:val="24"/>
          <w:szCs w:val="24"/>
        </w:rPr>
        <w:tab/>
      </w:r>
      <w:r>
        <w:rPr>
          <w:szCs w:val="24"/>
        </w:rPr>
        <w:t>Disputes regarding fees</w:t>
      </w:r>
      <w:r>
        <w:tab/>
      </w:r>
      <w:r>
        <w:fldChar w:fldCharType="begin"/>
      </w:r>
      <w:r>
        <w:instrText xml:space="preserve"> PAGEREF _Toc107624940 \h </w:instrText>
      </w:r>
      <w:r>
        <w:fldChar w:fldCharType="separate"/>
      </w:r>
      <w:r>
        <w:t>5</w:t>
      </w:r>
      <w:r>
        <w:fldChar w:fldCharType="end"/>
      </w:r>
    </w:p>
    <w:p>
      <w:pPr>
        <w:pStyle w:val="TOC4"/>
        <w:rPr>
          <w:sz w:val="24"/>
          <w:szCs w:val="24"/>
        </w:rPr>
      </w:pPr>
      <w:r>
        <w:rPr>
          <w:szCs w:val="24"/>
        </w:rPr>
        <w:t>6.</w:t>
      </w:r>
      <w:r>
        <w:rPr>
          <w:sz w:val="24"/>
          <w:szCs w:val="24"/>
        </w:rPr>
        <w:tab/>
      </w:r>
      <w:r>
        <w:rPr>
          <w:szCs w:val="24"/>
        </w:rPr>
        <w:t>F</w:t>
      </w:r>
      <w:r>
        <w:rPr>
          <w:snapToGrid w:val="0"/>
          <w:szCs w:val="24"/>
        </w:rPr>
        <w:t>ees to be paid before documents etc. filed</w:t>
      </w:r>
      <w:r>
        <w:tab/>
      </w:r>
      <w:r>
        <w:fldChar w:fldCharType="begin"/>
      </w:r>
      <w:r>
        <w:instrText xml:space="preserve"> PAGEREF _Toc107624941 \h </w:instrText>
      </w:r>
      <w:r>
        <w:fldChar w:fldCharType="separate"/>
      </w:r>
      <w:r>
        <w:t>5</w:t>
      </w:r>
      <w:r>
        <w:fldChar w:fldCharType="end"/>
      </w:r>
    </w:p>
    <w:p>
      <w:pPr>
        <w:pStyle w:val="TOC4"/>
        <w:rPr>
          <w:sz w:val="24"/>
          <w:szCs w:val="24"/>
        </w:rPr>
      </w:pPr>
      <w:r>
        <w:rPr>
          <w:szCs w:val="24"/>
        </w:rPr>
        <w:t>7.</w:t>
      </w:r>
      <w:r>
        <w:rPr>
          <w:sz w:val="24"/>
          <w:szCs w:val="24"/>
        </w:rPr>
        <w:tab/>
      </w:r>
      <w:r>
        <w:rPr>
          <w:snapToGrid w:val="0"/>
          <w:szCs w:val="24"/>
        </w:rPr>
        <w:t>Court or Registrar may remit fees</w:t>
      </w:r>
      <w:r>
        <w:tab/>
      </w:r>
      <w:r>
        <w:fldChar w:fldCharType="begin"/>
      </w:r>
      <w:r>
        <w:instrText xml:space="preserve"> PAGEREF _Toc107624942 \h </w:instrText>
      </w:r>
      <w:r>
        <w:fldChar w:fldCharType="separate"/>
      </w:r>
      <w:r>
        <w:t>6</w:t>
      </w:r>
      <w:r>
        <w:fldChar w:fldCharType="end"/>
      </w:r>
    </w:p>
    <w:p>
      <w:pPr>
        <w:pStyle w:val="TOC4"/>
        <w:rPr>
          <w:sz w:val="24"/>
          <w:szCs w:val="24"/>
        </w:rPr>
      </w:pPr>
      <w:r>
        <w:rPr>
          <w:szCs w:val="24"/>
        </w:rPr>
        <w:t>8.</w:t>
      </w:r>
      <w:r>
        <w:rPr>
          <w:sz w:val="24"/>
          <w:szCs w:val="24"/>
        </w:rPr>
        <w:tab/>
      </w:r>
      <w:r>
        <w:rPr>
          <w:snapToGrid w:val="0"/>
          <w:szCs w:val="24"/>
        </w:rPr>
        <w:t>Conventions</w:t>
      </w:r>
      <w:r>
        <w:tab/>
      </w:r>
      <w:r>
        <w:fldChar w:fldCharType="begin"/>
      </w:r>
      <w:r>
        <w:instrText xml:space="preserve"> PAGEREF _Toc107624943 \h </w:instrText>
      </w:r>
      <w:r>
        <w:fldChar w:fldCharType="separate"/>
      </w:r>
      <w:r>
        <w:t>8</w:t>
      </w:r>
      <w:r>
        <w:fldChar w:fldCharType="end"/>
      </w:r>
    </w:p>
    <w:p>
      <w:pPr>
        <w:pStyle w:val="TOC4"/>
        <w:rPr>
          <w:sz w:val="24"/>
          <w:szCs w:val="24"/>
        </w:rPr>
      </w:pPr>
      <w:r>
        <w:rPr>
          <w:szCs w:val="24"/>
        </w:rPr>
        <w:t>9.</w:t>
      </w:r>
      <w:r>
        <w:rPr>
          <w:sz w:val="24"/>
          <w:szCs w:val="24"/>
        </w:rPr>
        <w:tab/>
      </w:r>
      <w:r>
        <w:rPr>
          <w:szCs w:val="24"/>
        </w:rPr>
        <w:t>Allocation of hearing date — Schedule 1 item 6</w:t>
      </w:r>
      <w:r>
        <w:tab/>
      </w:r>
      <w:r>
        <w:fldChar w:fldCharType="begin"/>
      </w:r>
      <w:r>
        <w:instrText xml:space="preserve"> PAGEREF _Toc107624944 \h </w:instrText>
      </w:r>
      <w:r>
        <w:fldChar w:fldCharType="separate"/>
      </w:r>
      <w:r>
        <w:t>9</w:t>
      </w:r>
      <w:r>
        <w:fldChar w:fldCharType="end"/>
      </w:r>
    </w:p>
    <w:p>
      <w:pPr>
        <w:pStyle w:val="TOC4"/>
        <w:rPr>
          <w:sz w:val="24"/>
          <w:szCs w:val="24"/>
        </w:rPr>
      </w:pPr>
      <w:r>
        <w:rPr>
          <w:szCs w:val="24"/>
        </w:rPr>
        <w:t>10.</w:t>
      </w:r>
      <w:r>
        <w:rPr>
          <w:sz w:val="24"/>
          <w:szCs w:val="24"/>
        </w:rPr>
        <w:tab/>
      </w:r>
      <w:r>
        <w:rPr>
          <w:szCs w:val="24"/>
        </w:rPr>
        <w:t>Schedule 1 item 7 fee</w:t>
      </w:r>
      <w:r>
        <w:tab/>
      </w:r>
      <w:r>
        <w:fldChar w:fldCharType="begin"/>
      </w:r>
      <w:r>
        <w:instrText xml:space="preserve"> PAGEREF _Toc107624945 \h </w:instrText>
      </w:r>
      <w:r>
        <w:fldChar w:fldCharType="separate"/>
      </w:r>
      <w:r>
        <w:t>10</w:t>
      </w:r>
      <w:r>
        <w:fldChar w:fldCharType="end"/>
      </w:r>
    </w:p>
    <w:p>
      <w:pPr>
        <w:pStyle w:val="TOC4"/>
        <w:rPr>
          <w:sz w:val="24"/>
          <w:szCs w:val="24"/>
        </w:rPr>
      </w:pPr>
      <w:r>
        <w:rPr>
          <w:szCs w:val="24"/>
        </w:rPr>
        <w:t>11.</w:t>
      </w:r>
      <w:r>
        <w:rPr>
          <w:sz w:val="24"/>
          <w:szCs w:val="24"/>
        </w:rPr>
        <w:tab/>
      </w:r>
      <w:r>
        <w:rPr>
          <w:szCs w:val="24"/>
        </w:rPr>
        <w:t>Recovery of unpaid fees</w:t>
      </w:r>
      <w:r>
        <w:tab/>
      </w:r>
      <w:r>
        <w:fldChar w:fldCharType="begin"/>
      </w:r>
      <w:r>
        <w:instrText xml:space="preserve"> PAGEREF _Toc107624946 \h </w:instrText>
      </w:r>
      <w:r>
        <w:fldChar w:fldCharType="separate"/>
      </w:r>
      <w:r>
        <w:t>10</w:t>
      </w:r>
      <w:r>
        <w:fldChar w:fldCharType="end"/>
      </w:r>
    </w:p>
    <w:p>
      <w:pPr>
        <w:pStyle w:val="TOC4"/>
        <w:rPr>
          <w:sz w:val="24"/>
          <w:szCs w:val="24"/>
        </w:rPr>
      </w:pPr>
      <w:r>
        <w:rPr>
          <w:szCs w:val="24"/>
        </w:rPr>
        <w:t>11A.</w:t>
      </w:r>
      <w:r>
        <w:rPr>
          <w:sz w:val="24"/>
          <w:szCs w:val="24"/>
        </w:rPr>
        <w:tab/>
      </w:r>
      <w:r>
        <w:rPr>
          <w:szCs w:val="24"/>
        </w:rPr>
        <w:t>Searchable information</w:t>
      </w:r>
      <w:r>
        <w:tab/>
      </w:r>
      <w:r>
        <w:fldChar w:fldCharType="begin"/>
      </w:r>
      <w:r>
        <w:instrText xml:space="preserve"> PAGEREF _Toc107624947 \h </w:instrText>
      </w:r>
      <w:r>
        <w:fldChar w:fldCharType="separate"/>
      </w:r>
      <w:r>
        <w:t>10</w:t>
      </w:r>
      <w:r>
        <w:fldChar w:fldCharType="end"/>
      </w:r>
    </w:p>
    <w:p>
      <w:pPr>
        <w:pStyle w:val="TOC4"/>
        <w:rPr>
          <w:sz w:val="24"/>
          <w:szCs w:val="24"/>
        </w:rPr>
      </w:pPr>
      <w:r>
        <w:rPr>
          <w:szCs w:val="24"/>
        </w:rPr>
        <w:t>12.</w:t>
      </w:r>
      <w:r>
        <w:rPr>
          <w:sz w:val="24"/>
          <w:szCs w:val="24"/>
        </w:rPr>
        <w:tab/>
      </w:r>
      <w:r>
        <w:rPr>
          <w:szCs w:val="24"/>
        </w:rPr>
        <w:t>Transitional</w:t>
      </w:r>
      <w:r>
        <w:tab/>
      </w:r>
      <w:r>
        <w:fldChar w:fldCharType="begin"/>
      </w:r>
      <w:r>
        <w:instrText xml:space="preserve"> PAGEREF _Toc107624948 \h </w:instrText>
      </w:r>
      <w:r>
        <w:fldChar w:fldCharType="separate"/>
      </w:r>
      <w:r>
        <w:t>11</w:t>
      </w:r>
      <w:r>
        <w:fldChar w:fldCharType="end"/>
      </w:r>
    </w:p>
    <w:p>
      <w:pPr>
        <w:pStyle w:val="TOC5"/>
        <w:rPr>
          <w:b w:val="0"/>
          <w:sz w:val="24"/>
          <w:szCs w:val="24"/>
        </w:rPr>
      </w:pPr>
      <w:r>
        <w:rPr>
          <w:szCs w:val="28"/>
        </w:rPr>
        <w:t>Schedule 1 — Registry Fees</w:t>
      </w:r>
      <w:r>
        <w:tab/>
      </w:r>
      <w:r>
        <w:rPr>
          <w:b w:val="0"/>
          <w:sz w:val="22"/>
        </w:rPr>
        <w:fldChar w:fldCharType="begin"/>
      </w:r>
      <w:r>
        <w:rPr>
          <w:b w:val="0"/>
          <w:sz w:val="22"/>
        </w:rPr>
        <w:instrText xml:space="preserve"> PAGEREF _Toc107624949 \h </w:instrText>
      </w:r>
      <w:r>
        <w:rPr>
          <w:b w:val="0"/>
          <w:sz w:val="22"/>
        </w:rPr>
      </w:r>
      <w:r>
        <w:rPr>
          <w:b w:val="0"/>
          <w:sz w:val="22"/>
        </w:rPr>
        <w:fldChar w:fldCharType="separate"/>
      </w:r>
      <w:r>
        <w:rPr>
          <w:b w:val="0"/>
          <w:sz w:val="22"/>
        </w:rPr>
        <w:t>12</w:t>
      </w:r>
      <w:r>
        <w:rPr>
          <w:b w:val="0"/>
          <w:sz w:val="22"/>
        </w:rPr>
        <w:fldChar w:fldCharType="end"/>
      </w:r>
    </w:p>
    <w:p>
      <w:pPr>
        <w:pStyle w:val="TOC7"/>
        <w:rPr>
          <w:noProof/>
          <w:sz w:val="24"/>
          <w:szCs w:val="24"/>
        </w:rPr>
      </w:pPr>
      <w:r>
        <w:rPr>
          <w:noProof/>
          <w:szCs w:val="28"/>
        </w:rPr>
        <w:t>Schedule 2 — Sheriff’s Fees</w:t>
      </w:r>
      <w:r>
        <w:rPr>
          <w:noProof/>
        </w:rPr>
        <w:tab/>
      </w:r>
      <w:r>
        <w:rPr>
          <w:noProof/>
        </w:rPr>
        <w:fldChar w:fldCharType="begin"/>
      </w:r>
      <w:r>
        <w:rPr>
          <w:noProof/>
        </w:rPr>
        <w:instrText xml:space="preserve"> PAGEREF _Toc107624950 \h </w:instrText>
      </w:r>
      <w:r>
        <w:rPr>
          <w:noProof/>
        </w:rPr>
      </w:r>
      <w:r>
        <w:rPr>
          <w:noProof/>
        </w:rPr>
        <w:fldChar w:fldCharType="separate"/>
      </w:r>
      <w:r>
        <w:rPr>
          <w:noProof/>
        </w:rPr>
        <w:t>18</w:t>
      </w:r>
      <w:r>
        <w:rPr>
          <w:noProof/>
        </w:rPr>
        <w:fldChar w:fldCharType="end"/>
      </w:r>
    </w:p>
    <w:p>
      <w:pPr>
        <w:pStyle w:val="TOC5"/>
        <w:rPr>
          <w:b w:val="0"/>
          <w:sz w:val="24"/>
          <w:szCs w:val="24"/>
        </w:rPr>
      </w:pPr>
      <w:r>
        <w:rPr>
          <w:szCs w:val="28"/>
        </w:rPr>
        <w:t>Schedule 3 — Forms</w:t>
      </w:r>
      <w:r>
        <w:tab/>
      </w:r>
      <w:r>
        <w:rPr>
          <w:b w:val="0"/>
          <w:sz w:val="22"/>
        </w:rPr>
        <w:fldChar w:fldCharType="begin"/>
      </w:r>
      <w:r>
        <w:rPr>
          <w:b w:val="0"/>
          <w:sz w:val="22"/>
        </w:rPr>
        <w:instrText xml:space="preserve"> PAGEREF _Toc107624951 \h </w:instrText>
      </w:r>
      <w:r>
        <w:rPr>
          <w:b w:val="0"/>
          <w:sz w:val="22"/>
        </w:rPr>
      </w:r>
      <w:r>
        <w:rPr>
          <w:b w:val="0"/>
          <w:sz w:val="22"/>
        </w:rPr>
        <w:fldChar w:fldCharType="separate"/>
      </w:r>
      <w:r>
        <w:rPr>
          <w:b w:val="0"/>
          <w:sz w:val="22"/>
        </w:rPr>
        <w:t>21</w:t>
      </w:r>
      <w:r>
        <w:rPr>
          <w:b w:val="0"/>
          <w:sz w:val="22"/>
        </w:rPr>
        <w:fldChar w:fldCharType="end"/>
      </w:r>
    </w:p>
    <w:p>
      <w:pPr>
        <w:pStyle w:val="TOC2"/>
        <w:tabs>
          <w:tab w:val="right" w:leader="dot" w:pos="7086"/>
        </w:tabs>
        <w:rPr>
          <w:b w:val="0"/>
          <w:sz w:val="24"/>
          <w:szCs w:val="24"/>
        </w:rPr>
      </w:pPr>
      <w:r>
        <w:rPr>
          <w:szCs w:val="26"/>
        </w:rPr>
        <w:t>Notes</w:t>
      </w:r>
    </w:p>
    <w:p>
      <w:pPr>
        <w:pStyle w:val="TOC4"/>
        <w:rPr>
          <w:sz w:val="24"/>
          <w:szCs w:val="24"/>
        </w:rPr>
      </w:pPr>
      <w:r>
        <w:rPr>
          <w:szCs w:val="24"/>
        </w:rPr>
        <w:tab/>
        <w:t>Compilation table</w:t>
      </w:r>
      <w:r>
        <w:tab/>
      </w:r>
      <w:r>
        <w:fldChar w:fldCharType="begin"/>
      </w:r>
      <w:r>
        <w:instrText xml:space="preserve"> PAGEREF _Toc107624953 \h </w:instrText>
      </w:r>
      <w:r>
        <w:fldChar w:fldCharType="separate"/>
      </w:r>
      <w:r>
        <w:t>28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33482753"/>
      <w:bookmarkStart w:id="8" w:name="_Toc107624935"/>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District Court (Fees) Regulations 2002</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33482754"/>
      <w:bookmarkStart w:id="17" w:name="_Toc107624936"/>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These regulations come into operation on 1 January 2002</w:t>
      </w:r>
      <w:r>
        <w:t>.</w:t>
      </w:r>
    </w:p>
    <w:p>
      <w:pPr>
        <w:pStyle w:val="Heading5"/>
      </w:pPr>
      <w:bookmarkStart w:id="18" w:name="_Toc519738590"/>
      <w:bookmarkStart w:id="19" w:name="_Toc520868378"/>
      <w:bookmarkStart w:id="20" w:name="_Toc533482755"/>
      <w:bookmarkStart w:id="21" w:name="_Toc107624937"/>
      <w:r>
        <w:rPr>
          <w:rStyle w:val="CharSectno"/>
        </w:rPr>
        <w:t>3.</w:t>
      </w:r>
      <w:r>
        <w:rPr>
          <w:rStyle w:val="CharSectno"/>
        </w:rPr>
        <w:tab/>
      </w:r>
      <w:r>
        <w:t>Interpretation</w:t>
      </w:r>
      <w:bookmarkEnd w:id="18"/>
      <w:bookmarkEnd w:id="19"/>
      <w:bookmarkEnd w:id="20"/>
      <w:bookmarkEnd w:id="21"/>
    </w:p>
    <w:p>
      <w:pPr>
        <w:pStyle w:val="Subsection"/>
      </w:pPr>
      <w:r>
        <w:tab/>
      </w:r>
      <w:r>
        <w:tab/>
        <w:t xml:space="preserve">In these regulations unless the contrary intention appears — </w:t>
      </w:r>
    </w:p>
    <w:p>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tab/>
      </w:r>
      <w:r>
        <w:rPr>
          <w:b/>
        </w:rPr>
        <w:t>“</w:t>
      </w:r>
      <w:r>
        <w:rPr>
          <w:rStyle w:val="CharDefText"/>
        </w:rPr>
        <w:t>Rules</w:t>
      </w:r>
      <w:bookmarkStart w:id="22" w:name="endcomma"/>
      <w:bookmarkEnd w:id="22"/>
      <w:r>
        <w:rPr>
          <w:b/>
        </w:rPr>
        <w:t>”</w:t>
      </w:r>
      <w:r>
        <w:t xml:space="preserve"> </w:t>
      </w:r>
      <w:bookmarkStart w:id="23" w:name="comma"/>
      <w:bookmarkEnd w:id="23"/>
      <w:r>
        <w:t xml:space="preserve">means the </w:t>
      </w:r>
      <w:r>
        <w:rPr>
          <w:i/>
        </w:rPr>
        <w:t>District Court Rules 1996</w:t>
      </w:r>
      <w:r>
        <w:t xml:space="preserve"> or the rules applicable to the District Court under section 87 of the Act;</w:t>
      </w:r>
    </w:p>
    <w:p>
      <w:pPr>
        <w:pStyle w:val="Defstart"/>
      </w:pPr>
      <w:r>
        <w:tab/>
      </w:r>
      <w:r>
        <w:rPr>
          <w:b/>
        </w:rPr>
        <w:t>“</w:t>
      </w:r>
      <w:r>
        <w:rPr>
          <w:rStyle w:val="CharDefText"/>
        </w:rPr>
        <w:t>small business</w:t>
      </w:r>
      <w:r>
        <w:rPr>
          <w:b/>
        </w:rPr>
        <w:t>”</w:t>
      </w:r>
      <w:r>
        <w:t xml:space="preserve"> means — </w:t>
      </w:r>
    </w:p>
    <w:p>
      <w:pPr>
        <w:pStyle w:val="Ednotedefpara"/>
      </w:pPr>
      <w:r>
        <w:tab/>
        <w:t>[(a)</w:t>
      </w:r>
      <w:r>
        <w:tab/>
        <w:t>deleted]</w:t>
      </w:r>
    </w:p>
    <w:p>
      <w:pPr>
        <w:pStyle w:val="Defpara"/>
      </w:pPr>
      <w:r>
        <w:tab/>
        <w:t>(b)</w:t>
      </w:r>
      <w:r>
        <w:tab/>
        <w:t>an individual or individuals in partnership who wholly own and operate a business undertaking that has less than 20 full-time equivalent employees and partners;</w:t>
      </w:r>
    </w:p>
    <w:p>
      <w:pPr>
        <w:pStyle w:val="Defpara"/>
      </w:pPr>
      <w:r>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24" w:name="_Toc437922206"/>
      <w:bookmarkStart w:id="25" w:name="_Toc483972641"/>
      <w:bookmarkStart w:id="26" w:name="_Toc506018772"/>
      <w:bookmarkStart w:id="27" w:name="_Toc519738591"/>
      <w:bookmarkStart w:id="28" w:name="_Toc520868379"/>
      <w:bookmarkStart w:id="29" w:name="_Toc533482756"/>
      <w:bookmarkStart w:id="30" w:name="_Toc107624938"/>
      <w:r>
        <w:rPr>
          <w:rStyle w:val="CharSectno"/>
        </w:rPr>
        <w:t>4.</w:t>
      </w:r>
      <w:r>
        <w:rPr>
          <w:rStyle w:val="CharSectno"/>
        </w:rPr>
        <w:tab/>
      </w:r>
      <w:r>
        <w:rPr>
          <w:snapToGrid w:val="0"/>
        </w:rPr>
        <w:t>Fees to be charged</w:t>
      </w:r>
      <w:bookmarkEnd w:id="24"/>
      <w:bookmarkEnd w:id="25"/>
      <w:bookmarkEnd w:id="26"/>
      <w:bookmarkEnd w:id="27"/>
      <w:bookmarkEnd w:id="28"/>
      <w:bookmarkEnd w:id="29"/>
      <w:bookmarkEnd w:id="30"/>
    </w:p>
    <w:p>
      <w:pPr>
        <w:pStyle w:val="Subsection"/>
        <w:rPr>
          <w:snapToGrid w:val="0"/>
        </w:rPr>
      </w:pPr>
      <w:r>
        <w:rPr>
          <w:snapToGrid w:val="0"/>
        </w:rPr>
        <w:tab/>
        <w:t>(1)</w:t>
      </w:r>
      <w:r>
        <w:rPr>
          <w:snapToGrid w:val="0"/>
        </w:rPr>
        <w:tab/>
        <w:t>Subject to the provisions of these regulations, the fees specified in Schedules </w:t>
      </w:r>
      <w:bookmarkStart w:id="31" w:name="_Hlt533230123"/>
      <w:r>
        <w:rPr>
          <w:snapToGrid w:val="0"/>
        </w:rPr>
        <w:t>1</w:t>
      </w:r>
      <w:bookmarkEnd w:id="31"/>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32" w:name="_Toc437922207"/>
      <w:bookmarkStart w:id="33" w:name="_Toc483972642"/>
      <w:bookmarkStart w:id="34" w:name="_Toc506018773"/>
      <w:bookmarkStart w:id="35" w:name="_Toc519738592"/>
      <w:bookmarkStart w:id="36" w:name="_Toc520868380"/>
      <w:bookmarkStart w:id="37" w:name="_Toc533482757"/>
      <w:r>
        <w:tab/>
        <w:t>[Regulation 4 amended in Gazette 30 Dec 2003 p. 5702-3; 28 Apr 2005 p. 1751.]</w:t>
      </w:r>
    </w:p>
    <w:p>
      <w:pPr>
        <w:pStyle w:val="Heading5"/>
        <w:rPr>
          <w:snapToGrid w:val="0"/>
        </w:rPr>
      </w:pPr>
      <w:bookmarkStart w:id="38" w:name="_Toc107624939"/>
      <w:r>
        <w:rPr>
          <w:rStyle w:val="CharSectno"/>
        </w:rPr>
        <w:t>5.</w:t>
      </w:r>
      <w:r>
        <w:rPr>
          <w:rStyle w:val="CharSectno"/>
        </w:rPr>
        <w:tab/>
      </w:r>
      <w:r>
        <w:rPr>
          <w:snapToGrid w:val="0"/>
        </w:rPr>
        <w:t>Exemptions</w:t>
      </w:r>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39" w:name="_Toc437922208"/>
      <w:bookmarkStart w:id="40" w:name="_Toc483972643"/>
      <w:bookmarkStart w:id="41" w:name="_Toc506018774"/>
      <w:bookmarkStart w:id="42" w:name="_Toc519738593"/>
      <w:bookmarkStart w:id="43" w:name="_Toc520868381"/>
      <w:bookmarkStart w:id="44" w:name="_Toc533482758"/>
      <w:r>
        <w:tab/>
        <w:t>[Regulation 5 amended in Gazette 28 Apr 2005 p. 1751.]</w:t>
      </w:r>
    </w:p>
    <w:p>
      <w:pPr>
        <w:pStyle w:val="Heading5"/>
      </w:pPr>
      <w:bookmarkStart w:id="45" w:name="_Toc107624940"/>
      <w:r>
        <w:t>5A.</w:t>
      </w:r>
      <w:r>
        <w:tab/>
        <w:t>Disputes regarding fees</w:t>
      </w:r>
      <w:bookmarkEnd w:id="4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46" w:name="_Toc107624941"/>
      <w:r>
        <w:rPr>
          <w:rStyle w:val="CharSectno"/>
        </w:rPr>
        <w:t>6.</w:t>
      </w:r>
      <w:r>
        <w:rPr>
          <w:rStyle w:val="CharSectno"/>
        </w:rPr>
        <w:tab/>
        <w:t>F</w:t>
      </w:r>
      <w:r>
        <w:rPr>
          <w:snapToGrid w:val="0"/>
        </w:rPr>
        <w:t>ees to be paid before documents etc. filed</w:t>
      </w:r>
      <w:bookmarkEnd w:id="39"/>
      <w:bookmarkEnd w:id="40"/>
      <w:bookmarkEnd w:id="41"/>
      <w:bookmarkEnd w:id="42"/>
      <w:bookmarkEnd w:id="43"/>
      <w:bookmarkEnd w:id="44"/>
      <w:bookmarkEnd w:id="46"/>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47" w:name="_Toc437922210"/>
      <w:bookmarkStart w:id="48" w:name="_Toc483972645"/>
      <w:bookmarkStart w:id="49" w:name="_Toc506018776"/>
      <w:bookmarkStart w:id="50" w:name="_Toc519738594"/>
      <w:bookmarkStart w:id="51" w:name="_Toc520868382"/>
      <w:bookmarkStart w:id="52" w:name="_Toc533482759"/>
      <w:bookmarkStart w:id="53" w:name="_Toc107624942"/>
      <w:r>
        <w:rPr>
          <w:rStyle w:val="CharSectno"/>
        </w:rPr>
        <w:t>7.</w:t>
      </w:r>
      <w:r>
        <w:rPr>
          <w:rStyle w:val="CharSectno"/>
        </w:rPr>
        <w:tab/>
      </w:r>
      <w:r>
        <w:rPr>
          <w:snapToGrid w:val="0"/>
        </w:rPr>
        <w:t>Court or Registrar may remit fees</w:t>
      </w:r>
      <w:bookmarkEnd w:id="47"/>
      <w:bookmarkEnd w:id="48"/>
      <w:bookmarkEnd w:id="49"/>
      <w:bookmarkEnd w:id="50"/>
      <w:bookmarkEnd w:id="51"/>
      <w:bookmarkEnd w:id="52"/>
      <w:bookmarkEnd w:id="53"/>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t>“</w:t>
      </w:r>
      <w:r>
        <w:rPr>
          <w:rStyle w:val="CharDefText"/>
        </w:rPr>
        <w:t>special reasons</w:t>
      </w:r>
      <w:r>
        <w:rPr>
          <w:b/>
        </w:rPr>
        <w:t>”</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54" w:name="_Toc437922211"/>
      <w:bookmarkStart w:id="55" w:name="_Toc483972646"/>
      <w:bookmarkStart w:id="56" w:name="_Toc506018777"/>
      <w:bookmarkStart w:id="57" w:name="_Toc519738595"/>
      <w:bookmarkStart w:id="58" w:name="_Toc520868383"/>
      <w:bookmarkStart w:id="59"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60" w:name="_Toc107624943"/>
      <w:r>
        <w:rPr>
          <w:rStyle w:val="CharSectno"/>
        </w:rPr>
        <w:t>8.</w:t>
      </w:r>
      <w:r>
        <w:rPr>
          <w:rStyle w:val="CharSectno"/>
        </w:rPr>
        <w:tab/>
      </w:r>
      <w:r>
        <w:rPr>
          <w:snapToGrid w:val="0"/>
        </w:rPr>
        <w:t>Conventions</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61" w:name="_Toc107624944"/>
      <w:bookmarkStart w:id="62" w:name="_Toc533482762"/>
      <w:r>
        <w:t>9.</w:t>
      </w:r>
      <w:r>
        <w:tab/>
        <w:t>Allocation of hearing date — Schedule 1 item 6</w:t>
      </w:r>
      <w:bookmarkEnd w:id="61"/>
    </w:p>
    <w:p>
      <w:pPr>
        <w:pStyle w:val="Subsection"/>
      </w:pPr>
      <w:r>
        <w:tab/>
        <w:t>(1)</w:t>
      </w:r>
      <w:r>
        <w:tab/>
        <w:t xml:space="preserve">In this regulation — </w:t>
      </w:r>
    </w:p>
    <w:p>
      <w:pPr>
        <w:pStyle w:val="Defstart"/>
      </w:pPr>
      <w:r>
        <w:rPr>
          <w:b/>
        </w:rPr>
        <w:tab/>
        <w:t>“</w:t>
      </w:r>
      <w:r>
        <w:rPr>
          <w:rStyle w:val="CharDefText"/>
        </w:rPr>
        <w:t>fee</w:t>
      </w:r>
      <w:r>
        <w:rPr>
          <w:b/>
        </w:rPr>
        <w:t>”</w:t>
      </w:r>
      <w:r>
        <w:t xml:space="preserve"> means the fee referred to in Schedule 1 item 6.</w:t>
      </w:r>
    </w:p>
    <w:p>
      <w:pPr>
        <w:pStyle w:val="Subsection"/>
      </w:pPr>
      <w:r>
        <w:tab/>
        <w:t>(2)</w:t>
      </w:r>
      <w:r>
        <w:tab/>
        <w:t>The fee is not payable in relation to interlocutory proceedings.</w:t>
      </w:r>
    </w:p>
    <w:p>
      <w:pPr>
        <w:pStyle w:val="Subsection"/>
      </w:pPr>
      <w:r>
        <w:tab/>
        <w:t>(3)</w:t>
      </w:r>
      <w:r>
        <w:tab/>
        <w:t>The number of days for which the fee is payable is the number of days the District Court determines are to be allocated for the hearing.</w:t>
      </w:r>
    </w:p>
    <w:p>
      <w:pPr>
        <w:pStyle w:val="Subsection"/>
      </w:pPr>
      <w:r>
        <w:tab/>
        <w:t>(4)</w:t>
      </w:r>
      <w:r>
        <w:tab/>
        <w:t>If the Court determines that half a day or less is to be allocated for the hearing, the fee is reduced by half.</w:t>
      </w:r>
    </w:p>
    <w:p>
      <w:pPr>
        <w:pStyle w:val="Subsection"/>
      </w:pPr>
      <w:r>
        <w:tab/>
        <w:t>(5)</w:t>
      </w:r>
      <w:r>
        <w:tab/>
        <w:t>The proceeding or appeal is not to be listed for hearing until the fee has been paid or has been waived or deferred under regulation 7.</w:t>
      </w:r>
    </w:p>
    <w:p>
      <w:pPr>
        <w:pStyle w:val="Subsection"/>
      </w:pPr>
      <w:r>
        <w:tab/>
        <w:t>(6)</w:t>
      </w:r>
      <w:r>
        <w:tab/>
        <w:t>The fee paid is not refundable except as provided in subregulations (7), (8) and (9).</w:t>
      </w:r>
    </w:p>
    <w:p>
      <w:pPr>
        <w:pStyle w:val="Subsection"/>
      </w:pPr>
      <w:r>
        <w:tab/>
        <w:t>(7)</w:t>
      </w:r>
      <w:r>
        <w:tab/>
        <w:t xml:space="preserve">If the matter is settled and the Court receives written notice of the settlement the following percentage of the fee paid is to be refunded — </w:t>
      </w:r>
    </w:p>
    <w:p>
      <w:pPr>
        <w:pStyle w:val="Indenta"/>
      </w:pPr>
      <w:r>
        <w:tab/>
        <w:t>(a)</w:t>
      </w:r>
      <w:r>
        <w:tab/>
        <w:t xml:space="preserve">if notice is received 42 days or more before the first date allocated for the hearing date, 75%; </w:t>
      </w:r>
    </w:p>
    <w:p>
      <w:pPr>
        <w:pStyle w:val="Indenta"/>
      </w:pPr>
      <w:r>
        <w:tab/>
        <w:t>(b)</w:t>
      </w:r>
      <w:r>
        <w:tab/>
        <w:t xml:space="preserve">if notice is received 28 days or more before that date, 50%. </w:t>
      </w:r>
    </w:p>
    <w:p>
      <w:pPr>
        <w:pStyle w:val="Subsection"/>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63" w:name="_Toc107624945"/>
      <w:r>
        <w:rPr>
          <w:rStyle w:val="CharSectno"/>
        </w:rPr>
        <w:t>10</w:t>
      </w:r>
      <w:r>
        <w:t>.</w:t>
      </w:r>
      <w:r>
        <w:tab/>
        <w:t>Schedule 1 item 7 fee</w:t>
      </w:r>
      <w:bookmarkEnd w:id="62"/>
      <w:bookmarkEnd w:id="63"/>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64" w:name="_Toc107624946"/>
      <w:bookmarkStart w:id="65" w:name="_Toc533482764"/>
      <w:r>
        <w:t>11.</w:t>
      </w:r>
      <w:r>
        <w:tab/>
        <w:t>Recovery of unpaid fees</w:t>
      </w:r>
      <w:bookmarkEnd w:id="64"/>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66" w:name="_Toc107624947"/>
      <w:r>
        <w:t>11A.</w:t>
      </w:r>
      <w:r>
        <w:tab/>
        <w:t>Searchable information</w:t>
      </w:r>
      <w:bookmarkEnd w:id="66"/>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pPr>
        <w:pStyle w:val="Defstar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67" w:name="_Toc107624948"/>
      <w:r>
        <w:rPr>
          <w:rStyle w:val="CharSectno"/>
        </w:rPr>
        <w:t>12</w:t>
      </w:r>
      <w:r>
        <w:t>.</w:t>
      </w:r>
      <w:r>
        <w:tab/>
        <w:t>Transitional</w:t>
      </w:r>
      <w:bookmarkEnd w:id="65"/>
      <w:bookmarkEnd w:id="67"/>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68" w:name="_Toc533482765"/>
    </w:p>
    <w:p>
      <w:pPr>
        <w:pStyle w:val="yScheduleHeading"/>
      </w:pPr>
      <w:bookmarkStart w:id="69" w:name="_Toc107624949"/>
      <w:r>
        <w:rPr>
          <w:rStyle w:val="CharSchNo"/>
        </w:rPr>
        <w:t>Schedule 1</w:t>
      </w:r>
      <w:r>
        <w:t xml:space="preserve"> —</w:t>
      </w:r>
      <w:bookmarkStart w:id="70" w:name="AutoSch"/>
      <w:bookmarkEnd w:id="70"/>
      <w:r>
        <w:t xml:space="preserve"> </w:t>
      </w:r>
      <w:bookmarkEnd w:id="68"/>
      <w:r>
        <w:rPr>
          <w:rStyle w:val="CharSchText"/>
        </w:rPr>
        <w:t>Registry Fees</w:t>
      </w:r>
      <w:bookmarkEnd w:id="69"/>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t>436</w:t>
            </w:r>
          </w:p>
        </w:tc>
        <w:tc>
          <w:tcPr>
            <w:tcW w:w="1179" w:type="dxa"/>
            <w:gridSpan w:val="2"/>
          </w:tcPr>
          <w:p>
            <w:pPr>
              <w:pStyle w:val="yTable"/>
              <w:tabs>
                <w:tab w:val="right" w:pos="646"/>
              </w:tabs>
            </w:pPr>
            <w:r>
              <w:br/>
            </w:r>
            <w:r>
              <w:br/>
            </w:r>
            <w:r>
              <w:br/>
            </w:r>
            <w:r>
              <w:tab/>
              <w:t>654</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spacing w:before="20"/>
            </w:pPr>
            <w:r>
              <w:tab/>
              <w:t>436</w:t>
            </w:r>
          </w:p>
        </w:tc>
        <w:tc>
          <w:tcPr>
            <w:tcW w:w="1179" w:type="dxa"/>
            <w:gridSpan w:val="2"/>
          </w:tcPr>
          <w:p>
            <w:pPr>
              <w:pStyle w:val="yTable"/>
              <w:tabs>
                <w:tab w:val="right" w:pos="646"/>
              </w:tabs>
              <w:spacing w:before="20"/>
            </w:pPr>
            <w:r>
              <w:tab/>
              <w:t>654</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spacing w:before="20"/>
            </w:pPr>
            <w:r>
              <w:tab/>
              <w:t>436</w:t>
            </w:r>
          </w:p>
        </w:tc>
        <w:tc>
          <w:tcPr>
            <w:tcW w:w="1179" w:type="dxa"/>
            <w:gridSpan w:val="2"/>
          </w:tcPr>
          <w:p>
            <w:pPr>
              <w:pStyle w:val="yTable"/>
              <w:tabs>
                <w:tab w:val="right" w:pos="646"/>
              </w:tabs>
              <w:spacing w:before="20"/>
            </w:pPr>
            <w:r>
              <w:tab/>
              <w:t>654</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t>164</w:t>
            </w:r>
          </w:p>
        </w:tc>
        <w:tc>
          <w:tcPr>
            <w:tcW w:w="1179" w:type="dxa"/>
            <w:gridSpan w:val="2"/>
          </w:tcPr>
          <w:p>
            <w:pPr>
              <w:pStyle w:val="yTable"/>
              <w:tabs>
                <w:tab w:val="right" w:pos="646"/>
              </w:tabs>
              <w:spacing w:before="20"/>
            </w:pPr>
            <w:r>
              <w:br/>
            </w:r>
            <w:r>
              <w:br/>
            </w:r>
            <w:r>
              <w:br/>
            </w:r>
            <w:r>
              <w:br/>
            </w:r>
            <w:r>
              <w:br/>
            </w:r>
            <w:r>
              <w:br/>
            </w:r>
            <w:r>
              <w:br/>
            </w:r>
            <w:r>
              <w:br/>
            </w:r>
            <w:r>
              <w:br/>
            </w:r>
            <w:r>
              <w:br/>
            </w:r>
            <w:r>
              <w:tab/>
              <w:t>218</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r>
              <w:tab/>
              <w:t>164</w:t>
            </w:r>
          </w:p>
        </w:tc>
        <w:tc>
          <w:tcPr>
            <w:tcW w:w="1179" w:type="dxa"/>
            <w:gridSpan w:val="2"/>
          </w:tcPr>
          <w:p>
            <w:pPr>
              <w:pStyle w:val="yTable"/>
              <w:tabs>
                <w:tab w:val="right" w:pos="646"/>
              </w:tabs>
            </w:pPr>
            <w:r>
              <w:br/>
            </w:r>
            <w:r>
              <w:tab/>
              <w:t>218</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t>54.50</w:t>
            </w:r>
          </w:p>
        </w:tc>
        <w:tc>
          <w:tcPr>
            <w:tcW w:w="1179" w:type="dxa"/>
            <w:gridSpan w:val="2"/>
          </w:tcPr>
          <w:p>
            <w:pPr>
              <w:pStyle w:val="yTable"/>
              <w:tabs>
                <w:tab w:val="right" w:pos="646"/>
              </w:tabs>
            </w:pPr>
            <w:r>
              <w:tab/>
              <w:t>109</w:t>
            </w:r>
          </w:p>
        </w:tc>
      </w:tr>
      <w:tr>
        <w:trPr>
          <w:cantSplit/>
        </w:trPr>
        <w:tc>
          <w:tcPr>
            <w:tcW w:w="709" w:type="dxa"/>
          </w:tcPr>
          <w:p>
            <w:pPr>
              <w:pStyle w:val="yTable"/>
              <w:jc w:val="center"/>
            </w:pPr>
            <w:r>
              <w:t>4.</w:t>
            </w:r>
          </w:p>
        </w:tc>
        <w:tc>
          <w:tcPr>
            <w:tcW w:w="4253" w:type="dxa"/>
          </w:tcPr>
          <w:p>
            <w:pPr>
              <w:pStyle w:val="yTable"/>
              <w:tabs>
                <w:tab w:val="left" w:pos="601"/>
              </w:tabs>
            </w:pPr>
            <w:r>
              <w:t xml:space="preserve">Registering a certificate or judgment in proceedings under the </w:t>
            </w:r>
            <w:r>
              <w:rPr>
                <w:i/>
              </w:rPr>
              <w:t>Service and Execution of Process Act 1992</w:t>
            </w:r>
            <w:r>
              <w:t xml:space="preserve"> of the Commonwealth ...</w:t>
            </w:r>
          </w:p>
        </w:tc>
        <w:tc>
          <w:tcPr>
            <w:tcW w:w="1275" w:type="dxa"/>
            <w:gridSpan w:val="2"/>
          </w:tcPr>
          <w:p>
            <w:pPr>
              <w:pStyle w:val="yTable"/>
              <w:tabs>
                <w:tab w:val="right" w:pos="600"/>
              </w:tabs>
            </w:pPr>
            <w:r>
              <w:br/>
            </w:r>
            <w:r>
              <w:br/>
            </w:r>
            <w:r>
              <w:tab/>
              <w:t>65</w:t>
            </w:r>
          </w:p>
        </w:tc>
        <w:tc>
          <w:tcPr>
            <w:tcW w:w="1134" w:type="dxa"/>
          </w:tcPr>
          <w:p>
            <w:pPr>
              <w:pStyle w:val="yTable"/>
              <w:tabs>
                <w:tab w:val="right" w:pos="646"/>
              </w:tabs>
            </w:pPr>
            <w:r>
              <w:br/>
            </w:r>
            <w:r>
              <w:br/>
            </w:r>
            <w:r>
              <w:tab/>
              <w:t>87</w:t>
            </w: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tab/>
              <w:t>436</w:t>
            </w:r>
          </w:p>
        </w:tc>
        <w:tc>
          <w:tcPr>
            <w:tcW w:w="1134" w:type="dxa"/>
          </w:tcPr>
          <w:p>
            <w:pPr>
              <w:pStyle w:val="yTable"/>
              <w:tabs>
                <w:tab w:val="right" w:pos="646"/>
              </w:tabs>
            </w:pPr>
            <w:r>
              <w:tab/>
              <w:t>654</w:t>
            </w: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t>382</w:t>
            </w:r>
          </w:p>
        </w:tc>
        <w:tc>
          <w:tcPr>
            <w:tcW w:w="1134" w:type="dxa"/>
          </w:tcPr>
          <w:p>
            <w:pPr>
              <w:pStyle w:val="yTable"/>
              <w:tabs>
                <w:tab w:val="right" w:pos="646"/>
              </w:tabs>
            </w:pPr>
            <w:r>
              <w:br/>
            </w:r>
            <w:r>
              <w:tab/>
              <w:t>763</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r>
            <w:r>
              <w:tab/>
              <w:t>382</w:t>
            </w:r>
          </w:p>
        </w:tc>
        <w:tc>
          <w:tcPr>
            <w:tcW w:w="1134" w:type="dxa"/>
          </w:tcPr>
          <w:p>
            <w:pPr>
              <w:pStyle w:val="yTable"/>
              <w:tabs>
                <w:tab w:val="right" w:pos="646"/>
              </w:tabs>
            </w:pPr>
            <w:r>
              <w:br/>
            </w:r>
            <w:r>
              <w:tab/>
              <w:t>763</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4:</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w:t>
            </w:r>
          </w:p>
        </w:tc>
        <w:tc>
          <w:tcPr>
            <w:tcW w:w="1275" w:type="dxa"/>
            <w:gridSpan w:val="2"/>
          </w:tcPr>
          <w:p>
            <w:pPr>
              <w:pStyle w:val="yTable"/>
              <w:tabs>
                <w:tab w:val="right" w:pos="600"/>
              </w:tabs>
            </w:pPr>
            <w:r>
              <w:br/>
            </w:r>
            <w:r>
              <w:br/>
            </w:r>
            <w:r>
              <w:br/>
            </w:r>
            <w:r>
              <w:br/>
            </w:r>
            <w:r>
              <w:br/>
            </w:r>
            <w:r>
              <w:br/>
            </w:r>
            <w:r>
              <w:br/>
            </w:r>
            <w:r>
              <w:br/>
            </w:r>
            <w:r>
              <w:tab/>
              <w:t>109</w:t>
            </w:r>
          </w:p>
        </w:tc>
        <w:tc>
          <w:tcPr>
            <w:tcW w:w="1134" w:type="dxa"/>
          </w:tcPr>
          <w:p>
            <w:pPr>
              <w:pStyle w:val="yTable"/>
              <w:tabs>
                <w:tab w:val="right" w:pos="646"/>
              </w:tabs>
            </w:pPr>
            <w:r>
              <w:br/>
            </w:r>
            <w:r>
              <w:br/>
            </w:r>
            <w:r>
              <w:br/>
            </w:r>
            <w:r>
              <w:br/>
            </w:r>
            <w:r>
              <w:br/>
            </w:r>
            <w:r>
              <w:br/>
            </w:r>
            <w:r>
              <w:br/>
            </w:r>
            <w:r>
              <w:br/>
            </w:r>
            <w:r>
              <w:tab/>
              <w:t>164</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 xml:space="preserve">If the hearing of a matter to which item 8 applies is listed for more than one day and proceeds for more than the number of days listed, the fee prescribed in Item 8 is payable for each additional day or part day of hearing </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spacing w:before="0"/>
              <w:jc w:val="center"/>
            </w:pPr>
            <w:r>
              <w:t>10.</w:t>
            </w:r>
          </w:p>
        </w:tc>
        <w:tc>
          <w:tcPr>
            <w:tcW w:w="4253" w:type="dxa"/>
          </w:tcPr>
          <w:p>
            <w:pPr>
              <w:pStyle w:val="yTable"/>
              <w:tabs>
                <w:tab w:val="left" w:pos="0"/>
                <w:tab w:val="left" w:pos="1168"/>
              </w:tabs>
              <w:spacing w:before="0"/>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spacing w:before="0"/>
            </w:pPr>
          </w:p>
        </w:tc>
        <w:tc>
          <w:tcPr>
            <w:tcW w:w="1134" w:type="dxa"/>
          </w:tcPr>
          <w:p>
            <w:pPr>
              <w:pStyle w:val="yTable"/>
              <w:tabs>
                <w:tab w:val="right" w:pos="363"/>
              </w:tabs>
              <w:spacing w:before="0"/>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t>109</w:t>
            </w:r>
          </w:p>
        </w:tc>
        <w:tc>
          <w:tcPr>
            <w:tcW w:w="1134" w:type="dxa"/>
          </w:tcPr>
          <w:p>
            <w:pPr>
              <w:pStyle w:val="yTable"/>
              <w:tabs>
                <w:tab w:val="right" w:pos="646"/>
              </w:tabs>
            </w:pPr>
            <w:r>
              <w:tab/>
              <w:t>164</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pPr>
            <w:r>
              <w:t>11.</w:t>
            </w:r>
          </w:p>
        </w:tc>
        <w:tc>
          <w:tcPr>
            <w:tcW w:w="4253" w:type="dxa"/>
          </w:tcPr>
          <w:p>
            <w:pPr>
              <w:pStyle w:val="yTable"/>
            </w:pPr>
            <w:r>
              <w:t>For searching any record or proceeding ....</w:t>
            </w:r>
          </w:p>
        </w:tc>
        <w:tc>
          <w:tcPr>
            <w:tcW w:w="1275" w:type="dxa"/>
            <w:gridSpan w:val="2"/>
          </w:tcPr>
          <w:p>
            <w:pPr>
              <w:pStyle w:val="yTable"/>
              <w:tabs>
                <w:tab w:val="right" w:pos="600"/>
              </w:tabs>
            </w:pPr>
            <w:r>
              <w:tab/>
              <w:t>22</w:t>
            </w:r>
          </w:p>
        </w:tc>
        <w:tc>
          <w:tcPr>
            <w:tcW w:w="1134" w:type="dxa"/>
          </w:tcPr>
          <w:p>
            <w:pPr>
              <w:pStyle w:val="yTable"/>
              <w:tabs>
                <w:tab w:val="right" w:pos="600"/>
              </w:tabs>
            </w:pPr>
            <w:r>
              <w:tab/>
              <w:t>22</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w:t>
            </w:r>
          </w:p>
        </w:tc>
        <w:tc>
          <w:tcPr>
            <w:tcW w:w="1134" w:type="dxa"/>
          </w:tcPr>
          <w:p>
            <w:pPr>
              <w:pStyle w:val="yTable"/>
              <w:tabs>
                <w:tab w:val="right" w:pos="600"/>
              </w:tabs>
            </w:pPr>
            <w:r>
              <w:br/>
            </w:r>
            <w:r>
              <w:tab/>
              <w:t>1</w:t>
            </w:r>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1 000</w:t>
            </w:r>
          </w:p>
        </w:tc>
        <w:tc>
          <w:tcPr>
            <w:tcW w:w="1134" w:type="dxa"/>
          </w:tcPr>
          <w:p>
            <w:pPr>
              <w:pStyle w:val="yTable"/>
              <w:tabs>
                <w:tab w:val="right" w:pos="600"/>
              </w:tabs>
            </w:pPr>
            <w:r>
              <w:br/>
            </w:r>
            <w:r>
              <w:tab/>
              <w:t>1 000</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t>33</w:t>
            </w:r>
          </w:p>
        </w:tc>
        <w:tc>
          <w:tcPr>
            <w:tcW w:w="1134" w:type="dxa"/>
          </w:tcPr>
          <w:p>
            <w:pPr>
              <w:pStyle w:val="yTable"/>
              <w:tabs>
                <w:tab w:val="right" w:pos="646"/>
              </w:tabs>
            </w:pPr>
            <w:r>
              <w:br/>
            </w:r>
            <w:r>
              <w:br/>
            </w:r>
            <w:r>
              <w:br/>
            </w:r>
            <w:r>
              <w:tab/>
              <w:t>33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t>55</w:t>
            </w:r>
          </w:p>
        </w:tc>
        <w:tc>
          <w:tcPr>
            <w:tcW w:w="1134" w:type="dxa"/>
          </w:tcPr>
          <w:p>
            <w:pPr>
              <w:pStyle w:val="yTable"/>
              <w:tabs>
                <w:tab w:val="right" w:pos="646"/>
              </w:tabs>
            </w:pPr>
            <w:r>
              <w:br/>
            </w:r>
            <w:r>
              <w:br/>
            </w:r>
            <w:r>
              <w:br/>
            </w:r>
            <w:r>
              <w:br/>
            </w:r>
            <w:r>
              <w:br/>
            </w:r>
            <w:r>
              <w:tab/>
              <w:t>55</w:t>
            </w:r>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t>3</w:t>
            </w:r>
          </w:p>
        </w:tc>
        <w:tc>
          <w:tcPr>
            <w:tcW w:w="1134" w:type="dxa"/>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pPr>
            <w:r>
              <w:br/>
            </w:r>
          </w:p>
          <w:p>
            <w:pPr>
              <w:pStyle w:val="yTable"/>
              <w:tabs>
                <w:tab w:val="right" w:pos="600"/>
              </w:tabs>
            </w:pPr>
            <w:r>
              <w:br/>
            </w:r>
            <w:r>
              <w:tab/>
              <w:t>8</w:t>
            </w:r>
          </w:p>
          <w:p>
            <w:pPr>
              <w:pStyle w:val="yTable"/>
              <w:tabs>
                <w:tab w:val="right" w:pos="600"/>
              </w:tabs>
            </w:pPr>
            <w:r>
              <w:br/>
            </w:r>
            <w:r>
              <w:br/>
            </w:r>
            <w:r>
              <w:tab/>
              <w:t>1</w:t>
            </w:r>
          </w:p>
        </w:tc>
        <w:tc>
          <w:tcPr>
            <w:tcW w:w="1134" w:type="dxa"/>
          </w:tcPr>
          <w:p>
            <w:pPr>
              <w:pStyle w:val="yTable"/>
              <w:tabs>
                <w:tab w:val="right" w:pos="363"/>
                <w:tab w:val="right" w:pos="743"/>
              </w:tabs>
            </w:pPr>
            <w:r>
              <w:br/>
            </w:r>
            <w:r>
              <w:br/>
            </w:r>
          </w:p>
          <w:p>
            <w:pPr>
              <w:pStyle w:val="yTable"/>
              <w:tabs>
                <w:tab w:val="right" w:pos="363"/>
                <w:tab w:val="right" w:pos="743"/>
              </w:tabs>
            </w:pPr>
            <w:r>
              <w:br/>
            </w:r>
          </w:p>
          <w:p>
            <w:pPr>
              <w:pStyle w:val="yTable"/>
              <w:tabs>
                <w:tab w:val="right" w:pos="646"/>
              </w:tabs>
            </w:pPr>
            <w:r>
              <w:br/>
            </w:r>
            <w:r>
              <w:tab/>
              <w:t>8</w:t>
            </w:r>
          </w:p>
          <w:p>
            <w:pPr>
              <w:pStyle w:val="yTable"/>
              <w:tabs>
                <w:tab w:val="right" w:pos="646"/>
              </w:tabs>
            </w:pPr>
            <w:r>
              <w:br/>
            </w:r>
            <w:r>
              <w:br/>
            </w:r>
            <w:r>
              <w:tab/>
              <w:t>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11</w:t>
            </w:r>
          </w:p>
        </w:tc>
        <w:tc>
          <w:tcPr>
            <w:tcW w:w="1134" w:type="dxa"/>
          </w:tcPr>
          <w:p>
            <w:pPr>
              <w:pStyle w:val="yTable"/>
              <w:tabs>
                <w:tab w:val="right" w:pos="646"/>
              </w:tabs>
            </w:pPr>
            <w:r>
              <w:br/>
            </w:r>
            <w:r>
              <w:br/>
            </w:r>
            <w:r>
              <w:tab/>
              <w:t>11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t>44</w:t>
            </w:r>
          </w:p>
        </w:tc>
        <w:tc>
          <w:tcPr>
            <w:tcW w:w="1134" w:type="dxa"/>
          </w:tcPr>
          <w:p>
            <w:pPr>
              <w:pStyle w:val="yTable"/>
              <w:tabs>
                <w:tab w:val="right" w:pos="646"/>
              </w:tabs>
            </w:pPr>
            <w:r>
              <w:br/>
            </w:r>
            <w:r>
              <w:tab/>
              <w:t>44</w:t>
            </w:r>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pPr>
            <w:r>
              <w:br/>
            </w:r>
            <w:r>
              <w:br/>
              <w:t>4.50</w:t>
            </w:r>
          </w:p>
        </w:tc>
        <w:tc>
          <w:tcPr>
            <w:tcW w:w="1134" w:type="dxa"/>
          </w:tcPr>
          <w:p>
            <w:pPr>
              <w:pStyle w:val="yTable"/>
            </w:pPr>
            <w:r>
              <w:br/>
            </w:r>
            <w:r>
              <w:br/>
              <w:t>4.50</w:t>
            </w:r>
          </w:p>
        </w:tc>
      </w:tr>
      <w:tr>
        <w:tc>
          <w:tcPr>
            <w:tcW w:w="709" w:type="dxa"/>
          </w:tcPr>
          <w:p>
            <w:pPr>
              <w:pStyle w:val="zytable"/>
              <w:pageBreakBefor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pPr>
            <w:r>
              <w:br/>
            </w:r>
            <w:r>
              <w:br/>
            </w:r>
            <w:r>
              <w:br/>
            </w:r>
            <w:r>
              <w:br/>
              <w:t>10.50</w:t>
            </w:r>
          </w:p>
        </w:tc>
        <w:tc>
          <w:tcPr>
            <w:tcW w:w="1134" w:type="dxa"/>
          </w:tcPr>
          <w:p>
            <w:pPr>
              <w:pStyle w:val="yTable"/>
            </w:pPr>
            <w:r>
              <w:br/>
            </w:r>
            <w:r>
              <w:br/>
            </w:r>
            <w:r>
              <w:br/>
            </w:r>
            <w:r>
              <w:br/>
              <w:t>10.50</w:t>
            </w:r>
          </w:p>
        </w:tc>
      </w:tr>
      <w:tr>
        <w:tc>
          <w:tcPr>
            <w:tcW w:w="709" w:type="dxa"/>
          </w:tcPr>
          <w:p>
            <w:pPr>
              <w:pStyle w:val="zytable"/>
              <w:ind w:left="0" w:right="34"/>
            </w:pPr>
          </w:p>
        </w:tc>
        <w:tc>
          <w:tcPr>
            <w:tcW w:w="4253" w:type="dxa"/>
          </w:tcPr>
          <w:p>
            <w:pPr>
              <w:pStyle w:val="yTable"/>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pPr>
            <w:r>
              <w:br/>
            </w:r>
            <w:r>
              <w:br/>
            </w:r>
            <w:r>
              <w:br/>
            </w:r>
            <w:r>
              <w:br/>
              <w:t>1.50</w:t>
            </w:r>
          </w:p>
        </w:tc>
        <w:tc>
          <w:tcPr>
            <w:tcW w:w="1134" w:type="dxa"/>
          </w:tcPr>
          <w:p>
            <w:pPr>
              <w:pStyle w:val="yTable"/>
            </w:pPr>
            <w:r>
              <w:br/>
            </w:r>
            <w:r>
              <w:br/>
            </w:r>
            <w:r>
              <w:br/>
            </w:r>
            <w:r>
              <w:br/>
              <w:t>1.50</w:t>
            </w:r>
          </w:p>
        </w:tc>
      </w:tr>
    </w:tbl>
    <w:p>
      <w:pPr>
        <w:pStyle w:val="Footnotesection"/>
      </w:pPr>
      <w:r>
        <w:tab/>
        <w:t>[Schedule 1 amended in Gazette 30 Dec 2003 p. 5705-7; 28 Apr 2005 p. 1754-5; 23 Jun 2005 p. 2690-1.]</w:t>
      </w:r>
    </w:p>
    <w:p>
      <w:pPr>
        <w:pStyle w:val="yHeading2"/>
      </w:pPr>
      <w:bookmarkStart w:id="71" w:name="_Toc107624950"/>
      <w:bookmarkStart w:id="72" w:name="_Toc533482767"/>
      <w:r>
        <w:rPr>
          <w:rStyle w:val="CharSchNo"/>
        </w:rPr>
        <w:t>Schedule 2</w:t>
      </w:r>
      <w:r>
        <w:t> — </w:t>
      </w:r>
      <w:r>
        <w:rPr>
          <w:rStyle w:val="CharSchText"/>
        </w:rPr>
        <w:t>Sheriff’s Fees</w:t>
      </w:r>
      <w:bookmarkEnd w:id="71"/>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rPr>
          <w:cantSplit/>
        </w:trPr>
        <w:tc>
          <w:tcPr>
            <w:tcW w:w="993" w:type="dxa"/>
            <w:tcBorders>
              <w:top w:val="single" w:sz="4" w:space="0" w:color="auto"/>
            </w:tcBorders>
          </w:tcPr>
          <w:p>
            <w:pPr>
              <w:pStyle w:val="yTable"/>
            </w:pPr>
            <w:r>
              <w:rPr>
                <w:sz w:val="20"/>
              </w:rPr>
              <w:t>1.</w:t>
            </w:r>
          </w:p>
        </w:tc>
        <w:tc>
          <w:tcPr>
            <w:tcW w:w="4536" w:type="dxa"/>
            <w:tcBorders>
              <w:top w:val="single" w:sz="4" w:space="0" w:color="auto"/>
            </w:tcBorders>
          </w:tcPr>
          <w:p>
            <w:pPr>
              <w:pStyle w:val="yTable"/>
            </w:pPr>
            <w:r>
              <w:rPr>
                <w:sz w:val="20"/>
              </w:rPr>
              <w:t>For the execution of an arrest warrant of any kind .....</w:t>
            </w:r>
          </w:p>
        </w:tc>
        <w:tc>
          <w:tcPr>
            <w:tcW w:w="1559" w:type="dxa"/>
            <w:tcBorders>
              <w:top w:val="single" w:sz="4" w:space="0" w:color="auto"/>
            </w:tcBorders>
          </w:tcPr>
          <w:p>
            <w:pPr>
              <w:pStyle w:val="yTable"/>
            </w:pPr>
            <w:r>
              <w:rPr>
                <w:sz w:val="20"/>
              </w:rPr>
              <w:t>136.00</w:t>
            </w:r>
          </w:p>
        </w:tc>
      </w:tr>
      <w:tr>
        <w:trPr>
          <w:cantSplit/>
        </w:trPr>
        <w:tc>
          <w:tcPr>
            <w:tcW w:w="7088" w:type="dxa"/>
            <w:gridSpan w:val="3"/>
          </w:tcPr>
          <w:p>
            <w:pPr>
              <w:pStyle w:val="yTable"/>
            </w:pPr>
            <w:r>
              <w:rPr>
                <w:sz w:val="20"/>
              </w:rPr>
              <w:t>NOTE 1:</w:t>
            </w:r>
          </w:p>
          <w:p>
            <w:pPr>
              <w:pStyle w:val="yTable"/>
            </w:pPr>
            <w:r>
              <w:t xml:space="preserve">The fee includes all duties associated with executing an arrest warrant including — </w:t>
            </w:r>
          </w:p>
          <w:p>
            <w:pPr>
              <w:pStyle w:val="yTable"/>
              <w:tabs>
                <w:tab w:val="left" w:pos="601"/>
              </w:tabs>
            </w:pPr>
            <w:r>
              <w:t>(a)</w:t>
            </w:r>
            <w:r>
              <w:tab/>
              <w:t>arresting the person;</w:t>
            </w:r>
          </w:p>
          <w:p>
            <w:pPr>
              <w:pStyle w:val="yTable"/>
              <w:tabs>
                <w:tab w:val="left" w:pos="601"/>
              </w:tabs>
            </w:pPr>
            <w:r>
              <w:t>(b)</w:t>
            </w:r>
            <w:r>
              <w:tab/>
              <w:t>conveying the person to a court or a custodial place;</w:t>
            </w:r>
          </w:p>
          <w:p>
            <w:pPr>
              <w:pStyle w:val="yTable"/>
              <w:tabs>
                <w:tab w:val="left" w:pos="601"/>
              </w:tabs>
            </w:pPr>
            <w:r>
              <w:t>(c)</w:t>
            </w:r>
            <w:r>
              <w:tab/>
              <w:t>ongoing custody of the person;</w:t>
            </w:r>
          </w:p>
          <w:p>
            <w:pPr>
              <w:pStyle w:val="yTable"/>
              <w:tabs>
                <w:tab w:val="left" w:pos="601"/>
              </w:tabs>
            </w:pPr>
            <w:r>
              <w:t>(d)</w:t>
            </w:r>
            <w:r>
              <w:tab/>
              <w:t>releasing the person from arrest.</w:t>
            </w:r>
          </w:p>
          <w:p>
            <w:pPr>
              <w:pStyle w:val="yTable"/>
            </w:pPr>
            <w:r>
              <w:t>NOTE 2:</w:t>
            </w:r>
          </w:p>
          <w:p>
            <w:pPr>
              <w:pStyle w:val="yTable"/>
            </w:pPr>
            <w:r>
              <w:t>This fee covers up to 2½ hours of the Sheriff’s time.  If in any case the execution of the warrant exceeds 2½ hours, the Court may grant the Sheriff an additional allowance.</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t>37.50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pPr>
            <w:r>
              <w:rPr>
                <w:sz w:val="20"/>
              </w:rPr>
              <w:t>3.</w:t>
            </w:r>
          </w:p>
        </w:tc>
        <w:tc>
          <w:tcPr>
            <w:tcW w:w="4536" w:type="dxa"/>
          </w:tcPr>
          <w:p>
            <w:pPr>
              <w:pStyle w:val="yTable"/>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0.95</w:t>
            </w: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1.05</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rPr>
                <w:highlight w:val="yellow"/>
              </w:rPr>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rPr>
                <w:highlight w:val="yellow"/>
              </w:rPr>
            </w:pPr>
            <w:r>
              <w:rPr>
                <w:sz w:val="20"/>
                <w:highlight w:val="yellow"/>
              </w:rPr>
              <w:br/>
            </w:r>
            <w:r>
              <w:rPr>
                <w:sz w:val="20"/>
              </w:rPr>
              <w:t>36.50</w:t>
            </w:r>
          </w:p>
        </w:tc>
      </w:tr>
      <w:tr>
        <w:trPr>
          <w:cantSplit/>
        </w:trPr>
        <w:tc>
          <w:tcPr>
            <w:tcW w:w="993" w:type="dxa"/>
          </w:tcPr>
          <w:p>
            <w:pPr>
              <w:pStyle w:val="yTable"/>
              <w:rPr>
                <w:highlight w:val="yellow"/>
              </w:rPr>
            </w:pPr>
            <w:r>
              <w:rPr>
                <w:sz w:val="20"/>
              </w:rPr>
              <w:t>5.</w:t>
            </w:r>
          </w:p>
        </w:tc>
        <w:tc>
          <w:tcPr>
            <w:tcW w:w="4536" w:type="dxa"/>
          </w:tcPr>
          <w:p>
            <w:pPr>
              <w:pStyle w:val="yTable"/>
              <w:tabs>
                <w:tab w:val="left" w:pos="459"/>
              </w:tabs>
              <w:ind w:left="459" w:hanging="459"/>
              <w:rPr>
                <w:sz w:val="20"/>
                <w:highlight w:val="yellow"/>
              </w:rPr>
            </w:pPr>
            <w:r>
              <w:rPr>
                <w:sz w:val="20"/>
              </w:rPr>
              <w:t>(a)</w:t>
            </w:r>
            <w:r>
              <w:rPr>
                <w:sz w:val="20"/>
              </w:rPr>
              <w:tab/>
              <w:t>For striking a jury and preparing jury panel .......</w:t>
            </w:r>
          </w:p>
        </w:tc>
        <w:tc>
          <w:tcPr>
            <w:tcW w:w="1559" w:type="dxa"/>
          </w:tcPr>
          <w:p>
            <w:pPr>
              <w:pStyle w:val="yTable"/>
              <w:rPr>
                <w:highlight w:val="yellow"/>
              </w:rPr>
            </w:pPr>
            <w:r>
              <w:rPr>
                <w:sz w:val="20"/>
              </w:rPr>
              <w:t>123.00</w:t>
            </w:r>
          </w:p>
        </w:tc>
      </w:tr>
      <w:tr>
        <w:trPr>
          <w:cantSplit/>
        </w:trPr>
        <w:tc>
          <w:tcPr>
            <w:tcW w:w="993" w:type="dxa"/>
            <w:tcBorders>
              <w:bottom w:val="single" w:sz="4" w:space="0" w:color="auto"/>
            </w:tcBorders>
          </w:tcPr>
          <w:p>
            <w:pPr>
              <w:pStyle w:val="zytable"/>
              <w:ind w:left="0"/>
              <w:rPr>
                <w:sz w:val="20"/>
                <w:highlight w:val="yellow"/>
              </w:rPr>
            </w:pPr>
          </w:p>
        </w:tc>
        <w:tc>
          <w:tcPr>
            <w:tcW w:w="4536" w:type="dxa"/>
            <w:tcBorders>
              <w:bottom w:val="single" w:sz="4" w:space="0" w:color="auto"/>
            </w:tcBorders>
          </w:tcPr>
          <w:p>
            <w:pPr>
              <w:pStyle w:val="yTable"/>
              <w:tabs>
                <w:tab w:val="left" w:pos="459"/>
              </w:tabs>
              <w:ind w:left="459" w:hanging="459"/>
              <w:rPr>
                <w:highlight w:val="yellow"/>
              </w:rPr>
            </w:pPr>
            <w:r>
              <w:rPr>
                <w:sz w:val="20"/>
              </w:rPr>
              <w:t>(b)</w:t>
            </w:r>
            <w:r>
              <w:rPr>
                <w:sz w:val="20"/>
              </w:rPr>
              <w:tab/>
              <w:t>For attendance of Sheriff</w:t>
            </w:r>
            <w:r>
              <w:rPr>
                <w:rFonts w:ascii="Times" w:hAnsi="Times"/>
                <w:spacing w:val="40"/>
                <w:sz w:val="20"/>
              </w:rPr>
              <w:t>’</w:t>
            </w:r>
            <w:r>
              <w:rPr>
                <w:sz w:val="20"/>
              </w:rPr>
              <w:t>s officer at hearing (per day or part of a day)</w:t>
            </w:r>
          </w:p>
        </w:tc>
        <w:tc>
          <w:tcPr>
            <w:tcW w:w="1559" w:type="dxa"/>
            <w:tcBorders>
              <w:bottom w:val="single" w:sz="4" w:space="0" w:color="auto"/>
            </w:tcBorders>
          </w:tcPr>
          <w:p>
            <w:pPr>
              <w:pStyle w:val="yTable"/>
              <w:rPr>
                <w:highlight w:val="yellow"/>
              </w:rPr>
            </w:pPr>
            <w:r>
              <w:rPr>
                <w:sz w:val="20"/>
              </w:rPr>
              <w:t>The sum actually and reasonably paid.</w:t>
            </w:r>
          </w:p>
        </w:tc>
      </w:tr>
    </w:tbl>
    <w:p>
      <w:pPr>
        <w:pStyle w:val="Footnotesection"/>
      </w:pPr>
      <w:r>
        <w:tab/>
        <w:t>[Schedule 2 inserted in Gazette 28 Apr 2005 p. 1756; amended in Gazette 23 Jun 2005 p. 2691-2.]</w:t>
      </w:r>
    </w:p>
    <w:p>
      <w:pPr>
        <w:pStyle w:val="yScheduleHeading"/>
      </w:pPr>
      <w:bookmarkStart w:id="73" w:name="_Toc107624951"/>
      <w:r>
        <w:rPr>
          <w:rStyle w:val="CharSchNo"/>
        </w:rPr>
        <w:t>Schedule 3</w:t>
      </w:r>
      <w:r>
        <w:t xml:space="preserve"> — </w:t>
      </w:r>
      <w:r>
        <w:rPr>
          <w:rStyle w:val="CharSchText"/>
        </w:rPr>
        <w:t>Forms</w:t>
      </w:r>
      <w:bookmarkEnd w:id="72"/>
      <w:bookmarkEnd w:id="73"/>
    </w:p>
    <w:p>
      <w:pPr>
        <w:pStyle w:val="yShoulderClause"/>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jc w:val="center"/>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w:t>
            </w:r>
            <w:r>
              <w:rPr>
                <w:i/>
              </w:rPr>
              <w:t xml:space="preserve">.  </w:t>
            </w:r>
            <w:r>
              <w:rPr>
                <w:i/>
                <w:sz w:val="16"/>
              </w:rPr>
              <w:t>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pPr>
            <w:r>
              <w:t>Date of birth</w:t>
            </w:r>
          </w:p>
        </w:tc>
        <w:tc>
          <w:tcPr>
            <w:tcW w:w="2481" w:type="dxa"/>
            <w:gridSpan w:val="3"/>
          </w:tcPr>
          <w:p>
            <w:pPr>
              <w:pStyle w:val="yTable"/>
            </w:pPr>
            <w:r>
              <w:t>......................................</w:t>
            </w:r>
          </w:p>
          <w:p>
            <w:pPr>
              <w:pStyle w:val="yTable"/>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pPr>
            <w:r>
              <w:t>.....................................................................................................................</w:t>
            </w:r>
          </w:p>
          <w:p>
            <w:pPr>
              <w:pStyle w:val="yTable"/>
            </w:pPr>
            <w:r>
              <w:t>.....................................................................................................................</w:t>
            </w:r>
          </w:p>
          <w:p>
            <w:pPr>
              <w:pStyle w:val="yTable"/>
            </w:pPr>
            <w:r>
              <w:t>.....................................................................................................................</w:t>
            </w:r>
          </w:p>
          <w:p>
            <w:pPr>
              <w:pStyle w:val="yTable"/>
            </w:pPr>
            <w:r>
              <w:t>.....................................................................................................................</w:t>
            </w:r>
          </w:p>
          <w:p>
            <w:pPr>
              <w:pStyle w:val="yTable"/>
              <w:tabs>
                <w:tab w:val="left" w:pos="743"/>
              </w:tabs>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pPr>
            <w:r>
              <w:t>………………………………………………………................………...</w:t>
            </w:r>
          </w:p>
          <w:p>
            <w:pPr>
              <w:pStyle w:val="yTable"/>
            </w:pPr>
            <w:r>
              <w:t>………………………………………………………................………...</w:t>
            </w:r>
          </w:p>
          <w:p>
            <w:pPr>
              <w:pStyle w:val="yTable"/>
            </w:pPr>
            <w:r>
              <w:t>……………………………………………………................…………...</w:t>
            </w:r>
          </w:p>
          <w:p>
            <w:pPr>
              <w:pStyle w:val="yTable"/>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pPr>
            <w:r>
              <w:t>……………………………………………...............…………………...</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rPr>
              <w:t>*</w:t>
            </w:r>
            <w:r>
              <w:rPr>
                <w:i/>
              </w:rPr>
              <w:tab/>
            </w:r>
            <w:r>
              <w:rPr>
                <w:i/>
                <w:sz w:val="16"/>
              </w:rPr>
              <w:t>Strike out words that are not applicable.</w:t>
            </w:r>
          </w:p>
          <w:p>
            <w:pPr>
              <w:pStyle w:val="yTable"/>
              <w:rPr>
                <w:i/>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w:t>
            </w:r>
            <w:r>
              <w:rPr>
                <w:i/>
              </w:rPr>
              <w:t xml:space="preserve">.  </w:t>
            </w:r>
            <w:r>
              <w:rPr>
                <w:i/>
                <w:sz w:val="16"/>
              </w:rPr>
              <w:t>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pPr>
            <w:r>
              <w:t>...........................................</w:t>
            </w:r>
            <w:r>
              <w:br/>
              <w:t>Date of birth</w:t>
            </w:r>
          </w:p>
        </w:tc>
        <w:tc>
          <w:tcPr>
            <w:tcW w:w="2339" w:type="dxa"/>
          </w:tcPr>
          <w:p>
            <w:pPr>
              <w:pStyle w:val="yTable"/>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pPr>
            <w:r>
              <w:t>………………………………………………………..</w:t>
            </w:r>
          </w:p>
          <w:p>
            <w:pPr>
              <w:pStyle w:val="yTable"/>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pPr>
            <w:r>
              <w:rPr>
                <w:rFonts w:ascii="MS Mincho" w:eastAsia="MS Mincho" w:hAnsi="MS Mincho" w:hint="eastAsia"/>
              </w:rPr>
              <w:t>❑</w:t>
            </w:r>
            <w:r>
              <w:rPr>
                <w:rFonts w:ascii="MS Mincho" w:eastAsia="MS Mincho" w:hAnsi="MS Mincho"/>
              </w:rPr>
              <w:tab/>
            </w:r>
            <w:r>
              <w:t>that the fee is payable</w:t>
            </w:r>
          </w:p>
          <w:p>
            <w:pPr>
              <w:pStyle w:val="yTable"/>
              <w:tabs>
                <w:tab w:val="left" w:pos="601"/>
              </w:tabs>
            </w:pPr>
            <w:r>
              <w:rPr>
                <w:rFonts w:ascii="MS Mincho" w:eastAsia="MS Mincho" w:hAnsi="MS Mincho" w:hint="eastAsia"/>
              </w:rPr>
              <w:t>❑</w:t>
            </w:r>
            <w:r>
              <w:tab/>
              <w:t>the amount of the fee</w:t>
            </w:r>
          </w:p>
          <w:p>
            <w:pPr>
              <w:pStyle w:val="yTable"/>
              <w:tabs>
                <w:tab w:val="left" w:pos="601"/>
              </w:tabs>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pPr>
            <w:r>
              <w:tab/>
              <w:t>………………………………………………...</w:t>
            </w:r>
          </w:p>
        </w:tc>
      </w:tr>
      <w:tr>
        <w:trPr>
          <w:cantSplit/>
        </w:trPr>
        <w:tc>
          <w:tcPr>
            <w:tcW w:w="6662" w:type="dxa"/>
            <w:gridSpan w:val="4"/>
          </w:tcPr>
          <w:p>
            <w:pPr>
              <w:pStyle w:val="yTable"/>
            </w:pPr>
            <w:r>
              <w:t>I dispute the fee because .………………………………………………...</w:t>
            </w:r>
          </w:p>
          <w:p>
            <w:pPr>
              <w:pStyle w:val="yTable"/>
            </w:pPr>
            <w:r>
              <w:t>…………………………………………………………………………….</w:t>
            </w:r>
          </w:p>
          <w:p>
            <w:pPr>
              <w:pStyle w:val="yTable"/>
            </w:pPr>
            <w:r>
              <w:t>…………………………………………………………………………….</w:t>
            </w:r>
          </w:p>
          <w:p>
            <w:pPr>
              <w:pStyle w:val="yTable"/>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pStyle w:val="yFootnotesection"/>
        <w:spacing w:before="240"/>
      </w:pPr>
      <w:r>
        <w:tab/>
        <w:t>[Schedule 3 amended in Gazette 30 Jun 2003 p. 2601; 30 Dec 2003 p. 5707-9; 28 Apr 2005 p. 1757.]</w:t>
      </w:r>
    </w:p>
    <w:p>
      <w:pPr>
        <w:tabs>
          <w:tab w:val="right" w:pos="600"/>
          <w:tab w:val="right" w:pos="646"/>
        </w:tabs>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74" w:name="_Toc102886471"/>
      <w:bookmarkStart w:id="75" w:name="_Toc107624952"/>
      <w:r>
        <w:t>Notes</w:t>
      </w:r>
      <w:bookmarkEnd w:id="74"/>
      <w:bookmarkEnd w:id="75"/>
    </w:p>
    <w:p>
      <w:pPr>
        <w:pStyle w:val="nSubsection"/>
        <w:rPr>
          <w:snapToGrid w:val="0"/>
        </w:rPr>
      </w:pPr>
      <w:r>
        <w:rPr>
          <w:snapToGrid w:val="0"/>
          <w:vertAlign w:val="superscript"/>
        </w:rPr>
        <w:t>1</w:t>
      </w:r>
      <w:r>
        <w:rPr>
          <w:snapToGrid w:val="0"/>
        </w:rPr>
        <w:tab/>
        <w:t xml:space="preserve">This is a compilation of the </w:t>
      </w:r>
      <w:r>
        <w:rPr>
          <w:i/>
        </w:rPr>
        <w:t>District Court (Fees) Regulations 2002</w:t>
      </w:r>
      <w:r>
        <w:rPr>
          <w:snapToGrid w:val="0"/>
        </w:rPr>
        <w:t xml:space="preserve"> and includes the amendments made by the other written laws referred to in the following table.</w:t>
      </w:r>
    </w:p>
    <w:p>
      <w:pPr>
        <w:pStyle w:val="nHeading3"/>
      </w:pPr>
      <w:bookmarkStart w:id="76" w:name="_Toc511102520"/>
      <w:bookmarkStart w:id="77" w:name="_Toc513888953"/>
      <w:bookmarkStart w:id="78" w:name="_Toc107624953"/>
      <w:r>
        <w:t>Compilation table</w:t>
      </w:r>
      <w:bookmarkEnd w:id="76"/>
      <w:bookmarkEnd w:id="77"/>
      <w:bookmarkEnd w:id="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District Court (Fees) Regulations 2002</w:t>
            </w:r>
          </w:p>
        </w:tc>
        <w:tc>
          <w:tcPr>
            <w:tcW w:w="1276" w:type="dxa"/>
            <w:tcBorders>
              <w:top w:val="single" w:sz="8" w:space="0" w:color="auto"/>
            </w:tcBorders>
          </w:tcPr>
          <w:p>
            <w:pPr>
              <w:pStyle w:val="nTable"/>
            </w:pPr>
            <w:r>
              <w:t>27 Dec 2001 p. 6619-43</w:t>
            </w:r>
          </w:p>
        </w:tc>
        <w:tc>
          <w:tcPr>
            <w:tcW w:w="2693" w:type="dxa"/>
            <w:tcBorders>
              <w:top w:val="single" w:sz="8" w:space="0" w:color="auto"/>
            </w:tcBorders>
          </w:tcPr>
          <w:p>
            <w:pPr>
              <w:pStyle w:val="nTable"/>
            </w:pPr>
            <w:r>
              <w:t>1 Jan 2002 (see r. 2)</w:t>
            </w:r>
          </w:p>
        </w:tc>
      </w:tr>
      <w:tr>
        <w:tc>
          <w:tcPr>
            <w:tcW w:w="3119" w:type="dxa"/>
          </w:tcPr>
          <w:p>
            <w:pPr>
              <w:pStyle w:val="nTable"/>
              <w:rPr>
                <w:i/>
              </w:rPr>
            </w:pPr>
            <w:r>
              <w:rPr>
                <w:i/>
                <w:sz w:val="19"/>
              </w:rPr>
              <w:t>Equality of Status Subsidiary Legislation Amendment Regulations 2003</w:t>
            </w:r>
            <w:r>
              <w:rPr>
                <w:sz w:val="19"/>
              </w:rPr>
              <w:t xml:space="preserve"> Pt. 11</w:t>
            </w:r>
          </w:p>
        </w:tc>
        <w:tc>
          <w:tcPr>
            <w:tcW w:w="1276" w:type="dxa"/>
          </w:tcPr>
          <w:p>
            <w:pPr>
              <w:pStyle w:val="nTable"/>
            </w:pPr>
            <w:r>
              <w:rPr>
                <w:sz w:val="19"/>
              </w:rPr>
              <w:t>30 Jun 2003 p. 2581-638</w:t>
            </w:r>
          </w:p>
        </w:tc>
        <w:tc>
          <w:tcPr>
            <w:tcW w:w="2693" w:type="dxa"/>
          </w:tcPr>
          <w:p>
            <w:pPr>
              <w:pStyle w:val="nTable"/>
            </w:pPr>
            <w:r>
              <w:rPr>
                <w:sz w:val="19"/>
              </w:rPr>
              <w:t xml:space="preserve">1 Jul 2003 (see r. 2 and </w:t>
            </w:r>
            <w:r>
              <w:rPr>
                <w:i/>
                <w:sz w:val="19"/>
              </w:rPr>
              <w:t xml:space="preserve">Gazette </w:t>
            </w:r>
            <w:r>
              <w:rPr>
                <w:sz w:val="19"/>
              </w:rPr>
              <w:t>30 Jun 2003 p. 2579</w:t>
            </w:r>
            <w:r>
              <w:rPr>
                <w:i/>
                <w:sz w:val="19"/>
              </w:rPr>
              <w:t>)</w:t>
            </w:r>
          </w:p>
        </w:tc>
      </w:tr>
      <w:tr>
        <w:tc>
          <w:tcPr>
            <w:tcW w:w="3119" w:type="dxa"/>
          </w:tcPr>
          <w:p>
            <w:pPr>
              <w:pStyle w:val="nTable"/>
              <w:rPr>
                <w:i/>
                <w:sz w:val="19"/>
              </w:rPr>
            </w:pPr>
            <w:r>
              <w:rPr>
                <w:i/>
                <w:sz w:val="19"/>
              </w:rPr>
              <w:t>District Court (Fees) Amendment Regulations 2003</w:t>
            </w:r>
          </w:p>
        </w:tc>
        <w:tc>
          <w:tcPr>
            <w:tcW w:w="1276" w:type="dxa"/>
          </w:tcPr>
          <w:p>
            <w:pPr>
              <w:pStyle w:val="nTable"/>
              <w:rPr>
                <w:sz w:val="19"/>
              </w:rPr>
            </w:pPr>
            <w:r>
              <w:rPr>
                <w:sz w:val="19"/>
              </w:rPr>
              <w:t>30 Dec 2003 p. 5702-9</w:t>
            </w:r>
          </w:p>
        </w:tc>
        <w:tc>
          <w:tcPr>
            <w:tcW w:w="2693" w:type="dxa"/>
          </w:tcPr>
          <w:p>
            <w:pPr>
              <w:pStyle w:val="nTable"/>
              <w:rPr>
                <w:sz w:val="19"/>
              </w:rPr>
            </w:pPr>
            <w:r>
              <w:rPr>
                <w:sz w:val="19"/>
              </w:rPr>
              <w:t>1 Jan 2004 (see r. 2)</w:t>
            </w:r>
          </w:p>
        </w:tc>
      </w:tr>
      <w:tr>
        <w:tc>
          <w:tcPr>
            <w:tcW w:w="3119" w:type="dxa"/>
          </w:tcPr>
          <w:p>
            <w:pPr>
              <w:pStyle w:val="nTable"/>
              <w:rPr>
                <w:i/>
                <w:sz w:val="19"/>
              </w:rPr>
            </w:pPr>
            <w:r>
              <w:rPr>
                <w:i/>
              </w:rPr>
              <w:t>District Court (Fees) Amendment Regulations 2005 </w:t>
            </w:r>
            <w:r>
              <w:rPr>
                <w:i/>
                <w:vertAlign w:val="superscript"/>
              </w:rPr>
              <w:t>2</w:t>
            </w:r>
          </w:p>
        </w:tc>
        <w:tc>
          <w:tcPr>
            <w:tcW w:w="1276" w:type="dxa"/>
          </w:tcPr>
          <w:p>
            <w:pPr>
              <w:pStyle w:val="nTable"/>
              <w:rPr>
                <w:sz w:val="19"/>
              </w:rPr>
            </w:pPr>
            <w:r>
              <w:t>28 Apr 2005 p. 1751-7</w:t>
            </w:r>
          </w:p>
        </w:tc>
        <w:tc>
          <w:tcPr>
            <w:tcW w:w="2693" w:type="dxa"/>
          </w:tcPr>
          <w:p>
            <w:pPr>
              <w:pStyle w:val="nTable"/>
              <w:rPr>
                <w:sz w:val="19"/>
              </w:rPr>
            </w:pPr>
            <w:r>
              <w:t xml:space="preserve">1 May 2005 (see r. 2 and </w:t>
            </w:r>
            <w:r>
              <w:rPr>
                <w:i/>
                <w:iCs/>
              </w:rPr>
              <w:t>Gazette</w:t>
            </w:r>
            <w:r>
              <w:t xml:space="preserve"> 31 Dec 2004 p. 7128)</w:t>
            </w:r>
          </w:p>
        </w:tc>
      </w:tr>
      <w:tr>
        <w:tc>
          <w:tcPr>
            <w:tcW w:w="3119" w:type="dxa"/>
            <w:tcBorders>
              <w:bottom w:val="single" w:sz="8" w:space="0" w:color="auto"/>
            </w:tcBorders>
          </w:tcPr>
          <w:p>
            <w:pPr>
              <w:pStyle w:val="nTable"/>
              <w:rPr>
                <w:i/>
              </w:rPr>
            </w:pPr>
            <w:r>
              <w:rPr>
                <w:i/>
              </w:rPr>
              <w:t>District Court (Fees) Amendment Regulations (No. 2) 2005</w:t>
            </w:r>
          </w:p>
        </w:tc>
        <w:tc>
          <w:tcPr>
            <w:tcW w:w="1276" w:type="dxa"/>
            <w:tcBorders>
              <w:bottom w:val="single" w:sz="8" w:space="0" w:color="auto"/>
            </w:tcBorders>
          </w:tcPr>
          <w:p>
            <w:pPr>
              <w:pStyle w:val="nTable"/>
            </w:pPr>
            <w:r>
              <w:t>23 Jun 2005 p. 2690-2</w:t>
            </w:r>
          </w:p>
        </w:tc>
        <w:tc>
          <w:tcPr>
            <w:tcW w:w="2693" w:type="dxa"/>
            <w:tcBorders>
              <w:bottom w:val="single" w:sz="8" w:space="0" w:color="auto"/>
            </w:tcBorders>
          </w:tcPr>
          <w:p>
            <w:pPr>
              <w:pStyle w:val="nTable"/>
            </w:pPr>
            <w:r>
              <w:t>1 Jul 2005 (see r. 2)</w:t>
            </w:r>
          </w:p>
        </w:tc>
      </w:tr>
    </w:tbl>
    <w:p>
      <w:pPr>
        <w:pStyle w:val="nSubsection"/>
        <w:rPr>
          <w:iCs/>
        </w:rPr>
      </w:pPr>
      <w:r>
        <w:rPr>
          <w:vertAlign w:val="superscript"/>
        </w:rPr>
        <w:t>2</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4408"/>
    <w:docVar w:name="WAFER_20151216144408" w:val="RemoveTrackChanges"/>
    <w:docVar w:name="WAFER_20151216144408_GUID" w:val="c1c7eea5-c8af-4698-a941-80e4200974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5900</Words>
  <Characters>31214</Characters>
  <Application>Microsoft Office Word</Application>
  <DocSecurity>0</DocSecurity>
  <Lines>1357</Lines>
  <Paragraphs>713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2002 - 00-a0-04</dc:title>
  <dc:subject/>
  <dc:creator/>
  <cp:keywords/>
  <dc:description/>
  <cp:lastModifiedBy>svcMRProcess</cp:lastModifiedBy>
  <cp:revision>4</cp:revision>
  <cp:lastPrinted>2001-12-27T06:58:00Z</cp:lastPrinted>
  <dcterms:created xsi:type="dcterms:W3CDTF">2015-12-16T10:06:00Z</dcterms:created>
  <dcterms:modified xsi:type="dcterms:W3CDTF">2015-12-16T10:06:00Z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20050701</vt:lpwstr>
  </property>
  <property fmtid="{D5CDD505-2E9C-101B-9397-08002B2CF9AE}" pid="4" name="DocumentType">
    <vt:lpwstr>Reg</vt:lpwstr>
  </property>
  <property fmtid="{D5CDD505-2E9C-101B-9397-08002B2CF9AE}" pid="5" name="OwlsUID">
    <vt:i4>3577</vt:i4>
  </property>
  <property fmtid="{D5CDD505-2E9C-101B-9397-08002B2CF9AE}" pid="6" name="AsAtDate">
    <vt:lpwstr>01 Jul 2005</vt:lpwstr>
  </property>
  <property fmtid="{D5CDD505-2E9C-101B-9397-08002B2CF9AE}" pid="7" name="Suffix">
    <vt:lpwstr>00-a0-04</vt:lpwstr>
  </property>
</Properties>
</file>