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Weapons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Weapons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_Toc468113115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_Toc468113116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_Toc468113117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_Toc468113118 \h </w:instrText>
      </w:r>
      <w:r>
        <w:fldChar w:fldCharType="separate"/>
      </w:r>
      <w:r>
        <w:t>2</w:t>
      </w:r>
      <w:r>
        <w:fldChar w:fldCharType="end"/>
      </w:r>
    </w:p>
    <w:p>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_Toc468113119 \h </w:instrText>
      </w:r>
      <w:r>
        <w:fldChar w:fldCharType="separate"/>
      </w:r>
      <w:r>
        <w:t>2</w:t>
      </w:r>
      <w:r>
        <w:fldChar w:fldCharType="end"/>
      </w:r>
    </w:p>
    <w:p>
      <w:pPr>
        <w:pStyle w:val="TOC8"/>
        <w:rPr>
          <w:rFonts w:asciiTheme="minorHAnsi" w:eastAsiaTheme="minorEastAsia" w:hAnsiTheme="minorHAnsi" w:cstheme="minorBidi"/>
          <w:szCs w:val="22"/>
        </w:rPr>
      </w:pPr>
      <w:r>
        <w:t>6.</w:t>
      </w:r>
      <w:r>
        <w:tab/>
        <w:t>Briefcase etc. giving electric shock prescribed (Act s. 7(3) and (4))</w:t>
      </w:r>
      <w:r>
        <w:tab/>
      </w:r>
      <w:r>
        <w:fldChar w:fldCharType="begin"/>
      </w:r>
      <w:r>
        <w:instrText xml:space="preserve"> PAGEREF _Toc468113120 \h </w:instrText>
      </w:r>
      <w:r>
        <w:fldChar w:fldCharType="separate"/>
      </w:r>
      <w:r>
        <w:t>2</w:t>
      </w:r>
      <w:r>
        <w:fldChar w:fldCharType="end"/>
      </w:r>
    </w:p>
    <w:p>
      <w:pPr>
        <w:pStyle w:val="TOC8"/>
        <w:rPr>
          <w:rFonts w:asciiTheme="minorHAnsi" w:eastAsiaTheme="minorEastAsia" w:hAnsiTheme="minorHAnsi" w:cstheme="minorBidi"/>
          <w:szCs w:val="22"/>
        </w:rPr>
      </w:pPr>
      <w:r>
        <w:t>7.</w:t>
      </w:r>
      <w:r>
        <w:tab/>
        <w:t>Oleoresin capsicum spray weapon prescribed (Act s. 7(3) and (4))</w:t>
      </w:r>
      <w:r>
        <w:tab/>
      </w:r>
      <w:r>
        <w:fldChar w:fldCharType="begin"/>
      </w:r>
      <w:r>
        <w:instrText xml:space="preserve"> PAGEREF _Toc468113121 \h </w:instrText>
      </w:r>
      <w:r>
        <w:fldChar w:fldCharType="separate"/>
      </w:r>
      <w:r>
        <w:t>3</w:t>
      </w:r>
      <w:r>
        <w:fldChar w:fldCharType="end"/>
      </w:r>
    </w:p>
    <w:p>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_Toc468113122 \h </w:instrText>
      </w:r>
      <w:r>
        <w:fldChar w:fldCharType="separate"/>
      </w:r>
      <w:r>
        <w:t>3</w:t>
      </w:r>
      <w:r>
        <w:fldChar w:fldCharType="end"/>
      </w:r>
    </w:p>
    <w:p>
      <w:pPr>
        <w:pStyle w:val="TOC8"/>
        <w:rPr>
          <w:rFonts w:asciiTheme="minorHAnsi" w:eastAsiaTheme="minorEastAsia" w:hAnsiTheme="minorHAnsi" w:cstheme="minorBidi"/>
          <w:szCs w:val="22"/>
        </w:rPr>
      </w:pPr>
      <w:r>
        <w:t>9.</w:t>
      </w:r>
      <w:r>
        <w:tab/>
        <w:t>Collectors of prohibited weapons, exceptions of from Act s. 6(1)(a)-(c)</w:t>
      </w:r>
      <w:r>
        <w:tab/>
      </w:r>
      <w:r>
        <w:fldChar w:fldCharType="begin"/>
      </w:r>
      <w:r>
        <w:instrText xml:space="preserve"> PAGEREF _Toc468113123 \h </w:instrText>
      </w:r>
      <w:r>
        <w:fldChar w:fldCharType="separate"/>
      </w:r>
      <w:r>
        <w:t>5</w:t>
      </w:r>
      <w:r>
        <w:fldChar w:fldCharType="end"/>
      </w:r>
    </w:p>
    <w:p>
      <w:pPr>
        <w:pStyle w:val="TOC8"/>
        <w:rPr>
          <w:rFonts w:asciiTheme="minorHAnsi" w:eastAsiaTheme="minorEastAsia" w:hAnsiTheme="minorHAnsi" w:cstheme="minorBidi"/>
          <w:szCs w:val="22"/>
        </w:rPr>
      </w:pPr>
      <w:r>
        <w:t>10.</w:t>
      </w:r>
      <w:r>
        <w:tab/>
        <w:t>Prison officers etc. excepted from Act s. 6-8</w:t>
      </w:r>
      <w:r>
        <w:tab/>
      </w:r>
      <w:r>
        <w:fldChar w:fldCharType="begin"/>
      </w:r>
      <w:r>
        <w:instrText xml:space="preserve"> PAGEREF _Toc468113124 \h </w:instrText>
      </w:r>
      <w:r>
        <w:fldChar w:fldCharType="separate"/>
      </w:r>
      <w:r>
        <w:t>6</w:t>
      </w:r>
      <w:r>
        <w:fldChar w:fldCharType="end"/>
      </w:r>
    </w:p>
    <w:p>
      <w:pPr>
        <w:pStyle w:val="TOC8"/>
        <w:rPr>
          <w:rFonts w:asciiTheme="minorHAnsi" w:eastAsiaTheme="minorEastAsia" w:hAnsiTheme="minorHAnsi" w:cstheme="minorBidi"/>
          <w:szCs w:val="22"/>
        </w:rPr>
      </w:pPr>
      <w:r>
        <w:t>11.</w:t>
      </w:r>
      <w:r>
        <w:tab/>
        <w:t>Blow pipes, certain people excepted from Act s. 6 as to</w:t>
      </w:r>
      <w:r>
        <w:tab/>
      </w:r>
      <w:r>
        <w:fldChar w:fldCharType="begin"/>
      </w:r>
      <w:r>
        <w:instrText xml:space="preserve"> PAGEREF _Toc468113125 \h </w:instrText>
      </w:r>
      <w:r>
        <w:fldChar w:fldCharType="separate"/>
      </w:r>
      <w:r>
        <w:t>7</w:t>
      </w:r>
      <w:r>
        <w:fldChar w:fldCharType="end"/>
      </w:r>
    </w:p>
    <w:p>
      <w:pPr>
        <w:pStyle w:val="TOC8"/>
        <w:rPr>
          <w:rFonts w:asciiTheme="minorHAnsi" w:eastAsiaTheme="minorEastAsia" w:hAnsiTheme="minorHAnsi" w:cstheme="minorBidi"/>
          <w:szCs w:val="22"/>
        </w:rPr>
      </w:pPr>
      <w:r>
        <w:t>12.</w:t>
      </w:r>
      <w:r>
        <w:tab/>
        <w:t>Federal and interstate police officers excepted from Act s. 6-8</w:t>
      </w:r>
      <w:r>
        <w:tab/>
      </w:r>
      <w:r>
        <w:fldChar w:fldCharType="begin"/>
      </w:r>
      <w:r>
        <w:instrText xml:space="preserve"> PAGEREF _Toc468113126 \h </w:instrText>
      </w:r>
      <w:r>
        <w:fldChar w:fldCharType="separate"/>
      </w:r>
      <w:r>
        <w:t>8</w:t>
      </w:r>
      <w:r>
        <w:fldChar w:fldCharType="end"/>
      </w:r>
    </w:p>
    <w:p>
      <w:pPr>
        <w:pStyle w:val="TOC8"/>
        <w:rPr>
          <w:rFonts w:asciiTheme="minorHAnsi" w:eastAsiaTheme="minorEastAsia" w:hAnsiTheme="minorHAnsi" w:cstheme="minorBidi"/>
          <w:szCs w:val="22"/>
        </w:rPr>
      </w:pPr>
      <w:r>
        <w:t>13.</w:t>
      </w:r>
      <w:r>
        <w:tab/>
        <w:t>Dramatic productions, exceptions from Act s. 6 for people connected with</w:t>
      </w:r>
      <w:r>
        <w:tab/>
      </w:r>
      <w:r>
        <w:fldChar w:fldCharType="begin"/>
      </w:r>
      <w:r>
        <w:instrText xml:space="preserve"> PAGEREF _Toc468113127 \h </w:instrText>
      </w:r>
      <w:r>
        <w:fldChar w:fldCharType="separate"/>
      </w:r>
      <w:r>
        <w:t>8</w:t>
      </w:r>
      <w:r>
        <w:fldChar w:fldCharType="end"/>
      </w:r>
    </w:p>
    <w:p>
      <w:pPr>
        <w:pStyle w:val="TOC8"/>
        <w:rPr>
          <w:rFonts w:asciiTheme="minorHAnsi" w:eastAsiaTheme="minorEastAsia" w:hAnsiTheme="minorHAnsi" w:cstheme="minorBidi"/>
          <w:szCs w:val="22"/>
        </w:rPr>
      </w:pPr>
      <w:r>
        <w:t>14.</w:t>
      </w:r>
      <w:r>
        <w:tab/>
        <w:t>Crossbows for competitions etc., excepting people from Act s. 6 in relation to</w:t>
      </w:r>
      <w:r>
        <w:tab/>
      </w:r>
      <w:r>
        <w:fldChar w:fldCharType="begin"/>
      </w:r>
      <w:r>
        <w:instrText xml:space="preserve"> PAGEREF _Toc468113128 \h </w:instrText>
      </w:r>
      <w:r>
        <w:fldChar w:fldCharType="separate"/>
      </w:r>
      <w:r>
        <w:t>10</w:t>
      </w:r>
      <w:r>
        <w:fldChar w:fldCharType="end"/>
      </w:r>
    </w:p>
    <w:p>
      <w:pPr>
        <w:pStyle w:val="TOC8"/>
        <w:rPr>
          <w:rFonts w:asciiTheme="minorHAnsi" w:eastAsiaTheme="minorEastAsia" w:hAnsiTheme="minorHAnsi" w:cstheme="minorBidi"/>
          <w:szCs w:val="22"/>
        </w:rPr>
      </w:pPr>
      <w:r>
        <w:t>15.</w:t>
      </w:r>
      <w:r>
        <w:tab/>
        <w:t>Crossbows for occupational purposes, excepting people from Act s. 6(1)(a)-(c) in relation to</w:t>
      </w:r>
      <w:r>
        <w:tab/>
      </w:r>
      <w:r>
        <w:fldChar w:fldCharType="begin"/>
      </w:r>
      <w:r>
        <w:instrText xml:space="preserve"> PAGEREF _Toc468113129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Prohibited weapons</w:t>
      </w:r>
    </w:p>
    <w:p>
      <w:pPr>
        <w:pStyle w:val="TOC2"/>
        <w:tabs>
          <w:tab w:val="right" w:leader="dot" w:pos="7077"/>
        </w:tabs>
        <w:rPr>
          <w:rFonts w:asciiTheme="minorHAnsi" w:eastAsiaTheme="minorEastAsia" w:hAnsiTheme="minorHAnsi" w:cstheme="minorBidi"/>
          <w:b w:val="0"/>
          <w:sz w:val="22"/>
          <w:szCs w:val="22"/>
        </w:rPr>
      </w:pPr>
      <w:r>
        <w:t>Schedule 2 — Controlled weapons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_Toc468113133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3" w:name="_Toc379277864"/>
      <w:bookmarkStart w:id="4" w:name="_Toc425248161"/>
      <w:bookmarkStart w:id="5" w:name="_Toc468113115"/>
      <w:r>
        <w:rPr>
          <w:rStyle w:val="CharSectno"/>
        </w:rPr>
        <w:t>1</w:t>
      </w:r>
      <w:r>
        <w:t>.</w:t>
      </w:r>
      <w:r>
        <w:tab/>
        <w:t>Citation</w:t>
      </w:r>
      <w:bookmarkEnd w:id="3"/>
      <w:bookmarkEnd w:id="4"/>
      <w:bookmarkEnd w:id="5"/>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6" w:name="_Toc379277865"/>
      <w:bookmarkStart w:id="7" w:name="_Toc425248162"/>
      <w:bookmarkStart w:id="8" w:name="_Toc468113116"/>
      <w:r>
        <w:rPr>
          <w:rStyle w:val="CharSectno"/>
        </w:rPr>
        <w:t>2</w:t>
      </w:r>
      <w:r>
        <w:t>.</w:t>
      </w:r>
      <w:r>
        <w:tab/>
        <w:t>Commencement</w:t>
      </w:r>
      <w:bookmarkEnd w:id="6"/>
      <w:bookmarkEnd w:id="7"/>
      <w:bookmarkEnd w:id="8"/>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9" w:name="_Toc379277866"/>
      <w:bookmarkStart w:id="10" w:name="_Toc425248163"/>
      <w:bookmarkStart w:id="11" w:name="_Toc468113117"/>
      <w:r>
        <w:rPr>
          <w:rStyle w:val="CharSectno"/>
        </w:rPr>
        <w:t>3</w:t>
      </w:r>
      <w:r>
        <w:t>.</w:t>
      </w:r>
      <w:r>
        <w:tab/>
        <w:t>Terms used</w:t>
      </w:r>
      <w:bookmarkEnd w:id="9"/>
      <w:bookmarkEnd w:id="10"/>
      <w:bookmarkEnd w:id="11"/>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referred to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catapult</w:t>
      </w:r>
      <w:r>
        <w:t xml:space="preserve"> includes a ging, shanghai or slingshot;</w:t>
      </w:r>
    </w:p>
    <w:p>
      <w:pPr>
        <w:pStyle w:val="Defstart"/>
      </w:pPr>
      <w:r>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Heading5"/>
      </w:pPr>
      <w:bookmarkStart w:id="12" w:name="_Toc379277867"/>
      <w:bookmarkStart w:id="13" w:name="_Toc425248164"/>
      <w:bookmarkStart w:id="14" w:name="_Toc468113118"/>
      <w:r>
        <w:rPr>
          <w:rStyle w:val="CharSectno"/>
        </w:rPr>
        <w:t>4</w:t>
      </w:r>
      <w:r>
        <w:t>.</w:t>
      </w:r>
      <w:r>
        <w:tab/>
        <w:t>Prohibited weapons prescribed (Act s. 3) (Sch. 1)</w:t>
      </w:r>
      <w:bookmarkEnd w:id="12"/>
      <w:bookmarkEnd w:id="13"/>
      <w:bookmarkEnd w:id="14"/>
    </w:p>
    <w:p>
      <w:pPr>
        <w:pStyle w:val="Subsection"/>
      </w:pPr>
      <w:r>
        <w:tab/>
      </w:r>
      <w:r>
        <w:tab/>
        <w:t>An article described in the third column of Schedule 1 is prescribed to be a prohibited weapon.</w:t>
      </w:r>
    </w:p>
    <w:p>
      <w:pPr>
        <w:pStyle w:val="Heading5"/>
      </w:pPr>
      <w:bookmarkStart w:id="15" w:name="_Toc379277868"/>
      <w:bookmarkStart w:id="16" w:name="_Toc425248165"/>
      <w:bookmarkStart w:id="17" w:name="_Toc468113119"/>
      <w:r>
        <w:rPr>
          <w:rStyle w:val="CharSectno"/>
        </w:rPr>
        <w:t>5</w:t>
      </w:r>
      <w:r>
        <w:t>.</w:t>
      </w:r>
      <w:r>
        <w:tab/>
        <w:t>Controlled weapons prescribed (Act s. 3) (Sch. 2)</w:t>
      </w:r>
      <w:bookmarkEnd w:id="15"/>
      <w:bookmarkEnd w:id="16"/>
      <w:bookmarkEnd w:id="17"/>
    </w:p>
    <w:p>
      <w:pPr>
        <w:pStyle w:val="Subsection"/>
      </w:pPr>
      <w:r>
        <w:tab/>
      </w:r>
      <w:r>
        <w:tab/>
        <w:t>An article described in the third column of Schedule 2 is prescribed to be a controlled weapon.</w:t>
      </w:r>
    </w:p>
    <w:p>
      <w:pPr>
        <w:pStyle w:val="Heading5"/>
      </w:pPr>
      <w:bookmarkStart w:id="18" w:name="_Toc379277869"/>
      <w:bookmarkStart w:id="19" w:name="_Toc425248166"/>
      <w:bookmarkStart w:id="20" w:name="_Toc468113120"/>
      <w:r>
        <w:rPr>
          <w:rStyle w:val="CharSectno"/>
        </w:rPr>
        <w:t>6</w:t>
      </w:r>
      <w:r>
        <w:t>.</w:t>
      </w:r>
      <w:r>
        <w:tab/>
        <w:t>Briefcase etc. giving electric shock prescribed (Act s. 7(3) and (4))</w:t>
      </w:r>
      <w:bookmarkEnd w:id="18"/>
      <w:bookmarkEnd w:id="19"/>
      <w:bookmarkEnd w:id="20"/>
    </w:p>
    <w:p>
      <w:pPr>
        <w:pStyle w:val="Subsection"/>
      </w:pPr>
      <w:r>
        <w:tab/>
        <w:t>(1)</w:t>
      </w:r>
      <w:r>
        <w:tab/>
        <w:t>A briefcase or suitcase —</w:t>
      </w:r>
    </w:p>
    <w:p>
      <w:pPr>
        <w:pStyle w:val="Indenta"/>
      </w:pPr>
      <w:r>
        <w:tab/>
        <w:t>(a)</w:t>
      </w:r>
      <w:r>
        <w:tab/>
        <w:t>made or modified to discharge an electric current so as to deter the theft of the case; and</w:t>
      </w:r>
    </w:p>
    <w:p>
      <w:pPr>
        <w:pStyle w:val="Indenta"/>
        <w:keepNext/>
      </w:pPr>
      <w:r>
        <w:tab/>
        <w:t>(b)</w:t>
      </w:r>
      <w:r>
        <w:tab/>
        <w:t xml:space="preserve">that is, or is of a standard or type that is, approved by the Minister, for the purposes of this regulation, by notice in the </w:t>
      </w:r>
      <w:r>
        <w:rPr>
          <w:i/>
        </w:rPr>
        <w:t>Government Gazette</w:t>
      </w:r>
      <w:r>
        <w:t>,</w:t>
      </w:r>
    </w:p>
    <w:p>
      <w:pPr>
        <w:pStyle w:val="Subsection"/>
      </w:pPr>
      <w:r>
        <w:tab/>
      </w:r>
      <w:r>
        <w:tab/>
        <w:t>is prescribed for the purposes of section 7(4) of the Act.</w:t>
      </w:r>
    </w:p>
    <w:p>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pPr>
        <w:pStyle w:val="Heading5"/>
      </w:pPr>
      <w:bookmarkStart w:id="21" w:name="_Toc379277870"/>
      <w:bookmarkStart w:id="22" w:name="_Toc425248167"/>
      <w:bookmarkStart w:id="23" w:name="_Toc468113121"/>
      <w:r>
        <w:rPr>
          <w:rStyle w:val="CharSectno"/>
        </w:rPr>
        <w:t>7</w:t>
      </w:r>
      <w:r>
        <w:t>.</w:t>
      </w:r>
      <w:r>
        <w:tab/>
        <w:t>Oleoresin capsicum spray weapon prescribed (Act s. 7(3) and (4))</w:t>
      </w:r>
      <w:bookmarkEnd w:id="21"/>
      <w:bookmarkEnd w:id="22"/>
      <w:bookmarkEnd w:id="23"/>
    </w:p>
    <w:p>
      <w:pPr>
        <w:pStyle w:val="Subsection"/>
      </w:pPr>
      <w:r>
        <w:tab/>
        <w:t>(1)</w:t>
      </w:r>
      <w:r>
        <w:tab/>
        <w:t>A spray weapon made or modified to be used to discharge oleoresin capsicum is prescribed for the purposes of section 7(4) of the Act.</w:t>
      </w:r>
    </w:p>
    <w:p>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pPr>
        <w:pStyle w:val="Heading5"/>
      </w:pPr>
      <w:bookmarkStart w:id="24" w:name="_Toc379277871"/>
      <w:bookmarkStart w:id="25" w:name="_Toc425248168"/>
      <w:bookmarkStart w:id="26" w:name="_Toc468113122"/>
      <w:r>
        <w:rPr>
          <w:rStyle w:val="CharSectno"/>
        </w:rPr>
        <w:t>8</w:t>
      </w:r>
      <w:r>
        <w:t>.</w:t>
      </w:r>
      <w:r>
        <w:tab/>
        <w:t>Circumstances prescribed (Act s. 10(3))</w:t>
      </w:r>
      <w:bookmarkEnd w:id="24"/>
      <w:bookmarkEnd w:id="25"/>
      <w:bookmarkEnd w:id="26"/>
    </w:p>
    <w:p>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in Gazette 29 Feb 2000 p. 997</w:t>
      </w:r>
      <w:r>
        <w:noBreakHyphen/>
        <w:t>8; amended in Gazette 9 Jun 2000 p. 2774; 12 Sep 2006 p. 3665</w:t>
      </w:r>
      <w:r>
        <w:noBreakHyphen/>
        <w:t>6.]</w:t>
      </w:r>
    </w:p>
    <w:p>
      <w:pPr>
        <w:pStyle w:val="Heading5"/>
      </w:pPr>
      <w:bookmarkStart w:id="27" w:name="_Toc379277872"/>
      <w:bookmarkStart w:id="28" w:name="_Toc425248169"/>
      <w:bookmarkStart w:id="29" w:name="_Toc468113123"/>
      <w:r>
        <w:rPr>
          <w:rStyle w:val="CharSectno"/>
        </w:rPr>
        <w:t>9</w:t>
      </w:r>
      <w:r>
        <w:t>.</w:t>
      </w:r>
      <w:r>
        <w:tab/>
        <w:t>Collectors of prohibited weapons, exceptions of from Act s. 6(1)(a)-(c)</w:t>
      </w:r>
      <w:bookmarkEnd w:id="27"/>
      <w:bookmarkEnd w:id="28"/>
      <w:bookmarkEnd w:id="29"/>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in Gazette 10 Mar 2000 p. 1122</w:t>
      </w:r>
      <w:r>
        <w:noBreakHyphen/>
        <w:t>3; amended in Gazette 8 Apr 2011 p. 1282</w:t>
      </w:r>
      <w:r>
        <w:noBreakHyphen/>
        <w:t>3.]</w:t>
      </w:r>
    </w:p>
    <w:p>
      <w:pPr>
        <w:pStyle w:val="Heading5"/>
        <w:spacing w:before="180"/>
      </w:pPr>
      <w:bookmarkStart w:id="30" w:name="_Toc379277873"/>
      <w:bookmarkStart w:id="31" w:name="_Toc425248170"/>
      <w:bookmarkStart w:id="32" w:name="_Toc468113124"/>
      <w:r>
        <w:rPr>
          <w:rStyle w:val="CharSectno"/>
        </w:rPr>
        <w:t>10</w:t>
      </w:r>
      <w:r>
        <w:t>.</w:t>
      </w:r>
      <w:r>
        <w:tab/>
        <w:t>Prison officers etc. excepted from Act s. 6-8</w:t>
      </w:r>
      <w:bookmarkEnd w:id="30"/>
      <w:bookmarkEnd w:id="31"/>
      <w:bookmarkEnd w:id="32"/>
    </w:p>
    <w:p>
      <w:pPr>
        <w:pStyle w:val="Subsection"/>
        <w:spacing w:before="120"/>
      </w:pPr>
      <w:r>
        <w:tab/>
      </w:r>
      <w:r>
        <w:tab/>
        <w:t>A person does not commit an offence under section 6,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in Gazette 28 Jul 2000 p. 4027.]</w:t>
      </w:r>
    </w:p>
    <w:p>
      <w:pPr>
        <w:pStyle w:val="Heading5"/>
      </w:pPr>
      <w:bookmarkStart w:id="33" w:name="_Toc379277874"/>
      <w:bookmarkStart w:id="34" w:name="_Toc425248171"/>
      <w:bookmarkStart w:id="35" w:name="_Toc468113125"/>
      <w:r>
        <w:rPr>
          <w:rStyle w:val="CharSectno"/>
        </w:rPr>
        <w:t>11</w:t>
      </w:r>
      <w:r>
        <w:t>.</w:t>
      </w:r>
      <w:r>
        <w:tab/>
        <w:t>Blow pipes, certain people excepted from Act s. 6 as to</w:t>
      </w:r>
      <w:bookmarkEnd w:id="33"/>
      <w:bookmarkEnd w:id="34"/>
      <w:bookmarkEnd w:id="35"/>
    </w:p>
    <w:p>
      <w:pPr>
        <w:pStyle w:val="Subsection"/>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in Gazette 29 Feb 2008 p. 693.]</w:t>
      </w:r>
    </w:p>
    <w:p>
      <w:pPr>
        <w:pStyle w:val="Heading5"/>
      </w:pPr>
      <w:bookmarkStart w:id="36" w:name="_Toc379277875"/>
      <w:bookmarkStart w:id="37" w:name="_Toc425248172"/>
      <w:bookmarkStart w:id="38" w:name="_Toc468113126"/>
      <w:r>
        <w:rPr>
          <w:rStyle w:val="CharSectno"/>
        </w:rPr>
        <w:t>12</w:t>
      </w:r>
      <w:r>
        <w:t>.</w:t>
      </w:r>
      <w:r>
        <w:tab/>
        <w:t>Federal and interstate police officers excepted from</w:t>
      </w:r>
      <w:r>
        <w:br/>
        <w:t>Act s. 6-8</w:t>
      </w:r>
      <w:bookmarkEnd w:id="36"/>
      <w:bookmarkEnd w:id="37"/>
      <w:bookmarkEnd w:id="38"/>
    </w:p>
    <w:p>
      <w:pPr>
        <w:pStyle w:val="Subsection"/>
      </w:pPr>
      <w:r>
        <w:tab/>
      </w:r>
      <w:r>
        <w:tab/>
        <w:t>A person does not commit an offence under section 6,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place">
        <w:smartTag w:uri="urn:schemas-microsoft-com:office:smarttags" w:element="State">
          <w:r>
            <w:t>Northern Territory</w:t>
          </w:r>
        </w:smartTag>
      </w:smartTag>
      <w:r>
        <w:t xml:space="preserve"> under the </w:t>
      </w:r>
      <w:r>
        <w:rPr>
          <w:i/>
        </w:rPr>
        <w:t>Cross</w:t>
      </w:r>
      <w:r>
        <w:rPr>
          <w:i/>
        </w:rPr>
        <w:noBreakHyphen/>
        <w:t>border Justice Act 2008</w:t>
      </w:r>
      <w:r>
        <w:t xml:space="preserve"> section 7(1).</w:t>
      </w:r>
    </w:p>
    <w:p>
      <w:pPr>
        <w:pStyle w:val="Footnotesection"/>
      </w:pPr>
      <w:r>
        <w:tab/>
        <w:t>[Regulation 12 inserted in Gazette 12 Mar 2010 p. 953.]</w:t>
      </w:r>
    </w:p>
    <w:p>
      <w:pPr>
        <w:pStyle w:val="Heading5"/>
      </w:pPr>
      <w:bookmarkStart w:id="39" w:name="_Toc379277876"/>
      <w:bookmarkStart w:id="40" w:name="_Toc425248173"/>
      <w:bookmarkStart w:id="41" w:name="_Toc468113127"/>
      <w:r>
        <w:rPr>
          <w:rStyle w:val="CharSectno"/>
        </w:rPr>
        <w:t>13</w:t>
      </w:r>
      <w:r>
        <w:t>.</w:t>
      </w:r>
      <w:r>
        <w:tab/>
        <w:t>Dramatic productions, exceptions from Act s. 6 for people connected with</w:t>
      </w:r>
      <w:bookmarkEnd w:id="39"/>
      <w:bookmarkEnd w:id="40"/>
      <w:bookmarkEnd w:id="41"/>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in Gazette 8 Apr 2011 p. 1283</w:t>
      </w:r>
      <w:r>
        <w:noBreakHyphen/>
        <w:t>4.]</w:t>
      </w:r>
    </w:p>
    <w:p>
      <w:pPr>
        <w:pStyle w:val="Heading5"/>
      </w:pPr>
      <w:bookmarkStart w:id="42" w:name="_Toc379277877"/>
      <w:bookmarkStart w:id="43" w:name="_Toc425248174"/>
      <w:bookmarkStart w:id="44" w:name="_Toc468113128"/>
      <w:r>
        <w:rPr>
          <w:rStyle w:val="CharSectno"/>
        </w:rPr>
        <w:t>14</w:t>
      </w:r>
      <w:r>
        <w:t>.</w:t>
      </w:r>
      <w:r>
        <w:tab/>
        <w:t>Crossbows for competitions etc., excepting people from Act s. 6 in relation to</w:t>
      </w:r>
      <w:bookmarkEnd w:id="42"/>
      <w:bookmarkEnd w:id="43"/>
      <w:bookmarkEnd w:id="44"/>
    </w:p>
    <w:p>
      <w:pPr>
        <w:pStyle w:val="Subsection"/>
      </w:pPr>
      <w:r>
        <w:tab/>
        <w:t>(1)</w:t>
      </w:r>
      <w:r>
        <w:tab/>
        <w:t xml:space="preserve">In this regulation — </w:t>
      </w:r>
    </w:p>
    <w:p>
      <w:pPr>
        <w:pStyle w:val="Defstart"/>
      </w:pPr>
      <w:r>
        <w:tab/>
      </w:r>
      <w:r>
        <w:rPr>
          <w:rStyle w:val="CharDefText"/>
        </w:rPr>
        <w:t xml:space="preserve">Archery </w:t>
      </w:r>
      <w:smartTag w:uri="urn:schemas-microsoft-com:office:smarttags" w:element="place">
        <w:smartTag w:uri="urn:schemas-microsoft-com:office:smarttags" w:element="PlaceName">
          <w:r>
            <w:rPr>
              <w:rStyle w:val="CharDefText"/>
            </w:rPr>
            <w:t>Australia</w:t>
          </w:r>
        </w:smartTag>
      </w:smartTag>
      <w:r>
        <w:rPr>
          <w:rStyle w:val="CharDefText"/>
        </w:rPr>
        <w:t xml:space="preserve">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in Gazette 8 Apr 2011 p. 1284</w:t>
      </w:r>
      <w:r>
        <w:noBreakHyphen/>
        <w:t>6.]</w:t>
      </w:r>
    </w:p>
    <w:p>
      <w:pPr>
        <w:pStyle w:val="Heading5"/>
      </w:pPr>
      <w:bookmarkStart w:id="45" w:name="_Toc379277878"/>
      <w:bookmarkStart w:id="46" w:name="_Toc425248175"/>
      <w:bookmarkStart w:id="47" w:name="_Toc468113129"/>
      <w:r>
        <w:rPr>
          <w:rStyle w:val="CharSectno"/>
        </w:rPr>
        <w:t>15</w:t>
      </w:r>
      <w:r>
        <w:t>.</w:t>
      </w:r>
      <w:r>
        <w:tab/>
        <w:t>Crossbows for occupational purposes, excepting people from Act s. 6(1)(a)-(c) in relation to</w:t>
      </w:r>
      <w:bookmarkEnd w:id="45"/>
      <w:bookmarkEnd w:id="46"/>
      <w:bookmarkEnd w:id="47"/>
    </w:p>
    <w:p>
      <w:pPr>
        <w:pStyle w:val="Subsection"/>
      </w:pPr>
      <w:r>
        <w:tab/>
        <w:t>(1)</w:t>
      </w:r>
      <w:r>
        <w:tab/>
        <w:t xml:space="preserve">In this regulation — </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person</w:t>
      </w:r>
      <w:r>
        <w:t xml:space="preserve"> means a person who has been given a notice under subregulation (4) and has not ceased to be an exempt person — </w:t>
      </w:r>
    </w:p>
    <w:p>
      <w:pPr>
        <w:pStyle w:val="Defpara"/>
      </w:pPr>
      <w:r>
        <w:tab/>
        <w:t>(a)</w:t>
      </w:r>
      <w:r>
        <w:tab/>
        <w:t>because of a notice under subregulation (5); or</w:t>
      </w:r>
    </w:p>
    <w:p>
      <w:pPr>
        <w:pStyle w:val="Defpara"/>
      </w:pPr>
      <w:r>
        <w:tab/>
        <w:t>(b)</w:t>
      </w:r>
      <w:r>
        <w:tab/>
        <w:t>because the notice has ceased to have effect under subregulation (6).</w:t>
      </w:r>
    </w:p>
    <w:p>
      <w:pPr>
        <w:pStyle w:val="Subsection"/>
      </w:pPr>
      <w:r>
        <w:tab/>
        <w:t>(2)</w:t>
      </w:r>
      <w:r>
        <w:tab/>
        <w:t>An exempt person who, for the purpose of obtaining a crossbow —</w:t>
      </w:r>
    </w:p>
    <w:p>
      <w:pPr>
        <w:pStyle w:val="Indenta"/>
      </w:pPr>
      <w:r>
        <w:tab/>
        <w:t>(a)</w:t>
      </w:r>
      <w:r>
        <w:tab/>
        <w:t>brings into the State a crossbow; or</w:t>
      </w:r>
    </w:p>
    <w:p>
      <w:pPr>
        <w:pStyle w:val="Indenta"/>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person who, for the purpose of engaging in an activity related to the performance of his or her occupation, carries or possesses a crossbow does not commit an offence under section 6(1)(b) of the Act.</w:t>
      </w:r>
    </w:p>
    <w:p>
      <w:pPr>
        <w:pStyle w:val="Subsection"/>
        <w:keepNext/>
      </w:pPr>
      <w:r>
        <w:tab/>
        <w:t>(4)</w:t>
      </w:r>
      <w:r>
        <w:tab/>
        <w:t xml:space="preserve">If the Minister is satisfied that — </w:t>
      </w:r>
    </w:p>
    <w:p>
      <w:pPr>
        <w:pStyle w:val="Indenta"/>
      </w:pPr>
      <w:r>
        <w:tab/>
        <w:t>(a)</w:t>
      </w:r>
      <w:r>
        <w:tab/>
        <w:t>on or before 1 July 2011 a person used a crossbow for the purpose of engaging in an activity related to the performance of his or her occupation; and</w:t>
      </w:r>
    </w:p>
    <w:p>
      <w:pPr>
        <w:pStyle w:val="Indenta"/>
      </w:pPr>
      <w:r>
        <w:tab/>
        <w:t>(b)</w:t>
      </w:r>
      <w:r>
        <w:tab/>
        <w:t>on or before 1 July 2011 the person possessed a crossbow for the purposes of engaging in that activity; and</w:t>
      </w:r>
    </w:p>
    <w:p>
      <w:pPr>
        <w:pStyle w:val="Indenta"/>
      </w:pPr>
      <w:r>
        <w:tab/>
        <w:t>(c)</w:t>
      </w:r>
      <w:r>
        <w:tab/>
        <w:t>that activity cannot be undertaken by any other practicable means; and</w:t>
      </w:r>
    </w:p>
    <w:p>
      <w:pPr>
        <w:pStyle w:val="Indenta"/>
      </w:pPr>
      <w:r>
        <w:tab/>
        <w:t>(d)</w:t>
      </w:r>
      <w:r>
        <w:tab/>
        <w:t>the person is fit and proper to be an exempt person; and</w:t>
      </w:r>
    </w:p>
    <w:p>
      <w:pPr>
        <w:pStyle w:val="Indenta"/>
      </w:pPr>
      <w:r>
        <w:tab/>
        <w:t>(e)</w:t>
      </w:r>
      <w:r>
        <w:tab/>
        <w:t>adequate arrangements exist to keep each of the person’s crossbows secure,</w:t>
      </w:r>
    </w:p>
    <w:p>
      <w:pPr>
        <w:pStyle w:val="Subsection"/>
      </w:pPr>
      <w:r>
        <w:tab/>
      </w:r>
      <w:r>
        <w:tab/>
        <w:t>the Minister may give to the person written notice that the person is an exempt person.</w:t>
      </w:r>
    </w:p>
    <w:p>
      <w:pPr>
        <w:pStyle w:val="Subsection"/>
      </w:pPr>
      <w:r>
        <w:tab/>
        <w:t>(5)</w:t>
      </w:r>
      <w:r>
        <w:tab/>
        <w:t>If, after giving a notice under subregulation (4), the Minister is no longer satisfied as to any of the circumstances described in that subregulation, the Minister may give to the exempt person written notice that, on a day specified in the notice (being a day that is not less than 30 days after the notice is given), the person ceases to be an exempt person, and the notice has effect accordingly.</w:t>
      </w:r>
    </w:p>
    <w:p>
      <w:pPr>
        <w:pStyle w:val="Subsection"/>
      </w:pPr>
      <w:r>
        <w:tab/>
        <w:t>(6)</w:t>
      </w:r>
      <w:r>
        <w:tab/>
        <w:t xml:space="preserve">A notice given under subregulation (4) has effect for the period (not exceeding 5 years) — </w:t>
      </w:r>
    </w:p>
    <w:p>
      <w:pPr>
        <w:pStyle w:val="Indenta"/>
      </w:pPr>
      <w:r>
        <w:tab/>
        <w:t>(a)</w:t>
      </w:r>
      <w:r>
        <w:tab/>
        <w:t>specified in the notice; and</w:t>
      </w:r>
    </w:p>
    <w:p>
      <w:pPr>
        <w:pStyle w:val="Indenta"/>
      </w:pPr>
      <w:r>
        <w:tab/>
        <w:t>(b)</w:t>
      </w:r>
      <w:r>
        <w:tab/>
        <w:t>beginning on the day specified in the notice.</w:t>
      </w:r>
    </w:p>
    <w:p>
      <w:pPr>
        <w:pStyle w:val="Subsection"/>
      </w:pPr>
      <w:r>
        <w:tab/>
        <w:t>(7)</w:t>
      </w:r>
      <w:r>
        <w:tab/>
        <w:t>The fact that a person has been given a notice under subregulation (4) does not prevent the Minister from giving the person another notice under that subregulation.</w:t>
      </w:r>
    </w:p>
    <w:p>
      <w:pPr>
        <w:pStyle w:val="Subsection"/>
      </w:pPr>
      <w:r>
        <w:tab/>
        <w:t>(8)</w:t>
      </w:r>
      <w:r>
        <w:tab/>
        <w:t>This regulation expires at the end of 30 June 2017.</w:t>
      </w:r>
    </w:p>
    <w:p>
      <w:pPr>
        <w:pStyle w:val="Footnotesection"/>
      </w:pPr>
      <w:r>
        <w:tab/>
        <w:t>[Regulation 15 inserted in Gazette 13 Mar 2012 p. 1038-9.]</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8" w:name="_Toc379277879"/>
      <w:bookmarkStart w:id="49" w:name="_Toc425248138"/>
      <w:bookmarkStart w:id="50" w:name="_Toc425248176"/>
      <w:bookmarkStart w:id="51" w:name="_Toc425248572"/>
      <w:bookmarkStart w:id="52" w:name="_Toc425248605"/>
      <w:bookmarkStart w:id="53" w:name="_Toc468112999"/>
      <w:bookmarkStart w:id="54" w:name="_Toc468113106"/>
      <w:bookmarkStart w:id="55" w:name="_Toc468113130"/>
      <w:r>
        <w:rPr>
          <w:rStyle w:val="CharSchNo"/>
        </w:rPr>
        <w:t>Schedule 1</w:t>
      </w:r>
      <w:r>
        <w:t xml:space="preserve"> — </w:t>
      </w:r>
      <w:r>
        <w:rPr>
          <w:rStyle w:val="CharSchText"/>
        </w:rPr>
        <w:t>Prohibited weapons</w:t>
      </w:r>
      <w:bookmarkEnd w:id="48"/>
      <w:bookmarkEnd w:id="49"/>
      <w:bookmarkEnd w:id="50"/>
      <w:bookmarkEnd w:id="51"/>
      <w:bookmarkEnd w:id="52"/>
      <w:bookmarkEnd w:id="53"/>
      <w:bookmarkEnd w:id="54"/>
      <w:bookmarkEnd w:id="55"/>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(e.g.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(e.g.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t>(not oleoresin capsicum)</w:t>
            </w:r>
          </w:p>
        </w:tc>
        <w:tc>
          <w:tcPr>
            <w:tcW w:w="4788" w:type="dxa"/>
          </w:tcPr>
          <w:p>
            <w:pPr>
              <w:pStyle w:val="yTable"/>
            </w:pPr>
            <w:r>
              <w:t>A spray weapon made or modified to be used to discharge a substance other than oleoresin capsicum.</w:t>
            </w:r>
          </w:p>
        </w:tc>
      </w:tr>
    </w:tbl>
    <w:p>
      <w:pPr>
        <w:pStyle w:val="yFootnotesection"/>
      </w:pPr>
      <w:r>
        <w:tab/>
        <w:t>[Schedule 1 amended in Gazette 11 Sep 2007 p. 4613; 8 Apr 2011 p. 1286.]</w:t>
      </w:r>
    </w:p>
    <w:p>
      <w:pPr>
        <w:pStyle w:val="yScheduleHeading"/>
      </w:pPr>
      <w:bookmarkStart w:id="56" w:name="_Toc379277880"/>
      <w:bookmarkStart w:id="57" w:name="_Toc425248139"/>
      <w:bookmarkStart w:id="58" w:name="_Toc425248177"/>
      <w:bookmarkStart w:id="59" w:name="_Toc425248573"/>
      <w:bookmarkStart w:id="60" w:name="_Toc425248606"/>
      <w:bookmarkStart w:id="61" w:name="_Toc468113000"/>
      <w:bookmarkStart w:id="62" w:name="_Toc468113107"/>
      <w:bookmarkStart w:id="63" w:name="_Toc468113131"/>
      <w:r>
        <w:rPr>
          <w:rStyle w:val="CharSchNo"/>
        </w:rPr>
        <w:t>Schedule 2</w:t>
      </w:r>
      <w:r>
        <w:t xml:space="preserve"> — </w:t>
      </w:r>
      <w:r>
        <w:rPr>
          <w:rStyle w:val="CharSchText"/>
        </w:rPr>
        <w:t>Controlled weapons</w:t>
      </w:r>
      <w:bookmarkEnd w:id="56"/>
      <w:bookmarkEnd w:id="57"/>
      <w:bookmarkEnd w:id="58"/>
      <w:bookmarkEnd w:id="59"/>
      <w:bookmarkEnd w:id="60"/>
      <w:bookmarkEnd w:id="61"/>
      <w:bookmarkEnd w:id="62"/>
      <w:bookmarkEnd w:id="63"/>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869" w:type="dxa"/>
          </w:tcPr>
          <w:p>
            <w:pPr>
              <w:pStyle w:val="yTable"/>
            </w:pPr>
            <w:r>
              <w:t>5.</w:t>
            </w:r>
          </w:p>
        </w:tc>
        <w:tc>
          <w:tcPr>
            <w:tcW w:w="1612" w:type="dxa"/>
          </w:tcPr>
          <w:p>
            <w:pPr>
              <w:pStyle w:val="yTable"/>
            </w:pPr>
            <w:r>
              <w:t>Dagger</w:t>
            </w:r>
          </w:p>
        </w:tc>
        <w:tc>
          <w:tcPr>
            <w:tcW w:w="4760" w:type="dxa"/>
          </w:tcPr>
          <w:p>
            <w:pPr>
              <w:pStyle w:val="yTable"/>
            </w:pPr>
            <w:r>
              <w:t>A sharp pointed stabbing knife having —</w:t>
            </w:r>
          </w:p>
          <w:p>
            <w:pPr>
              <w:pStyle w:val="yTable"/>
              <w:tabs>
                <w:tab w:val="left" w:pos="496"/>
              </w:tabs>
              <w:ind w:left="496" w:hanging="496"/>
            </w:pPr>
            <w:r>
              <w:t>(a)</w:t>
            </w:r>
            <w:r>
              <w:tab/>
              <w:t>a flat blade, exceeding 8 cm in length with non</w:t>
            </w:r>
            <w:r>
              <w:noBreakHyphen/>
              <w:t>serrated cutting edges along the length of both sides; or</w:t>
            </w:r>
          </w:p>
          <w:p>
            <w:pPr>
              <w:pStyle w:val="yTable"/>
              <w:tabs>
                <w:tab w:val="left" w:pos="496"/>
              </w:tabs>
              <w:ind w:left="496" w:hanging="496"/>
            </w:pPr>
            <w:r>
              <w:t>(b)</w:t>
            </w:r>
            <w:r>
              <w:tab/>
              <w:t>a needle</w:t>
            </w:r>
            <w:r>
              <w:noBreakHyphen/>
              <w:t>like blade, the cross section of which is elliptical or has 3 or more sides,</w:t>
            </w:r>
          </w:p>
          <w:p>
            <w:pPr>
              <w:pStyle w:val="yTable"/>
            </w:pPr>
            <w:r>
              <w:t>and includes a bayonet.</w:t>
            </w:r>
          </w:p>
        </w:tc>
      </w:tr>
      <w:tr>
        <w:trPr>
          <w:cantSplit/>
        </w:trPr>
        <w:tc>
          <w:tcPr>
            <w:tcW w:w="869" w:type="dxa"/>
          </w:tcPr>
          <w:p>
            <w:pPr>
              <w:pStyle w:val="yTable"/>
            </w:pPr>
            <w:r>
              <w:t>6.</w:t>
            </w:r>
          </w:p>
        </w:tc>
        <w:tc>
          <w:tcPr>
            <w:tcW w:w="1612" w:type="dxa"/>
          </w:tcPr>
          <w:p>
            <w:pPr>
              <w:pStyle w:val="yTable"/>
            </w:pPr>
            <w:r>
              <w:t>Double end knife</w:t>
            </w:r>
          </w:p>
        </w:tc>
        <w:tc>
          <w:tcPr>
            <w:tcW w:w="4760" w:type="dxa"/>
          </w:tcPr>
          <w:p>
            <w:pPr>
              <w:pStyle w:val="yTable"/>
            </w:pPr>
            <w:r>
              <w:t>A knife —</w:t>
            </w:r>
          </w:p>
          <w:p>
            <w:pPr>
              <w:pStyle w:val="yTable"/>
              <w:tabs>
                <w:tab w:val="left" w:pos="496"/>
              </w:tabs>
              <w:ind w:left="496" w:hanging="496"/>
            </w:pPr>
            <w:r>
              <w:t>(a)</w:t>
            </w:r>
            <w:r>
              <w:tab/>
              <w:t>having fixed blades at both ends of the handle;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suan ywe gou).</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869" w:type="dxa"/>
          </w:tcPr>
          <w:p>
            <w:pPr>
              <w:pStyle w:val="yTable"/>
            </w:pPr>
            <w:r>
              <w:t>8.</w:t>
            </w:r>
          </w:p>
        </w:tc>
        <w:tc>
          <w:tcPr>
            <w:tcW w:w="1612" w:type="dxa"/>
          </w:tcPr>
          <w:p>
            <w:pPr>
              <w:pStyle w:val="yTable"/>
            </w:pPr>
            <w:r>
              <w:t>Halberd</w:t>
            </w:r>
          </w:p>
        </w:tc>
        <w:tc>
          <w:tcPr>
            <w:tcW w:w="4760" w:type="dxa"/>
          </w:tcPr>
          <w:p>
            <w:pPr>
              <w:pStyle w:val="yTable"/>
            </w:pPr>
            <w:r>
              <w:t>An article (other than a spear) —</w:t>
            </w:r>
          </w:p>
          <w:p>
            <w:pPr>
              <w:pStyle w:val="yTable"/>
              <w:tabs>
                <w:tab w:val="left" w:pos="496"/>
              </w:tabs>
              <w:ind w:left="496" w:hanging="496"/>
            </w:pPr>
            <w:r>
              <w:t>(a)</w:t>
            </w:r>
            <w:r>
              <w:tab/>
              <w:t>consisting of a stick or pole with a blade at the end;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 known as the naginata).</w:t>
            </w:r>
          </w:p>
        </w:tc>
      </w:tr>
      <w:tr>
        <w:trPr>
          <w:cantSplit/>
        </w:trPr>
        <w:tc>
          <w:tcPr>
            <w:tcW w:w="869" w:type="dxa"/>
          </w:tcPr>
          <w:p>
            <w:pPr>
              <w:pStyle w:val="yTable"/>
            </w:pPr>
            <w:r>
              <w:t>9.</w:t>
            </w:r>
          </w:p>
        </w:tc>
        <w:tc>
          <w:tcPr>
            <w:tcW w:w="1612" w:type="dxa"/>
          </w:tcPr>
          <w:p>
            <w:pPr>
              <w:pStyle w:val="yTable"/>
            </w:pPr>
            <w:r>
              <w:t>Hand or foot claws</w:t>
            </w:r>
          </w:p>
        </w:tc>
        <w:tc>
          <w:tcPr>
            <w:tcW w:w="4760" w:type="dxa"/>
          </w:tcPr>
          <w:p>
            <w:pPr>
              <w:pStyle w:val="yTable"/>
            </w:pPr>
            <w:r>
              <w:t>An article consisting of claws that are made or modified to be attached to or worn on the hands or feet (e.g. the martial arts weapons known as the ninja climbing claws, ninja hand claws and ninja foot claws).</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869" w:type="dxa"/>
          </w:tcPr>
          <w:p>
            <w:pPr>
              <w:pStyle w:val="yTable"/>
            </w:pPr>
            <w:r>
              <w:t>10A.</w:t>
            </w:r>
          </w:p>
        </w:tc>
        <w:tc>
          <w:tcPr>
            <w:tcW w:w="1612" w:type="dxa"/>
          </w:tcPr>
          <w:p>
            <w:pPr>
              <w:pStyle w:val="yTable"/>
            </w:pPr>
            <w:r>
              <w:t>Machete</w:t>
            </w:r>
          </w:p>
        </w:tc>
        <w:tc>
          <w:tcPr>
            <w:tcW w:w="4760" w:type="dxa"/>
          </w:tcPr>
          <w:p>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(e.g.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t>
            </w:r>
          </w:p>
          <w:p>
            <w:pPr>
              <w:pStyle w:val="yTable"/>
              <w:tabs>
                <w:tab w:val="left" w:pos="496"/>
              </w:tabs>
              <w:ind w:left="496" w:hanging="496"/>
            </w:pPr>
            <w:r>
              <w:t>(a)</w:t>
            </w:r>
            <w:r>
              <w:tab/>
              <w:t>having 2 or more prongs;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sai and jitte).</w:t>
            </w:r>
          </w:p>
        </w:tc>
      </w:tr>
      <w:tr>
        <w:trPr>
          <w:cantSplit/>
        </w:trPr>
        <w:tc>
          <w:tcPr>
            <w:tcW w:w="869" w:type="dxa"/>
          </w:tcPr>
          <w:p>
            <w:pPr>
              <w:pStyle w:val="yTable"/>
            </w:pPr>
            <w:r>
              <w:t>14.</w:t>
            </w:r>
          </w:p>
        </w:tc>
        <w:tc>
          <w:tcPr>
            <w:tcW w:w="1612" w:type="dxa"/>
          </w:tcPr>
          <w:p>
            <w:pPr>
              <w:pStyle w:val="yTable"/>
            </w:pPr>
            <w:r>
              <w:t>Sickle or scythe weapon</w:t>
            </w:r>
          </w:p>
        </w:tc>
        <w:tc>
          <w:tcPr>
            <w:tcW w:w="4760" w:type="dxa"/>
          </w:tcPr>
          <w:p>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(e.g.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869" w:type="dxa"/>
          </w:tcPr>
          <w:p>
            <w:pPr>
              <w:pStyle w:val="yTable"/>
            </w:pPr>
            <w:r>
              <w:t>17.</w:t>
            </w:r>
          </w:p>
        </w:tc>
        <w:tc>
          <w:tcPr>
            <w:tcW w:w="1612" w:type="dxa"/>
          </w:tcPr>
          <w:p>
            <w:pPr>
              <w:pStyle w:val="yTable"/>
            </w:pPr>
            <w:r>
              <w:t>Spray weapon (oleoresin capsicum)</w:t>
            </w:r>
          </w:p>
        </w:tc>
        <w:tc>
          <w:tcPr>
            <w:tcW w:w="4760" w:type="dxa"/>
          </w:tcPr>
          <w:p>
            <w:pPr>
              <w:pStyle w:val="yTable"/>
            </w:pPr>
            <w:r>
              <w:t>A spray weapon made or modified to be used to discharge oleoresin capsicum.</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(e.g. a studded glove).</w:t>
            </w:r>
          </w:p>
        </w:tc>
      </w:tr>
      <w:tr>
        <w:trPr>
          <w:cantSplit/>
        </w:trPr>
        <w:tc>
          <w:tcPr>
            <w:tcW w:w="869" w:type="dxa"/>
          </w:tcPr>
          <w:p>
            <w:pPr>
              <w:pStyle w:val="yTable"/>
            </w:pPr>
            <w:r>
              <w:t>19.</w:t>
            </w:r>
          </w:p>
        </w:tc>
        <w:tc>
          <w:tcPr>
            <w:tcW w:w="1612" w:type="dxa"/>
          </w:tcPr>
          <w:p>
            <w:pPr>
              <w:pStyle w:val="yTable"/>
            </w:pPr>
            <w:r>
              <w:t>Sword</w:t>
            </w:r>
          </w:p>
        </w:tc>
        <w:tc>
          <w:tcPr>
            <w:tcW w:w="4760" w:type="dxa"/>
          </w:tcPr>
          <w:p>
            <w:pPr>
              <w:pStyle w:val="yTable"/>
            </w:pPr>
            <w:r>
              <w:t>Any sword (e.g. the martial arts weapons known as the butterfly sword, katana and wakizashi) and includes the martial arts weapon known as the tanto.</w:t>
            </w:r>
          </w:p>
        </w:tc>
      </w:tr>
      <w:tr>
        <w:trPr>
          <w:cantSplit/>
        </w:trPr>
        <w:tc>
          <w:tcPr>
            <w:tcW w:w="869" w:type="dxa"/>
          </w:tcPr>
          <w:p>
            <w:pPr>
              <w:pStyle w:val="yTable"/>
            </w:pPr>
            <w:r>
              <w:t>20.</w:t>
            </w:r>
          </w:p>
        </w:tc>
        <w:tc>
          <w:tcPr>
            <w:tcW w:w="1612" w:type="dxa"/>
          </w:tcPr>
          <w:p>
            <w:pPr>
              <w:pStyle w:val="yTable"/>
            </w:pPr>
            <w:r>
              <w:t>Throwing blade or knife</w:t>
            </w:r>
          </w:p>
        </w:tc>
        <w:tc>
          <w:tcPr>
            <w:tcW w:w="4760" w:type="dxa"/>
          </w:tcPr>
          <w:p>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trPr>
          <w:cantSplit/>
        </w:trPr>
        <w:tc>
          <w:tcPr>
            <w:tcW w:w="869" w:type="dxa"/>
          </w:tcPr>
          <w:p>
            <w:pPr>
              <w:pStyle w:val="yTable"/>
            </w:pPr>
            <w:r>
              <w:t>21.</w:t>
            </w:r>
          </w:p>
        </w:tc>
        <w:tc>
          <w:tcPr>
            <w:tcW w:w="1612" w:type="dxa"/>
          </w:tcPr>
          <w:p>
            <w:pPr>
              <w:pStyle w:val="yTable"/>
            </w:pPr>
            <w:r>
              <w:t>Throwing star</w:t>
            </w:r>
          </w:p>
        </w:tc>
        <w:tc>
          <w:tcPr>
            <w:tcW w:w="4760" w:type="dxa"/>
          </w:tcPr>
          <w:p>
            <w:pPr>
              <w:pStyle w:val="yTable"/>
            </w:pPr>
            <w:r>
              <w:t>A sharpened, star</w:t>
            </w:r>
            <w:r>
              <w:noBreakHyphen/>
              <w:t>shaped article made or modified to be thrown (e.g. the martial arts weapon known as the shuriken or shaken) and includes a throwing star that is attached to a belt buckle.</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(e.g. the martial arts weapons known as the kusari fundo, manrikigusari and surujin).</w:t>
            </w:r>
          </w:p>
        </w:tc>
      </w:tr>
    </w:tbl>
    <w:p>
      <w:pPr>
        <w:pStyle w:val="yFootnotesection"/>
      </w:pPr>
      <w:r>
        <w:tab/>
        <w:t>[Schedule 2 amended in Gazette 1 Oct 2004 p. 4284; 11 Apr 2008 p. 1392; 8 Apr 2011 p. 1286; 29 Nov 2016 p. 5323.]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65" w:name="_Toc379277881"/>
      <w:bookmarkStart w:id="66" w:name="_Toc425248140"/>
      <w:bookmarkStart w:id="67" w:name="_Toc425248178"/>
      <w:bookmarkStart w:id="68" w:name="_Toc425248574"/>
      <w:bookmarkStart w:id="69" w:name="_Toc425248607"/>
      <w:bookmarkStart w:id="70" w:name="_Toc468113001"/>
      <w:bookmarkStart w:id="71" w:name="_Toc468113108"/>
      <w:bookmarkStart w:id="72" w:name="_Toc468113132"/>
      <w:r>
        <w:t>Notes</w:t>
      </w:r>
      <w:bookmarkEnd w:id="65"/>
      <w:bookmarkEnd w:id="66"/>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73" w:name="_Toc379277882"/>
      <w:bookmarkStart w:id="74" w:name="_Toc425248179"/>
      <w:bookmarkStart w:id="75" w:name="_Toc468113133"/>
      <w:r>
        <w:t>Compilation table</w:t>
      </w:r>
      <w:bookmarkEnd w:id="73"/>
      <w:bookmarkEnd w:id="74"/>
      <w:bookmarkEnd w:id="75"/>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ind w:left="51"/>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35"/>
              <w:rPr>
                <w:b/>
              </w:rPr>
            </w:pPr>
            <w:r>
              <w:rPr>
                <w:b/>
              </w:rPr>
              <w:t>Commencement</w:t>
            </w:r>
          </w:p>
        </w:tc>
      </w:tr>
      <w:tr>
        <w:trPr>
          <w:cantSplit/>
        </w:trPr>
        <w:tc>
          <w:tcPr>
            <w:tcW w:w="3119"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rPr>
          <w:cantSplit/>
        </w:trPr>
        <w:tc>
          <w:tcPr>
            <w:tcW w:w="3119"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rPr>
          <w:cantSplit/>
        </w:trPr>
        <w:tc>
          <w:tcPr>
            <w:tcW w:w="3119"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rPr>
          <w:cantSplit/>
        </w:trPr>
        <w:tc>
          <w:tcPr>
            <w:tcW w:w="3119"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rPr>
          <w:cantSplit/>
        </w:trPr>
        <w:tc>
          <w:tcPr>
            <w:tcW w:w="3119"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rPr>
          <w:cantSplit/>
        </w:trPr>
        <w:tc>
          <w:tcPr>
            <w:tcW w:w="7088"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rPr>
          <w:cantSplit/>
        </w:trPr>
        <w:tc>
          <w:tcPr>
            <w:tcW w:w="3119"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rPr>
          <w:cantSplit/>
        </w:trPr>
        <w:tc>
          <w:tcPr>
            <w:tcW w:w="3119"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rPr>
          <w:cantSplit/>
        </w:trPr>
        <w:tc>
          <w:tcPr>
            <w:tcW w:w="3119"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rPr>
          <w:cantSplit/>
        </w:trPr>
        <w:tc>
          <w:tcPr>
            <w:tcW w:w="3119"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rPr>
          <w:cantSplit/>
        </w:trPr>
        <w:tc>
          <w:tcPr>
            <w:tcW w:w="3119"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rPr>
          <w:cantSplit/>
        </w:trPr>
        <w:tc>
          <w:tcPr>
            <w:tcW w:w="7088"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rPr>
          <w:cantSplit/>
        </w:trPr>
        <w:tc>
          <w:tcPr>
            <w:tcW w:w="3119"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rPr>
          <w:cantSplit/>
        </w:trPr>
        <w:tc>
          <w:tcPr>
            <w:tcW w:w="3119"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rPr>
          <w:cantSplit/>
        </w:trPr>
        <w:tc>
          <w:tcPr>
            <w:tcW w:w="3119"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rPr>
          <w:cantSplit/>
        </w:trPr>
        <w:tc>
          <w:tcPr>
            <w:tcW w:w="3119"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rPr>
          <w:cantSplit/>
        </w:trPr>
        <w:tc>
          <w:tcPr>
            <w:tcW w:w="7088"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rPr>
          <w:cantSplit/>
        </w:trPr>
        <w:tc>
          <w:tcPr>
            <w:tcW w:w="3119" w:type="dxa"/>
            <w:tcBorders>
              <w:bottom w:val="single" w:sz="4" w:space="0" w:color="auto"/>
            </w:tcBorders>
          </w:tcPr>
          <w:p>
            <w:pPr>
              <w:pStyle w:val="nTable"/>
              <w:spacing w:after="40"/>
              <w:ind w:right="113"/>
            </w:pPr>
            <w:r>
              <w:rPr>
                <w:i/>
              </w:rPr>
              <w:t>Police Regulations Amendment (Captive Bolt Guns) Regulations 2016</w:t>
            </w:r>
            <w:r>
              <w:t xml:space="preserve"> Pt. 3</w:t>
            </w:r>
          </w:p>
        </w:tc>
        <w:tc>
          <w:tcPr>
            <w:tcW w:w="1276" w:type="dxa"/>
            <w:tcBorders>
              <w:bottom w:val="single" w:sz="4" w:space="0" w:color="auto"/>
            </w:tcBorders>
          </w:tcPr>
          <w:p>
            <w:pPr>
              <w:pStyle w:val="nTable"/>
              <w:spacing w:after="40"/>
              <w:ind w:left="51"/>
            </w:pPr>
            <w:r>
              <w:t>29 Nov 2016 p. 5322</w:t>
            </w:r>
            <w:r>
              <w:noBreakHyphen/>
              <w:t>3</w:t>
            </w:r>
          </w:p>
        </w:tc>
        <w:tc>
          <w:tcPr>
            <w:tcW w:w="2693" w:type="dxa"/>
            <w:tcBorders>
              <w:bottom w:val="single" w:sz="4" w:space="0" w:color="auto"/>
            </w:tcBorders>
          </w:tcPr>
          <w:p>
            <w:pPr>
              <w:pStyle w:val="nTable"/>
              <w:spacing w:after="40"/>
              <w:ind w:left="35"/>
            </w:pPr>
            <w:r>
              <w:t>30 Nov 2016 (see r. 2(b))</w:t>
            </w:r>
          </w:p>
        </w:tc>
      </w:tr>
    </w:tbl>
    <w:p>
      <w:pPr>
        <w:rPr>
          <w:iCs/>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77" w:name="_Toc468113003"/>
      <w:bookmarkStart w:id="78" w:name="_Toc468113110"/>
      <w:bookmarkStart w:id="79" w:name="_Toc468113134"/>
      <w:r>
        <w:rPr>
          <w:sz w:val="28"/>
        </w:rPr>
        <w:t>Defined terms</w:t>
      </w:r>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electric shock case</w:t>
      </w:r>
      <w:r>
        <w:tab/>
        <w:t>3</w:t>
      </w:r>
    </w:p>
    <w:p>
      <w:pPr>
        <w:pStyle w:val="DefinedTerms"/>
      </w:pPr>
      <w:r>
        <w:t>Archery Australia (Inc.) member</w:t>
      </w:r>
      <w:r>
        <w:tab/>
        <w:t>14(1)</w:t>
      </w:r>
    </w:p>
    <w:p>
      <w:pPr>
        <w:pStyle w:val="DefinedTerms"/>
      </w:pPr>
      <w:r>
        <w:t>baton</w:t>
      </w:r>
      <w:r>
        <w:tab/>
        <w:t>3</w:t>
      </w:r>
    </w:p>
    <w:p>
      <w:pPr>
        <w:pStyle w:val="DefinedTerms"/>
      </w:pPr>
      <w:r>
        <w:t>catapult</w:t>
      </w:r>
      <w:r>
        <w:tab/>
        <w:t>3</w:t>
      </w:r>
    </w:p>
    <w:p>
      <w:pPr>
        <w:pStyle w:val="DefinedTerms"/>
      </w:pPr>
      <w:r>
        <w:t>crossbow</w:t>
      </w:r>
      <w:r>
        <w:tab/>
        <w:t>14(1), 15(1)</w:t>
      </w:r>
    </w:p>
    <w:p>
      <w:pPr>
        <w:pStyle w:val="DefinedTerms"/>
      </w:pPr>
      <w:r>
        <w:t>discharge</w:t>
      </w:r>
      <w:r>
        <w:tab/>
        <w:t>3</w:t>
      </w:r>
    </w:p>
    <w:p>
      <w:pPr>
        <w:pStyle w:val="DefinedTerms"/>
      </w:pPr>
      <w:r>
        <w:t>dramatic production</w:t>
      </w:r>
      <w:r>
        <w:tab/>
        <w:t>13(1)</w:t>
      </w:r>
    </w:p>
    <w:p>
      <w:pPr>
        <w:pStyle w:val="DefinedTerms"/>
      </w:pPr>
      <w:r>
        <w:t>exempt arbalest</w:t>
      </w:r>
      <w:r>
        <w:tab/>
        <w:t>14(1)</w:t>
      </w:r>
    </w:p>
    <w:p>
      <w:pPr>
        <w:pStyle w:val="DefinedTerms"/>
      </w:pPr>
      <w:r>
        <w:t>exempt collector</w:t>
      </w:r>
      <w:r>
        <w:tab/>
        <w:t>9(6)</w:t>
      </w:r>
    </w:p>
    <w:p>
      <w:pPr>
        <w:pStyle w:val="DefinedTerms"/>
      </w:pPr>
      <w:r>
        <w:t>exempt event</w:t>
      </w:r>
      <w:r>
        <w:tab/>
        <w:t>11(1)</w:t>
      </w:r>
    </w:p>
    <w:p>
      <w:pPr>
        <w:pStyle w:val="DefinedTerms"/>
      </w:pPr>
      <w:r>
        <w:t>exempt person</w:t>
      </w:r>
      <w:r>
        <w:tab/>
        <w:t>15(1)</w:t>
      </w:r>
    </w:p>
    <w:p>
      <w:pPr>
        <w:pStyle w:val="DefinedTerms"/>
      </w:pPr>
      <w:r>
        <w:t>exempt production</w:t>
      </w:r>
      <w:r>
        <w:tab/>
        <w:t>13(1)</w:t>
      </w:r>
    </w:p>
    <w:p>
      <w:pPr>
        <w:pStyle w:val="DefinedTerms"/>
      </w:pPr>
      <w:r>
        <w:t>exemption notice</w:t>
      </w:r>
      <w:r>
        <w:tab/>
        <w:t>13(1)</w:t>
      </w:r>
    </w:p>
    <w:p>
      <w:pPr>
        <w:pStyle w:val="DefinedTerms"/>
      </w:pPr>
      <w:r>
        <w:t>extendable baton</w:t>
      </w:r>
      <w:r>
        <w:tab/>
        <w:t>8(2)</w:t>
      </w:r>
    </w:p>
    <w:p>
      <w:pPr>
        <w:pStyle w:val="DefinedTerms"/>
      </w:pPr>
      <w:r>
        <w:t>injure or disable</w:t>
      </w:r>
      <w:r>
        <w:tab/>
        <w:t>3</w:t>
      </w:r>
    </w:p>
    <w:p>
      <w:pPr>
        <w:pStyle w:val="DefinedTerms"/>
      </w:pPr>
      <w:r>
        <w:t>martial arts weapon</w:t>
      </w:r>
      <w:r>
        <w:tab/>
        <w:t>3</w:t>
      </w:r>
    </w:p>
    <w:p>
      <w:pPr>
        <w:pStyle w:val="DefinedTerms"/>
      </w:pPr>
      <w:r>
        <w:t>missile</w:t>
      </w:r>
      <w:r>
        <w:tab/>
        <w:t>3</w:t>
      </w:r>
    </w:p>
    <w:p>
      <w:pPr>
        <w:pStyle w:val="DefinedTerms"/>
      </w:pPr>
      <w:r>
        <w:t>participant</w:t>
      </w:r>
      <w:r>
        <w:tab/>
        <w:t>11(1)</w:t>
      </w:r>
    </w:p>
    <w:p>
      <w:pPr>
        <w:pStyle w:val="DefinedTerms"/>
      </w:pPr>
      <w:r>
        <w:t>possess</w:t>
      </w:r>
      <w:r>
        <w:tab/>
        <w:t>11(1)</w:t>
      </w:r>
    </w:p>
    <w:p>
      <w:pPr>
        <w:pStyle w:val="DefinedTerms"/>
      </w:pPr>
      <w:r>
        <w:t>relevant date</w:t>
      </w:r>
      <w:r>
        <w:tab/>
        <w:t>9(6)</w:t>
      </w:r>
    </w:p>
    <w:p>
      <w:pPr>
        <w:pStyle w:val="DefinedTerms"/>
      </w:pPr>
      <w:r>
        <w:t>specified prohibited weapon</w:t>
      </w:r>
      <w:r>
        <w:tab/>
        <w:t>9(6)</w:t>
      </w:r>
    </w:p>
    <w:p>
      <w:pPr>
        <w:pStyle w:val="DefinedTerms"/>
      </w:pPr>
      <w:r>
        <w:t>specified weapon</w:t>
      </w:r>
      <w:r>
        <w:tab/>
        <w:t>13(1)</w:t>
      </w:r>
    </w:p>
    <w:p>
      <w:pPr>
        <w:pStyle w:val="DefinedTerms"/>
      </w:pPr>
      <w:r>
        <w:t>spray weapon</w:t>
      </w:r>
      <w:r>
        <w:tab/>
        <w:t>3</w:t>
      </w:r>
    </w:p>
    <w:p>
      <w:pPr>
        <w:pStyle w:val="DefinedTerms"/>
      </w:pPr>
      <w:r>
        <w:t>WA Disabled Sports Association (Inc.) member</w:t>
      </w:r>
      <w:r>
        <w:tab/>
        <w:t>11(1)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515"/>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5629</Words>
  <Characters>25894</Characters>
  <Application>Microsoft Office Word</Application>
  <DocSecurity>0</DocSecurity>
  <Lines>892</Lines>
  <Paragraphs>562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1999 - 03-b0-00</dc:title>
  <dc:subject/>
  <dc:creator/>
  <cp:keywords/>
  <dc:description/>
  <cp:lastModifiedBy>svcMRProcess</cp:lastModifiedBy>
  <cp:revision>4</cp:revision>
  <cp:lastPrinted>2012-06-26T01:36:00Z</cp:lastPrinted>
  <dcterms:created xsi:type="dcterms:W3CDTF">2016-11-28T08:24:00Z</dcterms:created>
  <dcterms:modified xsi:type="dcterms:W3CDTF">2016-11-28T08:24:00Z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AsAtDate">
    <vt:lpwstr>30 Nov 2016</vt:lpwstr>
  </property>
  <property fmtid="{D5CDD505-2E9C-101B-9397-08002B2CF9AE}" pid="8" name="Suffix">
    <vt:lpwstr>03-b0-00</vt:lpwstr>
  </property>
  <property fmtid="{D5CDD505-2E9C-101B-9397-08002B2CF9AE}" pid="9" name="CommencementDate">
    <vt:lpwstr>20161130</vt:lpwstr>
  </property>
</Properties>
</file>