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Limited Partnerships Act 1909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Limited Partnerships Rules 1909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_Toc468282216 \h </w:instrText>
      </w:r>
      <w:r>
        <w:fldChar w:fldCharType="separate"/>
      </w:r>
      <w:r>
        <w:t>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Term used: the Act</w:t>
      </w:r>
      <w:r>
        <w:tab/>
      </w:r>
      <w:r>
        <w:fldChar w:fldCharType="begin"/>
      </w:r>
      <w:r>
        <w:instrText xml:space="preserve"> PAGEREF _Toc468282217 \h </w:instrText>
      </w:r>
      <w:r>
        <w:fldChar w:fldCharType="separate"/>
      </w:r>
      <w:r>
        <w:t>1</w:t>
      </w:r>
      <w:r>
        <w:fldChar w:fldCharType="end"/>
      </w:r>
    </w:p>
    <w:p>
      <w:pPr>
        <w:pStyle w:val="TOC8"/>
        <w:rPr>
          <w:rFonts w:asciiTheme="minorHAnsi" w:eastAsiaTheme="minorEastAsia" w:hAnsiTheme="minorHAnsi" w:cstheme="minorBidi"/>
          <w:szCs w:val="22"/>
        </w:rPr>
      </w:pPr>
      <w:r>
        <w:t>3.</w:t>
      </w:r>
      <w:r>
        <w:tab/>
        <w:t>Fees</w:t>
      </w:r>
      <w:r>
        <w:tab/>
      </w:r>
      <w:r>
        <w:fldChar w:fldCharType="begin"/>
      </w:r>
      <w:r>
        <w:instrText xml:space="preserve"> PAGEREF _Toc468282218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_Toc468282219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Forms to be used for the purposes of the 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_Toc468282223 \h </w:instrText>
      </w:r>
      <w:r>
        <w:fldChar w:fldCharType="separate"/>
      </w:r>
      <w:r>
        <w:t>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_Toc468282224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3" w:name="_Toc379200941"/>
      <w:bookmarkStart w:id="4" w:name="_Toc468282216"/>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79200942"/>
      <w:bookmarkStart w:id="6" w:name="_Toc468282217"/>
      <w:r>
        <w:rPr>
          <w:rStyle w:val="CharSectno"/>
        </w:rPr>
        <w:t>1A</w:t>
      </w:r>
      <w:r>
        <w:rPr>
          <w:snapToGrid w:val="0"/>
        </w:rPr>
        <w:t>.</w:t>
      </w:r>
      <w:r>
        <w:rPr>
          <w:snapToGrid w:val="0"/>
        </w:rPr>
        <w:tab/>
        <w:t>Term used: the Act</w:t>
      </w:r>
      <w:bookmarkEnd w:id="5"/>
      <w:bookmarkEnd w:id="6"/>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7" w:name="_Toc379200943"/>
      <w:bookmarkStart w:id="8" w:name="_Toc468282218"/>
      <w:r>
        <w:rPr>
          <w:rStyle w:val="CharSectno"/>
        </w:rPr>
        <w:t>3</w:t>
      </w:r>
      <w:r>
        <w:t>.</w:t>
      </w:r>
      <w:r>
        <w:tab/>
        <w:t>Fees</w:t>
      </w:r>
      <w:bookmarkEnd w:id="7"/>
      <w:bookmarkEnd w:id="8"/>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rPr>
                <w:sz w:val="22"/>
                <w:szCs w:val="22"/>
              </w:rPr>
              <w:t>$191.00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rPr>
                <w:sz w:val="22"/>
                <w:szCs w:val="22"/>
              </w:rPr>
              <w:t>$4.90</w:t>
            </w:r>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rPr>
                <w:sz w:val="22"/>
                <w:szCs w:val="22"/>
              </w:rPr>
              <w:t>$13.00</w:t>
            </w:r>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rPr>
                <w:sz w:val="22"/>
                <w:szCs w:val="22"/>
              </w:rPr>
              <w:t>$4.90</w:t>
            </w:r>
            <w:r>
              <w:t xml:space="preserve"> per folio of </w:t>
            </w:r>
            <w:r>
              <w:br/>
              <w:t>72 words</w:t>
            </w:r>
          </w:p>
        </w:tc>
      </w:tr>
    </w:tbl>
    <w:p>
      <w:pPr>
        <w:pStyle w:val="Footnotesection"/>
      </w:pPr>
      <w:r>
        <w:tab/>
        <w:t>[Rule 3 inserted in Gazette 23 Jun 2009 p. 2444; amended in Gazette 22 Jun 2011 p. 2362; 27 Jun 2013 p. 2683-4; 23 Jun 2015 p. 2177.]</w:t>
      </w:r>
    </w:p>
    <w:p>
      <w:pPr>
        <w:pStyle w:val="Heading5"/>
        <w:rPr>
          <w:snapToGrid w:val="0"/>
        </w:rPr>
      </w:pPr>
      <w:bookmarkStart w:id="9" w:name="_Toc379200944"/>
      <w:bookmarkStart w:id="10" w:name="_Toc468282219"/>
      <w:r>
        <w:rPr>
          <w:rStyle w:val="CharSectno"/>
        </w:rPr>
        <w:t>4</w:t>
      </w:r>
      <w:r>
        <w:rPr>
          <w:snapToGrid w:val="0"/>
        </w:rPr>
        <w:t>.</w:t>
      </w:r>
      <w:r>
        <w:rPr>
          <w:snapToGrid w:val="0"/>
        </w:rPr>
        <w:tab/>
        <w:t>Forms</w:t>
      </w:r>
      <w:bookmarkEnd w:id="9"/>
      <w:bookmarkEnd w:id="10"/>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1" w:name="_Toc379200945"/>
      <w:bookmarkStart w:id="12" w:name="_Toc421002361"/>
      <w:bookmarkStart w:id="13" w:name="_Toc421002382"/>
      <w:bookmarkStart w:id="14" w:name="_Toc423447242"/>
      <w:bookmarkStart w:id="15" w:name="_Toc468282220"/>
      <w:r>
        <w:rPr>
          <w:rStyle w:val="CharSchNo"/>
        </w:rPr>
        <w:t>Appendix</w:t>
      </w:r>
      <w:bookmarkEnd w:id="11"/>
      <w:bookmarkEnd w:id="12"/>
      <w:bookmarkEnd w:id="13"/>
      <w:bookmarkEnd w:id="14"/>
      <w:bookmarkEnd w:id="15"/>
      <w:r>
        <w:t xml:space="preserve"> </w:t>
      </w:r>
    </w:p>
    <w:p>
      <w:pPr>
        <w:pStyle w:val="yHeading2"/>
      </w:pPr>
      <w:bookmarkStart w:id="16" w:name="_Toc379200946"/>
      <w:bookmarkStart w:id="17" w:name="_Toc421002362"/>
      <w:bookmarkStart w:id="18" w:name="_Toc421002383"/>
      <w:bookmarkStart w:id="19" w:name="_Toc423447243"/>
      <w:bookmarkStart w:id="20" w:name="_Toc468282221"/>
      <w:r>
        <w:rPr>
          <w:rStyle w:val="CharSchText"/>
        </w:rPr>
        <w:t>Forms to be used for the purposes of the Act</w:t>
      </w:r>
      <w:bookmarkEnd w:id="16"/>
      <w:bookmarkEnd w:id="17"/>
      <w:bookmarkEnd w:id="18"/>
      <w:bookmarkEnd w:id="19"/>
      <w:bookmarkEnd w:id="20"/>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8.75pt" o:ole="" fillcolor="window">
            <v:imagedata r:id="rId25" o:title=""/>
          </v:shape>
          <o:OLEObject Type="Embed" ProgID="PBrush" ShapeID="_x0000_i1025" DrawAspect="Content" ObjectID="_1644212621" r:id="rId26"/>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5" o:title=""/>
          </v:shape>
          <o:OLEObject Type="Embed" ProgID="PBrush" ShapeID="_x0000_i1026" DrawAspect="Content" ObjectID="_1644212622" r:id="rId27"/>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5" o:title=""/>
          </v:shape>
          <o:OLEObject Type="Embed" ProgID="PBrush" ShapeID="_x0000_i1027" DrawAspect="Content" ObjectID="_1644212623" r:id="rId29"/>
        </w:obje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r>
              <w:rPr>
                <w:snapToGrid w:val="0"/>
              </w:rPr>
              <w:object w:dxaOrig="181" w:dyaOrig="886">
                <v:shape id="_x0000_i1028" type="#_x0000_t75" style="width:9pt;height:51.75pt" o:ole="" fillcolor="window">
                  <v:imagedata r:id="rId31" o:title=""/>
                </v:shape>
                <o:OLEObject Type="Embed" ProgID="Word.Picture.8" ShapeID="_x0000_i1028" DrawAspect="Content" ObjectID="_1644212624" r:id="rId32"/>
              </w:obje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5" o:title=""/>
          </v:shape>
          <o:OLEObject Type="Embed" ProgID="PBrush" ShapeID="_x0000_i1029" DrawAspect="Content" ObjectID="_1644212625" r:id="rId33"/>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object w:dxaOrig="2025" w:dyaOrig="375">
          <v:shape id="_x0000_i1030" type="#_x0000_t75" style="width:55.5pt;height:18.75pt" o:ole="" fillcolor="window">
            <v:imagedata r:id="rId25" o:title=""/>
          </v:shape>
          <o:OLEObject Type="Embed" ProgID="PBrush" ShapeID="_x0000_i1030" DrawAspect="Content" ObjectID="_1644212626" r:id="rId34"/>
        </w:obje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object w:dxaOrig="181" w:dyaOrig="886">
                <v:shape id="_x0000_i1031" type="#_x0000_t75" style="width:9pt;height:38.25pt" o:ole="" fillcolor="window">
                  <v:imagedata r:id="rId31" o:title=""/>
                </v:shape>
                <o:OLEObject Type="Embed" ProgID="Word.Picture.8" ShapeID="_x0000_i1031" DrawAspect="Content" ObjectID="_1644212627" r:id="rId35"/>
              </w:obje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object w:dxaOrig="181" w:dyaOrig="886">
                <v:shape id="_x0000_i1032" type="#_x0000_t75" style="width:9pt;height:58.5pt" o:ole="" fillcolor="window">
                  <v:imagedata r:id="rId31" o:title=""/>
                </v:shape>
                <o:OLEObject Type="Embed" ProgID="Word.Picture.8" ShapeID="_x0000_i1032" DrawAspect="Content" ObjectID="_1644212628" r:id="rId36"/>
              </w:obje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object w:dxaOrig="181" w:dyaOrig="886">
                <v:shape id="_x0000_i1033" type="#_x0000_t75" style="width:9pt;height:36pt" o:ole="" fillcolor="window">
                  <v:imagedata r:id="rId31" o:title=""/>
                </v:shape>
                <o:OLEObject Type="Embed" ProgID="Word.Picture.8" ShapeID="_x0000_i1033" DrawAspect="Content" ObjectID="_1644212629" r:id="rId37"/>
              </w:obje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object w:dxaOrig="181" w:dyaOrig="886">
                <v:shape id="_x0000_i1034" type="#_x0000_t75" style="width:9pt;height:36.75pt" o:ole="" fillcolor="window">
                  <v:imagedata r:id="rId31" o:title=""/>
                </v:shape>
                <o:OLEObject Type="Embed" ProgID="Word.Picture.8" ShapeID="_x0000_i1034" DrawAspect="Content" ObjectID="_1644212630" r:id="rId38"/>
              </w:obje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object w:dxaOrig="181" w:dyaOrig="886">
                <v:shape id="_x0000_i1035" type="#_x0000_t75" style="width:9pt;height:126.75pt" o:ole="" fillcolor="window">
                  <v:imagedata r:id="rId31" o:title=""/>
                </v:shape>
                <o:OLEObject Type="Embed" ProgID="Word.Picture.8" ShapeID="_x0000_i1035" DrawAspect="Content" ObjectID="_1644212631" r:id="rId39"/>
              </w:obje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object w:dxaOrig="181" w:dyaOrig="886">
                <v:shape id="_x0000_i1036" type="#_x0000_t75" style="width:9pt;height:53.25pt" o:ole="" fillcolor="window">
                  <v:imagedata r:id="rId31" o:title=""/>
                </v:shape>
                <o:OLEObject Type="Embed" ProgID="Word.Picture.8" ShapeID="_x0000_i1036" DrawAspect="Content" ObjectID="_1644212632" r:id="rId40"/>
              </w:obje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object w:dxaOrig="181" w:dyaOrig="886">
                <v:shape id="_x0000_i1037" type="#_x0000_t75" style="width:9pt;height:60.75pt" o:ole="" fillcolor="window">
                  <v:imagedata r:id="rId31" o:title=""/>
                </v:shape>
                <o:OLEObject Type="Embed" ProgID="Word.Picture.8" ShapeID="_x0000_i1037" DrawAspect="Content" ObjectID="_1644212633" r:id="rId41"/>
              </w:obje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object w:dxaOrig="181" w:dyaOrig="886">
                <v:shape id="_x0000_i1038" type="#_x0000_t75" style="width:9pt;height:44.25pt" o:ole="" fillcolor="window">
                  <v:imagedata r:id="rId31" o:title=""/>
                </v:shape>
                <o:OLEObject Type="Embed" ProgID="Word.Picture.8" ShapeID="_x0000_i1038" DrawAspect="Content" ObjectID="_1644212634" r:id="rId42"/>
              </w:obje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keepNext/>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keepNext/>
        <w:tabs>
          <w:tab w:val="clear" w:pos="567"/>
          <w:tab w:val="left" w:pos="960"/>
        </w:tabs>
        <w:spacing w:before="0"/>
        <w:ind w:left="958" w:hanging="958"/>
        <w:rPr>
          <w:snapToGrid w:val="0"/>
        </w:rPr>
      </w:pPr>
      <w:r>
        <w:rPr>
          <w:snapToGrid w:val="0"/>
        </w:rPr>
        <w:t>________________________________________________________________</w:t>
      </w:r>
    </w:p>
    <w:p>
      <w:pPr>
        <w:pStyle w:val="yFootnotesection"/>
        <w:keepNext/>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43"/>
          <w:headerReference w:type="default" r:id="rId44"/>
          <w:headerReference w:type="first" r:id="rId45"/>
          <w:pgSz w:w="11907" w:h="16840" w:code="9"/>
          <w:pgMar w:top="2376" w:right="2405" w:bottom="3542" w:left="2405" w:header="706" w:footer="3380" w:gutter="0"/>
          <w:cols w:space="720"/>
          <w:noEndnote/>
          <w:docGrid w:linePitch="326"/>
        </w:sectPr>
      </w:pPr>
    </w:p>
    <w:p>
      <w:pPr>
        <w:pStyle w:val="nHeading2"/>
      </w:pPr>
      <w:bookmarkStart w:id="22" w:name="_Toc379200947"/>
      <w:bookmarkStart w:id="23" w:name="_Toc421002363"/>
      <w:bookmarkStart w:id="24" w:name="_Toc421002384"/>
      <w:bookmarkStart w:id="25" w:name="_Toc423447244"/>
      <w:bookmarkStart w:id="26" w:name="_Toc468282222"/>
      <w:r>
        <w:t>Notes</w:t>
      </w:r>
      <w:bookmarkEnd w:id="22"/>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 w:name="_Toc379200948"/>
      <w:bookmarkStart w:id="28" w:name="_Toc468282223"/>
      <w:r>
        <w:rPr>
          <w:snapToGrid w:val="0"/>
        </w:rPr>
        <w:t>Compilation table</w:t>
      </w:r>
      <w:bookmarkEnd w:id="27"/>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c>
          <w:tcPr>
            <w:tcW w:w="3118" w:type="dxa"/>
          </w:tcPr>
          <w:p>
            <w:pPr>
              <w:pStyle w:val="nTable"/>
              <w:spacing w:after="40"/>
              <w:rPr>
                <w:i/>
              </w:rPr>
            </w:pPr>
            <w:r>
              <w:rPr>
                <w:i/>
              </w:rPr>
              <w:t>Limited Partnerships Amendment Rules 2013</w:t>
            </w:r>
          </w:p>
        </w:tc>
        <w:tc>
          <w:tcPr>
            <w:tcW w:w="1276" w:type="dxa"/>
          </w:tcPr>
          <w:p>
            <w:pPr>
              <w:pStyle w:val="nTable"/>
              <w:spacing w:after="40"/>
            </w:pPr>
            <w:r>
              <w:t>27 Jun 2013 p. 2683-4</w:t>
            </w:r>
          </w:p>
        </w:tc>
        <w:tc>
          <w:tcPr>
            <w:tcW w:w="2693" w:type="dxa"/>
          </w:tcPr>
          <w:p>
            <w:pPr>
              <w:pStyle w:val="nTable"/>
              <w:spacing w:after="40"/>
              <w:rPr>
                <w:i/>
                <w:snapToGrid w:val="0"/>
                <w:spacing w:val="-2"/>
              </w:rPr>
            </w:pPr>
            <w:r>
              <w:rPr>
                <w:snapToGrid w:val="0"/>
                <w:spacing w:val="-2"/>
              </w:rPr>
              <w:t>r. 1 and 2: 27 Jun 2013 (see r. 2(a));</w:t>
            </w:r>
            <w:r>
              <w:rPr>
                <w:snapToGrid w:val="0"/>
                <w:spacing w:val="-2"/>
              </w:rPr>
              <w:br/>
              <w:t>Rules other than r. 1 and 2: 1 Jul 2013 (see r. 2(b))</w:t>
            </w:r>
          </w:p>
        </w:tc>
      </w:tr>
      <w:tr>
        <w:tc>
          <w:tcPr>
            <w:tcW w:w="3118" w:type="dxa"/>
            <w:tcBorders>
              <w:bottom w:val="single" w:sz="4" w:space="0" w:color="auto"/>
            </w:tcBorders>
          </w:tcPr>
          <w:p>
            <w:pPr>
              <w:pStyle w:val="nTable"/>
              <w:spacing w:after="40"/>
              <w:rPr>
                <w:i/>
              </w:rPr>
            </w:pPr>
            <w:r>
              <w:rPr>
                <w:i/>
              </w:rPr>
              <w:t>Limited Partnerships Amendment Rules 2015</w:t>
            </w:r>
          </w:p>
        </w:tc>
        <w:tc>
          <w:tcPr>
            <w:tcW w:w="1276" w:type="dxa"/>
            <w:tcBorders>
              <w:bottom w:val="single" w:sz="4" w:space="0" w:color="auto"/>
            </w:tcBorders>
          </w:tcPr>
          <w:p>
            <w:pPr>
              <w:pStyle w:val="nTable"/>
              <w:spacing w:after="40"/>
            </w:pPr>
            <w:r>
              <w:t>23 Jun 2015 p. 2177</w:t>
            </w:r>
          </w:p>
        </w:tc>
        <w:tc>
          <w:tcPr>
            <w:tcW w:w="2693" w:type="dxa"/>
            <w:tcBorders>
              <w:bottom w:val="single" w:sz="4" w:space="0" w:color="auto"/>
            </w:tcBorders>
          </w:tcPr>
          <w:p>
            <w:pPr>
              <w:pStyle w:val="nTable"/>
              <w:spacing w:after="40"/>
              <w:rPr>
                <w:snapToGrid w:val="0"/>
                <w:spacing w:val="-2"/>
              </w:rPr>
            </w:pPr>
            <w:r>
              <w:rPr>
                <w:snapToGrid w:val="0"/>
                <w:spacing w:val="-2"/>
              </w:rPr>
              <w:t xml:space="preserve">r. 1 and 2: </w:t>
            </w:r>
            <w:r>
              <w:t xml:space="preserve">23 Jun 2015 </w:t>
            </w:r>
            <w:r>
              <w:rPr>
                <w:snapToGrid w:val="0"/>
                <w:spacing w:val="-2"/>
              </w:rPr>
              <w:t>(see r. 2(a));</w:t>
            </w:r>
            <w:r>
              <w:rPr>
                <w:snapToGrid w:val="0"/>
                <w:spacing w:val="-2"/>
              </w:rPr>
              <w:br/>
              <w:t>Rules other than r. 1 and 2: 1 Jul 2015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 w:name="_Toc468282224"/>
      <w:r>
        <w:t>Provisions that have not come into operation</w:t>
      </w:r>
      <w:bookmarkEnd w:id="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4394" w:type="dxa"/>
            <w:gridSpan w:val="2"/>
          </w:tcPr>
          <w:p>
            <w:pPr>
              <w:pStyle w:val="nTable"/>
              <w:spacing w:after="40"/>
            </w:pPr>
            <w:r>
              <w:rPr>
                <w:i/>
                <w:noProof/>
              </w:rPr>
              <w:t>Limited Partnerships Act 2016</w:t>
            </w:r>
            <w:r>
              <w:rPr>
                <w:noProof/>
              </w:rPr>
              <w:t xml:space="preserve"> s. 115(2) assented to 29 Nov 2016 </w:t>
            </w:r>
            <w:r>
              <w:rPr>
                <w:noProof/>
                <w:vertAlign w:val="superscript"/>
              </w:rPr>
              <w:t>2</w:t>
            </w:r>
          </w:p>
        </w:tc>
        <w:tc>
          <w:tcPr>
            <w:tcW w:w="2693" w:type="dxa"/>
          </w:tcPr>
          <w:p>
            <w:pPr>
              <w:pStyle w:val="nTable"/>
              <w:spacing w:after="40"/>
            </w:pPr>
            <w:r>
              <w:t>To be proclaimed (see s. 2(b))</w:t>
            </w:r>
          </w:p>
        </w:tc>
      </w:tr>
    </w:tbl>
    <w:p>
      <w:pPr>
        <w:pStyle w:val="nSubsection"/>
        <w:keepNext/>
        <w:keepLines/>
        <w:spacing w:before="120"/>
      </w:pPr>
      <w:r>
        <w:rPr>
          <w:vertAlign w:val="superscript"/>
        </w:rPr>
        <w:t>2</w:t>
      </w:r>
      <w:r>
        <w:tab/>
      </w:r>
      <w:r>
        <w:rPr>
          <w:snapToGrid w:val="0"/>
        </w:rPr>
        <w:t xml:space="preserve">On the date as at which this compilation was prepared, the </w:t>
      </w:r>
      <w:r>
        <w:rPr>
          <w:i/>
          <w:noProof/>
        </w:rPr>
        <w:t xml:space="preserve">Limited Partnerships Act 2016 </w:t>
      </w:r>
      <w:r>
        <w:rPr>
          <w:noProof/>
        </w:rPr>
        <w:t>s. 115(2)</w:t>
      </w:r>
      <w:r>
        <w:rPr>
          <w:i/>
          <w:noProof/>
        </w:rPr>
        <w:t xml:space="preserve"> </w:t>
      </w:r>
      <w:r>
        <w:rPr>
          <w:snapToGrid w:val="0"/>
        </w:rPr>
        <w:t>had not come into operation. It reads as follows:</w:t>
      </w:r>
    </w:p>
    <w:p>
      <w:pPr>
        <w:pStyle w:val="BlankOpen"/>
        <w:rPr>
          <w:snapToGrid w:val="0"/>
        </w:rPr>
      </w:pPr>
    </w:p>
    <w:p>
      <w:pPr>
        <w:pStyle w:val="nzHeading5"/>
        <w:rPr>
          <w:snapToGrid w:val="0"/>
        </w:rPr>
      </w:pPr>
      <w:bookmarkStart w:id="30" w:name="_Toc468259109"/>
      <w:bookmarkStart w:id="31" w:name="_Toc468262200"/>
      <w:r>
        <w:rPr>
          <w:rStyle w:val="CharSectno"/>
        </w:rPr>
        <w:t>115</w:t>
      </w:r>
      <w:r>
        <w:t>.</w:t>
      </w:r>
      <w:r>
        <w:tab/>
        <w:t>Written laws repealed</w:t>
      </w:r>
      <w:bookmarkEnd w:id="30"/>
      <w:bookmarkEnd w:id="31"/>
    </w:p>
    <w:p>
      <w:pPr>
        <w:pStyle w:val="nzSubsection"/>
      </w:pPr>
      <w:r>
        <w:tab/>
        <w:t>(2)</w:t>
      </w:r>
      <w:r>
        <w:tab/>
        <w:t xml:space="preserve">The </w:t>
      </w:r>
      <w:r>
        <w:rPr>
          <w:i/>
        </w:rPr>
        <w:t>Limited Partnerships Rules 1909</w:t>
      </w:r>
      <w:r>
        <w:t xml:space="preserve"> are repealed.</w:t>
      </w:r>
    </w:p>
    <w:p>
      <w:pPr>
        <w:pStyle w:val="BlankClose"/>
        <w:rPr>
          <w:snapToGrid w:val="0"/>
        </w:rPr>
      </w:pPr>
    </w:p>
    <w:p/>
    <w:p>
      <w:pPr>
        <w:sectPr>
          <w:headerReference w:type="even" r:id="rId46"/>
          <w:headerReference w:type="default" r:id="rId47"/>
          <w:headerReference w:type="first" r:id="rId48"/>
          <w:pgSz w:w="11907" w:h="16840" w:code="9"/>
          <w:pgMar w:top="2376" w:right="2404" w:bottom="3544" w:left="2404" w:header="720" w:footer="3380" w:gutter="0"/>
          <w:cols w:space="720"/>
          <w:noEndnote/>
          <w:docGrid w:linePitch="326"/>
        </w:sectPr>
      </w:pPr>
    </w:p>
    <w:p>
      <w:pPr>
        <w:pStyle w:val="nHeading2"/>
        <w:rPr>
          <w:sz w:val="28"/>
        </w:rPr>
      </w:pPr>
      <w:bookmarkStart w:id="33" w:name="_Toc421002386"/>
      <w:bookmarkStart w:id="34" w:name="_Toc423447246"/>
      <w:bookmarkStart w:id="35" w:name="_Toc468282225"/>
      <w:r>
        <w:rPr>
          <w:sz w:val="28"/>
        </w:rPr>
        <w:t>Defined terms</w:t>
      </w:r>
      <w:bookmarkEnd w:id="33"/>
      <w:bookmarkEnd w:id="34"/>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the Act</w:t>
      </w:r>
      <w:r>
        <w:tab/>
        <w:t>1A</w:t>
      </w:r>
    </w:p>
    <w:p>
      <w:pPr>
        <w:pStyle w:val="DefinedTerms"/>
        <w:sectPr>
          <w:headerReference w:type="even" r:id="rId49"/>
          <w:headerReference w:type="default" r:id="rId50"/>
          <w:pgSz w:w="11907" w:h="16840" w:code="9"/>
          <w:pgMar w:top="2381" w:right="2409" w:bottom="3543" w:left="2409" w:header="720" w:footer="3380" w:gutter="0"/>
          <w:cols w:space="720"/>
          <w:noEndnote/>
          <w:docGrid w:linePitch="326"/>
        </w:sectPr>
      </w:pPr>
    </w:p>
    <w:p/>
    <w:sectPr>
      <w:headerReference w:type="even" r:id="rId51"/>
      <w:headerReference w:type="default" r:id="rId52"/>
      <w:footerReference w:type="even" r:id="rId53"/>
      <w:footerReference w:type="default" r:id="rId54"/>
      <w:headerReference w:type="first" r:id="rId55"/>
      <w:footerReference w:type="first" r:id="rId5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29 Nov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21" w:name="Schedule"/>
    <w:bookmarkEnd w:id="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 w:name="DefinedTerms"/>
    <w:bookmarkEnd w:id="3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 w:name="Coversheet"/>
    <w:bookmarkEnd w:id="3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lvlText w:val="%1."/>
      <w:lvlJc w:val="left"/>
      <w:pPr>
        <w:tabs>
          <w:tab w:val="num" w:pos="1492"/>
        </w:tabs>
        <w:ind w:left="1492" w:hanging="360"/>
      </w:pPr>
    </w:lvl>
  </w:abstractNum>
  <w:abstractNum w:abstractNumId="1">
    <w:nsid w:val="FFFFFF7D"/>
    <w:multiLevelType w:val="singleLevel"/>
    <w:tmpl w:val="E35CD64E"/>
    <w:lvl w:ilvl="0">
      <w:start w:val="1"/>
      <w:numFmt w:val="decimal"/>
      <w:lvlText w:val="%1."/>
      <w:lvlJc w:val="left"/>
      <w:pPr>
        <w:tabs>
          <w:tab w:val="num" w:pos="1209"/>
        </w:tabs>
        <w:ind w:left="1209" w:hanging="360"/>
      </w:pPr>
    </w:lvl>
  </w:abstractNum>
  <w:abstractNum w:abstractNumId="2">
    <w:nsid w:val="FFFFFF7E"/>
    <w:multiLevelType w:val="singleLevel"/>
    <w:tmpl w:val="A1B2A498"/>
    <w:lvl w:ilvl="0">
      <w:start w:val="1"/>
      <w:numFmt w:val="decimal"/>
      <w:lvlText w:val="%1."/>
      <w:lvlJc w:val="left"/>
      <w:pPr>
        <w:tabs>
          <w:tab w:val="num" w:pos="926"/>
        </w:tabs>
        <w:ind w:left="926" w:hanging="360"/>
      </w:pPr>
    </w:lvl>
  </w:abstractNum>
  <w:abstractNum w:abstractNumId="3">
    <w:nsid w:val="FFFFFF7F"/>
    <w:multiLevelType w:val="singleLevel"/>
    <w:tmpl w:val="BDA01ED2"/>
    <w:lvl w:ilvl="0">
      <w:start w:val="1"/>
      <w:numFmt w:val="decimal"/>
      <w:lvlText w:val="%1."/>
      <w:lvlJc w:val="left"/>
      <w:pPr>
        <w:tabs>
          <w:tab w:val="num" w:pos="643"/>
        </w:tabs>
        <w:ind w:left="643" w:hanging="360"/>
      </w:pPr>
    </w:lvl>
  </w:abstractNum>
  <w:abstractNum w:abstractNumId="4">
    <w:nsid w:val="FFFFFF80"/>
    <w:multiLevelType w:val="singleLevel"/>
    <w:tmpl w:val="DDF207D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lvlText w:val="%1."/>
      <w:lvlJc w:val="left"/>
      <w:pPr>
        <w:tabs>
          <w:tab w:val="num" w:pos="360"/>
        </w:tabs>
        <w:ind w:left="360" w:hanging="360"/>
      </w:pPr>
    </w:lvl>
  </w:abstractNum>
  <w:abstractNum w:abstractNumId="9">
    <w:nsid w:val="FFFFFF89"/>
    <w:multiLevelType w:val="singleLevel"/>
    <w:tmpl w:val="F0F6A06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EDADDA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324"/>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 w:name="WAFER_20151106100324" w:val="UpdateStyles,UsedStyles"/>
    <w:docVar w:name="WAFER_20151106100324_GUID" w:val="9e7590a0-3096-4924-9cd0-9e54fb5f38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1.bin"/><Relationship Id="rId39" Type="http://schemas.openxmlformats.org/officeDocument/2006/relationships/oleObject" Target="embeddings/oleObject11.bin"/><Relationship Id="rId21" Type="http://schemas.openxmlformats.org/officeDocument/2006/relationships/header" Target="header7.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header" Target="header12.xml"/><Relationship Id="rId53" Type="http://schemas.openxmlformats.org/officeDocument/2006/relationships/footer" Target="footer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oleObject" Target="embeddings/oleObject8.bin"/><Relationship Id="rId49" Type="http://schemas.openxmlformats.org/officeDocument/2006/relationships/header" Target="header16.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wmf"/><Relationship Id="rId44" Type="http://schemas.openxmlformats.org/officeDocument/2006/relationships/header" Target="header11.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oleObject" Target="embeddings/oleObject2.bin"/><Relationship Id="rId30" Type="http://schemas.openxmlformats.org/officeDocument/2006/relationships/image" Target="media/image4.wmf"/><Relationship Id="rId35" Type="http://schemas.openxmlformats.org/officeDocument/2006/relationships/oleObject" Target="embeddings/oleObject7.bin"/><Relationship Id="rId43" Type="http://schemas.openxmlformats.org/officeDocument/2006/relationships/header" Target="header10.xml"/><Relationship Id="rId48" Type="http://schemas.openxmlformats.org/officeDocument/2006/relationships/header" Target="header15.xml"/><Relationship Id="rId56"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header" Target="header18.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1563</Words>
  <Characters>9458</Characters>
  <Application>Microsoft Office Word</Application>
  <DocSecurity>0</DocSecurity>
  <Lines>411</Lines>
  <Paragraphs>239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1909 - 02-f0-00</dc:title>
  <dc:subject/>
  <dc:creator/>
  <cp:keywords/>
  <dc:description/>
  <cp:lastModifiedBy>svcMRProcess</cp:lastModifiedBy>
  <cp:revision>4</cp:revision>
  <cp:lastPrinted>2009-11-26T08:22:00Z</cp:lastPrinted>
  <dcterms:created xsi:type="dcterms:W3CDTF">2020-02-26T00:57:00Z</dcterms:created>
  <dcterms:modified xsi:type="dcterms:W3CDTF">2020-02-26T00:57:00Z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DocumentType">
    <vt:lpwstr>Reg</vt:lpwstr>
  </property>
  <property fmtid="{D5CDD505-2E9C-101B-9397-08002B2CF9AE}" pid="4" name="OwlsUID">
    <vt:i4>4566</vt:i4>
  </property>
  <property fmtid="{D5CDD505-2E9C-101B-9397-08002B2CF9AE}" pid="5" name="ReprintNo">
    <vt:lpwstr>2</vt:lpwstr>
  </property>
  <property fmtid="{D5CDD505-2E9C-101B-9397-08002B2CF9AE}" pid="6" name="AsAtDate">
    <vt:lpwstr>29 Nov 2016</vt:lpwstr>
  </property>
  <property fmtid="{D5CDD505-2E9C-101B-9397-08002B2CF9AE}" pid="7" name="Suffix">
    <vt:lpwstr>02-f0-00</vt:lpwstr>
  </property>
  <property fmtid="{D5CDD505-2E9C-101B-9397-08002B2CF9AE}" pid="8" name="CommencementDate">
    <vt:lpwstr>20161129</vt:lpwstr>
  </property>
</Properties>
</file>