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_Toc468285236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_Toc468285237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_Toc468285238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_Toc468285239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_Toc468285240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_Toc468285241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_Toc468285242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_Toc468285243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_Toc468285246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50 days</w:t>
      </w:r>
      <w:r>
        <w:tab/>
      </w:r>
      <w:r>
        <w:fldChar w:fldCharType="begin"/>
      </w:r>
      <w:r>
        <w:instrText xml:space="preserve"> PAGEREF _Toc468285247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_Toc468285248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_Toc468285249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_Toc468285251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_Toc468285252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_Toc468285253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_Toc468285254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_Toc468285255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_Toc468285256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_Toc468285257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_Toc468285258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_Toc468285259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_Toc468285260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_Toc468285261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_Toc468285264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_Toc468285266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_Toc468285267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_Toc468285268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_Toc468285269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_Toc468285270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_Toc468285272 \h </w:instrText>
      </w:r>
      <w:r>
        <w:fldChar w:fldCharType="separate"/>
      </w:r>
      <w:r>
        <w:t>18</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_Toc468285273 \h </w:instrText>
      </w:r>
      <w:r>
        <w:fldChar w:fldCharType="separate"/>
      </w:r>
      <w:r>
        <w:t>18</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_Toc468285274 \h </w:instrText>
      </w:r>
      <w:r>
        <w:fldChar w:fldCharType="separate"/>
      </w:r>
      <w:r>
        <w:t>19</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_Toc468285275 \h </w:instrText>
      </w:r>
      <w:r>
        <w:fldChar w:fldCharType="separate"/>
      </w:r>
      <w:r>
        <w:t>21</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_Toc468285276 \h </w:instrText>
      </w:r>
      <w:r>
        <w:fldChar w:fldCharType="separate"/>
      </w:r>
      <w:r>
        <w:t>21</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_Toc468285277 \h </w:instrText>
      </w:r>
      <w:r>
        <w:fldChar w:fldCharType="separate"/>
      </w:r>
      <w:r>
        <w:t>22</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_Toc468285278 \h </w:instrText>
      </w:r>
      <w:r>
        <w:fldChar w:fldCharType="separate"/>
      </w:r>
      <w:r>
        <w:t>22</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_Toc468285279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_Toc468285281 \h </w:instrText>
      </w:r>
      <w:r>
        <w:fldChar w:fldCharType="separate"/>
      </w:r>
      <w:r>
        <w:t>23</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_Toc468285282 \h </w:instrText>
      </w:r>
      <w:r>
        <w:fldChar w:fldCharType="separate"/>
      </w:r>
      <w:r>
        <w:t>24</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_Toc468285283 \h </w:instrText>
      </w:r>
      <w:r>
        <w:fldChar w:fldCharType="separate"/>
      </w:r>
      <w:r>
        <w:t>24</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_Toc468285284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_Toc468285286 \h </w:instrText>
      </w:r>
      <w:r>
        <w:fldChar w:fldCharType="separate"/>
      </w:r>
      <w:r>
        <w:t>25</w:t>
      </w:r>
      <w:r>
        <w:fldChar w:fldCharType="end"/>
      </w:r>
    </w:p>
    <w:p>
      <w:pPr>
        <w:pStyle w:val="TOC8"/>
        <w:rPr>
          <w:rFonts w:asciiTheme="minorHAnsi" w:eastAsiaTheme="minorEastAsia" w:hAnsiTheme="minorHAnsi" w:cstheme="minorBidi"/>
          <w:szCs w:val="22"/>
        </w:rPr>
      </w:pPr>
      <w:r>
        <w:t>43.</w:t>
      </w:r>
      <w:r>
        <w:tab/>
        <w:t>Determinations may be enforced as judgments</w:t>
      </w:r>
      <w:r>
        <w:tab/>
      </w:r>
      <w:r>
        <w:fldChar w:fldCharType="begin"/>
      </w:r>
      <w:r>
        <w:instrText xml:space="preserve"> PAGEREF _Toc468285287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_Toc468285289 \h </w:instrText>
      </w:r>
      <w:r>
        <w:fldChar w:fldCharType="separate"/>
      </w:r>
      <w:r>
        <w:t>27</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_Toc468285290 \h </w:instrText>
      </w:r>
      <w:r>
        <w:fldChar w:fldCharType="separate"/>
      </w:r>
      <w:r>
        <w:t>28</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_Toc468285291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_Toc468285293 \h </w:instrText>
      </w:r>
      <w:r>
        <w:fldChar w:fldCharType="separate"/>
      </w:r>
      <w:r>
        <w:t>30</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_Toc468285294 \h </w:instrText>
      </w:r>
      <w:r>
        <w:fldChar w:fldCharType="separate"/>
      </w:r>
      <w:r>
        <w:t>31</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_Toc468285295 \h </w:instrText>
      </w:r>
      <w:r>
        <w:fldChar w:fldCharType="separate"/>
      </w:r>
      <w:r>
        <w:t>31</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_Toc468285296 \h </w:instrText>
      </w:r>
      <w:r>
        <w:fldChar w:fldCharType="separate"/>
      </w:r>
      <w:r>
        <w:t>31</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_Toc468285297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_Toc468285299 \h </w:instrText>
      </w:r>
      <w:r>
        <w:fldChar w:fldCharType="separate"/>
      </w:r>
      <w:r>
        <w:t>33</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_Toc468285300 \h </w:instrText>
      </w:r>
      <w:r>
        <w:fldChar w:fldCharType="separate"/>
      </w:r>
      <w:r>
        <w:t>33</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_Toc468285301 \h </w:instrText>
      </w:r>
      <w:r>
        <w:fldChar w:fldCharType="separate"/>
      </w:r>
      <w:r>
        <w:t>34</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_Toc468285302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_Toc468285305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_Toc468285307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_Toc468285309 \h </w:instrText>
      </w:r>
      <w:r>
        <w:fldChar w:fldCharType="separate"/>
      </w:r>
      <w:r>
        <w:t>35</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_Toc468285310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_Toc468285312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_Toc468285314 \h </w:instrText>
      </w:r>
      <w:r>
        <w:fldChar w:fldCharType="separate"/>
      </w:r>
      <w:r>
        <w:t>37</w:t>
      </w:r>
      <w:r>
        <w:fldChar w:fldCharType="end"/>
      </w:r>
    </w:p>
    <w:p>
      <w:pPr>
        <w:pStyle w:val="TOC8"/>
        <w:rPr>
          <w:rFonts w:asciiTheme="minorHAnsi" w:eastAsiaTheme="minorEastAsia" w:hAnsiTheme="minorHAnsi" w:cstheme="minorBidi"/>
          <w:szCs w:val="22"/>
        </w:rPr>
      </w:pPr>
      <w:r>
        <w:t>7.</w:t>
      </w:r>
      <w:r>
        <w:tab/>
        <w:t>Responding to payment claim</w:t>
      </w:r>
      <w:r>
        <w:tab/>
      </w:r>
      <w:r>
        <w:fldChar w:fldCharType="begin"/>
      </w:r>
      <w:r>
        <w:instrText xml:space="preserve"> PAGEREF _Toc468285315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_Toc468285317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_Toc468285319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_Toc468285321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_Toc468285323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_Toc468285325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_Toc468285326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456191897"/>
      <w:bookmarkStart w:id="4" w:name="_Toc456191989"/>
      <w:bookmarkStart w:id="5" w:name="_Toc46828523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6828523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7" w:name="_Toc468285237"/>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8" w:name="_Toc46828523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9" w:name="_Toc468285239"/>
      <w:r>
        <w:rPr>
          <w:rStyle w:val="CharSectno"/>
        </w:rPr>
        <w:t>4</w:t>
      </w:r>
      <w:r>
        <w:t>.</w:t>
      </w:r>
      <w:r>
        <w:tab/>
        <w:t>Construction work</w:t>
      </w:r>
      <w:bookmarkEnd w:id="9"/>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10" w:name="_Toc468285240"/>
      <w:r>
        <w:rPr>
          <w:rStyle w:val="CharSectno"/>
        </w:rPr>
        <w:t>5</w:t>
      </w:r>
      <w:r>
        <w:t>.</w:t>
      </w:r>
      <w:r>
        <w:tab/>
        <w:t>Goods and services related to construction work</w:t>
      </w:r>
      <w:bookmarkEnd w:id="10"/>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1" w:name="_Toc468285241"/>
      <w:r>
        <w:rPr>
          <w:rStyle w:val="CharSectno"/>
        </w:rPr>
        <w:t>6</w:t>
      </w:r>
      <w:r>
        <w:t>.</w:t>
      </w:r>
      <w:r>
        <w:tab/>
        <w:t>Payment dispute</w:t>
      </w:r>
      <w:bookmarkEnd w:id="11"/>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12" w:name="_Toc468285242"/>
      <w:r>
        <w:rPr>
          <w:rStyle w:val="CharSectno"/>
        </w:rPr>
        <w:t>7</w:t>
      </w:r>
      <w:r>
        <w:t>.</w:t>
      </w:r>
      <w:r>
        <w:tab/>
        <w:t>Construction contracts to which this Act applies</w:t>
      </w:r>
      <w:bookmarkEnd w:id="12"/>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3" w:name="_Toc468285243"/>
      <w:r>
        <w:rPr>
          <w:rStyle w:val="CharSectno"/>
        </w:rPr>
        <w:t>8</w:t>
      </w:r>
      <w:r>
        <w:t>.</w:t>
      </w:r>
      <w:r>
        <w:tab/>
        <w:t>Application to Crown</w:t>
      </w:r>
      <w:bookmarkEnd w:id="13"/>
      <w:r>
        <w:t xml:space="preserve"> </w:t>
      </w:r>
    </w:p>
    <w:p>
      <w:pPr>
        <w:pStyle w:val="Subsection"/>
      </w:pPr>
      <w:r>
        <w:tab/>
      </w:r>
      <w:r>
        <w:tab/>
        <w:t>This Act binds the Crown.</w:t>
      </w:r>
    </w:p>
    <w:p>
      <w:pPr>
        <w:pStyle w:val="Heading2"/>
      </w:pPr>
      <w:bookmarkStart w:id="14" w:name="_Toc456191906"/>
      <w:bookmarkStart w:id="15" w:name="_Toc456191998"/>
      <w:bookmarkStart w:id="16" w:name="_Toc468285244"/>
      <w:r>
        <w:rPr>
          <w:rStyle w:val="CharPartNo"/>
        </w:rPr>
        <w:t>Part 2</w:t>
      </w:r>
      <w:r>
        <w:t xml:space="preserve"> — </w:t>
      </w:r>
      <w:r>
        <w:rPr>
          <w:rStyle w:val="CharPartText"/>
        </w:rPr>
        <w:t>Content of construction contracts</w:t>
      </w:r>
      <w:bookmarkEnd w:id="14"/>
      <w:bookmarkEnd w:id="15"/>
      <w:bookmarkEnd w:id="16"/>
    </w:p>
    <w:p>
      <w:pPr>
        <w:pStyle w:val="Heading3"/>
      </w:pPr>
      <w:bookmarkStart w:id="17" w:name="_Toc456191907"/>
      <w:bookmarkStart w:id="18" w:name="_Toc456191999"/>
      <w:bookmarkStart w:id="19" w:name="_Toc468285245"/>
      <w:r>
        <w:rPr>
          <w:rStyle w:val="CharDivNo"/>
        </w:rPr>
        <w:t>Division 1</w:t>
      </w:r>
      <w:r>
        <w:t> — </w:t>
      </w:r>
      <w:r>
        <w:rPr>
          <w:rStyle w:val="CharDivText"/>
        </w:rPr>
        <w:t>Prohibited provisions</w:t>
      </w:r>
      <w:bookmarkEnd w:id="17"/>
      <w:bookmarkEnd w:id="18"/>
      <w:bookmarkEnd w:id="19"/>
    </w:p>
    <w:p>
      <w:pPr>
        <w:pStyle w:val="Heading5"/>
      </w:pPr>
      <w:bookmarkStart w:id="20" w:name="_Toc468285246"/>
      <w:r>
        <w:rPr>
          <w:rStyle w:val="CharSectno"/>
        </w:rPr>
        <w:t>9</w:t>
      </w:r>
      <w:r>
        <w:t>.</w:t>
      </w:r>
      <w:r>
        <w:tab/>
        <w:t>Prohibited: pay if paid/when paid provisions</w:t>
      </w:r>
      <w:bookmarkEnd w:id="20"/>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1" w:name="_Toc468285247"/>
      <w:r>
        <w:rPr>
          <w:rStyle w:val="CharSectno"/>
        </w:rPr>
        <w:t>10</w:t>
      </w:r>
      <w:r>
        <w:t>.</w:t>
      </w:r>
      <w:r>
        <w:tab/>
        <w:t>Prohibited: provisions requiring payment to be made after 50 days</w:t>
      </w:r>
      <w:bookmarkEnd w:id="21"/>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22" w:name="_Toc468285248"/>
      <w:r>
        <w:rPr>
          <w:rStyle w:val="CharSectno"/>
        </w:rPr>
        <w:t>11</w:t>
      </w:r>
      <w:r>
        <w:t>.</w:t>
      </w:r>
      <w:r>
        <w:tab/>
        <w:t>Prohibited: prescribed provisions</w:t>
      </w:r>
      <w:bookmarkEnd w:id="22"/>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23" w:name="_Toc468285249"/>
      <w:r>
        <w:rPr>
          <w:rStyle w:val="CharSectno"/>
        </w:rPr>
        <w:t>12</w:t>
      </w:r>
      <w:r>
        <w:t>.</w:t>
      </w:r>
      <w:r>
        <w:tab/>
        <w:t>Other provisions of contract not affected</w:t>
      </w:r>
      <w:bookmarkEnd w:id="23"/>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24" w:name="_Toc456191912"/>
      <w:bookmarkStart w:id="25" w:name="_Toc456192004"/>
      <w:bookmarkStart w:id="26" w:name="_Toc468285250"/>
      <w:r>
        <w:rPr>
          <w:rStyle w:val="CharDivNo"/>
        </w:rPr>
        <w:t>Division 2</w:t>
      </w:r>
      <w:r>
        <w:t> — </w:t>
      </w:r>
      <w:r>
        <w:rPr>
          <w:rStyle w:val="CharDivText"/>
        </w:rPr>
        <w:t>Implied provisions</w:t>
      </w:r>
      <w:bookmarkEnd w:id="24"/>
      <w:bookmarkEnd w:id="25"/>
      <w:bookmarkEnd w:id="26"/>
    </w:p>
    <w:p>
      <w:pPr>
        <w:pStyle w:val="Heading5"/>
      </w:pPr>
      <w:bookmarkStart w:id="27" w:name="_Toc468285251"/>
      <w:r>
        <w:rPr>
          <w:rStyle w:val="CharSectno"/>
        </w:rPr>
        <w:t>13</w:t>
      </w:r>
      <w:r>
        <w:t>.</w:t>
      </w:r>
      <w:r>
        <w:tab/>
        <w:t>Variations of contractual obligations</w:t>
      </w:r>
      <w:bookmarkEnd w:id="27"/>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28" w:name="_Toc468285252"/>
      <w:r>
        <w:rPr>
          <w:rStyle w:val="CharSectno"/>
        </w:rPr>
        <w:t>14</w:t>
      </w:r>
      <w:r>
        <w:t>.</w:t>
      </w:r>
      <w:r>
        <w:tab/>
        <w:t>Contractor’s entitlement to be paid</w:t>
      </w:r>
      <w:bookmarkEnd w:id="28"/>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29" w:name="_Toc468285253"/>
      <w:r>
        <w:rPr>
          <w:rStyle w:val="CharSectno"/>
        </w:rPr>
        <w:t>15</w:t>
      </w:r>
      <w:r>
        <w:t>.</w:t>
      </w:r>
      <w:r>
        <w:tab/>
        <w:t>Contractor’s entitlement to claim progress payments</w:t>
      </w:r>
      <w:bookmarkEnd w:id="29"/>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30" w:name="_Toc468285254"/>
      <w:r>
        <w:rPr>
          <w:rStyle w:val="CharSectno"/>
        </w:rPr>
        <w:t>16</w:t>
      </w:r>
      <w:r>
        <w:t>.</w:t>
      </w:r>
      <w:r>
        <w:tab/>
        <w:t>Making claims for payment</w:t>
      </w:r>
      <w:bookmarkEnd w:id="30"/>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31" w:name="_Toc468285255"/>
      <w:r>
        <w:rPr>
          <w:rStyle w:val="CharSectno"/>
        </w:rPr>
        <w:t>17</w:t>
      </w:r>
      <w:r>
        <w:t>.</w:t>
      </w:r>
      <w:r>
        <w:tab/>
        <w:t>Responding to claims for payment</w:t>
      </w:r>
      <w:bookmarkEnd w:id="31"/>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32" w:name="_Toc468285256"/>
      <w:r>
        <w:rPr>
          <w:rStyle w:val="CharSectno"/>
        </w:rPr>
        <w:t>18</w:t>
      </w:r>
      <w:r>
        <w:t>.</w:t>
      </w:r>
      <w:r>
        <w:tab/>
        <w:t>Time for payment</w:t>
      </w:r>
      <w:bookmarkEnd w:id="32"/>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33" w:name="_Toc468285257"/>
      <w:r>
        <w:rPr>
          <w:rStyle w:val="CharSectno"/>
        </w:rPr>
        <w:t>19</w:t>
      </w:r>
      <w:r>
        <w:t>.</w:t>
      </w:r>
      <w:r>
        <w:tab/>
        <w:t>Interest on overdue payments</w:t>
      </w:r>
      <w:bookmarkEnd w:id="33"/>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34" w:name="_Toc468285258"/>
      <w:r>
        <w:rPr>
          <w:rStyle w:val="CharSectno"/>
        </w:rPr>
        <w:t>20</w:t>
      </w:r>
      <w:r>
        <w:t>.</w:t>
      </w:r>
      <w:r>
        <w:tab/>
        <w:t>Ownership of goods</w:t>
      </w:r>
      <w:bookmarkEnd w:id="3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35" w:name="_Toc468285259"/>
      <w:r>
        <w:rPr>
          <w:rStyle w:val="CharSectno"/>
        </w:rPr>
        <w:t>21</w:t>
      </w:r>
      <w:r>
        <w:t>.</w:t>
      </w:r>
      <w:r>
        <w:tab/>
        <w:t>Duties as to unfixed goods on insolvency</w:t>
      </w:r>
      <w:bookmarkEnd w:id="35"/>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36" w:name="_Toc468285260"/>
      <w:r>
        <w:rPr>
          <w:rStyle w:val="CharSectno"/>
        </w:rPr>
        <w:t>22</w:t>
      </w:r>
      <w:r>
        <w:t>.</w:t>
      </w:r>
      <w:r>
        <w:tab/>
        <w:t>Retention money</w:t>
      </w:r>
      <w:bookmarkEnd w:id="36"/>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37" w:name="_Toc468285261"/>
      <w:r>
        <w:rPr>
          <w:rStyle w:val="CharSectno"/>
        </w:rPr>
        <w:t>23</w:t>
      </w:r>
      <w:r>
        <w:t>.</w:t>
      </w:r>
      <w:r>
        <w:tab/>
        <w:t>Implied provisions: interpretation etc.</w:t>
      </w:r>
      <w:bookmarkEnd w:id="37"/>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38" w:name="_Toc456191924"/>
      <w:bookmarkStart w:id="39" w:name="_Toc456192016"/>
      <w:bookmarkStart w:id="40" w:name="_Toc468285262"/>
      <w:r>
        <w:rPr>
          <w:rStyle w:val="CharPartNo"/>
        </w:rPr>
        <w:t>Part 3</w:t>
      </w:r>
      <w:r>
        <w:t xml:space="preserve"> — </w:t>
      </w:r>
      <w:r>
        <w:rPr>
          <w:rStyle w:val="CharPartText"/>
        </w:rPr>
        <w:t>Adjudication of disputes</w:t>
      </w:r>
      <w:bookmarkEnd w:id="38"/>
      <w:bookmarkEnd w:id="39"/>
      <w:bookmarkEnd w:id="40"/>
    </w:p>
    <w:p>
      <w:pPr>
        <w:pStyle w:val="Heading3"/>
      </w:pPr>
      <w:bookmarkStart w:id="41" w:name="_Toc456191925"/>
      <w:bookmarkStart w:id="42" w:name="_Toc456192017"/>
      <w:bookmarkStart w:id="43" w:name="_Toc468285263"/>
      <w:r>
        <w:rPr>
          <w:rStyle w:val="CharDivNo"/>
        </w:rPr>
        <w:t>Division 1</w:t>
      </w:r>
      <w:r>
        <w:t> — </w:t>
      </w:r>
      <w:r>
        <w:rPr>
          <w:rStyle w:val="CharDivText"/>
        </w:rPr>
        <w:t>Preliminary</w:t>
      </w:r>
      <w:bookmarkEnd w:id="41"/>
      <w:bookmarkEnd w:id="42"/>
      <w:bookmarkEnd w:id="43"/>
    </w:p>
    <w:p>
      <w:pPr>
        <w:pStyle w:val="Heading5"/>
      </w:pPr>
      <w:bookmarkStart w:id="44" w:name="_Toc468285264"/>
      <w:r>
        <w:rPr>
          <w:rStyle w:val="CharSectno"/>
        </w:rPr>
        <w:t>24</w:t>
      </w:r>
      <w:r>
        <w:t>.</w:t>
      </w:r>
      <w:r>
        <w:tab/>
        <w:t>Interpretation of construction contract</w:t>
      </w:r>
      <w:bookmarkEnd w:id="44"/>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45" w:name="_Toc456191927"/>
      <w:bookmarkStart w:id="46" w:name="_Toc456192019"/>
      <w:bookmarkStart w:id="47" w:name="_Toc468285265"/>
      <w:r>
        <w:rPr>
          <w:rStyle w:val="CharDivNo"/>
        </w:rPr>
        <w:t>Division 2</w:t>
      </w:r>
      <w:r>
        <w:t> — </w:t>
      </w:r>
      <w:r>
        <w:rPr>
          <w:rStyle w:val="CharDivText"/>
        </w:rPr>
        <w:t>Commencing adjudication</w:t>
      </w:r>
      <w:bookmarkEnd w:id="45"/>
      <w:bookmarkEnd w:id="46"/>
      <w:bookmarkEnd w:id="47"/>
    </w:p>
    <w:p>
      <w:pPr>
        <w:pStyle w:val="Heading5"/>
      </w:pPr>
      <w:bookmarkStart w:id="48" w:name="_Toc468285266"/>
      <w:r>
        <w:rPr>
          <w:rStyle w:val="CharSectno"/>
        </w:rPr>
        <w:t>25</w:t>
      </w:r>
      <w:r>
        <w:t>.</w:t>
      </w:r>
      <w:r>
        <w:tab/>
        <w:t>Who can apply for adjudication</w:t>
      </w:r>
      <w:bookmarkEnd w:id="48"/>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49" w:name="_Toc468285267"/>
      <w:r>
        <w:rPr>
          <w:rStyle w:val="CharSectno"/>
        </w:rPr>
        <w:t>26</w:t>
      </w:r>
      <w:r>
        <w:t>.</w:t>
      </w:r>
      <w:r>
        <w:tab/>
        <w:t>Applying for adjudication</w:t>
      </w:r>
      <w:bookmarkEnd w:id="49"/>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50" w:name="_Toc468285268"/>
      <w:r>
        <w:rPr>
          <w:rStyle w:val="CharSectno"/>
        </w:rPr>
        <w:t>27</w:t>
      </w:r>
      <w:r>
        <w:t>.</w:t>
      </w:r>
      <w:r>
        <w:tab/>
        <w:t>Responding to application for adjudication</w:t>
      </w:r>
      <w:bookmarkEnd w:id="50"/>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51" w:name="_Toc468285269"/>
      <w:r>
        <w:rPr>
          <w:rStyle w:val="CharSectno"/>
        </w:rPr>
        <w:t>28</w:t>
      </w:r>
      <w:r>
        <w:t>.</w:t>
      </w:r>
      <w:r>
        <w:tab/>
        <w:t>Appointment of adjudicator in absence of agreed appointment</w:t>
      </w:r>
      <w:bookmarkEnd w:id="51"/>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52" w:name="_Toc468285270"/>
      <w:r>
        <w:rPr>
          <w:rStyle w:val="CharSectno"/>
        </w:rPr>
        <w:t>29</w:t>
      </w:r>
      <w:r>
        <w:t>.</w:t>
      </w:r>
      <w:r>
        <w:tab/>
        <w:t>Adjudicators: conflicts of interest</w:t>
      </w:r>
      <w:bookmarkEnd w:id="52"/>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ageBreakBefore/>
        <w:spacing w:before="0"/>
      </w:pPr>
      <w:bookmarkStart w:id="53" w:name="_Toc456191933"/>
      <w:bookmarkStart w:id="54" w:name="_Toc456192025"/>
      <w:bookmarkStart w:id="55" w:name="_Toc468285271"/>
      <w:r>
        <w:rPr>
          <w:rStyle w:val="CharDivNo"/>
        </w:rPr>
        <w:t>Division 3</w:t>
      </w:r>
      <w:r>
        <w:t> — </w:t>
      </w:r>
      <w:r>
        <w:rPr>
          <w:rStyle w:val="CharDivText"/>
        </w:rPr>
        <w:t>The adjudication process</w:t>
      </w:r>
      <w:bookmarkEnd w:id="53"/>
      <w:bookmarkEnd w:id="54"/>
      <w:bookmarkEnd w:id="55"/>
    </w:p>
    <w:p>
      <w:pPr>
        <w:pStyle w:val="Heading5"/>
      </w:pPr>
      <w:bookmarkStart w:id="56" w:name="_Toc468285272"/>
      <w:r>
        <w:rPr>
          <w:rStyle w:val="CharSectno"/>
        </w:rPr>
        <w:t>30</w:t>
      </w:r>
      <w:r>
        <w:t>.</w:t>
      </w:r>
      <w:r>
        <w:tab/>
        <w:t>Object of adjudication process</w:t>
      </w:r>
      <w:bookmarkEnd w:id="56"/>
    </w:p>
    <w:p>
      <w:pPr>
        <w:pStyle w:val="Subsection"/>
      </w:pPr>
      <w:r>
        <w:tab/>
      </w:r>
      <w:r>
        <w:tab/>
        <w:t>The object of an adjudication of a payment dispute is to determine the dispute fairly and as quickly, informally and inexpensively as possible.</w:t>
      </w:r>
    </w:p>
    <w:p>
      <w:pPr>
        <w:pStyle w:val="Heading5"/>
      </w:pPr>
      <w:bookmarkStart w:id="57" w:name="_Toc468285273"/>
      <w:r>
        <w:rPr>
          <w:rStyle w:val="CharSectno"/>
        </w:rPr>
        <w:t>31</w:t>
      </w:r>
      <w:r>
        <w:t>.</w:t>
      </w:r>
      <w:r>
        <w:tab/>
        <w:t>Adjudicator’s functions</w:t>
      </w:r>
      <w:bookmarkEnd w:id="57"/>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(ii)</w:t>
      </w:r>
      <w:r>
        <w:tab/>
        <w:t>the application has not been prepared and served in accordance with section 26;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58" w:name="_Toc468285274"/>
      <w:r>
        <w:rPr>
          <w:rStyle w:val="CharSectno"/>
        </w:rPr>
        <w:t>32</w:t>
      </w:r>
      <w:r>
        <w:t>.</w:t>
      </w:r>
      <w:r>
        <w:tab/>
        <w:t>Adjudication procedure</w:t>
      </w:r>
      <w:bookmarkEnd w:id="58"/>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59" w:name="_Toc468285275"/>
      <w:r>
        <w:rPr>
          <w:rStyle w:val="CharSectno"/>
        </w:rPr>
        <w:t>33</w:t>
      </w:r>
      <w:r>
        <w:t>.</w:t>
      </w:r>
      <w:r>
        <w:tab/>
        <w:t>Interest up to determination</w:t>
      </w:r>
      <w:bookmarkEnd w:id="59"/>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60" w:name="_Toc468285276"/>
      <w:r>
        <w:rPr>
          <w:rStyle w:val="CharSectno"/>
        </w:rPr>
        <w:t>34</w:t>
      </w:r>
      <w:r>
        <w:t>.</w:t>
      </w:r>
      <w:r>
        <w:tab/>
        <w:t>Costs of parties to payment disputes</w:t>
      </w:r>
      <w:bookmarkEnd w:id="60"/>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61" w:name="_Toc468285277"/>
      <w:r>
        <w:rPr>
          <w:rStyle w:val="CharSectno"/>
        </w:rPr>
        <w:t>35</w:t>
      </w:r>
      <w:r>
        <w:t>.</w:t>
      </w:r>
      <w:r>
        <w:tab/>
        <w:t>Certificates of completion etc., effect of</w:t>
      </w:r>
      <w:bookmarkEnd w:id="61"/>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62" w:name="_Toc468285278"/>
      <w:r>
        <w:rPr>
          <w:rStyle w:val="CharSectno"/>
        </w:rPr>
        <w:t>36</w:t>
      </w:r>
      <w:r>
        <w:t>.</w:t>
      </w:r>
      <w:r>
        <w:tab/>
        <w:t>Determination, content of</w:t>
      </w:r>
      <w:bookmarkEnd w:id="62"/>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63" w:name="_Toc468285279"/>
      <w:r>
        <w:rPr>
          <w:rStyle w:val="CharSectno"/>
        </w:rPr>
        <w:t>37</w:t>
      </w:r>
      <w:r>
        <w:t>.</w:t>
      </w:r>
      <w:r>
        <w:tab/>
        <w:t>Dismissed applications</w:t>
      </w:r>
      <w:bookmarkEnd w:id="63"/>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28 days after the previous application is taken to be dismissed under section 31(3).</w:t>
      </w:r>
    </w:p>
    <w:p>
      <w:pPr>
        <w:pStyle w:val="Heading3"/>
      </w:pPr>
      <w:bookmarkStart w:id="64" w:name="_Toc456191942"/>
      <w:bookmarkStart w:id="65" w:name="_Toc456192034"/>
      <w:bookmarkStart w:id="66" w:name="_Toc468285280"/>
      <w:r>
        <w:rPr>
          <w:rStyle w:val="CharDivNo"/>
        </w:rPr>
        <w:t>Division 4</w:t>
      </w:r>
      <w:r>
        <w:t> — </w:t>
      </w:r>
      <w:r>
        <w:rPr>
          <w:rStyle w:val="CharDivText"/>
        </w:rPr>
        <w:t>Effect of determinations</w:t>
      </w:r>
      <w:bookmarkEnd w:id="64"/>
      <w:bookmarkEnd w:id="65"/>
      <w:bookmarkEnd w:id="66"/>
    </w:p>
    <w:p>
      <w:pPr>
        <w:pStyle w:val="Heading5"/>
      </w:pPr>
      <w:bookmarkStart w:id="67" w:name="_Toc468285281"/>
      <w:r>
        <w:rPr>
          <w:rStyle w:val="CharSectno"/>
        </w:rPr>
        <w:t>38</w:t>
      </w:r>
      <w:r>
        <w:t>.</w:t>
      </w:r>
      <w:r>
        <w:tab/>
        <w:t>Determinations have effect despite other proceedings</w:t>
      </w:r>
      <w:bookmarkEnd w:id="67"/>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68" w:name="_Toc468285282"/>
      <w:r>
        <w:rPr>
          <w:rStyle w:val="CharSectno"/>
        </w:rPr>
        <w:t>39</w:t>
      </w:r>
      <w:r>
        <w:t>.</w:t>
      </w:r>
      <w:r>
        <w:tab/>
        <w:t>Payment of amount determined and interest</w:t>
      </w:r>
      <w:bookmarkEnd w:id="6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69" w:name="_Toc468285283"/>
      <w:r>
        <w:rPr>
          <w:rStyle w:val="CharSectno"/>
        </w:rPr>
        <w:t>40</w:t>
      </w:r>
      <w:r>
        <w:t>.</w:t>
      </w:r>
      <w:r>
        <w:tab/>
        <w:t>Progress payments under determinations to be on account</w:t>
      </w:r>
      <w:bookmarkEnd w:id="69"/>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70" w:name="_Toc468285284"/>
      <w:r>
        <w:rPr>
          <w:rStyle w:val="CharSectno"/>
        </w:rPr>
        <w:t>41</w:t>
      </w:r>
      <w:r>
        <w:t>.</w:t>
      </w:r>
      <w:r>
        <w:tab/>
        <w:t>Determinations are final</w:t>
      </w:r>
      <w:bookmarkEnd w:id="7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71" w:name="_Toc456191947"/>
      <w:bookmarkStart w:id="72" w:name="_Toc456192039"/>
      <w:bookmarkStart w:id="73" w:name="_Toc468285285"/>
      <w:r>
        <w:rPr>
          <w:rStyle w:val="CharDivNo"/>
        </w:rPr>
        <w:t>Division 5</w:t>
      </w:r>
      <w:r>
        <w:t> — </w:t>
      </w:r>
      <w:r>
        <w:rPr>
          <w:rStyle w:val="CharDivText"/>
        </w:rPr>
        <w:t>Enforcing determinations</w:t>
      </w:r>
      <w:bookmarkEnd w:id="71"/>
      <w:bookmarkEnd w:id="72"/>
      <w:bookmarkEnd w:id="73"/>
    </w:p>
    <w:p>
      <w:pPr>
        <w:pStyle w:val="Heading5"/>
        <w:spacing w:before="240"/>
      </w:pPr>
      <w:bookmarkStart w:id="74" w:name="_Toc468285286"/>
      <w:r>
        <w:rPr>
          <w:rStyle w:val="CharSectno"/>
        </w:rPr>
        <w:t>42</w:t>
      </w:r>
      <w:r>
        <w:t>.</w:t>
      </w:r>
      <w:r>
        <w:tab/>
        <w:t>Non</w:t>
      </w:r>
      <w:r>
        <w:noBreakHyphen/>
        <w:t>compliance by principal, contractor may suspend its obligations</w:t>
      </w:r>
      <w:bookmarkEnd w:id="7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75" w:name="_Toc468285287"/>
      <w:r>
        <w:rPr>
          <w:rStyle w:val="CharSectno"/>
        </w:rPr>
        <w:t>43</w:t>
      </w:r>
      <w:r>
        <w:t>.</w:t>
      </w:r>
      <w:r>
        <w:tab/>
        <w:t>Determinations may be enforced as judgments</w:t>
      </w:r>
      <w:bookmarkEnd w:id="7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76" w:name="_Toc456191950"/>
      <w:bookmarkStart w:id="77" w:name="_Toc456192042"/>
      <w:bookmarkStart w:id="78" w:name="_Toc468285288"/>
      <w:r>
        <w:rPr>
          <w:rStyle w:val="CharDivNo"/>
        </w:rPr>
        <w:t>Division 6</w:t>
      </w:r>
      <w:r>
        <w:t> — </w:t>
      </w:r>
      <w:r>
        <w:rPr>
          <w:rStyle w:val="CharDivText"/>
        </w:rPr>
        <w:t>General</w:t>
      </w:r>
      <w:bookmarkEnd w:id="76"/>
      <w:bookmarkEnd w:id="77"/>
      <w:bookmarkEnd w:id="78"/>
    </w:p>
    <w:p>
      <w:pPr>
        <w:pStyle w:val="Heading5"/>
        <w:spacing w:before="240"/>
      </w:pPr>
      <w:bookmarkStart w:id="79" w:name="_Toc468285289"/>
      <w:r>
        <w:rPr>
          <w:rStyle w:val="CharSectno"/>
        </w:rPr>
        <w:t>44</w:t>
      </w:r>
      <w:r>
        <w:t>.</w:t>
      </w:r>
      <w:r>
        <w:tab/>
        <w:t>Costs of adjudications</w:t>
      </w:r>
      <w:bookmarkEnd w:id="79"/>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80" w:name="_Toc468285290"/>
      <w:r>
        <w:rPr>
          <w:rStyle w:val="CharSectno"/>
        </w:rPr>
        <w:t>45</w:t>
      </w:r>
      <w:r>
        <w:t>.</w:t>
      </w:r>
      <w:r>
        <w:tab/>
        <w:t>Effect of this Part on civil proceedings</w:t>
      </w:r>
      <w:bookmarkEnd w:id="80"/>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81" w:name="_Toc468285291"/>
      <w:r>
        <w:rPr>
          <w:rStyle w:val="CharSectno"/>
        </w:rPr>
        <w:t>46</w:t>
      </w:r>
      <w:r>
        <w:t>.</w:t>
      </w:r>
      <w:r>
        <w:tab/>
        <w:t>Review, limited right of</w:t>
      </w:r>
      <w:bookmarkEnd w:id="81"/>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Heading2"/>
      </w:pPr>
      <w:bookmarkStart w:id="82" w:name="_Toc456191954"/>
      <w:bookmarkStart w:id="83" w:name="_Toc456192046"/>
      <w:bookmarkStart w:id="84" w:name="_Toc468285292"/>
      <w:r>
        <w:rPr>
          <w:rStyle w:val="CharPartNo"/>
        </w:rPr>
        <w:t>Part 4</w:t>
      </w:r>
      <w:r>
        <w:rPr>
          <w:rStyle w:val="CharDivNo"/>
        </w:rPr>
        <w:t> </w:t>
      </w:r>
      <w:r>
        <w:t>—</w:t>
      </w:r>
      <w:r>
        <w:rPr>
          <w:rStyle w:val="CharDivText"/>
        </w:rPr>
        <w:t> </w:t>
      </w:r>
      <w:r>
        <w:rPr>
          <w:rStyle w:val="CharPartText"/>
        </w:rPr>
        <w:t>Administration</w:t>
      </w:r>
      <w:bookmarkEnd w:id="82"/>
      <w:bookmarkEnd w:id="83"/>
      <w:bookmarkEnd w:id="84"/>
    </w:p>
    <w:p>
      <w:pPr>
        <w:pStyle w:val="Ednotesection"/>
      </w:pPr>
      <w:r>
        <w:t>[</w:t>
      </w:r>
      <w:r>
        <w:rPr>
          <w:b/>
        </w:rPr>
        <w:t>47.</w:t>
      </w:r>
      <w:r>
        <w:tab/>
        <w:t>Deleted by No. 16 of 2011 s. 128(5)]</w:t>
      </w:r>
    </w:p>
    <w:p>
      <w:pPr>
        <w:pStyle w:val="Heading5"/>
      </w:pPr>
      <w:bookmarkStart w:id="85" w:name="_Toc468285293"/>
      <w:r>
        <w:rPr>
          <w:rStyle w:val="CharSectno"/>
        </w:rPr>
        <w:t>48</w:t>
      </w:r>
      <w:r>
        <w:t>.</w:t>
      </w:r>
      <w:r>
        <w:tab/>
        <w:t>Registering adjudicators</w:t>
      </w:r>
      <w:bookmarkEnd w:id="85"/>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86" w:name="_Toc468285294"/>
      <w:r>
        <w:rPr>
          <w:rStyle w:val="CharSectno"/>
        </w:rPr>
        <w:t>49</w:t>
      </w:r>
      <w:r>
        <w:t>.</w:t>
      </w:r>
      <w:r>
        <w:tab/>
        <w:t>Review of registration decisions</w:t>
      </w:r>
      <w:bookmarkEnd w:id="86"/>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87" w:name="_Toc468285295"/>
      <w:r>
        <w:rPr>
          <w:rStyle w:val="CharSectno"/>
        </w:rPr>
        <w:t>50</w:t>
      </w:r>
      <w:r>
        <w:t>.</w:t>
      </w:r>
      <w:r>
        <w:tab/>
        <w:t>Publication of adjudicators’ decisions</w:t>
      </w:r>
      <w:bookmarkEnd w:id="87"/>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88" w:name="_Toc468285296"/>
      <w:r>
        <w:rPr>
          <w:rStyle w:val="CharSectno"/>
        </w:rPr>
        <w:t>51</w:t>
      </w:r>
      <w:r>
        <w:t>.</w:t>
      </w:r>
      <w:r>
        <w:tab/>
        <w:t>Appointors’ and adjudicators’ rates to be published</w:t>
      </w:r>
      <w:bookmarkEnd w:id="88"/>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89" w:name="_Toc468285297"/>
      <w:r>
        <w:rPr>
          <w:rStyle w:val="CharSectno"/>
        </w:rPr>
        <w:t>52</w:t>
      </w:r>
      <w:r>
        <w:t>.</w:t>
      </w:r>
      <w:r>
        <w:tab/>
        <w:t>Annual report</w:t>
      </w:r>
      <w:bookmarkEnd w:id="89"/>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90" w:name="_Toc456191960"/>
      <w:bookmarkStart w:id="91" w:name="_Toc456192052"/>
      <w:bookmarkStart w:id="92" w:name="_Toc468285298"/>
      <w:r>
        <w:rPr>
          <w:rStyle w:val="CharPartNo"/>
        </w:rPr>
        <w:t>Part 5</w:t>
      </w:r>
      <w:r>
        <w:rPr>
          <w:rStyle w:val="CharDivNo"/>
        </w:rPr>
        <w:t> </w:t>
      </w:r>
      <w:r>
        <w:t>—</w:t>
      </w:r>
      <w:r>
        <w:rPr>
          <w:rStyle w:val="CharDivText"/>
        </w:rPr>
        <w:t> </w:t>
      </w:r>
      <w:r>
        <w:rPr>
          <w:rStyle w:val="CharPartText"/>
        </w:rPr>
        <w:t>Miscellaneous</w:t>
      </w:r>
      <w:bookmarkEnd w:id="90"/>
      <w:bookmarkEnd w:id="91"/>
      <w:bookmarkEnd w:id="92"/>
    </w:p>
    <w:p>
      <w:pPr>
        <w:pStyle w:val="Heading5"/>
      </w:pPr>
      <w:bookmarkStart w:id="93" w:name="_Toc468285299"/>
      <w:r>
        <w:rPr>
          <w:rStyle w:val="CharSectno"/>
        </w:rPr>
        <w:t>53</w:t>
      </w:r>
      <w:r>
        <w:t>.</w:t>
      </w:r>
      <w:r>
        <w:tab/>
        <w:t>No contracting out</w:t>
      </w:r>
      <w:bookmarkEnd w:id="93"/>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94" w:name="_Toc468285300"/>
      <w:r>
        <w:rPr>
          <w:rStyle w:val="CharSectno"/>
        </w:rPr>
        <w:t>54</w:t>
      </w:r>
      <w:r>
        <w:t>.</w:t>
      </w:r>
      <w:r>
        <w:tab/>
        <w:t>Immunity from tortious liability</w:t>
      </w:r>
      <w:bookmarkEnd w:id="94"/>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95" w:name="_Toc468285301"/>
      <w:r>
        <w:rPr>
          <w:rStyle w:val="CharSectno"/>
        </w:rPr>
        <w:t>55</w:t>
      </w:r>
      <w:r>
        <w:t>.</w:t>
      </w:r>
      <w:r>
        <w:tab/>
        <w:t>Regulations</w:t>
      </w:r>
      <w:bookmarkEnd w:id="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96" w:name="_Toc468285302"/>
      <w:r>
        <w:rPr>
          <w:rStyle w:val="CharSectno"/>
        </w:rPr>
        <w:t>56</w:t>
      </w:r>
      <w:r>
        <w:t>.</w:t>
      </w:r>
      <w:r>
        <w:tab/>
        <w:t>Review of Act</w:t>
      </w:r>
      <w:bookmarkEnd w:id="96"/>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 w:name="_Toc456191965"/>
      <w:bookmarkStart w:id="98" w:name="_Toc456192057"/>
      <w:bookmarkStart w:id="99" w:name="_Toc468285303"/>
      <w:r>
        <w:rPr>
          <w:rStyle w:val="CharSchNo"/>
        </w:rPr>
        <w:t>Schedule 1</w:t>
      </w:r>
      <w:r>
        <w:t xml:space="preserve"> — </w:t>
      </w:r>
      <w:r>
        <w:rPr>
          <w:rStyle w:val="CharSchText"/>
        </w:rPr>
        <w:t>Implied provisions</w:t>
      </w:r>
      <w:bookmarkEnd w:id="97"/>
      <w:bookmarkEnd w:id="98"/>
      <w:bookmarkEnd w:id="99"/>
    </w:p>
    <w:p>
      <w:pPr>
        <w:pStyle w:val="yShoulderClause"/>
      </w:pPr>
      <w:r>
        <w:t>[s. 13 to 22]</w:t>
      </w:r>
    </w:p>
    <w:p>
      <w:pPr>
        <w:pStyle w:val="yHeading3"/>
      </w:pPr>
      <w:bookmarkStart w:id="100" w:name="_Toc456191966"/>
      <w:bookmarkStart w:id="101" w:name="_Toc456192058"/>
      <w:bookmarkStart w:id="102" w:name="_Toc468285304"/>
      <w:r>
        <w:rPr>
          <w:rStyle w:val="CharSDivNo"/>
        </w:rPr>
        <w:t>Division 1</w:t>
      </w:r>
      <w:r>
        <w:rPr>
          <w:b w:val="0"/>
        </w:rPr>
        <w:t> — </w:t>
      </w:r>
      <w:r>
        <w:rPr>
          <w:rStyle w:val="CharSDivText"/>
        </w:rPr>
        <w:t>Variations</w:t>
      </w:r>
      <w:bookmarkEnd w:id="100"/>
      <w:bookmarkEnd w:id="101"/>
      <w:bookmarkEnd w:id="102"/>
    </w:p>
    <w:p>
      <w:pPr>
        <w:pStyle w:val="yHeading5"/>
      </w:pPr>
      <w:bookmarkStart w:id="103" w:name="_Toc468285305"/>
      <w:r>
        <w:rPr>
          <w:rStyle w:val="CharSClsNo"/>
        </w:rPr>
        <w:t>1</w:t>
      </w:r>
      <w:r>
        <w:t>.</w:t>
      </w:r>
      <w:r>
        <w:tab/>
        <w:t>Variations must be agreed</w:t>
      </w:r>
      <w:bookmarkEnd w:id="103"/>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04" w:name="_Toc456191968"/>
      <w:bookmarkStart w:id="105" w:name="_Toc456192060"/>
      <w:bookmarkStart w:id="106" w:name="_Toc468285306"/>
      <w:r>
        <w:rPr>
          <w:rStyle w:val="CharSDivNo"/>
        </w:rPr>
        <w:t>Division 2</w:t>
      </w:r>
      <w:r>
        <w:rPr>
          <w:b w:val="0"/>
        </w:rPr>
        <w:t> — </w:t>
      </w:r>
      <w:r>
        <w:rPr>
          <w:rStyle w:val="CharSDivText"/>
        </w:rPr>
        <w:t>Contractor’s entitlement to be paid</w:t>
      </w:r>
      <w:bookmarkEnd w:id="104"/>
      <w:bookmarkEnd w:id="105"/>
      <w:bookmarkEnd w:id="106"/>
    </w:p>
    <w:p>
      <w:pPr>
        <w:pStyle w:val="yHeading5"/>
      </w:pPr>
      <w:bookmarkStart w:id="107" w:name="_Toc468285307"/>
      <w:r>
        <w:rPr>
          <w:rStyle w:val="CharSClsNo"/>
        </w:rPr>
        <w:t>2</w:t>
      </w:r>
      <w:r>
        <w:t>.</w:t>
      </w:r>
      <w:r>
        <w:tab/>
        <w:t>Contractor entitled to be paid</w:t>
      </w:r>
      <w:bookmarkEnd w:id="107"/>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08" w:name="_Toc456191970"/>
      <w:bookmarkStart w:id="109" w:name="_Toc456192062"/>
      <w:bookmarkStart w:id="110" w:name="_Toc468285308"/>
      <w:r>
        <w:rPr>
          <w:rStyle w:val="CharSDivNo"/>
        </w:rPr>
        <w:t>Division 3</w:t>
      </w:r>
      <w:r>
        <w:rPr>
          <w:b w:val="0"/>
        </w:rPr>
        <w:t> — </w:t>
      </w:r>
      <w:r>
        <w:rPr>
          <w:rStyle w:val="CharSDivText"/>
        </w:rPr>
        <w:t>Claims for progress payments</w:t>
      </w:r>
      <w:bookmarkEnd w:id="108"/>
      <w:bookmarkEnd w:id="109"/>
      <w:bookmarkEnd w:id="110"/>
    </w:p>
    <w:p>
      <w:pPr>
        <w:pStyle w:val="yHeading5"/>
      </w:pPr>
      <w:bookmarkStart w:id="111" w:name="_Toc468285309"/>
      <w:r>
        <w:rPr>
          <w:rStyle w:val="CharSClsNo"/>
        </w:rPr>
        <w:t>3</w:t>
      </w:r>
      <w:r>
        <w:t>.</w:t>
      </w:r>
      <w:r>
        <w:tab/>
        <w:t>Entitlement to claim progress payments</w:t>
      </w:r>
      <w:bookmarkEnd w:id="111"/>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12" w:name="_Toc468285310"/>
      <w:r>
        <w:rPr>
          <w:rStyle w:val="CharSClsNo"/>
        </w:rPr>
        <w:t>4</w:t>
      </w:r>
      <w:r>
        <w:t>.</w:t>
      </w:r>
      <w:r>
        <w:tab/>
        <w:t>When claims for progress payments can be made</w:t>
      </w:r>
      <w:bookmarkEnd w:id="112"/>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13" w:name="_Toc456191973"/>
      <w:bookmarkStart w:id="114" w:name="_Toc456192065"/>
      <w:bookmarkStart w:id="115" w:name="_Toc468285311"/>
      <w:r>
        <w:rPr>
          <w:rStyle w:val="CharSDivNo"/>
        </w:rPr>
        <w:t>Division 4</w:t>
      </w:r>
      <w:r>
        <w:rPr>
          <w:b w:val="0"/>
        </w:rPr>
        <w:t> — </w:t>
      </w:r>
      <w:r>
        <w:rPr>
          <w:rStyle w:val="CharSDivText"/>
        </w:rPr>
        <w:t>Making claims for payment</w:t>
      </w:r>
      <w:bookmarkEnd w:id="113"/>
      <w:bookmarkEnd w:id="114"/>
      <w:bookmarkEnd w:id="115"/>
    </w:p>
    <w:p>
      <w:pPr>
        <w:pStyle w:val="yHeading5"/>
      </w:pPr>
      <w:bookmarkStart w:id="116" w:name="_Toc468285312"/>
      <w:r>
        <w:rPr>
          <w:rStyle w:val="CharSClsNo"/>
        </w:rPr>
        <w:t>5</w:t>
      </w:r>
      <w:r>
        <w:t>.</w:t>
      </w:r>
      <w:r>
        <w:tab/>
        <w:t>Claim for payment, content</w:t>
      </w:r>
      <w:bookmarkEnd w:id="11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17" w:name="_Toc456191975"/>
      <w:bookmarkStart w:id="118" w:name="_Toc456192067"/>
      <w:bookmarkStart w:id="119" w:name="_Toc468285313"/>
      <w:r>
        <w:rPr>
          <w:rStyle w:val="CharSDivNo"/>
        </w:rPr>
        <w:t>Division 5</w:t>
      </w:r>
      <w:r>
        <w:rPr>
          <w:b w:val="0"/>
        </w:rPr>
        <w:t> — </w:t>
      </w:r>
      <w:r>
        <w:rPr>
          <w:rStyle w:val="CharSDivText"/>
        </w:rPr>
        <w:t>Responding to claims for payment</w:t>
      </w:r>
      <w:bookmarkEnd w:id="117"/>
      <w:bookmarkEnd w:id="118"/>
      <w:bookmarkEnd w:id="119"/>
    </w:p>
    <w:p>
      <w:pPr>
        <w:pStyle w:val="yHeading5"/>
      </w:pPr>
      <w:bookmarkStart w:id="120" w:name="_Toc468285314"/>
      <w:r>
        <w:rPr>
          <w:rStyle w:val="CharSClsNo"/>
        </w:rPr>
        <w:t>6</w:t>
      </w:r>
      <w:r>
        <w:t>.</w:t>
      </w:r>
      <w:r>
        <w:tab/>
        <w:t>Term used: payment claim</w:t>
      </w:r>
      <w:bookmarkEnd w:id="120"/>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21" w:name="_Toc468285315"/>
      <w:r>
        <w:rPr>
          <w:rStyle w:val="CharSClsNo"/>
        </w:rPr>
        <w:t>7</w:t>
      </w:r>
      <w:r>
        <w:t>.</w:t>
      </w:r>
      <w:r>
        <w:tab/>
        <w:t>Responding to payment claim</w:t>
      </w:r>
      <w:bookmarkEnd w:id="121"/>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22" w:name="_Toc456191978"/>
      <w:bookmarkStart w:id="123" w:name="_Toc456192070"/>
      <w:bookmarkStart w:id="124" w:name="_Toc468285316"/>
      <w:r>
        <w:rPr>
          <w:rStyle w:val="CharSDivNo"/>
        </w:rPr>
        <w:t>Division 6</w:t>
      </w:r>
      <w:r>
        <w:rPr>
          <w:b w:val="0"/>
        </w:rPr>
        <w:t> — </w:t>
      </w:r>
      <w:r>
        <w:rPr>
          <w:rStyle w:val="CharSDivText"/>
        </w:rPr>
        <w:t>Interest on overdue payments</w:t>
      </w:r>
      <w:bookmarkEnd w:id="122"/>
      <w:bookmarkEnd w:id="123"/>
      <w:bookmarkEnd w:id="124"/>
    </w:p>
    <w:p>
      <w:pPr>
        <w:pStyle w:val="yHeading5"/>
      </w:pPr>
      <w:bookmarkStart w:id="125" w:name="_Toc468285317"/>
      <w:r>
        <w:rPr>
          <w:rStyle w:val="CharSClsNo"/>
        </w:rPr>
        <w:t>8</w:t>
      </w:r>
      <w:r>
        <w:t>.</w:t>
      </w:r>
      <w:r>
        <w:tab/>
        <w:t>Interest payable on overdue payments</w:t>
      </w:r>
      <w:bookmarkEnd w:id="12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126" w:name="_Toc456191980"/>
      <w:bookmarkStart w:id="127" w:name="_Toc456192072"/>
      <w:bookmarkStart w:id="128" w:name="_Toc468285318"/>
      <w:r>
        <w:rPr>
          <w:rStyle w:val="CharSDivNo"/>
        </w:rPr>
        <w:t>Division 7</w:t>
      </w:r>
      <w:r>
        <w:rPr>
          <w:b w:val="0"/>
        </w:rPr>
        <w:t> — </w:t>
      </w:r>
      <w:r>
        <w:rPr>
          <w:rStyle w:val="CharSDivText"/>
        </w:rPr>
        <w:t>Ownership of goods</w:t>
      </w:r>
      <w:bookmarkEnd w:id="126"/>
      <w:bookmarkEnd w:id="127"/>
      <w:bookmarkEnd w:id="128"/>
    </w:p>
    <w:p>
      <w:pPr>
        <w:pStyle w:val="yHeading5"/>
      </w:pPr>
      <w:bookmarkStart w:id="129" w:name="_Toc468285319"/>
      <w:r>
        <w:rPr>
          <w:rStyle w:val="CharSClsNo"/>
        </w:rPr>
        <w:t>9</w:t>
      </w:r>
      <w:r>
        <w:t>.</w:t>
      </w:r>
      <w:r>
        <w:tab/>
        <w:t>When ownership of goods supplied by contractor passes</w:t>
      </w:r>
      <w:bookmarkEnd w:id="129"/>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30" w:name="_Toc456191982"/>
      <w:bookmarkStart w:id="131" w:name="_Toc456192074"/>
      <w:bookmarkStart w:id="132" w:name="_Toc468285320"/>
      <w:r>
        <w:rPr>
          <w:rStyle w:val="CharSDivNo"/>
        </w:rPr>
        <w:t>Division 8</w:t>
      </w:r>
      <w:r>
        <w:rPr>
          <w:b w:val="0"/>
        </w:rPr>
        <w:t> — </w:t>
      </w:r>
      <w:r>
        <w:rPr>
          <w:rStyle w:val="CharSDivText"/>
        </w:rPr>
        <w:t>Duties as to unfixed goods on insolvency</w:t>
      </w:r>
      <w:bookmarkEnd w:id="130"/>
      <w:bookmarkEnd w:id="131"/>
      <w:bookmarkEnd w:id="132"/>
    </w:p>
    <w:p>
      <w:pPr>
        <w:pStyle w:val="yHeading5"/>
      </w:pPr>
      <w:bookmarkStart w:id="133" w:name="_Toc468285321"/>
      <w:r>
        <w:rPr>
          <w:rStyle w:val="CharSClsNo"/>
        </w:rPr>
        <w:t>10</w:t>
      </w:r>
      <w:r>
        <w:t>.</w:t>
      </w:r>
      <w:r>
        <w:tab/>
        <w:t>Duties of principal or landowner etc. as to unfixed goods on insolvency</w:t>
      </w:r>
      <w:bookmarkEnd w:id="133"/>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134" w:name="_Toc456191984"/>
      <w:bookmarkStart w:id="135" w:name="_Toc456192076"/>
      <w:bookmarkStart w:id="136" w:name="_Toc468285322"/>
      <w:r>
        <w:rPr>
          <w:rStyle w:val="CharSDivNo"/>
        </w:rPr>
        <w:t>Division 9</w:t>
      </w:r>
      <w:r>
        <w:rPr>
          <w:b w:val="0"/>
        </w:rPr>
        <w:t> — </w:t>
      </w:r>
      <w:r>
        <w:rPr>
          <w:rStyle w:val="CharSDivText"/>
        </w:rPr>
        <w:t>Retention money</w:t>
      </w:r>
      <w:bookmarkEnd w:id="134"/>
      <w:bookmarkEnd w:id="135"/>
      <w:bookmarkEnd w:id="136"/>
    </w:p>
    <w:p>
      <w:pPr>
        <w:pStyle w:val="yHeading5"/>
        <w:spacing w:before="240"/>
      </w:pPr>
      <w:bookmarkStart w:id="137" w:name="_Toc468285323"/>
      <w:r>
        <w:rPr>
          <w:rStyle w:val="CharSClsNo"/>
        </w:rPr>
        <w:t>11</w:t>
      </w:r>
      <w:r>
        <w:t>.</w:t>
      </w:r>
      <w:r>
        <w:tab/>
        <w:t>Retention money to be held on trust</w:t>
      </w:r>
      <w:bookmarkEnd w:id="137"/>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pStyle w:val="yIndenta"/>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8" w:name="_Toc456191986"/>
      <w:bookmarkStart w:id="139" w:name="_Toc456192078"/>
      <w:bookmarkStart w:id="140" w:name="_Toc468285324"/>
      <w:r>
        <w:t>Notes</w:t>
      </w:r>
      <w:bookmarkEnd w:id="138"/>
      <w:bookmarkEnd w:id="139"/>
      <w:bookmarkEnd w:id="140"/>
    </w:p>
    <w:p>
      <w:pPr>
        <w:pStyle w:val="nSubsection"/>
      </w:pPr>
      <w:r>
        <w:rPr>
          <w:vertAlign w:val="superscript"/>
        </w:rPr>
        <w:t>1</w:t>
      </w:r>
      <w:r>
        <w:tab/>
        <w:t xml:space="preserve">This is a compilation of the </w:t>
      </w:r>
      <w:r>
        <w:rPr>
          <w:i/>
          <w:noProof/>
          <w:snapToGrid w:val="0"/>
        </w:rPr>
        <w:t xml:space="preserve">Construction Contracts Act 2004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41" w:name="_Toc468285325"/>
      <w:r>
        <w:rPr>
          <w:snapToGrid w:val="0"/>
        </w:rP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Construction Contracts Amendment Act 2016</w:t>
            </w:r>
            <w:r>
              <w:t xml:space="preserve"> s. 1 and 2</w:t>
            </w:r>
          </w:p>
        </w:tc>
        <w:tc>
          <w:tcPr>
            <w:tcW w:w="1134" w:type="dxa"/>
            <w:gridSpan w:val="2"/>
            <w:tcBorders>
              <w:top w:val="nil"/>
              <w:bottom w:val="single" w:sz="2" w:space="0" w:color="auto"/>
            </w:tcBorders>
            <w:shd w:val="clear" w:color="auto" w:fill="auto"/>
          </w:tcPr>
          <w:p>
            <w:pPr>
              <w:pStyle w:val="nTable"/>
              <w:spacing w:after="40"/>
            </w:pPr>
            <w:r>
              <w:t>55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80" w:type="dxa"/>
            <w:gridSpan w:val="3"/>
            <w:tcBorders>
              <w:top w:val="nil"/>
              <w:bottom w:val="single" w:sz="2" w:space="0" w:color="auto"/>
            </w:tcBorders>
            <w:shd w:val="clear" w:color="auto" w:fill="auto"/>
          </w:tcPr>
          <w:p>
            <w:pPr>
              <w:pStyle w:val="nTable"/>
              <w:spacing w:after="40"/>
              <w:rPr>
                <w:snapToGrid w:val="0"/>
              </w:rPr>
            </w:pPr>
            <w:r>
              <w:rPr>
                <w:snapToGrid w:val="0"/>
              </w:rPr>
              <w:t>29 Nov 2016 (see s. 2(a));</w:t>
            </w:r>
          </w:p>
          <w:p>
            <w:pPr>
              <w:pStyle w:val="nTable"/>
              <w:spacing w:after="40"/>
              <w:rPr>
                <w:snapToGrid w:val="0"/>
              </w:rPr>
            </w:pP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 w:name="_Toc468285326"/>
      <w:r>
        <w:t>Provisions that have not come into operation</w:t>
      </w:r>
      <w:bookmarkEnd w:id="1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Construction Contracts Amendment Act 2016</w:t>
            </w:r>
            <w:r>
              <w:t xml:space="preserve"> s. 3</w:t>
            </w:r>
            <w:r>
              <w:noBreakHyphen/>
              <w:t> 20</w:t>
            </w:r>
            <w:r>
              <w:rPr>
                <w:vertAlign w:val="superscript"/>
              </w:rPr>
              <w:t> 2</w:t>
            </w:r>
          </w:p>
        </w:tc>
        <w:tc>
          <w:tcPr>
            <w:tcW w:w="1134" w:type="dxa"/>
            <w:tcBorders>
              <w:top w:val="nil"/>
              <w:bottom w:val="single" w:sz="2" w:space="0" w:color="auto"/>
            </w:tcBorders>
            <w:shd w:val="clear" w:color="auto" w:fill="auto"/>
          </w:tcPr>
          <w:p>
            <w:pPr>
              <w:pStyle w:val="nTable"/>
              <w:spacing w:after="40"/>
            </w:pPr>
            <w:r>
              <w:t>55 of 2016</w:t>
            </w:r>
          </w:p>
        </w:tc>
        <w:tc>
          <w:tcPr>
            <w:tcW w:w="1134" w:type="dxa"/>
            <w:tcBorders>
              <w:top w:val="nil"/>
              <w:bottom w:val="single" w:sz="2" w:space="0" w:color="auto"/>
            </w:tcBorders>
            <w:shd w:val="clear" w:color="auto" w:fill="auto"/>
          </w:tcPr>
          <w:p>
            <w:pPr>
              <w:pStyle w:val="nTable"/>
              <w:spacing w:after="40"/>
            </w:pPr>
            <w:r>
              <w:t>29 Nov 2016</w:t>
            </w:r>
          </w:p>
        </w:tc>
        <w:tc>
          <w:tcPr>
            <w:tcW w:w="2580" w:type="dxa"/>
            <w:gridSpan w:val="2"/>
            <w:tcBorders>
              <w:top w:val="nil"/>
              <w:bottom w:val="single" w:sz="2" w:space="0" w:color="auto"/>
            </w:tcBorders>
            <w:shd w:val="clear" w:color="auto" w:fill="auto"/>
          </w:tcPr>
          <w:p>
            <w:pPr>
              <w:pStyle w:val="nTable"/>
              <w:spacing w:after="40"/>
              <w:rPr>
                <w:snapToGrid w:val="0"/>
              </w:rPr>
            </w:pPr>
            <w:r>
              <w:rPr>
                <w:snapToGrid w:val="0"/>
              </w:rPr>
              <w:t>s. 3-6 and 8</w:t>
            </w:r>
            <w:r>
              <w:rPr>
                <w:snapToGrid w:val="0"/>
              </w:rPr>
              <w:noBreakHyphen/>
              <w:t>19: 15 Dec 2016 (see s. 2(b));</w:t>
            </w:r>
            <w:r>
              <w:rPr>
                <w:snapToGrid w:val="0"/>
              </w:rPr>
              <w:br/>
              <w:t>s. 7 and 20: 3 Apr 2017 (see s. 2(c))</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Construction Contracts Amendment Act 2016</w:t>
      </w:r>
      <w:r>
        <w:t xml:space="preserve"> s. 3</w:t>
      </w:r>
      <w:r>
        <w:noBreakHyphen/>
        <w:t xml:space="preserve">20 </w:t>
      </w:r>
      <w:r>
        <w:rPr>
          <w:snapToGrid w:val="0"/>
        </w:rPr>
        <w:t>had not come into operation.  They read as follows:</w:t>
      </w:r>
    </w:p>
    <w:p>
      <w:pPr>
        <w:pStyle w:val="BlankOpen"/>
      </w:pPr>
    </w:p>
    <w:p>
      <w:pPr>
        <w:pStyle w:val="nzHeading5"/>
        <w:rPr>
          <w:snapToGrid w:val="0"/>
        </w:rPr>
      </w:pPr>
      <w:bookmarkStart w:id="143" w:name="_Toc468256806"/>
      <w:r>
        <w:rPr>
          <w:rStyle w:val="CharSectno"/>
        </w:rPr>
        <w:t>3</w:t>
      </w:r>
      <w:r>
        <w:rPr>
          <w:snapToGrid w:val="0"/>
        </w:rPr>
        <w:t>.</w:t>
      </w:r>
      <w:r>
        <w:rPr>
          <w:snapToGrid w:val="0"/>
        </w:rPr>
        <w:tab/>
        <w:t>Act amended</w:t>
      </w:r>
      <w:bookmarkEnd w:id="143"/>
    </w:p>
    <w:p>
      <w:pPr>
        <w:pStyle w:val="nzSubsection"/>
      </w:pPr>
      <w:r>
        <w:tab/>
      </w:r>
      <w:r>
        <w:tab/>
        <w:t xml:space="preserve">This Act amends the </w:t>
      </w:r>
      <w:r>
        <w:rPr>
          <w:i/>
        </w:rPr>
        <w:t>Construction Contracts Act 2004</w:t>
      </w:r>
      <w:r>
        <w:t>.</w:t>
      </w:r>
    </w:p>
    <w:p>
      <w:pPr>
        <w:pStyle w:val="nzHeading5"/>
      </w:pPr>
      <w:bookmarkStart w:id="144" w:name="_Toc468256807"/>
      <w:r>
        <w:rPr>
          <w:rStyle w:val="CharSectno"/>
        </w:rPr>
        <w:t>4</w:t>
      </w:r>
      <w:r>
        <w:t>.</w:t>
      </w:r>
      <w:r>
        <w:tab/>
        <w:t>Section 3 amended</w:t>
      </w:r>
      <w:bookmarkEnd w:id="144"/>
    </w:p>
    <w:p>
      <w:pPr>
        <w:pStyle w:val="nzSubsection"/>
      </w:pPr>
      <w:r>
        <w:tab/>
        <w:t>(1)</w:t>
      </w:r>
      <w:r>
        <w:tab/>
        <w:t xml:space="preserve">In section 3 delete the definition of </w:t>
      </w:r>
      <w:r>
        <w:rPr>
          <w:b/>
          <w:i/>
        </w:rPr>
        <w:t>payment claim</w:t>
      </w:r>
      <w:r>
        <w:t>.</w:t>
      </w:r>
    </w:p>
    <w:p>
      <w:pPr>
        <w:pStyle w:val="nzSubsection"/>
      </w:pPr>
      <w:r>
        <w:tab/>
        <w:t>(2)</w:t>
      </w:r>
      <w:r>
        <w:tab/>
        <w:t xml:space="preserve">In section 3 insert in alphabetical order — </w:t>
      </w:r>
    </w:p>
    <w:p>
      <w:pPr>
        <w:pStyle w:val="BlankOpen"/>
      </w:pPr>
    </w:p>
    <w:p>
      <w:pPr>
        <w:pStyle w:val="nzDefstart"/>
      </w:pPr>
      <w:r>
        <w:tab/>
      </w:r>
      <w:r>
        <w:rPr>
          <w:rStyle w:val="CharDefText"/>
        </w:rPr>
        <w:t>business day</w:t>
      </w:r>
      <w:r>
        <w:t xml:space="preserve"> means a day other than — </w:t>
      </w:r>
    </w:p>
    <w:p>
      <w:pPr>
        <w:pStyle w:val="nzDefpara"/>
      </w:pPr>
      <w:r>
        <w:tab/>
        <w:t>(a)</w:t>
      </w:r>
      <w:r>
        <w:tab/>
        <w:t>a Saturday, Sunday or public holiday; or</w:t>
      </w:r>
    </w:p>
    <w:p>
      <w:pPr>
        <w:pStyle w:val="nzDefpara"/>
      </w:pPr>
      <w:r>
        <w:tab/>
        <w:t>(b)</w:t>
      </w:r>
      <w:r>
        <w:tab/>
        <w:t>a day in the period beginning on 25 December in a year and ending on 7 January in the following year;</w:t>
      </w:r>
    </w:p>
    <w:p>
      <w:pPr>
        <w:pStyle w:val="nzDefstart"/>
      </w:pPr>
      <w:r>
        <w:rPr>
          <w:b/>
        </w:rPr>
        <w:tab/>
      </w:r>
      <w:r>
        <w:rPr>
          <w:rStyle w:val="CharDefText"/>
        </w:rPr>
        <w:t>payment claim</w:t>
      </w:r>
      <w:r>
        <w:t xml:space="preserve"> — </w:t>
      </w:r>
    </w:p>
    <w:p>
      <w:pPr>
        <w:pStyle w:val="nzDefpara"/>
      </w:pPr>
      <w:r>
        <w:tab/>
        <w:t>(a)</w:t>
      </w:r>
      <w:r>
        <w:tab/>
        <w:t xml:space="preserve">means a claim made under a construction contract — </w:t>
      </w:r>
    </w:p>
    <w:p>
      <w:pPr>
        <w:pStyle w:val="nzDefsubpara"/>
      </w:pPr>
      <w:r>
        <w:tab/>
        <w:t>(i)</w:t>
      </w:r>
      <w:r>
        <w:tab/>
        <w:t>by the contractor to the principal for payment of an amount in relation to the performance by the contractor of its obligations under the contract; or</w:t>
      </w:r>
    </w:p>
    <w:p>
      <w:pPr>
        <w:pStyle w:val="nzDefsubpara"/>
      </w:pPr>
      <w:r>
        <w:tab/>
        <w:t>(ii)</w:t>
      </w:r>
      <w:r>
        <w:tab/>
        <w:t>by the principal to the contractor for payment of an amount in relation to the performance or non</w:t>
      </w:r>
      <w:r>
        <w:noBreakHyphen/>
        <w:t>performance by the contractor of its obligations under the contract;</w:t>
      </w:r>
    </w:p>
    <w:p>
      <w:pPr>
        <w:pStyle w:val="nzDefpara"/>
      </w:pPr>
      <w:r>
        <w:tab/>
      </w:r>
      <w:r>
        <w:tab/>
        <w:t>and</w:t>
      </w:r>
    </w:p>
    <w:p>
      <w:pPr>
        <w:pStyle w:val="nzDefpara"/>
      </w:pPr>
      <w:r>
        <w:tab/>
        <w:t>(b)</w:t>
      </w:r>
      <w:r>
        <w:tab/>
        <w:t>includes a payment claim that includes matters covered by a previous payment claim;</w:t>
      </w:r>
    </w:p>
    <w:p>
      <w:pPr>
        <w:pStyle w:val="BlankClose"/>
      </w:pPr>
    </w:p>
    <w:p>
      <w:pPr>
        <w:pStyle w:val="nzHeading5"/>
      </w:pPr>
      <w:bookmarkStart w:id="145" w:name="_Toc468256808"/>
      <w:r>
        <w:rPr>
          <w:rStyle w:val="CharSectno"/>
        </w:rPr>
        <w:t>5</w:t>
      </w:r>
      <w:r>
        <w:t>.</w:t>
      </w:r>
      <w:r>
        <w:tab/>
        <w:t>Section 4 amended</w:t>
      </w:r>
      <w:bookmarkEnd w:id="145"/>
    </w:p>
    <w:p>
      <w:pPr>
        <w:pStyle w:val="nzSubsection"/>
      </w:pPr>
      <w:r>
        <w:tab/>
      </w:r>
      <w:r>
        <w:tab/>
        <w:t>In section 4(3):</w:t>
      </w:r>
    </w:p>
    <w:p>
      <w:pPr>
        <w:pStyle w:val="nzIndenta"/>
      </w:pPr>
      <w:r>
        <w:tab/>
        <w:t>(a)</w:t>
      </w:r>
      <w:r>
        <w:tab/>
        <w:t>in paragraph (c) delete “constructing any plant for the purposes o</w:t>
      </w:r>
      <w:r>
        <w:rPr>
          <w:spacing w:val="40"/>
        </w:rPr>
        <w:t>f</w:t>
      </w:r>
      <w:r>
        <w:t>” and insert:</w:t>
      </w:r>
    </w:p>
    <w:p>
      <w:pPr>
        <w:pStyle w:val="BlankOpen"/>
      </w:pPr>
    </w:p>
    <w:p>
      <w:pPr>
        <w:pStyle w:val="nzIndenta"/>
      </w:pPr>
      <w:r>
        <w:tab/>
      </w:r>
      <w:r>
        <w:tab/>
        <w:t>fabricating or assembling items of plant used for</w:t>
      </w:r>
    </w:p>
    <w:p>
      <w:pPr>
        <w:pStyle w:val="BlankClose"/>
      </w:pPr>
    </w:p>
    <w:p>
      <w:pPr>
        <w:pStyle w:val="nzIndenta"/>
      </w:pPr>
      <w:r>
        <w:tab/>
        <w:t>(b)</w:t>
      </w:r>
      <w:r>
        <w:tab/>
        <w:t>delete paragraph (d).</w:t>
      </w:r>
    </w:p>
    <w:p>
      <w:pPr>
        <w:pStyle w:val="nzHeading5"/>
      </w:pPr>
      <w:bookmarkStart w:id="146" w:name="_Toc468256809"/>
      <w:r>
        <w:rPr>
          <w:rStyle w:val="CharSectno"/>
        </w:rPr>
        <w:t>6</w:t>
      </w:r>
      <w:r>
        <w:t>.</w:t>
      </w:r>
      <w:r>
        <w:tab/>
        <w:t>Section 6 amended</w:t>
      </w:r>
      <w:bookmarkEnd w:id="146"/>
    </w:p>
    <w:p>
      <w:pPr>
        <w:pStyle w:val="nzSubsection"/>
        <w:keepNext/>
      </w:pPr>
      <w:r>
        <w:tab/>
        <w:t>(1)</w:t>
      </w:r>
      <w:r>
        <w:tab/>
        <w:t>In section 6:</w:t>
      </w:r>
    </w:p>
    <w:p>
      <w:pPr>
        <w:pStyle w:val="nzIndenta"/>
        <w:keepNext/>
      </w:pPr>
      <w:r>
        <w:tab/>
        <w:t>(a)</w:t>
      </w:r>
      <w:r>
        <w:tab/>
        <w:t>delete “For the purposes” and insert:</w:t>
      </w:r>
    </w:p>
    <w:p>
      <w:pPr>
        <w:pStyle w:val="BlankOpen"/>
      </w:pPr>
    </w:p>
    <w:p>
      <w:pPr>
        <w:pStyle w:val="nzSubsection"/>
      </w:pPr>
      <w:r>
        <w:tab/>
        <w:t>(1)</w:t>
      </w:r>
      <w:r>
        <w:tab/>
        <w:t>For the purposes</w:t>
      </w:r>
    </w:p>
    <w:p>
      <w:pPr>
        <w:pStyle w:val="BlankClose"/>
      </w:pPr>
    </w:p>
    <w:p>
      <w:pPr>
        <w:pStyle w:val="nzIndenta"/>
      </w:pPr>
      <w:r>
        <w:tab/>
        <w:t>(b)</w:t>
      </w:r>
      <w:r>
        <w:tab/>
        <w:t>before paragraph (a) insert:</w:t>
      </w:r>
    </w:p>
    <w:p>
      <w:pPr>
        <w:pStyle w:val="BlankOpen"/>
      </w:pPr>
    </w:p>
    <w:p>
      <w:pPr>
        <w:pStyle w:val="nzIndenta"/>
      </w:pPr>
      <w:r>
        <w:tab/>
        <w:t>(aa)</w:t>
      </w:r>
      <w:r>
        <w:tab/>
        <w:t>a payment claim is rejected or wholly or partly disputed; or</w:t>
      </w:r>
    </w:p>
    <w:p>
      <w:pPr>
        <w:pStyle w:val="BlankClose"/>
      </w:pPr>
    </w:p>
    <w:p>
      <w:pPr>
        <w:pStyle w:val="nzIndenta"/>
      </w:pPr>
      <w:r>
        <w:tab/>
        <w:t>(c)</w:t>
      </w:r>
      <w:r>
        <w:tab/>
        <w:t>in paragraph (a) delete “full, or the claim has been rejected or wholly or partly disputed; or” and insert:</w:t>
      </w:r>
    </w:p>
    <w:p>
      <w:pPr>
        <w:pStyle w:val="BlankOpen"/>
      </w:pPr>
    </w:p>
    <w:p>
      <w:pPr>
        <w:pStyle w:val="nzIndenta"/>
      </w:pPr>
      <w:r>
        <w:tab/>
      </w:r>
      <w:r>
        <w:tab/>
        <w:t>full; or</w:t>
      </w:r>
    </w:p>
    <w:p>
      <w:pPr>
        <w:pStyle w:val="BlankClose"/>
      </w:pPr>
    </w:p>
    <w:p>
      <w:pPr>
        <w:pStyle w:val="nzSubsection"/>
      </w:pPr>
      <w:r>
        <w:tab/>
        <w:t>(2)</w:t>
      </w:r>
      <w:r>
        <w:tab/>
        <w:t>At the end of section 6 insert:</w:t>
      </w:r>
    </w:p>
    <w:p>
      <w:pPr>
        <w:pStyle w:val="BlankOpen"/>
      </w:pPr>
    </w:p>
    <w:p>
      <w:pPr>
        <w:pStyle w:val="nz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nzSubsection"/>
      </w:pPr>
      <w:r>
        <w:tab/>
        <w:t>(3)</w:t>
      </w:r>
      <w:r>
        <w:tab/>
        <w:t>If a payment dispute arises under both subsection (1)(aa) and (a) in relation to a payment claim then, for the purposes of this Act, the dispute arises on the earlier of the 2 occurrences.</w:t>
      </w:r>
    </w:p>
    <w:p>
      <w:pPr>
        <w:pStyle w:val="BlankClose"/>
      </w:pPr>
    </w:p>
    <w:p>
      <w:pPr>
        <w:pStyle w:val="nzHeading5"/>
      </w:pPr>
      <w:bookmarkStart w:id="147" w:name="_Toc468256810"/>
      <w:r>
        <w:rPr>
          <w:rStyle w:val="CharSectno"/>
        </w:rPr>
        <w:t>7</w:t>
      </w:r>
      <w:r>
        <w:t>.</w:t>
      </w:r>
      <w:r>
        <w:tab/>
        <w:t>Section 10 amended</w:t>
      </w:r>
      <w:bookmarkEnd w:id="147"/>
    </w:p>
    <w:p>
      <w:pPr>
        <w:pStyle w:val="nzSubsection"/>
      </w:pPr>
      <w:r>
        <w:tab/>
      </w:r>
      <w:r>
        <w:tab/>
        <w:t>In section 10 delete “50 days” (each occurrence) and insert:</w:t>
      </w:r>
    </w:p>
    <w:p>
      <w:pPr>
        <w:pStyle w:val="BlankOpen"/>
      </w:pPr>
    </w:p>
    <w:p>
      <w:pPr>
        <w:pStyle w:val="nzSubsection"/>
      </w:pPr>
      <w:r>
        <w:tab/>
      </w:r>
      <w:r>
        <w:tab/>
        <w:t>42 days</w:t>
      </w:r>
    </w:p>
    <w:p>
      <w:pPr>
        <w:pStyle w:val="BlankClose"/>
      </w:pPr>
    </w:p>
    <w:p>
      <w:pPr>
        <w:pStyle w:val="nzSectAltNote"/>
      </w:pPr>
      <w:r>
        <w:tab/>
        <w:t>Note:</w:t>
      </w:r>
      <w:r>
        <w:tab/>
        <w:t>The heading to amended section 10 is to read:</w:t>
      </w:r>
    </w:p>
    <w:p>
      <w:pPr>
        <w:pStyle w:val="nzSectAltHeading"/>
      </w:pPr>
      <w:r>
        <w:rPr>
          <w:b w:val="0"/>
        </w:rPr>
        <w:tab/>
      </w:r>
      <w:r>
        <w:rPr>
          <w:b w:val="0"/>
        </w:rPr>
        <w:tab/>
      </w:r>
      <w:r>
        <w:t>Prohibited: provisions requiring payment to be made after 42 days</w:t>
      </w:r>
    </w:p>
    <w:p>
      <w:pPr>
        <w:pStyle w:val="nzHeading5"/>
      </w:pPr>
      <w:bookmarkStart w:id="148" w:name="_Toc468256811"/>
      <w:r>
        <w:rPr>
          <w:rStyle w:val="CharSectno"/>
        </w:rPr>
        <w:t>8</w:t>
      </w:r>
      <w:r>
        <w:t>.</w:t>
      </w:r>
      <w:r>
        <w:tab/>
        <w:t>Section 26 amended</w:t>
      </w:r>
      <w:bookmarkEnd w:id="148"/>
    </w:p>
    <w:p>
      <w:pPr>
        <w:pStyle w:val="nzSubsection"/>
      </w:pPr>
      <w:r>
        <w:tab/>
      </w:r>
      <w:r>
        <w:tab/>
        <w:t>In section 26(1) delete “28 days” and insert:</w:t>
      </w:r>
    </w:p>
    <w:p>
      <w:pPr>
        <w:pStyle w:val="BlankOpen"/>
      </w:pPr>
    </w:p>
    <w:p>
      <w:pPr>
        <w:pStyle w:val="nzSubsection"/>
      </w:pPr>
      <w:r>
        <w:tab/>
      </w:r>
      <w:r>
        <w:tab/>
        <w:t>90 business days</w:t>
      </w:r>
    </w:p>
    <w:p>
      <w:pPr>
        <w:pStyle w:val="BlankClose"/>
      </w:pPr>
    </w:p>
    <w:p>
      <w:pPr>
        <w:pStyle w:val="nzHeading5"/>
      </w:pPr>
      <w:bookmarkStart w:id="149" w:name="_Toc468256812"/>
      <w:r>
        <w:rPr>
          <w:rStyle w:val="CharSectno"/>
        </w:rPr>
        <w:t>9</w:t>
      </w:r>
      <w:r>
        <w:t>.</w:t>
      </w:r>
      <w:r>
        <w:tab/>
        <w:t>Section 27 amended</w:t>
      </w:r>
      <w:bookmarkEnd w:id="149"/>
    </w:p>
    <w:p>
      <w:pPr>
        <w:pStyle w:val="nzSubsection"/>
      </w:pPr>
      <w:r>
        <w:tab/>
      </w:r>
      <w:r>
        <w:tab/>
        <w:t>In section 27(1) delete “14 days” and insert:</w:t>
      </w:r>
    </w:p>
    <w:p>
      <w:pPr>
        <w:pStyle w:val="BlankOpen"/>
      </w:pPr>
    </w:p>
    <w:p>
      <w:pPr>
        <w:pStyle w:val="nzSubsection"/>
      </w:pPr>
      <w:r>
        <w:tab/>
      </w:r>
      <w:r>
        <w:tab/>
        <w:t>10 business days</w:t>
      </w:r>
    </w:p>
    <w:p>
      <w:pPr>
        <w:pStyle w:val="BlankClose"/>
      </w:pPr>
    </w:p>
    <w:p>
      <w:pPr>
        <w:pStyle w:val="nzHeading5"/>
      </w:pPr>
      <w:bookmarkStart w:id="150" w:name="_Toc468256813"/>
      <w:r>
        <w:rPr>
          <w:rStyle w:val="CharSectno"/>
        </w:rPr>
        <w:t>10</w:t>
      </w:r>
      <w:r>
        <w:t>.</w:t>
      </w:r>
      <w:r>
        <w:tab/>
        <w:t>Section 28 amended</w:t>
      </w:r>
      <w:bookmarkEnd w:id="150"/>
    </w:p>
    <w:p>
      <w:pPr>
        <w:pStyle w:val="nzSubsection"/>
      </w:pPr>
      <w:r>
        <w:tab/>
      </w:r>
      <w:r>
        <w:tab/>
        <w:t>In section 28(1) delete “5 days” and insert:</w:t>
      </w:r>
    </w:p>
    <w:p>
      <w:pPr>
        <w:pStyle w:val="BlankOpen"/>
      </w:pPr>
    </w:p>
    <w:p>
      <w:pPr>
        <w:pStyle w:val="nzSubsection"/>
      </w:pPr>
      <w:r>
        <w:tab/>
      </w:r>
      <w:r>
        <w:tab/>
        <w:t>5 business days</w:t>
      </w:r>
    </w:p>
    <w:p>
      <w:pPr>
        <w:pStyle w:val="BlankClose"/>
      </w:pPr>
    </w:p>
    <w:p>
      <w:pPr>
        <w:pStyle w:val="nzHeading5"/>
      </w:pPr>
      <w:bookmarkStart w:id="151" w:name="_Toc468256814"/>
      <w:r>
        <w:rPr>
          <w:rStyle w:val="CharSectno"/>
        </w:rPr>
        <w:t>11</w:t>
      </w:r>
      <w:r>
        <w:t>.</w:t>
      </w:r>
      <w:r>
        <w:tab/>
        <w:t>Section 29 amended</w:t>
      </w:r>
      <w:bookmarkEnd w:id="151"/>
    </w:p>
    <w:p>
      <w:pPr>
        <w:pStyle w:val="nzSubsection"/>
      </w:pPr>
      <w:r>
        <w:tab/>
      </w:r>
      <w:r>
        <w:tab/>
        <w:t>In section 29(2)(b) delete “5 days” and insert:</w:t>
      </w:r>
    </w:p>
    <w:p>
      <w:pPr>
        <w:pStyle w:val="BlankOpen"/>
      </w:pPr>
    </w:p>
    <w:p>
      <w:pPr>
        <w:pStyle w:val="nzSubsection"/>
      </w:pPr>
      <w:r>
        <w:tab/>
      </w:r>
      <w:r>
        <w:tab/>
        <w:t>5 business days</w:t>
      </w:r>
    </w:p>
    <w:p>
      <w:pPr>
        <w:pStyle w:val="BlankClose"/>
      </w:pPr>
    </w:p>
    <w:p>
      <w:pPr>
        <w:pStyle w:val="nzHeading5"/>
      </w:pPr>
      <w:bookmarkStart w:id="152" w:name="_Toc468256815"/>
      <w:r>
        <w:rPr>
          <w:rStyle w:val="CharSectno"/>
        </w:rPr>
        <w:t>12</w:t>
      </w:r>
      <w:r>
        <w:t>.</w:t>
      </w:r>
      <w:r>
        <w:tab/>
        <w:t>Section 31 amended</w:t>
      </w:r>
      <w:bookmarkEnd w:id="152"/>
    </w:p>
    <w:p>
      <w:pPr>
        <w:pStyle w:val="nzSubsection"/>
      </w:pPr>
      <w:r>
        <w:tab/>
        <w:t>(1)</w:t>
      </w:r>
      <w:r>
        <w:tab/>
        <w:t xml:space="preserve">In section 31(1) in the definition of </w:t>
      </w:r>
      <w:r>
        <w:rPr>
          <w:b/>
          <w:i/>
        </w:rPr>
        <w:t>prescribed time</w:t>
      </w:r>
      <w:r>
        <w:t xml:space="preserve"> delete “14 days” (each occurrence) and insert:</w:t>
      </w:r>
    </w:p>
    <w:p>
      <w:pPr>
        <w:pStyle w:val="BlankOpen"/>
      </w:pPr>
    </w:p>
    <w:p>
      <w:pPr>
        <w:pStyle w:val="nzSubsection"/>
      </w:pPr>
      <w:r>
        <w:tab/>
      </w:r>
      <w:r>
        <w:tab/>
        <w:t>10 business days</w:t>
      </w:r>
    </w:p>
    <w:p>
      <w:pPr>
        <w:pStyle w:val="BlankClose"/>
      </w:pPr>
    </w:p>
    <w:p>
      <w:pPr>
        <w:pStyle w:val="nzSubsection"/>
      </w:pPr>
      <w:r>
        <w:tab/>
        <w:t>(2)</w:t>
      </w:r>
      <w:r>
        <w:tab/>
        <w:t>In section 31(2)(a):</w:t>
      </w:r>
    </w:p>
    <w:p>
      <w:pPr>
        <w:pStyle w:val="nzIndenta"/>
      </w:pPr>
      <w:r>
        <w:tab/>
        <w:t>(a)</w:t>
      </w:r>
      <w:r>
        <w:tab/>
        <w:t>after subparagraph (i) insert:</w:t>
      </w:r>
    </w:p>
    <w:p>
      <w:pPr>
        <w:pStyle w:val="BlankOpen"/>
      </w:pPr>
    </w:p>
    <w:p>
      <w:pPr>
        <w:pStyle w:val="nzIndenti"/>
      </w:pPr>
      <w:r>
        <w:tab/>
        <w:t>(ia)</w:t>
      </w:r>
      <w:r>
        <w:tab/>
        <w:t>the applicant gives written notice, to the adjudicator and each other party to the dispute, that they wish to withdraw the application; or</w:t>
      </w:r>
    </w:p>
    <w:p>
      <w:pPr>
        <w:pStyle w:val="BlankClose"/>
      </w:pPr>
    </w:p>
    <w:p>
      <w:pPr>
        <w:pStyle w:val="nzIndenta"/>
      </w:pPr>
      <w:r>
        <w:tab/>
        <w:t>(b)</w:t>
      </w:r>
      <w:r>
        <w:tab/>
        <w:t>in subparagraph (ii) delete “26; or” and insert:</w:t>
      </w:r>
    </w:p>
    <w:p>
      <w:pPr>
        <w:pStyle w:val="BlankOpen"/>
      </w:pPr>
    </w:p>
    <w:p>
      <w:pPr>
        <w:pStyle w:val="nzIndenta"/>
      </w:pPr>
      <w:r>
        <w:tab/>
      </w:r>
      <w:r>
        <w:tab/>
        <w:t>26(1) and (2)(b) and (c); or</w:t>
      </w:r>
    </w:p>
    <w:p>
      <w:pPr>
        <w:pStyle w:val="BlankClose"/>
      </w:pPr>
    </w:p>
    <w:p>
      <w:pPr>
        <w:pStyle w:val="nzIndenta"/>
        <w:keepNext/>
      </w:pPr>
      <w:r>
        <w:tab/>
        <w:t>(c)</w:t>
      </w:r>
      <w:r>
        <w:tab/>
        <w:t>after subparagraph (ii) insert:</w:t>
      </w:r>
    </w:p>
    <w:p>
      <w:pPr>
        <w:pStyle w:val="BlankOpen"/>
      </w:pPr>
    </w:p>
    <w:p>
      <w:pPr>
        <w:pStyle w:val="nz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BlankClose"/>
      </w:pPr>
    </w:p>
    <w:p>
      <w:pPr>
        <w:pStyle w:val="nzSubsection"/>
      </w:pPr>
      <w:r>
        <w:tab/>
        <w:t>(3)</w:t>
      </w:r>
      <w:r>
        <w:tab/>
        <w:t>After section 31(2) insert:</w:t>
      </w:r>
    </w:p>
    <w:p>
      <w:pPr>
        <w:pStyle w:val="BlankOpen"/>
      </w:pPr>
    </w:p>
    <w:p>
      <w:pPr>
        <w:pStyle w:val="nzSubsection"/>
      </w:pPr>
      <w:r>
        <w:tab/>
        <w:t>(2A)</w:t>
      </w:r>
      <w:r>
        <w:tab/>
        <w:t>Without limiting subsection (2)(b), an appointed adjudicator may, with the consent of the parties, make a determination under subsection (2)(b) in terms agreed to by the parties.</w:t>
      </w:r>
    </w:p>
    <w:p>
      <w:pPr>
        <w:pStyle w:val="BlankClose"/>
      </w:pPr>
    </w:p>
    <w:p>
      <w:pPr>
        <w:pStyle w:val="nzHeading5"/>
      </w:pPr>
      <w:bookmarkStart w:id="153" w:name="_Toc468256816"/>
      <w:r>
        <w:rPr>
          <w:rStyle w:val="CharSectno"/>
        </w:rPr>
        <w:t>13</w:t>
      </w:r>
      <w:r>
        <w:t>.</w:t>
      </w:r>
      <w:r>
        <w:tab/>
        <w:t>Section 32 amended</w:t>
      </w:r>
      <w:bookmarkEnd w:id="153"/>
    </w:p>
    <w:p>
      <w:pPr>
        <w:pStyle w:val="nzSubsection"/>
      </w:pPr>
      <w:r>
        <w:tab/>
      </w:r>
      <w:r>
        <w:tab/>
        <w:t>Delete section 32(3)(c) and insert:</w:t>
      </w:r>
    </w:p>
    <w:p>
      <w:pPr>
        <w:pStyle w:val="BlankOpen"/>
      </w:pPr>
    </w:p>
    <w:p>
      <w:pPr>
        <w:pStyle w:val="nz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BlankClose"/>
      </w:pPr>
    </w:p>
    <w:p>
      <w:pPr>
        <w:pStyle w:val="nzHeading5"/>
      </w:pPr>
      <w:bookmarkStart w:id="154" w:name="_Toc468256817"/>
      <w:r>
        <w:rPr>
          <w:rStyle w:val="CharSectno"/>
        </w:rPr>
        <w:t>14</w:t>
      </w:r>
      <w:r>
        <w:t>.</w:t>
      </w:r>
      <w:r>
        <w:tab/>
        <w:t>Section 37 amended</w:t>
      </w:r>
      <w:bookmarkEnd w:id="154"/>
    </w:p>
    <w:p>
      <w:pPr>
        <w:pStyle w:val="nzSubsection"/>
      </w:pPr>
      <w:r>
        <w:tab/>
      </w:r>
      <w:r>
        <w:tab/>
        <w:t>In section 37(2)(b) delete “28 days” and insert:</w:t>
      </w:r>
    </w:p>
    <w:p>
      <w:pPr>
        <w:pStyle w:val="BlankOpen"/>
      </w:pPr>
    </w:p>
    <w:p>
      <w:pPr>
        <w:pStyle w:val="nzSubsection"/>
      </w:pPr>
      <w:r>
        <w:tab/>
      </w:r>
      <w:r>
        <w:tab/>
        <w:t>20 business days</w:t>
      </w:r>
    </w:p>
    <w:p>
      <w:pPr>
        <w:pStyle w:val="BlankClose"/>
      </w:pPr>
    </w:p>
    <w:p>
      <w:pPr>
        <w:pStyle w:val="nzHeading5"/>
      </w:pPr>
      <w:bookmarkStart w:id="155" w:name="_Toc468256818"/>
      <w:r>
        <w:rPr>
          <w:rStyle w:val="CharSectno"/>
        </w:rPr>
        <w:t>15</w:t>
      </w:r>
      <w:r>
        <w:t>.</w:t>
      </w:r>
      <w:r>
        <w:tab/>
        <w:t>Section 39 amended</w:t>
      </w:r>
      <w:bookmarkEnd w:id="155"/>
    </w:p>
    <w:p>
      <w:pPr>
        <w:pStyle w:val="nzSubsection"/>
      </w:pPr>
      <w:r>
        <w:tab/>
      </w:r>
      <w:r>
        <w:tab/>
        <w:t>Delete section 39(4) and insert:</w:t>
      </w:r>
    </w:p>
    <w:p>
      <w:pPr>
        <w:pStyle w:val="BlankOpen"/>
      </w:pPr>
    </w:p>
    <w:p>
      <w:pPr>
        <w:pStyle w:val="nzSubsection"/>
      </w:pPr>
      <w:r>
        <w:tab/>
        <w:t>(4)</w:t>
      </w:r>
      <w:r>
        <w:tab/>
        <w:t>Interest under subsection (2) ceases to accrue when a copy of the determination is filed in a court under section 43.</w:t>
      </w:r>
    </w:p>
    <w:p>
      <w:pPr>
        <w:pStyle w:val="BlankClose"/>
      </w:pPr>
    </w:p>
    <w:p>
      <w:pPr>
        <w:pStyle w:val="nzHeading5"/>
      </w:pPr>
      <w:bookmarkStart w:id="156" w:name="_Toc468256819"/>
      <w:r>
        <w:rPr>
          <w:rStyle w:val="CharSectno"/>
        </w:rPr>
        <w:t>16</w:t>
      </w:r>
      <w:r>
        <w:t>.</w:t>
      </w:r>
      <w:r>
        <w:tab/>
        <w:t>Section 42 amended</w:t>
      </w:r>
      <w:bookmarkEnd w:id="156"/>
    </w:p>
    <w:p>
      <w:pPr>
        <w:pStyle w:val="nzSubsection"/>
        <w:keepNext/>
      </w:pPr>
      <w:r>
        <w:tab/>
      </w:r>
      <w:r>
        <w:tab/>
        <w:t>In section 42(2)(d) and (3) delete “3 days” and insert:</w:t>
      </w:r>
    </w:p>
    <w:p>
      <w:pPr>
        <w:pStyle w:val="BlankOpen"/>
      </w:pPr>
    </w:p>
    <w:p>
      <w:pPr>
        <w:pStyle w:val="nzSubsection"/>
      </w:pPr>
      <w:r>
        <w:tab/>
      </w:r>
      <w:r>
        <w:tab/>
        <w:t>3 business days</w:t>
      </w:r>
    </w:p>
    <w:p>
      <w:pPr>
        <w:pStyle w:val="BlankClose"/>
      </w:pPr>
    </w:p>
    <w:p>
      <w:pPr>
        <w:pStyle w:val="nzHeading5"/>
      </w:pPr>
      <w:bookmarkStart w:id="157" w:name="_Toc468256820"/>
      <w:r>
        <w:rPr>
          <w:rStyle w:val="CharSectno"/>
        </w:rPr>
        <w:t>17</w:t>
      </w:r>
      <w:r>
        <w:t>.</w:t>
      </w:r>
      <w:r>
        <w:tab/>
        <w:t>Section 43 amended</w:t>
      </w:r>
      <w:bookmarkEnd w:id="157"/>
    </w:p>
    <w:p>
      <w:pPr>
        <w:pStyle w:val="nzSubsection"/>
      </w:pPr>
      <w:r>
        <w:tab/>
      </w:r>
      <w:r>
        <w:tab/>
        <w:t>Delete section 43(2) and (3) and insert:</w:t>
      </w:r>
    </w:p>
    <w:p>
      <w:pPr>
        <w:pStyle w:val="BlankOpen"/>
      </w:pPr>
    </w:p>
    <w:p>
      <w:pPr>
        <w:pStyle w:val="nzSubsection"/>
      </w:pPr>
      <w:r>
        <w:tab/>
        <w:t>(2)</w:t>
      </w:r>
      <w:r>
        <w:tab/>
        <w:t xml:space="preserve">A party entitled to be paid an amount under a determination may enforce the determination by filing in a court of competent jurisdiction — </w:t>
      </w:r>
    </w:p>
    <w:p>
      <w:pPr>
        <w:pStyle w:val="nzIndenta"/>
      </w:pPr>
      <w:r>
        <w:tab/>
        <w:t>(a)</w:t>
      </w:r>
      <w:r>
        <w:tab/>
        <w:t>a copy of the determination that the Building Commissioner has certified to be a true copy; and</w:t>
      </w:r>
    </w:p>
    <w:p>
      <w:pPr>
        <w:pStyle w:val="nzIndenta"/>
      </w:pPr>
      <w:r>
        <w:tab/>
        <w:t>(b)</w:t>
      </w:r>
      <w:r>
        <w:tab/>
        <w:t>an affidavit as to the amount not paid under the determination.</w:t>
      </w:r>
    </w:p>
    <w:p>
      <w:pPr>
        <w:pStyle w:val="nzSubsection"/>
      </w:pPr>
      <w:r>
        <w:tab/>
        <w:t>(3)</w:t>
      </w:r>
      <w:r>
        <w:tab/>
        <w:t>On filing under subsection (2), the determination is taken to be an order of the court, and may be enforced accordingly.</w:t>
      </w:r>
    </w:p>
    <w:p>
      <w:pPr>
        <w:pStyle w:val="BlankClose"/>
        <w:keepNext/>
      </w:pPr>
    </w:p>
    <w:p>
      <w:pPr>
        <w:pStyle w:val="nzSectAltNote"/>
      </w:pPr>
      <w:r>
        <w:tab/>
        <w:t>Note:</w:t>
      </w:r>
      <w:r>
        <w:tab/>
        <w:t>The heading to amended section 43 is to read:</w:t>
      </w:r>
    </w:p>
    <w:p>
      <w:pPr>
        <w:pStyle w:val="nzSectAltHeading"/>
      </w:pPr>
      <w:r>
        <w:rPr>
          <w:b w:val="0"/>
        </w:rPr>
        <w:tab/>
      </w:r>
      <w:r>
        <w:rPr>
          <w:b w:val="0"/>
        </w:rPr>
        <w:tab/>
      </w:r>
      <w:r>
        <w:t>Determinations may be enforced as orders of court</w:t>
      </w:r>
    </w:p>
    <w:p>
      <w:pPr>
        <w:pStyle w:val="nzHeading5"/>
      </w:pPr>
      <w:bookmarkStart w:id="158" w:name="_Toc468256821"/>
      <w:r>
        <w:rPr>
          <w:rStyle w:val="CharSectno"/>
        </w:rPr>
        <w:t>18</w:t>
      </w:r>
      <w:r>
        <w:t>.</w:t>
      </w:r>
      <w:r>
        <w:tab/>
        <w:t>Section 46 amended</w:t>
      </w:r>
      <w:bookmarkEnd w:id="158"/>
    </w:p>
    <w:p>
      <w:pPr>
        <w:pStyle w:val="nzSubsection"/>
      </w:pPr>
      <w:r>
        <w:tab/>
      </w:r>
      <w:r>
        <w:tab/>
        <w:t>In section 46(2) delete “14 days” and insert:</w:t>
      </w:r>
    </w:p>
    <w:p>
      <w:pPr>
        <w:pStyle w:val="BlankOpen"/>
      </w:pPr>
    </w:p>
    <w:p>
      <w:pPr>
        <w:pStyle w:val="nzSubsection"/>
      </w:pPr>
      <w:r>
        <w:tab/>
      </w:r>
      <w:r>
        <w:tab/>
        <w:t>10 business days</w:t>
      </w:r>
    </w:p>
    <w:p>
      <w:pPr>
        <w:pStyle w:val="BlankClose"/>
      </w:pPr>
    </w:p>
    <w:p>
      <w:pPr>
        <w:pStyle w:val="nzHeading5"/>
      </w:pPr>
      <w:bookmarkStart w:id="159" w:name="_Toc468256822"/>
      <w:r>
        <w:rPr>
          <w:rStyle w:val="CharSectno"/>
        </w:rPr>
        <w:t>19</w:t>
      </w:r>
      <w:r>
        <w:t>.</w:t>
      </w:r>
      <w:r>
        <w:tab/>
        <w:t>Part 6 inserted</w:t>
      </w:r>
      <w:bookmarkEnd w:id="159"/>
    </w:p>
    <w:p>
      <w:pPr>
        <w:pStyle w:val="nzSubsection"/>
      </w:pPr>
      <w:r>
        <w:tab/>
      </w:r>
      <w:r>
        <w:tab/>
        <w:t>After section 56 insert:</w:t>
      </w:r>
    </w:p>
    <w:p>
      <w:pPr>
        <w:pStyle w:val="BlankOpen"/>
      </w:pPr>
    </w:p>
    <w:p>
      <w:pPr>
        <w:pStyle w:val="nzHeading2"/>
      </w:pPr>
      <w:bookmarkStart w:id="160" w:name="_Toc461020157"/>
      <w:bookmarkStart w:id="161" w:name="_Toc461020183"/>
      <w:bookmarkStart w:id="162" w:name="_Toc461027439"/>
      <w:bookmarkStart w:id="163" w:name="_Toc461101128"/>
      <w:bookmarkStart w:id="164" w:name="_Toc461184929"/>
      <w:bookmarkStart w:id="165" w:name="_Toc461184955"/>
      <w:bookmarkStart w:id="166" w:name="_Toc462215769"/>
      <w:bookmarkStart w:id="167" w:name="_Toc464682181"/>
      <w:bookmarkStart w:id="168" w:name="_Toc464682217"/>
      <w:bookmarkStart w:id="169" w:name="_Toc468256823"/>
      <w:r>
        <w:t>Part 6 — Transitional provisions</w:t>
      </w:r>
      <w:bookmarkEnd w:id="160"/>
      <w:bookmarkEnd w:id="161"/>
      <w:bookmarkEnd w:id="162"/>
      <w:bookmarkEnd w:id="163"/>
      <w:bookmarkEnd w:id="164"/>
      <w:bookmarkEnd w:id="165"/>
      <w:bookmarkEnd w:id="166"/>
      <w:bookmarkEnd w:id="167"/>
      <w:bookmarkEnd w:id="168"/>
      <w:bookmarkEnd w:id="169"/>
    </w:p>
    <w:p>
      <w:pPr>
        <w:pStyle w:val="nzHeading3"/>
      </w:pPr>
      <w:bookmarkStart w:id="170" w:name="_Toc461020158"/>
      <w:bookmarkStart w:id="171" w:name="_Toc461020184"/>
      <w:bookmarkStart w:id="172" w:name="_Toc461027440"/>
      <w:bookmarkStart w:id="173" w:name="_Toc461101129"/>
      <w:bookmarkStart w:id="174" w:name="_Toc461184930"/>
      <w:bookmarkStart w:id="175" w:name="_Toc461184956"/>
      <w:bookmarkStart w:id="176" w:name="_Toc462215770"/>
      <w:bookmarkStart w:id="177" w:name="_Toc464682182"/>
      <w:bookmarkStart w:id="178" w:name="_Toc464682218"/>
      <w:bookmarkStart w:id="179" w:name="_Toc468256824"/>
      <w:r>
        <w:t xml:space="preserve">Division 1 — Provisions relating to the </w:t>
      </w:r>
      <w:r>
        <w:rPr>
          <w:i/>
        </w:rPr>
        <w:t>Construction Contracts Amendment Act 2016</w:t>
      </w:r>
      <w:bookmarkEnd w:id="170"/>
      <w:bookmarkEnd w:id="171"/>
      <w:bookmarkEnd w:id="172"/>
      <w:bookmarkEnd w:id="173"/>
      <w:bookmarkEnd w:id="174"/>
      <w:bookmarkEnd w:id="175"/>
      <w:bookmarkEnd w:id="176"/>
      <w:bookmarkEnd w:id="177"/>
      <w:bookmarkEnd w:id="178"/>
      <w:bookmarkEnd w:id="179"/>
    </w:p>
    <w:p>
      <w:pPr>
        <w:pStyle w:val="nzHeading5"/>
      </w:pPr>
      <w:bookmarkStart w:id="180" w:name="_Toc468256825"/>
      <w:r>
        <w:t>57.</w:t>
      </w:r>
      <w:r>
        <w:tab/>
        <w:t>Resubmitted claims: previous adjudications</w:t>
      </w:r>
      <w:bookmarkEnd w:id="180"/>
    </w:p>
    <w:p>
      <w:pPr>
        <w:pStyle w:val="nz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nzHeading5"/>
      </w:pPr>
      <w:bookmarkStart w:id="181" w:name="_Toc468256826"/>
      <w:r>
        <w:t>58.</w:t>
      </w:r>
      <w:r>
        <w:tab/>
        <w:t>Extension of periods of time</w:t>
      </w:r>
      <w:bookmarkEnd w:id="181"/>
    </w:p>
    <w:p>
      <w:pPr>
        <w:pStyle w:val="nzSubsection"/>
      </w:pPr>
      <w:r>
        <w:tab/>
        <w:t>(1)</w:t>
      </w:r>
      <w:r>
        <w:tab/>
        <w:t>This section applies to a period of time, specified in section 26(1), 28(1) or 29(2)(b), that expired before 15 December 2016.</w:t>
      </w:r>
    </w:p>
    <w:p>
      <w:pPr>
        <w:pStyle w:val="nz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nzHeading5"/>
      </w:pPr>
      <w:bookmarkStart w:id="182" w:name="_Toc468256827"/>
      <w:r>
        <w:t>59.</w:t>
      </w:r>
      <w:r>
        <w:tab/>
        <w:t>Effect of notices under s. 42(1) after commencement and before 1 January 2017</w:t>
      </w:r>
      <w:bookmarkEnd w:id="182"/>
    </w:p>
    <w:p>
      <w:pPr>
        <w:pStyle w:val="nz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BlankClose"/>
      </w:pPr>
    </w:p>
    <w:p>
      <w:pPr>
        <w:pStyle w:val="nzHeading5"/>
      </w:pPr>
      <w:bookmarkStart w:id="183" w:name="_Toc468256828"/>
      <w:r>
        <w:rPr>
          <w:rStyle w:val="CharSectno"/>
        </w:rPr>
        <w:t>20</w:t>
      </w:r>
      <w:r>
        <w:t>.</w:t>
      </w:r>
      <w:r>
        <w:tab/>
        <w:t>Section 60 inserted</w:t>
      </w:r>
      <w:bookmarkEnd w:id="183"/>
    </w:p>
    <w:p>
      <w:pPr>
        <w:pStyle w:val="nzSubsection"/>
      </w:pPr>
      <w:r>
        <w:tab/>
      </w:r>
      <w:r>
        <w:tab/>
        <w:t>After section 59 insert:</w:t>
      </w:r>
    </w:p>
    <w:p>
      <w:pPr>
        <w:pStyle w:val="BlankOpen"/>
      </w:pPr>
    </w:p>
    <w:p>
      <w:pPr>
        <w:pStyle w:val="nzHeading5"/>
      </w:pPr>
      <w:bookmarkStart w:id="184" w:name="_Toc468256829"/>
      <w:r>
        <w:t>60.</w:t>
      </w:r>
      <w:r>
        <w:tab/>
        <w:t>Payment periods: contracts entered into before 3 April 2017</w:t>
      </w:r>
      <w:bookmarkEnd w:id="184"/>
    </w:p>
    <w:p>
      <w:pPr>
        <w:pStyle w:val="nz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86" w:name="_Toc456191988"/>
      <w:bookmarkStart w:id="187" w:name="_Toc456192080"/>
      <w:bookmarkStart w:id="188" w:name="_Toc468285327"/>
      <w:r>
        <w:rPr>
          <w:sz w:val="28"/>
        </w:rPr>
        <w:t>Defined terms</w:t>
      </w:r>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5(3)(b)(i)</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5(3)(b)(i)</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32FC2-19A2-40E0-B41A-DC5FEE0A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11405</Words>
  <Characters>56569</Characters>
  <Application>Microsoft Office Word</Application>
  <DocSecurity>0</DocSecurity>
  <Lines>1616</Lines>
  <Paragraphs>971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67003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2004 - 01-b0-01</dc:title>
  <dc:subject/>
  <dc:creator/>
  <cp:keywords/>
  <dc:description/>
  <cp:lastModifiedBy>svcMRProcess</cp:lastModifiedBy>
  <cp:revision>4</cp:revision>
  <cp:lastPrinted>2016-08-16T06:33:00Z</cp:lastPrinted>
  <dcterms:created xsi:type="dcterms:W3CDTF">2018-08-21T22:07:00Z</dcterms:created>
  <dcterms:modified xsi:type="dcterms:W3CDTF">2018-08-21T22:07:00Z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29 Nov 2016</vt:lpwstr>
  </property>
  <property fmtid="{D5CDD505-2E9C-101B-9397-08002B2CF9AE}" pid="8" name="Suffix">
    <vt:lpwstr>01-b0-01</vt:lpwstr>
  </property>
  <property fmtid="{D5CDD505-2E9C-101B-9397-08002B2CF9AE}" pid="9" name="CommencementDate">
    <vt:lpwstr>20161129</vt:lpwstr>
  </property>
</Properties>
</file>