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Litter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_Toc32493905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_Toc32493906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Effect of Act on other laws</w:t>
      </w:r>
      <w:r>
        <w:tab/>
      </w:r>
      <w:r>
        <w:fldChar w:fldCharType="begin"/>
      </w:r>
      <w:r>
        <w:instrText xml:space="preserve"> PAGEREF _Toc32493907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_Toc32493908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Keep Australia Beautiful Council (W.A.)</w:t>
      </w:r>
    </w:p>
    <w:p>
      <w:pPr>
        <w:pStyle w:val="TOC8"/>
        <w:rPr>
          <w:rFonts w:asciiTheme="minorHAnsi" w:eastAsiaTheme="minorEastAsia" w:hAnsiTheme="minorHAnsi" w:cstheme="minorBidi"/>
          <w:szCs w:val="22"/>
        </w:rPr>
      </w:pPr>
      <w:r>
        <w:t>6</w:t>
      </w:r>
      <w:r>
        <w:rPr>
          <w:snapToGrid w:val="0"/>
        </w:rPr>
        <w:t>.</w:t>
      </w:r>
      <w:r>
        <w:rPr>
          <w:snapToGrid w:val="0"/>
        </w:rPr>
        <w:tab/>
        <w:t>Council established etc.</w:t>
      </w:r>
      <w:r>
        <w:tab/>
      </w:r>
      <w:r>
        <w:fldChar w:fldCharType="begin"/>
      </w:r>
      <w:r>
        <w:instrText xml:space="preserve"> PAGEREF _Toc32493910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Objects and functions</w:t>
      </w:r>
      <w:r>
        <w:tab/>
      </w:r>
      <w:r>
        <w:fldChar w:fldCharType="begin"/>
      </w:r>
      <w:r>
        <w:instrText xml:space="preserve"> PAGEREF _Toc32493911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w:t>
      </w:r>
      <w:r>
        <w:tab/>
      </w:r>
      <w:r>
        <w:fldChar w:fldCharType="begin"/>
      </w:r>
      <w:r>
        <w:instrText xml:space="preserve"> PAGEREF _Toc32493912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Members of Council and appointment etc. of</w:t>
      </w:r>
      <w:r>
        <w:tab/>
      </w:r>
      <w:r>
        <w:fldChar w:fldCharType="begin"/>
      </w:r>
      <w:r>
        <w:instrText xml:space="preserve"> PAGEREF _Toc32493913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Chairman</w:t>
      </w:r>
      <w:r>
        <w:tab/>
      </w:r>
      <w:r>
        <w:fldChar w:fldCharType="begin"/>
      </w:r>
      <w:r>
        <w:instrText xml:space="preserve"> PAGEREF _Toc32493914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Deputy Chairman</w:t>
      </w:r>
      <w:r>
        <w:tab/>
      </w:r>
      <w:r>
        <w:fldChar w:fldCharType="begin"/>
      </w:r>
      <w:r>
        <w:instrText xml:space="preserve"> PAGEREF _Toc32493915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etc., application of other laws to</w:t>
      </w:r>
      <w:r>
        <w:tab/>
      </w:r>
      <w:r>
        <w:fldChar w:fldCharType="begin"/>
      </w:r>
      <w:r>
        <w:instrText xml:space="preserve"> PAGEREF _Toc32493916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Supporting members</w:t>
      </w:r>
      <w:r>
        <w:tab/>
      </w:r>
      <w:r>
        <w:fldChar w:fldCharType="begin"/>
      </w:r>
      <w:r>
        <w:instrText xml:space="preserve"> PAGEREF _Toc32493917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_Toc32493918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w:t>
      </w:r>
      <w:r>
        <w:tab/>
      </w:r>
      <w:r>
        <w:fldChar w:fldCharType="begin"/>
      </w:r>
      <w:r>
        <w:instrText xml:space="preserve"> PAGEREF _Toc32493919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 and facilities of departments etc., use of</w:t>
      </w:r>
      <w:r>
        <w:tab/>
      </w:r>
      <w:r>
        <w:fldChar w:fldCharType="begin"/>
      </w:r>
      <w:r>
        <w:instrText xml:space="preserve"> PAGEREF _Toc32493920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Professional people, engagement of</w:t>
      </w:r>
      <w:r>
        <w:tab/>
      </w:r>
      <w:r>
        <w:fldChar w:fldCharType="begin"/>
      </w:r>
      <w:r>
        <w:instrText xml:space="preserve"> PAGEREF _Toc32493921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Finance and accounts</w:t>
      </w:r>
    </w:p>
    <w:p>
      <w:pPr>
        <w:pStyle w:val="TOC8"/>
        <w:rPr>
          <w:rFonts w:asciiTheme="minorHAnsi" w:eastAsiaTheme="minorEastAsia" w:hAnsiTheme="minorHAnsi" w:cstheme="minorBidi"/>
          <w:szCs w:val="22"/>
        </w:rPr>
      </w:pPr>
      <w:r>
        <w:t>18</w:t>
      </w:r>
      <w:r>
        <w:rPr>
          <w:snapToGrid w:val="0"/>
        </w:rPr>
        <w:t>.</w:t>
      </w:r>
      <w:r>
        <w:rPr>
          <w:snapToGrid w:val="0"/>
        </w:rPr>
        <w:tab/>
        <w:t>Keep Australia Beautiful Council (W.A.) Fund</w:t>
      </w:r>
      <w:r>
        <w:tab/>
      </w:r>
      <w:r>
        <w:fldChar w:fldCharType="begin"/>
      </w:r>
      <w:r>
        <w:instrText xml:space="preserve"> PAGEREF _Toc32493923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Investing part of Fund, powers as to</w:t>
      </w:r>
      <w:r>
        <w:tab/>
      </w:r>
      <w:r>
        <w:fldChar w:fldCharType="begin"/>
      </w:r>
      <w:r>
        <w:instrText xml:space="preserve"> PAGEREF _Toc32493924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Use of Fund</w:t>
      </w:r>
      <w:r>
        <w:tab/>
      </w:r>
      <w:r>
        <w:fldChar w:fldCharType="begin"/>
      </w:r>
      <w:r>
        <w:instrText xml:space="preserve"> PAGEREF _Toc32493925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_Toc32493926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Prevention of litter</w:t>
      </w:r>
    </w:p>
    <w:p>
      <w:pPr>
        <w:pStyle w:val="TOC8"/>
        <w:rPr>
          <w:rFonts w:asciiTheme="minorHAnsi" w:eastAsiaTheme="minorEastAsia" w:hAnsiTheme="minorHAnsi" w:cstheme="minorBidi"/>
          <w:szCs w:val="22"/>
        </w:rPr>
      </w:pPr>
      <w:r>
        <w:t>23</w:t>
      </w:r>
      <w:r>
        <w:rPr>
          <w:snapToGrid w:val="0"/>
        </w:rPr>
        <w:t>.</w:t>
      </w:r>
      <w:r>
        <w:rPr>
          <w:snapToGrid w:val="0"/>
        </w:rPr>
        <w:tab/>
        <w:t>Littering, offence</w:t>
      </w:r>
      <w:r>
        <w:tab/>
      </w:r>
      <w:r>
        <w:fldChar w:fldCharType="begin"/>
      </w:r>
      <w:r>
        <w:instrText xml:space="preserve"> PAGEREF _Toc32493928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Breaking glass etc., offence</w:t>
      </w:r>
      <w:r>
        <w:tab/>
      </w:r>
      <w:r>
        <w:fldChar w:fldCharType="begin"/>
      </w:r>
      <w:r>
        <w:instrText xml:space="preserve"> PAGEREF _Toc32493929 \h </w:instrText>
      </w:r>
      <w:r>
        <w:fldChar w:fldCharType="separate"/>
      </w:r>
      <w:r>
        <w:t>16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Bill posting, offence</w:t>
      </w:r>
      <w:r>
        <w:tab/>
      </w:r>
      <w:r>
        <w:fldChar w:fldCharType="begin"/>
      </w:r>
      <w:r>
        <w:instrText xml:space="preserve"> PAGEREF _Toc32493930 \h </w:instrText>
      </w:r>
      <w:r>
        <w:fldChar w:fldCharType="separate"/>
      </w:r>
      <w:r>
        <w:t>17</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Inciting etc. bill posting, offence</w:t>
      </w:r>
      <w:r>
        <w:tab/>
      </w:r>
      <w:r>
        <w:fldChar w:fldCharType="begin"/>
      </w:r>
      <w:r>
        <w:instrText xml:space="preserve"> PAGEREF _Toc32493931 \h </w:instrText>
      </w:r>
      <w:r>
        <w:fldChar w:fldCharType="separate"/>
      </w:r>
      <w:r>
        <w:t>17</w:t>
      </w:r>
      <w:r>
        <w:fldChar w:fldCharType="end"/>
      </w:r>
    </w:p>
    <w:p>
      <w:pPr>
        <w:pStyle w:val="TOC8"/>
        <w:rPr>
          <w:rFonts w:asciiTheme="minorHAnsi" w:eastAsiaTheme="minorEastAsia" w:hAnsiTheme="minorHAnsi" w:cstheme="minorBidi"/>
          <w:szCs w:val="22"/>
        </w:rPr>
      </w:pPr>
      <w:r>
        <w:t>24C</w:t>
      </w:r>
      <w:r>
        <w:rPr>
          <w:snapToGrid w:val="0"/>
        </w:rPr>
        <w:t>.</w:t>
      </w:r>
      <w:r>
        <w:rPr>
          <w:snapToGrid w:val="0"/>
        </w:rPr>
        <w:tab/>
        <w:t>Offences by bodies corporate, liability of officers of in case of</w:t>
      </w:r>
      <w:r>
        <w:tab/>
      </w:r>
      <w:r>
        <w:fldChar w:fldCharType="begin"/>
      </w:r>
      <w:r>
        <w:instrText xml:space="preserve"> PAGEREF _Toc32493932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Rubbish bins etc., owner of certain land may be required to provide etc.</w:t>
      </w:r>
      <w:r>
        <w:tab/>
      </w:r>
      <w:r>
        <w:fldChar w:fldCharType="begin"/>
      </w:r>
      <w:r>
        <w:instrText xml:space="preserve"> PAGEREF _Toc32493933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Enforcement, proceedings and penalties</w:t>
      </w:r>
    </w:p>
    <w:p>
      <w:pPr>
        <w:pStyle w:val="TOC8"/>
        <w:rPr>
          <w:rFonts w:asciiTheme="minorHAnsi" w:eastAsiaTheme="minorEastAsia" w:hAnsiTheme="minorHAnsi" w:cstheme="minorBidi"/>
          <w:szCs w:val="22"/>
        </w:rPr>
      </w:pPr>
      <w:r>
        <w:t>26</w:t>
      </w:r>
      <w:r>
        <w:rPr>
          <w:snapToGrid w:val="0"/>
        </w:rPr>
        <w:t>.</w:t>
      </w:r>
      <w:r>
        <w:rPr>
          <w:snapToGrid w:val="0"/>
        </w:rPr>
        <w:tab/>
        <w:t>Authorised officers, appointment and jurisdiction of etc.</w:t>
      </w:r>
      <w:r>
        <w:tab/>
      </w:r>
      <w:r>
        <w:fldChar w:fldCharType="begin"/>
      </w:r>
      <w:r>
        <w:instrText xml:space="preserve"> PAGEREF _Toc32493935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Authorised officers, powers of</w:t>
      </w:r>
      <w:r>
        <w:tab/>
      </w:r>
      <w:r>
        <w:fldChar w:fldCharType="begin"/>
      </w:r>
      <w:r>
        <w:instrText xml:space="preserve"> PAGEREF _Toc32493936 \h </w:instrText>
      </w:r>
      <w:r>
        <w:fldChar w:fldCharType="separate"/>
      </w:r>
      <w:r>
        <w:t>23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 involving vehicles, presumptions as to offender etc.</w:t>
      </w:r>
      <w:r>
        <w:tab/>
      </w:r>
      <w:r>
        <w:fldChar w:fldCharType="begin"/>
      </w:r>
      <w:r>
        <w:instrText xml:space="preserve"> PAGEREF _Toc32493937 \h </w:instrText>
      </w:r>
      <w:r>
        <w:fldChar w:fldCharType="separate"/>
      </w:r>
      <w:r>
        <w:t>24</w:t>
      </w:r>
      <w:r>
        <w:fldChar w:fldCharType="end"/>
      </w:r>
    </w:p>
    <w:p>
      <w:pPr>
        <w:pStyle w:val="TOC8"/>
        <w:rPr>
          <w:rFonts w:asciiTheme="minorHAnsi" w:eastAsiaTheme="minorEastAsia" w:hAnsiTheme="minorHAnsi" w:cstheme="minorBidi"/>
          <w:szCs w:val="22"/>
        </w:rPr>
      </w:pPr>
      <w:r>
        <w:t>27AA</w:t>
      </w:r>
      <w:r>
        <w:rPr>
          <w:snapToGrid w:val="0"/>
        </w:rPr>
        <w:t>.</w:t>
      </w:r>
      <w:r>
        <w:rPr>
          <w:snapToGrid w:val="0"/>
        </w:rPr>
        <w:tab/>
        <w:t>Honorary inspectors, appointment of</w:t>
      </w:r>
      <w:r>
        <w:tab/>
      </w:r>
      <w:r>
        <w:fldChar w:fldCharType="begin"/>
      </w:r>
      <w:r>
        <w:instrText xml:space="preserve"> PAGEREF _Toc32493938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offender to remove litter etc.</w:t>
      </w:r>
      <w:r>
        <w:tab/>
      </w:r>
      <w:r>
        <w:fldChar w:fldCharType="begin"/>
      </w:r>
      <w:r>
        <w:instrText xml:space="preserve"> PAGEREF _Toc32493939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 may order offender to pay costs of removing litter etc.</w:t>
      </w:r>
      <w:r>
        <w:tab/>
      </w:r>
      <w:r>
        <w:fldChar w:fldCharType="begin"/>
      </w:r>
      <w:r>
        <w:instrText xml:space="preserve"> PAGEREF _Toc32493940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_Toc32493941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Penalties, application of</w:t>
      </w:r>
      <w:r>
        <w:tab/>
      </w:r>
      <w:r>
        <w:fldChar w:fldCharType="begin"/>
      </w:r>
      <w:r>
        <w:instrText xml:space="preserve"> PAGEREF _Toc32493942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Defence of consent, proof of</w:t>
      </w:r>
      <w:r>
        <w:tab/>
      </w:r>
      <w:r>
        <w:fldChar w:fldCharType="begin"/>
      </w:r>
      <w:r>
        <w:instrText xml:space="preserve"> PAGEREF _Toc32493943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Regulations and rules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_Toc32493945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w:t>
      </w:r>
      <w:r>
        <w:tab/>
      </w:r>
      <w:r>
        <w:fldChar w:fldCharType="begin"/>
      </w:r>
      <w:r>
        <w:instrText xml:space="preserve"> PAGEREF _Toc32493946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Transitional</w:t>
      </w:r>
    </w:p>
    <w:p>
      <w:pPr>
        <w:pStyle w:val="TOC8"/>
        <w:rPr>
          <w:rFonts w:asciiTheme="minorHAnsi" w:eastAsiaTheme="minorEastAsia" w:hAnsiTheme="minorHAnsi" w:cstheme="minorBidi"/>
          <w:szCs w:val="22"/>
        </w:rPr>
      </w:pPr>
      <w:r>
        <w:t>35</w:t>
      </w:r>
      <w:r>
        <w:rPr>
          <w:snapToGrid w:val="0"/>
        </w:rPr>
        <w:t>.</w:t>
      </w:r>
      <w:r>
        <w:rPr>
          <w:snapToGrid w:val="0"/>
        </w:rPr>
        <w:tab/>
        <w:t>Commencement and interpretation</w:t>
      </w:r>
      <w:r>
        <w:tab/>
      </w:r>
      <w:r>
        <w:fldChar w:fldCharType="begin"/>
      </w:r>
      <w:r>
        <w:instrText xml:space="preserve"> PAGEREF _Toc32493948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Dissolution of former Association</w:t>
      </w:r>
      <w:r>
        <w:tab/>
      </w:r>
      <w:r>
        <w:fldChar w:fldCharType="begin"/>
      </w:r>
      <w:r>
        <w:instrText xml:space="preserve"> PAGEREF _Toc32493949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Property, proceedings etc.</w:t>
      </w:r>
      <w:r>
        <w:tab/>
      </w:r>
      <w:r>
        <w:fldChar w:fldCharType="begin"/>
      </w:r>
      <w:r>
        <w:instrText xml:space="preserve"> PAGEREF _Toc32493950 \h </w:instrText>
      </w:r>
      <w:r>
        <w:fldChar w:fldCharType="separate"/>
      </w:r>
      <w:r>
        <w:t>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Membership</w:t>
      </w:r>
      <w:r>
        <w:tab/>
      </w:r>
      <w:r>
        <w:fldChar w:fldCharType="begin"/>
      </w:r>
      <w:r>
        <w:instrText xml:space="preserve"> PAGEREF _Toc32493951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First Schedule — Provisions relating to the constitution and proceedings of the Council</w:t>
      </w:r>
    </w:p>
    <w:p>
      <w:pPr>
        <w:pStyle w:val="TOC8"/>
        <w:rPr>
          <w:rFonts w:asciiTheme="minorHAnsi" w:eastAsiaTheme="minorEastAsia" w:hAnsiTheme="minorHAnsi" w:cstheme="minorBidi"/>
          <w:szCs w:val="22"/>
        </w:rPr>
      </w:pPr>
      <w:r>
        <w:t>1</w:t>
      </w:r>
      <w:r>
        <w:rPr>
          <w:snapToGrid w:val="0"/>
        </w:rPr>
        <w:t>.</w:t>
      </w:r>
      <w:r>
        <w:rPr>
          <w:snapToGrid w:val="0"/>
        </w:rPr>
        <w:tab/>
      </w:r>
      <w:r>
        <w:t xml:space="preserve">When </w:t>
      </w:r>
      <w:r>
        <w:rPr>
          <w:snapToGrid w:val="0"/>
        </w:rPr>
        <w:t>vacancies occur</w:t>
      </w:r>
      <w:r>
        <w:tab/>
      </w:r>
      <w:r>
        <w:fldChar w:fldCharType="begin"/>
      </w:r>
      <w:r>
        <w:instrText xml:space="preserve"> PAGEREF _Toc32493953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Deputies of members, appointment of etc.</w:t>
      </w:r>
      <w:r>
        <w:tab/>
      </w:r>
      <w:r>
        <w:fldChar w:fldCharType="begin"/>
      </w:r>
      <w:r>
        <w:instrText xml:space="preserve"> PAGEREF _Toc32493954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Who</w:t>
      </w:r>
      <w:r>
        <w:rPr>
          <w:snapToGrid w:val="0"/>
        </w:rPr>
        <w:t xml:space="preserve"> presides at meetings</w:t>
      </w:r>
      <w:r>
        <w:tab/>
      </w:r>
      <w:r>
        <w:fldChar w:fldCharType="begin"/>
      </w:r>
      <w:r>
        <w:instrText xml:space="preserve"> PAGEREF _Toc32493955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Meetings, convening</w:t>
      </w:r>
      <w:r>
        <w:tab/>
      </w:r>
      <w:r>
        <w:fldChar w:fldCharType="begin"/>
      </w:r>
      <w:r>
        <w:instrText xml:space="preserve"> PAGEREF _Toc32493956 \h </w:instrText>
      </w:r>
      <w:r>
        <w:fldChar w:fldCharType="separate"/>
      </w:r>
      <w:r>
        <w:t>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Quorum</w:t>
      </w:r>
      <w:r>
        <w:tab/>
      </w:r>
      <w:r>
        <w:fldChar w:fldCharType="begin"/>
      </w:r>
      <w:r>
        <w:instrText xml:space="preserve"> PAGEREF _Toc32493957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Voting</w:t>
      </w:r>
      <w:r>
        <w:tab/>
      </w:r>
      <w:r>
        <w:fldChar w:fldCharType="begin"/>
      </w:r>
      <w:r>
        <w:instrText xml:space="preserve"> PAGEREF _Toc32493958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Minutes</w:t>
      </w:r>
      <w:r>
        <w:tab/>
      </w:r>
      <w:r>
        <w:fldChar w:fldCharType="begin"/>
      </w:r>
      <w:r>
        <w:instrText xml:space="preserve"> PAGEREF _Toc32493959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Pecuniary</w:t>
      </w:r>
      <w:r>
        <w:rPr>
          <w:snapToGrid w:val="0"/>
        </w:rPr>
        <w:t xml:space="preserve"> interests, disclosure of</w:t>
      </w:r>
      <w:r>
        <w:tab/>
      </w:r>
      <w:r>
        <w:fldChar w:fldCharType="begin"/>
      </w:r>
      <w:r>
        <w:instrText xml:space="preserve"> PAGEREF _Toc32493960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Vacancy etc. not to affect validity of Council’s acts etc.</w:t>
      </w:r>
      <w:r>
        <w:tab/>
      </w:r>
      <w:r>
        <w:fldChar w:fldCharType="begin"/>
      </w:r>
      <w:r>
        <w:instrText xml:space="preserve"> PAGEREF _Toc32493961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Common</w:t>
      </w:r>
      <w:r>
        <w:rPr>
          <w:snapToGrid w:val="0"/>
        </w:rPr>
        <w:t xml:space="preserve"> seal</w:t>
      </w:r>
      <w:r>
        <w:tab/>
      </w:r>
      <w:r>
        <w:fldChar w:fldCharType="begin"/>
      </w:r>
      <w:r>
        <w:instrText xml:space="preserve"> PAGEREF _Toc32493962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Procedure</w:t>
      </w:r>
      <w:r>
        <w:rPr>
          <w:snapToGrid w:val="0"/>
        </w:rPr>
        <w:t xml:space="preserve"> where none prescribed</w:t>
      </w:r>
      <w:r>
        <w:tab/>
      </w:r>
      <w:r>
        <w:fldChar w:fldCharType="begin"/>
      </w:r>
      <w:r>
        <w:instrText xml:space="preserve"> PAGEREF _Toc32493963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Objects and functions of the Council</w:t>
      </w:r>
    </w:p>
    <w:p>
      <w:pPr>
        <w:pStyle w:val="TOC2"/>
        <w:tabs>
          <w:tab w:val="right" w:leader="dot" w:pos="7077"/>
        </w:tabs>
        <w:rPr>
          <w:rFonts w:asciiTheme="minorHAnsi" w:eastAsiaTheme="minorEastAsia" w:hAnsiTheme="minorHAnsi" w:cstheme="minorBidi"/>
          <w:b w:val="0"/>
          <w:sz w:val="22"/>
          <w:szCs w:val="22"/>
        </w:rPr>
      </w:pPr>
      <w:r>
        <w:t>Third Schedule — Institutions of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_Toc32493967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_Toc32493968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_Toc32493969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Litter Act 1979</w:t>
      </w:r>
    </w:p>
    <w:p>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pPr>
        <w:pStyle w:val="Heading2"/>
      </w:pPr>
      <w:bookmarkStart w:id="3" w:name="_Toc32493837"/>
      <w:bookmarkStart w:id="4" w:name="_Toc32493904"/>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2493905"/>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w:t>
      </w:r>
    </w:p>
    <w:p>
      <w:pPr>
        <w:pStyle w:val="Heading5"/>
        <w:rPr>
          <w:snapToGrid w:val="0"/>
        </w:rPr>
      </w:pPr>
      <w:bookmarkStart w:id="6" w:name="_Toc3249390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p>
    <w:p>
      <w:pPr>
        <w:pStyle w:val="Ednotesection"/>
      </w:pPr>
      <w:r>
        <w:t>[</w:t>
      </w:r>
      <w:r>
        <w:rPr>
          <w:b/>
        </w:rPr>
        <w:t>3.</w:t>
      </w:r>
      <w:r>
        <w:tab/>
        <w:t>Deleted: No. 49 of 1981 s. 3.]</w:t>
      </w:r>
    </w:p>
    <w:p>
      <w:pPr>
        <w:pStyle w:val="Heading5"/>
        <w:rPr>
          <w:snapToGrid w:val="0"/>
        </w:rPr>
      </w:pPr>
      <w:bookmarkStart w:id="7" w:name="_Toc32493907"/>
      <w:r>
        <w:rPr>
          <w:rStyle w:val="CharSectno"/>
        </w:rPr>
        <w:t>4</w:t>
      </w:r>
      <w:r>
        <w:rPr>
          <w:snapToGrid w:val="0"/>
        </w:rPr>
        <w:t>.</w:t>
      </w:r>
      <w:r>
        <w:rPr>
          <w:snapToGrid w:val="0"/>
        </w:rPr>
        <w:tab/>
        <w:t>Effect of Act on other laws</w:t>
      </w:r>
      <w:bookmarkEnd w:id="7"/>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No. 14 of 1996 s. 4; No. 78 of 1995 s. 67.]</w:t>
      </w:r>
    </w:p>
    <w:p>
      <w:pPr>
        <w:pStyle w:val="Heading5"/>
        <w:rPr>
          <w:snapToGrid w:val="0"/>
        </w:rPr>
      </w:pPr>
      <w:bookmarkStart w:id="8" w:name="_Toc32493908"/>
      <w:r>
        <w:rPr>
          <w:rStyle w:val="CharSectno"/>
        </w:rPr>
        <w:t>5</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No. 18 of 1986 s. 4; No. 6 of 1996 s. 4; No. 14 of 1996 s. 4.]</w:t>
      </w:r>
    </w:p>
    <w:p>
      <w:pPr>
        <w:pStyle w:val="Heading2"/>
        <w:ind w:left="567" w:right="575"/>
      </w:pPr>
      <w:bookmarkStart w:id="9" w:name="_Toc32493842"/>
      <w:bookmarkStart w:id="10" w:name="_Toc32493909"/>
      <w:r>
        <w:rPr>
          <w:rStyle w:val="CharPartNo"/>
        </w:rPr>
        <w:t>Part II</w:t>
      </w:r>
      <w:r>
        <w:rPr>
          <w:rStyle w:val="CharDivNo"/>
        </w:rPr>
        <w:t> </w:t>
      </w:r>
      <w:r>
        <w:t>—</w:t>
      </w:r>
      <w:r>
        <w:rPr>
          <w:rStyle w:val="CharDivText"/>
        </w:rPr>
        <w:t> </w:t>
      </w:r>
      <w:r>
        <w:rPr>
          <w:rStyle w:val="CharPartText"/>
        </w:rPr>
        <w:t>The Keep Australia Beautiful Council (W.A.)</w:t>
      </w:r>
      <w:bookmarkEnd w:id="9"/>
      <w:bookmarkEnd w:id="10"/>
    </w:p>
    <w:p>
      <w:pPr>
        <w:pStyle w:val="Heading5"/>
        <w:rPr>
          <w:snapToGrid w:val="0"/>
        </w:rPr>
      </w:pPr>
      <w:bookmarkStart w:id="11" w:name="_Toc32493910"/>
      <w:r>
        <w:rPr>
          <w:rStyle w:val="CharSectno"/>
        </w:rPr>
        <w:t>6</w:t>
      </w:r>
      <w:r>
        <w:rPr>
          <w:snapToGrid w:val="0"/>
        </w:rPr>
        <w:t>.</w:t>
      </w:r>
      <w:r>
        <w:rPr>
          <w:snapToGrid w:val="0"/>
        </w:rPr>
        <w:tab/>
        <w:t>Council established etc.</w:t>
      </w:r>
      <w:bookmarkEnd w:id="11"/>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12" w:name="_Toc32493911"/>
      <w:r>
        <w:rPr>
          <w:rStyle w:val="CharSectno"/>
        </w:rPr>
        <w:t>7</w:t>
      </w:r>
      <w:r>
        <w:rPr>
          <w:snapToGrid w:val="0"/>
        </w:rPr>
        <w:t>.</w:t>
      </w:r>
      <w:r>
        <w:rPr>
          <w:snapToGrid w:val="0"/>
        </w:rPr>
        <w:tab/>
        <w:t>Objects and functions</w:t>
      </w:r>
      <w:bookmarkEnd w:id="12"/>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13" w:name="_Toc32493912"/>
      <w:r>
        <w:rPr>
          <w:rStyle w:val="CharSectno"/>
        </w:rPr>
        <w:t>8</w:t>
      </w:r>
      <w:r>
        <w:rPr>
          <w:snapToGrid w:val="0"/>
        </w:rPr>
        <w:t>.</w:t>
      </w:r>
      <w:r>
        <w:rPr>
          <w:snapToGrid w:val="0"/>
        </w:rPr>
        <w:tab/>
        <w:t>Powers</w:t>
      </w:r>
      <w:bookmarkEnd w:id="13"/>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4" w:name="_Toc32493913"/>
      <w:r>
        <w:rPr>
          <w:rStyle w:val="CharSectno"/>
        </w:rPr>
        <w:t>9</w:t>
      </w:r>
      <w:r>
        <w:rPr>
          <w:snapToGrid w:val="0"/>
        </w:rPr>
        <w:t>.</w:t>
      </w:r>
      <w:r>
        <w:rPr>
          <w:snapToGrid w:val="0"/>
        </w:rPr>
        <w:tab/>
        <w:t>Members of Council and appointment etc. of</w:t>
      </w:r>
      <w:bookmarkEnd w:id="14"/>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No. 18 of 1986 s. 5; No. 7 of 1988 s. 21; No. 22 of 1996 s. 16(7); No. 36 of 1999 s. 247; No. 49 of 2004 s. 13; No. 28 of 2006 s. 213; No. 8 of 2009 s. 86; No. 53 of 2011 s. 59.]</w:t>
      </w:r>
    </w:p>
    <w:p>
      <w:pPr>
        <w:pStyle w:val="Heading5"/>
        <w:rPr>
          <w:snapToGrid w:val="0"/>
        </w:rPr>
      </w:pPr>
      <w:bookmarkStart w:id="15" w:name="_Toc32493914"/>
      <w:r>
        <w:rPr>
          <w:rStyle w:val="CharSectno"/>
        </w:rPr>
        <w:t>10</w:t>
      </w:r>
      <w:r>
        <w:rPr>
          <w:snapToGrid w:val="0"/>
        </w:rPr>
        <w:t>.</w:t>
      </w:r>
      <w:r>
        <w:rPr>
          <w:snapToGrid w:val="0"/>
        </w:rPr>
        <w:tab/>
        <w:t>Chairman</w:t>
      </w:r>
      <w:bookmarkEnd w:id="15"/>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No. 49 of 1996 s. 64.]</w:t>
      </w:r>
    </w:p>
    <w:p>
      <w:pPr>
        <w:pStyle w:val="Heading5"/>
        <w:rPr>
          <w:snapToGrid w:val="0"/>
        </w:rPr>
      </w:pPr>
      <w:bookmarkStart w:id="16" w:name="_Toc32493915"/>
      <w:r>
        <w:rPr>
          <w:rStyle w:val="CharSectno"/>
        </w:rPr>
        <w:t>11</w:t>
      </w:r>
      <w:r>
        <w:rPr>
          <w:snapToGrid w:val="0"/>
        </w:rPr>
        <w:t>.</w:t>
      </w:r>
      <w:r>
        <w:rPr>
          <w:snapToGrid w:val="0"/>
        </w:rPr>
        <w:tab/>
        <w:t>Deputy Chairman</w:t>
      </w:r>
      <w:bookmarkEnd w:id="16"/>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7" w:name="_Toc32493916"/>
      <w:r>
        <w:rPr>
          <w:rStyle w:val="CharSectno"/>
        </w:rPr>
        <w:t>12</w:t>
      </w:r>
      <w:r>
        <w:rPr>
          <w:snapToGrid w:val="0"/>
        </w:rPr>
        <w:t>.</w:t>
      </w:r>
      <w:r>
        <w:rPr>
          <w:snapToGrid w:val="0"/>
        </w:rPr>
        <w:tab/>
        <w:t>Members etc., application of other laws to</w:t>
      </w:r>
      <w:bookmarkEnd w:id="17"/>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No. 32 of 1994 s. 19.]</w:t>
      </w:r>
    </w:p>
    <w:p>
      <w:pPr>
        <w:pStyle w:val="Heading5"/>
        <w:rPr>
          <w:snapToGrid w:val="0"/>
        </w:rPr>
      </w:pPr>
      <w:bookmarkStart w:id="18" w:name="_Toc32493917"/>
      <w:r>
        <w:rPr>
          <w:rStyle w:val="CharSectno"/>
        </w:rPr>
        <w:t>13</w:t>
      </w:r>
      <w:r>
        <w:rPr>
          <w:snapToGrid w:val="0"/>
        </w:rPr>
        <w:t>.</w:t>
      </w:r>
      <w:r>
        <w:rPr>
          <w:snapToGrid w:val="0"/>
        </w:rPr>
        <w:tab/>
        <w:t>Supporting members</w:t>
      </w:r>
      <w:bookmarkEnd w:id="18"/>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9" w:name="_Toc32493918"/>
      <w:r>
        <w:rPr>
          <w:rStyle w:val="CharSectno"/>
        </w:rPr>
        <w:t>14</w:t>
      </w:r>
      <w:r>
        <w:rPr>
          <w:snapToGrid w:val="0"/>
        </w:rPr>
        <w:t>.</w:t>
      </w:r>
      <w:r>
        <w:rPr>
          <w:snapToGrid w:val="0"/>
        </w:rPr>
        <w:tab/>
        <w:t>Committees</w:t>
      </w:r>
      <w:bookmarkEnd w:id="19"/>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20" w:name="_Toc32493919"/>
      <w:r>
        <w:rPr>
          <w:rStyle w:val="CharSectno"/>
        </w:rPr>
        <w:t>15</w:t>
      </w:r>
      <w:r>
        <w:rPr>
          <w:snapToGrid w:val="0"/>
        </w:rPr>
        <w:t>.</w:t>
      </w:r>
      <w:r>
        <w:rPr>
          <w:snapToGrid w:val="0"/>
        </w:rPr>
        <w:tab/>
        <w:t>Staff</w:t>
      </w:r>
      <w:bookmarkEnd w:id="20"/>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No. 113 of 1987 s. 32; No. 32 of 1994 s. 19; No. 28 of 2006 s. 214; No. 39 of 2010 s. 89.]</w:t>
      </w:r>
    </w:p>
    <w:p>
      <w:pPr>
        <w:pStyle w:val="Heading5"/>
        <w:rPr>
          <w:snapToGrid w:val="0"/>
        </w:rPr>
      </w:pPr>
      <w:bookmarkStart w:id="21" w:name="_Toc32493920"/>
      <w:r>
        <w:rPr>
          <w:rStyle w:val="CharSectno"/>
        </w:rPr>
        <w:t>16</w:t>
      </w:r>
      <w:r>
        <w:rPr>
          <w:snapToGrid w:val="0"/>
        </w:rPr>
        <w:t>.</w:t>
      </w:r>
      <w:r>
        <w:rPr>
          <w:snapToGrid w:val="0"/>
        </w:rPr>
        <w:tab/>
        <w:t>Staff and facilities of departments etc., use of</w:t>
      </w:r>
      <w:bookmarkEnd w:id="21"/>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No. 28 of 2006 s. 214.]</w:t>
      </w:r>
    </w:p>
    <w:p>
      <w:pPr>
        <w:pStyle w:val="Heading5"/>
        <w:rPr>
          <w:snapToGrid w:val="0"/>
        </w:rPr>
      </w:pPr>
      <w:bookmarkStart w:id="22" w:name="_Toc32493921"/>
      <w:r>
        <w:rPr>
          <w:rStyle w:val="CharSectno"/>
        </w:rPr>
        <w:t>17</w:t>
      </w:r>
      <w:r>
        <w:rPr>
          <w:snapToGrid w:val="0"/>
        </w:rPr>
        <w:t>.</w:t>
      </w:r>
      <w:r>
        <w:rPr>
          <w:snapToGrid w:val="0"/>
        </w:rPr>
        <w:tab/>
        <w:t>Professional people, engagement of</w:t>
      </w:r>
      <w:bookmarkEnd w:id="22"/>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23" w:name="_Toc32493855"/>
      <w:bookmarkStart w:id="24" w:name="_Toc32493922"/>
      <w:r>
        <w:rPr>
          <w:rStyle w:val="CharPartNo"/>
        </w:rPr>
        <w:t>Part III</w:t>
      </w:r>
      <w:r>
        <w:rPr>
          <w:rStyle w:val="CharDivNo"/>
        </w:rPr>
        <w:t> </w:t>
      </w:r>
      <w:r>
        <w:t>—</w:t>
      </w:r>
      <w:r>
        <w:rPr>
          <w:rStyle w:val="CharDivText"/>
        </w:rPr>
        <w:t> </w:t>
      </w:r>
      <w:r>
        <w:rPr>
          <w:rStyle w:val="CharPartText"/>
        </w:rPr>
        <w:t>Finance and accounts</w:t>
      </w:r>
      <w:bookmarkEnd w:id="23"/>
      <w:bookmarkEnd w:id="24"/>
    </w:p>
    <w:p>
      <w:pPr>
        <w:pStyle w:val="Heading5"/>
        <w:rPr>
          <w:snapToGrid w:val="0"/>
        </w:rPr>
      </w:pPr>
      <w:bookmarkStart w:id="25" w:name="_Toc32493923"/>
      <w:r>
        <w:rPr>
          <w:rStyle w:val="CharSectno"/>
        </w:rPr>
        <w:t>18</w:t>
      </w:r>
      <w:r>
        <w:rPr>
          <w:snapToGrid w:val="0"/>
        </w:rPr>
        <w:t>.</w:t>
      </w:r>
      <w:r>
        <w:rPr>
          <w:snapToGrid w:val="0"/>
        </w:rPr>
        <w:tab/>
        <w:t>Keep Australia Beautiful Council (W.A.) Fund</w:t>
      </w:r>
      <w:bookmarkEnd w:id="25"/>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No. 49 of 1996 s. 57; No. 77 of 2006 Sch. 1 cl. 100(1).]</w:t>
      </w:r>
    </w:p>
    <w:p>
      <w:pPr>
        <w:pStyle w:val="Heading5"/>
        <w:spacing w:before="240"/>
        <w:rPr>
          <w:snapToGrid w:val="0"/>
        </w:rPr>
      </w:pPr>
      <w:bookmarkStart w:id="26" w:name="_Toc32493924"/>
      <w:r>
        <w:rPr>
          <w:rStyle w:val="CharSectno"/>
        </w:rPr>
        <w:t>19</w:t>
      </w:r>
      <w:r>
        <w:rPr>
          <w:snapToGrid w:val="0"/>
        </w:rPr>
        <w:t>.</w:t>
      </w:r>
      <w:r>
        <w:rPr>
          <w:snapToGrid w:val="0"/>
        </w:rPr>
        <w:tab/>
        <w:t>Investing part of Fund, powers as to</w:t>
      </w:r>
      <w:bookmarkEnd w:id="26"/>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No. 1 of 1997 s. 18.]</w:t>
      </w:r>
    </w:p>
    <w:p>
      <w:pPr>
        <w:pStyle w:val="Heading5"/>
        <w:spacing w:before="240"/>
        <w:rPr>
          <w:snapToGrid w:val="0"/>
        </w:rPr>
      </w:pPr>
      <w:bookmarkStart w:id="27" w:name="_Toc32493925"/>
      <w:r>
        <w:rPr>
          <w:rStyle w:val="CharSectno"/>
        </w:rPr>
        <w:t>20</w:t>
      </w:r>
      <w:r>
        <w:rPr>
          <w:snapToGrid w:val="0"/>
        </w:rPr>
        <w:t>.</w:t>
      </w:r>
      <w:r>
        <w:rPr>
          <w:snapToGrid w:val="0"/>
        </w:rPr>
        <w:tab/>
        <w:t>Use of Fund</w:t>
      </w:r>
      <w:bookmarkEnd w:id="27"/>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No. 98 of 1985 s. 3; No. 49 of 1996 s. 64.]</w:t>
      </w:r>
    </w:p>
    <w:p>
      <w:pPr>
        <w:pStyle w:val="Heading5"/>
        <w:rPr>
          <w:snapToGrid w:val="0"/>
        </w:rPr>
      </w:pPr>
      <w:bookmarkStart w:id="28" w:name="_Toc32493926"/>
      <w:r>
        <w:rPr>
          <w:rStyle w:val="CharSectno"/>
        </w:rP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2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No. 98 of 1985 s. 3; amended: No. 77 of 2006 Sch. 1 cl. 100(2).]</w:t>
      </w:r>
    </w:p>
    <w:p>
      <w:pPr>
        <w:pStyle w:val="Ednotesection"/>
        <w:ind w:left="890" w:hanging="890"/>
      </w:pPr>
      <w:r>
        <w:t>[</w:t>
      </w:r>
      <w:r>
        <w:rPr>
          <w:b/>
        </w:rPr>
        <w:t>22.</w:t>
      </w:r>
      <w:r>
        <w:tab/>
        <w:t>Deleted: No. 98 of 1985 s. 3.]</w:t>
      </w:r>
    </w:p>
    <w:p>
      <w:pPr>
        <w:pStyle w:val="Heading2"/>
      </w:pPr>
      <w:bookmarkStart w:id="29" w:name="_Toc32493860"/>
      <w:bookmarkStart w:id="30" w:name="_Toc32493927"/>
      <w:r>
        <w:rPr>
          <w:rStyle w:val="CharPartNo"/>
        </w:rPr>
        <w:t>Part IV</w:t>
      </w:r>
      <w:r>
        <w:rPr>
          <w:rStyle w:val="CharDivNo"/>
        </w:rPr>
        <w:t> </w:t>
      </w:r>
      <w:r>
        <w:t>—</w:t>
      </w:r>
      <w:r>
        <w:rPr>
          <w:rStyle w:val="CharDivText"/>
        </w:rPr>
        <w:t> </w:t>
      </w:r>
      <w:r>
        <w:rPr>
          <w:rStyle w:val="CharPartText"/>
        </w:rPr>
        <w:t>Prevention of litter</w:t>
      </w:r>
      <w:bookmarkEnd w:id="29"/>
      <w:bookmarkEnd w:id="30"/>
    </w:p>
    <w:p>
      <w:pPr>
        <w:pStyle w:val="Heading5"/>
        <w:rPr>
          <w:snapToGrid w:val="0"/>
        </w:rPr>
      </w:pPr>
      <w:bookmarkStart w:id="31" w:name="_Toc32493928"/>
      <w:r>
        <w:rPr>
          <w:rStyle w:val="CharSectno"/>
        </w:rPr>
        <w:t>23</w:t>
      </w:r>
      <w:r>
        <w:rPr>
          <w:snapToGrid w:val="0"/>
        </w:rPr>
        <w:t>.</w:t>
      </w:r>
      <w:r>
        <w:rPr>
          <w:snapToGrid w:val="0"/>
        </w:rPr>
        <w:tab/>
        <w:t>Littering, offence</w:t>
      </w:r>
      <w:bookmarkEnd w:id="31"/>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23 amended: No. 6 of 1996 s. 5; No. 30 of 2012 s. 4.]</w:t>
      </w:r>
    </w:p>
    <w:p>
      <w:pPr>
        <w:pStyle w:val="Heading5"/>
        <w:rPr>
          <w:snapToGrid w:val="0"/>
        </w:rPr>
      </w:pPr>
      <w:bookmarkStart w:id="32" w:name="_Toc32493929"/>
      <w:r>
        <w:rPr>
          <w:rStyle w:val="CharSectno"/>
        </w:rPr>
        <w:t>24</w:t>
      </w:r>
      <w:r>
        <w:rPr>
          <w:snapToGrid w:val="0"/>
        </w:rPr>
        <w:t>.</w:t>
      </w:r>
      <w:r>
        <w:rPr>
          <w:snapToGrid w:val="0"/>
        </w:rPr>
        <w:tab/>
        <w:t>Breaking glass etc., offence</w:t>
      </w:r>
      <w:bookmarkEnd w:id="32"/>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24 amended: No. 6 of 1996 s. 6; No. 30 of 2012 s. 5.]</w:t>
      </w:r>
    </w:p>
    <w:p>
      <w:pPr>
        <w:pStyle w:val="Heading5"/>
        <w:rPr>
          <w:snapToGrid w:val="0"/>
        </w:rPr>
      </w:pPr>
      <w:bookmarkStart w:id="33" w:name="_Toc32493930"/>
      <w:r>
        <w:rPr>
          <w:rStyle w:val="CharSectno"/>
        </w:rPr>
        <w:t>24A</w:t>
      </w:r>
      <w:r>
        <w:rPr>
          <w:snapToGrid w:val="0"/>
        </w:rPr>
        <w:t>.</w:t>
      </w:r>
      <w:r>
        <w:rPr>
          <w:snapToGrid w:val="0"/>
        </w:rPr>
        <w:tab/>
        <w:t>Bill posting, offence</w:t>
      </w:r>
      <w:bookmarkEnd w:id="33"/>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No. 6 of 1996 s. 7; amended: No. 30 of 2012 s. 6.]</w:t>
      </w:r>
    </w:p>
    <w:p>
      <w:pPr>
        <w:pStyle w:val="Heading5"/>
        <w:rPr>
          <w:snapToGrid w:val="0"/>
        </w:rPr>
      </w:pPr>
      <w:bookmarkStart w:id="34" w:name="_Toc32493931"/>
      <w:r>
        <w:rPr>
          <w:rStyle w:val="CharSectno"/>
        </w:rPr>
        <w:t>24B</w:t>
      </w:r>
      <w:r>
        <w:rPr>
          <w:snapToGrid w:val="0"/>
        </w:rPr>
        <w:t>.</w:t>
      </w:r>
      <w:r>
        <w:rPr>
          <w:snapToGrid w:val="0"/>
        </w:rPr>
        <w:tab/>
        <w:t>Inciting etc. bill posting, offence</w:t>
      </w:r>
      <w:bookmarkEnd w:id="34"/>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No. 6 of 1996 s. 7; amended: No. 30 of 2012 s. 7.]</w:t>
      </w:r>
    </w:p>
    <w:p>
      <w:pPr>
        <w:pStyle w:val="Heading5"/>
        <w:rPr>
          <w:snapToGrid w:val="0"/>
        </w:rPr>
      </w:pPr>
      <w:bookmarkStart w:id="35" w:name="_Toc32493932"/>
      <w:r>
        <w:rPr>
          <w:rStyle w:val="CharSectno"/>
        </w:rPr>
        <w:t>24C</w:t>
      </w:r>
      <w:r>
        <w:rPr>
          <w:snapToGrid w:val="0"/>
        </w:rPr>
        <w:t>.</w:t>
      </w:r>
      <w:r>
        <w:rPr>
          <w:snapToGrid w:val="0"/>
        </w:rPr>
        <w:tab/>
        <w:t>Offences by bodies corporate, liability of officers of in case of</w:t>
      </w:r>
      <w:bookmarkEnd w:id="35"/>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No. 6 of 1996 s. 7.]</w:t>
      </w:r>
    </w:p>
    <w:p>
      <w:pPr>
        <w:pStyle w:val="Heading5"/>
        <w:rPr>
          <w:snapToGrid w:val="0"/>
        </w:rPr>
      </w:pPr>
      <w:bookmarkStart w:id="36" w:name="_Toc32493933"/>
      <w:r>
        <w:rPr>
          <w:rStyle w:val="CharSectno"/>
        </w:rPr>
        <w:t>25</w:t>
      </w:r>
      <w:r>
        <w:rPr>
          <w:snapToGrid w:val="0"/>
        </w:rPr>
        <w:t>.</w:t>
      </w:r>
      <w:r>
        <w:rPr>
          <w:snapToGrid w:val="0"/>
        </w:rPr>
        <w:tab/>
        <w:t>Rubbish bins etc., owner of certain land may be required to provide etc.</w:t>
      </w:r>
      <w:bookmarkEnd w:id="36"/>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 xml:space="preserve">Penalty: </w:t>
      </w:r>
      <w:r>
        <w:t>a fine of</w:t>
      </w:r>
      <w:r>
        <w:rPr>
          <w:snapToGrid w:val="0"/>
        </w:rPr>
        <w:t xml:space="preserve">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No. 6 of 1996 s. 8; No. 55 of 2004 s. 659; No. 30 of 2012 s. 8.]</w:t>
      </w:r>
    </w:p>
    <w:p>
      <w:pPr>
        <w:pStyle w:val="Heading2"/>
      </w:pPr>
      <w:bookmarkStart w:id="37" w:name="_Toc32493867"/>
      <w:bookmarkStart w:id="38" w:name="_Toc32493934"/>
      <w:r>
        <w:rPr>
          <w:rStyle w:val="CharPartNo"/>
        </w:rPr>
        <w:t>Part V</w:t>
      </w:r>
      <w:r>
        <w:rPr>
          <w:rStyle w:val="CharDivNo"/>
        </w:rPr>
        <w:t> </w:t>
      </w:r>
      <w:r>
        <w:t>—</w:t>
      </w:r>
      <w:r>
        <w:rPr>
          <w:rStyle w:val="CharDivText"/>
        </w:rPr>
        <w:t> </w:t>
      </w:r>
      <w:r>
        <w:rPr>
          <w:rStyle w:val="CharPartText"/>
        </w:rPr>
        <w:t>Enforcement, proceedings and penalties</w:t>
      </w:r>
      <w:bookmarkEnd w:id="37"/>
      <w:bookmarkEnd w:id="38"/>
    </w:p>
    <w:p>
      <w:pPr>
        <w:pStyle w:val="Heading5"/>
        <w:rPr>
          <w:snapToGrid w:val="0"/>
        </w:rPr>
      </w:pPr>
      <w:bookmarkStart w:id="39" w:name="_Toc32493935"/>
      <w:r>
        <w:rPr>
          <w:rStyle w:val="CharSectno"/>
        </w:rPr>
        <w:t>26</w:t>
      </w:r>
      <w:r>
        <w:rPr>
          <w:snapToGrid w:val="0"/>
        </w:rPr>
        <w:t>.</w:t>
      </w:r>
      <w:r>
        <w:rPr>
          <w:snapToGrid w:val="0"/>
        </w:rPr>
        <w:tab/>
        <w:t>Authorised officers, appointment and jurisdiction of etc.</w:t>
      </w:r>
      <w:bookmarkEnd w:id="39"/>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 xml:space="preserve">The </w:t>
      </w:r>
      <w:r>
        <w:t xml:space="preserve">CEO, as defined in the </w:t>
      </w:r>
      <w:r>
        <w:rPr>
          <w:i/>
        </w:rPr>
        <w:t>Environmental Protection Act 1986</w:t>
      </w:r>
      <w:r>
        <w:t xml:space="preserve"> section 3(1), </w:t>
      </w:r>
      <w:r>
        <w:rPr>
          <w:snapToGrid w:val="0"/>
        </w:rPr>
        <w:t>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623"/>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ind w:left="890" w:hanging="890"/>
      </w:pPr>
      <w:r>
        <w:tab/>
        <w:t>[Section 26 amended: No. 49 of 1981 s. 4; No. 53 of 1994 s. 264; No. 24 of 1995 s. 55; No. 14 of 1996 s. 4; No. 28 of 2006 s. 215; No. 30 of 2012 s. 9.]</w:t>
      </w:r>
    </w:p>
    <w:p>
      <w:pPr>
        <w:pStyle w:val="Heading5"/>
        <w:rPr>
          <w:snapToGrid w:val="0"/>
        </w:rPr>
      </w:pPr>
      <w:bookmarkStart w:id="40" w:name="_Toc32493936"/>
      <w:r>
        <w:rPr>
          <w:rStyle w:val="CharSectno"/>
        </w:rPr>
        <w:t>27</w:t>
      </w:r>
      <w:r>
        <w:rPr>
          <w:snapToGrid w:val="0"/>
        </w:rPr>
        <w:t>.</w:t>
      </w:r>
      <w:r>
        <w:rPr>
          <w:snapToGrid w:val="0"/>
        </w:rPr>
        <w:tab/>
        <w:t>Authorised officers, powers of</w:t>
      </w:r>
      <w:bookmarkEnd w:id="40"/>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 xml:space="preserve">Penalty: </w:t>
      </w:r>
      <w:r>
        <w:t>a fine of</w:t>
      </w:r>
      <w:r>
        <w:rPr>
          <w:snapToGrid w:val="0"/>
        </w:rPr>
        <w:t xml:space="preserve"> $1 000.</w:t>
      </w:r>
    </w:p>
    <w:p>
      <w:pPr>
        <w:pStyle w:val="Footnotesection"/>
      </w:pPr>
      <w:r>
        <w:tab/>
        <w:t>[Section 27 amended: No. 18 of 1986 s. 6; No. 6 of 1996 s. 9; No. 30 of 2012 s. 10.]</w:t>
      </w:r>
    </w:p>
    <w:p>
      <w:pPr>
        <w:pStyle w:val="Heading5"/>
        <w:rPr>
          <w:snapToGrid w:val="0"/>
        </w:rPr>
      </w:pPr>
      <w:bookmarkStart w:id="41" w:name="_Toc32493937"/>
      <w:r>
        <w:rPr>
          <w:rStyle w:val="CharSectno"/>
        </w:rPr>
        <w:t>27A</w:t>
      </w:r>
      <w:r>
        <w:rPr>
          <w:snapToGrid w:val="0"/>
        </w:rPr>
        <w:t>.</w:t>
      </w:r>
      <w:r>
        <w:rPr>
          <w:snapToGrid w:val="0"/>
        </w:rPr>
        <w:tab/>
        <w:t>Offences involving vehicles, presumptions as to offender etc.</w:t>
      </w:r>
      <w:bookmarkEnd w:id="41"/>
    </w:p>
    <w:p>
      <w:pPr>
        <w:pStyle w:val="Subsection"/>
      </w:pPr>
      <w:r>
        <w:tab/>
        <w:t>(1A)</w:t>
      </w:r>
      <w:r>
        <w:tab/>
        <w:t xml:space="preserve">In this section — </w:t>
      </w:r>
    </w:p>
    <w:p>
      <w:pPr>
        <w:pStyle w:val="Defstart"/>
      </w:pPr>
      <w:r>
        <w:tab/>
      </w:r>
      <w:r>
        <w:rPr>
          <w:rStyle w:val="CharDefText"/>
        </w:rPr>
        <w:t>infringement notice</w:t>
      </w:r>
      <w:r>
        <w:t xml:space="preserve"> means an infringement notice under section 30;</w:t>
      </w:r>
    </w:p>
    <w:p>
      <w:pPr>
        <w:pStyle w:val="Defstart"/>
      </w:pPr>
      <w:r>
        <w:tab/>
      </w:r>
      <w:r>
        <w:rPr>
          <w:rStyle w:val="CharDefText"/>
        </w:rPr>
        <w:t>prosecution notice</w:t>
      </w:r>
      <w:r>
        <w:t xml:space="preserve"> means a prosecution notice under the </w:t>
      </w:r>
      <w:r>
        <w:rPr>
          <w:i/>
        </w:rPr>
        <w:t>Criminal Procedure Act 2004</w:t>
      </w:r>
      <w:r>
        <w:t>;</w:t>
      </w:r>
    </w:p>
    <w:p>
      <w:pPr>
        <w:pStyle w:val="Defstart"/>
      </w:pPr>
      <w:r>
        <w:tab/>
      </w:r>
      <w:r>
        <w:rPr>
          <w:rStyle w:val="CharDefText"/>
        </w:rPr>
        <w:t>relevant time</w:t>
      </w:r>
      <w:r>
        <w:t>, in relation to an offence, means the time at which the offence is alleged to have been committed;</w:t>
      </w:r>
    </w:p>
    <w:p>
      <w:pPr>
        <w:pStyle w:val="Defstart"/>
      </w:pPr>
      <w:r>
        <w:tab/>
      </w:r>
      <w:r>
        <w:rPr>
          <w:rStyle w:val="CharDefText"/>
        </w:rPr>
        <w:t>responsible person</w:t>
      </w:r>
      <w:r>
        <w:t xml:space="preserve">, for a vehicle, means — </w:t>
      </w:r>
    </w:p>
    <w:p>
      <w:pPr>
        <w:pStyle w:val="Defpara"/>
      </w:pPr>
      <w:r>
        <w:tab/>
        <w:t>(a)</w:t>
      </w:r>
      <w:r>
        <w:tab/>
        <w:t xml:space="preserve">if the </w:t>
      </w:r>
      <w:r>
        <w:rPr>
          <w:i/>
        </w:rPr>
        <w:t>Road Traffic (Administration) Act 2008</w:t>
      </w:r>
      <w:r>
        <w:t xml:space="preserve"> section 6 is in operation — a person responsible for the vehicle under that section; or</w:t>
      </w:r>
    </w:p>
    <w:p>
      <w:pPr>
        <w:pStyle w:val="Defpara"/>
      </w:pPr>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p>
    <w:p>
      <w:pPr>
        <w:pStyle w:val="Subsection"/>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causing to be broken any glass, metal or earthenware on any land or on or into any waters from a vehicle and the authorised officer investigating the offence is unable to establish who committed the </w:t>
      </w:r>
      <w:r>
        <w:t xml:space="preserve">offence — </w:t>
      </w:r>
    </w:p>
    <w:p>
      <w:pPr>
        <w:pStyle w:val="Indenta"/>
      </w:pPr>
      <w:r>
        <w:tab/>
        <w:t>(a)</w:t>
      </w:r>
      <w:r>
        <w:tab/>
        <w:t>the driver or person in charge of the vehicle at the relevant time; or</w:t>
      </w:r>
    </w:p>
    <w:p>
      <w:pPr>
        <w:pStyle w:val="Indenta"/>
      </w:pPr>
      <w:r>
        <w:tab/>
        <w:t>(b)</w:t>
      </w:r>
      <w:r>
        <w:tab/>
        <w:t>if the authorised officer investigating the offence is unable to establish who was the driver or person in charge of the vehicle at the relevant time, a responsible person for the vehicle at that time,</w:t>
      </w:r>
    </w:p>
    <w:p>
      <w:pPr>
        <w:pStyle w:val="Subsection"/>
        <w:spacing w:before="180"/>
        <w:rPr>
          <w:snapToGrid w:val="0"/>
        </w:rPr>
      </w:pPr>
      <w:r>
        <w:tab/>
      </w:r>
      <w:r>
        <w:tab/>
        <w:t xml:space="preserve">is </w:t>
      </w:r>
      <w:r>
        <w:rPr>
          <w:snapToGrid w:val="0"/>
        </w:rPr>
        <w:t>to be taken to have committed the offence and may be proceeded against and is punishable accordingly.</w:t>
      </w:r>
    </w:p>
    <w:p>
      <w:pPr>
        <w:pStyle w:val="Subsection"/>
        <w:spacing w:before="180"/>
      </w:pPr>
      <w:r>
        <w:tab/>
        <w:t>(2)</w:t>
      </w:r>
      <w:r>
        <w:tab/>
        <w:t xml:space="preserve">Despite subsection (1), a person is not to be taken to have committed an offence under that subsection if — </w:t>
      </w:r>
    </w:p>
    <w:p>
      <w:pPr>
        <w:pStyle w:val="Indenta"/>
      </w:pPr>
      <w:r>
        <w:tab/>
        <w:t>(a)</w:t>
      </w:r>
      <w:r>
        <w:tab/>
        <w:t>within 14 days after the date of service of an infringement notice on the person for the offence, the person gives to the person who served the infringement notice; or</w:t>
      </w:r>
    </w:p>
    <w:p>
      <w:pPr>
        <w:pStyle w:val="Indenta"/>
      </w:pPr>
      <w:r>
        <w:tab/>
        <w:t>(b)</w:t>
      </w:r>
      <w:r>
        <w:tab/>
        <w:t>within 14 days after the date of service of a copy of a prosecution notice on the person for the offence, the person gives to the person who commenced the prosecution,</w:t>
      </w:r>
    </w:p>
    <w:p>
      <w:pPr>
        <w:pStyle w:val="Subsection"/>
        <w:spacing w:before="180"/>
      </w:pPr>
      <w:r>
        <w:tab/>
      </w:r>
      <w:r>
        <w:tab/>
        <w:t>a written statement, on oath or by statutory declaration, that complies with subsection (3) or (4), as the case requires.</w:t>
      </w:r>
    </w:p>
    <w:p>
      <w:pPr>
        <w:pStyle w:val="Subsection"/>
        <w:spacing w:before="180"/>
      </w:pPr>
      <w:r>
        <w:tab/>
        <w:t>(3)</w:t>
      </w:r>
      <w:r>
        <w:tab/>
        <w:t>I</w:t>
      </w:r>
      <w:r>
        <w:rPr>
          <w:snapToGrid w:val="0"/>
        </w:rPr>
        <w:t>f the person was the driver or person in charge of the vehicle at the relevant time, the statement must verify that some other person committed the offence</w:t>
      </w:r>
      <w:r>
        <w:t xml:space="preserve"> and either — </w:t>
      </w:r>
    </w:p>
    <w:p>
      <w:pPr>
        <w:pStyle w:val="Indenta"/>
        <w:rPr>
          <w:snapToGrid w:val="0"/>
        </w:rPr>
      </w:pPr>
      <w:r>
        <w:rPr>
          <w:snapToGrid w:val="0"/>
        </w:rPr>
        <w:tab/>
        <w:t>(a)</w:t>
      </w:r>
      <w:r>
        <w:rPr>
          <w:snapToGrid w:val="0"/>
        </w:rPr>
        <w:tab/>
        <w:t>state the name and address of that other person; or</w:t>
      </w:r>
    </w:p>
    <w:p>
      <w:pPr>
        <w:pStyle w:val="Indenta"/>
        <w:rPr>
          <w:snapToGrid w:val="0"/>
        </w:rPr>
      </w:pPr>
      <w:r>
        <w:tab/>
        <w:t>(b)</w:t>
      </w:r>
      <w:r>
        <w:tab/>
        <w:t>if th</w:t>
      </w:r>
      <w:r>
        <w:rPr>
          <w:snapToGrid w:val="0"/>
        </w:rPr>
        <w:t>at name and address are not known to the person, verify that the person does not know and cannot by reasonable diligence find out that name and address.</w:t>
      </w:r>
    </w:p>
    <w:p>
      <w:pPr>
        <w:pStyle w:val="Subsection"/>
      </w:pPr>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p>
    <w:p>
      <w:pPr>
        <w:pStyle w:val="Indenta"/>
        <w:rPr>
          <w:snapToGrid w:val="0"/>
        </w:rPr>
      </w:pPr>
      <w:r>
        <w:rPr>
          <w:snapToGrid w:val="0"/>
        </w:rPr>
        <w:tab/>
        <w:t>(a)</w:t>
      </w:r>
      <w:r>
        <w:rPr>
          <w:snapToGrid w:val="0"/>
        </w:rPr>
        <w:tab/>
        <w:t>state the name and address of the driver or person in charge of the vehicle at that time; or</w:t>
      </w:r>
    </w:p>
    <w:p>
      <w:pPr>
        <w:pStyle w:val="Indenta"/>
        <w:rPr>
          <w:snapToGrid w:val="0"/>
        </w:rPr>
      </w:pPr>
      <w:r>
        <w:rPr>
          <w:snapToGrid w:val="0"/>
        </w:rPr>
        <w:tab/>
        <w:t>(b)</w:t>
      </w:r>
      <w:r>
        <w:rPr>
          <w:snapToGrid w:val="0"/>
        </w:rPr>
        <w:tab/>
        <w:t>if that name and address are not known to the person, verify that the person does not know and cannot by reasonable diligence find out that name and address.</w:t>
      </w:r>
    </w:p>
    <w:p>
      <w:pPr>
        <w:pStyle w:val="Subsection"/>
        <w:spacing w:before="180"/>
      </w:pPr>
      <w:r>
        <w:tab/>
        <w:t>(5A)</w:t>
      </w:r>
      <w:r>
        <w:tab/>
        <w:t>If an infringement notice is served on a person named in a statement given under subsection (2), a copy of the statement must be served with the infringement notice.</w:t>
      </w:r>
    </w:p>
    <w:p>
      <w:pPr>
        <w:pStyle w:val="Subsection"/>
        <w:spacing w:before="180"/>
      </w:pPr>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p>
    <w:p>
      <w:pPr>
        <w:pStyle w:val="Subsection"/>
        <w:spacing w:before="180"/>
        <w:rPr>
          <w:snapToGrid w:val="0"/>
        </w:rPr>
      </w:pPr>
      <w:r>
        <w:rPr>
          <w:snapToGrid w:val="0"/>
        </w:rPr>
        <w:tab/>
        <w:t>(5)</w:t>
      </w:r>
      <w:r>
        <w:rPr>
          <w:snapToGrid w:val="0"/>
        </w:rPr>
        <w:tab/>
        <w:t xml:space="preserve">Subject to </w:t>
      </w:r>
      <w:r>
        <w:t xml:space="preserve">subsections (5A) and (5B), </w:t>
      </w:r>
      <w:r>
        <w:rPr>
          <w:snapToGrid w:val="0"/>
        </w:rPr>
        <w:t xml:space="preserve">the production of a statement </w:t>
      </w:r>
      <w:r>
        <w:t>given</w:t>
      </w:r>
      <w:r>
        <w:rPr>
          <w:snapToGrid w:val="0"/>
        </w:rPr>
        <w:t xml:space="preserve"> under subsection (2) is evidence of the facts stated in it and in the absence of evidence to the contrary is sufficient evidence of those facts.</w:t>
      </w:r>
    </w:p>
    <w:p>
      <w:pPr>
        <w:pStyle w:val="Subsection"/>
        <w:spacing w:before="18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No. 6 of 1996 s. 10; amended: No. 59 of 2004 s. 141; No. 84 of 2004 s. 78; No. 30 of 2012 s. 11.]</w:t>
      </w:r>
    </w:p>
    <w:p>
      <w:pPr>
        <w:pStyle w:val="Heading5"/>
        <w:keepNext w:val="0"/>
        <w:keepLines w:val="0"/>
        <w:pageBreakBefore/>
        <w:spacing w:before="0"/>
        <w:rPr>
          <w:snapToGrid w:val="0"/>
        </w:rPr>
      </w:pPr>
      <w:bookmarkStart w:id="42" w:name="_Toc32493938"/>
      <w:r>
        <w:rPr>
          <w:rStyle w:val="CharSectno"/>
        </w:rPr>
        <w:t>27AA</w:t>
      </w:r>
      <w:r>
        <w:rPr>
          <w:snapToGrid w:val="0"/>
        </w:rPr>
        <w:t>.</w:t>
      </w:r>
      <w:r>
        <w:rPr>
          <w:snapToGrid w:val="0"/>
        </w:rPr>
        <w:tab/>
        <w:t>Honorary inspectors, appointment of</w:t>
      </w:r>
      <w:bookmarkEnd w:id="42"/>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No. 14 of 1996 s. 4; amended: No. 10 of 1998 s. 44.]</w:t>
      </w:r>
    </w:p>
    <w:p>
      <w:pPr>
        <w:pStyle w:val="Heading5"/>
        <w:rPr>
          <w:snapToGrid w:val="0"/>
        </w:rPr>
      </w:pPr>
      <w:bookmarkStart w:id="43" w:name="_Toc32493939"/>
      <w:r>
        <w:rPr>
          <w:rStyle w:val="CharSectno"/>
        </w:rPr>
        <w:t>28</w:t>
      </w:r>
      <w:r>
        <w:rPr>
          <w:snapToGrid w:val="0"/>
        </w:rPr>
        <w:t>.</w:t>
      </w:r>
      <w:r>
        <w:rPr>
          <w:snapToGrid w:val="0"/>
        </w:rPr>
        <w:tab/>
        <w:t>Court may order offender to remove litter etc.</w:t>
      </w:r>
      <w:bookmarkEnd w:id="43"/>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No. 6 of 1996 s. 11.]</w:t>
      </w:r>
    </w:p>
    <w:p>
      <w:pPr>
        <w:pStyle w:val="Heading5"/>
        <w:spacing w:before="180"/>
        <w:rPr>
          <w:snapToGrid w:val="0"/>
        </w:rPr>
      </w:pPr>
      <w:bookmarkStart w:id="44" w:name="_Toc32493940"/>
      <w:r>
        <w:rPr>
          <w:rStyle w:val="CharSectno"/>
        </w:rPr>
        <w:t>29</w:t>
      </w:r>
      <w:r>
        <w:rPr>
          <w:snapToGrid w:val="0"/>
        </w:rPr>
        <w:t>.</w:t>
      </w:r>
      <w:r>
        <w:rPr>
          <w:snapToGrid w:val="0"/>
        </w:rPr>
        <w:tab/>
        <w:t>Court may order offender to pay costs of removing litter etc.</w:t>
      </w:r>
      <w:bookmarkEnd w:id="44"/>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No. 92 of 1994 s. 23; No. 6 of 1996 s. 12.]</w:t>
      </w:r>
    </w:p>
    <w:p>
      <w:pPr>
        <w:pStyle w:val="Heading5"/>
        <w:spacing w:before="180"/>
        <w:rPr>
          <w:snapToGrid w:val="0"/>
        </w:rPr>
      </w:pPr>
      <w:bookmarkStart w:id="45" w:name="_Toc32493941"/>
      <w:r>
        <w:rPr>
          <w:rStyle w:val="CharSectno"/>
        </w:rPr>
        <w:t>30</w:t>
      </w:r>
      <w:r>
        <w:rPr>
          <w:snapToGrid w:val="0"/>
        </w:rPr>
        <w:t>.</w:t>
      </w:r>
      <w:r>
        <w:rPr>
          <w:snapToGrid w:val="0"/>
        </w:rPr>
        <w:tab/>
        <w:t>Infringement notices</w:t>
      </w:r>
      <w:bookmarkEnd w:id="45"/>
    </w:p>
    <w:p>
      <w:pPr>
        <w:pStyle w:val="Subsection"/>
        <w:spacing w:before="120"/>
      </w:pPr>
      <w:r>
        <w:rPr>
          <w:snapToGrid w:val="0"/>
        </w:rPr>
        <w:tab/>
        <w:t>(1)</w:t>
      </w:r>
      <w:r>
        <w:rPr>
          <w:snapToGrid w:val="0"/>
        </w:rPr>
        <w:tab/>
      </w:r>
      <w:r>
        <w:t xml:space="preserve">If — </w:t>
      </w:r>
    </w:p>
    <w:p>
      <w:pPr>
        <w:pStyle w:val="Indenta"/>
        <w:rPr>
          <w:snapToGrid w:val="0"/>
        </w:rPr>
      </w:pPr>
      <w:r>
        <w:tab/>
        <w:t>(a)</w:t>
      </w:r>
      <w:r>
        <w:tab/>
      </w:r>
      <w:r>
        <w:rPr>
          <w:snapToGrid w:val="0"/>
        </w:rPr>
        <w:t>an authorised officer has reason to believe that a person has committed a prescribed offence against this Act, the authorised officer; or</w:t>
      </w:r>
    </w:p>
    <w:p>
      <w:pPr>
        <w:pStyle w:val="Indenta"/>
        <w:rPr>
          <w:snapToGrid w:val="0"/>
        </w:rPr>
      </w:pPr>
      <w:r>
        <w:tab/>
        <w:t>(b)</w:t>
      </w:r>
      <w:r>
        <w:tab/>
      </w:r>
      <w:r>
        <w:rPr>
          <w:snapToGrid w:val="0"/>
        </w:rPr>
        <w:t>under section 27A(1) a person is to be taken to have committed a prescribed offence against this Act, an authorised officer,</w:t>
      </w:r>
    </w:p>
    <w:p>
      <w:pPr>
        <w:pStyle w:val="Subsection"/>
        <w:rPr>
          <w:snapToGrid w:val="0"/>
        </w:rPr>
      </w:pPr>
      <w:r>
        <w:tab/>
      </w:r>
      <w:r>
        <w:tab/>
        <w:t xml:space="preserve">may </w:t>
      </w:r>
      <w:r>
        <w:rPr>
          <w:snapToGrid w:val="0"/>
        </w:rPr>
        <w:t xml:space="preserve">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No. 48 of 1981 s. 5; No. 18 of 1986 s. 7; No. 84 of 2004 s. 80; No. 30 of 2012 s. 12.]</w:t>
      </w:r>
    </w:p>
    <w:p>
      <w:pPr>
        <w:pStyle w:val="Heading5"/>
        <w:keepLines w:val="0"/>
        <w:rPr>
          <w:snapToGrid w:val="0"/>
        </w:rPr>
      </w:pPr>
      <w:bookmarkStart w:id="46" w:name="_Toc32493942"/>
      <w:r>
        <w:rPr>
          <w:rStyle w:val="CharSectno"/>
        </w:rPr>
        <w:t>31</w:t>
      </w:r>
      <w:r>
        <w:rPr>
          <w:snapToGrid w:val="0"/>
        </w:rPr>
        <w:t>.</w:t>
      </w:r>
      <w:r>
        <w:rPr>
          <w:snapToGrid w:val="0"/>
        </w:rPr>
        <w:tab/>
        <w:t>Penalties, application of</w:t>
      </w:r>
      <w:bookmarkEnd w:id="46"/>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No. 49 of 1981 s. 6; No. 14 of 1996 s. 4; No. 49 of 1996 s. 64.]</w:t>
      </w:r>
    </w:p>
    <w:p>
      <w:pPr>
        <w:pStyle w:val="Heading5"/>
        <w:spacing w:before="120"/>
        <w:rPr>
          <w:snapToGrid w:val="0"/>
        </w:rPr>
      </w:pPr>
      <w:bookmarkStart w:id="47" w:name="_Toc32493943"/>
      <w:r>
        <w:rPr>
          <w:rStyle w:val="CharSectno"/>
        </w:rPr>
        <w:t>32</w:t>
      </w:r>
      <w:r>
        <w:rPr>
          <w:snapToGrid w:val="0"/>
        </w:rPr>
        <w:t>.</w:t>
      </w:r>
      <w:r>
        <w:rPr>
          <w:snapToGrid w:val="0"/>
        </w:rPr>
        <w:tab/>
        <w:t>Defence of consent, proof of</w:t>
      </w:r>
      <w:bookmarkEnd w:id="47"/>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No. 31 of 1997 s. 64.]</w:t>
      </w:r>
    </w:p>
    <w:p>
      <w:pPr>
        <w:pStyle w:val="Heading2"/>
      </w:pPr>
      <w:bookmarkStart w:id="48" w:name="_Toc32493877"/>
      <w:bookmarkStart w:id="49" w:name="_Toc32493944"/>
      <w:r>
        <w:rPr>
          <w:rStyle w:val="CharPartNo"/>
        </w:rPr>
        <w:t>Part VI</w:t>
      </w:r>
      <w:r>
        <w:rPr>
          <w:rStyle w:val="CharDivNo"/>
        </w:rPr>
        <w:t> </w:t>
      </w:r>
      <w:r>
        <w:t>—</w:t>
      </w:r>
      <w:r>
        <w:rPr>
          <w:rStyle w:val="CharDivText"/>
        </w:rPr>
        <w:t> </w:t>
      </w:r>
      <w:r>
        <w:rPr>
          <w:rStyle w:val="CharPartText"/>
        </w:rPr>
        <w:t>Regulations and rules</w:t>
      </w:r>
      <w:bookmarkEnd w:id="48"/>
      <w:bookmarkEnd w:id="49"/>
    </w:p>
    <w:p>
      <w:pPr>
        <w:pStyle w:val="Heading5"/>
        <w:rPr>
          <w:snapToGrid w:val="0"/>
        </w:rPr>
      </w:pPr>
      <w:bookmarkStart w:id="50" w:name="_Toc32493945"/>
      <w:r>
        <w:rPr>
          <w:rStyle w:val="CharSectno"/>
        </w:rPr>
        <w:t>33</w:t>
      </w:r>
      <w:r>
        <w:rPr>
          <w:snapToGrid w:val="0"/>
        </w:rPr>
        <w:t>.</w:t>
      </w:r>
      <w:r>
        <w:rPr>
          <w:snapToGrid w:val="0"/>
        </w:rPr>
        <w:tab/>
        <w:t>Regulations</w:t>
      </w:r>
      <w:bookmarkEnd w:id="50"/>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 xml:space="preserve">a penalty not exceeding </w:t>
      </w:r>
      <w:r>
        <w:t>$2 000; or</w:t>
      </w:r>
    </w:p>
    <w:p>
      <w:pPr>
        <w:pStyle w:val="Indenti"/>
        <w:rPr>
          <w:snapToGrid w:val="0"/>
        </w:rPr>
      </w:pPr>
      <w:r>
        <w:rPr>
          <w:snapToGrid w:val="0"/>
        </w:rPr>
        <w:tab/>
        <w:t>(ii)</w:t>
      </w:r>
      <w:r>
        <w:rPr>
          <w:snapToGrid w:val="0"/>
        </w:rPr>
        <w:tab/>
        <w:t xml:space="preserve">different penalties, none of which exceeds </w:t>
      </w:r>
      <w:r>
        <w:t xml:space="preserve">$2 000, </w:t>
      </w:r>
      <w:r>
        <w:rPr>
          <w:snapToGrid w:val="0"/>
        </w:rPr>
        <w:t>according to the circumstances by which the offence is attended.</w:t>
      </w:r>
    </w:p>
    <w:p>
      <w:pPr>
        <w:pStyle w:val="Subsection"/>
        <w:rPr>
          <w:snapToGrid w:val="0"/>
        </w:rPr>
      </w:pPr>
      <w:r>
        <w:rPr>
          <w:snapToGrid w:val="0"/>
        </w:rPr>
        <w:tab/>
        <w:t>(3)</w:t>
      </w:r>
      <w:r>
        <w:rPr>
          <w:snapToGrid w:val="0"/>
        </w:rPr>
        <w:tab/>
        <w:t xml:space="preserve">The regulations may prescribe penalties, not exceeding a fine of </w:t>
      </w:r>
      <w:r>
        <w:t xml:space="preserve">$5 000 </w:t>
      </w:r>
      <w:r>
        <w:rPr>
          <w:snapToGrid w:val="0"/>
        </w:rPr>
        <w:t>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No. 6 of 1996 s. 13; No. 54 of 2003 s. 68(4); No. 30 of 2012 s. 13.]</w:t>
      </w:r>
    </w:p>
    <w:p>
      <w:pPr>
        <w:pStyle w:val="Heading5"/>
        <w:rPr>
          <w:snapToGrid w:val="0"/>
        </w:rPr>
      </w:pPr>
      <w:bookmarkStart w:id="51" w:name="_Toc32493946"/>
      <w:r>
        <w:rPr>
          <w:rStyle w:val="CharSectno"/>
        </w:rPr>
        <w:t>34</w:t>
      </w:r>
      <w:r>
        <w:rPr>
          <w:snapToGrid w:val="0"/>
        </w:rPr>
        <w:t>.</w:t>
      </w:r>
      <w:r>
        <w:rPr>
          <w:snapToGrid w:val="0"/>
        </w:rPr>
        <w:tab/>
        <w:t>Rules</w:t>
      </w:r>
      <w:bookmarkEnd w:id="51"/>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52" w:name="_Toc32493880"/>
      <w:bookmarkStart w:id="53" w:name="_Toc32493947"/>
      <w:r>
        <w:rPr>
          <w:rStyle w:val="CharPartNo"/>
        </w:rPr>
        <w:t>Part VII</w:t>
      </w:r>
      <w:r>
        <w:rPr>
          <w:rStyle w:val="CharDivNo"/>
        </w:rPr>
        <w:t> </w:t>
      </w:r>
      <w:r>
        <w:t>—</w:t>
      </w:r>
      <w:r>
        <w:rPr>
          <w:rStyle w:val="CharDivText"/>
        </w:rPr>
        <w:t> </w:t>
      </w:r>
      <w:r>
        <w:rPr>
          <w:rStyle w:val="CharPartText"/>
        </w:rPr>
        <w:t>Transitional</w:t>
      </w:r>
      <w:bookmarkEnd w:id="52"/>
      <w:bookmarkEnd w:id="53"/>
    </w:p>
    <w:p>
      <w:pPr>
        <w:pStyle w:val="Heading5"/>
        <w:rPr>
          <w:snapToGrid w:val="0"/>
        </w:rPr>
      </w:pPr>
      <w:bookmarkStart w:id="54" w:name="_Toc32493948"/>
      <w:r>
        <w:rPr>
          <w:rStyle w:val="CharSectno"/>
        </w:rPr>
        <w:t>35</w:t>
      </w:r>
      <w:r>
        <w:rPr>
          <w:snapToGrid w:val="0"/>
        </w:rPr>
        <w:t>.</w:t>
      </w:r>
      <w:r>
        <w:rPr>
          <w:snapToGrid w:val="0"/>
        </w:rPr>
        <w:tab/>
        <w:t>Commencement and interpretation</w:t>
      </w:r>
      <w:bookmarkEnd w:id="54"/>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w:t>
      </w:r>
      <w:r>
        <w:rPr>
          <w:i/>
          <w:snapToGrid w:val="0"/>
          <w:vertAlign w:val="superscript"/>
        </w:rPr>
        <w:t> </w:t>
      </w:r>
      <w:r>
        <w:rPr>
          <w:snapToGrid w:val="0"/>
          <w:vertAlign w:val="superscript"/>
        </w:rPr>
        <w:t>1</w:t>
      </w:r>
      <w:r>
        <w:rPr>
          <w:snapToGrid w:val="0"/>
        </w:rPr>
        <w:t>, on 14 October 1971 by the name of Keep Australia Beautiful Council (W.A.).</w:t>
      </w:r>
    </w:p>
    <w:p>
      <w:pPr>
        <w:pStyle w:val="Heading5"/>
        <w:rPr>
          <w:snapToGrid w:val="0"/>
        </w:rPr>
      </w:pPr>
      <w:bookmarkStart w:id="55" w:name="_Toc32493949"/>
      <w:r>
        <w:rPr>
          <w:rStyle w:val="CharSectno"/>
        </w:rPr>
        <w:t>36</w:t>
      </w:r>
      <w:r>
        <w:rPr>
          <w:snapToGrid w:val="0"/>
        </w:rPr>
        <w:t>.</w:t>
      </w:r>
      <w:r>
        <w:rPr>
          <w:snapToGrid w:val="0"/>
        </w:rPr>
        <w:tab/>
        <w:t>Dissolution of former Association</w:t>
      </w:r>
      <w:bookmarkEnd w:id="55"/>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w:t>
      </w:r>
      <w:r>
        <w:rPr>
          <w:snapToGrid w:val="0"/>
          <w:vertAlign w:val="superscript"/>
        </w:rPr>
        <w:t> 1</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56" w:name="_Toc32493950"/>
      <w:r>
        <w:rPr>
          <w:rStyle w:val="CharSectno"/>
        </w:rPr>
        <w:t>37</w:t>
      </w:r>
      <w:r>
        <w:rPr>
          <w:snapToGrid w:val="0"/>
        </w:rPr>
        <w:t>.</w:t>
      </w:r>
      <w:r>
        <w:rPr>
          <w:snapToGrid w:val="0"/>
        </w:rPr>
        <w:tab/>
        <w:t>Property, proceedings etc.</w:t>
      </w:r>
      <w:bookmarkEnd w:id="56"/>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57" w:name="_Toc32493951"/>
      <w:r>
        <w:rPr>
          <w:rStyle w:val="CharSectno"/>
        </w:rPr>
        <w:t>38</w:t>
      </w:r>
      <w:r>
        <w:rPr>
          <w:snapToGrid w:val="0"/>
        </w:rPr>
        <w:t>.</w:t>
      </w:r>
      <w:r>
        <w:rPr>
          <w:snapToGrid w:val="0"/>
        </w:rPr>
        <w:tab/>
        <w:t>Membership</w:t>
      </w:r>
      <w:bookmarkEnd w:id="57"/>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8" w:name="_Toc32493885"/>
      <w:bookmarkStart w:id="59" w:name="_Toc32493952"/>
      <w:r>
        <w:rPr>
          <w:rStyle w:val="CharSchNo"/>
        </w:rPr>
        <w:t>First Schedule</w:t>
      </w:r>
      <w:r>
        <w:rPr>
          <w:rStyle w:val="CharSDivNo"/>
        </w:rPr>
        <w:t> </w:t>
      </w:r>
      <w:r>
        <w:t>—</w:t>
      </w:r>
      <w:r>
        <w:rPr>
          <w:rStyle w:val="CharSDivText"/>
        </w:rPr>
        <w:t> </w:t>
      </w:r>
      <w:r>
        <w:rPr>
          <w:rStyle w:val="CharSchText"/>
        </w:rPr>
        <w:t>Provisions relating to the constitution and proceedings of the Council</w:t>
      </w:r>
      <w:bookmarkEnd w:id="58"/>
      <w:bookmarkEnd w:id="59"/>
    </w:p>
    <w:p>
      <w:pPr>
        <w:pStyle w:val="yShoulderClause"/>
        <w:rPr>
          <w:snapToGrid w:val="0"/>
        </w:rPr>
      </w:pPr>
      <w:r>
        <w:rPr>
          <w:snapToGrid w:val="0"/>
        </w:rPr>
        <w:t>[s. 6]</w:t>
      </w:r>
    </w:p>
    <w:p>
      <w:pPr>
        <w:pStyle w:val="yFootnoteheading"/>
      </w:pPr>
      <w:r>
        <w:tab/>
        <w:t>[Heading amended: No. 19 of 2010 s. 4.]</w:t>
      </w:r>
    </w:p>
    <w:p>
      <w:pPr>
        <w:pStyle w:val="yHeading5"/>
        <w:outlineLvl w:val="9"/>
        <w:rPr>
          <w:snapToGrid w:val="0"/>
        </w:rPr>
      </w:pPr>
      <w:bookmarkStart w:id="60" w:name="_Toc32493953"/>
      <w:r>
        <w:rPr>
          <w:rStyle w:val="CharSClsNo"/>
        </w:rPr>
        <w:t>1</w:t>
      </w:r>
      <w:r>
        <w:rPr>
          <w:snapToGrid w:val="0"/>
        </w:rPr>
        <w:t>.</w:t>
      </w:r>
      <w:r>
        <w:rPr>
          <w:snapToGrid w:val="0"/>
        </w:rPr>
        <w:tab/>
      </w:r>
      <w:r>
        <w:t xml:space="preserve">When </w:t>
      </w:r>
      <w:r>
        <w:rPr>
          <w:snapToGrid w:val="0"/>
        </w:rPr>
        <w:t>vacancies occur</w:t>
      </w:r>
      <w:bookmarkEnd w:id="60"/>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No. 18 of 2009 s. 52.]</w:t>
      </w:r>
    </w:p>
    <w:p>
      <w:pPr>
        <w:pStyle w:val="yHeading5"/>
        <w:outlineLvl w:val="9"/>
        <w:rPr>
          <w:snapToGrid w:val="0"/>
        </w:rPr>
      </w:pPr>
      <w:bookmarkStart w:id="61" w:name="_Toc32493954"/>
      <w:r>
        <w:rPr>
          <w:rStyle w:val="CharSClsNo"/>
        </w:rPr>
        <w:t>2</w:t>
      </w:r>
      <w:r>
        <w:rPr>
          <w:snapToGrid w:val="0"/>
        </w:rPr>
        <w:t>.</w:t>
      </w:r>
      <w:r>
        <w:rPr>
          <w:snapToGrid w:val="0"/>
        </w:rPr>
        <w:tab/>
      </w:r>
      <w:r>
        <w:t>Deputies of members, appointment of etc.</w:t>
      </w:r>
      <w:bookmarkEnd w:id="61"/>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62" w:name="_Toc32493955"/>
      <w:r>
        <w:rPr>
          <w:rStyle w:val="CharSClsNo"/>
        </w:rPr>
        <w:t>3</w:t>
      </w:r>
      <w:r>
        <w:rPr>
          <w:snapToGrid w:val="0"/>
        </w:rPr>
        <w:t>.</w:t>
      </w:r>
      <w:r>
        <w:rPr>
          <w:snapToGrid w:val="0"/>
        </w:rPr>
        <w:tab/>
      </w:r>
      <w:r>
        <w:t>Who</w:t>
      </w:r>
      <w:r>
        <w:rPr>
          <w:snapToGrid w:val="0"/>
        </w:rPr>
        <w:t xml:space="preserve"> presides at meetings</w:t>
      </w:r>
      <w:bookmarkEnd w:id="62"/>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63" w:name="_Toc32493956"/>
      <w:r>
        <w:rPr>
          <w:rStyle w:val="CharSClsNo"/>
        </w:rPr>
        <w:t>4</w:t>
      </w:r>
      <w:r>
        <w:rPr>
          <w:snapToGrid w:val="0"/>
        </w:rPr>
        <w:t>.</w:t>
      </w:r>
      <w:r>
        <w:rPr>
          <w:snapToGrid w:val="0"/>
        </w:rPr>
        <w:tab/>
      </w:r>
      <w:r>
        <w:t>Meetings, convening</w:t>
      </w:r>
      <w:bookmarkEnd w:id="63"/>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64" w:name="_Toc32493957"/>
      <w:r>
        <w:rPr>
          <w:rStyle w:val="CharSClsNo"/>
        </w:rPr>
        <w:t>5</w:t>
      </w:r>
      <w:r>
        <w:rPr>
          <w:snapToGrid w:val="0"/>
        </w:rPr>
        <w:t>.</w:t>
      </w:r>
      <w:r>
        <w:rPr>
          <w:snapToGrid w:val="0"/>
        </w:rPr>
        <w:tab/>
      </w:r>
      <w:r>
        <w:t>Quorum</w:t>
      </w:r>
      <w:bookmarkEnd w:id="6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65" w:name="_Toc32493958"/>
      <w:r>
        <w:rPr>
          <w:rStyle w:val="CharSClsNo"/>
        </w:rPr>
        <w:t>6</w:t>
      </w:r>
      <w:r>
        <w:rPr>
          <w:snapToGrid w:val="0"/>
        </w:rPr>
        <w:t>.</w:t>
      </w:r>
      <w:r>
        <w:rPr>
          <w:snapToGrid w:val="0"/>
        </w:rPr>
        <w:tab/>
      </w:r>
      <w:r>
        <w:t>Voting</w:t>
      </w:r>
      <w:bookmarkEnd w:id="65"/>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66" w:name="_Toc32493959"/>
      <w:r>
        <w:rPr>
          <w:rStyle w:val="CharSClsNo"/>
        </w:rPr>
        <w:t>7</w:t>
      </w:r>
      <w:r>
        <w:rPr>
          <w:snapToGrid w:val="0"/>
        </w:rPr>
        <w:t>.</w:t>
      </w:r>
      <w:r>
        <w:rPr>
          <w:snapToGrid w:val="0"/>
        </w:rPr>
        <w:tab/>
      </w:r>
      <w:r>
        <w:t>Minutes</w:t>
      </w:r>
      <w:bookmarkEnd w:id="66"/>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67" w:name="_Toc32493960"/>
      <w:r>
        <w:rPr>
          <w:rStyle w:val="CharSClsNo"/>
        </w:rPr>
        <w:t>8</w:t>
      </w:r>
      <w:r>
        <w:rPr>
          <w:snapToGrid w:val="0"/>
        </w:rPr>
        <w:t>.</w:t>
      </w:r>
      <w:r>
        <w:rPr>
          <w:snapToGrid w:val="0"/>
        </w:rPr>
        <w:tab/>
      </w:r>
      <w:r>
        <w:t>Pecuniary</w:t>
      </w:r>
      <w:r>
        <w:rPr>
          <w:snapToGrid w:val="0"/>
        </w:rPr>
        <w:t xml:space="preserve"> interests, disclosure of</w:t>
      </w:r>
      <w:bookmarkEnd w:id="67"/>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68" w:name="_Toc32493961"/>
      <w:r>
        <w:rPr>
          <w:rStyle w:val="CharSClsNo"/>
        </w:rPr>
        <w:t>9</w:t>
      </w:r>
      <w:r>
        <w:rPr>
          <w:snapToGrid w:val="0"/>
        </w:rPr>
        <w:t>.</w:t>
      </w:r>
      <w:r>
        <w:rPr>
          <w:snapToGrid w:val="0"/>
        </w:rPr>
        <w:tab/>
      </w:r>
      <w:r>
        <w:t>Vacancy etc. not to affect validity of Council’s acts etc.</w:t>
      </w:r>
      <w:bookmarkEnd w:id="68"/>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69" w:name="_Toc32493962"/>
      <w:r>
        <w:rPr>
          <w:rStyle w:val="CharSClsNo"/>
        </w:rPr>
        <w:t>10</w:t>
      </w:r>
      <w:r>
        <w:rPr>
          <w:snapToGrid w:val="0"/>
        </w:rPr>
        <w:t>.</w:t>
      </w:r>
      <w:r>
        <w:rPr>
          <w:snapToGrid w:val="0"/>
        </w:rPr>
        <w:tab/>
      </w:r>
      <w:r>
        <w:t>Common</w:t>
      </w:r>
      <w:r>
        <w:rPr>
          <w:snapToGrid w:val="0"/>
        </w:rPr>
        <w:t xml:space="preserve"> seal</w:t>
      </w:r>
      <w:bookmarkEnd w:id="69"/>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70" w:name="_Toc32493963"/>
      <w:r>
        <w:rPr>
          <w:rStyle w:val="CharSClsNo"/>
        </w:rPr>
        <w:t>11</w:t>
      </w:r>
      <w:r>
        <w:rPr>
          <w:snapToGrid w:val="0"/>
        </w:rPr>
        <w:t>.</w:t>
      </w:r>
      <w:r>
        <w:rPr>
          <w:snapToGrid w:val="0"/>
        </w:rPr>
        <w:tab/>
      </w:r>
      <w:r>
        <w:t>Procedure</w:t>
      </w:r>
      <w:r>
        <w:rPr>
          <w:snapToGrid w:val="0"/>
        </w:rPr>
        <w:t xml:space="preserve"> where none prescribed</w:t>
      </w:r>
      <w:bookmarkEnd w:id="70"/>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yScheduleHeading"/>
      </w:pPr>
      <w:bookmarkStart w:id="72" w:name="_Toc32493897"/>
      <w:bookmarkStart w:id="73" w:name="_Toc32493964"/>
      <w:r>
        <w:rPr>
          <w:rStyle w:val="CharSchNo"/>
        </w:rPr>
        <w:t>Second Schedule</w:t>
      </w:r>
      <w:r>
        <w:rPr>
          <w:rStyle w:val="CharSDivNo"/>
        </w:rPr>
        <w:t> </w:t>
      </w:r>
      <w:r>
        <w:t>—</w:t>
      </w:r>
      <w:r>
        <w:rPr>
          <w:rStyle w:val="CharSDivText"/>
        </w:rPr>
        <w:t> </w:t>
      </w:r>
      <w:r>
        <w:rPr>
          <w:rStyle w:val="CharSchText"/>
        </w:rPr>
        <w:t>Objects and functions of the Council</w:t>
      </w:r>
      <w:bookmarkEnd w:id="72"/>
      <w:bookmarkEnd w:id="73"/>
    </w:p>
    <w:p>
      <w:pPr>
        <w:pStyle w:val="yShoulderClause"/>
        <w:rPr>
          <w:snapToGrid w:val="0"/>
        </w:rPr>
      </w:pPr>
      <w:r>
        <w:rPr>
          <w:snapToGrid w:val="0"/>
        </w:rPr>
        <w:t>[s. 7]</w:t>
      </w:r>
    </w:p>
    <w:p>
      <w:pPr>
        <w:pStyle w:val="yFootnoteheading"/>
      </w:pPr>
      <w:r>
        <w:tab/>
        <w:t>[Heading amended: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No. 14 of 1996 s. 4.]</w:t>
      </w:r>
    </w:p>
    <w:p>
      <w:pPr>
        <w:pStyle w:val="yScheduleHeading"/>
      </w:pPr>
      <w:bookmarkStart w:id="74" w:name="_Toc32493898"/>
      <w:bookmarkStart w:id="75" w:name="_Toc32493965"/>
      <w:r>
        <w:rPr>
          <w:rStyle w:val="CharSchNo"/>
        </w:rPr>
        <w:t>Third Schedule</w:t>
      </w:r>
      <w:r>
        <w:rPr>
          <w:rStyle w:val="CharSDivNo"/>
        </w:rPr>
        <w:t> </w:t>
      </w:r>
      <w:r>
        <w:t>—</w:t>
      </w:r>
      <w:r>
        <w:rPr>
          <w:rStyle w:val="CharSDivText"/>
        </w:rPr>
        <w:t> </w:t>
      </w:r>
      <w:r>
        <w:rPr>
          <w:rStyle w:val="CharSchText"/>
        </w:rPr>
        <w:t>Institutions of proceedings</w:t>
      </w:r>
      <w:bookmarkEnd w:id="74"/>
      <w:bookmarkEnd w:id="75"/>
    </w:p>
    <w:p>
      <w:pPr>
        <w:pStyle w:val="yShoulderClause"/>
        <w:rPr>
          <w:snapToGrid w:val="0"/>
        </w:rPr>
      </w:pPr>
      <w:r>
        <w:rPr>
          <w:snapToGrid w:val="0"/>
        </w:rPr>
        <w:t>[s. 30 and 31]</w:t>
      </w:r>
    </w:p>
    <w:p>
      <w:pPr>
        <w:pStyle w:val="yFootnoteheading"/>
      </w:pPr>
      <w:r>
        <w:tab/>
        <w:t>[Heading amended: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The Western Australian Museum</w:t>
            </w:r>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The FES Commissioner as defined in the </w:t>
            </w:r>
            <w:r>
              <w:rPr>
                <w:i/>
              </w:rPr>
              <w:t>Fire and Emergency Services Act 1998</w:t>
            </w:r>
            <w:r>
              <w:t xml:space="preserve"> section 3</w:t>
            </w:r>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No. 49 of 1981 s. 7; amended: No. 53 of 1994 s. 264; No. 24 of 1995 s. 55; No. 14 of 1996 s. 4; No. 42 of 1998 s. 38; No. 28 of 2006 s. 216; No. 22 of 2012 s. 127.]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pPr>
      <w:bookmarkStart w:id="76" w:name="_Toc32493899"/>
      <w:bookmarkStart w:id="77" w:name="_Toc32493966"/>
      <w:r>
        <w:t>Notes</w:t>
      </w:r>
      <w:bookmarkEnd w:id="76"/>
      <w:bookmarkEnd w:id="77"/>
    </w:p>
    <w:p>
      <w:pPr>
        <w:pStyle w:val="nStatement"/>
      </w:pPr>
      <w:r>
        <w:t xml:space="preserve">This is a compilation of the </w:t>
      </w:r>
      <w:r>
        <w:rPr>
          <w:i/>
          <w:noProof/>
        </w:rPr>
        <w:t>Litter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8" w:name="_Toc32493967"/>
      <w:r>
        <w:t>Compilation table</w:t>
      </w:r>
      <w:bookmarkEnd w:id="78"/>
    </w:p>
    <w:tbl>
      <w:tblPr>
        <w:tblW w:w="7101" w:type="dxa"/>
        <w:tblInd w:w="49" w:type="dxa"/>
        <w:tblLayout w:type="fixed"/>
        <w:tblCellMar>
          <w:left w:w="56" w:type="dxa"/>
          <w:right w:w="56" w:type="dxa"/>
        </w:tblCellMar>
        <w:tblLook w:val="0000" w:firstRow="0" w:lastRow="0" w:firstColumn="0" w:lastColumn="0" w:noHBand="0" w:noVBand="0"/>
      </w:tblPr>
      <w:tblGrid>
        <w:gridCol w:w="11"/>
        <w:gridCol w:w="2255"/>
        <w:gridCol w:w="14"/>
        <w:gridCol w:w="1120"/>
        <w:gridCol w:w="14"/>
        <w:gridCol w:w="1122"/>
        <w:gridCol w:w="14"/>
        <w:gridCol w:w="2537"/>
        <w:gridCol w:w="14"/>
      </w:tblGrid>
      <w:tr>
        <w:trPr>
          <w:gridAfter w:val="1"/>
          <w:wAfter w:w="14"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6" w:type="dxa"/>
            <w:gridSpan w:val="2"/>
            <w:tcBorders>
              <w:top w:val="single" w:sz="8" w:space="0" w:color="auto"/>
            </w:tcBorders>
          </w:tcPr>
          <w:p>
            <w:pPr>
              <w:pStyle w:val="nTable"/>
              <w:spacing w:after="40"/>
            </w:pPr>
            <w:r>
              <w:rPr>
                <w:i/>
              </w:rPr>
              <w:t>Litter Act 1979</w:t>
            </w:r>
          </w:p>
        </w:tc>
        <w:tc>
          <w:tcPr>
            <w:tcW w:w="1134" w:type="dxa"/>
            <w:gridSpan w:val="2"/>
            <w:tcBorders>
              <w:top w:val="single" w:sz="8" w:space="0" w:color="auto"/>
            </w:tcBorders>
          </w:tcPr>
          <w:p>
            <w:pPr>
              <w:pStyle w:val="nTable"/>
              <w:spacing w:after="40"/>
            </w:pPr>
            <w:r>
              <w:t>81 of 1979</w:t>
            </w:r>
          </w:p>
        </w:tc>
        <w:tc>
          <w:tcPr>
            <w:tcW w:w="1136" w:type="dxa"/>
            <w:gridSpan w:val="2"/>
            <w:tcBorders>
              <w:top w:val="single" w:sz="8" w:space="0" w:color="auto"/>
            </w:tcBorders>
          </w:tcPr>
          <w:p>
            <w:pPr>
              <w:pStyle w:val="nTable"/>
              <w:spacing w:after="40"/>
            </w:pPr>
            <w:r>
              <w:t>11 Dec 1979</w:t>
            </w:r>
          </w:p>
        </w:tc>
        <w:tc>
          <w:tcPr>
            <w:tcW w:w="2551" w:type="dxa"/>
            <w:gridSpan w:val="2"/>
            <w:tcBorders>
              <w:top w:val="single" w:sz="8" w:space="0" w:color="auto"/>
            </w:tcBorders>
          </w:tcPr>
          <w:p>
            <w:pPr>
              <w:pStyle w:val="nTable"/>
              <w:spacing w:after="40"/>
            </w:pPr>
            <w:r>
              <w:t xml:space="preserve">9 May 1980 (see s. 2 and </w:t>
            </w:r>
            <w:r>
              <w:rPr>
                <w:i/>
              </w:rPr>
              <w:t>Gazette</w:t>
            </w:r>
            <w:r>
              <w:t xml:space="preserve"> 9 May 1980 p. 1446)</w:t>
            </w:r>
          </w:p>
        </w:tc>
      </w:tr>
      <w:tr>
        <w:trPr>
          <w:gridAfter w:val="1"/>
          <w:wAfter w:w="14" w:type="dxa"/>
          <w:cantSplit/>
        </w:trPr>
        <w:tc>
          <w:tcPr>
            <w:tcW w:w="2266" w:type="dxa"/>
            <w:gridSpan w:val="2"/>
          </w:tcPr>
          <w:p>
            <w:pPr>
              <w:pStyle w:val="nTable"/>
              <w:spacing w:after="40"/>
            </w:pPr>
            <w:r>
              <w:rPr>
                <w:i/>
              </w:rPr>
              <w:t>Litter Amendment Act 1981</w:t>
            </w:r>
          </w:p>
        </w:tc>
        <w:tc>
          <w:tcPr>
            <w:tcW w:w="1134" w:type="dxa"/>
            <w:gridSpan w:val="2"/>
          </w:tcPr>
          <w:p>
            <w:pPr>
              <w:pStyle w:val="nTable"/>
              <w:spacing w:after="40"/>
            </w:pPr>
            <w:r>
              <w:t>49 of 1981</w:t>
            </w:r>
          </w:p>
        </w:tc>
        <w:tc>
          <w:tcPr>
            <w:tcW w:w="1136" w:type="dxa"/>
            <w:gridSpan w:val="2"/>
          </w:tcPr>
          <w:p>
            <w:pPr>
              <w:pStyle w:val="nTable"/>
              <w:spacing w:after="40"/>
            </w:pPr>
            <w:r>
              <w:t>16 Sep 1981</w:t>
            </w:r>
          </w:p>
        </w:tc>
        <w:tc>
          <w:tcPr>
            <w:tcW w:w="2551" w:type="dxa"/>
            <w:gridSpan w:val="2"/>
          </w:tcPr>
          <w:p>
            <w:pPr>
              <w:pStyle w:val="nTable"/>
              <w:spacing w:after="40"/>
            </w:pPr>
            <w:r>
              <w:t>Act other than s. 5(b) and (c): 16 Sep 1981 (see s. 2(1));</w:t>
            </w:r>
            <w:r>
              <w:br/>
              <w:t xml:space="preserve">s. 5(b) and (c): 20 Nov 1981 (see s. 2(2) and </w:t>
            </w:r>
            <w:r>
              <w:rPr>
                <w:i/>
              </w:rPr>
              <w:t>Gazette</w:t>
            </w:r>
            <w:r>
              <w:t xml:space="preserve"> 20 Nov 1981 p. 4718)</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approved 20 Jul 1983</w:t>
            </w:r>
            <w:r>
              <w:t xml:space="preserve"> (includes amendments listed above)</w:t>
            </w:r>
          </w:p>
        </w:tc>
      </w:tr>
      <w:tr>
        <w:trPr>
          <w:gridAfter w:val="1"/>
          <w:wAfter w:w="14"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6"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4" w:type="dxa"/>
          <w:cantSplit/>
        </w:trPr>
        <w:tc>
          <w:tcPr>
            <w:tcW w:w="2266" w:type="dxa"/>
            <w:gridSpan w:val="2"/>
          </w:tcPr>
          <w:p>
            <w:pPr>
              <w:pStyle w:val="nTable"/>
              <w:spacing w:after="40"/>
            </w:pPr>
            <w:r>
              <w:rPr>
                <w:i/>
              </w:rPr>
              <w:t>Litter Amendment Act 1986</w:t>
            </w:r>
          </w:p>
        </w:tc>
        <w:tc>
          <w:tcPr>
            <w:tcW w:w="1134" w:type="dxa"/>
            <w:gridSpan w:val="2"/>
          </w:tcPr>
          <w:p>
            <w:pPr>
              <w:pStyle w:val="nTable"/>
              <w:spacing w:after="40"/>
            </w:pPr>
            <w:r>
              <w:t>18 of 1986</w:t>
            </w:r>
          </w:p>
        </w:tc>
        <w:tc>
          <w:tcPr>
            <w:tcW w:w="1136" w:type="dxa"/>
            <w:gridSpan w:val="2"/>
          </w:tcPr>
          <w:p>
            <w:pPr>
              <w:pStyle w:val="nTable"/>
              <w:spacing w:after="40"/>
            </w:pPr>
            <w:r>
              <w:t>25 Jul 1986</w:t>
            </w:r>
          </w:p>
        </w:tc>
        <w:tc>
          <w:tcPr>
            <w:tcW w:w="2551" w:type="dxa"/>
            <w:gridSpan w:val="2"/>
          </w:tcPr>
          <w:p>
            <w:pPr>
              <w:pStyle w:val="nTable"/>
              <w:spacing w:after="40"/>
            </w:pPr>
            <w:r>
              <w:t>Act other than s. 5: 22 Aug 1986 (see s. 2(1));</w:t>
            </w:r>
            <w:r>
              <w:br/>
              <w:t xml:space="preserve">s. 5: 20 Mar 1987 (see s. 2(2) and </w:t>
            </w:r>
            <w:r>
              <w:rPr>
                <w:i/>
              </w:rPr>
              <w:t>Gazette</w:t>
            </w:r>
            <w:r>
              <w:t xml:space="preserve"> 20 Mar 1987 p. 949)</w:t>
            </w:r>
          </w:p>
        </w:tc>
      </w:tr>
      <w:tr>
        <w:trPr>
          <w:gridAfter w:val="1"/>
          <w:wAfter w:w="14" w:type="dxa"/>
          <w:cantSplit/>
        </w:trPr>
        <w:tc>
          <w:tcPr>
            <w:tcW w:w="2266" w:type="dxa"/>
            <w:gridSpan w:val="2"/>
          </w:tcPr>
          <w:p>
            <w:pPr>
              <w:pStyle w:val="nTable"/>
              <w:spacing w:after="40"/>
            </w:pPr>
            <w:r>
              <w:rPr>
                <w:i/>
              </w:rPr>
              <w:t>Acts Amendment (Public Service) Act 1987</w:t>
            </w:r>
            <w:r>
              <w:t xml:space="preserve"> s. 32</w:t>
            </w:r>
          </w:p>
        </w:tc>
        <w:tc>
          <w:tcPr>
            <w:tcW w:w="1134" w:type="dxa"/>
            <w:gridSpan w:val="2"/>
          </w:tcPr>
          <w:p>
            <w:pPr>
              <w:pStyle w:val="nTable"/>
              <w:spacing w:after="40"/>
            </w:pPr>
            <w:r>
              <w:t>113 of 1987</w:t>
            </w:r>
          </w:p>
        </w:tc>
        <w:tc>
          <w:tcPr>
            <w:tcW w:w="1136"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4" w:type="dxa"/>
          <w:cantSplit/>
        </w:trPr>
        <w:tc>
          <w:tcPr>
            <w:tcW w:w="2266" w:type="dxa"/>
            <w:gridSpan w:val="2"/>
          </w:tcPr>
          <w:p>
            <w:pPr>
              <w:pStyle w:val="nTable"/>
              <w:spacing w:after="40"/>
            </w:pPr>
            <w:r>
              <w:rPr>
                <w:i/>
              </w:rPr>
              <w:t>Acts Amendment (Education) Act 1988</w:t>
            </w:r>
            <w:r>
              <w:t xml:space="preserve"> Pt. 8</w:t>
            </w:r>
          </w:p>
        </w:tc>
        <w:tc>
          <w:tcPr>
            <w:tcW w:w="1134" w:type="dxa"/>
            <w:gridSpan w:val="2"/>
          </w:tcPr>
          <w:p>
            <w:pPr>
              <w:pStyle w:val="nTable"/>
              <w:spacing w:after="40"/>
            </w:pPr>
            <w:r>
              <w:t>7 of 1988</w:t>
            </w:r>
          </w:p>
        </w:tc>
        <w:tc>
          <w:tcPr>
            <w:tcW w:w="1136" w:type="dxa"/>
            <w:gridSpan w:val="2"/>
          </w:tcPr>
          <w:p>
            <w:pPr>
              <w:pStyle w:val="nTable"/>
              <w:spacing w:after="40"/>
            </w:pPr>
            <w:r>
              <w:t>30 Jun 1988</w:t>
            </w:r>
          </w:p>
        </w:tc>
        <w:tc>
          <w:tcPr>
            <w:tcW w:w="2551" w:type="dxa"/>
            <w:gridSpan w:val="2"/>
          </w:tcPr>
          <w:p>
            <w:pPr>
              <w:pStyle w:val="nTable"/>
              <w:spacing w:after="40"/>
            </w:pPr>
            <w:r>
              <w:t xml:space="preserve">8 Jul 1988 (see s. 2 and </w:t>
            </w:r>
            <w:r>
              <w:rPr>
                <w:i/>
              </w:rPr>
              <w:t>Gazette</w:t>
            </w:r>
            <w:r>
              <w:t xml:space="preserve"> 8 Jul 1988 p. 2371)</w:t>
            </w:r>
          </w:p>
        </w:tc>
      </w:tr>
      <w:tr>
        <w:trPr>
          <w:gridAfter w:val="1"/>
          <w:wAfter w:w="14"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pPr>
            <w:r>
              <w:rPr>
                <w:i/>
              </w:rPr>
              <w:t>Fish Resources Management Act 1994</w:t>
            </w:r>
            <w:r>
              <w:t xml:space="preserve"> s. 264</w:t>
            </w:r>
          </w:p>
        </w:tc>
        <w:tc>
          <w:tcPr>
            <w:tcW w:w="1134" w:type="dxa"/>
            <w:gridSpan w:val="2"/>
          </w:tcPr>
          <w:p>
            <w:pPr>
              <w:pStyle w:val="nTable"/>
              <w:spacing w:after="40"/>
            </w:pPr>
            <w:r>
              <w:t>53 of 1994</w:t>
            </w:r>
          </w:p>
        </w:tc>
        <w:tc>
          <w:tcPr>
            <w:tcW w:w="1136"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1"/>
          <w:wAfter w:w="14" w:type="dxa"/>
          <w:cantSplit/>
        </w:trPr>
        <w:tc>
          <w:tcPr>
            <w:tcW w:w="2266" w:type="dxa"/>
            <w:gridSpan w:val="2"/>
          </w:tcPr>
          <w:p>
            <w:pPr>
              <w:pStyle w:val="nTable"/>
              <w:spacing w:after="40"/>
            </w:pPr>
            <w:r>
              <w:rPr>
                <w:i/>
              </w:rPr>
              <w:t>Acts Amendment (Fines, Penalties and Infringement Notices) Act 1994</w:t>
            </w:r>
            <w:r>
              <w:t xml:space="preserve"> Pt. 12</w:t>
            </w:r>
          </w:p>
        </w:tc>
        <w:tc>
          <w:tcPr>
            <w:tcW w:w="1134" w:type="dxa"/>
            <w:gridSpan w:val="2"/>
          </w:tcPr>
          <w:p>
            <w:pPr>
              <w:pStyle w:val="nTable"/>
              <w:spacing w:after="40"/>
            </w:pPr>
            <w:r>
              <w:t>92 of 1994</w:t>
            </w:r>
          </w:p>
        </w:tc>
        <w:tc>
          <w:tcPr>
            <w:tcW w:w="1136" w:type="dxa"/>
            <w:gridSpan w:val="2"/>
          </w:tcPr>
          <w:p>
            <w:pPr>
              <w:pStyle w:val="nTable"/>
              <w:spacing w:after="40"/>
            </w:pPr>
            <w:r>
              <w:t>23 Dec 1994</w:t>
            </w:r>
          </w:p>
        </w:tc>
        <w:tc>
          <w:tcPr>
            <w:tcW w:w="2551" w:type="dxa"/>
            <w:gridSpan w:val="2"/>
          </w:tcPr>
          <w:p>
            <w:pPr>
              <w:pStyle w:val="nTable"/>
              <w:spacing w:after="40"/>
            </w:pPr>
            <w:r>
              <w:t xml:space="preserve">1 Jan 1995 (see s. 2(1) and </w:t>
            </w:r>
            <w:r>
              <w:rPr>
                <w:i/>
              </w:rPr>
              <w:t>Gazette</w:t>
            </w:r>
            <w:r>
              <w:t xml:space="preserve"> 30 Dec 1994 p. 7211)</w:t>
            </w:r>
          </w:p>
        </w:tc>
      </w:tr>
      <w:tr>
        <w:trPr>
          <w:gridAfter w:val="1"/>
          <w:wAfter w:w="14" w:type="dxa"/>
          <w:cantSplit/>
        </w:trPr>
        <w:tc>
          <w:tcPr>
            <w:tcW w:w="2266" w:type="dxa"/>
            <w:gridSpan w:val="2"/>
          </w:tcPr>
          <w:p>
            <w:pPr>
              <w:pStyle w:val="nTable"/>
              <w:spacing w:after="40"/>
            </w:pPr>
            <w:r>
              <w:rPr>
                <w:i/>
              </w:rPr>
              <w:t>Aboriginal Heritage Amendment Act 1995</w:t>
            </w:r>
            <w:r>
              <w:t xml:space="preserve"> s. 55</w:t>
            </w:r>
          </w:p>
        </w:tc>
        <w:tc>
          <w:tcPr>
            <w:tcW w:w="1134" w:type="dxa"/>
            <w:gridSpan w:val="2"/>
          </w:tcPr>
          <w:p>
            <w:pPr>
              <w:pStyle w:val="nTable"/>
              <w:spacing w:after="40"/>
            </w:pPr>
            <w:r>
              <w:t>24 of 1995</w:t>
            </w:r>
          </w:p>
        </w:tc>
        <w:tc>
          <w:tcPr>
            <w:tcW w:w="1136" w:type="dxa"/>
            <w:gridSpan w:val="2"/>
          </w:tcPr>
          <w:p>
            <w:pPr>
              <w:pStyle w:val="nTable"/>
              <w:spacing w:after="40"/>
            </w:pPr>
            <w:r>
              <w:t>30 Jun 1995</w:t>
            </w:r>
          </w:p>
        </w:tc>
        <w:tc>
          <w:tcPr>
            <w:tcW w:w="2551" w:type="dxa"/>
            <w:gridSpan w:val="2"/>
          </w:tcPr>
          <w:p>
            <w:pPr>
              <w:pStyle w:val="nTable"/>
              <w:spacing w:after="40"/>
            </w:pPr>
            <w:r>
              <w:t xml:space="preserve">1 Jul 1995 (see s. 2 and </w:t>
            </w:r>
            <w:r>
              <w:rPr>
                <w:i/>
              </w:rPr>
              <w:t>Gazette</w:t>
            </w:r>
            <w:r>
              <w:t xml:space="preserve"> 30 Jun 1995 p. 2781)</w:t>
            </w:r>
          </w:p>
        </w:tc>
      </w:tr>
      <w:tr>
        <w:trPr>
          <w:gridAfter w:val="1"/>
          <w:wAfter w:w="14" w:type="dxa"/>
          <w:cantSplit/>
        </w:trPr>
        <w:tc>
          <w:tcPr>
            <w:tcW w:w="2266" w:type="dxa"/>
            <w:gridSpan w:val="2"/>
          </w:tcPr>
          <w:p>
            <w:pPr>
              <w:pStyle w:val="nTable"/>
              <w:spacing w:after="40"/>
            </w:pPr>
            <w:r>
              <w:rPr>
                <w:i/>
              </w:rPr>
              <w:t>Sentencing (Consequential Provisions) Act 1995</w:t>
            </w:r>
            <w:r>
              <w:t xml:space="preserve"> Pt. 48</w:t>
            </w:r>
          </w:p>
        </w:tc>
        <w:tc>
          <w:tcPr>
            <w:tcW w:w="1134" w:type="dxa"/>
            <w:gridSpan w:val="2"/>
          </w:tcPr>
          <w:p>
            <w:pPr>
              <w:pStyle w:val="nTable"/>
              <w:spacing w:after="40"/>
            </w:pPr>
            <w:r>
              <w:t>78 of 1995</w:t>
            </w:r>
          </w:p>
        </w:tc>
        <w:tc>
          <w:tcPr>
            <w:tcW w:w="1136"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6" w:type="dxa"/>
            <w:gridSpan w:val="2"/>
          </w:tcPr>
          <w:p>
            <w:pPr>
              <w:pStyle w:val="nTable"/>
              <w:spacing w:after="40"/>
            </w:pPr>
            <w:r>
              <w:rPr>
                <w:i/>
              </w:rPr>
              <w:t>Litter Amendment Act 1996</w:t>
            </w:r>
          </w:p>
        </w:tc>
        <w:tc>
          <w:tcPr>
            <w:tcW w:w="1134" w:type="dxa"/>
            <w:gridSpan w:val="2"/>
          </w:tcPr>
          <w:p>
            <w:pPr>
              <w:pStyle w:val="nTable"/>
              <w:spacing w:after="40"/>
            </w:pPr>
            <w:r>
              <w:t>6 of 1996</w:t>
            </w:r>
          </w:p>
        </w:tc>
        <w:tc>
          <w:tcPr>
            <w:tcW w:w="1136" w:type="dxa"/>
            <w:gridSpan w:val="2"/>
          </w:tcPr>
          <w:p>
            <w:pPr>
              <w:pStyle w:val="nTable"/>
              <w:spacing w:after="40"/>
            </w:pPr>
            <w:r>
              <w:t>24 May 1996</w:t>
            </w:r>
          </w:p>
        </w:tc>
        <w:tc>
          <w:tcPr>
            <w:tcW w:w="2551" w:type="dxa"/>
            <w:gridSpan w:val="2"/>
          </w:tcPr>
          <w:p>
            <w:pPr>
              <w:pStyle w:val="nTable"/>
              <w:spacing w:after="40"/>
            </w:pPr>
            <w:r>
              <w:t xml:space="preserve">s. 1 and 2: 24 May 1996; Act other than s. 1 and 2: 20 Jul 1996 (see s. 3 and </w:t>
            </w:r>
            <w:r>
              <w:rPr>
                <w:i/>
              </w:rPr>
              <w:t>Gazette</w:t>
            </w:r>
            <w:r>
              <w:t xml:space="preserve"> 19 Jul 1996 p. 3455)</w:t>
            </w:r>
          </w:p>
        </w:tc>
      </w:tr>
      <w:tr>
        <w:trPr>
          <w:gridAfter w:val="1"/>
          <w:wAfter w:w="14"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4" w:type="dxa"/>
          <w:cantSplit/>
        </w:trPr>
        <w:tc>
          <w:tcPr>
            <w:tcW w:w="2266" w:type="dxa"/>
            <w:gridSpan w:val="2"/>
          </w:tcPr>
          <w:p>
            <w:pPr>
              <w:pStyle w:val="nTable"/>
              <w:spacing w:after="40"/>
            </w:pPr>
            <w:r>
              <w:rPr>
                <w:i/>
              </w:rPr>
              <w:t>Education Amendment Act 1996</w:t>
            </w:r>
            <w:r>
              <w:t xml:space="preserve"> s. 16(7)</w:t>
            </w:r>
          </w:p>
        </w:tc>
        <w:tc>
          <w:tcPr>
            <w:tcW w:w="1134" w:type="dxa"/>
            <w:gridSpan w:val="2"/>
          </w:tcPr>
          <w:p>
            <w:pPr>
              <w:pStyle w:val="nTable"/>
              <w:spacing w:after="40"/>
            </w:pPr>
            <w:r>
              <w:t>22 of 1996</w:t>
            </w:r>
          </w:p>
        </w:tc>
        <w:tc>
          <w:tcPr>
            <w:tcW w:w="1136" w:type="dxa"/>
            <w:gridSpan w:val="2"/>
          </w:tcPr>
          <w:p>
            <w:pPr>
              <w:pStyle w:val="nTable"/>
              <w:spacing w:after="40"/>
            </w:pPr>
            <w:r>
              <w:t>11 Jul 1996</w:t>
            </w:r>
          </w:p>
        </w:tc>
        <w:tc>
          <w:tcPr>
            <w:tcW w:w="2551" w:type="dxa"/>
            <w:gridSpan w:val="2"/>
          </w:tcPr>
          <w:p>
            <w:pPr>
              <w:pStyle w:val="nTable"/>
              <w:spacing w:after="40"/>
            </w:pPr>
            <w:r>
              <w:t>11 Jul 1996 (see s. 2(1))</w:t>
            </w:r>
          </w:p>
        </w:tc>
      </w:tr>
      <w:tr>
        <w:trPr>
          <w:gridAfter w:val="1"/>
          <w:wAfter w:w="14" w:type="dxa"/>
          <w:cantSplit/>
        </w:trPr>
        <w:tc>
          <w:tcPr>
            <w:tcW w:w="2266" w:type="dxa"/>
            <w:gridSpan w:val="2"/>
          </w:tcPr>
          <w:p>
            <w:pPr>
              <w:pStyle w:val="nTable"/>
              <w:spacing w:after="40"/>
            </w:pPr>
            <w:r>
              <w:rPr>
                <w:i/>
              </w:rPr>
              <w:t>Financial Legislation Amendment Act 1996</w:t>
            </w:r>
            <w:r>
              <w:t xml:space="preserve"> s. 57 and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14 Nov 1996</w:t>
            </w:r>
            <w:r>
              <w:t xml:space="preserve"> (includes amendments listed above)</w:t>
            </w:r>
          </w:p>
        </w:tc>
      </w:tr>
      <w:tr>
        <w:trPr>
          <w:gridAfter w:val="1"/>
          <w:wAfter w:w="14" w:type="dxa"/>
          <w:cantSplit/>
        </w:trPr>
        <w:tc>
          <w:tcPr>
            <w:tcW w:w="2266" w:type="dxa"/>
            <w:gridSpan w:val="2"/>
          </w:tcPr>
          <w:p>
            <w:pPr>
              <w:pStyle w:val="nTable"/>
              <w:spacing w:after="40"/>
            </w:pPr>
            <w:r>
              <w:rPr>
                <w:i/>
              </w:rPr>
              <w:t>Trustees Amendment Act 1997</w:t>
            </w:r>
            <w:r>
              <w:t xml:space="preserve"> s. 18</w:t>
            </w:r>
          </w:p>
        </w:tc>
        <w:tc>
          <w:tcPr>
            <w:tcW w:w="1134" w:type="dxa"/>
            <w:gridSpan w:val="2"/>
          </w:tcPr>
          <w:p>
            <w:pPr>
              <w:pStyle w:val="nTable"/>
              <w:spacing w:after="40"/>
            </w:pPr>
            <w:r>
              <w:t>1 of 1997</w:t>
            </w:r>
          </w:p>
        </w:tc>
        <w:tc>
          <w:tcPr>
            <w:tcW w:w="1136" w:type="dxa"/>
            <w:gridSpan w:val="2"/>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gridAfter w:val="1"/>
          <w:wAfter w:w="14" w:type="dxa"/>
          <w:cantSplit/>
        </w:trPr>
        <w:tc>
          <w:tcPr>
            <w:tcW w:w="2266" w:type="dxa"/>
            <w:gridSpan w:val="2"/>
          </w:tcPr>
          <w:p>
            <w:pPr>
              <w:pStyle w:val="nTable"/>
              <w:spacing w:after="40"/>
            </w:pPr>
            <w:r>
              <w:rPr>
                <w:i/>
              </w:rPr>
              <w:t>Acts Amendment (Land Administration) Act 1997</w:t>
            </w:r>
            <w:r>
              <w:t xml:space="preserve"> Pt. 39</w:t>
            </w:r>
          </w:p>
        </w:tc>
        <w:tc>
          <w:tcPr>
            <w:tcW w:w="1134" w:type="dxa"/>
            <w:gridSpan w:val="2"/>
          </w:tcPr>
          <w:p>
            <w:pPr>
              <w:pStyle w:val="nTable"/>
              <w:spacing w:after="40"/>
            </w:pPr>
            <w:r>
              <w:t>31 of 1997</w:t>
            </w:r>
          </w:p>
        </w:tc>
        <w:tc>
          <w:tcPr>
            <w:tcW w:w="1136"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pPr>
            <w:r>
              <w:rPr>
                <w:i/>
              </w:rPr>
              <w:t>Statutes (Repeals and Minor Amendments) Act (No. 2) 1998</w:t>
            </w:r>
            <w:r>
              <w:t xml:space="preserve"> s. 44</w:t>
            </w:r>
          </w:p>
        </w:tc>
        <w:tc>
          <w:tcPr>
            <w:tcW w:w="1134" w:type="dxa"/>
            <w:gridSpan w:val="2"/>
          </w:tcPr>
          <w:p>
            <w:pPr>
              <w:pStyle w:val="nTable"/>
              <w:spacing w:after="40"/>
            </w:pPr>
            <w:r>
              <w:t>10 of 1998</w:t>
            </w:r>
          </w:p>
        </w:tc>
        <w:tc>
          <w:tcPr>
            <w:tcW w:w="1136"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4" w:type="dxa"/>
          <w:cantSplit/>
        </w:trPr>
        <w:tc>
          <w:tcPr>
            <w:tcW w:w="2266" w:type="dxa"/>
            <w:gridSpan w:val="2"/>
          </w:tcPr>
          <w:p>
            <w:pPr>
              <w:pStyle w:val="nTable"/>
              <w:spacing w:after="40"/>
            </w:pPr>
            <w:r>
              <w:rPr>
                <w:i/>
              </w:rPr>
              <w:t>Fire and Emergency Services Authority of Western Australia (Consequential Provisions) Act 1998</w:t>
            </w:r>
            <w:r>
              <w:t xml:space="preserve"> s. 38</w:t>
            </w:r>
          </w:p>
        </w:tc>
        <w:tc>
          <w:tcPr>
            <w:tcW w:w="1134" w:type="dxa"/>
            <w:gridSpan w:val="2"/>
          </w:tcPr>
          <w:p>
            <w:pPr>
              <w:pStyle w:val="nTable"/>
              <w:spacing w:after="40"/>
            </w:pPr>
            <w:r>
              <w:t>42 of 1998</w:t>
            </w:r>
          </w:p>
        </w:tc>
        <w:tc>
          <w:tcPr>
            <w:tcW w:w="1136" w:type="dxa"/>
            <w:gridSpan w:val="2"/>
          </w:tcPr>
          <w:p>
            <w:pPr>
              <w:pStyle w:val="nTable"/>
              <w:spacing w:after="40"/>
            </w:pPr>
            <w:r>
              <w:t>4 Nov 1998</w:t>
            </w:r>
          </w:p>
        </w:tc>
        <w:tc>
          <w:tcPr>
            <w:tcW w:w="2551" w:type="dxa"/>
            <w:gridSpan w:val="2"/>
          </w:tcPr>
          <w:p>
            <w:pPr>
              <w:pStyle w:val="nTable"/>
              <w:spacing w:after="40"/>
            </w:pPr>
            <w:r>
              <w:t>1 Jan 1999 (see s. 2 and </w:t>
            </w:r>
            <w:r>
              <w:rPr>
                <w:i/>
              </w:rPr>
              <w:t>Gazette</w:t>
            </w:r>
            <w:r>
              <w:t xml:space="preserve"> 22 Dec 1998 p. 6833)</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4 Jan 1999</w:t>
            </w:r>
            <w:r>
              <w:t xml:space="preserve"> (includes amendments listed above)</w:t>
            </w:r>
          </w:p>
        </w:tc>
      </w:tr>
      <w:tr>
        <w:trPr>
          <w:gridAfter w:val="1"/>
          <w:wAfter w:w="14" w:type="dxa"/>
          <w:cantSplit/>
        </w:trPr>
        <w:tc>
          <w:tcPr>
            <w:tcW w:w="2266" w:type="dxa"/>
            <w:gridSpan w:val="2"/>
          </w:tcPr>
          <w:p>
            <w:pPr>
              <w:pStyle w:val="nTable"/>
              <w:spacing w:after="40"/>
            </w:pPr>
            <w:r>
              <w:rPr>
                <w:i/>
              </w:rPr>
              <w:t xml:space="preserve">School Education Act 1999 </w:t>
            </w:r>
            <w:r>
              <w:t>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14" w:type="dxa"/>
          <w:cantSplit/>
        </w:trPr>
        <w:tc>
          <w:tcPr>
            <w:tcW w:w="2266" w:type="dxa"/>
            <w:gridSpan w:val="2"/>
          </w:tcPr>
          <w:p>
            <w:pPr>
              <w:pStyle w:val="nTable"/>
              <w:spacing w:after="40"/>
              <w:rPr>
                <w:i/>
              </w:rPr>
            </w:pPr>
            <w:r>
              <w:rPr>
                <w:i/>
              </w:rPr>
              <w:t xml:space="preserve">Environmental Protection Amendment Act 2003 </w:t>
            </w:r>
            <w:r>
              <w:t>s. 68(4)</w:t>
            </w:r>
          </w:p>
        </w:tc>
        <w:tc>
          <w:tcPr>
            <w:tcW w:w="1134" w:type="dxa"/>
            <w:gridSpan w:val="2"/>
          </w:tcPr>
          <w:p>
            <w:pPr>
              <w:pStyle w:val="nTable"/>
              <w:spacing w:after="40"/>
            </w:pPr>
            <w:r>
              <w:t>54 of 2003</w:t>
            </w:r>
          </w:p>
        </w:tc>
        <w:tc>
          <w:tcPr>
            <w:tcW w:w="1136" w:type="dxa"/>
            <w:gridSpan w:val="2"/>
          </w:tcPr>
          <w:p>
            <w:pPr>
              <w:pStyle w:val="nTable"/>
              <w:spacing w:after="40"/>
            </w:pPr>
            <w:r>
              <w:t>20 Oct 2003</w:t>
            </w:r>
          </w:p>
        </w:tc>
        <w:tc>
          <w:tcPr>
            <w:tcW w:w="2551" w:type="dxa"/>
            <w:gridSpan w:val="2"/>
          </w:tcPr>
          <w:p>
            <w:pPr>
              <w:pStyle w:val="nTable"/>
              <w:spacing w:after="40"/>
            </w:pPr>
            <w:r>
              <w:t xml:space="preserve">19 Nov 2003 (see s. 2 and </w:t>
            </w:r>
            <w:r>
              <w:rPr>
                <w:i/>
              </w:rPr>
              <w:t>Gazette</w:t>
            </w:r>
            <w:r>
              <w:t xml:space="preserve"> 18 Nov 2003 p. 4723)</w:t>
            </w:r>
          </w:p>
        </w:tc>
      </w:tr>
      <w:tr>
        <w:trPr>
          <w:gridAfter w:val="1"/>
          <w:wAfter w:w="14" w:type="dxa"/>
          <w:cantSplit/>
        </w:trPr>
        <w:tc>
          <w:tcPr>
            <w:tcW w:w="2266" w:type="dxa"/>
            <w:gridSpan w:val="2"/>
          </w:tcPr>
          <w:p>
            <w:pPr>
              <w:pStyle w:val="nTable"/>
              <w:spacing w:after="40"/>
              <w:rPr>
                <w:i/>
              </w:rPr>
            </w:pPr>
            <w:r>
              <w:rPr>
                <w:i/>
              </w:rPr>
              <w:t xml:space="preserve">Local Government Amendment Act 2004 </w:t>
            </w:r>
            <w:r>
              <w:t>s. 13</w:t>
            </w:r>
          </w:p>
        </w:tc>
        <w:tc>
          <w:tcPr>
            <w:tcW w:w="1134" w:type="dxa"/>
            <w:gridSpan w:val="2"/>
          </w:tcPr>
          <w:p>
            <w:pPr>
              <w:pStyle w:val="nTable"/>
              <w:spacing w:after="40"/>
            </w:pPr>
            <w:r>
              <w:rPr>
                <w:snapToGrid w:val="0"/>
              </w:rPr>
              <w:t>49 of 2004</w:t>
            </w:r>
          </w:p>
        </w:tc>
        <w:tc>
          <w:tcPr>
            <w:tcW w:w="1136" w:type="dxa"/>
            <w:gridSpan w:val="2"/>
          </w:tcPr>
          <w:p>
            <w:pPr>
              <w:pStyle w:val="nTable"/>
              <w:spacing w:after="40"/>
            </w:pPr>
            <w:r>
              <w:t>12 Nov 2004</w:t>
            </w:r>
          </w:p>
        </w:tc>
        <w:tc>
          <w:tcPr>
            <w:tcW w:w="2551" w:type="dxa"/>
            <w:gridSpan w:val="2"/>
          </w:tcPr>
          <w:p>
            <w:pPr>
              <w:pStyle w:val="nTable"/>
              <w:spacing w:after="40"/>
            </w:pPr>
            <w:r>
              <w:t xml:space="preserve">1 Apr 2005 (see s. 2 and </w:t>
            </w:r>
            <w:r>
              <w:rPr>
                <w:i/>
              </w:rPr>
              <w:t>Gazette</w:t>
            </w:r>
            <w:r>
              <w:t xml:space="preserve"> 31 Mar 2005 p. 1029)</w:t>
            </w:r>
          </w:p>
        </w:tc>
      </w:tr>
      <w:tr>
        <w:trPr>
          <w:gridAfter w:val="1"/>
          <w:wAfter w:w="14" w:type="dxa"/>
          <w:cantSplit/>
        </w:trPr>
        <w:tc>
          <w:tcPr>
            <w:tcW w:w="2266"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6"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6" w:type="dxa"/>
            <w:gridSpan w:val="2"/>
          </w:tcPr>
          <w:p>
            <w:pPr>
              <w:pStyle w:val="nTable"/>
              <w:spacing w:after="40"/>
              <w:rPr>
                <w:i/>
              </w:rPr>
            </w:pPr>
            <w:r>
              <w:rPr>
                <w:i/>
                <w:snapToGrid w:val="0"/>
              </w:rPr>
              <w:t xml:space="preserve">State Administrative Tribunal (Conferral of Jurisdiction) Amendment and Repeal Act 2004 </w:t>
            </w:r>
            <w:r>
              <w:rPr>
                <w:snapToGrid w:val="0"/>
              </w:rPr>
              <w:t>Pt. 2 Div. 74</w:t>
            </w:r>
            <w:r>
              <w:rPr>
                <w:snapToGrid w:val="0"/>
                <w:vertAlign w:val="superscript"/>
              </w:rPr>
              <w:t> 2</w:t>
            </w:r>
          </w:p>
        </w:tc>
        <w:tc>
          <w:tcPr>
            <w:tcW w:w="1134" w:type="dxa"/>
            <w:gridSpan w:val="2"/>
          </w:tcPr>
          <w:p>
            <w:pPr>
              <w:pStyle w:val="nTable"/>
              <w:spacing w:after="40"/>
            </w:pPr>
            <w:r>
              <w:t>55 of 2004</w:t>
            </w:r>
          </w:p>
        </w:tc>
        <w:tc>
          <w:tcPr>
            <w:tcW w:w="1136"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Before w:val="1"/>
          <w:wBefore w:w="11" w:type="dxa"/>
        </w:trPr>
        <w:tc>
          <w:tcPr>
            <w:tcW w:w="2269"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and 80</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1" w:type="dxa"/>
          <w:cantSplit/>
        </w:trPr>
        <w:tc>
          <w:tcPr>
            <w:tcW w:w="2269"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3</w:t>
            </w:r>
          </w:p>
        </w:tc>
        <w:tc>
          <w:tcPr>
            <w:tcW w:w="1134" w:type="dxa"/>
            <w:gridSpan w:val="2"/>
          </w:tcPr>
          <w:p>
            <w:pPr>
              <w:pStyle w:val="nTable"/>
              <w:spacing w:after="40"/>
              <w:rPr>
                <w:snapToGrid w:val="0"/>
              </w:rPr>
            </w:pPr>
            <w:r>
              <w:rPr>
                <w:snapToGrid w:val="0"/>
              </w:rPr>
              <w:t>28 of 2006</w:t>
            </w:r>
          </w:p>
        </w:tc>
        <w:tc>
          <w:tcPr>
            <w:tcW w:w="1136"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Before w:val="1"/>
          <w:wBefore w:w="11" w:type="dxa"/>
          <w:cantSplit/>
        </w:trPr>
        <w:tc>
          <w:tcPr>
            <w:tcW w:w="7090" w:type="dxa"/>
            <w:gridSpan w:val="8"/>
          </w:tcPr>
          <w:p>
            <w:pPr>
              <w:pStyle w:val="nTable"/>
              <w:spacing w:after="40"/>
            </w:pPr>
            <w:r>
              <w:rPr>
                <w:b/>
              </w:rPr>
              <w:t xml:space="preserve">Reprint 4: The </w:t>
            </w:r>
            <w:r>
              <w:rPr>
                <w:b/>
                <w:i/>
              </w:rPr>
              <w:t>Litter Act 1979</w:t>
            </w:r>
            <w:r>
              <w:rPr>
                <w:b/>
              </w:rPr>
              <w:t xml:space="preserve"> as at 25 Aug 2006</w:t>
            </w:r>
            <w:r>
              <w:t xml:space="preserve"> (includes amendments listed above)</w:t>
            </w:r>
          </w:p>
        </w:tc>
      </w:tr>
      <w:tr>
        <w:trPr>
          <w:gridBefore w:val="1"/>
          <w:wBefore w:w="11" w:type="dxa"/>
          <w:cantSplit/>
        </w:trPr>
        <w:tc>
          <w:tcPr>
            <w:tcW w:w="2269" w:type="dxa"/>
            <w:gridSpan w:val="2"/>
          </w:tcPr>
          <w:p>
            <w:pPr>
              <w:pStyle w:val="nTable"/>
              <w:spacing w:after="40"/>
              <w:ind w:left="-28"/>
              <w:rPr>
                <w:snapToGrid w:val="0"/>
              </w:rPr>
            </w:pPr>
            <w:r>
              <w:rPr>
                <w:i/>
                <w:snapToGrid w:val="0"/>
              </w:rPr>
              <w:t xml:space="preserve">Financial Legislation Amendment and Repeal Act 2006 </w:t>
            </w:r>
            <w:r>
              <w:rPr>
                <w:snapToGrid w:val="0"/>
              </w:rPr>
              <w:t>Sch. 1 cl. 100</w:t>
            </w:r>
          </w:p>
        </w:tc>
        <w:tc>
          <w:tcPr>
            <w:tcW w:w="1134" w:type="dxa"/>
            <w:gridSpan w:val="2"/>
          </w:tcPr>
          <w:p>
            <w:pPr>
              <w:pStyle w:val="nTable"/>
              <w:spacing w:after="40"/>
              <w:rPr>
                <w:snapToGrid w:val="0"/>
              </w:rPr>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11" w:type="dxa"/>
          <w:cantSplit/>
        </w:trPr>
        <w:tc>
          <w:tcPr>
            <w:tcW w:w="2269" w:type="dxa"/>
            <w:gridSpan w:val="2"/>
          </w:tcPr>
          <w:p>
            <w:pPr>
              <w:pStyle w:val="nTable"/>
              <w:spacing w:after="40"/>
              <w:ind w:right="113"/>
              <w:rPr>
                <w:iCs/>
              </w:rPr>
            </w:pPr>
            <w:r>
              <w:rPr>
                <w:i/>
              </w:rPr>
              <w:t>Statutes (Repeals and Miscellaneous Amendments) Act 2009</w:t>
            </w:r>
            <w:r>
              <w:rPr>
                <w:iCs/>
              </w:rPr>
              <w:t xml:space="preserve"> s. 86</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52</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6" w:type="dxa"/>
            <w:gridSpan w:val="2"/>
          </w:tcPr>
          <w:p>
            <w:pPr>
              <w:pStyle w:val="nTable"/>
              <w:spacing w:after="40"/>
              <w:ind w:right="113"/>
              <w:rPr>
                <w:i/>
                <w:iCs/>
                <w:snapToGrid w:val="0"/>
              </w:rPr>
            </w:pPr>
            <w:r>
              <w:rPr>
                <w:i/>
                <w:snapToGrid w:val="0"/>
              </w:rPr>
              <w:t xml:space="preserve">Industrial Legislation Amendment Act 2011 </w:t>
            </w:r>
            <w:r>
              <w:rPr>
                <w:snapToGrid w:val="0"/>
              </w:rPr>
              <w:t>Pt. 6</w:t>
            </w:r>
          </w:p>
        </w:tc>
        <w:tc>
          <w:tcPr>
            <w:tcW w:w="1134" w:type="dxa"/>
            <w:gridSpan w:val="2"/>
          </w:tcPr>
          <w:p>
            <w:pPr>
              <w:pStyle w:val="nTable"/>
              <w:spacing w:after="40"/>
              <w:rPr>
                <w:snapToGrid w:val="0"/>
              </w:rPr>
            </w:pPr>
            <w:r>
              <w:rPr>
                <w:snapToGrid w:val="0"/>
              </w:rPr>
              <w:t>53 of 2011</w:t>
            </w:r>
          </w:p>
        </w:tc>
        <w:tc>
          <w:tcPr>
            <w:tcW w:w="1136" w:type="dxa"/>
            <w:gridSpan w:val="2"/>
          </w:tcPr>
          <w:p>
            <w:pPr>
              <w:pStyle w:val="nTable"/>
              <w:spacing w:after="40"/>
              <w:rPr>
                <w:snapToGrid w:val="0"/>
              </w:rPr>
            </w:pPr>
            <w:r>
              <w:rPr>
                <w:snapToGrid w:val="0"/>
              </w:rPr>
              <w:t>11 Nov 2011</w:t>
            </w:r>
          </w:p>
        </w:tc>
        <w:tc>
          <w:tcPr>
            <w:tcW w:w="2551"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gridAfter w:val="1"/>
          <w:wAfter w:w="14" w:type="dxa"/>
          <w:cantSplit/>
        </w:trPr>
        <w:tc>
          <w:tcPr>
            <w:tcW w:w="7087" w:type="dxa"/>
            <w:gridSpan w:val="8"/>
            <w:shd w:val="clear" w:color="auto" w:fill="auto"/>
          </w:tcPr>
          <w:p>
            <w:pPr>
              <w:pStyle w:val="nTable"/>
              <w:spacing w:after="40"/>
              <w:rPr>
                <w:snapToGrid w:val="0"/>
              </w:rPr>
            </w:pPr>
            <w:r>
              <w:rPr>
                <w:b/>
              </w:rPr>
              <w:t xml:space="preserve">Reprint 5: The </w:t>
            </w:r>
            <w:r>
              <w:rPr>
                <w:b/>
                <w:i/>
              </w:rPr>
              <w:t>Litter Act 1979</w:t>
            </w:r>
            <w:r>
              <w:rPr>
                <w:b/>
              </w:rPr>
              <w:t xml:space="preserve"> as at 11 May 2012</w:t>
            </w:r>
            <w:r>
              <w:t xml:space="preserve"> (includes amendments listed above)</w:t>
            </w:r>
          </w:p>
        </w:tc>
      </w:tr>
      <w:tr>
        <w:trPr>
          <w:gridAfter w:val="1"/>
          <w:wAfter w:w="14" w:type="dxa"/>
          <w:cantSplit/>
        </w:trPr>
        <w:tc>
          <w:tcPr>
            <w:tcW w:w="2266"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8</w:t>
            </w:r>
          </w:p>
        </w:tc>
        <w:tc>
          <w:tcPr>
            <w:tcW w:w="1134" w:type="dxa"/>
            <w:gridSpan w:val="2"/>
          </w:tcPr>
          <w:p>
            <w:pPr>
              <w:pStyle w:val="nTable"/>
              <w:spacing w:after="40"/>
              <w:rPr>
                <w:snapToGrid w:val="0"/>
              </w:rPr>
            </w:pPr>
            <w:r>
              <w:rPr>
                <w:snapToGrid w:val="0"/>
              </w:rPr>
              <w:t>22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4" w:type="dxa"/>
          <w:cantSplit/>
        </w:trPr>
        <w:tc>
          <w:tcPr>
            <w:tcW w:w="2266" w:type="dxa"/>
            <w:gridSpan w:val="2"/>
            <w:shd w:val="clear" w:color="auto" w:fill="auto"/>
          </w:tcPr>
          <w:p>
            <w:pPr>
              <w:pStyle w:val="nTable"/>
              <w:spacing w:after="40"/>
              <w:ind w:right="113"/>
              <w:rPr>
                <w:i/>
                <w:snapToGrid w:val="0"/>
              </w:rPr>
            </w:pPr>
            <w:r>
              <w:rPr>
                <w:i/>
                <w:snapToGrid w:val="0"/>
              </w:rPr>
              <w:t>Litter Amendment Act 2012</w:t>
            </w:r>
          </w:p>
        </w:tc>
        <w:tc>
          <w:tcPr>
            <w:tcW w:w="1134" w:type="dxa"/>
            <w:gridSpan w:val="2"/>
            <w:shd w:val="clear" w:color="auto" w:fill="auto"/>
          </w:tcPr>
          <w:p>
            <w:pPr>
              <w:pStyle w:val="nTable"/>
              <w:spacing w:after="40"/>
              <w:rPr>
                <w:snapToGrid w:val="0"/>
              </w:rPr>
            </w:pPr>
            <w:r>
              <w:rPr>
                <w:snapToGrid w:val="0"/>
              </w:rPr>
              <w:t>30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s. 1 and 2: 3 Sep 2012 (see s. 2(a));</w:t>
            </w:r>
            <w:r>
              <w:rPr>
                <w:snapToGrid w:val="0"/>
              </w:rPr>
              <w:br/>
              <w:t xml:space="preserve">Act other than s. 1 and 2: 21 Nov 2012 (see s. 2(b) and </w:t>
            </w:r>
            <w:r>
              <w:rPr>
                <w:i/>
                <w:snapToGrid w:val="0"/>
              </w:rPr>
              <w:t>Gazette</w:t>
            </w:r>
            <w:r>
              <w:rPr>
                <w:snapToGrid w:val="0"/>
              </w:rPr>
              <w:t xml:space="preserve"> 20 Nov 2012 p. 5685)</w:t>
            </w:r>
          </w:p>
        </w:tc>
      </w:tr>
      <w:tr>
        <w:trPr>
          <w:gridAfter w:val="1"/>
          <w:wAfter w:w="14"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Litter Act 1979</w:t>
            </w:r>
            <w:r>
              <w:rPr>
                <w:b/>
                <w:snapToGrid w:val="0"/>
              </w:rPr>
              <w:t xml:space="preserve"> as at 20 Mar 2015</w:t>
            </w:r>
            <w:r>
              <w:rPr>
                <w:snapToGrid w:val="0"/>
              </w:rPr>
              <w:t xml:space="preserve"> (includes amendments listed above)</w:t>
            </w:r>
          </w:p>
        </w:tc>
      </w:tr>
    </w:tbl>
    <w:p>
      <w:pPr>
        <w:pStyle w:val="nHeading3"/>
      </w:pPr>
      <w:bookmarkStart w:id="79" w:name="_Toc32493968"/>
      <w:r>
        <w:t>Uncommenced provisions table</w:t>
      </w:r>
      <w:bookmarkEnd w:id="7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noProof/>
              </w:rPr>
            </w:pPr>
            <w:r>
              <w:rPr>
                <w:i/>
                <w:snapToGrid w:val="0"/>
              </w:rPr>
              <w:t>Aquatic Resources Management Act 2016</w:t>
            </w:r>
            <w:r>
              <w:rPr>
                <w:snapToGrid w:val="0"/>
              </w:rPr>
              <w:t xml:space="preserve"> s. 367</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Heading3"/>
      </w:pPr>
      <w:bookmarkStart w:id="80" w:name="_Toc32493969"/>
      <w:r>
        <w:t>Other notes</w:t>
      </w:r>
      <w:bookmarkEnd w:id="80"/>
    </w:p>
    <w:p>
      <w:pPr>
        <w:pStyle w:val="nNote"/>
        <w:rPr>
          <w:snapToGrid w:val="0"/>
        </w:rPr>
      </w:pPr>
      <w:r>
        <w:rPr>
          <w:snapToGrid w:val="0"/>
          <w:vertAlign w:val="superscript"/>
        </w:rPr>
        <w:t>1</w:t>
      </w:r>
      <w:r>
        <w:rPr>
          <w:snapToGrid w:val="0"/>
          <w:vertAlign w:val="superscript"/>
        </w:rPr>
        <w:tab/>
      </w:r>
      <w:r>
        <w:rPr>
          <w:snapToGrid w:val="0"/>
        </w:rPr>
        <w:t xml:space="preserve">Repealed by the </w:t>
      </w:r>
      <w:r>
        <w:rPr>
          <w:i/>
          <w:snapToGrid w:val="0"/>
        </w:rPr>
        <w:t>Associations Incorporation Act 1987</w:t>
      </w:r>
      <w:r>
        <w:rPr>
          <w:snapToGrid w:val="0"/>
        </w:rPr>
        <w:t>.</w:t>
      </w:r>
    </w:p>
    <w:p>
      <w:pPr>
        <w:pStyle w:val="nNote"/>
        <w:rPr>
          <w:snapToGrid w:val="0"/>
        </w:rPr>
      </w:pPr>
      <w:r>
        <w:rPr>
          <w:snapToGrid w:val="0"/>
          <w:vertAlign w:val="superscript"/>
        </w:rPr>
        <w:t>2</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82" w:name="_Toc32493903"/>
      <w:bookmarkStart w:id="83" w:name="_Toc32493970"/>
      <w:r>
        <w:rPr>
          <w:sz w:val="28"/>
        </w:rPr>
        <w:t>Defined terms</w:t>
      </w:r>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area</w:t>
      </w:r>
      <w:r>
        <w:tab/>
        <w:t>5(1)</w:t>
      </w:r>
    </w:p>
    <w:p>
      <w:pPr>
        <w:pStyle w:val="DefinedTerms"/>
      </w:pPr>
      <w:r>
        <w:t>Association</w:t>
      </w:r>
      <w:r>
        <w:tab/>
        <w:t>35(2)</w:t>
      </w:r>
    </w:p>
    <w:p>
      <w:pPr>
        <w:pStyle w:val="DefinedTerms"/>
      </w:pPr>
      <w:r>
        <w:t>authorised officer</w:t>
      </w:r>
      <w:r>
        <w:tab/>
        <w:t>5(1)</w:t>
      </w:r>
    </w:p>
    <w:p>
      <w:pPr>
        <w:pStyle w:val="DefinedTerms"/>
      </w:pPr>
      <w:r>
        <w:t>bill</w:t>
      </w:r>
      <w:r>
        <w:tab/>
        <w:t>5(1)</w:t>
      </w:r>
    </w:p>
    <w:p>
      <w:pPr>
        <w:pStyle w:val="DefinedTerms"/>
      </w:pPr>
      <w:r>
        <w:t>Chairman</w:t>
      </w:r>
      <w:r>
        <w:tab/>
        <w:t>5(1)</w:t>
      </w:r>
    </w:p>
    <w:p>
      <w:pPr>
        <w:pStyle w:val="DefinedTerms"/>
      </w:pPr>
      <w:r>
        <w:t>Chamber of Commerce and Industry</w:t>
      </w:r>
      <w:r>
        <w:tab/>
        <w:t>9(6)</w:t>
      </w:r>
    </w:p>
    <w:p>
      <w:pPr>
        <w:pStyle w:val="DefinedTerms"/>
      </w:pPr>
      <w:r>
        <w:t>Council</w:t>
      </w:r>
      <w:r>
        <w:tab/>
        <w:t>5(1)</w:t>
      </w:r>
    </w:p>
    <w:p>
      <w:pPr>
        <w:pStyle w:val="DefinedTerms"/>
      </w:pPr>
      <w:r>
        <w:t>Department</w:t>
      </w:r>
      <w:r>
        <w:tab/>
        <w:t>5(1)</w:t>
      </w:r>
    </w:p>
    <w:p>
      <w:pPr>
        <w:pStyle w:val="DefinedTerms"/>
      </w:pPr>
      <w:r>
        <w:t>Fund</w:t>
      </w:r>
      <w:r>
        <w:tab/>
        <w:t>5(1)</w:t>
      </w:r>
    </w:p>
    <w:p>
      <w:pPr>
        <w:pStyle w:val="DefinedTerms"/>
      </w:pPr>
      <w:r>
        <w:t>infringement notice</w:t>
      </w:r>
      <w:r>
        <w:tab/>
        <w:t>27A(1A), 30(1)</w:t>
      </w:r>
    </w:p>
    <w:p>
      <w:pPr>
        <w:pStyle w:val="DefinedTerms"/>
      </w:pPr>
      <w:r>
        <w:t>land</w:t>
      </w:r>
      <w:r>
        <w:tab/>
        <w:t>5(1)</w:t>
      </w:r>
    </w:p>
    <w:p>
      <w:pPr>
        <w:pStyle w:val="DefinedTerms"/>
      </w:pPr>
      <w:r>
        <w:t>law of the State</w:t>
      </w:r>
      <w:r>
        <w:tab/>
        <w:t>4(4)</w:t>
      </w:r>
    </w:p>
    <w:p>
      <w:pPr>
        <w:pStyle w:val="DefinedTerms"/>
      </w:pPr>
      <w:r>
        <w:t>litter</w:t>
      </w:r>
      <w:r>
        <w:tab/>
        <w:t>5(1)</w:t>
      </w:r>
    </w:p>
    <w:p>
      <w:pPr>
        <w:pStyle w:val="DefinedTerms"/>
      </w:pPr>
      <w:r>
        <w:t>member of the Council</w:t>
      </w:r>
      <w:r>
        <w:tab/>
        <w:t>5(1)</w:t>
      </w:r>
    </w:p>
    <w:p>
      <w:pPr>
        <w:pStyle w:val="DefinedTerms"/>
      </w:pPr>
      <w:r>
        <w:t>post</w:t>
      </w:r>
      <w:r>
        <w:tab/>
        <w:t>5(1)</w:t>
      </w:r>
    </w:p>
    <w:p>
      <w:pPr>
        <w:pStyle w:val="DefinedTerms"/>
      </w:pPr>
      <w:r>
        <w:t>prescribed</w:t>
      </w:r>
      <w:r>
        <w:tab/>
        <w:t>5(1)</w:t>
      </w:r>
    </w:p>
    <w:p>
      <w:pPr>
        <w:pStyle w:val="DefinedTerms"/>
      </w:pPr>
      <w:r>
        <w:t>private land</w:t>
      </w:r>
      <w:r>
        <w:tab/>
        <w:t>5(1)</w:t>
      </w:r>
    </w:p>
    <w:p>
      <w:pPr>
        <w:pStyle w:val="DefinedTerms"/>
      </w:pPr>
      <w:r>
        <w:t>proceedings</w:t>
      </w:r>
      <w:r>
        <w:tab/>
        <w:t>31(4)</w:t>
      </w:r>
    </w:p>
    <w:p>
      <w:pPr>
        <w:pStyle w:val="DefinedTerms"/>
      </w:pPr>
      <w:r>
        <w:t>prosecution notice</w:t>
      </w:r>
      <w:r>
        <w:tab/>
        <w:t>27A(1A)</w:t>
      </w:r>
    </w:p>
    <w:p>
      <w:pPr>
        <w:pStyle w:val="DefinedTerms"/>
      </w:pPr>
      <w:r>
        <w:t>public authority</w:t>
      </w:r>
      <w:r>
        <w:tab/>
        <w:t>5(1)</w:t>
      </w:r>
    </w:p>
    <w:p>
      <w:pPr>
        <w:pStyle w:val="DefinedTerms"/>
      </w:pPr>
      <w:r>
        <w:t>public place</w:t>
      </w:r>
      <w:r>
        <w:tab/>
        <w:t>5(1)</w:t>
      </w:r>
    </w:p>
    <w:p>
      <w:pPr>
        <w:pStyle w:val="DefinedTerms"/>
      </w:pPr>
      <w:r>
        <w:t>relevant time</w:t>
      </w:r>
      <w:r>
        <w:tab/>
        <w:t>27A(1A)</w:t>
      </w:r>
    </w:p>
    <w:p>
      <w:pPr>
        <w:pStyle w:val="DefinedTerms"/>
      </w:pPr>
      <w:r>
        <w:t>responsible person</w:t>
      </w:r>
      <w:r>
        <w:tab/>
        <w:t>27A(1A)</w:t>
      </w:r>
    </w:p>
    <w:p>
      <w:pPr>
        <w:pStyle w:val="DefinedTerms"/>
      </w:pPr>
      <w:r>
        <w:t>specified</w:t>
      </w:r>
      <w:r>
        <w:tab/>
        <w:t>33(5)</w:t>
      </w:r>
    </w:p>
    <w:p>
      <w:pPr>
        <w:pStyle w:val="DefinedTerms"/>
      </w:pPr>
      <w:r>
        <w:t>supporting member</w:t>
      </w:r>
      <w:r>
        <w:tab/>
        <w:t>5(1)</w:t>
      </w:r>
    </w:p>
    <w:p>
      <w:pPr>
        <w:pStyle w:val="DefinedTerms"/>
      </w:pPr>
      <w:r>
        <w:t>waters</w:t>
      </w:r>
      <w:r>
        <w:tab/>
        <w:t>5(1)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48" w:type="dxa"/>
        </w:tcPr>
        <w:p>
          <w:pPr>
            <w:pStyle w:val="Header"/>
            <w:spacing w:before="40"/>
          </w:pPr>
          <w:r>
            <w:fldChar w:fldCharType="begin"/>
          </w:r>
          <w:r>
            <w:instrText>styleref CharSchText</w:instrText>
          </w:r>
          <w:r>
            <w:fldChar w:fldCharType="separate"/>
          </w:r>
          <w:r>
            <w:t>Provisions relating to the constitution and proceedings of the Council</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separate"/>
          </w:r>
          <w:r>
            <w:t>Provisions relating to the constitution and proceedings of the Council</w: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3350"/>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 w:name="WAFER_20150323161246" w:val="ResetPageSize,UpdateArrangement,UpdateNTable"/>
    <w:docVar w:name="WAFER_20150323161246_GUID" w:val="e97bfb30-e6d5-4138-9b87-f9da348b270a"/>
    <w:docVar w:name="WAFER_20150327110226" w:val="RemoveTocBookmarks,RemoveLanguageTags,RemoveTrackChanges,RunningHeaders"/>
    <w:docVar w:name="WAFER_20150327110226_GUID" w:val="b9e87fe2-e1cf-4c14-bdcf-cebd3afffd8e"/>
    <w:docVar w:name="WAFER_20151105141434" w:val="UpdateStyles,UsedStyles"/>
    <w:docVar w:name="WAFER_20151105141434_GUID" w:val="52e2b9b0-9878-49a0-969d-f5d4eca304ad"/>
    <w:docVar w:name="WAFER_202002131333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3350_GUID" w:val="6fe6e230-8284-4db3-a199-d3f9ba509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12728</Words>
  <Characters>58806</Characters>
  <Application>Microsoft Office Word</Application>
  <DocSecurity>0</DocSecurity>
  <Lines>1729</Lines>
  <Paragraphs>953</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70581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1979 - 06-b0-02</dc:title>
  <dc:subject/>
  <dc:creator/>
  <cp:keywords/>
  <dc:description/>
  <cp:lastModifiedBy>svcMRProcess</cp:lastModifiedBy>
  <cp:revision>4</cp:revision>
  <cp:lastPrinted>2015-03-24T08:08:00Z</cp:lastPrinted>
  <dcterms:created xsi:type="dcterms:W3CDTF">2020-02-25T00:26:00Z</dcterms:created>
  <dcterms:modified xsi:type="dcterms:W3CDTF">2020-02-25T00:26:00Z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DocumentType">
    <vt:lpwstr>Act</vt:lpwstr>
  </property>
  <property fmtid="{D5CDD505-2E9C-101B-9397-08002B2CF9AE}" pid="4" name="OwlsUID">
    <vt:i4>463</vt:i4>
  </property>
  <property fmtid="{D5CDD505-2E9C-101B-9397-08002B2CF9AE}" pid="5" name="ReprintedAsAt">
    <vt:filetime>2015-03-19T16:00:00Z</vt:filetime>
  </property>
  <property fmtid="{D5CDD505-2E9C-101B-9397-08002B2CF9AE}" pid="6" name="ReprintNo">
    <vt:lpwstr>6</vt:lpwstr>
  </property>
  <property fmtid="{D5CDD505-2E9C-101B-9397-08002B2CF9AE}" pid="7" name="CommencementDate">
    <vt:lpwstr>20161129</vt:lpwstr>
  </property>
  <property fmtid="{D5CDD505-2E9C-101B-9397-08002B2CF9AE}" pid="8" name="AsAtDate">
    <vt:lpwstr>29 Nov 2016</vt:lpwstr>
  </property>
  <property fmtid="{D5CDD505-2E9C-101B-9397-08002B2CF9AE}" pid="9" name="Suffix">
    <vt:lpwstr>06-b0-02</vt:lpwstr>
  </property>
</Properties>
</file>