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Real Estate and Business Agents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_Toc468700916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_Toc468700917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_Toc468700918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Advisory Committee and review</w:t>
      </w:r>
    </w:p>
    <w:p>
      <w:pPr>
        <w:pStyle w:val="TOC8"/>
        <w:rPr>
          <w:rFonts w:asciiTheme="minorHAnsi" w:eastAsiaTheme="minorEastAsia" w:hAnsiTheme="minorHAnsi" w:cstheme="minorBidi"/>
          <w:szCs w:val="22"/>
        </w:rPr>
      </w:pPr>
      <w:r>
        <w:t>22.</w:t>
      </w:r>
      <w:r>
        <w:tab/>
        <w:t>Powers of investigation</w:t>
      </w:r>
      <w:r>
        <w:tab/>
      </w:r>
      <w:r>
        <w:fldChar w:fldCharType="begin"/>
      </w:r>
      <w:r>
        <w:instrText xml:space="preserve"> PAGEREF _Toc468700920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review by SAT</w:t>
      </w:r>
      <w:r>
        <w:tab/>
      </w:r>
      <w:r>
        <w:fldChar w:fldCharType="begin"/>
      </w:r>
      <w:r>
        <w:instrText xml:space="preserve"> PAGEREF _Toc468700921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Advisory committees</w:t>
      </w:r>
    </w:p>
    <w:p>
      <w:pPr>
        <w:pStyle w:val="TOC8"/>
        <w:rPr>
          <w:rFonts w:asciiTheme="minorHAnsi" w:eastAsiaTheme="minorEastAsia" w:hAnsiTheme="minorHAnsi" w:cstheme="minorBidi"/>
          <w:szCs w:val="22"/>
        </w:rPr>
      </w:pPr>
      <w:r>
        <w:t>23A.</w:t>
      </w:r>
      <w:r>
        <w:tab/>
        <w:t>Advisory committees, establishing etc.</w:t>
      </w:r>
      <w:r>
        <w:tab/>
      </w:r>
      <w:r>
        <w:fldChar w:fldCharType="begin"/>
      </w:r>
      <w:r>
        <w:instrText xml:space="preserve"> PAGEREF _Toc468700923 \h </w:instrText>
      </w:r>
      <w:r>
        <w:fldChar w:fldCharType="separate"/>
      </w:r>
      <w:r>
        <w:t>12</w:t>
      </w:r>
      <w:r>
        <w:fldChar w:fldCharType="end"/>
      </w:r>
    </w:p>
    <w:p>
      <w:pPr>
        <w:pStyle w:val="TOC8"/>
        <w:rPr>
          <w:rFonts w:asciiTheme="minorHAnsi" w:eastAsiaTheme="minorEastAsia" w:hAnsiTheme="minorHAnsi" w:cstheme="minorBidi"/>
          <w:szCs w:val="22"/>
        </w:rPr>
      </w:pPr>
      <w:r>
        <w:t>23B.</w:t>
      </w:r>
      <w:r>
        <w:tab/>
        <w:t>Minister may delegate s. 23A powers</w:t>
      </w:r>
      <w:r>
        <w:tab/>
      </w:r>
      <w:r>
        <w:fldChar w:fldCharType="begin"/>
      </w:r>
      <w:r>
        <w:instrText xml:space="preserve"> PAGEREF _Toc468700924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5 — Conciliation</w:t>
      </w:r>
    </w:p>
    <w:p>
      <w:pPr>
        <w:pStyle w:val="TOC8"/>
        <w:rPr>
          <w:rFonts w:asciiTheme="minorHAnsi" w:eastAsiaTheme="minorEastAsia" w:hAnsiTheme="minorHAnsi" w:cstheme="minorBidi"/>
          <w:szCs w:val="22"/>
        </w:rPr>
      </w:pPr>
      <w:r>
        <w:t>23C.</w:t>
      </w:r>
      <w:r>
        <w:tab/>
        <w:t>Conciliation of disputes about transactions</w:t>
      </w:r>
      <w:r>
        <w:tab/>
      </w:r>
      <w:r>
        <w:fldChar w:fldCharType="begin"/>
      </w:r>
      <w:r>
        <w:instrText xml:space="preserve"> PAGEREF _Toc468700926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 of agents</w:t>
      </w:r>
    </w:p>
    <w:p>
      <w:pPr>
        <w:pStyle w:val="TOC8"/>
        <w:rPr>
          <w:rFonts w:asciiTheme="minorHAnsi" w:eastAsiaTheme="minorEastAsia" w:hAnsiTheme="minorHAnsi" w:cstheme="minorBidi"/>
          <w:szCs w:val="22"/>
        </w:rPr>
      </w:pPr>
      <w:r>
        <w:t>24</w:t>
      </w:r>
      <w:r>
        <w:rPr>
          <w:snapToGrid w:val="0"/>
        </w:rPr>
        <w:t>.</w:t>
      </w:r>
      <w:r>
        <w:rPr>
          <w:snapToGrid w:val="0"/>
        </w:rPr>
        <w:tab/>
        <w:t>Applications for licences</w:t>
      </w:r>
      <w:r>
        <w:tab/>
      </w:r>
      <w:r>
        <w:fldChar w:fldCharType="begin"/>
      </w:r>
      <w:r>
        <w:instrText xml:space="preserve"> PAGEREF _Toc468700928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Real estate agents and business agents must be licensed</w:t>
      </w:r>
      <w:r>
        <w:tab/>
      </w:r>
      <w:r>
        <w:fldChar w:fldCharType="begin"/>
      </w:r>
      <w:r>
        <w:instrText xml:space="preserve"> PAGEREF _Toc468700929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Natural persons, licensing of</w:t>
      </w:r>
      <w:r>
        <w:tab/>
      </w:r>
      <w:r>
        <w:fldChar w:fldCharType="begin"/>
      </w:r>
      <w:r>
        <w:instrText xml:space="preserve"> PAGEREF _Toc468700930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Firms, licensing of</w:t>
      </w:r>
      <w:r>
        <w:tab/>
      </w:r>
      <w:r>
        <w:fldChar w:fldCharType="begin"/>
      </w:r>
      <w:r>
        <w:instrText xml:space="preserve"> PAGEREF _Toc468700931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Bodies corporate, licensing of</w:t>
      </w:r>
      <w:r>
        <w:tab/>
      </w:r>
      <w:r>
        <w:fldChar w:fldCharType="begin"/>
      </w:r>
      <w:r>
        <w:instrText xml:space="preserve"> PAGEREF _Toc468700932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 effect of</w:t>
      </w:r>
      <w:r>
        <w:tab/>
      </w:r>
      <w:r>
        <w:fldChar w:fldCharType="begin"/>
      </w:r>
      <w:r>
        <w:instrText xml:space="preserve"> PAGEREF _Toc468700933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Triennial certificates, grant and renewal of</w:t>
      </w:r>
      <w:r>
        <w:tab/>
      </w:r>
      <w:r>
        <w:fldChar w:fldCharType="begin"/>
      </w:r>
      <w:r>
        <w:instrText xml:space="preserve"> PAGEREF _Toc468700934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Triennial certificates, late renewal of</w:t>
      </w:r>
      <w:r>
        <w:tab/>
      </w:r>
      <w:r>
        <w:fldChar w:fldCharType="begin"/>
      </w:r>
      <w:r>
        <w:instrText xml:space="preserve"> PAGEREF _Toc468700935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Triennial certificates expired for over a year, applications to renew</w:t>
      </w:r>
      <w:r>
        <w:tab/>
      </w:r>
      <w:r>
        <w:fldChar w:fldCharType="begin"/>
      </w:r>
      <w:r>
        <w:instrText xml:space="preserve"> PAGEREF _Toc468700936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Conditions on licences and triennial certificates</w:t>
      </w:r>
      <w:r>
        <w:tab/>
      </w:r>
      <w:r>
        <w:fldChar w:fldCharType="begin"/>
      </w:r>
      <w:r>
        <w:instrText xml:space="preserve"> PAGEREF _Toc468700937 \h </w:instrText>
      </w:r>
      <w:r>
        <w:fldChar w:fldCharType="separate"/>
      </w:r>
      <w:r>
        <w:t>21</w:t>
      </w:r>
      <w:r>
        <w:fldChar w:fldCharType="end"/>
      </w:r>
    </w:p>
    <w:p>
      <w:pPr>
        <w:pStyle w:val="TOC8"/>
        <w:rPr>
          <w:rFonts w:asciiTheme="minorHAnsi" w:eastAsiaTheme="minorEastAsia" w:hAnsiTheme="minorHAnsi" w:cstheme="minorBidi"/>
          <w:szCs w:val="22"/>
        </w:rPr>
      </w:pPr>
      <w:r>
        <w:t>34A</w:t>
      </w:r>
      <w:r>
        <w:rPr>
          <w:snapToGrid w:val="0"/>
        </w:rPr>
        <w:t>.</w:t>
      </w:r>
      <w:r>
        <w:tab/>
        <w:t>Commissioner may grant licence or triennial certificate without notice to applicant</w:t>
      </w:r>
      <w:r>
        <w:tab/>
      </w:r>
      <w:r>
        <w:fldChar w:fldCharType="begin"/>
      </w:r>
      <w:r>
        <w:instrText xml:space="preserve"> PAGEREF _Toc468700938 \h </w:instrText>
      </w:r>
      <w:r>
        <w:fldChar w:fldCharType="separate"/>
      </w:r>
      <w:r>
        <w:t>22</w:t>
      </w:r>
      <w:r>
        <w:fldChar w:fldCharType="end"/>
      </w:r>
    </w:p>
    <w:p>
      <w:pPr>
        <w:pStyle w:val="TOC8"/>
        <w:rPr>
          <w:rFonts w:asciiTheme="minorHAnsi" w:eastAsiaTheme="minorEastAsia" w:hAnsiTheme="minorHAnsi" w:cstheme="minorBidi"/>
          <w:szCs w:val="22"/>
        </w:rPr>
      </w:pPr>
      <w:r>
        <w:t>34B.</w:t>
      </w:r>
      <w:r>
        <w:tab/>
        <w:t>SAT may suspend licence in some cases</w:t>
      </w:r>
      <w:r>
        <w:tab/>
      </w:r>
      <w:r>
        <w:fldChar w:fldCharType="begin"/>
      </w:r>
      <w:r>
        <w:instrText xml:space="preserve"> PAGEREF _Toc468700939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Licensee to notify Commissioner when commencing or ceasing business</w:t>
      </w:r>
      <w:r>
        <w:tab/>
      </w:r>
      <w:r>
        <w:fldChar w:fldCharType="begin"/>
      </w:r>
      <w:r>
        <w:instrText xml:space="preserve"> PAGEREF _Toc468700940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Registered office of licensee</w:t>
      </w:r>
      <w:r>
        <w:tab/>
      </w:r>
      <w:r>
        <w:fldChar w:fldCharType="begin"/>
      </w:r>
      <w:r>
        <w:instrText xml:space="preserve"> PAGEREF _Toc468700941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Branch office of licensee</w:t>
      </w:r>
      <w:r>
        <w:tab/>
      </w:r>
      <w:r>
        <w:fldChar w:fldCharType="begin"/>
      </w:r>
      <w:r>
        <w:instrText xml:space="preserve"> PAGEREF _Toc468700942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Triennial certificates, contents of</w:t>
      </w:r>
      <w:r>
        <w:tab/>
      </w:r>
      <w:r>
        <w:fldChar w:fldCharType="begin"/>
      </w:r>
      <w:r>
        <w:instrText xml:space="preserve"> PAGEREF _Toc468700943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Licence and triennial certificate not transferable etc.</w:t>
      </w:r>
      <w:r>
        <w:tab/>
      </w:r>
      <w:r>
        <w:fldChar w:fldCharType="begin"/>
      </w:r>
      <w:r>
        <w:instrText xml:space="preserve"> PAGEREF _Toc468700944 \h </w:instrText>
      </w:r>
      <w:r>
        <w:fldChar w:fldCharType="separate"/>
      </w:r>
      <w:r>
        <w:t>24</w:t>
      </w:r>
      <w:r>
        <w:fldChar w:fldCharType="end"/>
      </w:r>
    </w:p>
    <w:p>
      <w:pPr>
        <w:pStyle w:val="TOC8"/>
        <w:rPr>
          <w:rFonts w:asciiTheme="minorHAnsi" w:eastAsiaTheme="minorEastAsia" w:hAnsiTheme="minorHAnsi" w:cstheme="minorBidi"/>
          <w:szCs w:val="22"/>
        </w:rPr>
      </w:pPr>
      <w:r>
        <w:t>40A.</w:t>
      </w:r>
      <w:r>
        <w:tab/>
        <w:t>Duplicate licence, certificate of registration or triennial certificate</w:t>
      </w:r>
      <w:r>
        <w:tab/>
      </w:r>
      <w:r>
        <w:fldChar w:fldCharType="begin"/>
      </w:r>
      <w:r>
        <w:instrText xml:space="preserve"> PAGEREF _Toc468700945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Business names, use of by licensees</w:t>
      </w:r>
      <w:r>
        <w:tab/>
      </w:r>
      <w:r>
        <w:fldChar w:fldCharType="begin"/>
      </w:r>
      <w:r>
        <w:instrText xml:space="preserve"> PAGEREF _Toc468700946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Notices to be exhibited at offices; particulars to appear on documents</w:t>
      </w:r>
      <w:r>
        <w:tab/>
      </w:r>
      <w:r>
        <w:fldChar w:fldCharType="begin"/>
      </w:r>
      <w:r>
        <w:instrText xml:space="preserve"> PAGEREF _Toc468700947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IV — Registration of sales representatives</w:t>
      </w:r>
    </w:p>
    <w:p>
      <w:pPr>
        <w:pStyle w:val="TOC8"/>
        <w:rPr>
          <w:rFonts w:asciiTheme="minorHAnsi" w:eastAsiaTheme="minorEastAsia" w:hAnsiTheme="minorHAnsi" w:cstheme="minorBidi"/>
          <w:szCs w:val="22"/>
        </w:rPr>
      </w:pPr>
      <w:r>
        <w:t>42</w:t>
      </w:r>
      <w:r>
        <w:rPr>
          <w:snapToGrid w:val="0"/>
        </w:rPr>
        <w:t>.</w:t>
      </w:r>
      <w:r>
        <w:rPr>
          <w:snapToGrid w:val="0"/>
        </w:rPr>
        <w:tab/>
        <w:t>Natural persons only may be registered</w:t>
      </w:r>
      <w:r>
        <w:tab/>
      </w:r>
      <w:r>
        <w:fldChar w:fldCharType="begin"/>
      </w:r>
      <w:r>
        <w:instrText xml:space="preserve"> PAGEREF _Toc468700949 \h </w:instrText>
      </w:r>
      <w:r>
        <w:fldChar w:fldCharType="separate"/>
      </w:r>
      <w:r>
        <w:t>27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Applications for registration</w:t>
      </w:r>
      <w:r>
        <w:tab/>
      </w:r>
      <w:r>
        <w:fldChar w:fldCharType="begin"/>
      </w:r>
      <w:r>
        <w:instrText xml:space="preserve"> PAGEREF _Toc468700950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Real estate sales representatives must be registered etc.</w:t>
      </w:r>
      <w:r>
        <w:tab/>
      </w:r>
      <w:r>
        <w:fldChar w:fldCharType="begin"/>
      </w:r>
      <w:r>
        <w:instrText xml:space="preserve"> PAGEREF _Toc468700951 \h </w:instrText>
      </w:r>
      <w:r>
        <w:fldChar w:fldCharType="separate"/>
      </w:r>
      <w:r>
        <w:t>27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Business sales representatives must be registered etc.</w:t>
      </w:r>
      <w:r>
        <w:tab/>
      </w:r>
      <w:r>
        <w:fldChar w:fldCharType="begin"/>
      </w:r>
      <w:r>
        <w:instrText xml:space="preserve"> PAGEREF _Toc468700952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Partners and directors of licensees to be registered in certain cases</w:t>
      </w:r>
      <w:r>
        <w:tab/>
      </w:r>
      <w:r>
        <w:fldChar w:fldCharType="begin"/>
      </w:r>
      <w:r>
        <w:instrText xml:space="preserve"> PAGEREF _Toc468700953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Natural persons, grant of certificate of registration to</w:t>
      </w:r>
      <w:r>
        <w:tab/>
      </w:r>
      <w:r>
        <w:fldChar w:fldCharType="begin"/>
      </w:r>
      <w:r>
        <w:instrText xml:space="preserve"> PAGEREF _Toc468700954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Certificates of registration, duration and renewal of</w:t>
      </w:r>
      <w:r>
        <w:tab/>
      </w:r>
      <w:r>
        <w:fldChar w:fldCharType="begin"/>
      </w:r>
      <w:r>
        <w:instrText xml:space="preserve"> PAGEREF _Toc468700955 \h </w:instrText>
      </w:r>
      <w:r>
        <w:fldChar w:fldCharType="separate"/>
      </w:r>
      <w:r>
        <w:t>30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Certificates of registration, late renewal of</w:t>
      </w:r>
      <w:r>
        <w:tab/>
      </w:r>
      <w:r>
        <w:fldChar w:fldCharType="begin"/>
      </w:r>
      <w:r>
        <w:instrText xml:space="preserve"> PAGEREF _Toc468700956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Duties of registered persons; Commissioner may impose special conditions on certificates of registration</w:t>
      </w:r>
      <w:r>
        <w:tab/>
      </w:r>
      <w:r>
        <w:fldChar w:fldCharType="begin"/>
      </w:r>
      <w:r>
        <w:instrText xml:space="preserve"> PAGEREF _Toc468700957 \h </w:instrText>
      </w:r>
      <w:r>
        <w:fldChar w:fldCharType="separate"/>
      </w:r>
      <w:r>
        <w:t>32</w:t>
      </w:r>
      <w:r>
        <w:fldChar w:fldCharType="end"/>
      </w:r>
    </w:p>
    <w:p>
      <w:pPr>
        <w:pStyle w:val="TOC8"/>
        <w:rPr>
          <w:rFonts w:asciiTheme="minorHAnsi" w:eastAsiaTheme="minorEastAsia" w:hAnsiTheme="minorHAnsi" w:cstheme="minorBidi"/>
          <w:szCs w:val="22"/>
        </w:rPr>
      </w:pPr>
      <w:r>
        <w:t>50A</w:t>
      </w:r>
      <w:r>
        <w:rPr>
          <w:snapToGrid w:val="0"/>
        </w:rPr>
        <w:t>.</w:t>
      </w:r>
      <w:r>
        <w:tab/>
        <w:t>Unopposed applications</w:t>
      </w:r>
      <w:r>
        <w:tab/>
      </w:r>
      <w:r>
        <w:fldChar w:fldCharType="begin"/>
      </w:r>
      <w:r>
        <w:instrText xml:space="preserve"> PAGEREF _Toc468700958 \h </w:instrText>
      </w:r>
      <w:r>
        <w:fldChar w:fldCharType="separate"/>
      </w:r>
      <w:r>
        <w:t>32</w:t>
      </w:r>
      <w:r>
        <w:fldChar w:fldCharType="end"/>
      </w:r>
    </w:p>
    <w:p>
      <w:pPr>
        <w:pStyle w:val="TOC8"/>
        <w:rPr>
          <w:rFonts w:asciiTheme="minorHAnsi" w:eastAsiaTheme="minorEastAsia" w:hAnsiTheme="minorHAnsi" w:cstheme="minorBidi"/>
          <w:szCs w:val="22"/>
        </w:rPr>
      </w:pPr>
      <w:r>
        <w:t>50B.</w:t>
      </w:r>
      <w:r>
        <w:tab/>
        <w:t>SAT may suspend registration in some cases</w:t>
      </w:r>
      <w:r>
        <w:tab/>
      </w:r>
      <w:r>
        <w:fldChar w:fldCharType="begin"/>
      </w:r>
      <w:r>
        <w:instrText xml:space="preserve"> PAGEREF _Toc468700959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r>
      <w:r>
        <w:t>Registered sales representatives to notify Commissioner of certain changes</w:t>
      </w:r>
      <w:r>
        <w:tab/>
      </w:r>
      <w:r>
        <w:fldChar w:fldCharType="begin"/>
      </w:r>
      <w:r>
        <w:instrText xml:space="preserve"> PAGEREF _Toc468700960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Certificate of registration not transferable</w:t>
      </w:r>
      <w:r>
        <w:tab/>
      </w:r>
      <w:r>
        <w:fldChar w:fldCharType="begin"/>
      </w:r>
      <w:r>
        <w:instrText xml:space="preserve"> PAGEREF _Toc468700961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 of registration, surrender of</w:t>
      </w:r>
      <w:r>
        <w:tab/>
      </w:r>
      <w:r>
        <w:fldChar w:fldCharType="begin"/>
      </w:r>
      <w:r>
        <w:instrText xml:space="preserve"> PAGEREF _Toc468700962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Sales representatives, employment of</w:t>
      </w:r>
      <w:r>
        <w:tab/>
      </w:r>
      <w:r>
        <w:fldChar w:fldCharType="begin"/>
      </w:r>
      <w:r>
        <w:instrText xml:space="preserve"> PAGEREF _Toc468700963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Sales representative to be in service of one person</w:t>
      </w:r>
      <w:r>
        <w:tab/>
      </w:r>
      <w:r>
        <w:fldChar w:fldCharType="begin"/>
      </w:r>
      <w:r>
        <w:instrText xml:space="preserve"> PAGEREF _Toc468700964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V — General controls</w:t>
      </w:r>
    </w:p>
    <w:p>
      <w:pPr>
        <w:pStyle w:val="TOC8"/>
        <w:rPr>
          <w:rFonts w:asciiTheme="minorHAnsi" w:eastAsiaTheme="minorEastAsia" w:hAnsiTheme="minorHAnsi" w:cstheme="minorBidi"/>
          <w:szCs w:val="22"/>
        </w:rPr>
      </w:pPr>
      <w:r>
        <w:t>56</w:t>
      </w:r>
      <w:r>
        <w:rPr>
          <w:snapToGrid w:val="0"/>
        </w:rPr>
        <w:t>.</w:t>
      </w:r>
      <w:r>
        <w:rPr>
          <w:snapToGrid w:val="0"/>
        </w:rPr>
        <w:tab/>
        <w:t>Franchising agreements, licensee not to carry on business under without Commissioner’s approval</w:t>
      </w:r>
      <w:r>
        <w:tab/>
      </w:r>
      <w:r>
        <w:fldChar w:fldCharType="begin"/>
      </w:r>
      <w:r>
        <w:instrText xml:space="preserve"> PAGEREF _Toc468700966 \h </w:instrText>
      </w:r>
      <w:r>
        <w:fldChar w:fldCharType="separate"/>
      </w:r>
      <w:r>
        <w:t>36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Developers, principal place of business to be registered and service on</w:t>
      </w:r>
      <w:r>
        <w:tab/>
      </w:r>
      <w:r>
        <w:fldChar w:fldCharType="begin"/>
      </w:r>
      <w:r>
        <w:instrText xml:space="preserve"> PAGEREF _Toc468700967 \h </w:instrText>
      </w:r>
      <w:r>
        <w:fldChar w:fldCharType="separate"/>
      </w:r>
      <w:r>
        <w:t>36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Developer to notify Commissioner of change in principal place of business</w:t>
      </w:r>
      <w:r>
        <w:tab/>
      </w:r>
      <w:r>
        <w:fldChar w:fldCharType="begin"/>
      </w:r>
      <w:r>
        <w:instrText xml:space="preserve"> PAGEREF _Toc468700968 \h </w:instrText>
      </w:r>
      <w:r>
        <w:fldChar w:fldCharType="separate"/>
      </w:r>
      <w:r>
        <w:t>37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Developer to keep records of real estate transactions</w:t>
      </w:r>
      <w:r>
        <w:tab/>
      </w:r>
      <w:r>
        <w:fldChar w:fldCharType="begin"/>
      </w:r>
      <w:r>
        <w:instrText xml:space="preserve"> PAGEREF _Toc468700969 \h </w:instrText>
      </w:r>
      <w:r>
        <w:fldChar w:fldCharType="separate"/>
      </w:r>
      <w:r>
        <w:t>37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Agent not entitled to commission etc. unless licensed and validly appointed</w:t>
      </w:r>
      <w:r>
        <w:tab/>
      </w:r>
      <w:r>
        <w:fldChar w:fldCharType="begin"/>
      </w:r>
      <w:r>
        <w:instrText xml:space="preserve"> PAGEREF _Toc468700970 \h </w:instrText>
      </w:r>
      <w:r>
        <w:fldChar w:fldCharType="separate"/>
      </w:r>
      <w:r>
        <w:t>37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Maximum remuneration of licensees, fixing of etc.</w:t>
      </w:r>
      <w:r>
        <w:tab/>
      </w:r>
      <w:r>
        <w:fldChar w:fldCharType="begin"/>
      </w:r>
      <w:r>
        <w:instrText xml:space="preserve"> PAGEREF _Toc468700971 \h </w:instrText>
      </w:r>
      <w:r>
        <w:fldChar w:fldCharType="separate"/>
      </w:r>
      <w:r>
        <w:t>39</w:t>
      </w:r>
      <w:r>
        <w:fldChar w:fldCharType="end"/>
      </w:r>
    </w:p>
    <w:p>
      <w:pPr>
        <w:pStyle w:val="TOC8"/>
        <w:rPr>
          <w:rFonts w:asciiTheme="minorHAnsi" w:eastAsiaTheme="minorEastAsia" w:hAnsiTheme="minorHAnsi" w:cstheme="minorBidi"/>
          <w:szCs w:val="22"/>
        </w:rPr>
      </w:pPr>
      <w:r>
        <w:t>61A.</w:t>
      </w:r>
      <w:r>
        <w:tab/>
        <w:t>Agents not to demand etc. money etc. for letting etc. from tenants</w:t>
      </w:r>
      <w:r>
        <w:tab/>
      </w:r>
      <w:r>
        <w:fldChar w:fldCharType="begin"/>
      </w:r>
      <w:r>
        <w:instrText xml:space="preserve"> PAGEREF _Toc468700972 \h </w:instrText>
      </w:r>
      <w:r>
        <w:fldChar w:fldCharType="separate"/>
      </w:r>
      <w:r>
        <w:t>41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Advertising by agents and developers</w:t>
      </w:r>
      <w:r>
        <w:tab/>
      </w:r>
      <w:r>
        <w:fldChar w:fldCharType="begin"/>
      </w:r>
      <w:r>
        <w:instrText xml:space="preserve"> PAGEREF _Toc468700973 \h </w:instrText>
      </w:r>
      <w:r>
        <w:fldChar w:fldCharType="separate"/>
      </w:r>
      <w:r>
        <w:t>42</w:t>
      </w:r>
      <w:r>
        <w:fldChar w:fldCharType="end"/>
      </w:r>
    </w:p>
    <w:p>
      <w:pPr>
        <w:pStyle w:val="TOC8"/>
        <w:rPr>
          <w:rFonts w:asciiTheme="minorHAnsi" w:eastAsiaTheme="minorEastAsia" w:hAnsiTheme="minorHAnsi" w:cstheme="minorBidi"/>
          <w:szCs w:val="22"/>
        </w:rPr>
      </w:pPr>
      <w:r>
        <w:t>63.</w:t>
      </w:r>
      <w:r>
        <w:tab/>
        <w:t>Agents etc. to supply signatories of documents with copies</w:t>
      </w:r>
      <w:r>
        <w:tab/>
      </w:r>
      <w:r>
        <w:fldChar w:fldCharType="begin"/>
      </w:r>
      <w:r>
        <w:instrText xml:space="preserve"> PAGEREF _Toc468700974 \h </w:instrText>
      </w:r>
      <w:r>
        <w:fldChar w:fldCharType="separate"/>
      </w:r>
      <w:r>
        <w:t>42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Conflicts of interest of agents etc.</w:t>
      </w:r>
      <w:r>
        <w:tab/>
      </w:r>
      <w:r>
        <w:fldChar w:fldCharType="begin"/>
      </w:r>
      <w:r>
        <w:instrText xml:space="preserve"> PAGEREF _Toc468700975 \h </w:instrText>
      </w:r>
      <w:r>
        <w:fldChar w:fldCharType="separate"/>
      </w:r>
      <w:r>
        <w:t>43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Rates etc., agents to ensure payment and apportionment of</w:t>
      </w:r>
      <w:r>
        <w:tab/>
      </w:r>
      <w:r>
        <w:fldChar w:fldCharType="begin"/>
      </w:r>
      <w:r>
        <w:instrText xml:space="preserve"> PAGEREF _Toc468700976 \h </w:instrText>
      </w:r>
      <w:r>
        <w:fldChar w:fldCharType="separate"/>
      </w:r>
      <w:r>
        <w:t>43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Keys to houses etc. and information about tenancies etc., payment for is an offence</w:t>
      </w:r>
      <w:r>
        <w:tab/>
      </w:r>
      <w:r>
        <w:fldChar w:fldCharType="begin"/>
      </w:r>
      <w:r>
        <w:instrText xml:space="preserve"> PAGEREF _Toc468700977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VI — Agents’ trust accounts</w:t>
      </w:r>
    </w:p>
    <w:p>
      <w:pPr>
        <w:pStyle w:val="TOC8"/>
        <w:rPr>
          <w:rFonts w:asciiTheme="minorHAnsi" w:eastAsiaTheme="minorEastAsia" w:hAnsiTheme="minorHAnsi" w:cstheme="minorBidi"/>
          <w:szCs w:val="22"/>
        </w:rPr>
      </w:pPr>
      <w:r>
        <w:t>67</w:t>
      </w:r>
      <w:r>
        <w:rPr>
          <w:snapToGrid w:val="0"/>
        </w:rPr>
        <w:t>.</w:t>
      </w:r>
      <w:r>
        <w:rPr>
          <w:snapToGrid w:val="0"/>
        </w:rPr>
        <w:tab/>
        <w:t>Terms used</w:t>
      </w:r>
      <w:r>
        <w:tab/>
      </w:r>
      <w:r>
        <w:fldChar w:fldCharType="begin"/>
      </w:r>
      <w:r>
        <w:instrText xml:space="preserve"> PAGEREF _Toc468700979 \h </w:instrText>
      </w:r>
      <w:r>
        <w:fldChar w:fldCharType="separate"/>
      </w:r>
      <w:r>
        <w:t>46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Trust accounts, use of etc.</w:t>
      </w:r>
      <w:r>
        <w:tab/>
      </w:r>
      <w:r>
        <w:fldChar w:fldCharType="begin"/>
      </w:r>
      <w:r>
        <w:instrText xml:space="preserve"> PAGEREF _Toc468700980 \h </w:instrText>
      </w:r>
      <w:r>
        <w:fldChar w:fldCharType="separate"/>
      </w:r>
      <w:r>
        <w:t>46</w:t>
      </w:r>
      <w:r>
        <w:fldChar w:fldCharType="end"/>
      </w:r>
    </w:p>
    <w:p>
      <w:pPr>
        <w:pStyle w:val="TOC8"/>
        <w:rPr>
          <w:rFonts w:asciiTheme="minorHAnsi" w:eastAsiaTheme="minorEastAsia" w:hAnsiTheme="minorHAnsi" w:cstheme="minorBidi"/>
          <w:szCs w:val="22"/>
        </w:rPr>
      </w:pPr>
      <w:r>
        <w:t>68A</w:t>
      </w:r>
      <w:r>
        <w:rPr>
          <w:snapToGrid w:val="0"/>
        </w:rPr>
        <w:t>.</w:t>
      </w:r>
      <w:r>
        <w:rPr>
          <w:snapToGrid w:val="0"/>
        </w:rPr>
        <w:tab/>
        <w:t>Client may ask agent for separate trust account</w:t>
      </w:r>
      <w:r>
        <w:tab/>
      </w:r>
      <w:r>
        <w:fldChar w:fldCharType="begin"/>
      </w:r>
      <w:r>
        <w:instrText xml:space="preserve"> PAGEREF _Toc468700981 \h </w:instrText>
      </w:r>
      <w:r>
        <w:fldChar w:fldCharType="separate"/>
      </w:r>
      <w:r>
        <w:t>47</w:t>
      </w:r>
      <w:r>
        <w:fldChar w:fldCharType="end"/>
      </w:r>
    </w:p>
    <w:p>
      <w:pPr>
        <w:pStyle w:val="TOC8"/>
        <w:rPr>
          <w:rFonts w:asciiTheme="minorHAnsi" w:eastAsiaTheme="minorEastAsia" w:hAnsiTheme="minorHAnsi" w:cstheme="minorBidi"/>
          <w:szCs w:val="22"/>
        </w:rPr>
      </w:pPr>
      <w:r>
        <w:t>68B</w:t>
      </w:r>
      <w:r>
        <w:rPr>
          <w:snapToGrid w:val="0"/>
        </w:rPr>
        <w:t>.</w:t>
      </w:r>
      <w:r>
        <w:rPr>
          <w:snapToGrid w:val="0"/>
        </w:rPr>
        <w:tab/>
        <w:t>Interest on trust accounts to be paid by financial institutions</w:t>
      </w:r>
      <w:r>
        <w:tab/>
      </w:r>
      <w:r>
        <w:fldChar w:fldCharType="begin"/>
      </w:r>
      <w:r>
        <w:instrText xml:space="preserve"> PAGEREF _Toc468700982 \h </w:instrText>
      </w:r>
      <w:r>
        <w:fldChar w:fldCharType="separate"/>
      </w:r>
      <w:r>
        <w:t>48</w:t>
      </w:r>
      <w:r>
        <w:fldChar w:fldCharType="end"/>
      </w:r>
    </w:p>
    <w:p>
      <w:pPr>
        <w:pStyle w:val="TOC8"/>
        <w:rPr>
          <w:rFonts w:asciiTheme="minorHAnsi" w:eastAsiaTheme="minorEastAsia" w:hAnsiTheme="minorHAnsi" w:cstheme="minorBidi"/>
          <w:szCs w:val="22"/>
        </w:rPr>
      </w:pPr>
      <w:r>
        <w:t>68C</w:t>
      </w:r>
      <w:r>
        <w:rPr>
          <w:snapToGrid w:val="0"/>
        </w:rPr>
        <w:t>.</w:t>
      </w:r>
      <w:r>
        <w:rPr>
          <w:snapToGrid w:val="0"/>
        </w:rPr>
        <w:tab/>
      </w:r>
      <w:r>
        <w:t>Agents to give Commissioner information about trust accounts</w:t>
      </w:r>
      <w:r>
        <w:tab/>
      </w:r>
      <w:r>
        <w:fldChar w:fldCharType="begin"/>
      </w:r>
      <w:r>
        <w:instrText xml:space="preserve"> PAGEREF _Toc468700983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Money received by agents, duties as to</w:t>
      </w:r>
      <w:r>
        <w:tab/>
      </w:r>
      <w:r>
        <w:fldChar w:fldCharType="begin"/>
      </w:r>
      <w:r>
        <w:instrText xml:space="preserve"> PAGEREF _Toc468700984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Audits of trust accounts</w:t>
      </w:r>
      <w:r>
        <w:tab/>
      </w:r>
      <w:r>
        <w:fldChar w:fldCharType="begin"/>
      </w:r>
      <w:r>
        <w:instrText xml:space="preserve"> PAGEREF _Toc468700985 \h </w:instrText>
      </w:r>
      <w:r>
        <w:fldChar w:fldCharType="separate"/>
      </w:r>
      <w:r>
        <w:t>50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r>
      <w:r>
        <w:t>Date of audit, Commissioner may change</w:t>
      </w:r>
      <w:r>
        <w:tab/>
      </w:r>
      <w:r>
        <w:fldChar w:fldCharType="begin"/>
      </w:r>
      <w:r>
        <w:instrText xml:space="preserve"> PAGEREF _Toc468700986 \h </w:instrText>
      </w:r>
      <w:r>
        <w:fldChar w:fldCharType="separate"/>
      </w:r>
      <w:r>
        <w:t>52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Auditors, qualification and approval of</w:t>
      </w:r>
      <w:r>
        <w:tab/>
      </w:r>
      <w:r>
        <w:fldChar w:fldCharType="begin"/>
      </w:r>
      <w:r>
        <w:instrText xml:space="preserve"> PAGEREF _Toc468700987 \h </w:instrText>
      </w:r>
      <w:r>
        <w:fldChar w:fldCharType="separate"/>
      </w:r>
      <w:r>
        <w:t>53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Auditors, appointment of</w:t>
      </w:r>
      <w:r>
        <w:tab/>
      </w:r>
      <w:r>
        <w:fldChar w:fldCharType="begin"/>
      </w:r>
      <w:r>
        <w:instrText xml:space="preserve"> PAGEREF _Toc468700988 \h </w:instrText>
      </w:r>
      <w:r>
        <w:fldChar w:fldCharType="separate"/>
      </w:r>
      <w:r>
        <w:t>53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Audits of business carried on at more than one place, directions as to</w:t>
      </w:r>
      <w:r>
        <w:tab/>
      </w:r>
      <w:r>
        <w:fldChar w:fldCharType="begin"/>
      </w:r>
      <w:r>
        <w:instrText xml:space="preserve"> PAGEREF _Toc468700989 \h </w:instrText>
      </w:r>
      <w:r>
        <w:fldChar w:fldCharType="separate"/>
      </w:r>
      <w:r>
        <w:t>54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r>
      <w:r>
        <w:t>Approvals etc. under this Part, Commissioner’s power to cancel etc.</w:t>
      </w:r>
      <w:r>
        <w:tab/>
      </w:r>
      <w:r>
        <w:fldChar w:fldCharType="begin"/>
      </w:r>
      <w:r>
        <w:instrText xml:space="preserve"> PAGEREF _Toc468700990 \h </w:instrText>
      </w:r>
      <w:r>
        <w:fldChar w:fldCharType="separate"/>
      </w:r>
      <w:r>
        <w:t>54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Audits, agents’ duties and auditors’ powers as to</w:t>
      </w:r>
      <w:r>
        <w:tab/>
      </w:r>
      <w:r>
        <w:fldChar w:fldCharType="begin"/>
      </w:r>
      <w:r>
        <w:instrText xml:space="preserve"> PAGEREF _Toc468700991 \h </w:instrText>
      </w:r>
      <w:r>
        <w:fldChar w:fldCharType="separate"/>
      </w:r>
      <w:r>
        <w:t>54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Audits, bankers’ duties as to</w:t>
      </w:r>
      <w:r>
        <w:tab/>
      </w:r>
      <w:r>
        <w:fldChar w:fldCharType="begin"/>
      </w:r>
      <w:r>
        <w:instrText xml:space="preserve"> PAGEREF _Toc468700992 \h </w:instrText>
      </w:r>
      <w:r>
        <w:fldChar w:fldCharType="separate"/>
      </w:r>
      <w:r>
        <w:t>55</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Auditors’ reports, content of</w:t>
      </w:r>
      <w:r>
        <w:tab/>
      </w:r>
      <w:r>
        <w:fldChar w:fldCharType="begin"/>
      </w:r>
      <w:r>
        <w:instrText xml:space="preserve"> PAGEREF _Toc468700993 \h </w:instrText>
      </w:r>
      <w:r>
        <w:fldChar w:fldCharType="separate"/>
      </w:r>
      <w:r>
        <w:t>55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Moneys etc. held on trust, statement of by agents</w:t>
      </w:r>
      <w:r>
        <w:tab/>
      </w:r>
      <w:r>
        <w:fldChar w:fldCharType="begin"/>
      </w:r>
      <w:r>
        <w:instrText xml:space="preserve"> PAGEREF _Toc468700994 \h </w:instrText>
      </w:r>
      <w:r>
        <w:fldChar w:fldCharType="separate"/>
      </w:r>
      <w:r>
        <w:t>56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Auditor’s report to report breaches of law etc.</w:t>
      </w:r>
      <w:r>
        <w:tab/>
      </w:r>
      <w:r>
        <w:fldChar w:fldCharType="begin"/>
      </w:r>
      <w:r>
        <w:instrText xml:space="preserve"> PAGEREF _Toc468700995 \h </w:instrText>
      </w:r>
      <w:r>
        <w:fldChar w:fldCharType="separate"/>
      </w:r>
      <w:r>
        <w:t>57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Auditors’ duty of confidentiality</w:t>
      </w:r>
      <w:r>
        <w:tab/>
      </w:r>
      <w:r>
        <w:fldChar w:fldCharType="begin"/>
      </w:r>
      <w:r>
        <w:instrText xml:space="preserve"> PAGEREF _Toc468700996 \h </w:instrText>
      </w:r>
      <w:r>
        <w:fldChar w:fldCharType="separate"/>
      </w:r>
      <w:r>
        <w:t>57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Right of some persons to information in auditors’ reports</w:t>
      </w:r>
      <w:r>
        <w:tab/>
      </w:r>
      <w:r>
        <w:fldChar w:fldCharType="begin"/>
      </w:r>
      <w:r>
        <w:instrText xml:space="preserve"> PAGEREF _Toc468700997 \h </w:instrText>
      </w:r>
      <w:r>
        <w:fldChar w:fldCharType="separate"/>
      </w:r>
      <w:r>
        <w:t>57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Offences under this Part</w:t>
      </w:r>
      <w:r>
        <w:tab/>
      </w:r>
      <w:r>
        <w:fldChar w:fldCharType="begin"/>
      </w:r>
      <w:r>
        <w:instrText xml:space="preserve"> PAGEREF _Toc468700998 \h </w:instrText>
      </w:r>
      <w:r>
        <w:fldChar w:fldCharType="separate"/>
      </w:r>
      <w:r>
        <w:t>58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Auditors’ remuneration</w:t>
      </w:r>
      <w:r>
        <w:tab/>
      </w:r>
      <w:r>
        <w:fldChar w:fldCharType="begin"/>
      </w:r>
      <w:r>
        <w:instrText xml:space="preserve"> PAGEREF _Toc468700999 \h </w:instrText>
      </w:r>
      <w:r>
        <w:fldChar w:fldCharType="separate"/>
      </w:r>
      <w:r>
        <w:t>58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Agents with no accounts to audit</w:t>
      </w:r>
      <w:r>
        <w:tab/>
      </w:r>
      <w:r>
        <w:fldChar w:fldCharType="begin"/>
      </w:r>
      <w:r>
        <w:instrText xml:space="preserve"> PAGEREF _Toc468701000 \h </w:instrText>
      </w:r>
      <w:r>
        <w:fldChar w:fldCharType="separate"/>
      </w:r>
      <w:r>
        <w:t>58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Accounts of firm or body corporate or agent with branch office, effect of audits as to</w:t>
      </w:r>
      <w:r>
        <w:tab/>
      </w:r>
      <w:r>
        <w:fldChar w:fldCharType="begin"/>
      </w:r>
      <w:r>
        <w:instrText xml:space="preserve"> PAGEREF _Toc468701001 \h </w:instrText>
      </w:r>
      <w:r>
        <w:fldChar w:fldCharType="separate"/>
      </w:r>
      <w:r>
        <w:t>59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r>
      <w:r>
        <w:t>Audit of trust account, Commissioner may do</w:t>
      </w:r>
      <w:r>
        <w:tab/>
      </w:r>
      <w:r>
        <w:fldChar w:fldCharType="begin"/>
      </w:r>
      <w:r>
        <w:instrText xml:space="preserve"> PAGEREF _Toc468701002 \h </w:instrText>
      </w:r>
      <w:r>
        <w:fldChar w:fldCharType="separate"/>
      </w:r>
      <w:r>
        <w:t>59</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Cost of audit done under s. 88</w:t>
      </w:r>
      <w:r>
        <w:tab/>
      </w:r>
      <w:r>
        <w:fldChar w:fldCharType="begin"/>
      </w:r>
      <w:r>
        <w:instrText xml:space="preserve"> PAGEREF _Toc468701003 \h </w:instrText>
      </w:r>
      <w:r>
        <w:fldChar w:fldCharType="separate"/>
      </w:r>
      <w:r>
        <w:t>60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Confidentiality of audit done under s. 88</w:t>
      </w:r>
      <w:r>
        <w:tab/>
      </w:r>
      <w:r>
        <w:fldChar w:fldCharType="begin"/>
      </w:r>
      <w:r>
        <w:instrText xml:space="preserve"> PAGEREF _Toc468701004 \h </w:instrText>
      </w:r>
      <w:r>
        <w:fldChar w:fldCharType="separate"/>
      </w:r>
      <w:r>
        <w:t>60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Restraining bank etc. from dealing with agent’s account, SAT’s powers as to</w:t>
      </w:r>
      <w:r>
        <w:tab/>
      </w:r>
      <w:r>
        <w:fldChar w:fldCharType="begin"/>
      </w:r>
      <w:r>
        <w:instrText xml:space="preserve"> PAGEREF _Toc468701005 \h </w:instrText>
      </w:r>
      <w:r>
        <w:fldChar w:fldCharType="separate"/>
      </w:r>
      <w:r>
        <w:t>60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Suspension of agents, appointment of supervisors etc., SAT’s powers as to</w:t>
      </w:r>
      <w:r>
        <w:tab/>
      </w:r>
      <w:r>
        <w:fldChar w:fldCharType="begin"/>
      </w:r>
      <w:r>
        <w:instrText xml:space="preserve"> PAGEREF _Toc468701006 \h </w:instrText>
      </w:r>
      <w:r>
        <w:fldChar w:fldCharType="separate"/>
      </w:r>
      <w:r>
        <w:t>62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Order under s. 93 for supervisor, effect of</w:t>
      </w:r>
      <w:r>
        <w:tab/>
      </w:r>
      <w:r>
        <w:fldChar w:fldCharType="begin"/>
      </w:r>
      <w:r>
        <w:instrText xml:space="preserve"> PAGEREF _Toc468701007 \h </w:instrText>
      </w:r>
      <w:r>
        <w:fldChar w:fldCharType="separate"/>
      </w:r>
      <w:r>
        <w:t>64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Supervisors’ duties</w:t>
      </w:r>
      <w:r>
        <w:tab/>
      </w:r>
      <w:r>
        <w:fldChar w:fldCharType="begin"/>
      </w:r>
      <w:r>
        <w:instrText xml:space="preserve"> PAGEREF _Toc468701008 \h </w:instrText>
      </w:r>
      <w:r>
        <w:fldChar w:fldCharType="separate"/>
      </w:r>
      <w:r>
        <w:t>65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Hindering etc. supervisors, offence</w:t>
      </w:r>
      <w:r>
        <w:tab/>
      </w:r>
      <w:r>
        <w:fldChar w:fldCharType="begin"/>
      </w:r>
      <w:r>
        <w:instrText xml:space="preserve"> PAGEREF _Toc468701009 \h </w:instrText>
      </w:r>
      <w:r>
        <w:fldChar w:fldCharType="separate"/>
      </w:r>
      <w:r>
        <w:t>66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Discharge or variation of s. 92 or 93 order</w:t>
      </w:r>
      <w:r>
        <w:tab/>
      </w:r>
      <w:r>
        <w:fldChar w:fldCharType="begin"/>
      </w:r>
      <w:r>
        <w:instrText xml:space="preserve"> PAGEREF _Toc468701010 \h </w:instrText>
      </w:r>
      <w:r>
        <w:fldChar w:fldCharType="separate"/>
      </w:r>
      <w:r>
        <w:t>66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SAT’s additional powers as to s. 92, 93 and 97 orders; schemes for distributing funds</w:t>
      </w:r>
      <w:r>
        <w:tab/>
      </w:r>
      <w:r>
        <w:fldChar w:fldCharType="begin"/>
      </w:r>
      <w:r>
        <w:instrText xml:space="preserve"> PAGEREF _Toc468701011 \h </w:instrText>
      </w:r>
      <w:r>
        <w:fldChar w:fldCharType="separate"/>
      </w:r>
      <w:r>
        <w:t>66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Service of s. 92, 93, 97 or 98 orders; penalty for breach of</w:t>
      </w:r>
      <w:r>
        <w:tab/>
      </w:r>
      <w:r>
        <w:fldChar w:fldCharType="begin"/>
      </w:r>
      <w:r>
        <w:instrText xml:space="preserve"> PAGEREF _Toc468701012 \h </w:instrText>
      </w:r>
      <w:r>
        <w:fldChar w:fldCharType="separate"/>
      </w:r>
      <w:r>
        <w:t>68</w:t>
      </w:r>
      <w:r>
        <w:fldChar w:fldCharType="end"/>
      </w:r>
    </w:p>
    <w:p>
      <w:pPr>
        <w:pStyle w:val="TOC8"/>
        <w:rPr>
          <w:rFonts w:asciiTheme="minorHAnsi" w:eastAsiaTheme="minorEastAsia" w:hAnsiTheme="minorHAnsi" w:cstheme="minorBidi"/>
          <w:szCs w:val="22"/>
        </w:rPr>
      </w:pPr>
      <w:r>
        <w:t>100.</w:t>
      </w:r>
      <w:r>
        <w:tab/>
        <w:t>Banks etc., duty to disclose certain accounts etc. if required to by authorised person</w:t>
      </w:r>
      <w:r>
        <w:tab/>
      </w:r>
      <w:r>
        <w:fldChar w:fldCharType="begin"/>
      </w:r>
      <w:r>
        <w:instrText xml:space="preserve"> PAGEREF _Toc468701013 \h </w:instrText>
      </w:r>
      <w:r>
        <w:fldChar w:fldCharType="separate"/>
      </w:r>
      <w:r>
        <w:t>69</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r>
      <w:r>
        <w:t>Information about trust accounts, Commissioner’s power to obtain</w:t>
      </w:r>
      <w:r>
        <w:tab/>
      </w:r>
      <w:r>
        <w:fldChar w:fldCharType="begin"/>
      </w:r>
      <w:r>
        <w:instrText xml:space="preserve"> PAGEREF _Toc468701014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VII — Discipline of agents and sales representatives</w:t>
      </w:r>
    </w:p>
    <w:p>
      <w:pPr>
        <w:pStyle w:val="TOC8"/>
        <w:rPr>
          <w:rFonts w:asciiTheme="minorHAnsi" w:eastAsiaTheme="minorEastAsia" w:hAnsiTheme="minorHAnsi" w:cstheme="minorBidi"/>
          <w:szCs w:val="22"/>
        </w:rPr>
      </w:pPr>
      <w:r>
        <w:t>101</w:t>
      </w:r>
      <w:r>
        <w:rPr>
          <w:snapToGrid w:val="0"/>
        </w:rPr>
        <w:t>.</w:t>
      </w:r>
      <w:r>
        <w:rPr>
          <w:snapToGrid w:val="0"/>
        </w:rPr>
        <w:tab/>
      </w:r>
      <w:r>
        <w:t>Codes of conduct</w:t>
      </w:r>
      <w:r>
        <w:tab/>
      </w:r>
      <w:r>
        <w:fldChar w:fldCharType="begin"/>
      </w:r>
      <w:r>
        <w:instrText xml:space="preserve"> PAGEREF _Toc468701016 \h </w:instrText>
      </w:r>
      <w:r>
        <w:fldChar w:fldCharType="separate"/>
      </w:r>
      <w:r>
        <w:t>72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Disciplinary action by SAT, alleging cause for</w:t>
      </w:r>
      <w:r>
        <w:tab/>
      </w:r>
      <w:r>
        <w:fldChar w:fldCharType="begin"/>
      </w:r>
      <w:r>
        <w:instrText xml:space="preserve"> PAGEREF _Toc468701017 \h </w:instrText>
      </w:r>
      <w:r>
        <w:fldChar w:fldCharType="separate"/>
      </w:r>
      <w:r>
        <w:t>72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Disciplinary action, SAT’s powers as to</w:t>
      </w:r>
      <w:r>
        <w:tab/>
      </w:r>
      <w:r>
        <w:fldChar w:fldCharType="begin"/>
      </w:r>
      <w:r>
        <w:instrText xml:space="preserve"> PAGEREF _Toc468701018 \h </w:instrText>
      </w:r>
      <w:r>
        <w:fldChar w:fldCharType="separate"/>
      </w:r>
      <w:r>
        <w:t>73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Offences that cause licence and triennial certificate to be cancelled</w:t>
      </w:r>
      <w:r>
        <w:tab/>
      </w:r>
      <w:r>
        <w:fldChar w:fldCharType="begin"/>
      </w:r>
      <w:r>
        <w:instrText xml:space="preserve"> PAGEREF _Toc468701019 \h </w:instrText>
      </w:r>
      <w:r>
        <w:fldChar w:fldCharType="separate"/>
      </w:r>
      <w:r>
        <w:t>76</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Certain offences by licensees, additional sentencing powers for</w:t>
      </w:r>
      <w:r>
        <w:tab/>
      </w:r>
      <w:r>
        <w:fldChar w:fldCharType="begin"/>
      </w:r>
      <w:r>
        <w:instrText xml:space="preserve"> PAGEREF _Toc468701020 \h </w:instrText>
      </w:r>
      <w:r>
        <w:fldChar w:fldCharType="separate"/>
      </w:r>
      <w:r>
        <w:t>77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Persons with cancelled licences etc., offences by and in respect of</w:t>
      </w:r>
      <w:r>
        <w:tab/>
      </w:r>
      <w:r>
        <w:fldChar w:fldCharType="begin"/>
      </w:r>
      <w:r>
        <w:instrText xml:space="preserve"> PAGEREF _Toc468701021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VIII — Fidelity Guarantee Account</w:t>
      </w:r>
    </w:p>
    <w:p>
      <w:pPr>
        <w:pStyle w:val="TOC8"/>
        <w:rPr>
          <w:rFonts w:asciiTheme="minorHAnsi" w:eastAsiaTheme="minorEastAsia" w:hAnsiTheme="minorHAnsi" w:cstheme="minorBidi"/>
          <w:szCs w:val="22"/>
        </w:rPr>
      </w:pPr>
      <w:r>
        <w:t>107.</w:t>
      </w:r>
      <w:r>
        <w:tab/>
        <w:t>Account established</w:t>
      </w:r>
      <w:r>
        <w:tab/>
      </w:r>
      <w:r>
        <w:fldChar w:fldCharType="begin"/>
      </w:r>
      <w:r>
        <w:instrText xml:space="preserve"> PAGEREF _Toc468701023 \h </w:instrText>
      </w:r>
      <w:r>
        <w:fldChar w:fldCharType="separate"/>
      </w:r>
      <w:r>
        <w:t>79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Investment of moneys in account</w:t>
      </w:r>
      <w:r>
        <w:tab/>
      </w:r>
      <w:r>
        <w:fldChar w:fldCharType="begin"/>
      </w:r>
      <w:r>
        <w:instrText xml:space="preserve"> PAGEREF _Toc468701024 \h </w:instrText>
      </w:r>
      <w:r>
        <w:fldChar w:fldCharType="separate"/>
      </w:r>
      <w:r>
        <w:t>79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Moneys to be credited to account</w:t>
      </w:r>
      <w:r>
        <w:tab/>
      </w:r>
      <w:r>
        <w:fldChar w:fldCharType="begin"/>
      </w:r>
      <w:r>
        <w:instrText xml:space="preserve"> PAGEREF _Toc468701025 \h </w:instrText>
      </w:r>
      <w:r>
        <w:fldChar w:fldCharType="separate"/>
      </w:r>
      <w:r>
        <w:t>79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Expenditure from account</w:t>
      </w:r>
      <w:r>
        <w:tab/>
      </w:r>
      <w:r>
        <w:fldChar w:fldCharType="begin"/>
      </w:r>
      <w:r>
        <w:instrText xml:space="preserve"> PAGEREF _Toc468701026 \h </w:instrText>
      </w:r>
      <w:r>
        <w:fldChar w:fldCharType="separate"/>
      </w:r>
      <w:r>
        <w:t>80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r>
      <w:r>
        <w:t>Administration of account</w:t>
      </w:r>
      <w:r>
        <w:tab/>
      </w:r>
      <w:r>
        <w:fldChar w:fldCharType="begin"/>
      </w:r>
      <w:r>
        <w:instrText xml:space="preserve"> PAGEREF _Toc468701027 \h </w:instrText>
      </w:r>
      <w:r>
        <w:fldChar w:fldCharType="separate"/>
      </w:r>
      <w:r>
        <w:t>81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Payments to account by applicants for licences etc.</w:t>
      </w:r>
      <w:r>
        <w:tab/>
      </w:r>
      <w:r>
        <w:fldChar w:fldCharType="begin"/>
      </w:r>
      <w:r>
        <w:instrText xml:space="preserve"> PAGEREF _Toc468701028 \h </w:instrText>
      </w:r>
      <w:r>
        <w:fldChar w:fldCharType="separate"/>
      </w:r>
      <w:r>
        <w:t>81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Cap on payments under s. 113</w:t>
      </w:r>
      <w:r>
        <w:tab/>
      </w:r>
      <w:r>
        <w:fldChar w:fldCharType="begin"/>
      </w:r>
      <w:r>
        <w:instrText xml:space="preserve"> PAGEREF _Toc468701029 \h </w:instrText>
      </w:r>
      <w:r>
        <w:fldChar w:fldCharType="separate"/>
      </w:r>
      <w:r>
        <w:t>81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Levies for account against certificate holders</w:t>
      </w:r>
      <w:r>
        <w:tab/>
      </w:r>
      <w:r>
        <w:fldChar w:fldCharType="begin"/>
      </w:r>
      <w:r>
        <w:instrText xml:space="preserve"> PAGEREF _Toc468701030 \h </w:instrText>
      </w:r>
      <w:r>
        <w:fldChar w:fldCharType="separate"/>
      </w:r>
      <w:r>
        <w:t>82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Purpose of account; making claims against account</w:t>
      </w:r>
      <w:r>
        <w:tab/>
      </w:r>
      <w:r>
        <w:fldChar w:fldCharType="begin"/>
      </w:r>
      <w:r>
        <w:instrText xml:space="preserve"> PAGEREF _Toc468701031 \h </w:instrText>
      </w:r>
      <w:r>
        <w:fldChar w:fldCharType="separate"/>
      </w:r>
      <w:r>
        <w:t>83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Claims against account; recovery from account</w:t>
      </w:r>
      <w:r>
        <w:tab/>
      </w:r>
      <w:r>
        <w:fldChar w:fldCharType="begin"/>
      </w:r>
      <w:r>
        <w:instrText xml:space="preserve"> PAGEREF _Toc468701032 \h </w:instrText>
      </w:r>
      <w:r>
        <w:fldChar w:fldCharType="separate"/>
      </w:r>
      <w:r>
        <w:t>83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Defences to claims against account</w:t>
      </w:r>
      <w:r>
        <w:tab/>
      </w:r>
      <w:r>
        <w:fldChar w:fldCharType="begin"/>
      </w:r>
      <w:r>
        <w:instrText xml:space="preserve"> PAGEREF _Toc468701033 \h </w:instrText>
      </w:r>
      <w:r>
        <w:fldChar w:fldCharType="separate"/>
      </w:r>
      <w:r>
        <w:t>85</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r>
      <w:r>
        <w:t>Subrogation of rights of claimant against account</w:t>
      </w:r>
      <w:r>
        <w:tab/>
      </w:r>
      <w:r>
        <w:fldChar w:fldCharType="begin"/>
      </w:r>
      <w:r>
        <w:instrText xml:space="preserve"> PAGEREF _Toc468701034 \h </w:instrText>
      </w:r>
      <w:r>
        <w:fldChar w:fldCharType="separate"/>
      </w:r>
      <w:r>
        <w:t>85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Insufficiency in a</w:t>
      </w:r>
      <w:r>
        <w:t>ccount</w:t>
      </w:r>
      <w:r>
        <w:tab/>
      </w:r>
      <w:r>
        <w:fldChar w:fldCharType="begin"/>
      </w:r>
      <w:r>
        <w:instrText xml:space="preserve"> PAGEREF _Toc468701035 \h </w:instrText>
      </w:r>
      <w:r>
        <w:fldChar w:fldCharType="separate"/>
      </w:r>
      <w:r>
        <w:t>85</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r>
      <w:r>
        <w:t>State may insure against claims</w:t>
      </w:r>
      <w:r>
        <w:tab/>
      </w:r>
      <w:r>
        <w:fldChar w:fldCharType="begin"/>
      </w:r>
      <w:r>
        <w:instrText xml:space="preserve"> PAGEREF _Toc468701036 \h </w:instrText>
      </w:r>
      <w:r>
        <w:fldChar w:fldCharType="separate"/>
      </w:r>
      <w:r>
        <w:t>86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Application of insurance payouts</w:t>
      </w:r>
      <w:r>
        <w:tab/>
      </w:r>
      <w:r>
        <w:fldChar w:fldCharType="begin"/>
      </w:r>
      <w:r>
        <w:instrText xml:space="preserve"> PAGEREF _Toc468701037 \h </w:instrText>
      </w:r>
      <w:r>
        <w:fldChar w:fldCharType="separate"/>
      </w:r>
      <w:r>
        <w:t>87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Advertising for claims in relation to defaulting licensee</w:t>
      </w:r>
      <w:r>
        <w:tab/>
      </w:r>
      <w:r>
        <w:fldChar w:fldCharType="begin"/>
      </w:r>
      <w:r>
        <w:instrText xml:space="preserve"> PAGEREF _Toc468701038 \h </w:instrText>
      </w:r>
      <w:r>
        <w:fldChar w:fldCharType="separate"/>
      </w:r>
      <w:r>
        <w:t>87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t>Documents etc. to support claims, CEO may require</w:t>
      </w:r>
      <w:r>
        <w:tab/>
      </w:r>
      <w:r>
        <w:fldChar w:fldCharType="begin"/>
      </w:r>
      <w:r>
        <w:instrText xml:space="preserve"> PAGEREF _Toc468701039 \h </w:instrText>
      </w:r>
      <w:r>
        <w:fldChar w:fldCharType="separate"/>
      </w:r>
      <w:r>
        <w:t>88</w:t>
      </w:r>
      <w:r>
        <w:fldChar w:fldCharType="end"/>
      </w:r>
    </w:p>
    <w:p>
      <w:pPr>
        <w:pStyle w:val="TOC8"/>
        <w:rPr>
          <w:rFonts w:asciiTheme="minorHAnsi" w:eastAsiaTheme="minorEastAsia" w:hAnsiTheme="minorHAnsi" w:cstheme="minorBidi"/>
          <w:szCs w:val="22"/>
        </w:rPr>
      </w:pPr>
      <w:r>
        <w:t>124AA.</w:t>
      </w:r>
      <w:r>
        <w:tab/>
        <w:t>Commissioner may investigate claims against Fidelity Account</w:t>
      </w:r>
      <w:r>
        <w:tab/>
      </w:r>
      <w:r>
        <w:fldChar w:fldCharType="begin"/>
      </w:r>
      <w:r>
        <w:instrText xml:space="preserve"> PAGEREF _Toc468701040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VIIIA — Education and General Purpose Account</w:t>
      </w:r>
    </w:p>
    <w:p>
      <w:pPr>
        <w:pStyle w:val="TOC8"/>
        <w:rPr>
          <w:rFonts w:asciiTheme="minorHAnsi" w:eastAsiaTheme="minorEastAsia" w:hAnsiTheme="minorHAnsi" w:cstheme="minorBidi"/>
          <w:szCs w:val="22"/>
        </w:rPr>
      </w:pPr>
      <w:r>
        <w:t>124A</w:t>
      </w:r>
      <w:r>
        <w:rPr>
          <w:snapToGrid w:val="0"/>
        </w:rPr>
        <w:t>.</w:t>
      </w:r>
      <w:r>
        <w:rPr>
          <w:snapToGrid w:val="0"/>
        </w:rPr>
        <w:tab/>
        <w:t>Account established; administration of account</w:t>
      </w:r>
      <w:r>
        <w:tab/>
      </w:r>
      <w:r>
        <w:fldChar w:fldCharType="begin"/>
      </w:r>
      <w:r>
        <w:instrText xml:space="preserve"> PAGEREF _Toc468701042 \h </w:instrText>
      </w:r>
      <w:r>
        <w:fldChar w:fldCharType="separate"/>
      </w:r>
      <w:r>
        <w:t>90</w:t>
      </w:r>
      <w:r>
        <w:fldChar w:fldCharType="end"/>
      </w:r>
    </w:p>
    <w:p>
      <w:pPr>
        <w:pStyle w:val="TOC8"/>
        <w:rPr>
          <w:rFonts w:asciiTheme="minorHAnsi" w:eastAsiaTheme="minorEastAsia" w:hAnsiTheme="minorHAnsi" w:cstheme="minorBidi"/>
          <w:szCs w:val="22"/>
        </w:rPr>
      </w:pPr>
      <w:r>
        <w:t>124B</w:t>
      </w:r>
      <w:r>
        <w:rPr>
          <w:snapToGrid w:val="0"/>
        </w:rPr>
        <w:t>.</w:t>
      </w:r>
      <w:r>
        <w:rPr>
          <w:snapToGrid w:val="0"/>
        </w:rPr>
        <w:tab/>
        <w:t>Moneys to be credited to account</w:t>
      </w:r>
      <w:r>
        <w:tab/>
      </w:r>
      <w:r>
        <w:fldChar w:fldCharType="begin"/>
      </w:r>
      <w:r>
        <w:instrText xml:space="preserve"> PAGEREF _Toc468701043 \h </w:instrText>
      </w:r>
      <w:r>
        <w:fldChar w:fldCharType="separate"/>
      </w:r>
      <w:r>
        <w:t>90</w:t>
      </w:r>
      <w:r>
        <w:fldChar w:fldCharType="end"/>
      </w:r>
    </w:p>
    <w:p>
      <w:pPr>
        <w:pStyle w:val="TOC8"/>
        <w:rPr>
          <w:rFonts w:asciiTheme="minorHAnsi" w:eastAsiaTheme="minorEastAsia" w:hAnsiTheme="minorHAnsi" w:cstheme="minorBidi"/>
          <w:szCs w:val="22"/>
        </w:rPr>
      </w:pPr>
      <w:r>
        <w:t>124C</w:t>
      </w:r>
      <w:r>
        <w:rPr>
          <w:snapToGrid w:val="0"/>
        </w:rPr>
        <w:t>.</w:t>
      </w:r>
      <w:r>
        <w:rPr>
          <w:snapToGrid w:val="0"/>
        </w:rPr>
        <w:tab/>
        <w:t>Expenditure from account</w:t>
      </w:r>
      <w:r>
        <w:tab/>
      </w:r>
      <w:r>
        <w:fldChar w:fldCharType="begin"/>
      </w:r>
      <w:r>
        <w:instrText xml:space="preserve"> PAGEREF _Toc468701044 \h </w:instrText>
      </w:r>
      <w:r>
        <w:fldChar w:fldCharType="separate"/>
      </w:r>
      <w:r>
        <w:t>91</w:t>
      </w:r>
      <w:r>
        <w:fldChar w:fldCharType="end"/>
      </w:r>
    </w:p>
    <w:p>
      <w:pPr>
        <w:pStyle w:val="TOC8"/>
        <w:rPr>
          <w:rFonts w:asciiTheme="minorHAnsi" w:eastAsiaTheme="minorEastAsia" w:hAnsiTheme="minorHAnsi" w:cstheme="minorBidi"/>
          <w:szCs w:val="22"/>
        </w:rPr>
      </w:pPr>
      <w:r>
        <w:t>124D</w:t>
      </w:r>
      <w:r>
        <w:rPr>
          <w:snapToGrid w:val="0"/>
        </w:rPr>
        <w:t>.</w:t>
      </w:r>
      <w:r>
        <w:rPr>
          <w:snapToGrid w:val="0"/>
        </w:rPr>
        <w:tab/>
        <w:t>Investment of moneys in account</w:t>
      </w:r>
      <w:r>
        <w:tab/>
      </w:r>
      <w:r>
        <w:fldChar w:fldCharType="begin"/>
      </w:r>
      <w:r>
        <w:instrText xml:space="preserve"> PAGEREF _Toc468701045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IX — Real Estate and Business Agents Interest Account</w:t>
      </w:r>
    </w:p>
    <w:p>
      <w:pPr>
        <w:pStyle w:val="TOC8"/>
        <w:rPr>
          <w:rFonts w:asciiTheme="minorHAnsi" w:eastAsiaTheme="minorEastAsia" w:hAnsiTheme="minorHAnsi" w:cstheme="minorBidi"/>
          <w:szCs w:val="22"/>
        </w:rPr>
      </w:pPr>
      <w:r>
        <w:t>125</w:t>
      </w:r>
      <w:r>
        <w:rPr>
          <w:snapToGrid w:val="0"/>
        </w:rPr>
        <w:t>.</w:t>
      </w:r>
      <w:r>
        <w:rPr>
          <w:snapToGrid w:val="0"/>
        </w:rPr>
        <w:tab/>
      </w:r>
      <w:r>
        <w:t>Account established; administration of account</w:t>
      </w:r>
      <w:r>
        <w:tab/>
      </w:r>
      <w:r>
        <w:fldChar w:fldCharType="begin"/>
      </w:r>
      <w:r>
        <w:instrText xml:space="preserve"> PAGEREF _Toc468701047 \h </w:instrText>
      </w:r>
      <w:r>
        <w:fldChar w:fldCharType="separate"/>
      </w:r>
      <w:r>
        <w:t>93</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Moneys to be credited to account</w:t>
      </w:r>
      <w:r>
        <w:tab/>
      </w:r>
      <w:r>
        <w:fldChar w:fldCharType="begin"/>
      </w:r>
      <w:r>
        <w:instrText xml:space="preserve"> PAGEREF _Toc468701048 \h </w:instrText>
      </w:r>
      <w:r>
        <w:fldChar w:fldCharType="separate"/>
      </w:r>
      <w:r>
        <w:t>93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E</w:t>
      </w:r>
      <w:r>
        <w:t>xpenditure from account</w:t>
      </w:r>
      <w:r>
        <w:tab/>
      </w:r>
      <w:r>
        <w:fldChar w:fldCharType="begin"/>
      </w:r>
      <w:r>
        <w:instrText xml:space="preserve"> PAGEREF _Toc468701049 \h </w:instrText>
      </w:r>
      <w:r>
        <w:fldChar w:fldCharType="separate"/>
      </w:r>
      <w:r>
        <w:t>94</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I</w:t>
      </w:r>
      <w:r>
        <w:t>nvestment of moneys in account</w:t>
      </w:r>
      <w:r>
        <w:tab/>
      </w:r>
      <w:r>
        <w:fldChar w:fldCharType="begin"/>
      </w:r>
      <w:r>
        <w:instrText xml:space="preserve"> PAGEREF _Toc468701050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IXA — Assistance to home buyers</w:t>
      </w:r>
    </w:p>
    <w:p>
      <w:pPr>
        <w:pStyle w:val="TOC8"/>
        <w:rPr>
          <w:rFonts w:asciiTheme="minorHAnsi" w:eastAsiaTheme="minorEastAsia" w:hAnsiTheme="minorHAnsi" w:cstheme="minorBidi"/>
          <w:szCs w:val="22"/>
        </w:rPr>
      </w:pPr>
      <w:r>
        <w:t>131A</w:t>
      </w:r>
      <w:r>
        <w:rPr>
          <w:snapToGrid w:val="0"/>
        </w:rPr>
        <w:t>.</w:t>
      </w:r>
      <w:r>
        <w:rPr>
          <w:snapToGrid w:val="0"/>
        </w:rPr>
        <w:tab/>
        <w:t>Terms used</w:t>
      </w:r>
      <w:r>
        <w:tab/>
      </w:r>
      <w:r>
        <w:fldChar w:fldCharType="begin"/>
      </w:r>
      <w:r>
        <w:instrText xml:space="preserve"> PAGEREF _Toc468701052 \h </w:instrText>
      </w:r>
      <w:r>
        <w:fldChar w:fldCharType="separate"/>
      </w:r>
      <w:r>
        <w:t>95</w:t>
      </w:r>
      <w:r>
        <w:fldChar w:fldCharType="end"/>
      </w:r>
    </w:p>
    <w:p>
      <w:pPr>
        <w:pStyle w:val="TOC8"/>
        <w:rPr>
          <w:rFonts w:asciiTheme="minorHAnsi" w:eastAsiaTheme="minorEastAsia" w:hAnsiTheme="minorHAnsi" w:cstheme="minorBidi"/>
          <w:szCs w:val="22"/>
        </w:rPr>
      </w:pPr>
      <w:r>
        <w:t>131B.</w:t>
      </w:r>
      <w:r>
        <w:tab/>
        <w:t>Home Buyers Assistance Account established</w:t>
      </w:r>
      <w:r>
        <w:tab/>
      </w:r>
      <w:r>
        <w:fldChar w:fldCharType="begin"/>
      </w:r>
      <w:r>
        <w:instrText xml:space="preserve"> PAGEREF _Toc468701053 \h </w:instrText>
      </w:r>
      <w:r>
        <w:fldChar w:fldCharType="separate"/>
      </w:r>
      <w:r>
        <w:t>96</w:t>
      </w:r>
      <w:r>
        <w:fldChar w:fldCharType="end"/>
      </w:r>
    </w:p>
    <w:p>
      <w:pPr>
        <w:pStyle w:val="TOC8"/>
        <w:rPr>
          <w:rFonts w:asciiTheme="minorHAnsi" w:eastAsiaTheme="minorEastAsia" w:hAnsiTheme="minorHAnsi" w:cstheme="minorBidi"/>
          <w:szCs w:val="22"/>
        </w:rPr>
      </w:pPr>
      <w:r>
        <w:t>131C</w:t>
      </w:r>
      <w:r>
        <w:rPr>
          <w:snapToGrid w:val="0"/>
        </w:rPr>
        <w:t>.</w:t>
      </w:r>
      <w:r>
        <w:rPr>
          <w:snapToGrid w:val="0"/>
        </w:rPr>
        <w:tab/>
        <w:t>Investment of moneys in account</w:t>
      </w:r>
      <w:r>
        <w:tab/>
      </w:r>
      <w:r>
        <w:fldChar w:fldCharType="begin"/>
      </w:r>
      <w:r>
        <w:instrText xml:space="preserve"> PAGEREF _Toc468701054 \h </w:instrText>
      </w:r>
      <w:r>
        <w:fldChar w:fldCharType="separate"/>
      </w:r>
      <w:r>
        <w:t>96</w:t>
      </w:r>
      <w:r>
        <w:fldChar w:fldCharType="end"/>
      </w:r>
    </w:p>
    <w:p>
      <w:pPr>
        <w:pStyle w:val="TOC8"/>
        <w:rPr>
          <w:rFonts w:asciiTheme="minorHAnsi" w:eastAsiaTheme="minorEastAsia" w:hAnsiTheme="minorHAnsi" w:cstheme="minorBidi"/>
          <w:szCs w:val="22"/>
        </w:rPr>
      </w:pPr>
      <w:r>
        <w:t>131D</w:t>
      </w:r>
      <w:r>
        <w:rPr>
          <w:snapToGrid w:val="0"/>
        </w:rPr>
        <w:t>.</w:t>
      </w:r>
      <w:r>
        <w:rPr>
          <w:snapToGrid w:val="0"/>
        </w:rPr>
        <w:tab/>
        <w:t>Moneys to be credited to account</w:t>
      </w:r>
      <w:r>
        <w:tab/>
      </w:r>
      <w:r>
        <w:fldChar w:fldCharType="begin"/>
      </w:r>
      <w:r>
        <w:instrText xml:space="preserve"> PAGEREF _Toc468701055 \h </w:instrText>
      </w:r>
      <w:r>
        <w:fldChar w:fldCharType="separate"/>
      </w:r>
      <w:r>
        <w:t>96</w:t>
      </w:r>
      <w:r>
        <w:fldChar w:fldCharType="end"/>
      </w:r>
    </w:p>
    <w:p>
      <w:pPr>
        <w:pStyle w:val="TOC8"/>
        <w:rPr>
          <w:rFonts w:asciiTheme="minorHAnsi" w:eastAsiaTheme="minorEastAsia" w:hAnsiTheme="minorHAnsi" w:cstheme="minorBidi"/>
          <w:szCs w:val="22"/>
        </w:rPr>
      </w:pPr>
      <w:r>
        <w:t>131E</w:t>
      </w:r>
      <w:r>
        <w:rPr>
          <w:snapToGrid w:val="0"/>
        </w:rPr>
        <w:t>.</w:t>
      </w:r>
      <w:r>
        <w:rPr>
          <w:snapToGrid w:val="0"/>
        </w:rPr>
        <w:tab/>
        <w:t>Expenditure from account</w:t>
      </w:r>
      <w:r>
        <w:tab/>
      </w:r>
      <w:r>
        <w:fldChar w:fldCharType="begin"/>
      </w:r>
      <w:r>
        <w:instrText xml:space="preserve"> PAGEREF _Toc468701056 \h </w:instrText>
      </w:r>
      <w:r>
        <w:fldChar w:fldCharType="separate"/>
      </w:r>
      <w:r>
        <w:t>97</w:t>
      </w:r>
      <w:r>
        <w:fldChar w:fldCharType="end"/>
      </w:r>
    </w:p>
    <w:p>
      <w:pPr>
        <w:pStyle w:val="TOC8"/>
        <w:rPr>
          <w:rFonts w:asciiTheme="minorHAnsi" w:eastAsiaTheme="minorEastAsia" w:hAnsiTheme="minorHAnsi" w:cstheme="minorBidi"/>
          <w:szCs w:val="22"/>
        </w:rPr>
      </w:pPr>
      <w:r>
        <w:t>131G</w:t>
      </w:r>
      <w:r>
        <w:rPr>
          <w:snapToGrid w:val="0"/>
        </w:rPr>
        <w:t>.</w:t>
      </w:r>
      <w:r>
        <w:rPr>
          <w:snapToGrid w:val="0"/>
        </w:rPr>
        <w:tab/>
      </w:r>
      <w:r>
        <w:t>Administration of account</w:t>
      </w:r>
      <w:r>
        <w:tab/>
      </w:r>
      <w:r>
        <w:fldChar w:fldCharType="begin"/>
      </w:r>
      <w:r>
        <w:instrText xml:space="preserve"> PAGEREF _Toc468701057 \h </w:instrText>
      </w:r>
      <w:r>
        <w:fldChar w:fldCharType="separate"/>
      </w:r>
      <w:r>
        <w:t>98</w:t>
      </w:r>
      <w:r>
        <w:fldChar w:fldCharType="end"/>
      </w:r>
    </w:p>
    <w:p>
      <w:pPr>
        <w:pStyle w:val="TOC8"/>
        <w:rPr>
          <w:rFonts w:asciiTheme="minorHAnsi" w:eastAsiaTheme="minorEastAsia" w:hAnsiTheme="minorHAnsi" w:cstheme="minorBidi"/>
          <w:szCs w:val="22"/>
        </w:rPr>
      </w:pPr>
      <w:r>
        <w:t>131L</w:t>
      </w:r>
      <w:r>
        <w:rPr>
          <w:snapToGrid w:val="0"/>
        </w:rPr>
        <w:t>.</w:t>
      </w:r>
      <w:r>
        <w:rPr>
          <w:snapToGrid w:val="0"/>
        </w:rPr>
        <w:tab/>
        <w:t>Applying for assistance for buyers of first homes</w:t>
      </w:r>
      <w:r>
        <w:tab/>
      </w:r>
      <w:r>
        <w:fldChar w:fldCharType="begin"/>
      </w:r>
      <w:r>
        <w:instrText xml:space="preserve"> PAGEREF _Toc468701058 \h </w:instrText>
      </w:r>
      <w:r>
        <w:fldChar w:fldCharType="separate"/>
      </w:r>
      <w:r>
        <w:t>98</w:t>
      </w:r>
      <w:r>
        <w:fldChar w:fldCharType="end"/>
      </w:r>
    </w:p>
    <w:p>
      <w:pPr>
        <w:pStyle w:val="TOC8"/>
        <w:rPr>
          <w:rFonts w:asciiTheme="minorHAnsi" w:eastAsiaTheme="minorEastAsia" w:hAnsiTheme="minorHAnsi" w:cstheme="minorBidi"/>
          <w:szCs w:val="22"/>
        </w:rPr>
      </w:pPr>
      <w:r>
        <w:t>131M</w:t>
      </w:r>
      <w:r>
        <w:rPr>
          <w:snapToGrid w:val="0"/>
        </w:rPr>
        <w:t>.</w:t>
      </w:r>
      <w:r>
        <w:rPr>
          <w:snapToGrid w:val="0"/>
        </w:rPr>
        <w:tab/>
      </w:r>
      <w:r>
        <w:t>Deciding applications for assistance</w:t>
      </w:r>
      <w:r>
        <w:tab/>
      </w:r>
      <w:r>
        <w:fldChar w:fldCharType="begin"/>
      </w:r>
      <w:r>
        <w:instrText xml:space="preserve"> PAGEREF _Toc468701059 \h </w:instrText>
      </w:r>
      <w:r>
        <w:fldChar w:fldCharType="separate"/>
      </w:r>
      <w:r>
        <w:t>99</w:t>
      </w:r>
      <w:r>
        <w:fldChar w:fldCharType="end"/>
      </w:r>
    </w:p>
    <w:p>
      <w:pPr>
        <w:pStyle w:val="TOC8"/>
        <w:rPr>
          <w:rFonts w:asciiTheme="minorHAnsi" w:eastAsiaTheme="minorEastAsia" w:hAnsiTheme="minorHAnsi" w:cstheme="minorBidi"/>
          <w:szCs w:val="22"/>
        </w:rPr>
      </w:pPr>
      <w:r>
        <w:t>131N</w:t>
      </w:r>
      <w:r>
        <w:rPr>
          <w:snapToGrid w:val="0"/>
        </w:rPr>
        <w:t>.</w:t>
      </w:r>
      <w:r>
        <w:rPr>
          <w:snapToGrid w:val="0"/>
        </w:rPr>
        <w:tab/>
        <w:t>Assistance, payment and application of</w:t>
      </w:r>
      <w:r>
        <w:tab/>
      </w:r>
      <w:r>
        <w:fldChar w:fldCharType="begin"/>
      </w:r>
      <w:r>
        <w:instrText xml:space="preserve"> PAGEREF _Toc468701060 \h </w:instrText>
      </w:r>
      <w:r>
        <w:fldChar w:fldCharType="separate"/>
      </w:r>
      <w:r>
        <w:t>100</w:t>
      </w:r>
      <w:r>
        <w:fldChar w:fldCharType="end"/>
      </w:r>
    </w:p>
    <w:p>
      <w:pPr>
        <w:pStyle w:val="TOC8"/>
        <w:rPr>
          <w:rFonts w:asciiTheme="minorHAnsi" w:eastAsiaTheme="minorEastAsia" w:hAnsiTheme="minorHAnsi" w:cstheme="minorBidi"/>
          <w:szCs w:val="22"/>
        </w:rPr>
      </w:pPr>
      <w:r>
        <w:t>131O</w:t>
      </w:r>
      <w:r>
        <w:rPr>
          <w:snapToGrid w:val="0"/>
        </w:rPr>
        <w:t>.</w:t>
      </w:r>
      <w:r>
        <w:rPr>
          <w:snapToGrid w:val="0"/>
        </w:rPr>
        <w:tab/>
      </w:r>
      <w:r>
        <w:t>Criteria for granting assistance, formulating</w:t>
      </w:r>
      <w:r>
        <w:tab/>
      </w:r>
      <w:r>
        <w:fldChar w:fldCharType="begin"/>
      </w:r>
      <w:r>
        <w:instrText xml:space="preserve"> PAGEREF _Toc468701061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w:t>
      </w:r>
    </w:p>
    <w:p>
      <w:pPr>
        <w:pStyle w:val="TOC8"/>
        <w:rPr>
          <w:rFonts w:asciiTheme="minorHAnsi" w:eastAsiaTheme="minorEastAsia" w:hAnsiTheme="minorHAnsi" w:cstheme="minorBidi"/>
          <w:szCs w:val="22"/>
        </w:rPr>
      </w:pPr>
      <w:r>
        <w:t>132</w:t>
      </w:r>
      <w:r>
        <w:rPr>
          <w:snapToGrid w:val="0"/>
        </w:rPr>
        <w:t>.</w:t>
      </w:r>
      <w:r>
        <w:rPr>
          <w:snapToGrid w:val="0"/>
        </w:rPr>
        <w:tab/>
        <w:t>Unlicensed assistants to be supervised etc.</w:t>
      </w:r>
      <w:r>
        <w:tab/>
      </w:r>
      <w:r>
        <w:fldChar w:fldCharType="begin"/>
      </w:r>
      <w:r>
        <w:instrText xml:space="preserve"> PAGEREF _Toc468701063 \h </w:instrText>
      </w:r>
      <w:r>
        <w:fldChar w:fldCharType="separate"/>
      </w:r>
      <w:r>
        <w:t>102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r>
      <w:r>
        <w:t>Registers of licensees etc., Commissioner to keep etc.</w:t>
      </w:r>
      <w:r>
        <w:tab/>
      </w:r>
      <w:r>
        <w:fldChar w:fldCharType="begin"/>
      </w:r>
      <w:r>
        <w:instrText xml:space="preserve"> PAGEREF _Toc468701064 \h </w:instrText>
      </w:r>
      <w:r>
        <w:fldChar w:fldCharType="separate"/>
      </w:r>
      <w:r>
        <w:t>103</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Commissioner’s certificate</w:t>
      </w:r>
      <w:r>
        <w:tab/>
      </w:r>
      <w:r>
        <w:fldChar w:fldCharType="begin"/>
      </w:r>
      <w:r>
        <w:instrText xml:space="preserve"> PAGEREF _Toc468701065 \h </w:instrText>
      </w:r>
      <w:r>
        <w:fldChar w:fldCharType="separate"/>
      </w:r>
      <w:r>
        <w:t>103</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r>
      <w:r>
        <w:t>Annual report by department</w:t>
      </w:r>
      <w:r>
        <w:tab/>
      </w:r>
      <w:r>
        <w:fldChar w:fldCharType="begin"/>
      </w:r>
      <w:r>
        <w:instrText xml:space="preserve"> PAGEREF _Toc468701066 \h </w:instrText>
      </w:r>
      <w:r>
        <w:fldChar w:fldCharType="separate"/>
      </w:r>
      <w:r>
        <w:t>104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r>
      <w:r>
        <w:t>Commissioner to report to Minister on Act’s effectiveness as to protecting against defalcations</w:t>
      </w:r>
      <w:r>
        <w:tab/>
      </w:r>
      <w:r>
        <w:fldChar w:fldCharType="begin"/>
      </w:r>
      <w:r>
        <w:instrText xml:space="preserve"> PAGEREF _Toc468701067 \h </w:instrText>
      </w:r>
      <w:r>
        <w:fldChar w:fldCharType="separate"/>
      </w:r>
      <w:r>
        <w:t>105</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Refunds of fees, Commissioner’s powers as to</w:t>
      </w:r>
      <w:r>
        <w:tab/>
      </w:r>
      <w:r>
        <w:fldChar w:fldCharType="begin"/>
      </w:r>
      <w:r>
        <w:instrText xml:space="preserve"> PAGEREF _Toc468701068 \h </w:instrText>
      </w:r>
      <w:r>
        <w:fldChar w:fldCharType="separate"/>
      </w:r>
      <w:r>
        <w:t>105</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_Toc468701069 \h </w:instrText>
      </w:r>
      <w:r>
        <w:fldChar w:fldCharType="separate"/>
      </w:r>
      <w:r>
        <w:t>105</w:t>
      </w:r>
      <w:r>
        <w:fldChar w:fldCharType="end"/>
      </w:r>
    </w:p>
    <w:p>
      <w:pPr>
        <w:pStyle w:val="TOC8"/>
        <w:rPr>
          <w:rFonts w:asciiTheme="minorHAnsi" w:eastAsiaTheme="minorEastAsia" w:hAnsiTheme="minorHAnsi" w:cstheme="minorBidi"/>
          <w:szCs w:val="22"/>
        </w:rPr>
      </w:pPr>
      <w:r>
        <w:t>138.</w:t>
      </w:r>
      <w:r>
        <w:tab/>
        <w:t>Confidentiality of information officially obtained</w:t>
      </w:r>
      <w:r>
        <w:tab/>
      </w:r>
      <w:r>
        <w:fldChar w:fldCharType="begin"/>
      </w:r>
      <w:r>
        <w:instrText xml:space="preserve"> PAGEREF _Toc468701070 \h </w:instrText>
      </w:r>
      <w:r>
        <w:fldChar w:fldCharType="separate"/>
      </w:r>
      <w:r>
        <w:t>105</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Directors of body corporate, liability of</w:t>
      </w:r>
      <w:r>
        <w:tab/>
      </w:r>
      <w:r>
        <w:fldChar w:fldCharType="begin"/>
      </w:r>
      <w:r>
        <w:instrText xml:space="preserve"> PAGEREF _Toc468701071 \h </w:instrText>
      </w:r>
      <w:r>
        <w:fldChar w:fldCharType="separate"/>
      </w:r>
      <w:r>
        <w:t>106</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Other rights and remedies not affected by this Act</w:t>
      </w:r>
      <w:r>
        <w:tab/>
      </w:r>
      <w:r>
        <w:fldChar w:fldCharType="begin"/>
      </w:r>
      <w:r>
        <w:instrText xml:space="preserve"> PAGEREF _Toc468701072 \h </w:instrText>
      </w:r>
      <w:r>
        <w:fldChar w:fldCharType="separate"/>
      </w:r>
      <w:r>
        <w:t>106</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Rights conferred by Act cannot be waived</w:t>
      </w:r>
      <w:r>
        <w:tab/>
      </w:r>
      <w:r>
        <w:fldChar w:fldCharType="begin"/>
      </w:r>
      <w:r>
        <w:instrText xml:space="preserve"> PAGEREF _Toc468701073 \h </w:instrText>
      </w:r>
      <w:r>
        <w:fldChar w:fldCharType="separate"/>
      </w:r>
      <w:r>
        <w:t>106</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General penalty for offences</w:t>
      </w:r>
      <w:r>
        <w:tab/>
      </w:r>
      <w:r>
        <w:fldChar w:fldCharType="begin"/>
      </w:r>
      <w:r>
        <w:instrText xml:space="preserve"> PAGEREF _Toc468701074 \h </w:instrText>
      </w:r>
      <w:r>
        <w:fldChar w:fldCharType="separate"/>
      </w:r>
      <w:r>
        <w:t>107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Proceedings for offences</w:t>
      </w:r>
      <w:r>
        <w:tab/>
      </w:r>
      <w:r>
        <w:fldChar w:fldCharType="begin"/>
      </w:r>
      <w:r>
        <w:instrText xml:space="preserve"> PAGEREF _Toc468701075 \h </w:instrText>
      </w:r>
      <w:r>
        <w:fldChar w:fldCharType="separate"/>
      </w:r>
      <w:r>
        <w:t>107</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r>
      <w:r>
        <w:t>Forms</w:t>
      </w:r>
      <w:r>
        <w:tab/>
      </w:r>
      <w:r>
        <w:fldChar w:fldCharType="begin"/>
      </w:r>
      <w:r>
        <w:instrText xml:space="preserve"> PAGEREF _Toc468701076 \h </w:instrText>
      </w:r>
      <w:r>
        <w:fldChar w:fldCharType="separate"/>
      </w:r>
      <w:r>
        <w:t>107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Regulations</w:t>
      </w:r>
      <w:r>
        <w:tab/>
      </w:r>
      <w:r>
        <w:fldChar w:fldCharType="begin"/>
      </w:r>
      <w:r>
        <w:instrText xml:space="preserve"> PAGEREF _Toc468701077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XI — Savings and transitional</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_Toc468701079 \h </w:instrText>
      </w:r>
      <w:r>
        <w:fldChar w:fldCharType="separate"/>
      </w:r>
      <w:r>
        <w:t>110</w:t>
      </w:r>
      <w:r>
        <w:fldChar w:fldCharType="end"/>
      </w:r>
    </w:p>
    <w:p>
      <w:pPr>
        <w:pStyle w:val="TOC8"/>
        <w:rPr>
          <w:rFonts w:asciiTheme="minorHAnsi" w:eastAsiaTheme="minorEastAsia" w:hAnsiTheme="minorHAnsi" w:cstheme="minorBidi"/>
          <w:szCs w:val="22"/>
        </w:rPr>
      </w:pPr>
      <w:r>
        <w:t>149.</w:t>
      </w:r>
      <w:r>
        <w:tab/>
        <w:t>Former Board abolished</w:t>
      </w:r>
      <w:r>
        <w:tab/>
      </w:r>
      <w:r>
        <w:fldChar w:fldCharType="begin"/>
      </w:r>
      <w:r>
        <w:instrText xml:space="preserve"> PAGEREF _Toc468701080 \h </w:instrText>
      </w:r>
      <w:r>
        <w:fldChar w:fldCharType="separate"/>
      </w:r>
      <w:r>
        <w:t>110</w:t>
      </w:r>
      <w:r>
        <w:fldChar w:fldCharType="end"/>
      </w:r>
    </w:p>
    <w:p>
      <w:pPr>
        <w:pStyle w:val="TOC8"/>
        <w:rPr>
          <w:rFonts w:asciiTheme="minorHAnsi" w:eastAsiaTheme="minorEastAsia" w:hAnsiTheme="minorHAnsi" w:cstheme="minorBidi"/>
          <w:szCs w:val="22"/>
        </w:rPr>
      </w:pPr>
      <w:r>
        <w:t>150.</w:t>
      </w:r>
      <w:r>
        <w:tab/>
        <w:t>References to former Board</w:t>
      </w:r>
      <w:r>
        <w:tab/>
      </w:r>
      <w:r>
        <w:fldChar w:fldCharType="begin"/>
      </w:r>
      <w:r>
        <w:instrText xml:space="preserve"> PAGEREF _Toc468701081 \h </w:instrText>
      </w:r>
      <w:r>
        <w:fldChar w:fldCharType="separate"/>
      </w:r>
      <w:r>
        <w:t>110</w:t>
      </w:r>
      <w:r>
        <w:fldChar w:fldCharType="end"/>
      </w:r>
    </w:p>
    <w:p>
      <w:pPr>
        <w:pStyle w:val="TOC8"/>
        <w:rPr>
          <w:rFonts w:asciiTheme="minorHAnsi" w:eastAsiaTheme="minorEastAsia" w:hAnsiTheme="minorHAnsi" w:cstheme="minorBidi"/>
          <w:szCs w:val="22"/>
        </w:rPr>
      </w:pPr>
      <w:r>
        <w:t>151.</w:t>
      </w:r>
      <w:r>
        <w:tab/>
        <w:t>Immunity continues</w:t>
      </w:r>
      <w:r>
        <w:tab/>
      </w:r>
      <w:r>
        <w:fldChar w:fldCharType="begin"/>
      </w:r>
      <w:r>
        <w:instrText xml:space="preserve"> PAGEREF _Toc468701082 \h </w:instrText>
      </w:r>
      <w:r>
        <w:fldChar w:fldCharType="separate"/>
      </w:r>
      <w:r>
        <w:t>111</w:t>
      </w:r>
      <w:r>
        <w:fldChar w:fldCharType="end"/>
      </w:r>
    </w:p>
    <w:p>
      <w:pPr>
        <w:pStyle w:val="TOC8"/>
        <w:rPr>
          <w:rFonts w:asciiTheme="minorHAnsi" w:eastAsiaTheme="minorEastAsia" w:hAnsiTheme="minorHAnsi" w:cstheme="minorBidi"/>
          <w:szCs w:val="22"/>
        </w:rPr>
      </w:pPr>
      <w:r>
        <w:t>152.</w:t>
      </w:r>
      <w:r>
        <w:tab/>
        <w:t>Notices by former Board</w:t>
      </w:r>
      <w:r>
        <w:tab/>
      </w:r>
      <w:r>
        <w:fldChar w:fldCharType="begin"/>
      </w:r>
      <w:r>
        <w:instrText xml:space="preserve"> PAGEREF _Toc468701083 \h </w:instrText>
      </w:r>
      <w:r>
        <w:fldChar w:fldCharType="separate"/>
      </w:r>
      <w:r>
        <w:t>111</w:t>
      </w:r>
      <w:r>
        <w:fldChar w:fldCharType="end"/>
      </w:r>
    </w:p>
    <w:p>
      <w:pPr>
        <w:pStyle w:val="TOC8"/>
        <w:rPr>
          <w:rFonts w:asciiTheme="minorHAnsi" w:eastAsiaTheme="minorEastAsia" w:hAnsiTheme="minorHAnsi" w:cstheme="minorBidi"/>
          <w:szCs w:val="22"/>
        </w:rPr>
      </w:pPr>
      <w:r>
        <w:t>153.</w:t>
      </w:r>
      <w:r>
        <w:tab/>
        <w:t>References to former Registrar</w:t>
      </w:r>
      <w:r>
        <w:tab/>
      </w:r>
      <w:r>
        <w:fldChar w:fldCharType="begin"/>
      </w:r>
      <w:r>
        <w:instrText xml:space="preserve"> PAGEREF _Toc468701084 \h </w:instrText>
      </w:r>
      <w:r>
        <w:fldChar w:fldCharType="separate"/>
      </w:r>
      <w:r>
        <w:t>111</w:t>
      </w:r>
      <w:r>
        <w:fldChar w:fldCharType="end"/>
      </w:r>
    </w:p>
    <w:p>
      <w:pPr>
        <w:pStyle w:val="TOC8"/>
        <w:rPr>
          <w:rFonts w:asciiTheme="minorHAnsi" w:eastAsiaTheme="minorEastAsia" w:hAnsiTheme="minorHAnsi" w:cstheme="minorBidi"/>
          <w:szCs w:val="22"/>
        </w:rPr>
      </w:pPr>
      <w:r>
        <w:t>154.</w:t>
      </w:r>
      <w:r>
        <w:tab/>
        <w:t>Unfinished investigations by former Board</w:t>
      </w:r>
      <w:r>
        <w:tab/>
      </w:r>
      <w:r>
        <w:fldChar w:fldCharType="begin"/>
      </w:r>
      <w:r>
        <w:instrText xml:space="preserve"> PAGEREF _Toc468701085 \h </w:instrText>
      </w:r>
      <w:r>
        <w:fldChar w:fldCharType="separate"/>
      </w:r>
      <w:r>
        <w:t>112</w:t>
      </w:r>
      <w:r>
        <w:fldChar w:fldCharType="end"/>
      </w:r>
    </w:p>
    <w:p>
      <w:pPr>
        <w:pStyle w:val="TOC8"/>
        <w:rPr>
          <w:rFonts w:asciiTheme="minorHAnsi" w:eastAsiaTheme="minorEastAsia" w:hAnsiTheme="minorHAnsi" w:cstheme="minorBidi"/>
          <w:szCs w:val="22"/>
        </w:rPr>
      </w:pPr>
      <w:r>
        <w:t>155.</w:t>
      </w:r>
      <w:r>
        <w:tab/>
        <w:t>Unfinished proceedings by former Board</w:t>
      </w:r>
      <w:r>
        <w:tab/>
      </w:r>
      <w:r>
        <w:fldChar w:fldCharType="begin"/>
      </w:r>
      <w:r>
        <w:instrText xml:space="preserve"> PAGEREF _Toc468701086 \h </w:instrText>
      </w:r>
      <w:r>
        <w:fldChar w:fldCharType="separate"/>
      </w:r>
      <w:r>
        <w:t>112</w:t>
      </w:r>
      <w:r>
        <w:fldChar w:fldCharType="end"/>
      </w:r>
    </w:p>
    <w:p>
      <w:pPr>
        <w:pStyle w:val="TOC8"/>
        <w:rPr>
          <w:rFonts w:asciiTheme="minorHAnsi" w:eastAsiaTheme="minorEastAsia" w:hAnsiTheme="minorHAnsi" w:cstheme="minorBidi"/>
          <w:szCs w:val="22"/>
        </w:rPr>
      </w:pPr>
      <w:r>
        <w:t>156.</w:t>
      </w:r>
      <w:r>
        <w:tab/>
        <w:t>Winding</w:t>
      </w:r>
      <w:r>
        <w:noBreakHyphen/>
        <w:t>up former Board</w:t>
      </w:r>
      <w:r>
        <w:tab/>
      </w:r>
      <w:r>
        <w:fldChar w:fldCharType="begin"/>
      </w:r>
      <w:r>
        <w:instrText xml:space="preserve"> PAGEREF _Toc468701087 \h </w:instrText>
      </w:r>
      <w:r>
        <w:fldChar w:fldCharType="separate"/>
      </w:r>
      <w:r>
        <w:t>112</w:t>
      </w:r>
      <w:r>
        <w:fldChar w:fldCharType="end"/>
      </w:r>
    </w:p>
    <w:p>
      <w:pPr>
        <w:pStyle w:val="TOC8"/>
        <w:rPr>
          <w:rFonts w:asciiTheme="minorHAnsi" w:eastAsiaTheme="minorEastAsia" w:hAnsiTheme="minorHAnsi" w:cstheme="minorBidi"/>
          <w:szCs w:val="22"/>
        </w:rPr>
      </w:pPr>
      <w:r>
        <w:t>157.</w:t>
      </w:r>
      <w:r>
        <w:tab/>
        <w:t>Final report by former Board</w:t>
      </w:r>
      <w:r>
        <w:tab/>
      </w:r>
      <w:r>
        <w:fldChar w:fldCharType="begin"/>
      </w:r>
      <w:r>
        <w:instrText xml:space="preserve"> PAGEREF _Toc468701088 \h </w:instrText>
      </w:r>
      <w:r>
        <w:fldChar w:fldCharType="separate"/>
      </w:r>
      <w:r>
        <w:t>114</w:t>
      </w:r>
      <w:r>
        <w:fldChar w:fldCharType="end"/>
      </w:r>
    </w:p>
    <w:p>
      <w:pPr>
        <w:pStyle w:val="TOC8"/>
        <w:rPr>
          <w:rFonts w:asciiTheme="minorHAnsi" w:eastAsiaTheme="minorEastAsia" w:hAnsiTheme="minorHAnsi" w:cstheme="minorBidi"/>
          <w:szCs w:val="22"/>
        </w:rPr>
      </w:pPr>
      <w:r>
        <w:t>158.</w:t>
      </w:r>
      <w:r>
        <w:tab/>
        <w:t>Staff of former Board</w:t>
      </w:r>
      <w:r>
        <w:tab/>
      </w:r>
      <w:r>
        <w:fldChar w:fldCharType="begin"/>
      </w:r>
      <w:r>
        <w:instrText xml:space="preserve"> PAGEREF _Toc468701089 \h </w:instrText>
      </w:r>
      <w:r>
        <w:fldChar w:fldCharType="separate"/>
      </w:r>
      <w:r>
        <w:t>114</w:t>
      </w:r>
      <w:r>
        <w:fldChar w:fldCharType="end"/>
      </w:r>
    </w:p>
    <w:p>
      <w:pPr>
        <w:pStyle w:val="TOC8"/>
        <w:rPr>
          <w:rFonts w:asciiTheme="minorHAnsi" w:eastAsiaTheme="minorEastAsia" w:hAnsiTheme="minorHAnsi" w:cstheme="minorBidi"/>
          <w:szCs w:val="22"/>
        </w:rPr>
      </w:pPr>
      <w:r>
        <w:t>159.</w:t>
      </w:r>
      <w:r>
        <w:tab/>
        <w:t>Transitional regulations</w:t>
      </w:r>
      <w:r>
        <w:tab/>
      </w:r>
      <w:r>
        <w:fldChar w:fldCharType="begin"/>
      </w:r>
      <w:r>
        <w:instrText xml:space="preserve"> PAGEREF _Toc468701090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w:t>
      </w:r>
      <w:r>
        <w:t> — </w:t>
      </w:r>
      <w:r>
        <w:rPr>
          <w:rFonts w:eastAsia="MS Mincho"/>
        </w:rPr>
        <w:t>Qualifications for grant of licence and related matters</w:t>
      </w:r>
    </w:p>
    <w:p>
      <w:pPr>
        <w:pStyle w:val="TOC8"/>
        <w:rPr>
          <w:rFonts w:asciiTheme="minorHAnsi" w:eastAsiaTheme="minorEastAsia" w:hAnsiTheme="minorHAnsi" w:cstheme="minorBidi"/>
          <w:szCs w:val="22"/>
        </w:rPr>
      </w:pPr>
      <w:r>
        <w:t>1</w:t>
      </w:r>
      <w:r>
        <w:rPr>
          <w:snapToGrid w:val="0"/>
        </w:rPr>
        <w:t>.</w:t>
      </w:r>
      <w:r>
        <w:rPr>
          <w:snapToGrid w:val="0"/>
        </w:rPr>
        <w:tab/>
        <w:t>Qualifications</w:t>
      </w:r>
      <w:r>
        <w:tab/>
      </w:r>
      <w:r>
        <w:fldChar w:fldCharType="begin"/>
      </w:r>
      <w:r>
        <w:instrText xml:space="preserve"> PAGEREF _Toc468701092 \h </w:instrText>
      </w:r>
      <w:r>
        <w:fldChar w:fldCharType="separate"/>
      </w:r>
      <w:r>
        <w:t>116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Sufficient practical experience defined</w:t>
      </w:r>
      <w:r>
        <w:tab/>
      </w:r>
      <w:r>
        <w:fldChar w:fldCharType="begin"/>
      </w:r>
      <w:r>
        <w:instrText xml:space="preserve"> PAGEREF _Toc468701093 \h </w:instrText>
      </w:r>
      <w:r>
        <w:fldChar w:fldCharType="separate"/>
      </w:r>
      <w:r>
        <w:t>117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Licence by reason of qualification under cl. 1(c)</w:t>
      </w:r>
      <w:r>
        <w:tab/>
      </w:r>
      <w:r>
        <w:fldChar w:fldCharType="begin"/>
      </w:r>
      <w:r>
        <w:instrText xml:space="preserve"> PAGEREF _Toc468701094 \h </w:instrText>
      </w:r>
      <w:r>
        <w:fldChar w:fldCharType="separate"/>
      </w:r>
      <w:r>
        <w:t>117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Licence by reason of qualification under cl. 1(d)</w:t>
      </w:r>
      <w:r>
        <w:tab/>
      </w:r>
      <w:r>
        <w:fldChar w:fldCharType="begin"/>
      </w:r>
      <w:r>
        <w:instrText xml:space="preserve"> PAGEREF _Toc468701095 \h </w:instrText>
      </w:r>
      <w:r>
        <w:fldChar w:fldCharType="separate"/>
      </w:r>
      <w:r>
        <w:t>117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Dead or incapacitated licensee, conduct of business of</w:t>
      </w:r>
      <w:r>
        <w:tab/>
      </w:r>
      <w:r>
        <w:fldChar w:fldCharType="begin"/>
      </w:r>
      <w:r>
        <w:instrText xml:space="preserve"> PAGEREF _Toc468701096 \h </w:instrText>
      </w:r>
      <w:r>
        <w:fldChar w:fldCharType="separate"/>
      </w:r>
      <w:r>
        <w:t>118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Death or withdrawal of partner in firm or director of body corporate, Commissioner to be notified</w:t>
      </w:r>
      <w:r>
        <w:tab/>
      </w:r>
      <w:r>
        <w:fldChar w:fldCharType="begin"/>
      </w:r>
      <w:r>
        <w:instrText xml:space="preserve"> PAGEREF _Toc468701097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_Toc468701099 \h </w:instrText>
      </w:r>
      <w:r>
        <w:fldChar w:fldCharType="separate"/>
      </w:r>
      <w:r>
        <w:t>120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_Toc468701100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00" w:after="960"/>
      </w:pPr>
      <w:r>
        <w:t>Real Estate and Business Agents Act 1978</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and for related purposes.</w:t>
      </w:r>
    </w:p>
    <w:p>
      <w:pPr>
        <w:pStyle w:val="Heading2"/>
      </w:pPr>
      <w:bookmarkStart w:id="3" w:name="_Toc404159018"/>
      <w:bookmarkStart w:id="4" w:name="_Toc424293044"/>
      <w:bookmarkStart w:id="5" w:name="_Toc435024407"/>
      <w:bookmarkStart w:id="6" w:name="_Toc468700915"/>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04159019"/>
      <w:bookmarkStart w:id="8" w:name="_Toc468700916"/>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9" w:name="_Toc404159020"/>
      <w:bookmarkStart w:id="10" w:name="_Toc468700917"/>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Deleted by No. 29 of 1982 s. 3.]</w:t>
      </w:r>
    </w:p>
    <w:p>
      <w:pPr>
        <w:pStyle w:val="Heading5"/>
        <w:rPr>
          <w:snapToGrid w:val="0"/>
        </w:rPr>
      </w:pPr>
      <w:bookmarkStart w:id="11" w:name="_Toc404159021"/>
      <w:bookmarkStart w:id="12" w:name="_Toc468700918"/>
      <w:r>
        <w:rPr>
          <w:rStyle w:val="CharSectno"/>
        </w:rPr>
        <w:t>4</w:t>
      </w:r>
      <w:r>
        <w:rPr>
          <w:snapToGrid w:val="0"/>
        </w:rPr>
        <w:t>.</w:t>
      </w:r>
      <w:r>
        <w:rPr>
          <w:snapToGrid w:val="0"/>
        </w:rPr>
        <w:tab/>
        <w:t>Terms used</w:t>
      </w:r>
      <w:bookmarkEnd w:id="11"/>
      <w:bookmarkEnd w:id="12"/>
    </w:p>
    <w:p>
      <w:pPr>
        <w:pStyle w:val="Subsection"/>
        <w:keepNext/>
        <w:rPr>
          <w:snapToGrid w:val="0"/>
        </w:rPr>
      </w:pPr>
      <w:r>
        <w:rPr>
          <w:snapToGrid w:val="0"/>
        </w:rPr>
        <w:tab/>
        <w:t>(1)</w:t>
      </w:r>
      <w:r>
        <w:rPr>
          <w:snapToGrid w:val="0"/>
        </w:rPr>
        <w:tab/>
        <w:t>In this Act unless the context otherwise requires —</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70"/>
      </w:pPr>
      <w:r>
        <w:rPr>
          <w:b/>
        </w:rPr>
        <w:tab/>
      </w:r>
      <w:r>
        <w:rPr>
          <w:rStyle w:val="CharDefText"/>
        </w:rPr>
        <w:t>business</w:t>
      </w:r>
      <w:r>
        <w:t xml:space="preserve"> means the business of an agent but does not have that meaning in paragraph (a) of the interpretation </w:t>
      </w:r>
      <w:r>
        <w:rPr>
          <w:b/>
          <w:i/>
        </w:rPr>
        <w:t>business transaction</w:t>
      </w:r>
      <w:r>
        <w:t xml:space="preserve"> and does not mean the business of a developer;</w:t>
      </w:r>
    </w:p>
    <w:p>
      <w:pPr>
        <w:pStyle w:val="Defstart"/>
        <w:spacing w:before="70"/>
      </w:pPr>
      <w:r>
        <w:rPr>
          <w:b/>
        </w:rPr>
        <w:tab/>
      </w:r>
      <w:r>
        <w:rPr>
          <w:rStyle w:val="CharDefText"/>
        </w:rPr>
        <w:t>business</w:t>
      </w:r>
      <w:r>
        <w:t xml:space="preserve">, in paragraph (a) of the interpretation </w:t>
      </w:r>
      <w:r>
        <w:rPr>
          <w:b/>
          <w:i/>
        </w:rPr>
        <w:t>business transaction</w:t>
      </w:r>
      <w:r>
        <w:t xml:space="preserve"> means any commercial undertaking or enterprise in respect of any profession, trade, employment, vocation, or calling;</w:t>
      </w:r>
    </w:p>
    <w:p>
      <w:pPr>
        <w:pStyle w:val="Defstart"/>
        <w:spacing w:before="7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w:t>
      </w:r>
    </w:p>
    <w:p>
      <w:pPr>
        <w:pStyle w:val="Defpara"/>
        <w:spacing w:before="70"/>
      </w:pPr>
      <w:r>
        <w:tab/>
        <w:t>(a)</w:t>
      </w:r>
      <w:r>
        <w:tab/>
        <w:t>he is appointed by a court as a receiver or receiver and manager of the business of another; or</w:t>
      </w:r>
    </w:p>
    <w:p>
      <w:pPr>
        <w:pStyle w:val="Defpara"/>
        <w:spacing w:before="7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7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w:t>
      </w:r>
    </w:p>
    <w:p>
      <w:pPr>
        <w:pStyle w:val="Defpara"/>
        <w:spacing w:before="70"/>
      </w:pPr>
      <w:r>
        <w:tab/>
        <w:t>(a)</w:t>
      </w:r>
      <w:r>
        <w:tab/>
        <w:t>a person who does so as a member of a firm that is a licensee and the holder of a current triennial certificate unless he is also a licensee and the holder of a current triennial certificate;</w:t>
      </w:r>
    </w:p>
    <w:p>
      <w:pPr>
        <w:pStyle w:val="Defpara"/>
        <w:spacing w:before="7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70"/>
      </w:pPr>
      <w:r>
        <w:rPr>
          <w:b/>
        </w:rPr>
        <w:tab/>
      </w:r>
      <w:r>
        <w:rPr>
          <w:rStyle w:val="CharDefText"/>
        </w:rPr>
        <w:t>business transaction</w:t>
      </w:r>
      <w:r>
        <w:t> —</w:t>
      </w:r>
    </w:p>
    <w:p>
      <w:pPr>
        <w:pStyle w:val="Defpara"/>
        <w:spacing w:before="70"/>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keepNext/>
      </w:pPr>
      <w:r>
        <w:rPr>
          <w:b/>
        </w:rPr>
        <w:tab/>
      </w:r>
      <w:r>
        <w:rPr>
          <w:rStyle w:val="CharDefText"/>
        </w:rPr>
        <w:t>defalcation by a licensee</w:t>
      </w:r>
      <w:r>
        <w:t xml:space="preserve"> includes criminal or fraudulent conduct —</w:t>
      </w:r>
    </w:p>
    <w:p>
      <w:pPr>
        <w:pStyle w:val="Defpara"/>
      </w:pPr>
      <w:r>
        <w:tab/>
        <w:t>(a)</w:t>
      </w:r>
      <w:r>
        <w:tab/>
        <w:t>of a licensee; or</w:t>
      </w:r>
    </w:p>
    <w:p>
      <w:pPr>
        <w:pStyle w:val="Defpara"/>
      </w:pPr>
      <w:r>
        <w:tab/>
        <w:t>(b)</w:t>
      </w:r>
      <w:r>
        <w:tab/>
        <w:t>of any one or more of the servants or agents of the licensee; or</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spacing w:before="100"/>
      </w:pPr>
      <w:r>
        <w:rPr>
          <w:b/>
        </w:rPr>
        <w:tab/>
      </w:r>
      <w:r>
        <w:rPr>
          <w:rStyle w:val="CharDefText"/>
        </w:rPr>
        <w:t>Fidelity Account</w:t>
      </w:r>
      <w:r>
        <w:t xml:space="preserve"> means the Real Estate and Business Agents Fidelity Guarantee Account established under section 107;</w:t>
      </w:r>
    </w:p>
    <w:p>
      <w:pPr>
        <w:pStyle w:val="Defstart"/>
        <w:spacing w:before="100"/>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spacing w:before="100"/>
      </w:pPr>
      <w:r>
        <w:rPr>
          <w:b/>
        </w:rPr>
        <w:tab/>
      </w:r>
      <w:r>
        <w:rPr>
          <w:rStyle w:val="CharDefText"/>
        </w:rPr>
        <w:t>General Purpose Account</w:t>
      </w:r>
      <w:r>
        <w:t xml:space="preserve"> means the Education and General Purpose Account established under section 124A;</w:t>
      </w:r>
    </w:p>
    <w:p>
      <w:pPr>
        <w:pStyle w:val="Defstart"/>
        <w:spacing w:before="100"/>
      </w:pPr>
      <w:r>
        <w:tab/>
      </w:r>
      <w:r>
        <w:rPr>
          <w:rStyle w:val="CharDefText"/>
        </w:rPr>
        <w:t>Interest Account</w:t>
      </w:r>
      <w:r>
        <w:t xml:space="preserve"> means the Board Interest Account established under section 125(1);</w:t>
      </w:r>
    </w:p>
    <w:p>
      <w:pPr>
        <w:pStyle w:val="Defstart"/>
        <w:spacing w:before="100"/>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the licence of an agent under this Act;</w:t>
      </w:r>
    </w:p>
    <w:p>
      <w:pPr>
        <w:pStyle w:val="Defstart"/>
        <w:spacing w:before="100"/>
      </w:pPr>
      <w:r>
        <w:rPr>
          <w:b/>
        </w:rPr>
        <w:tab/>
      </w:r>
      <w:r>
        <w:rPr>
          <w:rStyle w:val="CharDefText"/>
        </w:rPr>
        <w:t>licensed</w:t>
      </w:r>
      <w:r>
        <w:t xml:space="preserve"> means licensed as an agent under this Act;</w:t>
      </w:r>
    </w:p>
    <w:p>
      <w:pPr>
        <w:pStyle w:val="Defstart"/>
        <w:spacing w:before="100"/>
      </w:pPr>
      <w:r>
        <w:rPr>
          <w:b/>
        </w:rPr>
        <w:tab/>
      </w:r>
      <w:r>
        <w:rPr>
          <w:rStyle w:val="CharDefText"/>
        </w:rPr>
        <w:t>licensee</w:t>
      </w:r>
      <w:r>
        <w:t xml:space="preserve"> means a person licensed under this Act;</w:t>
      </w:r>
    </w:p>
    <w:p>
      <w:pPr>
        <w:pStyle w:val="Defstart"/>
        <w:keepNext/>
        <w:spacing w:before="100"/>
      </w:pPr>
      <w:r>
        <w:rPr>
          <w:b/>
        </w:rPr>
        <w:tab/>
      </w:r>
      <w:r>
        <w:rPr>
          <w:rStyle w:val="CharDefText"/>
        </w:rPr>
        <w:t>member</w:t>
      </w:r>
      <w:r>
        <w:rPr>
          <w:bCs/>
        </w:rPr>
        <w:t> </w:t>
      </w:r>
      <w:r>
        <w:t>—</w:t>
      </w:r>
    </w:p>
    <w:p>
      <w:pPr>
        <w:pStyle w:val="Ednotepara"/>
        <w:spacing w:before="100"/>
        <w:ind w:left="1610" w:hanging="1610"/>
        <w:rPr>
          <w:snapToGrid w:val="0"/>
        </w:rPr>
      </w:pPr>
      <w:r>
        <w:rPr>
          <w:snapToGrid w:val="0"/>
        </w:rPr>
        <w:tab/>
        <w:t>[(a)</w:t>
      </w:r>
      <w:r>
        <w:rPr>
          <w:snapToGrid w:val="0"/>
        </w:rPr>
        <w:tab/>
        <w:t>deleted]</w:t>
      </w:r>
    </w:p>
    <w:p>
      <w:pPr>
        <w:pStyle w:val="Defpara"/>
        <w:spacing w:before="100"/>
      </w:pPr>
      <w:r>
        <w:tab/>
        <w:t>(b)</w:t>
      </w:r>
      <w:r>
        <w:tab/>
        <w:t>in Part IXA, means a member of the Advisory Committee;</w:t>
      </w:r>
    </w:p>
    <w:p>
      <w:pPr>
        <w:pStyle w:val="Defstart"/>
        <w:spacing w:before="100"/>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spacing w:before="100"/>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w:t>
      </w:r>
    </w:p>
    <w:p>
      <w:pPr>
        <w:pStyle w:val="Defpara"/>
        <w:spacing w:before="100"/>
      </w:pPr>
      <w:r>
        <w:tab/>
        <w:t>(a)</w:t>
      </w:r>
      <w:r>
        <w:tab/>
        <w:t>he is appointed by a court as a receiver or receiver and manager of the business of another person; or</w:t>
      </w:r>
    </w:p>
    <w:p>
      <w:pPr>
        <w:pStyle w:val="Defpara"/>
        <w:spacing w:before="10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100"/>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w:t>
      </w:r>
    </w:p>
    <w:p>
      <w:pPr>
        <w:pStyle w:val="Defpara"/>
        <w:spacing w:before="100"/>
      </w:pPr>
      <w:r>
        <w:tab/>
        <w:t>(a)</w:t>
      </w:r>
      <w:r>
        <w:tab/>
        <w:t>a person who does so as a member of a firm that is a licensee and the holder of a current triennial certificate, unless he is also a licensee and the holder of a current triennial certificate; and</w:t>
      </w:r>
    </w:p>
    <w:p>
      <w:pPr>
        <w:pStyle w:val="Defpara"/>
        <w:spacing w:before="10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100"/>
      </w:pPr>
      <w:r>
        <w:rPr>
          <w:b/>
        </w:rPr>
        <w:tab/>
      </w:r>
      <w:r>
        <w:rPr>
          <w:rStyle w:val="CharDefText"/>
        </w:rPr>
        <w:t>real estate transaction</w:t>
      </w:r>
      <w:r>
        <w:t> —</w:t>
      </w:r>
    </w:p>
    <w:p>
      <w:pPr>
        <w:pStyle w:val="Defpara"/>
        <w:spacing w:before="100"/>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spacing w:before="100"/>
      </w:pPr>
      <w:r>
        <w:tab/>
        <w:t>(b)</w:t>
      </w:r>
      <w:r>
        <w:tab/>
        <w:t>includes any sale, exchange, or other disposal and any purchase, exchange, or other acquisition of goods, chattels or other property relating to a real estate transaction of a kind specified in paragraph (a); and</w:t>
      </w:r>
    </w:p>
    <w:p>
      <w:pPr>
        <w:pStyle w:val="Defpara"/>
        <w:keepNext/>
        <w:spacing w:before="90"/>
      </w:pPr>
      <w:r>
        <w:tab/>
        <w:t>(ba)</w:t>
      </w:r>
      <w:r>
        <w:tab/>
        <w:t>includes the collection of rents or other payments for use or occupation; and</w:t>
      </w:r>
    </w:p>
    <w:p>
      <w:pPr>
        <w:pStyle w:val="Defpara"/>
        <w:spacing w:before="90"/>
      </w:pPr>
      <w:r>
        <w:tab/>
        <w:t>(c)</w:t>
      </w:r>
      <w:r>
        <w:tab/>
        <w:t>also includes an option to enter into a real estate transaction;</w:t>
      </w:r>
    </w:p>
    <w:p>
      <w:pPr>
        <w:pStyle w:val="Defstart"/>
        <w:spacing w:before="90"/>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spacing w:before="90"/>
      </w:pPr>
      <w:r>
        <w:rPr>
          <w:b/>
        </w:rPr>
        <w:tab/>
      </w:r>
      <w:r>
        <w:rPr>
          <w:rStyle w:val="CharDefText"/>
        </w:rPr>
        <w:t>registration</w:t>
      </w:r>
      <w:r>
        <w:t xml:space="preserve"> means registration as a sales representative under this Act;</w:t>
      </w:r>
    </w:p>
    <w:p>
      <w:pPr>
        <w:pStyle w:val="Defstart"/>
        <w:spacing w:before="90"/>
      </w:pPr>
      <w:r>
        <w:rPr>
          <w:b/>
        </w:rPr>
        <w:tab/>
      </w:r>
      <w:r>
        <w:rPr>
          <w:rStyle w:val="CharDefText"/>
        </w:rPr>
        <w:t>renewal</w:t>
      </w:r>
      <w:r>
        <w:t xml:space="preserve"> means a renewal of a triennial certificate or of a certificate of registration, as the case requires;</w:t>
      </w:r>
    </w:p>
    <w:p>
      <w:pPr>
        <w:pStyle w:val="Defstart"/>
        <w:spacing w:before="90"/>
      </w:pPr>
      <w:r>
        <w:rPr>
          <w:b/>
        </w:rPr>
        <w:tab/>
      </w:r>
      <w:r>
        <w:rPr>
          <w:rStyle w:val="CharDefText"/>
        </w:rPr>
        <w:t>repealed Act</w:t>
      </w:r>
      <w:r>
        <w:t xml:space="preserve"> means the Act repealed by section 5 </w:t>
      </w:r>
      <w:r>
        <w:rPr>
          <w:vertAlign w:val="superscript"/>
        </w:rPr>
        <w:t>4</w:t>
      </w:r>
      <w:r>
        <w:t>;</w:t>
      </w:r>
    </w:p>
    <w:p>
      <w:pPr>
        <w:pStyle w:val="Defstart"/>
        <w:spacing w:before="90"/>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spacing w:before="90"/>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spacing w:before="90"/>
      </w:pPr>
      <w:r>
        <w:rPr>
          <w:b/>
        </w:rPr>
        <w:tab/>
      </w:r>
      <w:r>
        <w:rPr>
          <w:rStyle w:val="CharDefText"/>
        </w:rPr>
        <w:t>supervisor</w:t>
      </w:r>
      <w:r>
        <w:t xml:space="preserve"> means a person appointed by the Commissioner as supervisor of the business of an agent;</w:t>
      </w:r>
    </w:p>
    <w:p>
      <w:pPr>
        <w:pStyle w:val="Defstart"/>
        <w:spacing w:before="90"/>
      </w:pPr>
      <w:r>
        <w:rPr>
          <w:b/>
        </w:rPr>
        <w:tab/>
      </w:r>
      <w:r>
        <w:rPr>
          <w:rStyle w:val="CharDefText"/>
        </w:rPr>
        <w:t>transaction</w:t>
      </w:r>
      <w:r>
        <w:t xml:space="preserve"> means a real estate transaction or a business transaction, or both a real estate transaction and a business transaction;</w:t>
      </w:r>
    </w:p>
    <w:p>
      <w:pPr>
        <w:pStyle w:val="Defstart"/>
        <w:spacing w:before="90"/>
      </w:pPr>
      <w:r>
        <w:rPr>
          <w:b/>
        </w:rPr>
        <w:tab/>
      </w:r>
      <w:r>
        <w:rPr>
          <w:rStyle w:val="CharDefText"/>
        </w:rPr>
        <w:t>Treasurer</w:t>
      </w:r>
      <w:r>
        <w:t xml:space="preserve"> means the Treasurer of the State;</w:t>
      </w:r>
    </w:p>
    <w:p>
      <w:pPr>
        <w:pStyle w:val="Defstart"/>
        <w:spacing w:before="90"/>
      </w:pPr>
      <w:r>
        <w:rPr>
          <w:b/>
        </w:rPr>
        <w:tab/>
      </w:r>
      <w:r>
        <w:rPr>
          <w:rStyle w:val="CharDefText"/>
        </w:rPr>
        <w:t>Treasury</w:t>
      </w:r>
      <w:r>
        <w:t xml:space="preserve"> means the State Treasury;</w:t>
      </w:r>
    </w:p>
    <w:p>
      <w:pPr>
        <w:pStyle w:val="Defstart"/>
        <w:spacing w:before="90"/>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w:t>
      </w:r>
    </w:p>
    <w:p>
      <w:pPr>
        <w:pStyle w:val="Indenta"/>
        <w:rPr>
          <w:snapToGrid w:val="0"/>
        </w:rPr>
      </w:pPr>
      <w:r>
        <w:rPr>
          <w:snapToGrid w:val="0"/>
        </w:rPr>
        <w:tab/>
        <w:t>(a)</w:t>
      </w:r>
      <w:r>
        <w:rPr>
          <w:snapToGrid w:val="0"/>
        </w:rPr>
        <w:tab/>
        <w:t>the consideration; or</w:t>
      </w:r>
    </w:p>
    <w:p>
      <w:pPr>
        <w:pStyle w:val="Indenta"/>
        <w:rPr>
          <w:snapToGrid w:val="0"/>
        </w:rPr>
      </w:pPr>
      <w:r>
        <w:rPr>
          <w:snapToGrid w:val="0"/>
        </w:rPr>
        <w:tab/>
        <w:t>(b)</w:t>
      </w:r>
      <w:r>
        <w:rPr>
          <w:snapToGrid w:val="0"/>
        </w:rPr>
        <w:tab/>
        <w:t>any terms payments; or</w:t>
      </w:r>
    </w:p>
    <w:p>
      <w:pPr>
        <w:pStyle w:val="Indenta"/>
        <w:rPr>
          <w:snapToGrid w:val="0"/>
        </w:rPr>
      </w:pPr>
      <w:r>
        <w:rPr>
          <w:snapToGrid w:val="0"/>
        </w:rPr>
        <w:tab/>
        <w:t>(c)</w:t>
      </w:r>
      <w:r>
        <w:rPr>
          <w:snapToGrid w:val="0"/>
        </w:rPr>
        <w:tab/>
        <w:t>any rent or other payment for use or occupation; or</w:t>
      </w:r>
    </w:p>
    <w:p>
      <w:pPr>
        <w:pStyle w:val="Indenta"/>
        <w:keepNext/>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w:t>
      </w:r>
    </w:p>
    <w:p>
      <w:pPr>
        <w:pStyle w:val="Indenta"/>
        <w:rPr>
          <w:snapToGrid w:val="0"/>
        </w:rPr>
      </w:pPr>
      <w:r>
        <w:rPr>
          <w:snapToGrid w:val="0"/>
        </w:rPr>
        <w:tab/>
        <w:t>(a)</w:t>
      </w:r>
      <w:r>
        <w:rPr>
          <w:snapToGrid w:val="0"/>
        </w:rPr>
        <w:tab/>
        <w:t>a body corporate authorised by the law of any State, or of a Territory, of the Commonwealth to apply for and obtain a grant of probate of a will when exercising its power to do so or when exercising any other power conferred on it by such a law; or</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[Section 4 amended by No. 74. of 1980 s. 3; No. 10 of 1982 s. 28; No. 29 of 1982 s. 4; No. 40 of 1985 s. 8; No. 98 of 1985 s. 3; No. 59 of 1995 s. 4; No. 26 of 1999 s. 99(2); No. 10 of 2001 s. 222; No. 21 of 2003 s. 20; No. 65 of 2003 s. 59(2); No. 74 of 2003 s. 101; No. 69 of 2006 s. 27; No. 77 of 2006 Sch. 1 cl. 147(1); No. 21 of 2008 s. 696; No. 58 of 2010 s. 81 and 134</w:t>
      </w:r>
      <w:r>
        <w:rPr>
          <w:spacing w:val="-4"/>
        </w:rPr>
        <w:t>; No. 47 of 2011 s.</w:t>
      </w:r>
      <w:r>
        <w:t> 25(2) and (3).]</w:t>
      </w:r>
    </w:p>
    <w:p>
      <w:pPr>
        <w:pStyle w:val="Ednotesection"/>
      </w:pPr>
      <w:r>
        <w:t>[</w:t>
      </w:r>
      <w:r>
        <w:rPr>
          <w:b/>
        </w:rPr>
        <w:t>5.</w:t>
      </w:r>
      <w:r>
        <w:tab/>
        <w:t>Deleted by No. 58 of 2010 s. 82.]</w:t>
      </w:r>
    </w:p>
    <w:p>
      <w:pPr>
        <w:pStyle w:val="Heading2"/>
      </w:pPr>
      <w:bookmarkStart w:id="13" w:name="_Toc404159022"/>
      <w:bookmarkStart w:id="14" w:name="_Toc424293048"/>
      <w:bookmarkStart w:id="15" w:name="_Toc435024411"/>
      <w:bookmarkStart w:id="16" w:name="_Toc468700919"/>
      <w:r>
        <w:rPr>
          <w:rStyle w:val="CharPartNo"/>
        </w:rPr>
        <w:t>Part II</w:t>
      </w:r>
      <w:r>
        <w:t> — </w:t>
      </w:r>
      <w:r>
        <w:rPr>
          <w:rStyle w:val="CharPartText"/>
        </w:rPr>
        <w:t>Advisory Committee and review</w:t>
      </w:r>
      <w:bookmarkEnd w:id="13"/>
      <w:bookmarkEnd w:id="14"/>
      <w:bookmarkEnd w:id="15"/>
      <w:bookmarkEnd w:id="16"/>
    </w:p>
    <w:p>
      <w:pPr>
        <w:pStyle w:val="Footnoteheading"/>
        <w:tabs>
          <w:tab w:val="clear" w:pos="879"/>
          <w:tab w:val="left" w:pos="890"/>
        </w:tabs>
        <w:rPr>
          <w:snapToGrid w:val="0"/>
        </w:rPr>
      </w:pPr>
      <w:r>
        <w:rPr>
          <w:snapToGrid w:val="0"/>
        </w:rPr>
        <w:tab/>
        <w:t>[Heading inserted by No. 58 of 2010 s. 83.]</w:t>
      </w:r>
    </w:p>
    <w:p>
      <w:pPr>
        <w:pStyle w:val="Ednotedivision"/>
      </w:pPr>
      <w:r>
        <w:t>[Divisions 1, 1A and 2 (s. 6-18) deleted by No. 58 of 2010 s. 84.]</w:t>
      </w:r>
    </w:p>
    <w:p>
      <w:pPr>
        <w:pStyle w:val="Footnoteheading"/>
        <w:tabs>
          <w:tab w:val="clear" w:pos="879"/>
          <w:tab w:val="left" w:pos="890"/>
        </w:tabs>
      </w:pPr>
      <w:r>
        <w:tab/>
        <w:t>[Heading deleted by No. 58 of 2010 s. 85.]</w:t>
      </w:r>
    </w:p>
    <w:p>
      <w:pPr>
        <w:pStyle w:val="Ednotesection"/>
        <w:ind w:left="0" w:firstLine="0"/>
      </w:pPr>
      <w:r>
        <w:t>[</w:t>
      </w:r>
      <w:r>
        <w:rPr>
          <w:b/>
        </w:rPr>
        <w:t>19-21.</w:t>
      </w:r>
      <w:r>
        <w:tab/>
        <w:t>Deleted by No. 58 of 2010 s. 86.]</w:t>
      </w:r>
    </w:p>
    <w:p>
      <w:pPr>
        <w:pStyle w:val="Heading5"/>
      </w:pPr>
      <w:bookmarkStart w:id="17" w:name="_Toc404159023"/>
      <w:bookmarkStart w:id="18" w:name="_Toc468700920"/>
      <w:r>
        <w:rPr>
          <w:rStyle w:val="CharSectno"/>
        </w:rPr>
        <w:t>22</w:t>
      </w:r>
      <w:r>
        <w:t>.</w:t>
      </w:r>
      <w:r>
        <w:tab/>
        <w:t>Powers of investigation</w:t>
      </w:r>
      <w:bookmarkEnd w:id="17"/>
      <w:bookmarkEnd w:id="18"/>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22 inserted by No. 58 of 2010 s. 87.]</w:t>
      </w:r>
    </w:p>
    <w:p>
      <w:pPr>
        <w:pStyle w:val="Heading5"/>
        <w:rPr>
          <w:snapToGrid w:val="0"/>
        </w:rPr>
      </w:pPr>
      <w:bookmarkStart w:id="19" w:name="_Toc404159024"/>
      <w:bookmarkStart w:id="20" w:name="_Toc468700921"/>
      <w:r>
        <w:rPr>
          <w:rStyle w:val="CharSectno"/>
        </w:rPr>
        <w:t>23</w:t>
      </w:r>
      <w:r>
        <w:rPr>
          <w:snapToGrid w:val="0"/>
        </w:rPr>
        <w:t>.</w:t>
      </w:r>
      <w:r>
        <w:rPr>
          <w:snapToGrid w:val="0"/>
        </w:rPr>
        <w:tab/>
        <w:t>Application for review by SAT</w:t>
      </w:r>
      <w:bookmarkEnd w:id="19"/>
      <w:bookmarkEnd w:id="20"/>
    </w:p>
    <w:p>
      <w:pPr>
        <w:pStyle w:val="Subsection"/>
        <w:rPr>
          <w:snapToGrid w:val="0"/>
        </w:rPr>
      </w:pPr>
      <w:r>
        <w:rPr>
          <w:snapToGrid w:val="0"/>
        </w:rPr>
        <w:tab/>
        <w:t>(1)</w:t>
      </w:r>
      <w:r>
        <w:rPr>
          <w:snapToGrid w:val="0"/>
        </w:rPr>
        <w:tab/>
        <w:t xml:space="preserve">Any person aggrieved by a reviewable decision may apply to the State </w:t>
      </w:r>
      <w:r>
        <w:rPr>
          <w:snapToGrid w:val="0"/>
          <w:spacing w:val="-4"/>
        </w:rPr>
        <w:t>Administrative Tribunal</w:t>
      </w:r>
      <w:r>
        <w:rPr>
          <w:snapToGrid w:val="0"/>
        </w:rPr>
        <w:t xml:space="preserve"> for a review of the decision.</w:t>
      </w:r>
    </w:p>
    <w:p>
      <w:pPr>
        <w:pStyle w:val="Subsection"/>
        <w:keepNext/>
        <w:keepLines/>
      </w:pPr>
      <w:r>
        <w:tab/>
        <w:t>(2)</w:t>
      </w:r>
      <w:r>
        <w:tab/>
        <w:t>In subsection (1) —</w:t>
      </w:r>
    </w:p>
    <w:p>
      <w:pPr>
        <w:pStyle w:val="Defstart"/>
        <w:keepNext/>
        <w:keepLines/>
      </w:pPr>
      <w:r>
        <w:tab/>
      </w:r>
      <w:r>
        <w:rPr>
          <w:rStyle w:val="CharDefText"/>
        </w:rPr>
        <w:t>person aggrieved</w:t>
      </w:r>
      <w:r>
        <w:t xml:space="preserve"> means —</w:t>
      </w:r>
    </w:p>
    <w:p>
      <w:pPr>
        <w:pStyle w:val="Defpara"/>
      </w:pPr>
      <w:r>
        <w:tab/>
        <w:t>(a)</w:t>
      </w:r>
      <w:r>
        <w:tab/>
        <w:t>a person whose licence or triennial certificate is affected by a reviewable decision or who, under Part III, applies for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Commissioner’s approval under section 56 to carry on business pursuant to a franchising agreement or another party to the agreement;</w:t>
      </w:r>
    </w:p>
    <w:p>
      <w:pPr>
        <w:pStyle w:val="Defpara"/>
      </w:pPr>
      <w:r>
        <w:tab/>
        <w:t>(d)</w:t>
      </w:r>
      <w:r>
        <w:tab/>
        <w:t>a person affected by a decision of the Commissioner under Part VI;</w:t>
      </w:r>
    </w:p>
    <w:p>
      <w:pPr>
        <w:pStyle w:val="Indenta"/>
      </w:pPr>
      <w:r>
        <w:tab/>
        <w:t>(e)</w:t>
      </w:r>
      <w:r>
        <w:tab/>
        <w:t>a person claiming against, or seeking the leave of the chief executive officer to commence an action in relation to, the Fidelity Account;</w:t>
      </w:r>
    </w:p>
    <w:p>
      <w:pPr>
        <w:pStyle w:val="Defstart"/>
        <w:keepNext/>
      </w:pPr>
      <w:r>
        <w:rPr>
          <w:b/>
        </w:rPr>
        <w:tab/>
      </w:r>
      <w:r>
        <w:rPr>
          <w:rStyle w:val="CharDefText"/>
        </w:rPr>
        <w:t>reviewable decision</w:t>
      </w:r>
      <w:r>
        <w:t xml:space="preserve"> means —</w:t>
      </w:r>
    </w:p>
    <w:p>
      <w:pPr>
        <w:pStyle w:val="Defpara"/>
        <w:spacing w:before="70"/>
      </w:pPr>
      <w:r>
        <w:tab/>
        <w:t>(a)</w:t>
      </w:r>
      <w:r>
        <w:tab/>
        <w:t>a decision of the Commissioner under Part III other than a determination of the form in which an application is to be made;</w:t>
      </w:r>
    </w:p>
    <w:p>
      <w:pPr>
        <w:pStyle w:val="Defpara"/>
        <w:spacing w:before="70"/>
      </w:pPr>
      <w:r>
        <w:tab/>
        <w:t>(b)</w:t>
      </w:r>
      <w:r>
        <w:tab/>
        <w:t>a decision of the Commissioner under Part IV other than a determination of the form in which an application is to be made;</w:t>
      </w:r>
    </w:p>
    <w:p>
      <w:pPr>
        <w:pStyle w:val="Defpara"/>
        <w:spacing w:before="70"/>
      </w:pPr>
      <w:r>
        <w:tab/>
        <w:t>(c)</w:t>
      </w:r>
      <w:r>
        <w:tab/>
        <w:t>a decision of the Commissioner under section 56;</w:t>
      </w:r>
    </w:p>
    <w:p>
      <w:pPr>
        <w:pStyle w:val="Defpara"/>
        <w:spacing w:before="70"/>
      </w:pPr>
      <w:r>
        <w:tab/>
        <w:t>(d)</w:t>
      </w:r>
      <w:r>
        <w:tab/>
        <w:t>a decision of the Commissioner under Part VI;</w:t>
      </w:r>
    </w:p>
    <w:p>
      <w:pPr>
        <w:pStyle w:val="Defpara"/>
        <w:spacing w:before="70"/>
      </w:pPr>
      <w:r>
        <w:tab/>
        <w:t>(e)</w:t>
      </w:r>
      <w:r>
        <w:tab/>
        <w:t>a decision of the chief executive officer under section 116 or 117.</w:t>
      </w:r>
    </w:p>
    <w:p>
      <w:pPr>
        <w:pStyle w:val="Subsection"/>
      </w:pPr>
      <w:r>
        <w:tab/>
        <w:t>(3)</w:t>
      </w:r>
      <w:r>
        <w:tab/>
        <w:t xml:space="preserve">If a decision under section 116 or 117 has not been made before the commencement of the </w:t>
      </w:r>
      <w:r>
        <w:rPr>
          <w:i/>
          <w:snapToGrid w:val="0"/>
        </w:rPr>
        <w:t>Consumer Protection Legislation Amendment Act 2014</w:t>
      </w:r>
      <w:r>
        <w:rPr>
          <w:snapToGrid w:val="0"/>
        </w:rPr>
        <w:t xml:space="preserve"> section 69</w:t>
      </w:r>
      <w:r>
        <w:t xml:space="preserve"> in respect of a claim made before 1 July 2011, the decision — </w:t>
      </w:r>
    </w:p>
    <w:p>
      <w:pPr>
        <w:pStyle w:val="Defpara"/>
      </w:pPr>
      <w:r>
        <w:tab/>
        <w:t>(a)</w:t>
      </w:r>
      <w:r>
        <w:tab/>
        <w:t>may be made on or after that commencement by the Commissioner; and</w:t>
      </w:r>
    </w:p>
    <w:p>
      <w:pPr>
        <w:pStyle w:val="Defpara"/>
      </w:pPr>
      <w:r>
        <w:tab/>
        <w:t>(b)</w:t>
      </w:r>
      <w:r>
        <w:tab/>
        <w:t>is taken to be a reviewable decision for the purposes of this section.</w:t>
      </w:r>
    </w:p>
    <w:p>
      <w:pPr>
        <w:pStyle w:val="Subsection"/>
      </w:pPr>
      <w:r>
        <w:tab/>
        <w:t>(4)</w:t>
      </w:r>
      <w:r>
        <w:tab/>
        <w:t xml:space="preserve">A decision under section 116 or 117 made by the chief executive officer before the commencement of the </w:t>
      </w:r>
      <w:r>
        <w:rPr>
          <w:i/>
          <w:snapToGrid w:val="0"/>
        </w:rPr>
        <w:t>Consumer Protection Legislation Amendment Act 2014</w:t>
      </w:r>
      <w:r>
        <w:rPr>
          <w:snapToGrid w:val="0"/>
        </w:rPr>
        <w:t xml:space="preserve"> section 69</w:t>
      </w:r>
      <w:r>
        <w:t xml:space="preserve"> is taken to be a reviewable decision made immediately after that commencement for the purposes of this section.</w:t>
      </w:r>
    </w:p>
    <w:p>
      <w:pPr>
        <w:pStyle w:val="Subsection"/>
      </w:pPr>
      <w:r>
        <w:tab/>
        <w:t>(5)</w:t>
      </w:r>
      <w:r>
        <w:tab/>
        <w:t xml:space="preserve">The amendments made to this section by the </w:t>
      </w:r>
      <w:r>
        <w:rPr>
          <w:i/>
          <w:snapToGrid w:val="0"/>
        </w:rPr>
        <w:t>Consumer Protection Legislation Amendment Act 2014</w:t>
      </w:r>
      <w:r>
        <w:rPr>
          <w:snapToGrid w:val="0"/>
        </w:rPr>
        <w:t xml:space="preserve"> section 69 do not affect the review of a reviewable decision by the State Administrative Tribunal that began, but was not completed, before the commencement of that section.</w:t>
      </w:r>
    </w:p>
    <w:p>
      <w:pPr>
        <w:pStyle w:val="Footnotesection"/>
      </w:pPr>
      <w:r>
        <w:tab/>
        <w:t>[Section 23 inserted by No. 55 of 2004 s. 1005; amended by No. 77 of 2006 Sch. 1 cl. 147(2); No. 58 of 2010 s. 88 and 134; No. 23 of 2014 s. 69.]</w:t>
      </w:r>
    </w:p>
    <w:p>
      <w:pPr>
        <w:pStyle w:val="Heading3"/>
        <w:rPr>
          <w:snapToGrid w:val="0"/>
        </w:rPr>
      </w:pPr>
      <w:bookmarkStart w:id="21" w:name="_Toc404159025"/>
      <w:bookmarkStart w:id="22" w:name="_Toc424293051"/>
      <w:bookmarkStart w:id="23" w:name="_Toc435024414"/>
      <w:bookmarkStart w:id="24" w:name="_Toc468700922"/>
      <w:r>
        <w:rPr>
          <w:rStyle w:val="CharDivNo"/>
        </w:rPr>
        <w:t>Division 4</w:t>
      </w:r>
      <w:r>
        <w:rPr>
          <w:snapToGrid w:val="0"/>
        </w:rPr>
        <w:t> — </w:t>
      </w:r>
      <w:r>
        <w:rPr>
          <w:rStyle w:val="CharDivText"/>
        </w:rPr>
        <w:t>Advisory committees</w:t>
      </w:r>
      <w:bookmarkEnd w:id="21"/>
      <w:bookmarkEnd w:id="22"/>
      <w:bookmarkEnd w:id="23"/>
      <w:bookmarkEnd w:id="24"/>
    </w:p>
    <w:p>
      <w:pPr>
        <w:pStyle w:val="Footnoteheading"/>
        <w:keepNext/>
        <w:tabs>
          <w:tab w:val="clear" w:pos="879"/>
          <w:tab w:val="left" w:pos="890"/>
        </w:tabs>
      </w:pPr>
      <w:r>
        <w:tab/>
        <w:t>[Heading inserted by No. 34 of 1998 s. 9.]</w:t>
      </w:r>
    </w:p>
    <w:p>
      <w:pPr>
        <w:pStyle w:val="Heading5"/>
      </w:pPr>
      <w:bookmarkStart w:id="25" w:name="_Toc404159026"/>
      <w:bookmarkStart w:id="26" w:name="_Toc468700923"/>
      <w:r>
        <w:rPr>
          <w:rStyle w:val="CharSectno"/>
        </w:rPr>
        <w:t>23A</w:t>
      </w:r>
      <w:r>
        <w:t>.</w:t>
      </w:r>
      <w:r>
        <w:tab/>
        <w:t>Advisory committees, establishing etc.</w:t>
      </w:r>
      <w:bookmarkEnd w:id="25"/>
      <w:bookmarkEnd w:id="26"/>
    </w:p>
    <w:p>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Ednotesubsection"/>
      </w:pPr>
      <w:r>
        <w:tab/>
        <w:t>[(3)</w:t>
      </w:r>
      <w:r>
        <w:tab/>
        <w:t>deleted]</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department is to provide a committee with such support services as it may reasonably require.</w:t>
      </w:r>
    </w:p>
    <w:p>
      <w:pPr>
        <w:pStyle w:val="Subsection"/>
      </w:pPr>
      <w:r>
        <w:tab/>
        <w:t>(8)</w:t>
      </w:r>
      <w:r>
        <w:tab/>
        <w:t>A member of a committee —</w:t>
      </w:r>
    </w:p>
    <w:p>
      <w:pPr>
        <w:pStyle w:val="Indenta"/>
      </w:pPr>
      <w:r>
        <w:tab/>
        <w:t>(a)</w:t>
      </w:r>
      <w:r>
        <w:tab/>
        <w:t>is to hold office for such term not exceeding 2 years as is specified in the instrument appointing the member; and</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keepNext/>
      </w:pPr>
      <w:r>
        <w:tab/>
        <w:t>(11)</w:t>
      </w:r>
      <w:r>
        <w:tab/>
        <w:t>If a member of a committee —</w:t>
      </w:r>
    </w:p>
    <w:p>
      <w:pPr>
        <w:pStyle w:val="Indenta"/>
      </w:pPr>
      <w:r>
        <w:tab/>
        <w:t>(a)</w:t>
      </w:r>
      <w:r>
        <w:tab/>
        <w:t xml:space="preserve">is, according to the </w:t>
      </w:r>
      <w:r>
        <w:rPr>
          <w:i/>
          <w:iCs/>
        </w:rPr>
        <w:t>Interpretation Act 1984</w:t>
      </w:r>
      <w:r>
        <w:t xml:space="preserve"> section 13D, a bankrupt or a person whose affairs are under insolvency laws; or</w:t>
      </w:r>
    </w:p>
    <w:p>
      <w:pPr>
        <w:pStyle w:val="Indenta"/>
      </w:pPr>
      <w:r>
        <w:tab/>
        <w:t>(b)</w:t>
      </w:r>
      <w:r>
        <w:tab/>
        <w:t>becomes permanently incapable of performing his or her duties as a member; or</w:t>
      </w:r>
    </w:p>
    <w:p>
      <w:pPr>
        <w:pStyle w:val="Indenta"/>
      </w:pPr>
      <w:r>
        <w:tab/>
        <w:t>(c)</w:t>
      </w:r>
      <w:r>
        <w:tab/>
        <w:t>resigns his or her office by signing a written notice of resignation and giving it to the Minister; or</w:t>
      </w:r>
    </w:p>
    <w:p>
      <w:pPr>
        <w:pStyle w:val="Indenta"/>
      </w:pPr>
      <w:r>
        <w:tab/>
        <w:t>(d)</w:t>
      </w:r>
      <w:r>
        <w:tab/>
        <w:t>absents himself or herself, except on leave duly granted by the Minister, from meetings of that committee for a period exceeding 8 weeks; or</w:t>
      </w:r>
    </w:p>
    <w:p>
      <w:pPr>
        <w:pStyle w:val="Indenta"/>
      </w:pPr>
      <w:r>
        <w:tab/>
        <w:t>(e)</w:t>
      </w:r>
      <w:r>
        <w:tab/>
        <w:t>ceases to hold any qualification required for becoming or being a member,</w:t>
      </w:r>
    </w:p>
    <w:p>
      <w:pPr>
        <w:pStyle w:val="Subsection"/>
      </w:pPr>
      <w:r>
        <w:tab/>
      </w:r>
      <w:r>
        <w:tab/>
        <w:t>the office of that member becomes vacant.</w:t>
      </w:r>
    </w:p>
    <w:p>
      <w:pPr>
        <w:pStyle w:val="Footnotesection"/>
      </w:pPr>
      <w:r>
        <w:tab/>
        <w:t>[Section 23A inserted by No. 34 of 1998 s. 9; amended by No. 77 of 2006 Sch. 1 cl. 147(2); No. 39 of 2010 s. 89; No. 58 of 2010 s. 89 and 134.]</w:t>
      </w:r>
    </w:p>
    <w:p>
      <w:pPr>
        <w:pStyle w:val="Heading5"/>
      </w:pPr>
      <w:bookmarkStart w:id="27" w:name="_Toc404159027"/>
      <w:bookmarkStart w:id="28" w:name="_Toc468700924"/>
      <w:r>
        <w:rPr>
          <w:rStyle w:val="CharSectno"/>
        </w:rPr>
        <w:t>23B</w:t>
      </w:r>
      <w:r>
        <w:t>.</w:t>
      </w:r>
      <w:r>
        <w:tab/>
        <w:t>Minister may delegate s. 23A powers</w:t>
      </w:r>
      <w:bookmarkEnd w:id="27"/>
      <w:bookmarkEnd w:id="28"/>
    </w:p>
    <w:p>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 amended by No. 58 of 2010 s. 134.]</w:t>
      </w:r>
    </w:p>
    <w:p>
      <w:pPr>
        <w:pStyle w:val="Heading3"/>
      </w:pPr>
      <w:bookmarkStart w:id="29" w:name="_Toc404159028"/>
      <w:bookmarkStart w:id="30" w:name="_Toc424293054"/>
      <w:bookmarkStart w:id="31" w:name="_Toc435024417"/>
      <w:bookmarkStart w:id="32" w:name="_Toc468700925"/>
      <w:r>
        <w:rPr>
          <w:rStyle w:val="CharDivNo"/>
        </w:rPr>
        <w:t>Division 5</w:t>
      </w:r>
      <w:r>
        <w:t> — </w:t>
      </w:r>
      <w:r>
        <w:rPr>
          <w:rStyle w:val="CharDivText"/>
        </w:rPr>
        <w:t>Conciliation</w:t>
      </w:r>
      <w:bookmarkEnd w:id="29"/>
      <w:bookmarkEnd w:id="30"/>
      <w:bookmarkEnd w:id="31"/>
      <w:bookmarkEnd w:id="32"/>
    </w:p>
    <w:p>
      <w:pPr>
        <w:pStyle w:val="Footnoteheading"/>
        <w:keepNext/>
        <w:tabs>
          <w:tab w:val="clear" w:pos="879"/>
          <w:tab w:val="left" w:pos="890"/>
        </w:tabs>
      </w:pPr>
      <w:r>
        <w:tab/>
        <w:t>[Heading inserted by No. 34 of 1998 s. 9.]</w:t>
      </w:r>
    </w:p>
    <w:p>
      <w:pPr>
        <w:pStyle w:val="Heading5"/>
      </w:pPr>
      <w:bookmarkStart w:id="33" w:name="_Toc404159029"/>
      <w:bookmarkStart w:id="34" w:name="_Toc468700926"/>
      <w:r>
        <w:rPr>
          <w:rStyle w:val="CharSectno"/>
        </w:rPr>
        <w:t>23C</w:t>
      </w:r>
      <w:r>
        <w:t>.</w:t>
      </w:r>
      <w:r>
        <w:tab/>
        <w:t>Conciliation of disputes about transactions</w:t>
      </w:r>
      <w:bookmarkEnd w:id="33"/>
      <w:bookmarkEnd w:id="34"/>
    </w:p>
    <w:p>
      <w:pPr>
        <w:pStyle w:val="Subsection"/>
      </w:pPr>
      <w:r>
        <w:tab/>
        <w:t>(1)</w:t>
      </w:r>
      <w:r>
        <w:tab/>
        <w:t>The Commissioner, or a person nominated by the Commissioner, may act as a conciliator for the purposes of this section.</w:t>
      </w:r>
    </w:p>
    <w:p>
      <w:pPr>
        <w:pStyle w:val="Subsection"/>
      </w:pPr>
      <w:r>
        <w:tab/>
        <w:t>(2)</w:t>
      </w:r>
      <w:r>
        <w:tab/>
        <w:t>A conciliator’s function is to assist the parties to a transaction to resolve a dispute about the transaction by —</w:t>
      </w:r>
    </w:p>
    <w:p>
      <w:pPr>
        <w:pStyle w:val="Indenta"/>
      </w:pPr>
      <w:r>
        <w:tab/>
        <w:t>(a)</w:t>
      </w:r>
      <w:r>
        <w:tab/>
        <w:t>arranging for the parties to hold informal discussions about the dispute; and</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Evidence of anything said or admitted during the conciliation process —</w:t>
      </w:r>
    </w:p>
    <w:p>
      <w:pPr>
        <w:pStyle w:val="Indenta"/>
        <w:keepNext/>
      </w:pPr>
      <w:r>
        <w:tab/>
        <w:t>(a)</w:t>
      </w:r>
      <w:r>
        <w:tab/>
        <w:t>is not admissible in proceedings before a court or tribunal, whether under this Act or any other law; and</w:t>
      </w:r>
    </w:p>
    <w:p>
      <w:pPr>
        <w:pStyle w:val="Indenta"/>
      </w:pPr>
      <w:r>
        <w:tab/>
        <w:t>(b)</w:t>
      </w:r>
      <w:r>
        <w:tab/>
        <w:t>cannot be used as ground for an investigation or inquiry under this Act.</w:t>
      </w:r>
    </w:p>
    <w:p>
      <w:pPr>
        <w:pStyle w:val="Subsection"/>
        <w:keepNext/>
      </w:pPr>
      <w:r>
        <w:tab/>
        <w:t>(6)</w:t>
      </w:r>
      <w:r>
        <w:tab/>
        <w:t>Nothing in this section —</w:t>
      </w:r>
    </w:p>
    <w:p>
      <w:pPr>
        <w:pStyle w:val="Indenta"/>
      </w:pPr>
      <w:r>
        <w:tab/>
        <w:t>(a)</w:t>
      </w:r>
      <w:r>
        <w:tab/>
        <w:t>prevents the parties to a transaction from resolving a dispute in relation to the transaction at any time, whether through the conciliation process or not; or</w:t>
      </w:r>
    </w:p>
    <w:p>
      <w:pPr>
        <w:pStyle w:val="Indenta"/>
      </w:pPr>
      <w:r>
        <w:tab/>
        <w:t>(b)</w:t>
      </w:r>
      <w:r>
        <w:tab/>
        <w:t>requires a conciliator to participate in a conciliation process or the department to provide officers or other persons for that purpose.</w:t>
      </w:r>
    </w:p>
    <w:p>
      <w:pPr>
        <w:pStyle w:val="Subsection"/>
      </w:pPr>
      <w:r>
        <w:tab/>
        <w:t>(7)</w:t>
      </w:r>
      <w:r>
        <w:tab/>
        <w:t>In this section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 No. 58 of 2010 s. 90.]</w:t>
      </w:r>
    </w:p>
    <w:p>
      <w:pPr>
        <w:pStyle w:val="Heading2"/>
      </w:pPr>
      <w:bookmarkStart w:id="35" w:name="_Toc404159030"/>
      <w:bookmarkStart w:id="36" w:name="_Toc424293056"/>
      <w:bookmarkStart w:id="37" w:name="_Toc435024419"/>
      <w:bookmarkStart w:id="38" w:name="_Toc468700927"/>
      <w:r>
        <w:rPr>
          <w:rStyle w:val="CharPartNo"/>
        </w:rPr>
        <w:t>Part III</w:t>
      </w:r>
      <w:r>
        <w:rPr>
          <w:rStyle w:val="CharDivNo"/>
        </w:rPr>
        <w:t> </w:t>
      </w:r>
      <w:r>
        <w:t>—</w:t>
      </w:r>
      <w:r>
        <w:rPr>
          <w:rStyle w:val="CharDivText"/>
        </w:rPr>
        <w:t> </w:t>
      </w:r>
      <w:r>
        <w:rPr>
          <w:rStyle w:val="CharPartText"/>
        </w:rPr>
        <w:t>Licensing of agents</w:t>
      </w:r>
      <w:bookmarkEnd w:id="35"/>
      <w:bookmarkEnd w:id="36"/>
      <w:bookmarkEnd w:id="37"/>
      <w:bookmarkEnd w:id="38"/>
    </w:p>
    <w:p>
      <w:pPr>
        <w:pStyle w:val="Heading5"/>
        <w:rPr>
          <w:snapToGrid w:val="0"/>
        </w:rPr>
      </w:pPr>
      <w:bookmarkStart w:id="39" w:name="_Toc404159031"/>
      <w:bookmarkStart w:id="40" w:name="_Toc468700928"/>
      <w:r>
        <w:rPr>
          <w:rStyle w:val="CharSectno"/>
        </w:rPr>
        <w:t>24</w:t>
      </w:r>
      <w:r>
        <w:rPr>
          <w:snapToGrid w:val="0"/>
        </w:rPr>
        <w:t>.</w:t>
      </w:r>
      <w:r>
        <w:rPr>
          <w:snapToGrid w:val="0"/>
        </w:rPr>
        <w:tab/>
        <w:t>Applications for licences</w:t>
      </w:r>
      <w:bookmarkEnd w:id="39"/>
      <w:bookmarkEnd w:id="40"/>
    </w:p>
    <w:p>
      <w:pPr>
        <w:pStyle w:val="Subsection"/>
        <w:spacing w:before="120"/>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w:t>
      </w:r>
      <w:r>
        <w:tab/>
        <w:t>deleted]</w:t>
      </w:r>
    </w:p>
    <w:p>
      <w:pPr>
        <w:pStyle w:val="Subsection"/>
        <w:spacing w:before="120"/>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spacing w:before="120"/>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spacing w:before="120"/>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spacing w:before="100"/>
        <w:ind w:left="890" w:hanging="890"/>
      </w:pPr>
      <w:r>
        <w:tab/>
        <w:t>[Section 24 amended by No. 58 of 2010 s. 91 and 134; No. 23 of 2014 s. 70.]</w:t>
      </w:r>
    </w:p>
    <w:p>
      <w:pPr>
        <w:pStyle w:val="Ednotesection"/>
      </w:pPr>
      <w:r>
        <w:t>[</w:t>
      </w:r>
      <w:r>
        <w:rPr>
          <w:b/>
        </w:rPr>
        <w:t>25.</w:t>
      </w:r>
      <w:r>
        <w:tab/>
        <w:t>Deleted by No. 23 of 2014 s. 71.]</w:t>
      </w:r>
    </w:p>
    <w:p>
      <w:pPr>
        <w:pStyle w:val="Heading5"/>
        <w:rPr>
          <w:snapToGrid w:val="0"/>
        </w:rPr>
      </w:pPr>
      <w:bookmarkStart w:id="41" w:name="_Toc404159032"/>
      <w:bookmarkStart w:id="42" w:name="_Toc468700929"/>
      <w:r>
        <w:rPr>
          <w:rStyle w:val="CharSectno"/>
        </w:rPr>
        <w:t>26</w:t>
      </w:r>
      <w:r>
        <w:rPr>
          <w:snapToGrid w:val="0"/>
        </w:rPr>
        <w:t>.</w:t>
      </w:r>
      <w:r>
        <w:rPr>
          <w:snapToGrid w:val="0"/>
        </w:rPr>
        <w:tab/>
        <w:t>Real estate agents and business agents must be licensed</w:t>
      </w:r>
      <w:bookmarkEnd w:id="41"/>
      <w:bookmarkEnd w:id="42"/>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[Section 26 amended by No. 43 of 1994 s. 11.]</w:t>
      </w:r>
    </w:p>
    <w:p>
      <w:pPr>
        <w:pStyle w:val="Heading5"/>
        <w:rPr>
          <w:snapToGrid w:val="0"/>
        </w:rPr>
      </w:pPr>
      <w:bookmarkStart w:id="43" w:name="_Toc404159033"/>
      <w:bookmarkStart w:id="44" w:name="_Toc468700930"/>
      <w:r>
        <w:rPr>
          <w:rStyle w:val="CharSectno"/>
        </w:rPr>
        <w:t>27</w:t>
      </w:r>
      <w:r>
        <w:rPr>
          <w:snapToGrid w:val="0"/>
        </w:rPr>
        <w:t>.</w:t>
      </w:r>
      <w:r>
        <w:rPr>
          <w:snapToGrid w:val="0"/>
        </w:rPr>
        <w:tab/>
        <w:t>Natural persons, licensing of</w:t>
      </w:r>
      <w:bookmarkEnd w:id="43"/>
      <w:bookmarkEnd w:id="44"/>
    </w:p>
    <w:p>
      <w:pPr>
        <w:pStyle w:val="Subsection"/>
        <w:keepNext/>
        <w:rPr>
          <w:snapToGrid w:val="0"/>
        </w:rPr>
      </w:pPr>
      <w:r>
        <w:rPr>
          <w:snapToGrid w:val="0"/>
        </w:rPr>
        <w:tab/>
        <w:t>(1)</w:t>
      </w:r>
      <w:r>
        <w:rPr>
          <w:snapToGrid w:val="0"/>
        </w:rPr>
        <w:tab/>
        <w:t xml:space="preserve">Subject to this Act, a person, not being a body corporate,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 and</w:t>
      </w:r>
    </w:p>
    <w:p>
      <w:pPr>
        <w:pStyle w:val="Indenta"/>
        <w:rPr>
          <w:snapToGrid w:val="0"/>
        </w:rPr>
      </w:pPr>
      <w:r>
        <w:rPr>
          <w:snapToGrid w:val="0"/>
        </w:rPr>
        <w:tab/>
        <w:t>(b)</w:t>
      </w:r>
      <w:r>
        <w:rPr>
          <w:snapToGrid w:val="0"/>
        </w:rPr>
        <w:tab/>
        <w:t>he is a person of good character and repute and a fit and proper person to hold a licence; and</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w:t>
      </w:r>
      <w:r>
        <w:t xml:space="preserve">Schedule 1 </w:t>
      </w:r>
      <w:r>
        <w:rPr>
          <w:snapToGrid w:val="0"/>
        </w:rPr>
        <w:t>but subject to the savings and exceptions provided in this Act.</w:t>
      </w:r>
    </w:p>
    <w:p>
      <w:pPr>
        <w:pStyle w:val="Footnotesection"/>
      </w:pPr>
      <w:r>
        <w:tab/>
        <w:t>[Section 27 amended by No. 58 of 2010 s. 134; No. 23 of 2014 s. 72.]</w:t>
      </w:r>
    </w:p>
    <w:p>
      <w:pPr>
        <w:pStyle w:val="Heading5"/>
        <w:rPr>
          <w:snapToGrid w:val="0"/>
        </w:rPr>
      </w:pPr>
      <w:bookmarkStart w:id="45" w:name="_Toc404159034"/>
      <w:bookmarkStart w:id="46" w:name="_Toc468700931"/>
      <w:r>
        <w:rPr>
          <w:rStyle w:val="CharSectno"/>
        </w:rPr>
        <w:t>28</w:t>
      </w:r>
      <w:r>
        <w:rPr>
          <w:snapToGrid w:val="0"/>
        </w:rPr>
        <w:t>.</w:t>
      </w:r>
      <w:r>
        <w:rPr>
          <w:snapToGrid w:val="0"/>
        </w:rPr>
        <w:tab/>
        <w:t>Firms, licensing of</w:t>
      </w:r>
      <w:bookmarkEnd w:id="45"/>
      <w:bookmarkEnd w:id="46"/>
    </w:p>
    <w:p>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pPr>
      <w:r>
        <w:tab/>
        <w:t>[Section 28 amended by No. 58 of 2010 s. 134.]</w:t>
      </w:r>
    </w:p>
    <w:p>
      <w:pPr>
        <w:pStyle w:val="Heading5"/>
        <w:rPr>
          <w:snapToGrid w:val="0"/>
        </w:rPr>
      </w:pPr>
      <w:bookmarkStart w:id="47" w:name="_Toc404159035"/>
      <w:bookmarkStart w:id="48" w:name="_Toc468700932"/>
      <w:r>
        <w:rPr>
          <w:rStyle w:val="CharSectno"/>
        </w:rPr>
        <w:t>29</w:t>
      </w:r>
      <w:r>
        <w:rPr>
          <w:snapToGrid w:val="0"/>
        </w:rPr>
        <w:t>.</w:t>
      </w:r>
      <w:r>
        <w:rPr>
          <w:snapToGrid w:val="0"/>
        </w:rPr>
        <w:tab/>
        <w:t>Bodies corporate, licensing of</w:t>
      </w:r>
      <w:bookmarkEnd w:id="47"/>
      <w:bookmarkEnd w:id="48"/>
    </w:p>
    <w:p>
      <w:pPr>
        <w:pStyle w:val="Subsection"/>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that it has sufficient material and financial resources available to it to comply with the requirements of this Act; and</w:t>
      </w:r>
    </w:p>
    <w:p>
      <w:pPr>
        <w:pStyle w:val="Indenta"/>
        <w:spacing w:before="60"/>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pPr>
        <w:pStyle w:val="Indenta"/>
        <w:spacing w:before="60"/>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spacing w:before="80"/>
        <w:ind w:left="890" w:hanging="890"/>
      </w:pPr>
      <w:r>
        <w:tab/>
        <w:t>[Section 29 amended by No. 58 of 2010 s. 134.]</w:t>
      </w:r>
    </w:p>
    <w:p>
      <w:pPr>
        <w:pStyle w:val="Heading5"/>
        <w:spacing w:before="180"/>
        <w:rPr>
          <w:snapToGrid w:val="0"/>
        </w:rPr>
      </w:pPr>
      <w:bookmarkStart w:id="49" w:name="_Toc404159036"/>
      <w:bookmarkStart w:id="50" w:name="_Toc468700933"/>
      <w:r>
        <w:rPr>
          <w:rStyle w:val="CharSectno"/>
        </w:rPr>
        <w:t>30</w:t>
      </w:r>
      <w:r>
        <w:rPr>
          <w:snapToGrid w:val="0"/>
        </w:rPr>
        <w:t>.</w:t>
      </w:r>
      <w:r>
        <w:rPr>
          <w:snapToGrid w:val="0"/>
        </w:rPr>
        <w:tab/>
        <w:t>Licence, effect of</w:t>
      </w:r>
      <w:bookmarkEnd w:id="49"/>
      <w:bookmarkEnd w:id="50"/>
    </w:p>
    <w:p>
      <w:pPr>
        <w:pStyle w:val="Subsection"/>
        <w:spacing w:before="130"/>
        <w:rPr>
          <w:snapToGrid w:val="0"/>
        </w:rPr>
      </w:pPr>
      <w:r>
        <w:rPr>
          <w:snapToGrid w:val="0"/>
        </w:rPr>
        <w:tab/>
        <w:t>(1)</w:t>
      </w:r>
      <w:r>
        <w:rPr>
          <w:snapToGrid w:val="0"/>
        </w:rPr>
        <w:tab/>
        <w:t>Subject to this Act, a licence is continuous.</w:t>
      </w:r>
    </w:p>
    <w:p>
      <w:pPr>
        <w:pStyle w:val="Subsection"/>
        <w:spacing w:before="130"/>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spacing w:before="130"/>
        <w:rPr>
          <w:snapToGrid w:val="0"/>
        </w:rPr>
      </w:pPr>
      <w:r>
        <w:rPr>
          <w:snapToGrid w:val="0"/>
        </w:rPr>
        <w:tab/>
        <w:t>(2a)</w:t>
      </w:r>
      <w:r>
        <w:rPr>
          <w:snapToGrid w:val="0"/>
        </w:rPr>
        <w:tab/>
        <w:t>A licensee ceases to be licensed if the licensee —</w:t>
      </w:r>
    </w:p>
    <w:p>
      <w:pPr>
        <w:pStyle w:val="Indenta"/>
        <w:spacing w:before="60"/>
        <w:rPr>
          <w:snapToGrid w:val="0"/>
        </w:rPr>
      </w:pPr>
      <w:r>
        <w:rPr>
          <w:snapToGrid w:val="0"/>
        </w:rPr>
        <w:tab/>
        <w:t>(a)</w:t>
      </w:r>
      <w:r>
        <w:rPr>
          <w:snapToGrid w:val="0"/>
        </w:rPr>
        <w:tab/>
        <w:t>does not hold a current triennial certificate in respect of the licence; and</w:t>
      </w:r>
    </w:p>
    <w:p>
      <w:pPr>
        <w:pStyle w:val="Indenta"/>
        <w:spacing w:before="60"/>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pPr>
        <w:pStyle w:val="Subsection"/>
        <w:spacing w:before="130"/>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spacing w:before="130"/>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spacing w:before="80"/>
        <w:ind w:left="890" w:hanging="890"/>
      </w:pPr>
      <w:r>
        <w:tab/>
        <w:t>[Section 30 amended by No. 74 of 1980 s. 5; No. 56 of 1995 s. 40; No. 55 of 2004 s. 1006; No. 58 of 2010 s. 134.]</w:t>
      </w:r>
    </w:p>
    <w:p>
      <w:pPr>
        <w:pStyle w:val="Heading5"/>
        <w:rPr>
          <w:snapToGrid w:val="0"/>
        </w:rPr>
      </w:pPr>
      <w:bookmarkStart w:id="51" w:name="_Toc404159037"/>
      <w:bookmarkStart w:id="52" w:name="_Toc468700934"/>
      <w:r>
        <w:rPr>
          <w:rStyle w:val="CharSectno"/>
        </w:rPr>
        <w:t>31</w:t>
      </w:r>
      <w:r>
        <w:rPr>
          <w:snapToGrid w:val="0"/>
        </w:rPr>
        <w:t>.</w:t>
      </w:r>
      <w:r>
        <w:rPr>
          <w:snapToGrid w:val="0"/>
        </w:rPr>
        <w:tab/>
        <w:t>Triennial certificates, grant and renewal of</w:t>
      </w:r>
      <w:bookmarkEnd w:id="51"/>
      <w:bookmarkEnd w:id="52"/>
    </w:p>
    <w:p>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w:t>
      </w:r>
      <w:r>
        <w:t>Commissioner</w:t>
      </w:r>
      <w:r>
        <w:rPr>
          <w:snapToGrid w:val="0"/>
        </w:rPr>
        <w:t xml:space="preserve"> may refuse to renew a licensee’s triennial certificate if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 No. 58 of 2010 s. 134.]</w:t>
      </w:r>
    </w:p>
    <w:p>
      <w:pPr>
        <w:pStyle w:val="Heading5"/>
        <w:rPr>
          <w:snapToGrid w:val="0"/>
        </w:rPr>
      </w:pPr>
      <w:bookmarkStart w:id="53" w:name="_Toc404159038"/>
      <w:bookmarkStart w:id="54" w:name="_Toc468700935"/>
      <w:r>
        <w:rPr>
          <w:rStyle w:val="CharSectno"/>
        </w:rPr>
        <w:t>32</w:t>
      </w:r>
      <w:r>
        <w:rPr>
          <w:snapToGrid w:val="0"/>
        </w:rPr>
        <w:t>.</w:t>
      </w:r>
      <w:r>
        <w:rPr>
          <w:snapToGrid w:val="0"/>
        </w:rPr>
        <w:tab/>
        <w:t>Triennial certificates, late renewal of</w:t>
      </w:r>
      <w:bookmarkEnd w:id="53"/>
      <w:bookmarkEnd w:id="54"/>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 xml:space="preserve">Where a triennial certificate is renewed more than one month but not more than 12 months after the day on which the triennial certificate expired and the licensee satisfies the </w:t>
      </w:r>
      <w:r>
        <w:t>Commissioner</w:t>
      </w:r>
      <w:r>
        <w:rPr>
          <w:snapToGrid w:val="0"/>
        </w:rPr>
        <w:t xml:space="preserve"> that there is reasonable cause for the renewal to be deemed to take effect for the period of 3 years on and from the day next succeeding the day on which the triennial certificate expired, the </w:t>
      </w:r>
      <w:r>
        <w:t>Commissioner</w:t>
      </w:r>
      <w:r>
        <w:rPr>
          <w:snapToGrid w:val="0"/>
        </w:rPr>
        <w:t xml:space="preserve"> shall so determine and the renewal shall take effect accordingly.</w:t>
      </w:r>
    </w:p>
    <w:p>
      <w:pPr>
        <w:pStyle w:val="Footnotesection"/>
      </w:pPr>
      <w:r>
        <w:tab/>
        <w:t>[Section 32 amended by No. 58 of 2010 s. 134.]</w:t>
      </w:r>
    </w:p>
    <w:p>
      <w:pPr>
        <w:pStyle w:val="Heading5"/>
        <w:rPr>
          <w:snapToGrid w:val="0"/>
        </w:rPr>
      </w:pPr>
      <w:bookmarkStart w:id="55" w:name="_Toc404159039"/>
      <w:bookmarkStart w:id="56" w:name="_Toc468700936"/>
      <w:r>
        <w:rPr>
          <w:rStyle w:val="CharSectno"/>
        </w:rPr>
        <w:t>33</w:t>
      </w:r>
      <w:r>
        <w:rPr>
          <w:snapToGrid w:val="0"/>
        </w:rPr>
        <w:t>.</w:t>
      </w:r>
      <w:r>
        <w:rPr>
          <w:snapToGrid w:val="0"/>
        </w:rPr>
        <w:tab/>
        <w:t>Triennial certificates expired for over a year, applications to renew</w:t>
      </w:r>
      <w:bookmarkEnd w:id="55"/>
      <w:bookmarkEnd w:id="56"/>
    </w:p>
    <w:p>
      <w:pPr>
        <w:pStyle w:val="Subsection"/>
        <w:rPr>
          <w:snapToGrid w:val="0"/>
        </w:rPr>
      </w:pPr>
      <w:r>
        <w:rPr>
          <w:snapToGrid w:val="0"/>
        </w:rPr>
        <w:tab/>
        <w:t>(1)</w:t>
      </w:r>
      <w:r>
        <w:rPr>
          <w:snapToGrid w:val="0"/>
        </w:rPr>
        <w:tab/>
        <w:t xml:space="preserve">Where a triennial certificate expires and is not renewed within the period of 12 months thereafter an application for a renewal shall be made at least one month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(2)</w:t>
      </w:r>
      <w:r>
        <w:rPr>
          <w:snapToGrid w:val="0"/>
        </w:rPr>
        <w:tab/>
        <w:t xml:space="preserve">The application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33 amended by No. 58 of 2010 s. 93 and 134.]</w:t>
      </w:r>
    </w:p>
    <w:p>
      <w:pPr>
        <w:pStyle w:val="Heading5"/>
        <w:rPr>
          <w:snapToGrid w:val="0"/>
        </w:rPr>
      </w:pPr>
      <w:bookmarkStart w:id="57" w:name="_Toc404159040"/>
      <w:bookmarkStart w:id="58" w:name="_Toc468700937"/>
      <w:r>
        <w:rPr>
          <w:rStyle w:val="CharSectno"/>
        </w:rPr>
        <w:t>34</w:t>
      </w:r>
      <w:r>
        <w:rPr>
          <w:snapToGrid w:val="0"/>
        </w:rPr>
        <w:t>.</w:t>
      </w:r>
      <w:r>
        <w:rPr>
          <w:snapToGrid w:val="0"/>
        </w:rPr>
        <w:tab/>
        <w:t>Conditions on licences and triennial certificates</w:t>
      </w:r>
      <w:bookmarkEnd w:id="57"/>
      <w:bookmarkEnd w:id="58"/>
    </w:p>
    <w:p>
      <w:pPr>
        <w:pStyle w:val="Subsection"/>
        <w:rPr>
          <w:snapToGrid w:val="0"/>
        </w:rPr>
      </w:pPr>
      <w:r>
        <w:rPr>
          <w:snapToGrid w:val="0"/>
        </w:rPr>
        <w:tab/>
        <w:t>(1)</w:t>
      </w:r>
      <w:r>
        <w:rPr>
          <w:snapToGrid w:val="0"/>
        </w:rPr>
        <w:tab/>
        <w:t>A licensee shall comply with the provisions of this Act and the agents code of conduct.</w:t>
      </w:r>
    </w:p>
    <w:p>
      <w:pPr>
        <w:pStyle w:val="Subsection"/>
        <w:rPr>
          <w:snapToGrid w:val="0"/>
        </w:rPr>
      </w:pPr>
      <w:r>
        <w:rPr>
          <w:snapToGrid w:val="0"/>
        </w:rPr>
        <w:tab/>
        <w:t>(2)</w:t>
      </w:r>
      <w:r>
        <w:rPr>
          <w:snapToGrid w:val="0"/>
        </w:rPr>
        <w:tab/>
        <w:t xml:space="preserve">The </w:t>
      </w:r>
      <w:r>
        <w:t>Commissioner</w:t>
      </w:r>
      <w:r>
        <w:rPr>
          <w:snapToGrid w:val="0"/>
        </w:rPr>
        <w:t xml:space="preserve"> may grant a licence or grant or renew a triennial certificate subject to such special conditions as the </w:t>
      </w:r>
      <w:r>
        <w:t>Commissioner</w:t>
      </w:r>
      <w:r>
        <w:rPr>
          <w:snapToGrid w:val="0"/>
        </w:rPr>
        <w:t xml:space="preserve"> thinks fit.</w:t>
      </w:r>
    </w:p>
    <w:p>
      <w:pPr>
        <w:pStyle w:val="Subsection"/>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[Section 34 amended by No. 56 of 1995 s. 41; No. 34 of 1998 s. 11; No. 58 of 2010 s. 134.]</w:t>
      </w:r>
    </w:p>
    <w:p>
      <w:pPr>
        <w:pStyle w:val="Heading5"/>
      </w:pPr>
      <w:bookmarkStart w:id="59" w:name="_Toc404159041"/>
      <w:bookmarkStart w:id="60" w:name="_Toc468700938"/>
      <w:r>
        <w:rPr>
          <w:rStyle w:val="CharSectno"/>
        </w:rPr>
        <w:t>34A</w:t>
      </w:r>
      <w:r>
        <w:rPr>
          <w:snapToGrid w:val="0"/>
        </w:rPr>
        <w:t>.</w:t>
      </w:r>
      <w:r>
        <w:tab/>
        <w:t>Commissioner may grant licence or triennial certificate without notice to applicant</w:t>
      </w:r>
      <w:bookmarkEnd w:id="59"/>
      <w:bookmarkEnd w:id="60"/>
    </w:p>
    <w:p>
      <w:pPr>
        <w:pStyle w:val="Subsection"/>
      </w:pPr>
      <w:r>
        <w:tab/>
        <w:t>(1)</w:t>
      </w:r>
      <w:r>
        <w:tab/>
        <w:t>Subject to this Part, a licence may be granted and a triennial certificate may be granted or renewed (as long as special conditions are not imposed or changed), by the 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pPr>
        <w:pStyle w:val="Footnotesection"/>
      </w:pPr>
      <w:r>
        <w:tab/>
        <w:t>[Section 34A inserted by No. 55 of 2004 s. 1008; amended by No. 58 of 2010 s. 94 and 134; No. 23 of 2014 s. 73.]</w:t>
      </w:r>
    </w:p>
    <w:p>
      <w:pPr>
        <w:pStyle w:val="Heading5"/>
      </w:pPr>
      <w:bookmarkStart w:id="61" w:name="_Toc404159042"/>
      <w:bookmarkStart w:id="62" w:name="_Toc468700939"/>
      <w:r>
        <w:rPr>
          <w:rStyle w:val="CharSectno"/>
        </w:rPr>
        <w:t>34B</w:t>
      </w:r>
      <w:r>
        <w:t>.</w:t>
      </w:r>
      <w:r>
        <w:tab/>
        <w:t>SAT may suspend licence in some cases</w:t>
      </w:r>
      <w:bookmarkEnd w:id="61"/>
      <w:bookmarkEnd w:id="62"/>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63" w:name="_Toc404159043"/>
      <w:bookmarkStart w:id="64" w:name="_Toc468700940"/>
      <w:r>
        <w:rPr>
          <w:rStyle w:val="CharSectno"/>
        </w:rPr>
        <w:t>35</w:t>
      </w:r>
      <w:r>
        <w:rPr>
          <w:snapToGrid w:val="0"/>
        </w:rPr>
        <w:t>.</w:t>
      </w:r>
      <w:r>
        <w:rPr>
          <w:snapToGrid w:val="0"/>
        </w:rPr>
        <w:tab/>
      </w:r>
      <w:r>
        <w:t>Licensee to notify Commissioner when commencing or ceasing business</w:t>
      </w:r>
      <w:bookmarkEnd w:id="63"/>
      <w:bookmarkEnd w:id="64"/>
    </w:p>
    <w:p>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pPr>
        <w:pStyle w:val="Footnotesection"/>
      </w:pPr>
      <w:r>
        <w:tab/>
        <w:t>[Section 35 amended by No. 58 of 2010 s. 134.]</w:t>
      </w:r>
    </w:p>
    <w:p>
      <w:pPr>
        <w:pStyle w:val="Heading5"/>
        <w:rPr>
          <w:snapToGrid w:val="0"/>
        </w:rPr>
      </w:pPr>
      <w:bookmarkStart w:id="65" w:name="_Toc404159044"/>
      <w:bookmarkStart w:id="66" w:name="_Toc468700941"/>
      <w:r>
        <w:rPr>
          <w:rStyle w:val="CharSectno"/>
        </w:rPr>
        <w:t>36</w:t>
      </w:r>
      <w:r>
        <w:rPr>
          <w:snapToGrid w:val="0"/>
        </w:rPr>
        <w:t>.</w:t>
      </w:r>
      <w:r>
        <w:rPr>
          <w:snapToGrid w:val="0"/>
        </w:rPr>
        <w:tab/>
        <w:t>Registered office of licensee</w:t>
      </w:r>
      <w:bookmarkEnd w:id="65"/>
      <w:bookmarkEnd w:id="66"/>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r>
        <w:tab/>
        <w:t>[Section 36 amended by No. 43 of 1994 s. 11; No. 58 of 2010 s. 134.]</w:t>
      </w:r>
    </w:p>
    <w:p>
      <w:pPr>
        <w:pStyle w:val="Heading5"/>
        <w:rPr>
          <w:snapToGrid w:val="0"/>
        </w:rPr>
      </w:pPr>
      <w:bookmarkStart w:id="67" w:name="_Toc404159045"/>
      <w:bookmarkStart w:id="68" w:name="_Toc468700942"/>
      <w:r>
        <w:rPr>
          <w:rStyle w:val="CharSectno"/>
        </w:rPr>
        <w:t>37</w:t>
      </w:r>
      <w:r>
        <w:rPr>
          <w:snapToGrid w:val="0"/>
        </w:rPr>
        <w:t>.</w:t>
      </w:r>
      <w:r>
        <w:rPr>
          <w:snapToGrid w:val="0"/>
        </w:rPr>
        <w:tab/>
        <w:t>Branch office of licensee</w:t>
      </w:r>
      <w:bookmarkEnd w:id="67"/>
      <w:bookmarkEnd w:id="68"/>
    </w:p>
    <w:p>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[Section 37 amended by No. 43 of 1994 s. 11; No. 58 of 2010 s. 134.]</w:t>
      </w:r>
    </w:p>
    <w:p>
      <w:pPr>
        <w:pStyle w:val="Heading5"/>
        <w:rPr>
          <w:snapToGrid w:val="0"/>
        </w:rPr>
      </w:pPr>
      <w:bookmarkStart w:id="69" w:name="_Toc404159046"/>
      <w:bookmarkStart w:id="70" w:name="_Toc468700943"/>
      <w:r>
        <w:rPr>
          <w:rStyle w:val="CharSectno"/>
        </w:rPr>
        <w:t>38</w:t>
      </w:r>
      <w:r>
        <w:rPr>
          <w:snapToGrid w:val="0"/>
        </w:rPr>
        <w:t>.</w:t>
      </w:r>
      <w:r>
        <w:rPr>
          <w:snapToGrid w:val="0"/>
        </w:rPr>
        <w:tab/>
        <w:t>Triennial certificates, contents of</w:t>
      </w:r>
      <w:bookmarkEnd w:id="69"/>
      <w:bookmarkEnd w:id="70"/>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71" w:name="_Toc404159047"/>
      <w:bookmarkStart w:id="72" w:name="_Toc468700944"/>
      <w:r>
        <w:rPr>
          <w:rStyle w:val="CharSectno"/>
        </w:rPr>
        <w:t>39</w:t>
      </w:r>
      <w:r>
        <w:rPr>
          <w:snapToGrid w:val="0"/>
        </w:rPr>
        <w:t>.</w:t>
      </w:r>
      <w:r>
        <w:rPr>
          <w:snapToGrid w:val="0"/>
        </w:rPr>
        <w:tab/>
        <w:t>Licence and triennial certificate not transferable etc.</w:t>
      </w:r>
      <w:bookmarkEnd w:id="71"/>
      <w:bookmarkEnd w:id="72"/>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[Section 39 amended by No. 43 of 1994 s. 11.]</w:t>
      </w:r>
    </w:p>
    <w:p>
      <w:pPr>
        <w:pStyle w:val="Heading5"/>
      </w:pPr>
      <w:bookmarkStart w:id="73" w:name="_Toc404159048"/>
      <w:bookmarkStart w:id="74" w:name="_Toc468700945"/>
      <w:r>
        <w:rPr>
          <w:rStyle w:val="CharSectno"/>
        </w:rPr>
        <w:t>40A</w:t>
      </w:r>
      <w:r>
        <w:t>.</w:t>
      </w:r>
      <w:r>
        <w:tab/>
        <w:t>Duplicate licence, certificate of registration or triennial certificate</w:t>
      </w:r>
      <w:bookmarkEnd w:id="73"/>
      <w:bookmarkEnd w:id="74"/>
    </w:p>
    <w:p>
      <w:pPr>
        <w:pStyle w:val="Subsection"/>
      </w:pPr>
      <w:r>
        <w:tab/>
      </w:r>
      <w:r>
        <w:tab/>
        <w:t>If a licence, certificate of registration or triennial certificate has been lost or destroyed, the Commissioner may issue a duplicate licence, duplicate certificate of registration or duplicate triennial certificate on payment by the holder of the prescribed fee.</w:t>
      </w:r>
    </w:p>
    <w:p>
      <w:pPr>
        <w:pStyle w:val="Footnotesection"/>
      </w:pPr>
      <w:r>
        <w:tab/>
        <w:t>[Section 40A inserted by No. 23 of 2014 s. 74.]</w:t>
      </w:r>
    </w:p>
    <w:p>
      <w:pPr>
        <w:pStyle w:val="Heading5"/>
        <w:rPr>
          <w:snapToGrid w:val="0"/>
        </w:rPr>
      </w:pPr>
      <w:bookmarkStart w:id="75" w:name="_Toc404159049"/>
      <w:bookmarkStart w:id="76" w:name="_Toc468700946"/>
      <w:r>
        <w:rPr>
          <w:rStyle w:val="CharSectno"/>
        </w:rPr>
        <w:t>40</w:t>
      </w:r>
      <w:r>
        <w:rPr>
          <w:snapToGrid w:val="0"/>
        </w:rPr>
        <w:t>.</w:t>
      </w:r>
      <w:r>
        <w:rPr>
          <w:snapToGrid w:val="0"/>
        </w:rPr>
        <w:tab/>
        <w:t>Business names, use of by licensees</w:t>
      </w:r>
      <w:bookmarkEnd w:id="75"/>
      <w:bookmarkEnd w:id="76"/>
    </w:p>
    <w:p>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[Section 40 amended by No. 43 of 1994 s. 11; No. 58 of 2010 s. 134.]</w:t>
      </w:r>
    </w:p>
    <w:p>
      <w:pPr>
        <w:pStyle w:val="Heading5"/>
        <w:rPr>
          <w:snapToGrid w:val="0"/>
        </w:rPr>
      </w:pPr>
      <w:bookmarkStart w:id="77" w:name="_Toc404159050"/>
      <w:bookmarkStart w:id="78" w:name="_Toc468700947"/>
      <w:r>
        <w:rPr>
          <w:rStyle w:val="CharSectno"/>
        </w:rPr>
        <w:t>41</w:t>
      </w:r>
      <w:r>
        <w:rPr>
          <w:snapToGrid w:val="0"/>
        </w:rPr>
        <w:t>.</w:t>
      </w:r>
      <w:r>
        <w:rPr>
          <w:snapToGrid w:val="0"/>
        </w:rPr>
        <w:tab/>
        <w:t>Notices to be exhibited at offices; particulars to appear on documents</w:t>
      </w:r>
      <w:bookmarkEnd w:id="77"/>
      <w:bookmarkEnd w:id="78"/>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79" w:name="_Toc404159051"/>
      <w:bookmarkStart w:id="80" w:name="_Toc424293077"/>
      <w:bookmarkStart w:id="81" w:name="_Toc435024440"/>
      <w:bookmarkStart w:id="82" w:name="_Toc468700948"/>
      <w:r>
        <w:rPr>
          <w:rStyle w:val="CharPartNo"/>
        </w:rPr>
        <w:t>Part IV</w:t>
      </w:r>
      <w:r>
        <w:rPr>
          <w:rStyle w:val="CharDivNo"/>
        </w:rPr>
        <w:t> </w:t>
      </w:r>
      <w:r>
        <w:t>—</w:t>
      </w:r>
      <w:r>
        <w:rPr>
          <w:rStyle w:val="CharDivText"/>
        </w:rPr>
        <w:t> </w:t>
      </w:r>
      <w:r>
        <w:rPr>
          <w:rStyle w:val="CharPartText"/>
        </w:rPr>
        <w:t>Registration of sales representatives</w:t>
      </w:r>
      <w:bookmarkEnd w:id="79"/>
      <w:bookmarkEnd w:id="80"/>
      <w:bookmarkEnd w:id="81"/>
      <w:bookmarkEnd w:id="82"/>
    </w:p>
    <w:p>
      <w:pPr>
        <w:pStyle w:val="Heading5"/>
        <w:rPr>
          <w:snapToGrid w:val="0"/>
        </w:rPr>
      </w:pPr>
      <w:bookmarkStart w:id="83" w:name="_Toc404159052"/>
      <w:bookmarkStart w:id="84" w:name="_Toc468700949"/>
      <w:r>
        <w:rPr>
          <w:rStyle w:val="CharSectno"/>
        </w:rPr>
        <w:t>42</w:t>
      </w:r>
      <w:r>
        <w:rPr>
          <w:snapToGrid w:val="0"/>
        </w:rPr>
        <w:t>.</w:t>
      </w:r>
      <w:r>
        <w:rPr>
          <w:snapToGrid w:val="0"/>
        </w:rPr>
        <w:tab/>
        <w:t>Natural persons only may be registered</w:t>
      </w:r>
      <w:bookmarkEnd w:id="83"/>
      <w:bookmarkEnd w:id="84"/>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85" w:name="_Toc404159053"/>
      <w:bookmarkStart w:id="86" w:name="_Toc468700950"/>
      <w:r>
        <w:rPr>
          <w:rStyle w:val="CharSectno"/>
        </w:rPr>
        <w:t>43</w:t>
      </w:r>
      <w:r>
        <w:rPr>
          <w:snapToGrid w:val="0"/>
        </w:rPr>
        <w:t>.</w:t>
      </w:r>
      <w:r>
        <w:rPr>
          <w:snapToGrid w:val="0"/>
        </w:rPr>
        <w:tab/>
        <w:t>Applications for registration</w:t>
      </w:r>
      <w:bookmarkEnd w:id="85"/>
      <w:bookmarkEnd w:id="86"/>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(4)</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43 amended by No. 58 of 2010 s. 95 and 134.]</w:t>
      </w:r>
    </w:p>
    <w:p>
      <w:pPr>
        <w:pStyle w:val="Heading5"/>
        <w:rPr>
          <w:snapToGrid w:val="0"/>
        </w:rPr>
      </w:pPr>
      <w:bookmarkStart w:id="87" w:name="_Toc404159054"/>
      <w:bookmarkStart w:id="88" w:name="_Toc468700951"/>
      <w:r>
        <w:rPr>
          <w:rStyle w:val="CharSectno"/>
        </w:rPr>
        <w:t>44</w:t>
      </w:r>
      <w:r>
        <w:rPr>
          <w:snapToGrid w:val="0"/>
        </w:rPr>
        <w:t>.</w:t>
      </w:r>
      <w:r>
        <w:rPr>
          <w:snapToGrid w:val="0"/>
        </w:rPr>
        <w:tab/>
        <w:t>Real estate sales representatives must be registered etc.</w:t>
      </w:r>
      <w:bookmarkEnd w:id="87"/>
      <w:bookmarkEnd w:id="88"/>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[Section 44 amended by No. 43 of 1994 s. 11.]</w:t>
      </w:r>
    </w:p>
    <w:p>
      <w:pPr>
        <w:pStyle w:val="Heading5"/>
        <w:rPr>
          <w:snapToGrid w:val="0"/>
        </w:rPr>
      </w:pPr>
      <w:bookmarkStart w:id="89" w:name="_Toc404159055"/>
      <w:bookmarkStart w:id="90" w:name="_Toc468700952"/>
      <w:r>
        <w:rPr>
          <w:rStyle w:val="CharSectno"/>
        </w:rPr>
        <w:t>45</w:t>
      </w:r>
      <w:r>
        <w:rPr>
          <w:snapToGrid w:val="0"/>
        </w:rPr>
        <w:t>.</w:t>
      </w:r>
      <w:r>
        <w:rPr>
          <w:snapToGrid w:val="0"/>
        </w:rPr>
        <w:tab/>
        <w:t>Business sales representatives must be registered etc.</w:t>
      </w:r>
      <w:bookmarkEnd w:id="89"/>
      <w:bookmarkEnd w:id="90"/>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spacing w:before="180"/>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[Section 45 amended by No. 43 of 1994 s. 11.]</w:t>
      </w:r>
    </w:p>
    <w:p>
      <w:pPr>
        <w:pStyle w:val="Heading5"/>
        <w:spacing w:before="260"/>
        <w:rPr>
          <w:snapToGrid w:val="0"/>
        </w:rPr>
      </w:pPr>
      <w:bookmarkStart w:id="91" w:name="_Toc404159056"/>
      <w:bookmarkStart w:id="92" w:name="_Toc468700953"/>
      <w:r>
        <w:rPr>
          <w:rStyle w:val="CharSectno"/>
        </w:rPr>
        <w:t>46</w:t>
      </w:r>
      <w:r>
        <w:rPr>
          <w:snapToGrid w:val="0"/>
        </w:rPr>
        <w:t>.</w:t>
      </w:r>
      <w:r>
        <w:rPr>
          <w:snapToGrid w:val="0"/>
        </w:rPr>
        <w:tab/>
        <w:t>Partners and directors of licensees to be registered in certain cases</w:t>
      </w:r>
      <w:bookmarkEnd w:id="91"/>
      <w:bookmarkEnd w:id="92"/>
    </w:p>
    <w:p>
      <w:pPr>
        <w:pStyle w:val="Subsection"/>
        <w:keepNext/>
        <w:spacing w:before="180"/>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[Section 46 amended by No. 43 of 1994 s. 11.]</w:t>
      </w:r>
    </w:p>
    <w:p>
      <w:pPr>
        <w:pStyle w:val="Heading5"/>
        <w:spacing w:before="260"/>
        <w:rPr>
          <w:snapToGrid w:val="0"/>
        </w:rPr>
      </w:pPr>
      <w:bookmarkStart w:id="93" w:name="_Toc404159057"/>
      <w:bookmarkStart w:id="94" w:name="_Toc468700954"/>
      <w:r>
        <w:rPr>
          <w:rStyle w:val="CharSectno"/>
        </w:rPr>
        <w:t>47</w:t>
      </w:r>
      <w:r>
        <w:rPr>
          <w:snapToGrid w:val="0"/>
        </w:rPr>
        <w:t>.</w:t>
      </w:r>
      <w:r>
        <w:rPr>
          <w:snapToGrid w:val="0"/>
        </w:rPr>
        <w:tab/>
        <w:t>Natural persons, grant of certificate of registration to</w:t>
      </w:r>
      <w:bookmarkEnd w:id="93"/>
      <w:bookmarkEnd w:id="94"/>
    </w:p>
    <w:p>
      <w:pPr>
        <w:pStyle w:val="Subsection"/>
        <w:spacing w:before="180"/>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the prescribed fee for that certificate shall be granted and may hold a certificate of registration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Footnotesection"/>
      </w:pPr>
      <w:r>
        <w:tab/>
        <w:t>[Section 47 amended by No. 58 of 2010 s. 134.]</w:t>
      </w:r>
    </w:p>
    <w:p>
      <w:pPr>
        <w:pStyle w:val="Heading5"/>
        <w:rPr>
          <w:snapToGrid w:val="0"/>
        </w:rPr>
      </w:pPr>
      <w:bookmarkStart w:id="95" w:name="_Toc404159058"/>
      <w:bookmarkStart w:id="96" w:name="_Toc468700955"/>
      <w:r>
        <w:rPr>
          <w:rStyle w:val="CharSectno"/>
        </w:rPr>
        <w:t>48</w:t>
      </w:r>
      <w:r>
        <w:rPr>
          <w:snapToGrid w:val="0"/>
        </w:rPr>
        <w:t>.</w:t>
      </w:r>
      <w:r>
        <w:rPr>
          <w:snapToGrid w:val="0"/>
        </w:rPr>
        <w:tab/>
        <w:t>Certificates of registration, duration and renewal of</w:t>
      </w:r>
      <w:bookmarkEnd w:id="95"/>
      <w:bookmarkEnd w:id="96"/>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 xml:space="preserve">The </w:t>
      </w:r>
      <w:r>
        <w:t>Commissioner</w:t>
      </w:r>
      <w:r>
        <w:rPr>
          <w:snapToGrid w:val="0"/>
        </w:rPr>
        <w:t xml:space="preserve"> shall not renew a certificate of registration unless the </w:t>
      </w:r>
      <w:r>
        <w:t>Commissioner</w:t>
      </w:r>
      <w:r>
        <w:rPr>
          <w:snapToGrid w:val="0"/>
        </w:rPr>
        <w:t xml:space="preserve"> is satisfied that the sales representative was employed by a licensee at the time of making the application or will be employed by a licensee upon the renewal of the certificate.</w:t>
      </w:r>
    </w:p>
    <w:p>
      <w:pPr>
        <w:pStyle w:val="Subsection"/>
        <w:keepNext/>
        <w:keepLines/>
        <w:rPr>
          <w:snapToGrid w:val="0"/>
        </w:rPr>
      </w:pPr>
      <w:r>
        <w:rPr>
          <w:snapToGrid w:val="0"/>
        </w:rPr>
        <w:tab/>
        <w:t>(5)</w:t>
      </w:r>
      <w:r>
        <w:rPr>
          <w:snapToGrid w:val="0"/>
        </w:rPr>
        <w:tab/>
        <w:t xml:space="preserve">The </w:t>
      </w:r>
      <w:r>
        <w:t>Commissioner</w:t>
      </w:r>
      <w:r>
        <w:rPr>
          <w:snapToGrid w:val="0"/>
        </w:rPr>
        <w:t xml:space="preserve"> may refuse to renew a sales representative’s certificate of registration if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[Section 48 amended by No. 56 of 1995 s. 42; No. 34 of 1998 s. 12; No. 55 of 2004 s. 1009; No. 58 of 2010 s. 134.]</w:t>
      </w:r>
    </w:p>
    <w:p>
      <w:pPr>
        <w:pStyle w:val="Heading5"/>
        <w:rPr>
          <w:snapToGrid w:val="0"/>
        </w:rPr>
      </w:pPr>
      <w:bookmarkStart w:id="97" w:name="_Toc404159059"/>
      <w:bookmarkStart w:id="98" w:name="_Toc468700956"/>
      <w:r>
        <w:rPr>
          <w:rStyle w:val="CharSectno"/>
        </w:rPr>
        <w:t>49</w:t>
      </w:r>
      <w:r>
        <w:rPr>
          <w:snapToGrid w:val="0"/>
        </w:rPr>
        <w:t>.</w:t>
      </w:r>
      <w:r>
        <w:rPr>
          <w:snapToGrid w:val="0"/>
        </w:rPr>
        <w:tab/>
        <w:t>Certificates of registration, late renewal of</w:t>
      </w:r>
      <w:bookmarkEnd w:id="97"/>
      <w:bookmarkEnd w:id="98"/>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determines by statutory declaration.</w:t>
      </w:r>
    </w:p>
    <w:p>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49 amended by No. 56 of 1995 s. 43; No. 58 of 2010 s. 96 and 134.]</w:t>
      </w:r>
    </w:p>
    <w:p>
      <w:pPr>
        <w:pStyle w:val="Heading5"/>
        <w:rPr>
          <w:snapToGrid w:val="0"/>
        </w:rPr>
      </w:pPr>
      <w:bookmarkStart w:id="99" w:name="_Toc404159060"/>
      <w:bookmarkStart w:id="100" w:name="_Toc468700957"/>
      <w:r>
        <w:rPr>
          <w:rStyle w:val="CharSectno"/>
        </w:rPr>
        <w:t>50</w:t>
      </w:r>
      <w:r>
        <w:rPr>
          <w:snapToGrid w:val="0"/>
        </w:rPr>
        <w:t>.</w:t>
      </w:r>
      <w:r>
        <w:rPr>
          <w:snapToGrid w:val="0"/>
        </w:rPr>
        <w:tab/>
        <w:t>Duties of registered persons; Commissioner may impose special conditions on certificates of registration</w:t>
      </w:r>
      <w:bookmarkEnd w:id="99"/>
      <w:bookmarkEnd w:id="100"/>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 xml:space="preserve">The </w:t>
      </w:r>
      <w:r>
        <w:t>Commissioner</w:t>
      </w:r>
      <w:r>
        <w:rPr>
          <w:snapToGrid w:val="0"/>
        </w:rPr>
        <w:t xml:space="preserve"> may grant a certificate of registration or a renewal thereof subject to such special conditions as the </w:t>
      </w:r>
      <w:r>
        <w:t>Commissioner</w:t>
      </w:r>
      <w:r>
        <w:rPr>
          <w:snapToGrid w:val="0"/>
        </w:rPr>
        <w:t xml:space="preserve">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[Section 50 amended by No. 56 of 1995 s. 44; No. 34 of 1998 s. 13; No. 58 of 2010 s. 134.]</w:t>
      </w:r>
    </w:p>
    <w:p>
      <w:pPr>
        <w:pStyle w:val="Heading5"/>
      </w:pPr>
      <w:bookmarkStart w:id="101" w:name="_Toc404159061"/>
      <w:bookmarkStart w:id="102" w:name="_Toc468700958"/>
      <w:r>
        <w:rPr>
          <w:rStyle w:val="CharSectno"/>
        </w:rPr>
        <w:t>50A</w:t>
      </w:r>
      <w:r>
        <w:rPr>
          <w:snapToGrid w:val="0"/>
        </w:rPr>
        <w:t>.</w:t>
      </w:r>
      <w:r>
        <w:tab/>
        <w:t>Unopposed applications</w:t>
      </w:r>
      <w:bookmarkEnd w:id="101"/>
      <w:bookmarkEnd w:id="102"/>
    </w:p>
    <w:p>
      <w:pPr>
        <w:pStyle w:val="Subsection"/>
      </w:pPr>
      <w:r>
        <w:tab/>
        <w:t>(1)</w:t>
      </w:r>
      <w:r>
        <w:tab/>
        <w:t>Subject to this Part, a certificate of registration may be granted or renewed (as long as special conditions are not imposed or changed) by the Commissioner without notice to the applicant.</w:t>
      </w:r>
    </w:p>
    <w:p>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pPr>
        <w:pStyle w:val="Footnotesection"/>
        <w:keepLines w:val="0"/>
        <w:spacing w:before="100"/>
        <w:ind w:left="890" w:hanging="890"/>
      </w:pPr>
      <w:r>
        <w:tab/>
        <w:t>[Section 50A inserted by No. 55 of 2004 s. 1010; amended by No. 58 of 2010 s. 97 and 134.]</w:t>
      </w:r>
    </w:p>
    <w:p>
      <w:pPr>
        <w:pStyle w:val="Heading5"/>
      </w:pPr>
      <w:bookmarkStart w:id="103" w:name="_Toc404159062"/>
      <w:bookmarkStart w:id="104" w:name="_Toc468700959"/>
      <w:r>
        <w:rPr>
          <w:rStyle w:val="CharSectno"/>
        </w:rPr>
        <w:t>50B</w:t>
      </w:r>
      <w:r>
        <w:t>.</w:t>
      </w:r>
      <w:r>
        <w:tab/>
        <w:t>SAT may suspend registration in some cases</w:t>
      </w:r>
      <w:bookmarkEnd w:id="103"/>
      <w:bookmarkEnd w:id="104"/>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spacing w:before="100"/>
        <w:ind w:left="890" w:hanging="890"/>
      </w:pPr>
      <w:r>
        <w:tab/>
        <w:t>[Section 50B inserted by No. 55 of 2004 s. 1010.]</w:t>
      </w:r>
    </w:p>
    <w:p>
      <w:pPr>
        <w:pStyle w:val="Heading5"/>
        <w:rPr>
          <w:snapToGrid w:val="0"/>
        </w:rPr>
      </w:pPr>
      <w:bookmarkStart w:id="105" w:name="_Toc404159063"/>
      <w:bookmarkStart w:id="106" w:name="_Toc468700960"/>
      <w:r>
        <w:rPr>
          <w:rStyle w:val="CharSectno"/>
        </w:rPr>
        <w:t>51</w:t>
      </w:r>
      <w:r>
        <w:rPr>
          <w:snapToGrid w:val="0"/>
        </w:rPr>
        <w:t>.</w:t>
      </w:r>
      <w:r>
        <w:rPr>
          <w:snapToGrid w:val="0"/>
        </w:rPr>
        <w:tab/>
      </w:r>
      <w:r>
        <w:t>Registered sales representatives to notify Commissioner of certain changes</w:t>
      </w:r>
      <w:bookmarkEnd w:id="105"/>
      <w:bookmarkEnd w:id="106"/>
    </w:p>
    <w:p>
      <w:pPr>
        <w:pStyle w:val="Subsection"/>
        <w:spacing w:before="120"/>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pPr>
        <w:pStyle w:val="Subsection"/>
        <w:spacing w:before="120"/>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pPr>
        <w:pStyle w:val="Footnotesection"/>
        <w:spacing w:before="100"/>
        <w:ind w:left="890" w:hanging="890"/>
      </w:pPr>
      <w:r>
        <w:tab/>
        <w:t>[Section 51 amended by No. 56 of 1995 s. 45; No. 58 of 2010 s. 134.]</w:t>
      </w:r>
    </w:p>
    <w:p>
      <w:pPr>
        <w:pStyle w:val="Heading5"/>
        <w:rPr>
          <w:snapToGrid w:val="0"/>
        </w:rPr>
      </w:pPr>
      <w:bookmarkStart w:id="107" w:name="_Toc404159064"/>
      <w:bookmarkStart w:id="108" w:name="_Toc468700961"/>
      <w:r>
        <w:rPr>
          <w:rStyle w:val="CharSectno"/>
        </w:rPr>
        <w:t>52</w:t>
      </w:r>
      <w:r>
        <w:rPr>
          <w:snapToGrid w:val="0"/>
        </w:rPr>
        <w:t>.</w:t>
      </w:r>
      <w:r>
        <w:rPr>
          <w:snapToGrid w:val="0"/>
        </w:rPr>
        <w:tab/>
        <w:t>Certificate of registration not transferable</w:t>
      </w:r>
      <w:bookmarkEnd w:id="107"/>
      <w:bookmarkEnd w:id="108"/>
    </w:p>
    <w:p>
      <w:pPr>
        <w:pStyle w:val="Subsection"/>
        <w:spacing w:before="120"/>
        <w:rPr>
          <w:snapToGrid w:val="0"/>
        </w:rPr>
      </w:pPr>
      <w:r>
        <w:rPr>
          <w:snapToGrid w:val="0"/>
        </w:rPr>
        <w:tab/>
        <w:t>(1)</w:t>
      </w:r>
      <w:r>
        <w:rPr>
          <w:snapToGrid w:val="0"/>
        </w:rPr>
        <w:tab/>
        <w:t>A certificate of registration is not transferable.</w:t>
      </w:r>
    </w:p>
    <w:p>
      <w:pPr>
        <w:pStyle w:val="Subsection"/>
        <w:spacing w:before="120"/>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spacing w:before="60"/>
        <w:rPr>
          <w:snapToGrid w:val="0"/>
        </w:rPr>
      </w:pPr>
      <w:r>
        <w:rPr>
          <w:snapToGrid w:val="0"/>
        </w:rPr>
        <w:tab/>
        <w:t>Penalty: $3 000.</w:t>
      </w:r>
    </w:p>
    <w:p>
      <w:pPr>
        <w:pStyle w:val="Footnotesection"/>
        <w:spacing w:before="100"/>
        <w:ind w:left="890" w:hanging="890"/>
      </w:pPr>
      <w:r>
        <w:tab/>
        <w:t>[Section 52 amended by No. 43 of 1994 s. 11.]</w:t>
      </w:r>
    </w:p>
    <w:p>
      <w:pPr>
        <w:pStyle w:val="Heading5"/>
        <w:spacing w:before="180"/>
        <w:rPr>
          <w:snapToGrid w:val="0"/>
        </w:rPr>
      </w:pPr>
      <w:bookmarkStart w:id="109" w:name="_Toc404159065"/>
      <w:bookmarkStart w:id="110" w:name="_Toc468700962"/>
      <w:r>
        <w:rPr>
          <w:rStyle w:val="CharSectno"/>
        </w:rPr>
        <w:t>53</w:t>
      </w:r>
      <w:r>
        <w:rPr>
          <w:snapToGrid w:val="0"/>
        </w:rPr>
        <w:t>.</w:t>
      </w:r>
      <w:r>
        <w:rPr>
          <w:snapToGrid w:val="0"/>
        </w:rPr>
        <w:tab/>
        <w:t>Certificate of registration, surrender of</w:t>
      </w:r>
      <w:bookmarkEnd w:id="109"/>
      <w:bookmarkEnd w:id="110"/>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spacing w:before="120"/>
        <w:rPr>
          <w:snapToGrid w:val="0"/>
        </w:rPr>
      </w:pPr>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spacing w:before="90"/>
        <w:ind w:left="890" w:hanging="890"/>
      </w:pPr>
      <w:r>
        <w:tab/>
        <w:t>[Section 53 amended by No. 55 of 2004 s. 1011.]</w:t>
      </w:r>
    </w:p>
    <w:p>
      <w:pPr>
        <w:pStyle w:val="Heading5"/>
        <w:spacing w:before="180"/>
        <w:rPr>
          <w:snapToGrid w:val="0"/>
        </w:rPr>
      </w:pPr>
      <w:bookmarkStart w:id="111" w:name="_Toc404159066"/>
      <w:bookmarkStart w:id="112" w:name="_Toc468700963"/>
      <w:r>
        <w:rPr>
          <w:rStyle w:val="CharSectno"/>
        </w:rPr>
        <w:t>54</w:t>
      </w:r>
      <w:r>
        <w:rPr>
          <w:snapToGrid w:val="0"/>
        </w:rPr>
        <w:t>.</w:t>
      </w:r>
      <w:r>
        <w:rPr>
          <w:snapToGrid w:val="0"/>
        </w:rPr>
        <w:tab/>
        <w:t>Sales representatives, employment of</w:t>
      </w:r>
      <w:bookmarkEnd w:id="111"/>
      <w:bookmarkEnd w:id="112"/>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Footnotesection"/>
        <w:spacing w:before="90"/>
        <w:ind w:left="890" w:hanging="890"/>
      </w:pPr>
      <w:r>
        <w:tab/>
        <w:t>[Section 54 amended by No. 43 of 1994 s. 11.]</w:t>
      </w:r>
    </w:p>
    <w:p>
      <w:pPr>
        <w:pStyle w:val="Heading5"/>
        <w:rPr>
          <w:snapToGrid w:val="0"/>
        </w:rPr>
      </w:pPr>
      <w:bookmarkStart w:id="113" w:name="_Toc404159067"/>
      <w:bookmarkStart w:id="114" w:name="_Toc468700964"/>
      <w:r>
        <w:rPr>
          <w:rStyle w:val="CharSectno"/>
        </w:rPr>
        <w:t>55</w:t>
      </w:r>
      <w:r>
        <w:rPr>
          <w:snapToGrid w:val="0"/>
        </w:rPr>
        <w:t>.</w:t>
      </w:r>
      <w:r>
        <w:rPr>
          <w:snapToGrid w:val="0"/>
        </w:rPr>
        <w:tab/>
        <w:t>Sales representative to be in service of one person</w:t>
      </w:r>
      <w:bookmarkEnd w:id="113"/>
      <w:bookmarkEnd w:id="114"/>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[Section 55 amended by No. 43 of 1994 s. 11.]</w:t>
      </w:r>
    </w:p>
    <w:p>
      <w:pPr>
        <w:pStyle w:val="Heading2"/>
      </w:pPr>
      <w:bookmarkStart w:id="115" w:name="_Toc404159068"/>
      <w:bookmarkStart w:id="116" w:name="_Toc424293094"/>
      <w:bookmarkStart w:id="117" w:name="_Toc435024457"/>
      <w:bookmarkStart w:id="118" w:name="_Toc468700965"/>
      <w:r>
        <w:rPr>
          <w:rStyle w:val="CharPartNo"/>
        </w:rPr>
        <w:t>Part V</w:t>
      </w:r>
      <w:r>
        <w:rPr>
          <w:rStyle w:val="CharDivNo"/>
        </w:rPr>
        <w:t> </w:t>
      </w:r>
      <w:r>
        <w:t>—</w:t>
      </w:r>
      <w:r>
        <w:rPr>
          <w:rStyle w:val="CharDivText"/>
        </w:rPr>
        <w:t> </w:t>
      </w:r>
      <w:r>
        <w:rPr>
          <w:rStyle w:val="CharPartText"/>
        </w:rPr>
        <w:t>General controls</w:t>
      </w:r>
      <w:bookmarkEnd w:id="115"/>
      <w:bookmarkEnd w:id="116"/>
      <w:bookmarkEnd w:id="117"/>
      <w:bookmarkEnd w:id="118"/>
    </w:p>
    <w:p>
      <w:pPr>
        <w:pStyle w:val="Heading5"/>
        <w:rPr>
          <w:snapToGrid w:val="0"/>
        </w:rPr>
      </w:pPr>
      <w:bookmarkStart w:id="119" w:name="_Toc404159069"/>
      <w:bookmarkStart w:id="120" w:name="_Toc468700966"/>
      <w:r>
        <w:rPr>
          <w:rStyle w:val="CharSectno"/>
        </w:rPr>
        <w:t>56</w:t>
      </w:r>
      <w:r>
        <w:rPr>
          <w:snapToGrid w:val="0"/>
        </w:rPr>
        <w:t>.</w:t>
      </w:r>
      <w:r>
        <w:rPr>
          <w:snapToGrid w:val="0"/>
        </w:rPr>
        <w:tab/>
        <w:t>Franchising agreements, licensee not to carry on business under without Commissioner’s approval</w:t>
      </w:r>
      <w:bookmarkEnd w:id="119"/>
      <w:bookmarkEnd w:id="120"/>
    </w:p>
    <w:p>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w:t>
      </w:r>
    </w:p>
    <w:p>
      <w:pPr>
        <w:pStyle w:val="Indenta"/>
        <w:rPr>
          <w:snapToGrid w:val="0"/>
        </w:rPr>
      </w:pPr>
      <w:r>
        <w:rPr>
          <w:snapToGrid w:val="0"/>
        </w:rPr>
        <w:tab/>
        <w:t>(a)</w:t>
      </w:r>
      <w:r>
        <w:rPr>
          <w:snapToGrid w:val="0"/>
        </w:rPr>
        <w:tab/>
        <w:t>each party to the agreement is liable to penalties imposed for failure to comply with the provisions of Part VI; and</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[Section 56 amended by No. 43 of 1994 s. 11; No. 58 of 2010 s. 134.]</w:t>
      </w:r>
    </w:p>
    <w:p>
      <w:pPr>
        <w:pStyle w:val="Heading5"/>
        <w:rPr>
          <w:snapToGrid w:val="0"/>
        </w:rPr>
      </w:pPr>
      <w:bookmarkStart w:id="121" w:name="_Toc404159070"/>
      <w:bookmarkStart w:id="122" w:name="_Toc468700967"/>
      <w:r>
        <w:rPr>
          <w:rStyle w:val="CharSectno"/>
        </w:rPr>
        <w:t>57</w:t>
      </w:r>
      <w:r>
        <w:rPr>
          <w:snapToGrid w:val="0"/>
        </w:rPr>
        <w:t>.</w:t>
      </w:r>
      <w:r>
        <w:rPr>
          <w:snapToGrid w:val="0"/>
        </w:rPr>
        <w:tab/>
        <w:t>Developers, principal place of business to be registered and service on</w:t>
      </w:r>
      <w:bookmarkEnd w:id="121"/>
      <w:bookmarkEnd w:id="122"/>
    </w:p>
    <w:p>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[Section 57 amended by No. 43 of 1994 s. 11; No. 58 of 2010 s. 134.]</w:t>
      </w:r>
    </w:p>
    <w:p>
      <w:pPr>
        <w:pStyle w:val="Heading5"/>
        <w:rPr>
          <w:snapToGrid w:val="0"/>
        </w:rPr>
      </w:pPr>
      <w:bookmarkStart w:id="123" w:name="_Toc404159071"/>
      <w:bookmarkStart w:id="124" w:name="_Toc468700968"/>
      <w:r>
        <w:rPr>
          <w:rStyle w:val="CharSectno"/>
        </w:rPr>
        <w:t>58</w:t>
      </w:r>
      <w:r>
        <w:rPr>
          <w:snapToGrid w:val="0"/>
        </w:rPr>
        <w:t>.</w:t>
      </w:r>
      <w:r>
        <w:rPr>
          <w:snapToGrid w:val="0"/>
        </w:rPr>
        <w:tab/>
        <w:t>Developer to notify Commissioner of change in principal place of business</w:t>
      </w:r>
      <w:bookmarkEnd w:id="123"/>
      <w:bookmarkEnd w:id="124"/>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pPr>
        <w:pStyle w:val="Footnotesection"/>
      </w:pPr>
      <w:r>
        <w:tab/>
        <w:t>[Section 58 amended by No. 43 of 1994 s. 11; No. 58 of 2010 s. 134.]</w:t>
      </w:r>
    </w:p>
    <w:p>
      <w:pPr>
        <w:pStyle w:val="Heading5"/>
        <w:rPr>
          <w:snapToGrid w:val="0"/>
        </w:rPr>
      </w:pPr>
      <w:bookmarkStart w:id="125" w:name="_Toc404159072"/>
      <w:bookmarkStart w:id="126" w:name="_Toc468700969"/>
      <w:r>
        <w:rPr>
          <w:rStyle w:val="CharSectno"/>
        </w:rPr>
        <w:t>59</w:t>
      </w:r>
      <w:r>
        <w:rPr>
          <w:snapToGrid w:val="0"/>
        </w:rPr>
        <w:t>.</w:t>
      </w:r>
      <w:r>
        <w:rPr>
          <w:snapToGrid w:val="0"/>
        </w:rPr>
        <w:tab/>
        <w:t>Developer to keep records of real estate transactions</w:t>
      </w:r>
      <w:bookmarkEnd w:id="125"/>
      <w:bookmarkEnd w:id="126"/>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127" w:name="_Toc404159073"/>
      <w:bookmarkStart w:id="128" w:name="_Toc468700970"/>
      <w:r>
        <w:rPr>
          <w:rStyle w:val="CharSectno"/>
        </w:rPr>
        <w:t>60</w:t>
      </w:r>
      <w:r>
        <w:rPr>
          <w:snapToGrid w:val="0"/>
        </w:rPr>
        <w:t>.</w:t>
      </w:r>
      <w:r>
        <w:rPr>
          <w:snapToGrid w:val="0"/>
        </w:rPr>
        <w:tab/>
        <w:t>Agent not entitled to commission etc. unless licensed and validly appointed</w:t>
      </w:r>
      <w:bookmarkEnd w:id="127"/>
      <w:bookmarkEnd w:id="128"/>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w:t>
      </w:r>
    </w:p>
    <w:p>
      <w:pPr>
        <w:pStyle w:val="Indenta"/>
        <w:keepNext/>
        <w:rPr>
          <w:snapToGrid w:val="0"/>
        </w:rPr>
      </w:pPr>
      <w:r>
        <w:rPr>
          <w:snapToGrid w:val="0"/>
        </w:rPr>
        <w:tab/>
        <w:t>(a)</w:t>
      </w:r>
      <w:r>
        <w:rPr>
          <w:snapToGrid w:val="0"/>
        </w:rPr>
        <w:tab/>
        <w:t>it is contained in a document which —</w:t>
      </w:r>
    </w:p>
    <w:p>
      <w:pPr>
        <w:pStyle w:val="Indenti"/>
        <w:rPr>
          <w:snapToGrid w:val="0"/>
        </w:rPr>
      </w:pPr>
      <w:r>
        <w:rPr>
          <w:snapToGrid w:val="0"/>
        </w:rPr>
        <w:tab/>
        <w:t>(i)</w:t>
      </w:r>
      <w:r>
        <w:rPr>
          <w:snapToGrid w:val="0"/>
        </w:rPr>
        <w:tab/>
        <w:t>clearly sets out the services that are or are to be rendered; and</w:t>
      </w:r>
    </w:p>
    <w:p>
      <w:pPr>
        <w:pStyle w:val="Indenti"/>
        <w:rPr>
          <w:snapToGrid w:val="0"/>
        </w:rPr>
      </w:pPr>
      <w:r>
        <w:rPr>
          <w:snapToGrid w:val="0"/>
        </w:rPr>
        <w:tab/>
        <w:t>(ii)</w:t>
      </w:r>
      <w:r>
        <w:rPr>
          <w:snapToGrid w:val="0"/>
        </w:rPr>
        <w:tab/>
        <w:t>where specific property is to be the subject of those services, clearly identifies the property; and</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[Section 60 amended by No. 43 of 1994 s. 11; No. 59 of 1995 s. 9; No. 34 of 1998 s. 14.]</w:t>
      </w:r>
    </w:p>
    <w:p>
      <w:pPr>
        <w:pStyle w:val="Heading5"/>
        <w:rPr>
          <w:snapToGrid w:val="0"/>
        </w:rPr>
      </w:pPr>
      <w:bookmarkStart w:id="129" w:name="_Toc404159074"/>
      <w:bookmarkStart w:id="130" w:name="_Toc468700971"/>
      <w:r>
        <w:rPr>
          <w:rStyle w:val="CharSectno"/>
        </w:rPr>
        <w:t>61</w:t>
      </w:r>
      <w:r>
        <w:rPr>
          <w:snapToGrid w:val="0"/>
        </w:rPr>
        <w:t>.</w:t>
      </w:r>
      <w:r>
        <w:rPr>
          <w:snapToGrid w:val="0"/>
        </w:rPr>
        <w:tab/>
        <w:t>Maximum remuneration of licensees, fixing of etc.</w:t>
      </w:r>
      <w:bookmarkEnd w:id="129"/>
      <w:bookmarkEnd w:id="130"/>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spacing w:before="140"/>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spacing w:before="140"/>
        <w:rPr>
          <w:snapToGrid w:val="0"/>
        </w:rPr>
      </w:pPr>
      <w:r>
        <w:rPr>
          <w:snapToGrid w:val="0"/>
        </w:rPr>
        <w:tab/>
        <w:t>(4a)</w:t>
      </w:r>
      <w:r>
        <w:rPr>
          <w:snapToGrid w:val="0"/>
        </w:rPr>
        <w:tab/>
        <w:t>In subsection (4) —</w:t>
      </w:r>
    </w:p>
    <w:p>
      <w:pPr>
        <w:pStyle w:val="Defstart"/>
        <w:spacing w:before="60"/>
      </w:pPr>
      <w:r>
        <w:tab/>
      </w:r>
      <w:r>
        <w:rPr>
          <w:rStyle w:val="CharDefText"/>
        </w:rPr>
        <w:t>settlement</w:t>
      </w:r>
      <w:r>
        <w:t>, in relation to a transaction —</w:t>
      </w:r>
    </w:p>
    <w:p>
      <w:pPr>
        <w:pStyle w:val="Defpara"/>
        <w:spacing w:before="60"/>
      </w:pPr>
      <w:r>
        <w:tab/>
        <w:t>(a)</w:t>
      </w:r>
      <w:r>
        <w:tab/>
        <w:t>where the transaction is to be completed by the payment of the purchase price by way of a single payment (over and above the deposit), means the payment of the purchase price; or</w:t>
      </w:r>
    </w:p>
    <w:p>
      <w:pPr>
        <w:pStyle w:val="Defpara"/>
        <w:spacing w:before="60"/>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spacing w:before="60"/>
      </w:pPr>
      <w:r>
        <w:tab/>
        <w:t>(c)</w:t>
      </w:r>
      <w:r>
        <w:tab/>
        <w:t>where the transaction is of a kind specified in regulations, has the meaning prescribed by the regulations in relation to that kind of transaction;</w:t>
      </w:r>
    </w:p>
    <w:p>
      <w:pPr>
        <w:pStyle w:val="Defstart"/>
        <w:spacing w:before="60"/>
      </w:pPr>
      <w:r>
        <w:tab/>
      </w:r>
      <w:r>
        <w:rPr>
          <w:rStyle w:val="CharDefText"/>
        </w:rPr>
        <w:t>transaction</w:t>
      </w:r>
      <w:r>
        <w:t xml:space="preserve"> means —</w:t>
      </w:r>
    </w:p>
    <w:p>
      <w:pPr>
        <w:pStyle w:val="Defpara"/>
        <w:spacing w:before="60"/>
      </w:pPr>
      <w:r>
        <w:tab/>
        <w:t>(a)</w:t>
      </w:r>
      <w:r>
        <w:tab/>
        <w:t>a sale, exchange, or other disposal and a purchase, exchange, or other acquisition of real estate and any exclusive right whether deriving from the ownership of a share or interest in a body corporate or partnership; or</w:t>
      </w:r>
    </w:p>
    <w:p>
      <w:pPr>
        <w:pStyle w:val="Defpara"/>
        <w:spacing w:before="60"/>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w:t>
      </w:r>
      <w:r>
        <w:rPr>
          <w:b/>
          <w:i/>
        </w:rPr>
        <w:t>business transaction</w:t>
      </w:r>
      <w:r>
        <w:t>,</w:t>
      </w:r>
    </w:p>
    <w:p>
      <w:pPr>
        <w:pStyle w:val="Defstart"/>
        <w:spacing w:before="160"/>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ind w:left="890" w:hanging="890"/>
      </w:pPr>
      <w:r>
        <w:tab/>
        <w:t>[Section 61 amended by No. 128 of 1987 s. 89; No. 43 of 1994 s. 11; No. 59 of 1995 s. 10; No. 34 of 1998 s. 15; No. 58 of 2010 s. 134.]</w:t>
      </w:r>
    </w:p>
    <w:p>
      <w:pPr>
        <w:pStyle w:val="Heading5"/>
      </w:pPr>
      <w:bookmarkStart w:id="131" w:name="_Toc404159075"/>
      <w:bookmarkStart w:id="132" w:name="_Toc468700972"/>
      <w:r>
        <w:rPr>
          <w:rStyle w:val="CharSectno"/>
        </w:rPr>
        <w:t>61A</w:t>
      </w:r>
      <w:r>
        <w:t>.</w:t>
      </w:r>
      <w:r>
        <w:tab/>
        <w:t>Agents not to demand etc. money etc. for letting etc. from tenants</w:t>
      </w:r>
      <w:bookmarkEnd w:id="131"/>
      <w:bookmarkEnd w:id="132"/>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w:t>
      </w:r>
    </w:p>
    <w:p>
      <w:pPr>
        <w:pStyle w:val="Defstar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spacing w:before="80"/>
        <w:ind w:left="890" w:hanging="890"/>
      </w:pPr>
      <w:r>
        <w:tab/>
        <w:t>[Section 61A inserted by No. 59 of 1995 s. 11.]</w:t>
      </w:r>
    </w:p>
    <w:p>
      <w:pPr>
        <w:pStyle w:val="Heading5"/>
        <w:spacing w:before="200"/>
        <w:rPr>
          <w:snapToGrid w:val="0"/>
        </w:rPr>
      </w:pPr>
      <w:bookmarkStart w:id="133" w:name="_Toc404159076"/>
      <w:bookmarkStart w:id="134" w:name="_Toc468700973"/>
      <w:r>
        <w:rPr>
          <w:rStyle w:val="CharSectno"/>
        </w:rPr>
        <w:t>62</w:t>
      </w:r>
      <w:r>
        <w:rPr>
          <w:snapToGrid w:val="0"/>
        </w:rPr>
        <w:t>.</w:t>
      </w:r>
      <w:r>
        <w:rPr>
          <w:snapToGrid w:val="0"/>
        </w:rPr>
        <w:tab/>
        <w:t>Advertising by agents and developers</w:t>
      </w:r>
      <w:bookmarkEnd w:id="133"/>
      <w:bookmarkEnd w:id="134"/>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spacing w:before="80"/>
        <w:ind w:left="890" w:hanging="890"/>
      </w:pPr>
      <w:r>
        <w:tab/>
        <w:t>[Section 62 amended by No. 84 of 2004 s. 82; No. 58 of 2010 s. 98.]</w:t>
      </w:r>
    </w:p>
    <w:p>
      <w:pPr>
        <w:pStyle w:val="Heading5"/>
        <w:spacing w:before="200"/>
      </w:pPr>
      <w:bookmarkStart w:id="135" w:name="_Toc404159077"/>
      <w:bookmarkStart w:id="136" w:name="_Toc468700974"/>
      <w:r>
        <w:rPr>
          <w:rStyle w:val="CharSectno"/>
        </w:rPr>
        <w:t>63</w:t>
      </w:r>
      <w:r>
        <w:t>.</w:t>
      </w:r>
      <w:r>
        <w:tab/>
        <w:t>Agents etc. to supply signatories of documents with copies</w:t>
      </w:r>
      <w:bookmarkEnd w:id="135"/>
      <w:bookmarkEnd w:id="136"/>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137" w:name="_Toc404159078"/>
      <w:bookmarkStart w:id="138" w:name="_Toc468700975"/>
      <w:r>
        <w:rPr>
          <w:rStyle w:val="CharSectno"/>
        </w:rPr>
        <w:t>64</w:t>
      </w:r>
      <w:r>
        <w:rPr>
          <w:snapToGrid w:val="0"/>
        </w:rPr>
        <w:t>.</w:t>
      </w:r>
      <w:r>
        <w:rPr>
          <w:snapToGrid w:val="0"/>
        </w:rPr>
        <w:tab/>
        <w:t>Conflicts of interest of agents etc.</w:t>
      </w:r>
      <w:bookmarkEnd w:id="137"/>
      <w:bookmarkEnd w:id="138"/>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[Section 64 amended by No. 43 of 1994 s. 11; No. 50 of 2003 s. 88(2).]</w:t>
      </w:r>
    </w:p>
    <w:p>
      <w:pPr>
        <w:pStyle w:val="Heading5"/>
        <w:rPr>
          <w:snapToGrid w:val="0"/>
        </w:rPr>
      </w:pPr>
      <w:bookmarkStart w:id="139" w:name="_Toc404159079"/>
      <w:bookmarkStart w:id="140" w:name="_Toc468700976"/>
      <w:r>
        <w:rPr>
          <w:rStyle w:val="CharSectno"/>
        </w:rPr>
        <w:t>65</w:t>
      </w:r>
      <w:r>
        <w:rPr>
          <w:snapToGrid w:val="0"/>
        </w:rPr>
        <w:t>.</w:t>
      </w:r>
      <w:r>
        <w:rPr>
          <w:snapToGrid w:val="0"/>
        </w:rPr>
        <w:tab/>
        <w:t>Rates etc., agents to ensure payment and apportionment of</w:t>
      </w:r>
      <w:bookmarkEnd w:id="139"/>
      <w:bookmarkEnd w:id="140"/>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141" w:name="_Toc404159080"/>
      <w:bookmarkStart w:id="142" w:name="_Toc468700977"/>
      <w:r>
        <w:rPr>
          <w:rStyle w:val="CharSectno"/>
        </w:rPr>
        <w:t>66</w:t>
      </w:r>
      <w:r>
        <w:rPr>
          <w:snapToGrid w:val="0"/>
        </w:rPr>
        <w:t>.</w:t>
      </w:r>
      <w:r>
        <w:rPr>
          <w:snapToGrid w:val="0"/>
        </w:rPr>
        <w:tab/>
        <w:t>Keys to houses etc. and information about tenancies etc., payment for is an offence</w:t>
      </w:r>
      <w:bookmarkEnd w:id="141"/>
      <w:bookmarkEnd w:id="142"/>
    </w:p>
    <w:p>
      <w:pPr>
        <w:pStyle w:val="Subsection"/>
        <w:rPr>
          <w:snapToGrid w:val="0"/>
        </w:rPr>
      </w:pPr>
      <w:r>
        <w:rPr>
          <w:snapToGrid w:val="0"/>
        </w:rPr>
        <w:tab/>
        <w:t>(1)</w:t>
      </w:r>
      <w:r>
        <w:rPr>
          <w:snapToGrid w:val="0"/>
        </w:rPr>
        <w:tab/>
        <w:t>Any person who pays, gives, or receives, or offers, promises, or agrees to pay, give, or receive, a sum of money or other consideration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[Section 66 amended by No. 74 of 1980 s. 6; No. 43 of 1994 s. 11.]</w:t>
      </w:r>
    </w:p>
    <w:p>
      <w:pPr>
        <w:pStyle w:val="Heading2"/>
      </w:pPr>
      <w:bookmarkStart w:id="143" w:name="_Toc404159081"/>
      <w:bookmarkStart w:id="144" w:name="_Toc424293107"/>
      <w:bookmarkStart w:id="145" w:name="_Toc435024470"/>
      <w:bookmarkStart w:id="146" w:name="_Toc468700978"/>
      <w:r>
        <w:rPr>
          <w:rStyle w:val="CharPartNo"/>
        </w:rPr>
        <w:t>Part VI</w:t>
      </w:r>
      <w:r>
        <w:rPr>
          <w:rStyle w:val="CharDivNo"/>
        </w:rPr>
        <w:t> </w:t>
      </w:r>
      <w:r>
        <w:t>—</w:t>
      </w:r>
      <w:r>
        <w:rPr>
          <w:rStyle w:val="CharDivText"/>
        </w:rPr>
        <w:t> </w:t>
      </w:r>
      <w:r>
        <w:rPr>
          <w:rStyle w:val="CharPartText"/>
        </w:rPr>
        <w:t>Agents’ trust accounts</w:t>
      </w:r>
      <w:bookmarkEnd w:id="143"/>
      <w:bookmarkEnd w:id="144"/>
      <w:bookmarkEnd w:id="145"/>
      <w:bookmarkEnd w:id="146"/>
    </w:p>
    <w:p>
      <w:pPr>
        <w:pStyle w:val="Heading5"/>
        <w:rPr>
          <w:snapToGrid w:val="0"/>
        </w:rPr>
      </w:pPr>
      <w:bookmarkStart w:id="147" w:name="_Toc404159082"/>
      <w:bookmarkStart w:id="148" w:name="_Toc468700979"/>
      <w:r>
        <w:rPr>
          <w:rStyle w:val="CharSectno"/>
        </w:rPr>
        <w:t>67</w:t>
      </w:r>
      <w:r>
        <w:rPr>
          <w:snapToGrid w:val="0"/>
        </w:rPr>
        <w:t>.</w:t>
      </w:r>
      <w:r>
        <w:rPr>
          <w:snapToGrid w:val="0"/>
        </w:rPr>
        <w:tab/>
        <w:t>Terms used</w:t>
      </w:r>
      <w:bookmarkEnd w:id="147"/>
      <w:bookmarkEnd w:id="148"/>
    </w:p>
    <w:p>
      <w:pPr>
        <w:pStyle w:val="Subsection"/>
        <w:keepNext/>
        <w:rPr>
          <w:snapToGrid w:val="0"/>
        </w:rPr>
      </w:pPr>
      <w:r>
        <w:rPr>
          <w:snapToGrid w:val="0"/>
        </w:rPr>
        <w:tab/>
      </w:r>
      <w:r>
        <w:rPr>
          <w:snapToGrid w:val="0"/>
        </w:rPr>
        <w:tab/>
        <w:t>In this Part, unless the context otherwise requires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[Section 67 amended by No. 59 of 1995 s. 12; No. 26 of 1999 s. 99(3).]</w:t>
      </w:r>
    </w:p>
    <w:p>
      <w:pPr>
        <w:pStyle w:val="Heading5"/>
        <w:rPr>
          <w:snapToGrid w:val="0"/>
        </w:rPr>
      </w:pPr>
      <w:bookmarkStart w:id="149" w:name="_Toc404159083"/>
      <w:bookmarkStart w:id="150" w:name="_Toc468700980"/>
      <w:r>
        <w:rPr>
          <w:rStyle w:val="CharSectno"/>
        </w:rPr>
        <w:t>68</w:t>
      </w:r>
      <w:r>
        <w:rPr>
          <w:snapToGrid w:val="0"/>
        </w:rPr>
        <w:t>.</w:t>
      </w:r>
      <w:r>
        <w:rPr>
          <w:snapToGrid w:val="0"/>
        </w:rPr>
        <w:tab/>
        <w:t>Trust accounts, use of etc.</w:t>
      </w:r>
      <w:bookmarkEnd w:id="149"/>
      <w:bookmarkEnd w:id="150"/>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68 amended by No. 59 of 1995 s. 13.]</w:t>
      </w:r>
    </w:p>
    <w:p>
      <w:pPr>
        <w:pStyle w:val="Heading5"/>
        <w:rPr>
          <w:snapToGrid w:val="0"/>
        </w:rPr>
      </w:pPr>
      <w:bookmarkStart w:id="151" w:name="_Toc404159084"/>
      <w:bookmarkStart w:id="152" w:name="_Toc468700981"/>
      <w:r>
        <w:rPr>
          <w:rStyle w:val="CharSectno"/>
        </w:rPr>
        <w:t>68A</w:t>
      </w:r>
      <w:r>
        <w:rPr>
          <w:snapToGrid w:val="0"/>
        </w:rPr>
        <w:t>.</w:t>
      </w:r>
      <w:r>
        <w:rPr>
          <w:snapToGrid w:val="0"/>
        </w:rPr>
        <w:tab/>
        <w:t>Client may ask agent for separate trust account</w:t>
      </w:r>
      <w:bookmarkEnd w:id="151"/>
      <w:bookmarkEnd w:id="152"/>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w:t>
      </w:r>
    </w:p>
    <w:p>
      <w:pPr>
        <w:pStyle w:val="Indenta"/>
        <w:rPr>
          <w:snapToGrid w:val="0"/>
        </w:rPr>
      </w:pPr>
      <w:r>
        <w:rPr>
          <w:snapToGrid w:val="0"/>
        </w:rPr>
        <w:tab/>
        <w:t>(a)</w:t>
      </w:r>
      <w:r>
        <w:rPr>
          <w:snapToGrid w:val="0"/>
        </w:rPr>
        <w:tab/>
        <w:t>the amount of moneys paid to the agent; or</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request</w:t>
      </w:r>
      <w:r>
        <w:t xml:space="preserve"> means a request under subsection (1).</w:t>
      </w:r>
    </w:p>
    <w:p>
      <w:pPr>
        <w:pStyle w:val="Footnotesection"/>
      </w:pPr>
      <w:r>
        <w:tab/>
        <w:t>[Section 68A inserted by No. 59 of 1995 s. 14.]</w:t>
      </w:r>
    </w:p>
    <w:p>
      <w:pPr>
        <w:pStyle w:val="Heading5"/>
        <w:rPr>
          <w:snapToGrid w:val="0"/>
        </w:rPr>
      </w:pPr>
      <w:bookmarkStart w:id="153" w:name="_Toc404159085"/>
      <w:bookmarkStart w:id="154" w:name="_Toc468700982"/>
      <w:r>
        <w:rPr>
          <w:rStyle w:val="CharSectno"/>
        </w:rPr>
        <w:t>68B</w:t>
      </w:r>
      <w:r>
        <w:rPr>
          <w:snapToGrid w:val="0"/>
        </w:rPr>
        <w:t>.</w:t>
      </w:r>
      <w:r>
        <w:rPr>
          <w:snapToGrid w:val="0"/>
        </w:rPr>
        <w:tab/>
        <w:t>Interest on trust accounts to be paid by financial institutions</w:t>
      </w:r>
      <w:bookmarkEnd w:id="153"/>
      <w:bookmarkEnd w:id="154"/>
    </w:p>
    <w:p>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r>
        <w:t xml:space="preserve">Interest </w:t>
      </w:r>
      <w:r>
        <w:rPr>
          <w:snapToGrid w:val="0"/>
        </w:rPr>
        <w:t>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w:t>
      </w:r>
      <w:r>
        <w:t xml:space="preserve">Interest </w:t>
      </w:r>
      <w:r>
        <w:rPr>
          <w:snapToGrid w:val="0"/>
        </w:rPr>
        <w:t>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[Section 68B inserted by No. 59 of 1995 s. 14</w:t>
      </w:r>
      <w:r>
        <w:rPr>
          <w:spacing w:val="-4"/>
        </w:rPr>
        <w:t>; amended by No. 47 of 2011 s.</w:t>
      </w:r>
      <w:r>
        <w:t> 25(4).]</w:t>
      </w:r>
    </w:p>
    <w:p>
      <w:pPr>
        <w:pStyle w:val="Heading5"/>
        <w:rPr>
          <w:snapToGrid w:val="0"/>
        </w:rPr>
      </w:pPr>
      <w:bookmarkStart w:id="155" w:name="_Toc404159086"/>
      <w:bookmarkStart w:id="156" w:name="_Toc468700983"/>
      <w:r>
        <w:rPr>
          <w:rStyle w:val="CharSectno"/>
        </w:rPr>
        <w:t>68C</w:t>
      </w:r>
      <w:r>
        <w:rPr>
          <w:snapToGrid w:val="0"/>
        </w:rPr>
        <w:t>.</w:t>
      </w:r>
      <w:r>
        <w:rPr>
          <w:snapToGrid w:val="0"/>
        </w:rPr>
        <w:tab/>
      </w:r>
      <w:r>
        <w:t>Agents to give Commissioner information about trust accounts</w:t>
      </w:r>
      <w:bookmarkEnd w:id="155"/>
      <w:bookmarkEnd w:id="156"/>
    </w:p>
    <w:p>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[Section 68C inserted by No. 59 of 1995 s. 14; amended by No. 58 of 2010 s. 134.]</w:t>
      </w:r>
    </w:p>
    <w:p>
      <w:pPr>
        <w:pStyle w:val="Heading5"/>
        <w:rPr>
          <w:snapToGrid w:val="0"/>
        </w:rPr>
      </w:pPr>
      <w:bookmarkStart w:id="157" w:name="_Toc404159087"/>
      <w:bookmarkStart w:id="158" w:name="_Toc468700984"/>
      <w:r>
        <w:rPr>
          <w:rStyle w:val="CharSectno"/>
        </w:rPr>
        <w:t>69</w:t>
      </w:r>
      <w:r>
        <w:rPr>
          <w:snapToGrid w:val="0"/>
        </w:rPr>
        <w:t>.</w:t>
      </w:r>
      <w:r>
        <w:rPr>
          <w:snapToGrid w:val="0"/>
        </w:rPr>
        <w:tab/>
        <w:t>Money received by agents, duties as to</w:t>
      </w:r>
      <w:bookmarkEnd w:id="157"/>
      <w:bookmarkEnd w:id="158"/>
    </w:p>
    <w:p>
      <w:pPr>
        <w:pStyle w:val="Subsection"/>
        <w:keepNext/>
        <w:rPr>
          <w:snapToGrid w:val="0"/>
        </w:rPr>
      </w:pPr>
      <w:r>
        <w:rPr>
          <w:snapToGrid w:val="0"/>
        </w:rPr>
        <w:tab/>
        <w:t>(1)</w:t>
      </w:r>
      <w:r>
        <w:rPr>
          <w:snapToGrid w:val="0"/>
        </w:rPr>
        <w:tab/>
        <w:t>When an agent receives money for or on behalf of any other person, the agent shall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[Section 69 amended by No. 74 of 1980 s. 7; No. 59 of 1995 s. 15; No. 58 of 2010 s. 134.]</w:t>
      </w:r>
    </w:p>
    <w:p>
      <w:pPr>
        <w:pStyle w:val="Heading5"/>
        <w:rPr>
          <w:snapToGrid w:val="0"/>
        </w:rPr>
      </w:pPr>
      <w:bookmarkStart w:id="159" w:name="_Toc404159088"/>
      <w:bookmarkStart w:id="160" w:name="_Toc468700985"/>
      <w:r>
        <w:rPr>
          <w:rStyle w:val="CharSectno"/>
        </w:rPr>
        <w:t>70</w:t>
      </w:r>
      <w:r>
        <w:rPr>
          <w:snapToGrid w:val="0"/>
        </w:rPr>
        <w:t>.</w:t>
      </w:r>
      <w:r>
        <w:rPr>
          <w:snapToGrid w:val="0"/>
        </w:rPr>
        <w:tab/>
        <w:t>Audits of trust accounts</w:t>
      </w:r>
      <w:bookmarkEnd w:id="159"/>
      <w:bookmarkEnd w:id="160"/>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pPr>
        <w:pStyle w:val="Subsection"/>
        <w:keepNext/>
        <w:rPr>
          <w:snapToGrid w:val="0"/>
        </w:rPr>
      </w:pPr>
      <w:r>
        <w:rPr>
          <w:snapToGrid w:val="0"/>
        </w:rPr>
        <w:tab/>
        <w:t>(3)</w:t>
      </w:r>
      <w:r>
        <w:rPr>
          <w:snapToGrid w:val="0"/>
        </w:rPr>
        <w:tab/>
        <w:t>The auditor shall within 3 months after the end of each year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pPr>
      <w:r>
        <w:tab/>
        <w:t>(5)</w:t>
      </w:r>
      <w:r>
        <w:tab/>
        <w:t>The Commissioner may, in circumstances he or she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w:t>
      </w:r>
      <w:r>
        <w:t>Commissioner</w:t>
      </w:r>
      <w:r>
        <w:rPr>
          <w:snapToGrid w:val="0"/>
        </w:rPr>
        <w:t xml:space="preserve"> a report of such termination audit.</w:t>
      </w:r>
    </w:p>
    <w:p>
      <w:pPr>
        <w:pStyle w:val="Footnotesection"/>
      </w:pPr>
      <w:r>
        <w:tab/>
        <w:t>[Section 70 amended by No. 29 of 1982 s. 12; No. 59 of 1995 s. 42; No. 77 of 2006 Sch. 1 cl. 147(2); No. 58 of 2010 s. 99 and 134.]</w:t>
      </w:r>
    </w:p>
    <w:p>
      <w:pPr>
        <w:pStyle w:val="Heading5"/>
        <w:rPr>
          <w:snapToGrid w:val="0"/>
        </w:rPr>
      </w:pPr>
      <w:bookmarkStart w:id="161" w:name="_Toc404159089"/>
      <w:bookmarkStart w:id="162" w:name="_Toc468700986"/>
      <w:r>
        <w:rPr>
          <w:rStyle w:val="CharSectno"/>
        </w:rPr>
        <w:t>71</w:t>
      </w:r>
      <w:r>
        <w:rPr>
          <w:snapToGrid w:val="0"/>
        </w:rPr>
        <w:t>.</w:t>
      </w:r>
      <w:r>
        <w:rPr>
          <w:snapToGrid w:val="0"/>
        </w:rPr>
        <w:tab/>
      </w:r>
      <w:r>
        <w:t>Date of audit, Commissioner may change</w:t>
      </w:r>
      <w:bookmarkEnd w:id="161"/>
      <w:bookmarkEnd w:id="162"/>
    </w:p>
    <w:p>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71 amended by No. 58 of 2010 s. 134.]</w:t>
      </w:r>
    </w:p>
    <w:p>
      <w:pPr>
        <w:pStyle w:val="Heading5"/>
        <w:rPr>
          <w:snapToGrid w:val="0"/>
        </w:rPr>
      </w:pPr>
      <w:bookmarkStart w:id="163" w:name="_Toc404159090"/>
      <w:bookmarkStart w:id="164" w:name="_Toc468700987"/>
      <w:r>
        <w:rPr>
          <w:rStyle w:val="CharSectno"/>
        </w:rPr>
        <w:t>72</w:t>
      </w:r>
      <w:r>
        <w:rPr>
          <w:snapToGrid w:val="0"/>
        </w:rPr>
        <w:t>.</w:t>
      </w:r>
      <w:r>
        <w:rPr>
          <w:snapToGrid w:val="0"/>
        </w:rPr>
        <w:tab/>
        <w:t>Auditors, qualification and approval of</w:t>
      </w:r>
      <w:bookmarkEnd w:id="163"/>
      <w:bookmarkEnd w:id="164"/>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pPr>
        <w:pStyle w:val="Footnotesection"/>
      </w:pPr>
      <w:r>
        <w:tab/>
        <w:t>[Section 72 amended by No. 10 of 1982 s. 28; No. 59 of 1995 s. 16; No. 10 of 2001 s. 220; No. 28 of 2003 s. 175; No. 58 of 2010 s. 134.]</w:t>
      </w:r>
    </w:p>
    <w:p>
      <w:pPr>
        <w:pStyle w:val="Heading5"/>
        <w:rPr>
          <w:snapToGrid w:val="0"/>
        </w:rPr>
      </w:pPr>
      <w:bookmarkStart w:id="165" w:name="_Toc404159091"/>
      <w:bookmarkStart w:id="166" w:name="_Toc468700988"/>
      <w:r>
        <w:rPr>
          <w:rStyle w:val="CharSectno"/>
        </w:rPr>
        <w:t>73</w:t>
      </w:r>
      <w:r>
        <w:rPr>
          <w:snapToGrid w:val="0"/>
        </w:rPr>
        <w:t>.</w:t>
      </w:r>
      <w:r>
        <w:rPr>
          <w:snapToGrid w:val="0"/>
        </w:rPr>
        <w:tab/>
        <w:t>Auditors, appointment of</w:t>
      </w:r>
      <w:bookmarkEnd w:id="165"/>
      <w:bookmarkEnd w:id="166"/>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73 amended by No. 58 of 2010 s. 134.]</w:t>
      </w:r>
    </w:p>
    <w:p>
      <w:pPr>
        <w:pStyle w:val="Heading5"/>
        <w:rPr>
          <w:snapToGrid w:val="0"/>
        </w:rPr>
      </w:pPr>
      <w:bookmarkStart w:id="167" w:name="_Toc404159092"/>
      <w:bookmarkStart w:id="168" w:name="_Toc468700989"/>
      <w:r>
        <w:rPr>
          <w:rStyle w:val="CharSectno"/>
        </w:rPr>
        <w:t>74</w:t>
      </w:r>
      <w:r>
        <w:rPr>
          <w:snapToGrid w:val="0"/>
        </w:rPr>
        <w:t>.</w:t>
      </w:r>
      <w:r>
        <w:rPr>
          <w:snapToGrid w:val="0"/>
        </w:rPr>
        <w:tab/>
        <w:t>Audits of business carried on at more than one place, directions as to</w:t>
      </w:r>
      <w:bookmarkEnd w:id="167"/>
      <w:bookmarkEnd w:id="168"/>
    </w:p>
    <w:p>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ind w:left="890" w:hanging="890"/>
      </w:pPr>
      <w:r>
        <w:tab/>
        <w:t>[Section 74 amended by No. 58 of 2010 s. 134.]</w:t>
      </w:r>
    </w:p>
    <w:p>
      <w:pPr>
        <w:pStyle w:val="Heading5"/>
        <w:rPr>
          <w:snapToGrid w:val="0"/>
        </w:rPr>
      </w:pPr>
      <w:bookmarkStart w:id="169" w:name="_Toc404159093"/>
      <w:bookmarkStart w:id="170" w:name="_Toc468700990"/>
      <w:r>
        <w:rPr>
          <w:rStyle w:val="CharSectno"/>
        </w:rPr>
        <w:t>75</w:t>
      </w:r>
      <w:r>
        <w:rPr>
          <w:snapToGrid w:val="0"/>
        </w:rPr>
        <w:t>.</w:t>
      </w:r>
      <w:r>
        <w:rPr>
          <w:snapToGrid w:val="0"/>
        </w:rPr>
        <w:tab/>
      </w:r>
      <w:r>
        <w:t>Approvals etc. under this Part, Commissioner’s power to cancel etc.</w:t>
      </w:r>
      <w:bookmarkEnd w:id="169"/>
      <w:bookmarkEnd w:id="170"/>
    </w:p>
    <w:p>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pPr>
        <w:pStyle w:val="Footnotesection"/>
        <w:ind w:left="890" w:hanging="890"/>
      </w:pPr>
      <w:r>
        <w:tab/>
        <w:t>[Section 75 amended by No. 58 of 2010 s. 134.]</w:t>
      </w:r>
    </w:p>
    <w:p>
      <w:pPr>
        <w:pStyle w:val="Ednotesection"/>
        <w:ind w:left="0" w:firstLine="0"/>
      </w:pPr>
      <w:r>
        <w:t>[</w:t>
      </w:r>
      <w:r>
        <w:rPr>
          <w:b/>
        </w:rPr>
        <w:t>76.</w:t>
      </w:r>
      <w:r>
        <w:tab/>
        <w:t>Deleted by No. 55 of 2004 s. 1012.]</w:t>
      </w:r>
    </w:p>
    <w:p>
      <w:pPr>
        <w:pStyle w:val="Heading5"/>
        <w:rPr>
          <w:snapToGrid w:val="0"/>
        </w:rPr>
      </w:pPr>
      <w:bookmarkStart w:id="171" w:name="_Toc404159094"/>
      <w:bookmarkStart w:id="172" w:name="_Toc468700991"/>
      <w:r>
        <w:rPr>
          <w:rStyle w:val="CharSectno"/>
        </w:rPr>
        <w:t>77</w:t>
      </w:r>
      <w:r>
        <w:rPr>
          <w:snapToGrid w:val="0"/>
        </w:rPr>
        <w:t>.</w:t>
      </w:r>
      <w:r>
        <w:rPr>
          <w:snapToGrid w:val="0"/>
        </w:rPr>
        <w:tab/>
        <w:t>Audits, agents’ duties and auditors’ powers as to</w:t>
      </w:r>
      <w:bookmarkEnd w:id="171"/>
      <w:bookmarkEnd w:id="172"/>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173" w:name="_Toc404159095"/>
      <w:bookmarkStart w:id="174" w:name="_Toc468700992"/>
      <w:r>
        <w:rPr>
          <w:rStyle w:val="CharSectno"/>
        </w:rPr>
        <w:t>78</w:t>
      </w:r>
      <w:r>
        <w:rPr>
          <w:snapToGrid w:val="0"/>
        </w:rPr>
        <w:t>.</w:t>
      </w:r>
      <w:r>
        <w:rPr>
          <w:snapToGrid w:val="0"/>
        </w:rPr>
        <w:tab/>
        <w:t>Audits, bankers’ duties as to</w:t>
      </w:r>
      <w:bookmarkEnd w:id="173"/>
      <w:bookmarkEnd w:id="174"/>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175" w:name="_Toc404159096"/>
      <w:bookmarkStart w:id="176" w:name="_Toc468700993"/>
      <w:r>
        <w:rPr>
          <w:rStyle w:val="CharSectno"/>
        </w:rPr>
        <w:t>79</w:t>
      </w:r>
      <w:r>
        <w:rPr>
          <w:snapToGrid w:val="0"/>
        </w:rPr>
        <w:t>.</w:t>
      </w:r>
      <w:r>
        <w:rPr>
          <w:snapToGrid w:val="0"/>
        </w:rPr>
        <w:tab/>
        <w:t>Auditors’ reports, content of</w:t>
      </w:r>
      <w:bookmarkEnd w:id="175"/>
      <w:bookmarkEnd w:id="176"/>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w:t>
      </w:r>
    </w:p>
    <w:p>
      <w:pPr>
        <w:pStyle w:val="Indenta"/>
        <w:rPr>
          <w:snapToGrid w:val="0"/>
        </w:rPr>
      </w:pPr>
      <w:r>
        <w:rPr>
          <w:snapToGrid w:val="0"/>
        </w:rPr>
        <w:tab/>
        <w:t>(a)</w:t>
      </w:r>
      <w:r>
        <w:rPr>
          <w:snapToGrid w:val="0"/>
        </w:rPr>
        <w:tab/>
        <w:t>whether the trust accounts of such agent have in the opinion of the auditor been kept regularly and properly written up; and</w:t>
      </w:r>
    </w:p>
    <w:p>
      <w:pPr>
        <w:pStyle w:val="Indenta"/>
        <w:rPr>
          <w:snapToGrid w:val="0"/>
        </w:rPr>
      </w:pPr>
      <w:r>
        <w:rPr>
          <w:snapToGrid w:val="0"/>
        </w:rPr>
        <w:tab/>
        <w:t>(b)</w:t>
      </w:r>
      <w:r>
        <w:rPr>
          <w:snapToGrid w:val="0"/>
        </w:rPr>
        <w:tab/>
        <w:t>whether the trust accounts of such agent have been ready for examination at the periods appointed by the auditor; and</w:t>
      </w:r>
    </w:p>
    <w:p>
      <w:pPr>
        <w:pStyle w:val="Indenta"/>
        <w:rPr>
          <w:snapToGrid w:val="0"/>
        </w:rPr>
      </w:pPr>
      <w:r>
        <w:rPr>
          <w:snapToGrid w:val="0"/>
        </w:rPr>
        <w:tab/>
        <w:t>(c)</w:t>
      </w:r>
      <w:r>
        <w:rPr>
          <w:snapToGrid w:val="0"/>
        </w:rPr>
        <w:tab/>
        <w:t>whether such agent has complied with the auditor’s requirements; and</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79 amended by No. 74 of 1980 s. 10; No. 59 of 1995 s. 17; No. 58 of 2010 s. 134.]</w:t>
      </w:r>
    </w:p>
    <w:p>
      <w:pPr>
        <w:pStyle w:val="Heading5"/>
        <w:rPr>
          <w:snapToGrid w:val="0"/>
        </w:rPr>
      </w:pPr>
      <w:bookmarkStart w:id="177" w:name="_Toc404159097"/>
      <w:bookmarkStart w:id="178" w:name="_Toc468700994"/>
      <w:r>
        <w:rPr>
          <w:rStyle w:val="CharSectno"/>
        </w:rPr>
        <w:t>80</w:t>
      </w:r>
      <w:r>
        <w:rPr>
          <w:snapToGrid w:val="0"/>
        </w:rPr>
        <w:t>.</w:t>
      </w:r>
      <w:r>
        <w:rPr>
          <w:snapToGrid w:val="0"/>
        </w:rPr>
        <w:tab/>
        <w:t>Moneys etc. held on trust, statement of by agents</w:t>
      </w:r>
      <w:bookmarkEnd w:id="177"/>
      <w:bookmarkEnd w:id="178"/>
    </w:p>
    <w:p>
      <w:pPr>
        <w:pStyle w:val="Subsection"/>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179" w:name="_Toc404159098"/>
      <w:bookmarkStart w:id="180" w:name="_Toc468700995"/>
      <w:r>
        <w:rPr>
          <w:rStyle w:val="CharSectno"/>
        </w:rPr>
        <w:t>81</w:t>
      </w:r>
      <w:r>
        <w:rPr>
          <w:snapToGrid w:val="0"/>
        </w:rPr>
        <w:t>.</w:t>
      </w:r>
      <w:r>
        <w:rPr>
          <w:snapToGrid w:val="0"/>
        </w:rPr>
        <w:tab/>
        <w:t>Auditor’s report to report breaches of law etc.</w:t>
      </w:r>
      <w:bookmarkEnd w:id="179"/>
      <w:bookmarkEnd w:id="180"/>
    </w:p>
    <w:p>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pPr>
        <w:pStyle w:val="Footnotesection"/>
      </w:pPr>
      <w:r>
        <w:tab/>
        <w:t>[Section 81 amended by No. 58 of 2010 s. 134.]</w:t>
      </w:r>
    </w:p>
    <w:p>
      <w:pPr>
        <w:pStyle w:val="Heading5"/>
        <w:rPr>
          <w:snapToGrid w:val="0"/>
        </w:rPr>
      </w:pPr>
      <w:bookmarkStart w:id="181" w:name="_Toc404159099"/>
      <w:bookmarkStart w:id="182" w:name="_Toc468700996"/>
      <w:r>
        <w:rPr>
          <w:rStyle w:val="CharSectno"/>
        </w:rPr>
        <w:t>82</w:t>
      </w:r>
      <w:r>
        <w:rPr>
          <w:snapToGrid w:val="0"/>
        </w:rPr>
        <w:t>.</w:t>
      </w:r>
      <w:r>
        <w:rPr>
          <w:snapToGrid w:val="0"/>
        </w:rPr>
        <w:tab/>
        <w:t>Auditors’ duty of confidentiality</w:t>
      </w:r>
      <w:bookmarkEnd w:id="181"/>
      <w:bookmarkEnd w:id="182"/>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183" w:name="_Toc404159100"/>
      <w:bookmarkStart w:id="184" w:name="_Toc468700997"/>
      <w:r>
        <w:rPr>
          <w:rStyle w:val="CharSectno"/>
        </w:rPr>
        <w:t>83</w:t>
      </w:r>
      <w:r>
        <w:rPr>
          <w:snapToGrid w:val="0"/>
        </w:rPr>
        <w:t>.</w:t>
      </w:r>
      <w:r>
        <w:rPr>
          <w:snapToGrid w:val="0"/>
        </w:rPr>
        <w:tab/>
        <w:t>Right of some persons to information in auditors’ reports</w:t>
      </w:r>
      <w:bookmarkEnd w:id="183"/>
      <w:bookmarkEnd w:id="184"/>
    </w:p>
    <w:p>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pPr>
        <w:pStyle w:val="Subsection"/>
        <w:rPr>
          <w:snapToGrid w:val="0"/>
        </w:rPr>
      </w:pPr>
      <w:r>
        <w:rPr>
          <w:snapToGrid w:val="0"/>
        </w:rPr>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pPr>
        <w:pStyle w:val="Footnotesection"/>
      </w:pPr>
      <w:r>
        <w:tab/>
        <w:t>[Section 83 amended by No. 58 of 2010 s. 100 and 134.]</w:t>
      </w:r>
    </w:p>
    <w:p>
      <w:pPr>
        <w:pStyle w:val="Heading5"/>
        <w:rPr>
          <w:snapToGrid w:val="0"/>
        </w:rPr>
      </w:pPr>
      <w:bookmarkStart w:id="185" w:name="_Toc404159101"/>
      <w:bookmarkStart w:id="186" w:name="_Toc468700998"/>
      <w:r>
        <w:rPr>
          <w:rStyle w:val="CharSectno"/>
        </w:rPr>
        <w:t>84</w:t>
      </w:r>
      <w:r>
        <w:rPr>
          <w:snapToGrid w:val="0"/>
        </w:rPr>
        <w:t>.</w:t>
      </w:r>
      <w:r>
        <w:rPr>
          <w:snapToGrid w:val="0"/>
        </w:rPr>
        <w:tab/>
        <w:t>Offences under this Part</w:t>
      </w:r>
      <w:bookmarkEnd w:id="185"/>
      <w:bookmarkEnd w:id="186"/>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84 amended by No. 43 of 1994 s. 11; No. 59 of 1995 s. 18.]</w:t>
      </w:r>
    </w:p>
    <w:p>
      <w:pPr>
        <w:pStyle w:val="Heading5"/>
        <w:rPr>
          <w:snapToGrid w:val="0"/>
        </w:rPr>
      </w:pPr>
      <w:bookmarkStart w:id="187" w:name="_Toc404159102"/>
      <w:bookmarkStart w:id="188" w:name="_Toc468700999"/>
      <w:r>
        <w:rPr>
          <w:rStyle w:val="CharSectno"/>
        </w:rPr>
        <w:t>85</w:t>
      </w:r>
      <w:r>
        <w:rPr>
          <w:snapToGrid w:val="0"/>
        </w:rPr>
        <w:t>.</w:t>
      </w:r>
      <w:r>
        <w:rPr>
          <w:snapToGrid w:val="0"/>
        </w:rPr>
        <w:tab/>
        <w:t>Auditors’ remuneration</w:t>
      </w:r>
      <w:bookmarkEnd w:id="187"/>
      <w:bookmarkEnd w:id="188"/>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189" w:name="_Toc404159103"/>
      <w:bookmarkStart w:id="190" w:name="_Toc468701000"/>
      <w:r>
        <w:rPr>
          <w:rStyle w:val="CharSectno"/>
        </w:rPr>
        <w:t>86</w:t>
      </w:r>
      <w:r>
        <w:rPr>
          <w:snapToGrid w:val="0"/>
        </w:rPr>
        <w:t>.</w:t>
      </w:r>
      <w:r>
        <w:rPr>
          <w:snapToGrid w:val="0"/>
        </w:rPr>
        <w:tab/>
        <w:t>Agents with no accounts to audit</w:t>
      </w:r>
      <w:bookmarkEnd w:id="189"/>
      <w:bookmarkEnd w:id="190"/>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pPr>
        <w:pStyle w:val="Footnotesection"/>
      </w:pPr>
      <w:r>
        <w:tab/>
        <w:t>[Section 86 amended by No. 58 of 2010 s. 134.]</w:t>
      </w:r>
    </w:p>
    <w:p>
      <w:pPr>
        <w:pStyle w:val="Heading5"/>
        <w:rPr>
          <w:snapToGrid w:val="0"/>
        </w:rPr>
      </w:pPr>
      <w:bookmarkStart w:id="191" w:name="_Toc404159104"/>
      <w:bookmarkStart w:id="192" w:name="_Toc468701001"/>
      <w:r>
        <w:rPr>
          <w:rStyle w:val="CharSectno"/>
        </w:rPr>
        <w:t>87</w:t>
      </w:r>
      <w:r>
        <w:rPr>
          <w:snapToGrid w:val="0"/>
        </w:rPr>
        <w:t>.</w:t>
      </w:r>
      <w:r>
        <w:rPr>
          <w:snapToGrid w:val="0"/>
        </w:rPr>
        <w:tab/>
        <w:t>Accounts of firm or body corporate or agent with branch office, effect of audits as to</w:t>
      </w:r>
      <w:bookmarkEnd w:id="191"/>
      <w:bookmarkEnd w:id="192"/>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193" w:name="_Toc404159105"/>
      <w:bookmarkStart w:id="194" w:name="_Toc468701002"/>
      <w:r>
        <w:rPr>
          <w:rStyle w:val="CharSectno"/>
        </w:rPr>
        <w:t>88</w:t>
      </w:r>
      <w:r>
        <w:rPr>
          <w:snapToGrid w:val="0"/>
        </w:rPr>
        <w:t>.</w:t>
      </w:r>
      <w:r>
        <w:rPr>
          <w:snapToGrid w:val="0"/>
        </w:rPr>
        <w:tab/>
      </w:r>
      <w:r>
        <w:t>Audit of trust account, Commissioner may do</w:t>
      </w:r>
      <w:bookmarkEnd w:id="193"/>
      <w:bookmarkEnd w:id="194"/>
    </w:p>
    <w:p>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pPr>
        <w:pStyle w:val="Footnotesection"/>
        <w:keepNext/>
        <w:keepLines w:val="0"/>
      </w:pPr>
      <w:r>
        <w:tab/>
        <w:t>[Section 88 amended by No. 58 of 2010 s. 134.]</w:t>
      </w:r>
    </w:p>
    <w:p>
      <w:pPr>
        <w:pStyle w:val="Ednotesection"/>
      </w:pPr>
      <w:r>
        <w:t>[</w:t>
      </w:r>
      <w:r>
        <w:rPr>
          <w:b/>
        </w:rPr>
        <w:t>89.</w:t>
      </w:r>
      <w:r>
        <w:tab/>
        <w:t>Deleted by No. 74 of 1980 s. 9.]</w:t>
      </w:r>
    </w:p>
    <w:p>
      <w:pPr>
        <w:pStyle w:val="Heading5"/>
        <w:rPr>
          <w:snapToGrid w:val="0"/>
        </w:rPr>
      </w:pPr>
      <w:bookmarkStart w:id="195" w:name="_Toc404159106"/>
      <w:bookmarkStart w:id="196" w:name="_Toc468701003"/>
      <w:r>
        <w:rPr>
          <w:rStyle w:val="CharSectno"/>
        </w:rPr>
        <w:t>90</w:t>
      </w:r>
      <w:r>
        <w:rPr>
          <w:snapToGrid w:val="0"/>
        </w:rPr>
        <w:t>.</w:t>
      </w:r>
      <w:r>
        <w:rPr>
          <w:snapToGrid w:val="0"/>
        </w:rPr>
        <w:tab/>
        <w:t>Cost of audit done under s. 88</w:t>
      </w:r>
      <w:bookmarkEnd w:id="195"/>
      <w:bookmarkEnd w:id="196"/>
    </w:p>
    <w:p>
      <w:pPr>
        <w:pStyle w:val="Subsection"/>
        <w:spacing w:before="120"/>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pPr>
        <w:pStyle w:val="Subsection"/>
        <w:spacing w:before="120"/>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pPr>
        <w:pStyle w:val="Footnotesection"/>
        <w:spacing w:before="80"/>
        <w:ind w:left="890" w:hanging="890"/>
      </w:pPr>
      <w:r>
        <w:tab/>
        <w:t>[Section 90 amended by No. 29 of 1982 s. 12; No. 59 of 1995 s. 42; No. 77 of 2006 Sch. 1 cl. 147(2); No. 58 of 2010 s. 134.]</w:t>
      </w:r>
    </w:p>
    <w:p>
      <w:pPr>
        <w:pStyle w:val="Heading5"/>
        <w:rPr>
          <w:snapToGrid w:val="0"/>
        </w:rPr>
      </w:pPr>
      <w:bookmarkStart w:id="197" w:name="_Toc404159107"/>
      <w:bookmarkStart w:id="198" w:name="_Toc468701004"/>
      <w:r>
        <w:rPr>
          <w:rStyle w:val="CharSectno"/>
        </w:rPr>
        <w:t>91</w:t>
      </w:r>
      <w:r>
        <w:rPr>
          <w:snapToGrid w:val="0"/>
        </w:rPr>
        <w:t>.</w:t>
      </w:r>
      <w:r>
        <w:rPr>
          <w:snapToGrid w:val="0"/>
        </w:rPr>
        <w:tab/>
        <w:t>Confidentiality of audit done under s. 88</w:t>
      </w:r>
      <w:bookmarkEnd w:id="197"/>
      <w:bookmarkEnd w:id="198"/>
    </w:p>
    <w:p>
      <w:pPr>
        <w:pStyle w:val="Subsection"/>
        <w:spacing w:before="120"/>
        <w:rPr>
          <w:snapToGrid w:val="0"/>
        </w:rPr>
      </w:pPr>
      <w:r>
        <w:rPr>
          <w:snapToGrid w:val="0"/>
        </w:rPr>
        <w:tab/>
      </w:r>
      <w:r>
        <w:rPr>
          <w:snapToGrid w:val="0"/>
        </w:rPr>
        <w:tab/>
        <w:t>The provisions of section 82 apply to an auditor nominated by the </w:t>
      </w:r>
      <w:r>
        <w:t>Commissioner</w:t>
      </w:r>
      <w:r>
        <w:rPr>
          <w:snapToGrid w:val="0"/>
        </w:rPr>
        <w:t xml:space="preserve"> under section 88 with such modifications as circumstances require.</w:t>
      </w:r>
    </w:p>
    <w:p>
      <w:pPr>
        <w:pStyle w:val="Footnotesection"/>
        <w:spacing w:before="80"/>
        <w:ind w:left="890" w:hanging="890"/>
      </w:pPr>
      <w:r>
        <w:tab/>
        <w:t>[Section 91 amended by No. 74 of 2003 s. 101; No. 23 of 2014 s. 75.]</w:t>
      </w:r>
    </w:p>
    <w:p>
      <w:pPr>
        <w:pStyle w:val="Heading5"/>
        <w:keepNext w:val="0"/>
        <w:keepLines w:val="0"/>
        <w:rPr>
          <w:snapToGrid w:val="0"/>
        </w:rPr>
      </w:pPr>
      <w:bookmarkStart w:id="199" w:name="_Toc404159108"/>
      <w:bookmarkStart w:id="200" w:name="_Toc468701005"/>
      <w:r>
        <w:rPr>
          <w:rStyle w:val="CharSectno"/>
        </w:rPr>
        <w:t>92</w:t>
      </w:r>
      <w:r>
        <w:rPr>
          <w:snapToGrid w:val="0"/>
        </w:rPr>
        <w:t>.</w:t>
      </w:r>
      <w:r>
        <w:rPr>
          <w:snapToGrid w:val="0"/>
        </w:rPr>
        <w:tab/>
        <w:t>Restraining bank etc. from dealing with agent’s account, SAT’s powers as to</w:t>
      </w:r>
      <w:bookmarkEnd w:id="199"/>
      <w:bookmarkEnd w:id="200"/>
    </w:p>
    <w:p>
      <w:pPr>
        <w:pStyle w:val="Subsection"/>
        <w:spacing w:before="120"/>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evidence on affidavit to the satisfaction of the State Administrative Tribunal that —</w:t>
      </w:r>
    </w:p>
    <w:p>
      <w:pPr>
        <w:pStyle w:val="Indenta"/>
        <w:spacing w:before="60"/>
        <w:rPr>
          <w:snapToGrid w:val="0"/>
        </w:rPr>
      </w:pPr>
      <w:r>
        <w:rPr>
          <w:snapToGrid w:val="0"/>
        </w:rPr>
        <w:tab/>
        <w:t>(a)</w:t>
      </w:r>
      <w:r>
        <w:rPr>
          <w:snapToGrid w:val="0"/>
        </w:rPr>
        <w:tab/>
        <w:t>there are reasonable grounds for believing that there is a deficiency in the trust account of any agent; or</w:t>
      </w:r>
    </w:p>
    <w:p>
      <w:pPr>
        <w:pStyle w:val="Indenta"/>
        <w:keepNext/>
        <w:spacing w:before="60"/>
        <w:rPr>
          <w:snapToGrid w:val="0"/>
        </w:rPr>
      </w:pPr>
      <w:r>
        <w:rPr>
          <w:snapToGrid w:val="0"/>
        </w:rPr>
        <w:tab/>
        <w:t>(b)</w:t>
      </w:r>
      <w:r>
        <w:rPr>
          <w:snapToGrid w:val="0"/>
        </w:rPr>
        <w:tab/>
        <w:t>there has been undue or unreasonable refusal, neglect, or delay on the part of any agent in paying moneys,</w:t>
      </w:r>
    </w:p>
    <w:p>
      <w:pPr>
        <w:pStyle w:val="Indenti"/>
        <w:spacing w:before="60"/>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[Section 92 amended by No. 59 of 1995 s. 40(1); No. 26 of 1999 s. 99(4); No. 55 of 2004 s. 1021; No. 58 of 2010 s. 134.]</w:t>
      </w:r>
    </w:p>
    <w:p>
      <w:pPr>
        <w:pStyle w:val="Heading5"/>
        <w:rPr>
          <w:snapToGrid w:val="0"/>
        </w:rPr>
      </w:pPr>
      <w:bookmarkStart w:id="201" w:name="_Toc404159109"/>
      <w:bookmarkStart w:id="202" w:name="_Toc468701006"/>
      <w:r>
        <w:rPr>
          <w:rStyle w:val="CharSectno"/>
        </w:rPr>
        <w:t>93</w:t>
      </w:r>
      <w:r>
        <w:rPr>
          <w:snapToGrid w:val="0"/>
        </w:rPr>
        <w:t>.</w:t>
      </w:r>
      <w:r>
        <w:rPr>
          <w:snapToGrid w:val="0"/>
        </w:rPr>
        <w:tab/>
        <w:t>Suspension of agents, appointment of supervisors etc., SAT’s powers as to</w:t>
      </w:r>
      <w:bookmarkEnd w:id="201"/>
      <w:bookmarkEnd w:id="202"/>
    </w:p>
    <w:p>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w:t>
      </w:r>
    </w:p>
    <w:p>
      <w:pPr>
        <w:pStyle w:val="Indenta"/>
        <w:rPr>
          <w:snapToGrid w:val="0"/>
        </w:rPr>
      </w:pPr>
      <w:r>
        <w:rPr>
          <w:snapToGrid w:val="0"/>
        </w:rPr>
        <w:tab/>
        <w:t>(a)</w:t>
      </w:r>
      <w:r>
        <w:rPr>
          <w:snapToGrid w:val="0"/>
        </w:rPr>
        <w:tab/>
        <w:t>suspend the agent from carrying on his business for such period as may be specified in the order; and</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 and</w:t>
      </w:r>
    </w:p>
    <w:p>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 and</w:t>
      </w:r>
    </w:p>
    <w:p>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w:t>
      </w:r>
      <w:r>
        <w:t xml:space="preserve"> Commissioner</w:t>
      </w:r>
      <w:r>
        <w:rPr>
          <w:snapToGrid w:val="0"/>
        </w:rPr>
        <w:t>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 and</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w:t>
      </w:r>
    </w:p>
    <w:p>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pPr>
        <w:pStyle w:val="Footnotesection"/>
      </w:pPr>
      <w:r>
        <w:tab/>
        <w:t>[Section 93 amended by No. 59 of 1995 s. 42; No. 55 of 2004 s. 1021; No. 77 of 2006 Sch. 1 cl. 147(4) and (5); No. 58 of 2010 s. 134.]</w:t>
      </w:r>
    </w:p>
    <w:p>
      <w:pPr>
        <w:pStyle w:val="Heading5"/>
        <w:rPr>
          <w:snapToGrid w:val="0"/>
        </w:rPr>
      </w:pPr>
      <w:bookmarkStart w:id="203" w:name="_Toc404159110"/>
      <w:bookmarkStart w:id="204" w:name="_Toc468701007"/>
      <w:r>
        <w:rPr>
          <w:rStyle w:val="CharSectno"/>
        </w:rPr>
        <w:t>94</w:t>
      </w:r>
      <w:r>
        <w:rPr>
          <w:snapToGrid w:val="0"/>
        </w:rPr>
        <w:t>.</w:t>
      </w:r>
      <w:r>
        <w:rPr>
          <w:snapToGrid w:val="0"/>
        </w:rPr>
        <w:tab/>
        <w:t>Order under s. 93 for supervisor, effect of</w:t>
      </w:r>
      <w:bookmarkEnd w:id="203"/>
      <w:bookmarkEnd w:id="204"/>
    </w:p>
    <w:p>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 and</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proportion shall be paid to the </w:t>
      </w:r>
      <w:r>
        <w:t>Commissioner</w:t>
      </w:r>
      <w:r>
        <w:rPr>
          <w:snapToGrid w:val="0"/>
        </w:rPr>
        <w:t xml:space="preserve"> towards the expenses and remuneration of the supervisor and for reimbursement of advances made under paragraph (b).</w:t>
      </w:r>
    </w:p>
    <w:p>
      <w:pPr>
        <w:pStyle w:val="Subsection"/>
        <w:keepNext/>
        <w:keepLines/>
        <w:rPr>
          <w:snapToGrid w:val="0"/>
        </w:rPr>
      </w:pPr>
      <w:r>
        <w:rPr>
          <w:snapToGrid w:val="0"/>
        </w:rPr>
        <w:tab/>
        <w:t>(2)</w:t>
      </w:r>
      <w:r>
        <w:rPr>
          <w:snapToGrid w:val="0"/>
        </w:rPr>
        <w:tab/>
        <w:t xml:space="preserve">An appointment of a supervisor shall be in </w:t>
      </w:r>
      <w:r>
        <w:t>writing.</w:t>
      </w:r>
    </w:p>
    <w:p>
      <w:pPr>
        <w:pStyle w:val="Footnotesection"/>
      </w:pPr>
      <w:r>
        <w:tab/>
        <w:t>[Section 94 amended by No. 58 of 2010 s. 101 and 134.]</w:t>
      </w:r>
    </w:p>
    <w:p>
      <w:pPr>
        <w:pStyle w:val="Heading5"/>
        <w:rPr>
          <w:snapToGrid w:val="0"/>
        </w:rPr>
      </w:pPr>
      <w:bookmarkStart w:id="205" w:name="_Toc404159111"/>
      <w:bookmarkStart w:id="206" w:name="_Toc468701008"/>
      <w:r>
        <w:rPr>
          <w:rStyle w:val="CharSectno"/>
        </w:rPr>
        <w:t>95</w:t>
      </w:r>
      <w:r>
        <w:rPr>
          <w:snapToGrid w:val="0"/>
        </w:rPr>
        <w:t>.</w:t>
      </w:r>
      <w:r>
        <w:rPr>
          <w:snapToGrid w:val="0"/>
        </w:rPr>
        <w:tab/>
        <w:t>Supervisors’ duties</w:t>
      </w:r>
      <w:bookmarkEnd w:id="205"/>
      <w:bookmarkEnd w:id="206"/>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207" w:name="_Toc404159112"/>
      <w:bookmarkStart w:id="208" w:name="_Toc468701009"/>
      <w:r>
        <w:rPr>
          <w:rStyle w:val="CharSectno"/>
        </w:rPr>
        <w:t>96</w:t>
      </w:r>
      <w:r>
        <w:rPr>
          <w:snapToGrid w:val="0"/>
        </w:rPr>
        <w:t>.</w:t>
      </w:r>
      <w:r>
        <w:rPr>
          <w:snapToGrid w:val="0"/>
        </w:rPr>
        <w:tab/>
        <w:t>Hindering etc. supervisors, offence</w:t>
      </w:r>
      <w:bookmarkEnd w:id="207"/>
      <w:bookmarkEnd w:id="208"/>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[Section 96 amended by No. 43 of 1994 s. 11.]</w:t>
      </w:r>
    </w:p>
    <w:p>
      <w:pPr>
        <w:pStyle w:val="Heading5"/>
        <w:rPr>
          <w:snapToGrid w:val="0"/>
        </w:rPr>
      </w:pPr>
      <w:bookmarkStart w:id="209" w:name="_Toc404159113"/>
      <w:bookmarkStart w:id="210" w:name="_Toc468701010"/>
      <w:r>
        <w:rPr>
          <w:rStyle w:val="CharSectno"/>
        </w:rPr>
        <w:t>97</w:t>
      </w:r>
      <w:r>
        <w:rPr>
          <w:snapToGrid w:val="0"/>
        </w:rPr>
        <w:t>.</w:t>
      </w:r>
      <w:r>
        <w:rPr>
          <w:snapToGrid w:val="0"/>
        </w:rPr>
        <w:tab/>
        <w:t>Discharge or variation of s. 92 or 93 order</w:t>
      </w:r>
      <w:bookmarkEnd w:id="209"/>
      <w:bookmarkEnd w:id="210"/>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r>
        <w:tab/>
        <w:t>[Section 97 amended by No. 55 of 2004 s. 1021.]</w:t>
      </w:r>
    </w:p>
    <w:p>
      <w:pPr>
        <w:pStyle w:val="Heading5"/>
        <w:rPr>
          <w:snapToGrid w:val="0"/>
        </w:rPr>
      </w:pPr>
      <w:bookmarkStart w:id="211" w:name="_Toc404159114"/>
      <w:bookmarkStart w:id="212" w:name="_Toc468701011"/>
      <w:r>
        <w:rPr>
          <w:rStyle w:val="CharSectno"/>
        </w:rPr>
        <w:t>98</w:t>
      </w:r>
      <w:r>
        <w:rPr>
          <w:snapToGrid w:val="0"/>
        </w:rPr>
        <w:t>.</w:t>
      </w:r>
      <w:r>
        <w:rPr>
          <w:snapToGrid w:val="0"/>
        </w:rPr>
        <w:tab/>
        <w:t>SAT’s additional powers as to s. 92, 93 and 97 orders; schemes for distributing funds</w:t>
      </w:r>
      <w:bookmarkEnd w:id="211"/>
      <w:bookmarkEnd w:id="212"/>
    </w:p>
    <w:p>
      <w:pPr>
        <w:pStyle w:val="Subsection"/>
        <w:keepNext/>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 and</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[Section 98 amended by No. 59 of 1995 s. 40(1) and 42; No. 26 of 1999 s. 99(5); No. 55 of 2004 s. 1021; No. 77 of 2006 Sch. 1 cl. 147(6) and (7); No. 58 of 2010 s. 134.]</w:t>
      </w:r>
    </w:p>
    <w:p>
      <w:pPr>
        <w:pStyle w:val="Heading5"/>
        <w:rPr>
          <w:snapToGrid w:val="0"/>
        </w:rPr>
      </w:pPr>
      <w:bookmarkStart w:id="213" w:name="_Toc404159115"/>
      <w:bookmarkStart w:id="214" w:name="_Toc468701012"/>
      <w:r>
        <w:rPr>
          <w:rStyle w:val="CharSectno"/>
        </w:rPr>
        <w:t>99</w:t>
      </w:r>
      <w:r>
        <w:rPr>
          <w:snapToGrid w:val="0"/>
        </w:rPr>
        <w:t>.</w:t>
      </w:r>
      <w:r>
        <w:rPr>
          <w:snapToGrid w:val="0"/>
        </w:rPr>
        <w:tab/>
        <w:t>Service of s. 92, 93, 97 or 98 orders; penalty for breach of</w:t>
      </w:r>
      <w:bookmarkEnd w:id="213"/>
      <w:bookmarkEnd w:id="214"/>
    </w:p>
    <w:p>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(8); No. 58 of 2010 s. 134.]</w:t>
      </w:r>
    </w:p>
    <w:p>
      <w:pPr>
        <w:pStyle w:val="Heading5"/>
        <w:spacing w:before="180"/>
      </w:pPr>
      <w:bookmarkStart w:id="215" w:name="_Toc404159116"/>
      <w:bookmarkStart w:id="216" w:name="_Toc468701013"/>
      <w:r>
        <w:rPr>
          <w:rStyle w:val="CharSectno"/>
        </w:rPr>
        <w:t>100</w:t>
      </w:r>
      <w:r>
        <w:t>.</w:t>
      </w:r>
      <w:r>
        <w:tab/>
        <w:t>Banks etc., duty to disclose certain accounts etc. if required to by authorised person</w:t>
      </w:r>
      <w:bookmarkEnd w:id="215"/>
      <w:bookmarkEnd w:id="216"/>
    </w:p>
    <w:p>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p>
    <w:p>
      <w:pPr>
        <w:pStyle w:val="Footnotesection"/>
        <w:spacing w:before="80"/>
        <w:ind w:left="890" w:hanging="890"/>
      </w:pPr>
      <w:r>
        <w:tab/>
        <w:t>[Section 100 inserted by No. 58 of 2010 s. 102.]</w:t>
      </w:r>
    </w:p>
    <w:p>
      <w:pPr>
        <w:pStyle w:val="Heading5"/>
        <w:spacing w:before="180"/>
        <w:rPr>
          <w:snapToGrid w:val="0"/>
        </w:rPr>
      </w:pPr>
      <w:bookmarkStart w:id="217" w:name="_Toc404159117"/>
      <w:bookmarkStart w:id="218" w:name="_Toc468701014"/>
      <w:r>
        <w:rPr>
          <w:rStyle w:val="CharSectno"/>
        </w:rPr>
        <w:t>100A</w:t>
      </w:r>
      <w:r>
        <w:rPr>
          <w:snapToGrid w:val="0"/>
        </w:rPr>
        <w:t>.</w:t>
      </w:r>
      <w:r>
        <w:rPr>
          <w:snapToGrid w:val="0"/>
        </w:rPr>
        <w:tab/>
      </w:r>
      <w:r>
        <w:t>Information about trust accounts, Commissioner’s power to obtain</w:t>
      </w:r>
      <w:bookmarkEnd w:id="217"/>
      <w:bookmarkEnd w:id="218"/>
    </w:p>
    <w:p>
      <w:pPr>
        <w:pStyle w:val="Subsection"/>
        <w:keepNext/>
        <w:spacing w:before="120"/>
        <w:rPr>
          <w:snapToGrid w:val="0"/>
        </w:rPr>
      </w:pPr>
      <w:r>
        <w:rPr>
          <w:snapToGrid w:val="0"/>
        </w:rPr>
        <w:tab/>
        <w:t>(1)</w:t>
      </w:r>
      <w:r>
        <w:rPr>
          <w:snapToGrid w:val="0"/>
        </w:rPr>
        <w:tab/>
        <w:t xml:space="preserve">The </w:t>
      </w:r>
      <w:r>
        <w:t>Commissioner</w:t>
      </w:r>
      <w:r>
        <w:rPr>
          <w:snapToGrid w:val="0"/>
        </w:rPr>
        <w:t xml:space="preserve"> may require —</w:t>
      </w:r>
    </w:p>
    <w:p>
      <w:pPr>
        <w:pStyle w:val="Indenta"/>
        <w:spacing w:before="60"/>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pPr>
        <w:pStyle w:val="Indenta"/>
        <w:spacing w:before="60"/>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pPr>
        <w:pStyle w:val="Subsection"/>
        <w:spacing w:before="80"/>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w:t>
      </w:r>
    </w:p>
    <w:p>
      <w:pPr>
        <w:pStyle w:val="Indenta"/>
        <w:spacing w:before="60"/>
        <w:rPr>
          <w:snapToGrid w:val="0"/>
        </w:rPr>
      </w:pPr>
      <w:r>
        <w:rPr>
          <w:snapToGrid w:val="0"/>
        </w:rPr>
        <w:tab/>
        <w:t>(a)</w:t>
      </w:r>
      <w:r>
        <w:rPr>
          <w:snapToGrid w:val="0"/>
        </w:rPr>
        <w:tab/>
        <w:t>shall be given by notice in writing to the person required to give the information; and</w:t>
      </w:r>
    </w:p>
    <w:p>
      <w:pPr>
        <w:pStyle w:val="Indenta"/>
        <w:spacing w:before="60"/>
        <w:rPr>
          <w:snapToGrid w:val="0"/>
        </w:rPr>
      </w:pPr>
      <w:r>
        <w:rPr>
          <w:snapToGrid w:val="0"/>
        </w:rPr>
        <w:tab/>
        <w:t>(b)</w:t>
      </w:r>
      <w:r>
        <w:rPr>
          <w:snapToGrid w:val="0"/>
        </w:rPr>
        <w:tab/>
        <w:t>shall specify the time at or within which the information is to be given; and</w:t>
      </w:r>
    </w:p>
    <w:p>
      <w:pPr>
        <w:pStyle w:val="Indenta"/>
        <w:keepNext/>
        <w:spacing w:before="60"/>
        <w:rPr>
          <w:snapToGrid w:val="0"/>
        </w:rPr>
      </w:pPr>
      <w:r>
        <w:rPr>
          <w:snapToGrid w:val="0"/>
        </w:rPr>
        <w:tab/>
        <w:t>(c)</w:t>
      </w:r>
      <w:r>
        <w:rPr>
          <w:snapToGrid w:val="0"/>
        </w:rPr>
        <w:tab/>
        <w:t>may, by its terms, require that the information be —</w:t>
      </w:r>
    </w:p>
    <w:p>
      <w:pPr>
        <w:pStyle w:val="Indenti"/>
        <w:spacing w:before="60"/>
        <w:rPr>
          <w:snapToGrid w:val="0"/>
        </w:rPr>
      </w:pPr>
      <w:r>
        <w:rPr>
          <w:snapToGrid w:val="0"/>
        </w:rPr>
        <w:tab/>
        <w:t>(i)</w:t>
      </w:r>
      <w:r>
        <w:rPr>
          <w:snapToGrid w:val="0"/>
        </w:rPr>
        <w:tab/>
        <w:t>given in writing; and</w:t>
      </w:r>
    </w:p>
    <w:p>
      <w:pPr>
        <w:pStyle w:val="Indenti"/>
        <w:spacing w:before="6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 and</w:t>
      </w:r>
    </w:p>
    <w:p>
      <w:pPr>
        <w:pStyle w:val="Indenti"/>
        <w:spacing w:before="60"/>
        <w:rPr>
          <w:snapToGrid w:val="0"/>
        </w:rPr>
      </w:pPr>
      <w:r>
        <w:rPr>
          <w:snapToGrid w:val="0"/>
        </w:rPr>
        <w:tab/>
        <w:t>(iii)</w:t>
      </w:r>
      <w:r>
        <w:rPr>
          <w:snapToGrid w:val="0"/>
        </w:rPr>
        <w:tab/>
        <w:t>given at or sent or delivered to any place specified in the requirement; and</w:t>
      </w:r>
    </w:p>
    <w:p>
      <w:pPr>
        <w:pStyle w:val="Indenti"/>
        <w:spacing w:before="60"/>
        <w:rPr>
          <w:snapToGrid w:val="0"/>
        </w:rPr>
      </w:pPr>
      <w:r>
        <w:rPr>
          <w:snapToGrid w:val="0"/>
        </w:rPr>
        <w:tab/>
        <w:t>(iv)</w:t>
      </w:r>
      <w:r>
        <w:rPr>
          <w:snapToGrid w:val="0"/>
        </w:rPr>
        <w:tab/>
        <w:t>sent or delivered by any means specified in the requirement; and</w:t>
      </w:r>
    </w:p>
    <w:p>
      <w:pPr>
        <w:pStyle w:val="Indenti"/>
        <w:spacing w:before="60"/>
        <w:rPr>
          <w:snapToGrid w:val="0"/>
        </w:rPr>
      </w:pPr>
      <w:r>
        <w:rPr>
          <w:snapToGrid w:val="0"/>
        </w:rPr>
        <w:tab/>
        <w:t>(v)</w:t>
      </w:r>
      <w:r>
        <w:rPr>
          <w:snapToGrid w:val="0"/>
        </w:rPr>
        <w:tab/>
        <w:t>given on oath or affirmation or by statutory declaration;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shall state that the person to whom the notice is given is required under this Act to give the information.</w:t>
      </w:r>
    </w:p>
    <w:p>
      <w:pPr>
        <w:pStyle w:val="Subsection"/>
        <w:spacing w:before="140"/>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spacing w:before="140"/>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spacing w:before="140"/>
        <w:rPr>
          <w:snapToGrid w:val="0"/>
        </w:rPr>
      </w:pPr>
      <w:r>
        <w:rPr>
          <w:snapToGrid w:val="0"/>
        </w:rPr>
        <w:tab/>
        <w:t>(5)</w:t>
      </w:r>
      <w:r>
        <w:rPr>
          <w:snapToGrid w:val="0"/>
        </w:rPr>
        <w:tab/>
        <w:t>It is a defence in proceedings for an offence against subsection (3) for the person to show that —</w:t>
      </w:r>
    </w:p>
    <w:p>
      <w:pPr>
        <w:pStyle w:val="Indenta"/>
        <w:spacing w:before="60"/>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keepNext/>
        <w:keepLines/>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pPr>
        <w:pStyle w:val="Footnotesection"/>
      </w:pPr>
      <w:r>
        <w:tab/>
        <w:t>[Section 100A inserted by No. 59 of 1995 s. 19; amended by No. 10 of 2001 s. 220; No. 58 of 2010 s. 134.]</w:t>
      </w:r>
    </w:p>
    <w:p>
      <w:pPr>
        <w:pStyle w:val="Heading2"/>
      </w:pPr>
      <w:bookmarkStart w:id="219" w:name="_Toc404159118"/>
      <w:bookmarkStart w:id="220" w:name="_Toc424293144"/>
      <w:bookmarkStart w:id="221" w:name="_Toc435024507"/>
      <w:bookmarkStart w:id="222" w:name="_Toc468701015"/>
      <w:r>
        <w:rPr>
          <w:rStyle w:val="CharPartNo"/>
        </w:rPr>
        <w:t>Part VII</w:t>
      </w:r>
      <w:r>
        <w:rPr>
          <w:rStyle w:val="CharDivNo"/>
        </w:rPr>
        <w:t> </w:t>
      </w:r>
      <w:r>
        <w:t>—</w:t>
      </w:r>
      <w:r>
        <w:rPr>
          <w:rStyle w:val="CharDivText"/>
        </w:rPr>
        <w:t> </w:t>
      </w:r>
      <w:r>
        <w:rPr>
          <w:rStyle w:val="CharPartText"/>
        </w:rPr>
        <w:t>Discipline of agents and sales representatives</w:t>
      </w:r>
      <w:bookmarkEnd w:id="219"/>
      <w:bookmarkEnd w:id="220"/>
      <w:bookmarkEnd w:id="221"/>
      <w:bookmarkEnd w:id="222"/>
    </w:p>
    <w:p>
      <w:pPr>
        <w:pStyle w:val="Heading5"/>
        <w:rPr>
          <w:snapToGrid w:val="0"/>
        </w:rPr>
      </w:pPr>
      <w:bookmarkStart w:id="223" w:name="_Toc404159119"/>
      <w:bookmarkStart w:id="224" w:name="_Toc468701016"/>
      <w:r>
        <w:rPr>
          <w:rStyle w:val="CharSectno"/>
        </w:rPr>
        <w:t>101</w:t>
      </w:r>
      <w:r>
        <w:rPr>
          <w:snapToGrid w:val="0"/>
        </w:rPr>
        <w:t>.</w:t>
      </w:r>
      <w:r>
        <w:rPr>
          <w:snapToGrid w:val="0"/>
        </w:rPr>
        <w:tab/>
      </w:r>
      <w:r>
        <w:t>Codes of conduct</w:t>
      </w:r>
      <w:bookmarkEnd w:id="223"/>
      <w:bookmarkEnd w:id="224"/>
    </w:p>
    <w:p>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Footnotesection"/>
      </w:pPr>
      <w:r>
        <w:tab/>
        <w:t>[Section 101 amended by No. 58 of 2010 s. 134.]</w:t>
      </w:r>
    </w:p>
    <w:p>
      <w:pPr>
        <w:pStyle w:val="Heading5"/>
        <w:rPr>
          <w:snapToGrid w:val="0"/>
        </w:rPr>
      </w:pPr>
      <w:bookmarkStart w:id="225" w:name="_Toc404159120"/>
      <w:bookmarkStart w:id="226" w:name="_Toc468701017"/>
      <w:r>
        <w:rPr>
          <w:rStyle w:val="CharSectno"/>
        </w:rPr>
        <w:t>102</w:t>
      </w:r>
      <w:r>
        <w:rPr>
          <w:snapToGrid w:val="0"/>
        </w:rPr>
        <w:t>.</w:t>
      </w:r>
      <w:r>
        <w:rPr>
          <w:snapToGrid w:val="0"/>
        </w:rPr>
        <w:tab/>
        <w:t>Disciplinary action by SAT, alleging cause for</w:t>
      </w:r>
      <w:bookmarkEnd w:id="225"/>
      <w:bookmarkEnd w:id="226"/>
    </w:p>
    <w:p>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[Section 102 amended by No. 74 of 1980 s. 10; No. 34 of 1998 s. 16; No. 55 of 2004 s. 1013 and 1020; No. 58 of 2010 s. 134.]</w:t>
      </w:r>
    </w:p>
    <w:p>
      <w:pPr>
        <w:pStyle w:val="Heading5"/>
        <w:rPr>
          <w:snapToGrid w:val="0"/>
        </w:rPr>
      </w:pPr>
      <w:bookmarkStart w:id="227" w:name="_Toc404159121"/>
      <w:bookmarkStart w:id="228" w:name="_Toc468701018"/>
      <w:r>
        <w:rPr>
          <w:rStyle w:val="CharSectno"/>
        </w:rPr>
        <w:t>103</w:t>
      </w:r>
      <w:r>
        <w:rPr>
          <w:snapToGrid w:val="0"/>
        </w:rPr>
        <w:t>.</w:t>
      </w:r>
      <w:r>
        <w:rPr>
          <w:snapToGrid w:val="0"/>
        </w:rPr>
        <w:tab/>
        <w:t>Disciplinary action, SAT’s powers as to</w:t>
      </w:r>
      <w:bookmarkEnd w:id="227"/>
      <w:bookmarkEnd w:id="228"/>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w:t>
      </w:r>
    </w:p>
    <w:p>
      <w:pPr>
        <w:pStyle w:val="Indenta"/>
        <w:spacing w:before="70"/>
        <w:rPr>
          <w:snapToGrid w:val="0"/>
        </w:rPr>
      </w:pPr>
      <w:r>
        <w:rPr>
          <w:snapToGrid w:val="0"/>
        </w:rPr>
        <w:tab/>
        <w:t>(a)</w:t>
      </w:r>
      <w:r>
        <w:rPr>
          <w:snapToGrid w:val="0"/>
        </w:rPr>
        <w:tab/>
        <w:t>reprimand or caution the agent;</w:t>
      </w:r>
    </w:p>
    <w:p>
      <w:pPr>
        <w:pStyle w:val="Indenta"/>
        <w:spacing w:before="70"/>
        <w:rPr>
          <w:snapToGrid w:val="0"/>
        </w:rPr>
      </w:pPr>
      <w:r>
        <w:rPr>
          <w:snapToGrid w:val="0"/>
        </w:rPr>
        <w:tab/>
        <w:t>(b)</w:t>
      </w:r>
      <w:r>
        <w:rPr>
          <w:snapToGrid w:val="0"/>
        </w:rPr>
        <w:tab/>
        <w:t>impose a fine not exceeding $10 000 on him;</w:t>
      </w:r>
    </w:p>
    <w:p>
      <w:pPr>
        <w:pStyle w:val="Indenta"/>
        <w:spacing w:before="70"/>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spacing w:before="70"/>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w:t>
      </w:r>
    </w:p>
    <w:p>
      <w:pPr>
        <w:pStyle w:val="Indenti"/>
        <w:spacing w:before="70"/>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spacing w:before="70"/>
        <w:rPr>
          <w:snapToGrid w:val="0"/>
        </w:rPr>
      </w:pPr>
      <w:r>
        <w:rPr>
          <w:snapToGrid w:val="0"/>
        </w:rPr>
        <w:tab/>
        <w:t>(ii)</w:t>
      </w:r>
      <w:r>
        <w:rPr>
          <w:snapToGrid w:val="0"/>
        </w:rPr>
        <w:tab/>
        <w:t>order that a demand by the agent in contravention of a provision referred to in the subsection for the whole or part of any commission, reward or other valuable consideration not be made, or if made, be withdrawn or varied in accordance with the order;</w:t>
      </w:r>
    </w:p>
    <w:p>
      <w:pPr>
        <w:pStyle w:val="Indenta"/>
        <w:spacing w:before="70"/>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w:t>
      </w:r>
    </w:p>
    <w:p>
      <w:pPr>
        <w:pStyle w:val="Indenta"/>
        <w:rPr>
          <w:snapToGrid w:val="0"/>
        </w:rPr>
      </w:pPr>
      <w:r>
        <w:rPr>
          <w:snapToGrid w:val="0"/>
        </w:rPr>
        <w:tab/>
        <w:t>(a)</w:t>
      </w:r>
      <w:r>
        <w:rPr>
          <w:snapToGrid w:val="0"/>
        </w:rPr>
        <w:tab/>
        <w:t>the agent improperly obtained a licence or triennial certificate; or</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 or</w:t>
      </w:r>
    </w:p>
    <w:p>
      <w:pPr>
        <w:pStyle w:val="Indenta"/>
        <w:keepNext/>
        <w:rPr>
          <w:snapToGrid w:val="0"/>
        </w:rPr>
      </w:pPr>
      <w:r>
        <w:rPr>
          <w:snapToGrid w:val="0"/>
        </w:rPr>
        <w:tab/>
        <w:t>(c)</w:t>
      </w:r>
      <w:r>
        <w:rPr>
          <w:snapToGrid w:val="0"/>
        </w:rPr>
        <w:tab/>
        <w:t>the agent is acting or has acted in breach of —</w:t>
      </w:r>
    </w:p>
    <w:p>
      <w:pPr>
        <w:pStyle w:val="Indenti"/>
        <w:rPr>
          <w:snapToGrid w:val="0"/>
        </w:rPr>
      </w:pPr>
      <w:r>
        <w:rPr>
          <w:snapToGrid w:val="0"/>
        </w:rPr>
        <w:tab/>
        <w:t>(i)</w:t>
      </w:r>
      <w:r>
        <w:rPr>
          <w:snapToGrid w:val="0"/>
        </w:rPr>
        <w:tab/>
        <w:t>a special condition of his licence or triennial certificate;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w:t>
      </w:r>
    </w:p>
    <w:p>
      <w:pPr>
        <w:pStyle w:val="Indenta"/>
        <w:rPr>
          <w:snapToGrid w:val="0"/>
        </w:rPr>
      </w:pPr>
      <w:r>
        <w:rPr>
          <w:snapToGrid w:val="0"/>
        </w:rPr>
        <w:tab/>
        <w:t>(a)</w:t>
      </w:r>
      <w:r>
        <w:rPr>
          <w:snapToGrid w:val="0"/>
        </w:rPr>
        <w:tab/>
        <w:t>the sales representative improperly obtained registration; or</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 or</w:t>
      </w:r>
    </w:p>
    <w:p>
      <w:pPr>
        <w:pStyle w:val="Indenta"/>
        <w:keepNext/>
        <w:rPr>
          <w:snapToGrid w:val="0"/>
        </w:rPr>
      </w:pPr>
      <w:r>
        <w:rPr>
          <w:snapToGrid w:val="0"/>
        </w:rPr>
        <w:tab/>
        <w:t>(c)</w:t>
      </w:r>
      <w:r>
        <w:rPr>
          <w:snapToGrid w:val="0"/>
        </w:rPr>
        <w:tab/>
        <w:t>the sales representative is acting or has acted in breach of —</w:t>
      </w:r>
    </w:p>
    <w:p>
      <w:pPr>
        <w:pStyle w:val="Indenti"/>
        <w:rPr>
          <w:snapToGrid w:val="0"/>
        </w:rPr>
      </w:pPr>
      <w:r>
        <w:rPr>
          <w:snapToGrid w:val="0"/>
        </w:rPr>
        <w:tab/>
        <w:t>(i)</w:t>
      </w:r>
      <w:r>
        <w:rPr>
          <w:snapToGrid w:val="0"/>
        </w:rPr>
        <w:tab/>
        <w:t>a special condition of his registration;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code of conduct for sales representatives;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[Section 103 amended by No. 43 of 1994 s. 11; No. 59 of 1995 s. 20; No. 34 of 1998 s. 17; No. 55 of 2004 s. 1014 and 1020; No. 58 of 2010 s. 134.]</w:t>
      </w:r>
    </w:p>
    <w:p>
      <w:pPr>
        <w:pStyle w:val="Heading5"/>
        <w:rPr>
          <w:snapToGrid w:val="0"/>
        </w:rPr>
      </w:pPr>
      <w:bookmarkStart w:id="229" w:name="_Toc404159122"/>
      <w:bookmarkStart w:id="230" w:name="_Toc468701019"/>
      <w:r>
        <w:rPr>
          <w:rStyle w:val="CharSectno"/>
        </w:rPr>
        <w:t>104</w:t>
      </w:r>
      <w:r>
        <w:rPr>
          <w:snapToGrid w:val="0"/>
        </w:rPr>
        <w:t>.</w:t>
      </w:r>
      <w:r>
        <w:rPr>
          <w:snapToGrid w:val="0"/>
        </w:rPr>
        <w:tab/>
        <w:t>Offences that cause licence and triennial certificate to be cancelled</w:t>
      </w:r>
      <w:bookmarkEnd w:id="229"/>
      <w:bookmarkEnd w:id="230"/>
    </w:p>
    <w:p>
      <w:pPr>
        <w:pStyle w:val="Subsection"/>
        <w:keepNext/>
        <w:rPr>
          <w:snapToGrid w:val="0"/>
        </w:rPr>
      </w:pPr>
      <w:r>
        <w:rPr>
          <w:snapToGrid w:val="0"/>
        </w:rPr>
        <w:tab/>
      </w:r>
      <w:r>
        <w:rPr>
          <w:snapToGrid w:val="0"/>
        </w:rPr>
        <w:tab/>
        <w:t>If a licensee is convicted of an offence involving —</w:t>
      </w:r>
    </w:p>
    <w:p>
      <w:pPr>
        <w:pStyle w:val="Indenta"/>
        <w:rPr>
          <w:snapToGrid w:val="0"/>
        </w:rPr>
      </w:pPr>
      <w:r>
        <w:rPr>
          <w:snapToGrid w:val="0"/>
        </w:rPr>
        <w:tab/>
        <w:t>(a)</w:t>
      </w:r>
      <w:r>
        <w:rPr>
          <w:snapToGrid w:val="0"/>
        </w:rPr>
        <w:tab/>
        <w:t>defalcation by the licensee; or</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pPr>
        <w:pStyle w:val="Footnotesection"/>
      </w:pPr>
      <w:r>
        <w:tab/>
        <w:t>[Section 104 amended by No. 59 of 2004 s. 141; No. 58 of 2010 s. 134.]</w:t>
      </w:r>
    </w:p>
    <w:p>
      <w:pPr>
        <w:pStyle w:val="Heading5"/>
        <w:rPr>
          <w:snapToGrid w:val="0"/>
        </w:rPr>
      </w:pPr>
      <w:bookmarkStart w:id="231" w:name="_Toc404159123"/>
      <w:bookmarkStart w:id="232" w:name="_Toc468701020"/>
      <w:r>
        <w:rPr>
          <w:rStyle w:val="CharSectno"/>
        </w:rPr>
        <w:t>105</w:t>
      </w:r>
      <w:r>
        <w:rPr>
          <w:snapToGrid w:val="0"/>
        </w:rPr>
        <w:t>.</w:t>
      </w:r>
      <w:r>
        <w:rPr>
          <w:snapToGrid w:val="0"/>
        </w:rPr>
        <w:tab/>
        <w:t>Certain offences by licensees, additional sentencing powers for</w:t>
      </w:r>
      <w:bookmarkEnd w:id="231"/>
      <w:bookmarkEnd w:id="232"/>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w:t>
      </w:r>
    </w:p>
    <w:p>
      <w:pPr>
        <w:pStyle w:val="Indenta"/>
        <w:spacing w:before="60"/>
        <w:rPr>
          <w:snapToGrid w:val="0"/>
        </w:rPr>
      </w:pPr>
      <w:r>
        <w:rPr>
          <w:snapToGrid w:val="0"/>
        </w:rPr>
        <w:tab/>
        <w:t>(a)</w:t>
      </w:r>
      <w:r>
        <w:rPr>
          <w:snapToGrid w:val="0"/>
        </w:rPr>
        <w:tab/>
        <w:t>reprimand or caution the licensee;</w:t>
      </w:r>
    </w:p>
    <w:p>
      <w:pPr>
        <w:pStyle w:val="Indenta"/>
        <w:spacing w:before="60"/>
        <w:rPr>
          <w:snapToGrid w:val="0"/>
        </w:rPr>
      </w:pPr>
      <w:r>
        <w:rPr>
          <w:snapToGrid w:val="0"/>
        </w:rPr>
        <w:tab/>
        <w:t>(b)</w:t>
      </w:r>
      <w:r>
        <w:rPr>
          <w:snapToGrid w:val="0"/>
        </w:rPr>
        <w:tab/>
        <w:t>impose a fine not exceeding $10 000 on him;</w:t>
      </w:r>
    </w:p>
    <w:p>
      <w:pPr>
        <w:pStyle w:val="Indenta"/>
        <w:spacing w:before="60"/>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spacing w:before="120"/>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[Section 105 amended by No. 43 of 1994 s. 11; No. 55 of 2004 s. 1020; No. 59 of 2004 s. 141; No. 58 of 2010 s. 134.]</w:t>
      </w:r>
    </w:p>
    <w:p>
      <w:pPr>
        <w:pStyle w:val="Heading5"/>
        <w:rPr>
          <w:snapToGrid w:val="0"/>
        </w:rPr>
      </w:pPr>
      <w:bookmarkStart w:id="233" w:name="_Toc404159124"/>
      <w:bookmarkStart w:id="234" w:name="_Toc468701021"/>
      <w:r>
        <w:rPr>
          <w:rStyle w:val="CharSectno"/>
        </w:rPr>
        <w:t>106</w:t>
      </w:r>
      <w:r>
        <w:rPr>
          <w:snapToGrid w:val="0"/>
        </w:rPr>
        <w:t>.</w:t>
      </w:r>
      <w:r>
        <w:rPr>
          <w:snapToGrid w:val="0"/>
        </w:rPr>
        <w:tab/>
        <w:t>Persons with cancelled licences etc., offences by and in respect of</w:t>
      </w:r>
      <w:bookmarkEnd w:id="233"/>
      <w:bookmarkEnd w:id="234"/>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has had his licence cancelled under this Act; or</w:t>
      </w:r>
    </w:p>
    <w:p>
      <w:pPr>
        <w:pStyle w:val="Indenta"/>
        <w:spacing w:before="60"/>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w:t>
      </w:r>
      <w:r>
        <w:t xml:space="preserve"> Commissioner</w:t>
      </w:r>
      <w:r>
        <w:rPr>
          <w:snapToGrid w:val="0"/>
        </w:rPr>
        <w:t>,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w:t>
      </w:r>
    </w:p>
    <w:p>
      <w:pPr>
        <w:pStyle w:val="Indenta"/>
        <w:rPr>
          <w:snapToGrid w:val="0"/>
        </w:rPr>
      </w:pPr>
      <w:r>
        <w:rPr>
          <w:snapToGrid w:val="0"/>
        </w:rPr>
        <w:tab/>
        <w:t>(a)</w:t>
      </w:r>
      <w:r>
        <w:rPr>
          <w:snapToGrid w:val="0"/>
        </w:rPr>
        <w:tab/>
        <w:t>has had his licence cancelled under this Act; or</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[Section 106 amended by No. 43 of 1994 s. 11; No. 58 of 2010 s. 134.]</w:t>
      </w:r>
    </w:p>
    <w:p>
      <w:pPr>
        <w:pStyle w:val="Heading2"/>
      </w:pPr>
      <w:bookmarkStart w:id="235" w:name="_Toc404159125"/>
      <w:bookmarkStart w:id="236" w:name="_Toc424293151"/>
      <w:bookmarkStart w:id="237" w:name="_Toc435024514"/>
      <w:bookmarkStart w:id="238" w:name="_Toc468701022"/>
      <w:r>
        <w:rPr>
          <w:rStyle w:val="CharPartNo"/>
        </w:rPr>
        <w:t>Part VIII</w:t>
      </w:r>
      <w:r>
        <w:rPr>
          <w:rStyle w:val="CharDivNo"/>
        </w:rPr>
        <w:t> </w:t>
      </w:r>
      <w:r>
        <w:t>—</w:t>
      </w:r>
      <w:r>
        <w:rPr>
          <w:rStyle w:val="CharDivText"/>
        </w:rPr>
        <w:t> </w:t>
      </w:r>
      <w:r>
        <w:rPr>
          <w:rStyle w:val="CharPartText"/>
        </w:rPr>
        <w:t>Fidelity Guarantee Account</w:t>
      </w:r>
      <w:bookmarkEnd w:id="235"/>
      <w:bookmarkEnd w:id="236"/>
      <w:bookmarkEnd w:id="237"/>
      <w:bookmarkEnd w:id="238"/>
    </w:p>
    <w:p>
      <w:pPr>
        <w:pStyle w:val="Footnoteheading"/>
      </w:pPr>
      <w:r>
        <w:tab/>
        <w:t>[Heading amended by No. 77 of 2006 Sch. 1 cl. 147(8).]</w:t>
      </w:r>
    </w:p>
    <w:p>
      <w:pPr>
        <w:pStyle w:val="Heading5"/>
      </w:pPr>
      <w:bookmarkStart w:id="239" w:name="_Toc404159126"/>
      <w:bookmarkStart w:id="240" w:name="_Toc468701023"/>
      <w:r>
        <w:rPr>
          <w:rStyle w:val="CharSectno"/>
        </w:rPr>
        <w:t>107</w:t>
      </w:r>
      <w:r>
        <w:t>.</w:t>
      </w:r>
      <w:r>
        <w:tab/>
        <w:t>Account established</w:t>
      </w:r>
      <w:bookmarkEnd w:id="239"/>
      <w:bookmarkEnd w:id="240"/>
    </w:p>
    <w:p>
      <w:pPr>
        <w:pStyle w:val="Subsection"/>
      </w:pPr>
      <w:r>
        <w:tab/>
      </w:r>
      <w:r>
        <w:tab/>
        <w:t>An account called the Real Estate and Business Agents Fidelity Guarantee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inserted by No. 77 of 2006 Sch. 1 cl. 147(9).]</w:t>
      </w:r>
    </w:p>
    <w:p>
      <w:pPr>
        <w:pStyle w:val="Heading5"/>
        <w:rPr>
          <w:snapToGrid w:val="0"/>
        </w:rPr>
      </w:pPr>
      <w:bookmarkStart w:id="241" w:name="_Toc404159127"/>
      <w:bookmarkStart w:id="242" w:name="_Toc468701024"/>
      <w:r>
        <w:rPr>
          <w:rStyle w:val="CharSectno"/>
        </w:rPr>
        <w:t>108</w:t>
      </w:r>
      <w:r>
        <w:rPr>
          <w:snapToGrid w:val="0"/>
        </w:rPr>
        <w:t>.</w:t>
      </w:r>
      <w:r>
        <w:rPr>
          <w:snapToGrid w:val="0"/>
        </w:rPr>
        <w:tab/>
        <w:t>Investment of moneys in account</w:t>
      </w:r>
      <w:bookmarkEnd w:id="241"/>
      <w:bookmarkEnd w:id="242"/>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[Section 108 inserted by No. 59 of 1995 s. 22; amended by No. 77 of 2006 Sch. 1 cl. 147(2) and (10).]</w:t>
      </w:r>
    </w:p>
    <w:p>
      <w:pPr>
        <w:pStyle w:val="Heading5"/>
        <w:rPr>
          <w:snapToGrid w:val="0"/>
        </w:rPr>
      </w:pPr>
      <w:bookmarkStart w:id="243" w:name="_Toc404159128"/>
      <w:bookmarkStart w:id="244" w:name="_Toc468701025"/>
      <w:r>
        <w:rPr>
          <w:rStyle w:val="CharSectno"/>
        </w:rPr>
        <w:t>109</w:t>
      </w:r>
      <w:r>
        <w:rPr>
          <w:snapToGrid w:val="0"/>
        </w:rPr>
        <w:t>.</w:t>
      </w:r>
      <w:r>
        <w:rPr>
          <w:snapToGrid w:val="0"/>
        </w:rPr>
        <w:tab/>
        <w:t>Moneys to be credited to account</w:t>
      </w:r>
      <w:bookmarkEnd w:id="243"/>
      <w:bookmarkEnd w:id="244"/>
    </w:p>
    <w:p>
      <w:pPr>
        <w:pStyle w:val="Subsection"/>
        <w:keepNext/>
        <w:rPr>
          <w:snapToGrid w:val="0"/>
        </w:rPr>
      </w:pPr>
      <w:r>
        <w:rPr>
          <w:snapToGrid w:val="0"/>
        </w:rPr>
        <w:tab/>
      </w:r>
      <w:r>
        <w:rPr>
          <w:snapToGrid w:val="0"/>
        </w:rPr>
        <w:tab/>
        <w:t>There shall be credited to the Fidelity</w:t>
      </w:r>
      <w:r>
        <w:t xml:space="preserve"> Account</w:t>
      </w:r>
      <w:r>
        <w:rPr>
          <w:snapToGrid w:val="0"/>
        </w:rPr>
        <w:t>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 and</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 and</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 and</w:t>
      </w:r>
    </w:p>
    <w:p>
      <w:pPr>
        <w:pStyle w:val="Indenta"/>
        <w:rPr>
          <w:snapToGrid w:val="0"/>
        </w:rPr>
      </w:pPr>
      <w:r>
        <w:rPr>
          <w:snapToGrid w:val="0"/>
        </w:rPr>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[Section 109 amended by No. 29 of 1982 s. 5 and 12; No. 59 of 1995 s. 23 and 42; No. 77 of 2006 Sch. 1 cl. 147(2); No. 58 of 2010 s. 103.]</w:t>
      </w:r>
    </w:p>
    <w:p>
      <w:pPr>
        <w:pStyle w:val="Heading5"/>
        <w:rPr>
          <w:snapToGrid w:val="0"/>
        </w:rPr>
      </w:pPr>
      <w:bookmarkStart w:id="245" w:name="_Toc404159129"/>
      <w:bookmarkStart w:id="246" w:name="_Toc468701026"/>
      <w:r>
        <w:rPr>
          <w:rStyle w:val="CharSectno"/>
        </w:rPr>
        <w:t>110</w:t>
      </w:r>
      <w:r>
        <w:rPr>
          <w:snapToGrid w:val="0"/>
        </w:rPr>
        <w:t>.</w:t>
      </w:r>
      <w:r>
        <w:rPr>
          <w:snapToGrid w:val="0"/>
        </w:rPr>
        <w:tab/>
        <w:t>Expenditure from account</w:t>
      </w:r>
      <w:bookmarkEnd w:id="245"/>
      <w:bookmarkEnd w:id="246"/>
    </w:p>
    <w:p>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 and</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 and</w:t>
      </w:r>
    </w:p>
    <w:p>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 and</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 and</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[Section 110 amended by No. 29 of 1982 s. 12; No. 59 of 1995 s. 24 and 42; No. 77 of 2006 Sch. 1 cl. 147(2); No. 58 of 2010 s. 104.]</w:t>
      </w:r>
    </w:p>
    <w:p>
      <w:pPr>
        <w:pStyle w:val="Ednotesection"/>
        <w:spacing w:before="180"/>
        <w:ind w:left="890" w:hanging="890"/>
      </w:pPr>
      <w:r>
        <w:t>[</w:t>
      </w:r>
      <w:r>
        <w:rPr>
          <w:b/>
        </w:rPr>
        <w:t>111.</w:t>
      </w:r>
      <w:r>
        <w:tab/>
        <w:t>Deleted by No. 98 of 1985 s. 3.]</w:t>
      </w:r>
    </w:p>
    <w:p>
      <w:pPr>
        <w:pStyle w:val="Heading5"/>
        <w:spacing w:before="180"/>
        <w:rPr>
          <w:snapToGrid w:val="0"/>
        </w:rPr>
      </w:pPr>
      <w:bookmarkStart w:id="247" w:name="_Toc404159130"/>
      <w:bookmarkStart w:id="248" w:name="_Toc468701027"/>
      <w:r>
        <w:rPr>
          <w:rStyle w:val="CharSectno"/>
        </w:rPr>
        <w:t>112</w:t>
      </w:r>
      <w:r>
        <w:rPr>
          <w:snapToGrid w:val="0"/>
        </w:rPr>
        <w:t>.</w:t>
      </w:r>
      <w:r>
        <w:rPr>
          <w:snapToGrid w:val="0"/>
        </w:rPr>
        <w:tab/>
      </w:r>
      <w:r>
        <w:t>Administration of account</w:t>
      </w:r>
      <w:bookmarkEnd w:id="247"/>
      <w:bookmarkEnd w:id="248"/>
    </w:p>
    <w:p>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pPr>
        <w:pStyle w:val="Footnotesection"/>
      </w:pPr>
      <w:r>
        <w:tab/>
        <w:t>[Section 112 amended by No. 29 of 1982 s. 12; No. 77 of 2006 Sch. 1 cl. 147(2); No. 58 of 2010 s. 105.]</w:t>
      </w:r>
    </w:p>
    <w:p>
      <w:pPr>
        <w:pStyle w:val="Heading5"/>
        <w:rPr>
          <w:snapToGrid w:val="0"/>
        </w:rPr>
      </w:pPr>
      <w:bookmarkStart w:id="249" w:name="_Toc404159131"/>
      <w:bookmarkStart w:id="250" w:name="_Toc468701028"/>
      <w:r>
        <w:rPr>
          <w:rStyle w:val="CharSectno"/>
        </w:rPr>
        <w:t>113</w:t>
      </w:r>
      <w:r>
        <w:rPr>
          <w:snapToGrid w:val="0"/>
        </w:rPr>
        <w:t>.</w:t>
      </w:r>
      <w:r>
        <w:rPr>
          <w:snapToGrid w:val="0"/>
        </w:rPr>
        <w:tab/>
        <w:t>Payments to account by applicants for licences etc.</w:t>
      </w:r>
      <w:bookmarkEnd w:id="249"/>
      <w:bookmarkEnd w:id="250"/>
    </w:p>
    <w:p>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pPr>
        <w:pStyle w:val="Footnotesection"/>
      </w:pPr>
      <w:r>
        <w:tab/>
        <w:t>[Section 113 amended by No. 29 of 1982 s. 12; No. 56 of 1995 s. 46; No. 59 of 1995 s. 42; No. 77 of 2006 Sch. 1 cl. 147(2); No. 58 of 2010 s. 106.]</w:t>
      </w:r>
    </w:p>
    <w:p>
      <w:pPr>
        <w:pStyle w:val="Heading5"/>
        <w:rPr>
          <w:snapToGrid w:val="0"/>
        </w:rPr>
      </w:pPr>
      <w:bookmarkStart w:id="251" w:name="_Toc404159132"/>
      <w:bookmarkStart w:id="252" w:name="_Toc468701029"/>
      <w:r>
        <w:rPr>
          <w:rStyle w:val="CharSectno"/>
        </w:rPr>
        <w:t>114</w:t>
      </w:r>
      <w:r>
        <w:rPr>
          <w:snapToGrid w:val="0"/>
        </w:rPr>
        <w:t>.</w:t>
      </w:r>
      <w:r>
        <w:rPr>
          <w:snapToGrid w:val="0"/>
        </w:rPr>
        <w:tab/>
        <w:t>Cap on payments under s. 113</w:t>
      </w:r>
      <w:bookmarkEnd w:id="251"/>
      <w:bookmarkEnd w:id="252"/>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[Section 114 amended by No. 74 of 1980 s. 11; No. 29 of 1982 s. 12; No. 59 of 1995 s. 42; No. 77 of 2006 Sch. 1 cl. 147(2).]</w:t>
      </w:r>
    </w:p>
    <w:p>
      <w:pPr>
        <w:pStyle w:val="Heading5"/>
        <w:rPr>
          <w:snapToGrid w:val="0"/>
        </w:rPr>
      </w:pPr>
      <w:bookmarkStart w:id="253" w:name="_Toc404159133"/>
      <w:bookmarkStart w:id="254" w:name="_Toc468701030"/>
      <w:r>
        <w:rPr>
          <w:rStyle w:val="CharSectno"/>
        </w:rPr>
        <w:t>115</w:t>
      </w:r>
      <w:r>
        <w:rPr>
          <w:snapToGrid w:val="0"/>
        </w:rPr>
        <w:t>.</w:t>
      </w:r>
      <w:r>
        <w:rPr>
          <w:snapToGrid w:val="0"/>
        </w:rPr>
        <w:tab/>
        <w:t>Levies for account against certificate holders</w:t>
      </w:r>
      <w:bookmarkEnd w:id="253"/>
      <w:bookmarkEnd w:id="254"/>
    </w:p>
    <w:p>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pPr>
        <w:pStyle w:val="Subsection"/>
        <w:keepNext/>
        <w:rPr>
          <w:snapToGrid w:val="0"/>
        </w:rPr>
      </w:pPr>
      <w:r>
        <w:rPr>
          <w:snapToGrid w:val="0"/>
        </w:rPr>
        <w:tab/>
        <w:t>(2)</w:t>
      </w:r>
      <w:r>
        <w:rPr>
          <w:snapToGrid w:val="0"/>
        </w:rPr>
        <w:tab/>
        <w:t>The amount of the levy shall not exceed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spacing w:before="140"/>
        <w:ind w:left="890" w:hanging="890"/>
      </w:pPr>
      <w:r>
        <w:tab/>
        <w:t>[Section 115 amended by No. 29 of 1982 s. 7; No. 77 of 1984 s. 3; No. 59 of 1995 s. 42; No. 77 of 2006 Sch. 1 cl. 147(2); No. 58 of 2010 s. 107.]</w:t>
      </w:r>
    </w:p>
    <w:p>
      <w:pPr>
        <w:pStyle w:val="Heading5"/>
        <w:rPr>
          <w:snapToGrid w:val="0"/>
        </w:rPr>
      </w:pPr>
      <w:bookmarkStart w:id="255" w:name="_Toc404159134"/>
      <w:bookmarkStart w:id="256" w:name="_Toc468701031"/>
      <w:r>
        <w:rPr>
          <w:rStyle w:val="CharSectno"/>
        </w:rPr>
        <w:t>116</w:t>
      </w:r>
      <w:r>
        <w:rPr>
          <w:snapToGrid w:val="0"/>
        </w:rPr>
        <w:t>.</w:t>
      </w:r>
      <w:r>
        <w:rPr>
          <w:snapToGrid w:val="0"/>
        </w:rPr>
        <w:tab/>
        <w:t>Purpose of account; making claims against account</w:t>
      </w:r>
      <w:bookmarkEnd w:id="255"/>
      <w:bookmarkEnd w:id="256"/>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pPr>
      <w:r>
        <w:tab/>
        <w:t>(2A)</w:t>
      </w:r>
      <w:r>
        <w:tab/>
        <w:t>For the purposes of a claim against the Fidelity Account, the reference in subsection (1) to any period when the licensee was the holder of a current triennial certificate includes a period when the licensee was not the holder of a current triennial certificate if the chief executive officer considers that it is just and reasonable in the circumstances of the claim.</w:t>
      </w:r>
    </w:p>
    <w:p>
      <w:pPr>
        <w:pStyle w:val="Subsection"/>
        <w:keepNext/>
        <w:keepLines/>
      </w:pPr>
      <w:r>
        <w:tab/>
        <w:t>(2)</w:t>
      </w:r>
      <w:r>
        <w:tab/>
        <w:t>The chief executive officer is to disallow a claim against the Fidelity Account unless —</w:t>
      </w:r>
    </w:p>
    <w:p>
      <w:pPr>
        <w:pStyle w:val="Indenta"/>
      </w:pPr>
      <w:r>
        <w:tab/>
        <w:t>(a)</w:t>
      </w:r>
      <w:r>
        <w:tab/>
        <w:t>notice of the claim is given in writing to the chief executive officer within 3 years after the day on which the claimant became aware of the defalcation; or</w:t>
      </w:r>
    </w:p>
    <w:p>
      <w:pPr>
        <w:pStyle w:val="Indenta"/>
      </w:pPr>
      <w:r>
        <w:tab/>
        <w:t>(b)</w:t>
      </w:r>
      <w:r>
        <w:tab/>
        <w:t>the chief executive officer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[Section 116 amended by No. 29 of 1982 s. 12; No. 3 of 2000 s. 4(1); No. 77 of 2006 Sch. 1 cl. 147(2); No. 58 of 2010 s. 108; No. 23 of 2014 s. 76.]</w:t>
      </w:r>
    </w:p>
    <w:p>
      <w:pPr>
        <w:pStyle w:val="Heading5"/>
        <w:spacing w:before="180"/>
        <w:rPr>
          <w:snapToGrid w:val="0"/>
        </w:rPr>
      </w:pPr>
      <w:bookmarkStart w:id="257" w:name="_Toc404159135"/>
      <w:bookmarkStart w:id="258" w:name="_Toc468701032"/>
      <w:r>
        <w:rPr>
          <w:rStyle w:val="CharSectno"/>
        </w:rPr>
        <w:t>117</w:t>
      </w:r>
      <w:r>
        <w:rPr>
          <w:snapToGrid w:val="0"/>
        </w:rPr>
        <w:t>.</w:t>
      </w:r>
      <w:r>
        <w:rPr>
          <w:snapToGrid w:val="0"/>
        </w:rPr>
        <w:tab/>
        <w:t>Claims against account; recovery from account</w:t>
      </w:r>
      <w:bookmarkEnd w:id="257"/>
      <w:bookmarkEnd w:id="258"/>
    </w:p>
    <w:p>
      <w:pPr>
        <w:pStyle w:val="Subsection"/>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pPr>
        <w:pStyle w:val="Subsection"/>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w:t>
      </w:r>
      <w:r>
        <w:rPr>
          <w:b/>
          <w:i/>
          <w:snapToGrid w:val="0"/>
        </w:rPr>
        <w:t>defalcation by a licensee</w:t>
      </w:r>
      <w:r>
        <w:rPr>
          <w:snapToGrid w:val="0"/>
        </w:rPr>
        <w:t xml:space="preserve"> in section 4.</w:t>
      </w:r>
    </w:p>
    <w:p>
      <w:pPr>
        <w:pStyle w:val="Footnotesection"/>
      </w:pPr>
      <w:r>
        <w:tab/>
        <w:t>[Section 117 amended by No. 29 of 1982 s. 12; No. 59 of 1995 s. 42; No. 3 of 2000 s. 5; No. 28 of 2003 s. 176; No. 77 of 2006 Sch. 1 cl. 147(2); No. 58 of 2010 s. 109.]</w:t>
      </w:r>
    </w:p>
    <w:p>
      <w:pPr>
        <w:pStyle w:val="Heading5"/>
        <w:rPr>
          <w:snapToGrid w:val="0"/>
        </w:rPr>
      </w:pPr>
      <w:bookmarkStart w:id="259" w:name="_Toc404159136"/>
      <w:bookmarkStart w:id="260" w:name="_Toc468701033"/>
      <w:r>
        <w:rPr>
          <w:rStyle w:val="CharSectno"/>
        </w:rPr>
        <w:t>118</w:t>
      </w:r>
      <w:r>
        <w:rPr>
          <w:snapToGrid w:val="0"/>
        </w:rPr>
        <w:t>.</w:t>
      </w:r>
      <w:r>
        <w:rPr>
          <w:snapToGrid w:val="0"/>
        </w:rPr>
        <w:tab/>
        <w:t>Defences to claims against account</w:t>
      </w:r>
      <w:bookmarkEnd w:id="259"/>
      <w:bookmarkEnd w:id="260"/>
    </w:p>
    <w:p>
      <w:pPr>
        <w:pStyle w:val="Subsection"/>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pPr>
        <w:pStyle w:val="Footnotesection"/>
      </w:pPr>
      <w:r>
        <w:tab/>
        <w:t>[Section 118 amended by No. 28 of 1982 s. 12; No. 77 of 2006 Sch. 1 cl. 147(2); No. 58 of 2010 s. 110.]</w:t>
      </w:r>
    </w:p>
    <w:p>
      <w:pPr>
        <w:pStyle w:val="Heading5"/>
        <w:rPr>
          <w:snapToGrid w:val="0"/>
        </w:rPr>
      </w:pPr>
      <w:bookmarkStart w:id="261" w:name="_Toc404159137"/>
      <w:bookmarkStart w:id="262" w:name="_Toc468701034"/>
      <w:r>
        <w:rPr>
          <w:rStyle w:val="CharSectno"/>
        </w:rPr>
        <w:t>119</w:t>
      </w:r>
      <w:r>
        <w:rPr>
          <w:snapToGrid w:val="0"/>
        </w:rPr>
        <w:t>.</w:t>
      </w:r>
      <w:r>
        <w:rPr>
          <w:snapToGrid w:val="0"/>
        </w:rPr>
        <w:tab/>
      </w:r>
      <w:r>
        <w:t>Subrogation of rights of claimant against account</w:t>
      </w:r>
      <w:bookmarkEnd w:id="261"/>
      <w:bookmarkEnd w:id="262"/>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[Section 119 amended by No. 59 of 1995 s. 42; No. 77 of 2006 Sch. 1 cl. 147(2); No. 58 of 2010 s. 111.]</w:t>
      </w:r>
    </w:p>
    <w:p>
      <w:pPr>
        <w:pStyle w:val="Heading5"/>
        <w:rPr>
          <w:snapToGrid w:val="0"/>
        </w:rPr>
      </w:pPr>
      <w:bookmarkStart w:id="263" w:name="_Toc404159138"/>
      <w:bookmarkStart w:id="264" w:name="_Toc468701035"/>
      <w:r>
        <w:rPr>
          <w:rStyle w:val="CharSectno"/>
        </w:rPr>
        <w:t>120</w:t>
      </w:r>
      <w:r>
        <w:rPr>
          <w:snapToGrid w:val="0"/>
        </w:rPr>
        <w:t>.</w:t>
      </w:r>
      <w:r>
        <w:rPr>
          <w:snapToGrid w:val="0"/>
        </w:rPr>
        <w:tab/>
        <w:t>Insufficiency in a</w:t>
      </w:r>
      <w:r>
        <w:t>ccount</w:t>
      </w:r>
      <w:bookmarkEnd w:id="263"/>
      <w:bookmarkEnd w:id="264"/>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w:t>
      </w:r>
    </w:p>
    <w:p>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pPr>
        <w:pStyle w:val="Footnotesection"/>
      </w:pPr>
      <w:r>
        <w:tab/>
        <w:t>[Section 120 amended by No. 28 of 1982 s. 12; No. 59 of 1995 s. 25 and 42; No. 77 of 2006 Sch. 1 cl. 147(2); No. 58 of 2010 s. 112.]</w:t>
      </w:r>
    </w:p>
    <w:p>
      <w:pPr>
        <w:pStyle w:val="Heading5"/>
        <w:rPr>
          <w:snapToGrid w:val="0"/>
        </w:rPr>
      </w:pPr>
      <w:bookmarkStart w:id="265" w:name="_Toc404159139"/>
      <w:bookmarkStart w:id="266" w:name="_Toc468701036"/>
      <w:r>
        <w:rPr>
          <w:rStyle w:val="CharSectno"/>
        </w:rPr>
        <w:t>121</w:t>
      </w:r>
      <w:r>
        <w:rPr>
          <w:snapToGrid w:val="0"/>
        </w:rPr>
        <w:t>.</w:t>
      </w:r>
      <w:r>
        <w:rPr>
          <w:snapToGrid w:val="0"/>
        </w:rPr>
        <w:tab/>
      </w:r>
      <w:r>
        <w:t>State may insure against claims</w:t>
      </w:r>
      <w:bookmarkEnd w:id="265"/>
      <w:bookmarkEnd w:id="266"/>
    </w:p>
    <w:p>
      <w:pPr>
        <w:pStyle w:val="Subsection"/>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pPr>
        <w:pStyle w:val="Footnotesection"/>
      </w:pPr>
      <w:r>
        <w:tab/>
        <w:t>[Section 121 amended by No. 51 of 1986 s. 46(2); No. 58 of 2010 s. 113.]</w:t>
      </w:r>
    </w:p>
    <w:p>
      <w:pPr>
        <w:pStyle w:val="Heading5"/>
        <w:rPr>
          <w:snapToGrid w:val="0"/>
        </w:rPr>
      </w:pPr>
      <w:bookmarkStart w:id="267" w:name="_Toc404159140"/>
      <w:bookmarkStart w:id="268" w:name="_Toc468701037"/>
      <w:r>
        <w:rPr>
          <w:rStyle w:val="CharSectno"/>
        </w:rPr>
        <w:t>122</w:t>
      </w:r>
      <w:r>
        <w:rPr>
          <w:snapToGrid w:val="0"/>
        </w:rPr>
        <w:t>.</w:t>
      </w:r>
      <w:r>
        <w:rPr>
          <w:snapToGrid w:val="0"/>
        </w:rPr>
        <w:tab/>
        <w:t>Application of insurance payouts</w:t>
      </w:r>
      <w:bookmarkEnd w:id="267"/>
      <w:bookmarkEnd w:id="268"/>
    </w:p>
    <w:p>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[Section 122 amended by No. 29 of 1982 s. 12; No. 59 of 1995 s. 42; No. 77 of 2006 Sch. 1 cl. 147(2).]</w:t>
      </w:r>
    </w:p>
    <w:p>
      <w:pPr>
        <w:pStyle w:val="Heading5"/>
        <w:rPr>
          <w:snapToGrid w:val="0"/>
        </w:rPr>
      </w:pPr>
      <w:bookmarkStart w:id="269" w:name="_Toc404159141"/>
      <w:bookmarkStart w:id="270" w:name="_Toc468701038"/>
      <w:r>
        <w:rPr>
          <w:rStyle w:val="CharSectno"/>
        </w:rPr>
        <w:t>123</w:t>
      </w:r>
      <w:r>
        <w:rPr>
          <w:snapToGrid w:val="0"/>
        </w:rPr>
        <w:t>.</w:t>
      </w:r>
      <w:r>
        <w:rPr>
          <w:snapToGrid w:val="0"/>
        </w:rPr>
        <w:tab/>
        <w:t>Advertising for claims in relation to defaulting licensee</w:t>
      </w:r>
      <w:bookmarkEnd w:id="269"/>
      <w:bookmarkEnd w:id="270"/>
    </w:p>
    <w:p>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[Section 123 amended by No. 29 of 1982 s. 12; No. 77 of 2006 Sch. 1 cl. 147(2); No. 58 of 2010 s. 114.]</w:t>
      </w:r>
    </w:p>
    <w:p>
      <w:pPr>
        <w:pStyle w:val="Heading5"/>
        <w:rPr>
          <w:snapToGrid w:val="0"/>
        </w:rPr>
      </w:pPr>
      <w:bookmarkStart w:id="271" w:name="_Toc404159142"/>
      <w:bookmarkStart w:id="272" w:name="_Toc468701039"/>
      <w:r>
        <w:rPr>
          <w:rStyle w:val="CharSectno"/>
        </w:rPr>
        <w:t>124</w:t>
      </w:r>
      <w:r>
        <w:rPr>
          <w:snapToGrid w:val="0"/>
        </w:rPr>
        <w:t>.</w:t>
      </w:r>
      <w:r>
        <w:rPr>
          <w:snapToGrid w:val="0"/>
        </w:rPr>
        <w:tab/>
      </w:r>
      <w:r>
        <w:t>Documents etc. to support claims, CEO may require</w:t>
      </w:r>
      <w:bookmarkEnd w:id="271"/>
      <w:bookmarkEnd w:id="272"/>
    </w:p>
    <w:p>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pPr>
        <w:pStyle w:val="Footnotesection"/>
      </w:pPr>
      <w:r>
        <w:tab/>
        <w:t>[Section 124 amended by No. 58 of 2010 s. 115.]</w:t>
      </w:r>
    </w:p>
    <w:p>
      <w:pPr>
        <w:pStyle w:val="Heading5"/>
      </w:pPr>
      <w:bookmarkStart w:id="273" w:name="_Toc404159143"/>
      <w:bookmarkStart w:id="274" w:name="_Toc468701040"/>
      <w:r>
        <w:rPr>
          <w:rStyle w:val="CharSectno"/>
        </w:rPr>
        <w:t>124AA</w:t>
      </w:r>
      <w:r>
        <w:t>.</w:t>
      </w:r>
      <w:r>
        <w:tab/>
        <w:t>Commissioner may investigate claims against Fidelity Account</w:t>
      </w:r>
      <w:bookmarkEnd w:id="273"/>
      <w:bookmarkEnd w:id="274"/>
    </w:p>
    <w:p>
      <w:pPr>
        <w:pStyle w:val="Subsection"/>
      </w:pPr>
      <w:r>
        <w:tab/>
        <w:t>(1)</w:t>
      </w:r>
      <w:r>
        <w:tab/>
        <w:t xml:space="preserve">Without limiting section 22, the Commissioner may, at and in accordance with the request of the chief executive officer, make an investigation or inquiry under the </w:t>
      </w:r>
      <w:r>
        <w:rPr>
          <w:i/>
        </w:rPr>
        <w:t>Fair Trading Act 2010</w:t>
      </w:r>
      <w:r>
        <w:t xml:space="preserve"> Part 6 in relation to a claim against the Fidelity Account.</w:t>
      </w:r>
    </w:p>
    <w:p>
      <w:pPr>
        <w:pStyle w:val="Subsection"/>
      </w:pPr>
      <w:r>
        <w:tab/>
        <w:t>(2)</w:t>
      </w:r>
      <w:r>
        <w:tab/>
        <w:t>For the purposes of the investigation or inquiry, the administration of the Fidelity Account is taken to be a function of the Commissioner.</w:t>
      </w:r>
    </w:p>
    <w:p>
      <w:pPr>
        <w:pStyle w:val="Subsection"/>
      </w:pPr>
      <w:r>
        <w:tab/>
        <w:t>(3)</w:t>
      </w:r>
      <w:r>
        <w:tab/>
        <w:t>The Commissioner must, as soon as practicable after completing the investigation or inquiry, prepare a report on the findings of the investigation or inquiry and give it to the chief executive officer.</w:t>
      </w:r>
    </w:p>
    <w:p>
      <w:pPr>
        <w:pStyle w:val="Footnotesection"/>
      </w:pPr>
      <w:r>
        <w:tab/>
        <w:t>[Section 124AA inserted by No. 23 of 2014 s. 77.]</w:t>
      </w:r>
    </w:p>
    <w:p>
      <w:pPr>
        <w:pStyle w:val="Heading2"/>
      </w:pPr>
      <w:bookmarkStart w:id="275" w:name="_Toc404159144"/>
      <w:bookmarkStart w:id="276" w:name="_Toc424293170"/>
      <w:bookmarkStart w:id="277" w:name="_Toc435024533"/>
      <w:bookmarkStart w:id="278" w:name="_Toc468701041"/>
      <w:r>
        <w:rPr>
          <w:rStyle w:val="CharPartNo"/>
        </w:rPr>
        <w:t>Part VIIIA</w:t>
      </w:r>
      <w:r>
        <w:rPr>
          <w:rStyle w:val="CharDivNo"/>
        </w:rPr>
        <w:t> </w:t>
      </w:r>
      <w:r>
        <w:t>—</w:t>
      </w:r>
      <w:r>
        <w:rPr>
          <w:rStyle w:val="CharDivText"/>
        </w:rPr>
        <w:t> </w:t>
      </w:r>
      <w:r>
        <w:rPr>
          <w:rStyle w:val="CharPartText"/>
        </w:rPr>
        <w:t>Education and General Purpose Account</w:t>
      </w:r>
      <w:bookmarkEnd w:id="275"/>
      <w:bookmarkEnd w:id="276"/>
      <w:bookmarkEnd w:id="277"/>
      <w:bookmarkEnd w:id="278"/>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w:t>
      </w:r>
      <w:r>
        <w:t>Sch. 1 cl. 147(11)</w:t>
      </w:r>
      <w:r>
        <w:rPr>
          <w:snapToGrid w:val="0"/>
        </w:rPr>
        <w:t>.]</w:t>
      </w:r>
    </w:p>
    <w:p>
      <w:pPr>
        <w:pStyle w:val="Heading5"/>
        <w:rPr>
          <w:snapToGrid w:val="0"/>
        </w:rPr>
      </w:pPr>
      <w:bookmarkStart w:id="279" w:name="_Toc404159145"/>
      <w:bookmarkStart w:id="280" w:name="_Toc468701042"/>
      <w:r>
        <w:rPr>
          <w:rStyle w:val="CharSectno"/>
        </w:rPr>
        <w:t>124A</w:t>
      </w:r>
      <w:r>
        <w:rPr>
          <w:snapToGrid w:val="0"/>
        </w:rPr>
        <w:t>.</w:t>
      </w:r>
      <w:r>
        <w:rPr>
          <w:snapToGrid w:val="0"/>
        </w:rPr>
        <w:tab/>
        <w:t>Account established; administration of account</w:t>
      </w:r>
      <w:bookmarkEnd w:id="279"/>
      <w:bookmarkEnd w:id="280"/>
    </w:p>
    <w:p>
      <w:pPr>
        <w:pStyle w:val="Subsection"/>
      </w:pPr>
      <w:r>
        <w:tab/>
        <w:t>(1)</w:t>
      </w:r>
      <w:r>
        <w:tab/>
        <w:t>An account called the Education and General Purpose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chief executive officer.</w:t>
      </w:r>
    </w:p>
    <w:p>
      <w:pPr>
        <w:pStyle w:val="Footnotesection"/>
      </w:pPr>
      <w:r>
        <w:tab/>
        <w:t>[Section 124A inserted by No. 59 of 1995 s. 26; amended by No. 77 of 2006 Sch. 1 cl. 147(2) and (12); No. 58 of 2010 s. 134; No. 23 of 2014 s. 78.]</w:t>
      </w:r>
    </w:p>
    <w:p>
      <w:pPr>
        <w:pStyle w:val="Heading5"/>
        <w:rPr>
          <w:snapToGrid w:val="0"/>
        </w:rPr>
      </w:pPr>
      <w:bookmarkStart w:id="281" w:name="_Toc404159146"/>
      <w:bookmarkStart w:id="282" w:name="_Toc468701043"/>
      <w:r>
        <w:rPr>
          <w:rStyle w:val="CharSectno"/>
        </w:rPr>
        <w:t>124B</w:t>
      </w:r>
      <w:r>
        <w:rPr>
          <w:snapToGrid w:val="0"/>
        </w:rPr>
        <w:t>.</w:t>
      </w:r>
      <w:r>
        <w:rPr>
          <w:snapToGrid w:val="0"/>
        </w:rPr>
        <w:tab/>
        <w:t>Moneys to be credited to account</w:t>
      </w:r>
      <w:bookmarkEnd w:id="281"/>
      <w:bookmarkEnd w:id="282"/>
    </w:p>
    <w:p>
      <w:pPr>
        <w:pStyle w:val="Subsection"/>
        <w:keepNext/>
        <w:rPr>
          <w:snapToGrid w:val="0"/>
        </w:rPr>
      </w:pPr>
      <w:r>
        <w:rPr>
          <w:snapToGrid w:val="0"/>
        </w:rPr>
        <w:tab/>
      </w:r>
      <w:r>
        <w:rPr>
          <w:snapToGrid w:val="0"/>
        </w:rPr>
        <w:tab/>
        <w:t>There are to be credited to the General Purpose</w:t>
      </w:r>
      <w:r>
        <w:t xml:space="preserve"> Account</w:t>
      </w:r>
      <w:r>
        <w:rPr>
          <w:snapToGrid w:val="0"/>
        </w:rPr>
        <w:t>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 and</w:t>
      </w:r>
    </w:p>
    <w:p>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 and</w:t>
      </w:r>
    </w:p>
    <w:p>
      <w:pPr>
        <w:pStyle w:val="Indenta"/>
        <w:rPr>
          <w:snapToGrid w:val="0"/>
        </w:rPr>
      </w:pPr>
      <w:r>
        <w:rPr>
          <w:snapToGrid w:val="0"/>
        </w:rPr>
        <w:tab/>
        <w:t>(d)</w:t>
      </w:r>
      <w:r>
        <w:rPr>
          <w:snapToGrid w:val="0"/>
        </w:rPr>
        <w:tab/>
        <w:t>fines imposed under section 105; and</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[Section 124B inserted by No. 59 of 1995 s. 26; amended by No. 55 of 2004 s. 1015; No. 77 of 2006 Sch. 1 cl. 147(2); No. 58 of 2010 s. 134.]</w:t>
      </w:r>
    </w:p>
    <w:p>
      <w:pPr>
        <w:pStyle w:val="Heading5"/>
        <w:rPr>
          <w:snapToGrid w:val="0"/>
        </w:rPr>
      </w:pPr>
      <w:bookmarkStart w:id="283" w:name="_Toc404159147"/>
      <w:bookmarkStart w:id="284" w:name="_Toc468701044"/>
      <w:r>
        <w:rPr>
          <w:rStyle w:val="CharSectno"/>
        </w:rPr>
        <w:t>124C</w:t>
      </w:r>
      <w:r>
        <w:rPr>
          <w:snapToGrid w:val="0"/>
        </w:rPr>
        <w:t>.</w:t>
      </w:r>
      <w:r>
        <w:rPr>
          <w:snapToGrid w:val="0"/>
        </w:rPr>
        <w:tab/>
        <w:t>Expenditure from account</w:t>
      </w:r>
      <w:bookmarkEnd w:id="283"/>
      <w:bookmarkEnd w:id="284"/>
    </w:p>
    <w:p>
      <w:pPr>
        <w:pStyle w:val="Subsection"/>
        <w:keepNext/>
        <w:rPr>
          <w:snapToGrid w:val="0"/>
        </w:rPr>
      </w:pPr>
      <w:r>
        <w:rPr>
          <w:snapToGrid w:val="0"/>
        </w:rPr>
        <w:tab/>
      </w:r>
      <w:r>
        <w:rPr>
          <w:snapToGrid w:val="0"/>
        </w:rPr>
        <w:tab/>
        <w:t>There are to be charged to the General Purpose</w:t>
      </w:r>
      <w:r>
        <w:t xml:space="preserve"> Account</w:t>
      </w:r>
      <w:r>
        <w:rPr>
          <w:snapToGrid w:val="0"/>
        </w:rPr>
        <w:t> —</w:t>
      </w:r>
    </w:p>
    <w:p>
      <w:pPr>
        <w:pStyle w:val="Indenta"/>
        <w:rPr>
          <w:snapToGrid w:val="0"/>
        </w:rPr>
      </w:pPr>
      <w:r>
        <w:rPr>
          <w:snapToGrid w:val="0"/>
        </w:rPr>
        <w:tab/>
        <w:t>(a)</w:t>
      </w:r>
      <w:r>
        <w:rPr>
          <w:snapToGrid w:val="0"/>
        </w:rPr>
        <w:tab/>
        <w:t>the costs incurred in the administration of the General Purpose</w:t>
      </w:r>
      <w:r>
        <w:t xml:space="preserve"> Account; and</w:t>
      </w:r>
    </w:p>
    <w:p>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w:t>
      </w:r>
      <w:r>
        <w:t xml:space="preserve"> Act or the Commissioner’s functions under the </w:t>
      </w:r>
      <w:r>
        <w:rPr>
          <w:i/>
        </w:rPr>
        <w:t>Fair Trading Act 2010</w:t>
      </w:r>
      <w:r>
        <w:t xml:space="preserve"> section 57A that are performed for the purposes of this Act.</w:t>
      </w:r>
    </w:p>
    <w:p>
      <w:pPr>
        <w:pStyle w:val="Footnotesection"/>
      </w:pPr>
      <w:r>
        <w:tab/>
        <w:t>[Section 124C inserted by No. 59 of 1995 s. 26; amended by No. 34 of 1998 s. 18; No. 77 of 2006 Sch. 1 cl. 147(2); No. 58 of 2010 s. 116; No. 23 of 2014 s. 79.]</w:t>
      </w:r>
    </w:p>
    <w:p>
      <w:pPr>
        <w:pStyle w:val="Heading5"/>
        <w:rPr>
          <w:snapToGrid w:val="0"/>
        </w:rPr>
      </w:pPr>
      <w:bookmarkStart w:id="285" w:name="_Toc404159148"/>
      <w:bookmarkStart w:id="286" w:name="_Toc468701045"/>
      <w:r>
        <w:rPr>
          <w:rStyle w:val="CharSectno"/>
        </w:rPr>
        <w:t>124D</w:t>
      </w:r>
      <w:r>
        <w:rPr>
          <w:snapToGrid w:val="0"/>
        </w:rPr>
        <w:t>.</w:t>
      </w:r>
      <w:r>
        <w:rPr>
          <w:snapToGrid w:val="0"/>
        </w:rPr>
        <w:tab/>
        <w:t>Investment of moneys in account</w:t>
      </w:r>
      <w:bookmarkEnd w:id="285"/>
      <w:bookmarkEnd w:id="286"/>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[Section 124D inserted by No. 59 of 1995 s. 26; amended by No. 77 of 2006 Sch. 1 cl. 147(2) and (13).]</w:t>
      </w:r>
    </w:p>
    <w:p>
      <w:pPr>
        <w:pStyle w:val="Heading2"/>
      </w:pPr>
      <w:bookmarkStart w:id="287" w:name="_Toc404159149"/>
      <w:bookmarkStart w:id="288" w:name="_Toc424293175"/>
      <w:bookmarkStart w:id="289" w:name="_Toc435024538"/>
      <w:bookmarkStart w:id="290" w:name="_Toc468701046"/>
      <w:r>
        <w:rPr>
          <w:rStyle w:val="CharPartNo"/>
        </w:rPr>
        <w:t>Part IX</w:t>
      </w:r>
      <w:r>
        <w:rPr>
          <w:rStyle w:val="CharDivNo"/>
        </w:rPr>
        <w:t> </w:t>
      </w:r>
      <w:r>
        <w:t>—</w:t>
      </w:r>
      <w:r>
        <w:rPr>
          <w:rStyle w:val="CharDivText"/>
        </w:rPr>
        <w:t> </w:t>
      </w:r>
      <w:r>
        <w:rPr>
          <w:rStyle w:val="CharPartText"/>
        </w:rPr>
        <w:t>Real Estate and Business Agents Interest Account</w:t>
      </w:r>
      <w:bookmarkEnd w:id="287"/>
      <w:bookmarkEnd w:id="288"/>
      <w:bookmarkEnd w:id="289"/>
      <w:bookmarkEnd w:id="290"/>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amended by </w:t>
      </w:r>
      <w:r>
        <w:t>No. 58 of 2010 s. 117</w:t>
      </w:r>
      <w:r>
        <w:rPr>
          <w:snapToGrid w:val="0"/>
        </w:rPr>
        <w:t>.]</w:t>
      </w:r>
    </w:p>
    <w:p>
      <w:pPr>
        <w:pStyle w:val="Heading5"/>
        <w:rPr>
          <w:snapToGrid w:val="0"/>
        </w:rPr>
      </w:pPr>
      <w:bookmarkStart w:id="291" w:name="_Toc404159150"/>
      <w:bookmarkStart w:id="292" w:name="_Toc468701047"/>
      <w:r>
        <w:rPr>
          <w:rStyle w:val="CharSectno"/>
        </w:rPr>
        <w:t>125</w:t>
      </w:r>
      <w:r>
        <w:rPr>
          <w:snapToGrid w:val="0"/>
        </w:rPr>
        <w:t>.</w:t>
      </w:r>
      <w:r>
        <w:rPr>
          <w:snapToGrid w:val="0"/>
        </w:rPr>
        <w:tab/>
      </w:r>
      <w:r>
        <w:t>Account established; administration of account</w:t>
      </w:r>
      <w:bookmarkEnd w:id="291"/>
      <w:bookmarkEnd w:id="292"/>
    </w:p>
    <w:p>
      <w:pPr>
        <w:pStyle w:val="Subsection"/>
      </w:pPr>
      <w:r>
        <w:tab/>
        <w:t>(1)</w:t>
      </w:r>
      <w:r>
        <w:tab/>
        <w:t>An account called the Real Estate and Business Agents Interest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w:t>
      </w:r>
      <w:r>
        <w:t xml:space="preserve">Interest </w:t>
      </w:r>
      <w:r>
        <w:rPr>
          <w:snapToGrid w:val="0"/>
        </w:rPr>
        <w:t xml:space="preserve">Account is to be administered by the </w:t>
      </w:r>
      <w:r>
        <w:t>chief executive officer.</w:t>
      </w:r>
    </w:p>
    <w:p>
      <w:pPr>
        <w:pStyle w:val="Footnotesection"/>
      </w:pPr>
      <w:r>
        <w:tab/>
        <w:t>[Section 125 inserted by No. 59 of 1995 s. 27; amended by No. 77 of 2006 Sch. 1 cl. 147(14); No. 58 of 2010 s. 118</w:t>
      </w:r>
      <w:r>
        <w:rPr>
          <w:spacing w:val="-4"/>
        </w:rPr>
        <w:t>; No. 47 of 2011 s.</w:t>
      </w:r>
      <w:r>
        <w:t> 25(4).]</w:t>
      </w:r>
    </w:p>
    <w:p>
      <w:pPr>
        <w:pStyle w:val="Heading5"/>
        <w:rPr>
          <w:snapToGrid w:val="0"/>
        </w:rPr>
      </w:pPr>
      <w:bookmarkStart w:id="293" w:name="_Toc404159151"/>
      <w:bookmarkStart w:id="294" w:name="_Toc468701048"/>
      <w:r>
        <w:rPr>
          <w:rStyle w:val="CharSectno"/>
        </w:rPr>
        <w:t>126</w:t>
      </w:r>
      <w:r>
        <w:rPr>
          <w:snapToGrid w:val="0"/>
        </w:rPr>
        <w:t>.</w:t>
      </w:r>
      <w:r>
        <w:rPr>
          <w:snapToGrid w:val="0"/>
        </w:rPr>
        <w:tab/>
        <w:t>Moneys to be credited to account</w:t>
      </w:r>
      <w:bookmarkEnd w:id="293"/>
      <w:bookmarkEnd w:id="294"/>
    </w:p>
    <w:p>
      <w:pPr>
        <w:pStyle w:val="Subsection"/>
        <w:keepNext/>
        <w:rPr>
          <w:snapToGrid w:val="0"/>
        </w:rPr>
      </w:pPr>
      <w:r>
        <w:rPr>
          <w:snapToGrid w:val="0"/>
        </w:rPr>
        <w:tab/>
      </w:r>
      <w:r>
        <w:rPr>
          <w:snapToGrid w:val="0"/>
        </w:rPr>
        <w:tab/>
        <w:t>There are to be credited to the </w:t>
      </w:r>
      <w:r>
        <w:t xml:space="preserve">Interest </w:t>
      </w:r>
      <w:r>
        <w:rPr>
          <w:snapToGrid w:val="0"/>
        </w:rPr>
        <w:t>Account —</w:t>
      </w:r>
    </w:p>
    <w:p>
      <w:pPr>
        <w:pStyle w:val="Indenta"/>
        <w:rPr>
          <w:snapToGrid w:val="0"/>
        </w:rPr>
      </w:pPr>
      <w:r>
        <w:rPr>
          <w:snapToGrid w:val="0"/>
        </w:rPr>
        <w:tab/>
        <w:t>(a)</w:t>
      </w:r>
      <w:r>
        <w:rPr>
          <w:snapToGrid w:val="0"/>
        </w:rPr>
        <w:tab/>
        <w:t xml:space="preserve">all moneys paid to the credit of the </w:t>
      </w:r>
      <w:r>
        <w:t xml:space="preserve">Interest </w:t>
      </w:r>
      <w:r>
        <w:rPr>
          <w:snapToGrid w:val="0"/>
        </w:rPr>
        <w:t>Account under section 68B; and</w:t>
      </w:r>
    </w:p>
    <w:p>
      <w:pPr>
        <w:pStyle w:val="Indenta"/>
        <w:rPr>
          <w:snapToGrid w:val="0"/>
        </w:rPr>
      </w:pPr>
      <w:r>
        <w:rPr>
          <w:snapToGrid w:val="0"/>
        </w:rPr>
        <w:tab/>
        <w:t>(b)</w:t>
      </w:r>
      <w:r>
        <w:rPr>
          <w:snapToGrid w:val="0"/>
        </w:rPr>
        <w:tab/>
        <w:t xml:space="preserve">income derived from the investment, under section 128, of moneys standing to the credit of the </w:t>
      </w:r>
      <w:r>
        <w:t xml:space="preserve">Interest </w:t>
      </w:r>
      <w:r>
        <w:rPr>
          <w:snapToGrid w:val="0"/>
        </w:rPr>
        <w:t>Account; and</w:t>
      </w:r>
    </w:p>
    <w:p>
      <w:pPr>
        <w:pStyle w:val="Indenta"/>
        <w:rPr>
          <w:snapToGrid w:val="0"/>
        </w:rPr>
      </w:pPr>
      <w:r>
        <w:rPr>
          <w:snapToGrid w:val="0"/>
        </w:rPr>
        <w:tab/>
        <w:t>(c)</w:t>
      </w:r>
      <w:r>
        <w:rPr>
          <w:snapToGrid w:val="0"/>
        </w:rPr>
        <w:tab/>
        <w:t xml:space="preserve">any moneys, other than moneys referred to in paragraphs (a) and (b), that may lawfully be credited to the </w:t>
      </w:r>
      <w:r>
        <w:t xml:space="preserve">Interest </w:t>
      </w:r>
      <w:r>
        <w:rPr>
          <w:snapToGrid w:val="0"/>
        </w:rPr>
        <w:t>Account.</w:t>
      </w:r>
    </w:p>
    <w:p>
      <w:pPr>
        <w:pStyle w:val="Footnotesection"/>
      </w:pPr>
      <w:r>
        <w:tab/>
        <w:t>[Section 126 inserted by No. 59 of 1995 s. 27</w:t>
      </w:r>
      <w:r>
        <w:rPr>
          <w:spacing w:val="-4"/>
        </w:rPr>
        <w:t>; amended by No. 47 of 2011 s.</w:t>
      </w:r>
      <w:r>
        <w:t> 25(4).]</w:t>
      </w:r>
    </w:p>
    <w:p>
      <w:pPr>
        <w:pStyle w:val="Heading5"/>
      </w:pPr>
      <w:bookmarkStart w:id="295" w:name="_Toc404159152"/>
      <w:bookmarkStart w:id="296" w:name="_Toc468701049"/>
      <w:r>
        <w:rPr>
          <w:rStyle w:val="CharSectno"/>
        </w:rPr>
        <w:t>127</w:t>
      </w:r>
      <w:r>
        <w:rPr>
          <w:snapToGrid w:val="0"/>
        </w:rPr>
        <w:t>.</w:t>
      </w:r>
      <w:r>
        <w:rPr>
          <w:snapToGrid w:val="0"/>
        </w:rPr>
        <w:tab/>
        <w:t>E</w:t>
      </w:r>
      <w:r>
        <w:t>xpenditure from account</w:t>
      </w:r>
      <w:bookmarkEnd w:id="295"/>
      <w:bookmarkEnd w:id="296"/>
    </w:p>
    <w:p>
      <w:pPr>
        <w:pStyle w:val="Subsection"/>
        <w:keepNext/>
        <w:rPr>
          <w:snapToGrid w:val="0"/>
        </w:rPr>
      </w:pPr>
      <w:r>
        <w:rPr>
          <w:snapToGrid w:val="0"/>
        </w:rPr>
        <w:tab/>
      </w:r>
      <w:r>
        <w:rPr>
          <w:snapToGrid w:val="0"/>
        </w:rPr>
        <w:tab/>
        <w:t xml:space="preserve">Moneys standing to the credit of the </w:t>
      </w:r>
      <w:r>
        <w:t xml:space="preserve">Interest </w:t>
      </w:r>
      <w:r>
        <w:rPr>
          <w:snapToGrid w:val="0"/>
        </w:rPr>
        <w:t>Account are to be applied at such times as are prescribed —</w:t>
      </w:r>
    </w:p>
    <w:p>
      <w:pPr>
        <w:pStyle w:val="Indenta"/>
        <w:rPr>
          <w:snapToGrid w:val="0"/>
        </w:rPr>
      </w:pPr>
      <w:r>
        <w:rPr>
          <w:snapToGrid w:val="0"/>
        </w:rPr>
        <w:tab/>
        <w:t>(a)</w:t>
      </w:r>
      <w:r>
        <w:rPr>
          <w:snapToGrid w:val="0"/>
        </w:rPr>
        <w:tab/>
        <w:t xml:space="preserve">first, in payment of the costs involved in administering the </w:t>
      </w:r>
      <w:r>
        <w:t xml:space="preserve">Interest </w:t>
      </w:r>
      <w:r>
        <w:rPr>
          <w:snapToGrid w:val="0"/>
        </w:rPr>
        <w:t>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w:t>
      </w:r>
    </w:p>
    <w:p>
      <w:pPr>
        <w:pStyle w:val="Indenti"/>
        <w:rPr>
          <w:snapToGrid w:val="0"/>
        </w:rPr>
      </w:pPr>
      <w:r>
        <w:rPr>
          <w:snapToGrid w:val="0"/>
        </w:rPr>
        <w:tab/>
        <w:t>(i)</w:t>
      </w:r>
      <w:r>
        <w:rPr>
          <w:snapToGrid w:val="0"/>
        </w:rPr>
        <w:tab/>
        <w:t>the Fidelity</w:t>
      </w:r>
      <w:r>
        <w:t xml:space="preserve"> Account</w:t>
      </w:r>
      <w:r>
        <w:rPr>
          <w:snapToGrid w:val="0"/>
        </w:rPr>
        <w:t>; and</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[Section 127 inserted by No. 59 of 1995 s. 27; amended by No. 77 of 2006 Sch. 1 cl. 147(2)</w:t>
      </w:r>
      <w:r>
        <w:rPr>
          <w:spacing w:val="-4"/>
        </w:rPr>
        <w:t>; No. 47 of 2011 s.</w:t>
      </w:r>
      <w:r>
        <w:t> 25(4).]</w:t>
      </w:r>
    </w:p>
    <w:p>
      <w:pPr>
        <w:pStyle w:val="Heading5"/>
        <w:rPr>
          <w:snapToGrid w:val="0"/>
        </w:rPr>
      </w:pPr>
      <w:bookmarkStart w:id="297" w:name="_Toc404159153"/>
      <w:bookmarkStart w:id="298" w:name="_Toc468701050"/>
      <w:r>
        <w:rPr>
          <w:rStyle w:val="CharSectno"/>
        </w:rPr>
        <w:t>128</w:t>
      </w:r>
      <w:r>
        <w:rPr>
          <w:snapToGrid w:val="0"/>
        </w:rPr>
        <w:t>.</w:t>
      </w:r>
      <w:r>
        <w:rPr>
          <w:snapToGrid w:val="0"/>
        </w:rPr>
        <w:tab/>
        <w:t>I</w:t>
      </w:r>
      <w:r>
        <w:t>nvestment of moneys in account</w:t>
      </w:r>
      <w:bookmarkEnd w:id="297"/>
      <w:bookmarkEnd w:id="298"/>
    </w:p>
    <w:p>
      <w:pPr>
        <w:pStyle w:val="Subsection"/>
        <w:rPr>
          <w:snapToGrid w:val="0"/>
        </w:rPr>
      </w:pPr>
      <w:r>
        <w:rPr>
          <w:snapToGrid w:val="0"/>
        </w:rPr>
        <w:tab/>
        <w:t>(1)</w:t>
      </w:r>
      <w:r>
        <w:rPr>
          <w:snapToGrid w:val="0"/>
        </w:rPr>
        <w:tab/>
        <w:t xml:space="preserve">Moneys standing to the credit of the </w:t>
      </w:r>
      <w:r>
        <w:t xml:space="preserve">Interest </w:t>
      </w:r>
      <w:r>
        <w:rPr>
          <w:snapToGrid w:val="0"/>
        </w:rPr>
        <w:t>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 xml:space="preserve">Income derived from any such investment is to be credited to the </w:t>
      </w:r>
      <w:r>
        <w:t xml:space="preserve">Interest </w:t>
      </w:r>
      <w:r>
        <w:rPr>
          <w:snapToGrid w:val="0"/>
        </w:rPr>
        <w:t>Account.</w:t>
      </w:r>
    </w:p>
    <w:p>
      <w:pPr>
        <w:pStyle w:val="Footnotesection"/>
      </w:pPr>
      <w:r>
        <w:tab/>
        <w:t>[Section 128 inserted by No. 59 of 1995 s. 27; amended by No. 77 of 2006 Sch. 1 cl. 147(15)</w:t>
      </w:r>
      <w:r>
        <w:rPr>
          <w:spacing w:val="-4"/>
        </w:rPr>
        <w:t>; No. 47 of 2011 s.</w:t>
      </w:r>
      <w:r>
        <w:t> 25(4).]</w:t>
      </w:r>
    </w:p>
    <w:p>
      <w:pPr>
        <w:pStyle w:val="Ednotesection"/>
      </w:pPr>
      <w:r>
        <w:t>[</w:t>
      </w:r>
      <w:r>
        <w:rPr>
          <w:b/>
        </w:rPr>
        <w:t>129, 130.</w:t>
      </w:r>
      <w:r>
        <w:tab/>
        <w:t>Deleted by No. 59 of 1995 s. 27.]</w:t>
      </w:r>
    </w:p>
    <w:p>
      <w:pPr>
        <w:pStyle w:val="Ednotesection"/>
      </w:pPr>
      <w:r>
        <w:t>[</w:t>
      </w:r>
      <w:r>
        <w:rPr>
          <w:b/>
        </w:rPr>
        <w:t>131.</w:t>
      </w:r>
      <w:r>
        <w:tab/>
        <w:t>Deleted by No. 98 of 1985 s. 3.]</w:t>
      </w:r>
    </w:p>
    <w:p>
      <w:pPr>
        <w:pStyle w:val="Heading2"/>
      </w:pPr>
      <w:bookmarkStart w:id="299" w:name="_Toc404159154"/>
      <w:bookmarkStart w:id="300" w:name="_Toc424293180"/>
      <w:bookmarkStart w:id="301" w:name="_Toc435024543"/>
      <w:bookmarkStart w:id="302" w:name="_Toc468701051"/>
      <w:r>
        <w:rPr>
          <w:rStyle w:val="CharPartNo"/>
        </w:rPr>
        <w:t>Part IXA</w:t>
      </w:r>
      <w:r>
        <w:rPr>
          <w:rStyle w:val="CharDivNo"/>
        </w:rPr>
        <w:t> </w:t>
      </w:r>
      <w:r>
        <w:t>—</w:t>
      </w:r>
      <w:r>
        <w:rPr>
          <w:rStyle w:val="CharDivText"/>
        </w:rPr>
        <w:t> </w:t>
      </w:r>
      <w:r>
        <w:rPr>
          <w:rStyle w:val="CharPartText"/>
        </w:rPr>
        <w:t>Assistance to home buyers</w:t>
      </w:r>
      <w:bookmarkEnd w:id="299"/>
      <w:bookmarkEnd w:id="300"/>
      <w:bookmarkEnd w:id="301"/>
      <w:bookmarkEnd w:id="302"/>
    </w:p>
    <w:p>
      <w:pPr>
        <w:pStyle w:val="Heading5"/>
        <w:rPr>
          <w:snapToGrid w:val="0"/>
        </w:rPr>
      </w:pPr>
      <w:bookmarkStart w:id="303" w:name="_Toc404159155"/>
      <w:bookmarkStart w:id="304" w:name="_Toc468701052"/>
      <w:r>
        <w:rPr>
          <w:rStyle w:val="CharSectno"/>
        </w:rPr>
        <w:t>131A</w:t>
      </w:r>
      <w:r>
        <w:rPr>
          <w:snapToGrid w:val="0"/>
        </w:rPr>
        <w:t>.</w:t>
      </w:r>
      <w:r>
        <w:rPr>
          <w:snapToGrid w:val="0"/>
        </w:rPr>
        <w:tab/>
        <w:t>Terms used</w:t>
      </w:r>
      <w:bookmarkEnd w:id="303"/>
      <w:bookmarkEnd w:id="304"/>
    </w:p>
    <w:p>
      <w:pPr>
        <w:pStyle w:val="Subsection"/>
        <w:keepNext/>
        <w:rPr>
          <w:snapToGrid w:val="0"/>
        </w:rPr>
      </w:pPr>
      <w:r>
        <w:rPr>
          <w:snapToGrid w:val="0"/>
        </w:rPr>
        <w:tab/>
      </w:r>
      <w:r>
        <w:rPr>
          <w:snapToGrid w:val="0"/>
        </w:rPr>
        <w:tab/>
        <w:t>In this Part, unless the contrary intention appears —</w:t>
      </w:r>
    </w:p>
    <w:p>
      <w:pPr>
        <w:pStyle w:val="Defstart"/>
        <w:spacing w:before="100"/>
      </w:pPr>
      <w:r>
        <w:rPr>
          <w:b/>
        </w:rPr>
        <w:tab/>
      </w:r>
      <w:r>
        <w:rPr>
          <w:rStyle w:val="CharDefText"/>
        </w:rPr>
        <w:t>applicant</w:t>
      </w:r>
      <w:r>
        <w:t xml:space="preserve"> means person on whose behalf an application has been lodged under section 131L(1);</w:t>
      </w:r>
    </w:p>
    <w:p>
      <w:pPr>
        <w:pStyle w:val="Defstart"/>
        <w:spacing w:before="100"/>
      </w:pPr>
      <w:r>
        <w:rPr>
          <w:b/>
        </w:rPr>
        <w:tab/>
      </w:r>
      <w:r>
        <w:rPr>
          <w:rStyle w:val="CharDefText"/>
        </w:rPr>
        <w:t>assisted person</w:t>
      </w:r>
      <w:r>
        <w:t xml:space="preserve"> means applicant to whom a grant has been made under section 131M(3);</w:t>
      </w:r>
    </w:p>
    <w:p>
      <w:pPr>
        <w:pStyle w:val="Defstart"/>
        <w:keepNext/>
        <w:spacing w:before="100"/>
      </w:pPr>
      <w:r>
        <w:rPr>
          <w:b/>
        </w:rPr>
        <w:tab/>
      </w:r>
      <w:r>
        <w:rPr>
          <w:rStyle w:val="CharDefText"/>
        </w:rPr>
        <w:t>dwelling</w:t>
      </w:r>
      <w:r>
        <w:t xml:space="preserve"> includes —</w:t>
      </w:r>
    </w:p>
    <w:p>
      <w:pPr>
        <w:pStyle w:val="Defpara"/>
        <w:spacing w:before="100"/>
      </w:pPr>
      <w:r>
        <w:tab/>
        <w:t>(a)</w:t>
      </w:r>
      <w:r>
        <w:tab/>
        <w:t xml:space="preserve">lot within the meaning of the </w:t>
      </w:r>
      <w:r>
        <w:rPr>
          <w:i/>
        </w:rPr>
        <w:t>Strata Titles Act 1985</w:t>
      </w:r>
      <w:r>
        <w:t>; and</w:t>
      </w:r>
    </w:p>
    <w:p>
      <w:pPr>
        <w:pStyle w:val="Defpara"/>
        <w:spacing w:before="100"/>
      </w:pPr>
      <w:r>
        <w:tab/>
        <w:t>(b)</w:t>
      </w:r>
      <w:r>
        <w:tab/>
        <w:t>except in the case of a dwelling which is a lot referred to in paragraph (a), land on which the dwelling concerned is erected or is being erected, as the case requires;</w:t>
      </w:r>
    </w:p>
    <w:p>
      <w:pPr>
        <w:pStyle w:val="Defstart"/>
        <w:keepNext/>
        <w:spacing w:before="100"/>
      </w:pPr>
      <w:r>
        <w:rPr>
          <w:b/>
        </w:rPr>
        <w:tab/>
      </w:r>
      <w:r>
        <w:rPr>
          <w:rStyle w:val="CharDefText"/>
        </w:rPr>
        <w:t>incidental expenses</w:t>
      </w:r>
      <w:r>
        <w:t>, in relation to a purchase, or purchase and completion, referred to in section 131L(1), includes —</w:t>
      </w:r>
    </w:p>
    <w:p>
      <w:pPr>
        <w:pStyle w:val="Defpara"/>
        <w:spacing w:before="100"/>
      </w:pPr>
      <w:r>
        <w:tab/>
        <w:t>(a)</w:t>
      </w:r>
      <w:r>
        <w:tab/>
        <w:t xml:space="preserve">duty chargeable under the </w:t>
      </w:r>
      <w:r>
        <w:rPr>
          <w:i/>
          <w:iCs/>
        </w:rPr>
        <w:t>Duties Act 2008</w:t>
      </w:r>
      <w:r>
        <w:t>; and</w:t>
      </w:r>
    </w:p>
    <w:p>
      <w:pPr>
        <w:pStyle w:val="Defpara"/>
        <w:spacing w:before="100"/>
      </w:pPr>
      <w:r>
        <w:tab/>
        <w:t>(b)</w:t>
      </w:r>
      <w:r>
        <w:tab/>
        <w:t>registration fees; and</w:t>
      </w:r>
    </w:p>
    <w:p>
      <w:pPr>
        <w:pStyle w:val="Defpara"/>
        <w:spacing w:before="100"/>
      </w:pPr>
      <w:r>
        <w:tab/>
        <w:t>(c)</w:t>
      </w:r>
      <w:r>
        <w:tab/>
        <w:t xml:space="preserve">the remuneration of a real estate settlement agent within the meaning of the </w:t>
      </w:r>
      <w:r>
        <w:rPr>
          <w:i/>
        </w:rPr>
        <w:t>Settlement Agents Act 1981</w:t>
      </w:r>
      <w:r>
        <w:t>; and</w:t>
      </w:r>
    </w:p>
    <w:p>
      <w:pPr>
        <w:pStyle w:val="Defpara"/>
        <w:spacing w:before="100"/>
      </w:pPr>
      <w:r>
        <w:tab/>
        <w:t>(d)</w:t>
      </w:r>
      <w:r>
        <w:tab/>
        <w:t>the costs of a legal practitioner; and</w:t>
      </w:r>
    </w:p>
    <w:p>
      <w:pPr>
        <w:pStyle w:val="Defpara"/>
        <w:spacing w:before="100"/>
      </w:pPr>
      <w:r>
        <w:tab/>
        <w:t>(e)</w:t>
      </w:r>
      <w:r>
        <w:tab/>
        <w:t>valuation fees; and</w:t>
      </w:r>
    </w:p>
    <w:p>
      <w:pPr>
        <w:pStyle w:val="Defpara"/>
        <w:spacing w:before="100"/>
      </w:pPr>
      <w:r>
        <w:tab/>
        <w:t>(f)</w:t>
      </w:r>
      <w:r>
        <w:tab/>
        <w:t>inspection fees; and</w:t>
      </w:r>
    </w:p>
    <w:p>
      <w:pPr>
        <w:pStyle w:val="Defpara"/>
        <w:spacing w:before="100"/>
      </w:pPr>
      <w:r>
        <w:tab/>
        <w:t>(g)</w:t>
      </w:r>
      <w:r>
        <w:tab/>
        <w:t>any fees payable to the lending institution lodging an application under section 131L(1) on behalf of the applicant concerned to assist him in that purchase or purchase and completion; and</w:t>
      </w:r>
    </w:p>
    <w:p>
      <w:pPr>
        <w:pStyle w:val="Defpara"/>
        <w:spacing w:before="100"/>
      </w:pPr>
      <w:r>
        <w:tab/>
        <w:t>(h)</w:t>
      </w:r>
      <w:r>
        <w:tab/>
        <w:t>any mortgage guarantee fee or mortgage insurance premium;</w:t>
      </w:r>
    </w:p>
    <w:p>
      <w:pPr>
        <w:pStyle w:val="Defstart"/>
        <w:keepNext/>
        <w:spacing w:before="100"/>
      </w:pPr>
      <w:r>
        <w:rPr>
          <w:b/>
        </w:rPr>
        <w:tab/>
      </w:r>
      <w:r>
        <w:rPr>
          <w:rStyle w:val="CharDefText"/>
        </w:rPr>
        <w:t>lending institution</w:t>
      </w:r>
      <w:r>
        <w:t xml:space="preserve"> means —</w:t>
      </w:r>
    </w:p>
    <w:p>
      <w:pPr>
        <w:pStyle w:val="Defpara"/>
        <w:spacing w:before="100"/>
      </w:pPr>
      <w:r>
        <w:tab/>
        <w:t>(a)</w:t>
      </w:r>
      <w:r>
        <w:tab/>
        <w:t>a bank; or</w:t>
      </w:r>
    </w:p>
    <w:p>
      <w:pPr>
        <w:pStyle w:val="Ednotedefpara"/>
        <w:keepNext/>
        <w:rPr>
          <w:iCs/>
        </w:rPr>
      </w:pPr>
      <w:r>
        <w:tab/>
      </w:r>
      <w:r>
        <w:rPr>
          <w:iCs/>
        </w:rPr>
        <w:t>[(b), (c)</w:t>
      </w:r>
      <w:r>
        <w:rPr>
          <w:iCs/>
        </w:rPr>
        <w:tab/>
        <w:t>deleted]</w:t>
      </w:r>
    </w:p>
    <w:p>
      <w:pPr>
        <w:pStyle w:val="Defpara"/>
      </w:pPr>
      <w:r>
        <w:tab/>
        <w:t>(d)</w:t>
      </w:r>
      <w:r>
        <w:tab/>
        <w:t>a body that is prescribed, or that belongs to a class of bodies that is prescribed.</w:t>
      </w:r>
    </w:p>
    <w:p>
      <w:pPr>
        <w:pStyle w:val="Footnotesection"/>
      </w:pPr>
      <w:r>
        <w:tab/>
        <w:t>[Section 131A inserted by No. 29 of 1982 s. 10; amended by No. 59 of 1995 s. 28; No. 26 of 1999 s. 99(10); No. 12 of 2001 s. 51; No. 65 of 2003 s. 59(3); No. 17 of 2005 s. 29(2); No. 12 of 2008 Sch. 1 cl. 32.]</w:t>
      </w:r>
    </w:p>
    <w:p>
      <w:pPr>
        <w:pStyle w:val="Heading5"/>
      </w:pPr>
      <w:bookmarkStart w:id="305" w:name="_Toc404159156"/>
      <w:bookmarkStart w:id="306" w:name="_Toc468701053"/>
      <w:r>
        <w:rPr>
          <w:rStyle w:val="CharSectno"/>
        </w:rPr>
        <w:t>131B</w:t>
      </w:r>
      <w:r>
        <w:t>.</w:t>
      </w:r>
      <w:r>
        <w:tab/>
        <w:t>Home Buyers Assistance Account established</w:t>
      </w:r>
      <w:bookmarkEnd w:id="305"/>
      <w:bookmarkEnd w:id="306"/>
    </w:p>
    <w:p>
      <w:pPr>
        <w:pStyle w:val="Subsection"/>
      </w:pPr>
      <w:r>
        <w:tab/>
      </w:r>
      <w:r>
        <w:tab/>
        <w:t>An account called the Home Buyers Assistance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131B inserted by No. 77 of 2006 Sch. 1 cl. 147(16).]</w:t>
      </w:r>
    </w:p>
    <w:p>
      <w:pPr>
        <w:pStyle w:val="Heading5"/>
        <w:rPr>
          <w:snapToGrid w:val="0"/>
        </w:rPr>
      </w:pPr>
      <w:bookmarkStart w:id="307" w:name="_Toc404159157"/>
      <w:bookmarkStart w:id="308" w:name="_Toc468701054"/>
      <w:r>
        <w:rPr>
          <w:rStyle w:val="CharSectno"/>
        </w:rPr>
        <w:t>131C</w:t>
      </w:r>
      <w:r>
        <w:rPr>
          <w:snapToGrid w:val="0"/>
        </w:rPr>
        <w:t>.</w:t>
      </w:r>
      <w:r>
        <w:rPr>
          <w:snapToGrid w:val="0"/>
        </w:rPr>
        <w:tab/>
        <w:t>Investment of moneys in account</w:t>
      </w:r>
      <w:bookmarkEnd w:id="307"/>
      <w:bookmarkEnd w:id="308"/>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[Section 131C inserted by No. 59 of 1995 s. 30; amended by No. 77 of 2006 Sch. 1 cl. 147(2) and (17).]</w:t>
      </w:r>
    </w:p>
    <w:p>
      <w:pPr>
        <w:pStyle w:val="Heading5"/>
        <w:rPr>
          <w:snapToGrid w:val="0"/>
        </w:rPr>
      </w:pPr>
      <w:bookmarkStart w:id="309" w:name="_Toc404159158"/>
      <w:bookmarkStart w:id="310" w:name="_Toc468701055"/>
      <w:r>
        <w:rPr>
          <w:rStyle w:val="CharSectno"/>
        </w:rPr>
        <w:t>131D</w:t>
      </w:r>
      <w:r>
        <w:rPr>
          <w:snapToGrid w:val="0"/>
        </w:rPr>
        <w:t>.</w:t>
      </w:r>
      <w:r>
        <w:rPr>
          <w:snapToGrid w:val="0"/>
        </w:rPr>
        <w:tab/>
        <w:t>Moneys to be credited to account</w:t>
      </w:r>
      <w:bookmarkEnd w:id="309"/>
      <w:bookmarkEnd w:id="310"/>
    </w:p>
    <w:p>
      <w:pPr>
        <w:pStyle w:val="Subsection"/>
        <w:keepNext/>
        <w:rPr>
          <w:snapToGrid w:val="0"/>
        </w:rPr>
      </w:pPr>
      <w:r>
        <w:rPr>
          <w:snapToGrid w:val="0"/>
        </w:rPr>
        <w:tab/>
      </w:r>
      <w:r>
        <w:rPr>
          <w:snapToGrid w:val="0"/>
        </w:rPr>
        <w:tab/>
        <w:t>There shall be credited to the Assistance</w:t>
      </w:r>
      <w:r>
        <w:t xml:space="preserve"> Account</w:t>
      </w:r>
      <w:r>
        <w:rPr>
          <w:snapToGrid w:val="0"/>
        </w:rPr>
        <w:t>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 and</w:t>
      </w:r>
    </w:p>
    <w:p>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[Section 131D inserted by No. 29 of 1982 s. 10; amended by No. 59 of 1995 s. 31 and 42; No. 77 of 2006 Sch. 1 cl. 147(2); No. 58 of 2010 s. 119.]</w:t>
      </w:r>
    </w:p>
    <w:p>
      <w:pPr>
        <w:pStyle w:val="Heading5"/>
        <w:rPr>
          <w:snapToGrid w:val="0"/>
        </w:rPr>
      </w:pPr>
      <w:bookmarkStart w:id="311" w:name="_Toc404159159"/>
      <w:bookmarkStart w:id="312" w:name="_Toc468701056"/>
      <w:r>
        <w:rPr>
          <w:rStyle w:val="CharSectno"/>
        </w:rPr>
        <w:t>131E</w:t>
      </w:r>
      <w:r>
        <w:rPr>
          <w:snapToGrid w:val="0"/>
        </w:rPr>
        <w:t>.</w:t>
      </w:r>
      <w:r>
        <w:rPr>
          <w:snapToGrid w:val="0"/>
        </w:rPr>
        <w:tab/>
        <w:t>Expenditure from account</w:t>
      </w:r>
      <w:bookmarkEnd w:id="311"/>
      <w:bookmarkEnd w:id="312"/>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w:t>
      </w:r>
    </w:p>
    <w:p>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 and</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 and</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 and</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[Section 131E inserted by No. 29 of 1982 s. 10; amended by No. 59 of 1995 s. 32 and 42; No. 77 of 2006 Sch. 1 cl. 147(2); No. 58 of 2010 s. 120.]</w:t>
      </w:r>
    </w:p>
    <w:p>
      <w:pPr>
        <w:pStyle w:val="Ednotesection"/>
      </w:pPr>
      <w:r>
        <w:t>[</w:t>
      </w:r>
      <w:r>
        <w:rPr>
          <w:b/>
        </w:rPr>
        <w:t>131F.</w:t>
      </w:r>
      <w:r>
        <w:tab/>
        <w:t>Deleted by No. 98 of 1985 s. 3.]</w:t>
      </w:r>
    </w:p>
    <w:p>
      <w:pPr>
        <w:pStyle w:val="Heading5"/>
        <w:rPr>
          <w:snapToGrid w:val="0"/>
        </w:rPr>
      </w:pPr>
      <w:bookmarkStart w:id="313" w:name="_Toc404159160"/>
      <w:bookmarkStart w:id="314" w:name="_Toc468701057"/>
      <w:r>
        <w:rPr>
          <w:rStyle w:val="CharSectno"/>
        </w:rPr>
        <w:t>131G</w:t>
      </w:r>
      <w:r>
        <w:rPr>
          <w:snapToGrid w:val="0"/>
        </w:rPr>
        <w:t>.</w:t>
      </w:r>
      <w:r>
        <w:rPr>
          <w:snapToGrid w:val="0"/>
        </w:rPr>
        <w:tab/>
      </w:r>
      <w:r>
        <w:t>Administration of account</w:t>
      </w:r>
      <w:bookmarkEnd w:id="313"/>
      <w:bookmarkEnd w:id="314"/>
    </w:p>
    <w:p>
      <w:pPr>
        <w:pStyle w:val="Subsection"/>
        <w:spacing w:before="18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pPr>
        <w:pStyle w:val="Footnotesection"/>
      </w:pPr>
      <w:r>
        <w:tab/>
        <w:t>[Section 131G inserted by No. 29 of 1982 s. 10; amended by No. 77 of 2006 Sch. 1 cl. 147(2); No. 58 of 2010 s. 121.]</w:t>
      </w:r>
    </w:p>
    <w:p>
      <w:pPr>
        <w:pStyle w:val="Ednotesection"/>
        <w:spacing w:before="260"/>
        <w:rPr>
          <w:b/>
        </w:rPr>
      </w:pPr>
      <w:r>
        <w:t>[</w:t>
      </w:r>
      <w:r>
        <w:rPr>
          <w:b/>
        </w:rPr>
        <w:t>131H-131KA.</w:t>
      </w:r>
      <w:r>
        <w:t xml:space="preserve">   Deleted by No. 58 of 2010 s. 122.]</w:t>
      </w:r>
    </w:p>
    <w:p>
      <w:pPr>
        <w:pStyle w:val="Heading5"/>
        <w:spacing w:before="260"/>
        <w:rPr>
          <w:snapToGrid w:val="0"/>
        </w:rPr>
      </w:pPr>
      <w:bookmarkStart w:id="315" w:name="_Toc404159161"/>
      <w:bookmarkStart w:id="316" w:name="_Toc468701058"/>
      <w:r>
        <w:rPr>
          <w:rStyle w:val="CharSectno"/>
        </w:rPr>
        <w:t>131L</w:t>
      </w:r>
      <w:r>
        <w:rPr>
          <w:snapToGrid w:val="0"/>
        </w:rPr>
        <w:t>.</w:t>
      </w:r>
      <w:r>
        <w:rPr>
          <w:snapToGrid w:val="0"/>
        </w:rPr>
        <w:tab/>
        <w:t>Applying for assistance for buyers of first homes</w:t>
      </w:r>
      <w:bookmarkEnd w:id="315"/>
      <w:bookmarkEnd w:id="316"/>
    </w:p>
    <w:p>
      <w:pPr>
        <w:pStyle w:val="Subsection"/>
        <w:keepNext/>
        <w:spacing w:before="180"/>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spacing w:before="180"/>
        <w:rPr>
          <w:snapToGrid w:val="0"/>
        </w:rPr>
      </w:pPr>
      <w:r>
        <w:rPr>
          <w:snapToGrid w:val="0"/>
        </w:rPr>
        <w:tab/>
      </w:r>
      <w:r>
        <w:rPr>
          <w:snapToGrid w:val="0"/>
        </w:rPr>
        <w:tab/>
        <w:t xml:space="preserve">may, not later than 90 days after the date of the contract to purchase the dwelling, on behalf of the person lodge with the </w:t>
      </w:r>
      <w:r>
        <w:t>chief executive officer</w:t>
      </w:r>
      <w:r>
        <w:rPr>
          <w:snapToGrid w:val="0"/>
        </w:rPr>
        <w:t xml:space="preserve">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spacing w:before="180"/>
        <w:rPr>
          <w:snapToGrid w:val="0"/>
        </w:rPr>
      </w:pPr>
      <w:r>
        <w:rPr>
          <w:snapToGrid w:val="0"/>
        </w:rPr>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pPr>
        <w:pStyle w:val="Subsection"/>
        <w:spacing w:before="180"/>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[Section 131L inserted by No. 29 of 1982 s. 10; amended by No. 43 of 1994 s. 7; No. 59 of 1995 s. 35 and 40(2); No. 58 of 2010 s. 123.]</w:t>
      </w:r>
    </w:p>
    <w:p>
      <w:pPr>
        <w:pStyle w:val="Heading5"/>
        <w:rPr>
          <w:snapToGrid w:val="0"/>
        </w:rPr>
      </w:pPr>
      <w:bookmarkStart w:id="317" w:name="_Toc404159162"/>
      <w:bookmarkStart w:id="318" w:name="_Toc468701059"/>
      <w:r>
        <w:rPr>
          <w:rStyle w:val="CharSectno"/>
        </w:rPr>
        <w:t>131M</w:t>
      </w:r>
      <w:r>
        <w:rPr>
          <w:snapToGrid w:val="0"/>
        </w:rPr>
        <w:t>.</w:t>
      </w:r>
      <w:r>
        <w:rPr>
          <w:snapToGrid w:val="0"/>
        </w:rPr>
        <w:tab/>
      </w:r>
      <w:r>
        <w:t>Deciding applications for assistance</w:t>
      </w:r>
      <w:bookmarkEnd w:id="317"/>
      <w:bookmarkEnd w:id="318"/>
    </w:p>
    <w:p>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w:t>
      </w:r>
    </w:p>
    <w:p>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pPr>
        <w:pStyle w:val="Indenta"/>
      </w:pPr>
      <w:r>
        <w:tab/>
        <w:t>(b)</w:t>
      </w:r>
      <w:r>
        <w:tab/>
        <w:t>referring the application to an advisory committee established for that purpose under section 23A, or to the Property Industry Advisory Committee, for consideration.</w:t>
      </w:r>
    </w:p>
    <w:p>
      <w:pPr>
        <w:pStyle w:val="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pPr>
        <w:pStyle w:val="Subsection"/>
        <w:rPr>
          <w:snapToGrid w:val="0"/>
        </w:rPr>
      </w:pPr>
      <w:r>
        <w:rPr>
          <w:snapToGrid w:val="0"/>
        </w:rPr>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current at the date of the lodging of the application under section 131L(1)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keepNext/>
        <w:keepLines/>
        <w:rPr>
          <w:snapToGrid w:val="0"/>
        </w:rPr>
      </w:pPr>
      <w:r>
        <w:rPr>
          <w:snapToGrid w:val="0"/>
        </w:rPr>
        <w:tab/>
        <w:t>(b)</w:t>
      </w:r>
      <w:r>
        <w:rPr>
          <w:snapToGrid w:val="0"/>
        </w:rPr>
        <w:tab/>
        <w:t>refuse that application.</w:t>
      </w:r>
    </w:p>
    <w:p>
      <w:pPr>
        <w:pStyle w:val="Footnotesection"/>
      </w:pPr>
      <w:r>
        <w:tab/>
        <w:t>[Section 131M inserted by No. 29 of 1982 s. 10; amended by No. 43 of 1994 s. 8; No. 59 of 1995 s. 36; No. 58 of 2010 s. 124.]</w:t>
      </w:r>
    </w:p>
    <w:p>
      <w:pPr>
        <w:pStyle w:val="Heading5"/>
        <w:rPr>
          <w:snapToGrid w:val="0"/>
        </w:rPr>
      </w:pPr>
      <w:bookmarkStart w:id="319" w:name="_Toc404159163"/>
      <w:bookmarkStart w:id="320" w:name="_Toc468701060"/>
      <w:r>
        <w:rPr>
          <w:rStyle w:val="CharSectno"/>
        </w:rPr>
        <w:t>131N</w:t>
      </w:r>
      <w:r>
        <w:rPr>
          <w:snapToGrid w:val="0"/>
        </w:rPr>
        <w:t>.</w:t>
      </w:r>
      <w:r>
        <w:rPr>
          <w:snapToGrid w:val="0"/>
        </w:rPr>
        <w:tab/>
        <w:t>Assistance, payment and application of</w:t>
      </w:r>
      <w:bookmarkEnd w:id="319"/>
      <w:bookmarkEnd w:id="320"/>
    </w:p>
    <w:p>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r>
        <w:t>chief executive officer</w:t>
      </w:r>
      <w:r>
        <w:rPr>
          <w:snapToGrid w:val="0"/>
        </w:rPr>
        <w:t xml:space="preserve"> under section 131M(3) ceases for any reason to be required to pay —</w:t>
      </w:r>
    </w:p>
    <w:p>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pPr>
        <w:pStyle w:val="Indenta"/>
        <w:rPr>
          <w:snapToGrid w:val="0"/>
        </w:rPr>
      </w:pPr>
      <w:r>
        <w:rPr>
          <w:snapToGrid w:val="0"/>
        </w:rPr>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r>
        <w:t>chief executive officer</w:t>
      </w:r>
      <w:r>
        <w:rPr>
          <w:snapToGrid w:val="0"/>
        </w:rPr>
        <w:t xml:space="preserve"> the amount of that excess.</w:t>
      </w:r>
    </w:p>
    <w:p>
      <w:pPr>
        <w:pStyle w:val="Subsection"/>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[Section 131N inserted by No. 29 of 1982 s. 10; amended by No. 59 of 1995 s. 40(2); No. 77 of 2006 Sch. 1 cl. 147(2); No. 58 of 2010 s. 125.]</w:t>
      </w:r>
    </w:p>
    <w:p>
      <w:pPr>
        <w:pStyle w:val="Heading5"/>
        <w:rPr>
          <w:snapToGrid w:val="0"/>
        </w:rPr>
      </w:pPr>
      <w:bookmarkStart w:id="321" w:name="_Toc404159164"/>
      <w:bookmarkStart w:id="322" w:name="_Toc468701061"/>
      <w:r>
        <w:rPr>
          <w:rStyle w:val="CharSectno"/>
        </w:rPr>
        <w:t>131O</w:t>
      </w:r>
      <w:r>
        <w:rPr>
          <w:snapToGrid w:val="0"/>
        </w:rPr>
        <w:t>.</w:t>
      </w:r>
      <w:r>
        <w:rPr>
          <w:snapToGrid w:val="0"/>
        </w:rPr>
        <w:tab/>
      </w:r>
      <w:r>
        <w:t>Criteria for granting assistance, formulating</w:t>
      </w:r>
      <w:bookmarkEnd w:id="321"/>
      <w:bookmarkEnd w:id="322"/>
    </w:p>
    <w:p>
      <w:pPr>
        <w:pStyle w:val="Subsection"/>
        <w:keepNext/>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w:t>
      </w:r>
    </w:p>
    <w:p>
      <w:pPr>
        <w:pStyle w:val="Ednotepara"/>
        <w:spacing w:before="80"/>
      </w:pPr>
      <w:r>
        <w:tab/>
        <w:t>[(a)</w:t>
      </w:r>
      <w:r>
        <w:tab/>
        <w:t>deleted]</w:t>
      </w:r>
    </w:p>
    <w:p>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pPr>
        <w:pStyle w:val="Ednotepara"/>
        <w:spacing w:before="80"/>
      </w:pPr>
      <w:r>
        <w:tab/>
        <w:t>[(c)-(e)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criteria in accordance with which applications </w:t>
      </w:r>
      <w:r>
        <w:t>received by the chief executive officer under section 131M</w:t>
      </w:r>
      <w:r>
        <w:rPr>
          <w:snapToGrid w:val="0"/>
        </w:rPr>
        <w:t xml:space="preserve"> are to be decided.</w:t>
      </w:r>
    </w:p>
    <w:p>
      <w:pPr>
        <w:pStyle w:val="Footnotesection"/>
      </w:pPr>
      <w:r>
        <w:tab/>
        <w:t>[Section 131O inserted by No. 29 of 1982 s. 10; amended by No. 6 of 1994 s. 13; No. 43 of 1994 s. 9; No. 14 of 1995 s. 44; No. 59 of 1995 s. 37; No. 12 of 2001 s. 50; No. 17 of 2005 s. 29(3); No. 58 of 2010 s. 126.]</w:t>
      </w:r>
    </w:p>
    <w:p>
      <w:pPr>
        <w:pStyle w:val="Heading2"/>
      </w:pPr>
      <w:bookmarkStart w:id="323" w:name="_Toc404159165"/>
      <w:bookmarkStart w:id="324" w:name="_Toc424293191"/>
      <w:bookmarkStart w:id="325" w:name="_Toc435024554"/>
      <w:bookmarkStart w:id="326" w:name="_Toc468701062"/>
      <w:r>
        <w:rPr>
          <w:rStyle w:val="CharPartNo"/>
        </w:rPr>
        <w:t>Part X</w:t>
      </w:r>
      <w:r>
        <w:rPr>
          <w:rStyle w:val="CharDivNo"/>
        </w:rPr>
        <w:t> </w:t>
      </w:r>
      <w:r>
        <w:t>—</w:t>
      </w:r>
      <w:r>
        <w:rPr>
          <w:rStyle w:val="CharDivText"/>
        </w:rPr>
        <w:t> </w:t>
      </w:r>
      <w:r>
        <w:rPr>
          <w:rStyle w:val="CharPartText"/>
        </w:rPr>
        <w:t>Miscellaneous</w:t>
      </w:r>
      <w:bookmarkEnd w:id="323"/>
      <w:bookmarkEnd w:id="324"/>
      <w:bookmarkEnd w:id="325"/>
      <w:bookmarkEnd w:id="326"/>
    </w:p>
    <w:p>
      <w:pPr>
        <w:pStyle w:val="Heading5"/>
        <w:rPr>
          <w:snapToGrid w:val="0"/>
        </w:rPr>
      </w:pPr>
      <w:bookmarkStart w:id="327" w:name="_Toc404159166"/>
      <w:bookmarkStart w:id="328" w:name="_Toc468701063"/>
      <w:r>
        <w:rPr>
          <w:rStyle w:val="CharSectno"/>
        </w:rPr>
        <w:t>132</w:t>
      </w:r>
      <w:r>
        <w:rPr>
          <w:snapToGrid w:val="0"/>
        </w:rPr>
        <w:t>.</w:t>
      </w:r>
      <w:r>
        <w:rPr>
          <w:snapToGrid w:val="0"/>
        </w:rPr>
        <w:tab/>
        <w:t>Unlicensed assistants to be supervised etc.</w:t>
      </w:r>
      <w:bookmarkEnd w:id="327"/>
      <w:bookmarkEnd w:id="328"/>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w:t>
      </w:r>
    </w:p>
    <w:p>
      <w:pPr>
        <w:pStyle w:val="Indenta"/>
        <w:keepNext/>
        <w:rPr>
          <w:snapToGrid w:val="0"/>
        </w:rPr>
      </w:pPr>
      <w:r>
        <w:rPr>
          <w:snapToGrid w:val="0"/>
        </w:rPr>
        <w:tab/>
        <w:t>(a)</w:t>
      </w:r>
      <w:r>
        <w:rPr>
          <w:snapToGrid w:val="0"/>
        </w:rPr>
        <w:tab/>
        <w:t>where the licensee of the business involved is not a firm or a body corporate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the manager of a branch office of the business shall give substantial time and attention to the business at that office;</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 and</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 and</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329" w:name="_Toc404159167"/>
      <w:bookmarkStart w:id="330" w:name="_Toc468701064"/>
      <w:r>
        <w:rPr>
          <w:rStyle w:val="CharSectno"/>
        </w:rPr>
        <w:t>133</w:t>
      </w:r>
      <w:r>
        <w:rPr>
          <w:snapToGrid w:val="0"/>
        </w:rPr>
        <w:t>.</w:t>
      </w:r>
      <w:r>
        <w:rPr>
          <w:snapToGrid w:val="0"/>
        </w:rPr>
        <w:tab/>
      </w:r>
      <w:r>
        <w:t>Registers of licensees etc., Commissioner to keep etc.</w:t>
      </w:r>
      <w:bookmarkEnd w:id="329"/>
      <w:bookmarkEnd w:id="330"/>
    </w:p>
    <w:p>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w:t>
      </w:r>
    </w:p>
    <w:p>
      <w:pPr>
        <w:pStyle w:val="Indenta"/>
        <w:rPr>
          <w:snapToGrid w:val="0"/>
        </w:rPr>
      </w:pPr>
      <w:r>
        <w:rPr>
          <w:snapToGrid w:val="0"/>
        </w:rPr>
        <w:tab/>
        <w:t>(a)</w:t>
      </w:r>
      <w:r>
        <w:rPr>
          <w:snapToGrid w:val="0"/>
        </w:rPr>
        <w:tab/>
        <w:t>a register of licensees; and</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pPr>
        <w:pStyle w:val="Footnotesection"/>
      </w:pPr>
      <w:r>
        <w:tab/>
        <w:t>[Section 133 amended by No. 56 of 1995 s. 47; No. 58 of 2010 s. 134.]</w:t>
      </w:r>
    </w:p>
    <w:p>
      <w:pPr>
        <w:pStyle w:val="Heading5"/>
        <w:rPr>
          <w:snapToGrid w:val="0"/>
        </w:rPr>
      </w:pPr>
      <w:bookmarkStart w:id="331" w:name="_Toc404159168"/>
      <w:bookmarkStart w:id="332" w:name="_Toc468701065"/>
      <w:r>
        <w:rPr>
          <w:rStyle w:val="CharSectno"/>
        </w:rPr>
        <w:t>134</w:t>
      </w:r>
      <w:r>
        <w:rPr>
          <w:snapToGrid w:val="0"/>
        </w:rPr>
        <w:t>.</w:t>
      </w:r>
      <w:r>
        <w:rPr>
          <w:snapToGrid w:val="0"/>
        </w:rPr>
        <w:tab/>
        <w:t>Commissioner’s certificate</w:t>
      </w:r>
      <w:bookmarkEnd w:id="331"/>
      <w:bookmarkEnd w:id="332"/>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134 amended by No. 58 of 2010 s. 134; No. 23 of 2014 s. 80.]</w:t>
      </w:r>
    </w:p>
    <w:p>
      <w:pPr>
        <w:pStyle w:val="Heading5"/>
        <w:rPr>
          <w:snapToGrid w:val="0"/>
        </w:rPr>
      </w:pPr>
      <w:bookmarkStart w:id="333" w:name="_Toc404159169"/>
      <w:bookmarkStart w:id="334" w:name="_Toc468701066"/>
      <w:r>
        <w:rPr>
          <w:rStyle w:val="CharSectno"/>
        </w:rPr>
        <w:t>135</w:t>
      </w:r>
      <w:r>
        <w:rPr>
          <w:snapToGrid w:val="0"/>
        </w:rPr>
        <w:t>.</w:t>
      </w:r>
      <w:r>
        <w:rPr>
          <w:snapToGrid w:val="0"/>
        </w:rPr>
        <w:tab/>
      </w:r>
      <w:r>
        <w:t>Annual report by department</w:t>
      </w:r>
      <w:bookmarkEnd w:id="333"/>
      <w:bookmarkEnd w:id="334"/>
    </w:p>
    <w:p>
      <w:pPr>
        <w:pStyle w:val="Ednotesubsection"/>
      </w:pPr>
      <w:r>
        <w:tab/>
        <w:t>[(1)</w:t>
      </w:r>
      <w:r>
        <w:tab/>
        <w:t>deleted]</w:t>
      </w:r>
    </w:p>
    <w:p>
      <w:pPr>
        <w:pStyle w:val="Subsection"/>
      </w:pPr>
      <w:r>
        <w:tab/>
        <w:t>(2)</w:t>
      </w:r>
      <w:r>
        <w:tab/>
        <w:t>The department’s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and</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the year after the year to which the report relates; and</w:t>
      </w:r>
    </w:p>
    <w:p>
      <w:pPr>
        <w:pStyle w:val="Indenta"/>
        <w:keepNext/>
        <w:keepLines/>
      </w:pPr>
      <w:r>
        <w:tab/>
        <w:t>(e)</w:t>
      </w:r>
      <w:r>
        <w:tab/>
        <w:t>any proposals for improving the operation of the Commissioner.</w:t>
      </w:r>
    </w:p>
    <w:p>
      <w:pPr>
        <w:pStyle w:val="Footnotesection"/>
        <w:spacing w:before="80"/>
        <w:ind w:left="890" w:hanging="890"/>
      </w:pPr>
      <w:r>
        <w:tab/>
        <w:t>[Section 135 inserted by No. 98 of 1985 s. 3; amended by No. 59 of 1995 s. 38; No. 55 of 2004 s. 1016; No. 77 of 2006 Sch. 1 cl. 147(18); No. 58 of 2010 s. 127.]</w:t>
      </w:r>
    </w:p>
    <w:p>
      <w:pPr>
        <w:pStyle w:val="Heading5"/>
        <w:spacing w:before="200"/>
        <w:rPr>
          <w:snapToGrid w:val="0"/>
        </w:rPr>
      </w:pPr>
      <w:bookmarkStart w:id="335" w:name="_Toc404159170"/>
      <w:bookmarkStart w:id="336" w:name="_Toc468701067"/>
      <w:r>
        <w:t>136</w:t>
      </w:r>
      <w:r>
        <w:rPr>
          <w:snapToGrid w:val="0"/>
        </w:rPr>
        <w:t>.</w:t>
      </w:r>
      <w:r>
        <w:rPr>
          <w:snapToGrid w:val="0"/>
        </w:rPr>
        <w:tab/>
      </w:r>
      <w:r>
        <w:t>Commissioner to report to Minister on Act’s effectiveness as to protecting against defalcations</w:t>
      </w:r>
      <w:bookmarkEnd w:id="335"/>
      <w:bookmarkEnd w:id="336"/>
    </w:p>
    <w:p>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w:t>
      </w:r>
    </w:p>
    <w:p>
      <w:pPr>
        <w:pStyle w:val="Indenta"/>
        <w:spacing w:before="60"/>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spacing w:before="60"/>
        <w:rPr>
          <w:snapToGrid w:val="0"/>
        </w:rPr>
      </w:pPr>
      <w:r>
        <w:rPr>
          <w:snapToGrid w:val="0"/>
        </w:rPr>
        <w:tab/>
        <w:t>(b)</w:t>
      </w:r>
      <w:r>
        <w:rPr>
          <w:snapToGrid w:val="0"/>
        </w:rPr>
        <w:tab/>
        <w:t>the desirability or otherwise of having further or alternative measures for that purpose,</w:t>
      </w:r>
    </w:p>
    <w:p>
      <w:pPr>
        <w:pStyle w:val="Subsection"/>
        <w:spacing w:before="120"/>
        <w:rPr>
          <w:snapToGrid w:val="0"/>
        </w:rPr>
      </w:pPr>
      <w:r>
        <w:rPr>
          <w:snapToGrid w:val="0"/>
        </w:rPr>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pPr>
        <w:pStyle w:val="Footnotesection"/>
        <w:spacing w:before="80"/>
        <w:ind w:left="890" w:hanging="890"/>
      </w:pPr>
      <w:r>
        <w:tab/>
        <w:t>[Section 136 amended by No. 58 of 2010 s. 134.]</w:t>
      </w:r>
    </w:p>
    <w:p>
      <w:pPr>
        <w:pStyle w:val="Heading5"/>
        <w:spacing w:before="200"/>
        <w:rPr>
          <w:snapToGrid w:val="0"/>
        </w:rPr>
      </w:pPr>
      <w:bookmarkStart w:id="337" w:name="_Toc404159171"/>
      <w:bookmarkStart w:id="338" w:name="_Toc468701068"/>
      <w:r>
        <w:t>136A</w:t>
      </w:r>
      <w:r>
        <w:rPr>
          <w:snapToGrid w:val="0"/>
        </w:rPr>
        <w:t>.</w:t>
      </w:r>
      <w:r>
        <w:rPr>
          <w:snapToGrid w:val="0"/>
        </w:rPr>
        <w:tab/>
        <w:t>Refunds of fees, Commissioner’s powers as to</w:t>
      </w:r>
      <w:bookmarkEnd w:id="337"/>
      <w:bookmarkEnd w:id="338"/>
    </w:p>
    <w:p>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licence or triennial certificate or any sum paid to the </w:t>
      </w:r>
      <w:r>
        <w:t>Commissioner</w:t>
      </w:r>
      <w:r>
        <w:rPr>
          <w:snapToGrid w:val="0"/>
        </w:rPr>
        <w:t xml:space="preserve"> by way of contribution or levy to the Fidelity</w:t>
      </w:r>
      <w:r>
        <w:t xml:space="preserve"> Account</w:t>
      </w:r>
      <w:r>
        <w:rPr>
          <w:snapToGrid w:val="0"/>
        </w:rPr>
        <w:t>.</w:t>
      </w:r>
    </w:p>
    <w:p>
      <w:pPr>
        <w:pStyle w:val="Footnotesection"/>
        <w:spacing w:before="80"/>
        <w:ind w:left="890" w:hanging="890"/>
      </w:pPr>
      <w:r>
        <w:tab/>
        <w:t>[Section 136A inserted by No. 74 of 1980 s. 12; amended by No. 29 of 1982 s. 12; No. 77 of 2006 Sch. 1 cl. 147(2); No. 58 of 2010 s. 134.]</w:t>
      </w:r>
    </w:p>
    <w:p>
      <w:pPr>
        <w:pStyle w:val="Heading5"/>
        <w:spacing w:before="200"/>
      </w:pPr>
      <w:bookmarkStart w:id="339" w:name="_Toc404159172"/>
      <w:bookmarkStart w:id="340" w:name="_Toc468701069"/>
      <w:r>
        <w:rPr>
          <w:rStyle w:val="CharSectno"/>
        </w:rPr>
        <w:t>137</w:t>
      </w:r>
      <w:r>
        <w:t>.</w:t>
      </w:r>
      <w:r>
        <w:tab/>
        <w:t>Protection from personal liability</w:t>
      </w:r>
      <w:bookmarkEnd w:id="339"/>
      <w:bookmarkEnd w:id="340"/>
    </w:p>
    <w:p>
      <w:pPr>
        <w:pStyle w:val="Subsection"/>
        <w:spacing w:before="120"/>
      </w:pPr>
      <w:r>
        <w:tab/>
      </w:r>
      <w:r>
        <w:tab/>
        <w:t>A person does not incur any liability in tort for anything that the person does, in good faith, in the performance or purported performance of a function under this Act.</w:t>
      </w:r>
    </w:p>
    <w:p>
      <w:pPr>
        <w:pStyle w:val="Footnotesection"/>
        <w:spacing w:before="80"/>
        <w:ind w:left="890" w:hanging="890"/>
      </w:pPr>
      <w:r>
        <w:tab/>
        <w:t>[Section 137 inserted by No. 58 of 2010 s. 128.]</w:t>
      </w:r>
    </w:p>
    <w:p>
      <w:pPr>
        <w:pStyle w:val="Heading5"/>
      </w:pPr>
      <w:bookmarkStart w:id="341" w:name="_Toc404159173"/>
      <w:bookmarkStart w:id="342" w:name="_Toc468701070"/>
      <w:r>
        <w:rPr>
          <w:rStyle w:val="CharSectno"/>
        </w:rPr>
        <w:t>138</w:t>
      </w:r>
      <w:r>
        <w:t>.</w:t>
      </w:r>
      <w:r>
        <w:tab/>
        <w:t>Confidentiality of information officially obtained</w:t>
      </w:r>
      <w:bookmarkEnd w:id="341"/>
      <w:bookmarkEnd w:id="342"/>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138 inserted by No. 58 of 2010 s. 129.]</w:t>
      </w:r>
    </w:p>
    <w:p>
      <w:pPr>
        <w:pStyle w:val="Heading5"/>
        <w:rPr>
          <w:snapToGrid w:val="0"/>
        </w:rPr>
      </w:pPr>
      <w:bookmarkStart w:id="343" w:name="_Toc404159174"/>
      <w:bookmarkStart w:id="344" w:name="_Toc468701071"/>
      <w:r>
        <w:rPr>
          <w:rStyle w:val="CharSectno"/>
        </w:rPr>
        <w:t>139</w:t>
      </w:r>
      <w:r>
        <w:rPr>
          <w:snapToGrid w:val="0"/>
        </w:rPr>
        <w:t>.</w:t>
      </w:r>
      <w:r>
        <w:rPr>
          <w:snapToGrid w:val="0"/>
        </w:rPr>
        <w:tab/>
        <w:t>Directors of body corporate, liability of</w:t>
      </w:r>
      <w:bookmarkEnd w:id="343"/>
      <w:bookmarkEnd w:id="344"/>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 No. 58 of 2010 s. 134.]</w:t>
      </w:r>
    </w:p>
    <w:p>
      <w:pPr>
        <w:pStyle w:val="Heading5"/>
        <w:rPr>
          <w:snapToGrid w:val="0"/>
        </w:rPr>
      </w:pPr>
      <w:bookmarkStart w:id="345" w:name="_Toc404159175"/>
      <w:bookmarkStart w:id="346" w:name="_Toc468701072"/>
      <w:r>
        <w:rPr>
          <w:rStyle w:val="CharSectno"/>
        </w:rPr>
        <w:t>140</w:t>
      </w:r>
      <w:r>
        <w:rPr>
          <w:snapToGrid w:val="0"/>
        </w:rPr>
        <w:t>.</w:t>
      </w:r>
      <w:r>
        <w:rPr>
          <w:snapToGrid w:val="0"/>
        </w:rPr>
        <w:tab/>
        <w:t>Other rights and remedies not affected by this Act</w:t>
      </w:r>
      <w:bookmarkEnd w:id="345"/>
      <w:bookmarkEnd w:id="346"/>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347" w:name="_Toc404159176"/>
      <w:bookmarkStart w:id="348" w:name="_Toc468701073"/>
      <w:r>
        <w:rPr>
          <w:rStyle w:val="CharSectno"/>
        </w:rPr>
        <w:t>141</w:t>
      </w:r>
      <w:r>
        <w:rPr>
          <w:snapToGrid w:val="0"/>
        </w:rPr>
        <w:t>.</w:t>
      </w:r>
      <w:r>
        <w:rPr>
          <w:snapToGrid w:val="0"/>
        </w:rPr>
        <w:tab/>
        <w:t>Rights conferred by Act cannot be waived</w:t>
      </w:r>
      <w:bookmarkEnd w:id="347"/>
      <w:bookmarkEnd w:id="348"/>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349" w:name="_Toc404159177"/>
      <w:bookmarkStart w:id="350" w:name="_Toc468701074"/>
      <w:r>
        <w:rPr>
          <w:rStyle w:val="CharSectno"/>
        </w:rPr>
        <w:t>142</w:t>
      </w:r>
      <w:r>
        <w:rPr>
          <w:snapToGrid w:val="0"/>
        </w:rPr>
        <w:t>.</w:t>
      </w:r>
      <w:r>
        <w:rPr>
          <w:snapToGrid w:val="0"/>
        </w:rPr>
        <w:tab/>
        <w:t>General penalty for offences</w:t>
      </w:r>
      <w:bookmarkEnd w:id="349"/>
      <w:bookmarkEnd w:id="350"/>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142 amended by No. 43 of 1994 s. 11.]</w:t>
      </w:r>
    </w:p>
    <w:p>
      <w:pPr>
        <w:pStyle w:val="Heading5"/>
        <w:rPr>
          <w:snapToGrid w:val="0"/>
        </w:rPr>
      </w:pPr>
      <w:bookmarkStart w:id="351" w:name="_Toc404159178"/>
      <w:bookmarkStart w:id="352" w:name="_Toc468701075"/>
      <w:r>
        <w:rPr>
          <w:rStyle w:val="CharSectno"/>
        </w:rPr>
        <w:t>143</w:t>
      </w:r>
      <w:r>
        <w:rPr>
          <w:snapToGrid w:val="0"/>
        </w:rPr>
        <w:t>.</w:t>
      </w:r>
      <w:r>
        <w:rPr>
          <w:snapToGrid w:val="0"/>
        </w:rPr>
        <w:tab/>
        <w:t>Proceedings for offences</w:t>
      </w:r>
      <w:bookmarkEnd w:id="351"/>
      <w:bookmarkEnd w:id="352"/>
    </w:p>
    <w:p>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[Section 143 amended by No. 59 of 2004 s. 141; No. 84 of 2004 s. 80; No. 58 of 2010 s. 134.]</w:t>
      </w:r>
    </w:p>
    <w:p>
      <w:pPr>
        <w:pStyle w:val="Heading5"/>
        <w:rPr>
          <w:snapToGrid w:val="0"/>
        </w:rPr>
      </w:pPr>
      <w:bookmarkStart w:id="353" w:name="_Toc404159179"/>
      <w:bookmarkStart w:id="354" w:name="_Toc468701076"/>
      <w:r>
        <w:rPr>
          <w:rStyle w:val="CharSectno"/>
        </w:rPr>
        <w:t>144</w:t>
      </w:r>
      <w:r>
        <w:rPr>
          <w:snapToGrid w:val="0"/>
        </w:rPr>
        <w:t>.</w:t>
      </w:r>
      <w:r>
        <w:rPr>
          <w:snapToGrid w:val="0"/>
        </w:rPr>
        <w:tab/>
      </w:r>
      <w:r>
        <w:t>Forms</w:t>
      </w:r>
      <w:bookmarkEnd w:id="353"/>
      <w:bookmarkEnd w:id="354"/>
    </w:p>
    <w:p>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pPr>
        <w:pStyle w:val="Footnotesection"/>
      </w:pPr>
      <w:r>
        <w:tab/>
        <w:t>[Section 144 amended by No. 58 of 2010 s. 134.]</w:t>
      </w:r>
    </w:p>
    <w:p>
      <w:pPr>
        <w:pStyle w:val="Heading5"/>
        <w:rPr>
          <w:snapToGrid w:val="0"/>
        </w:rPr>
      </w:pPr>
      <w:bookmarkStart w:id="355" w:name="_Toc404159180"/>
      <w:bookmarkStart w:id="356" w:name="_Toc468701077"/>
      <w:r>
        <w:rPr>
          <w:rStyle w:val="CharSectno"/>
        </w:rPr>
        <w:t>145</w:t>
      </w:r>
      <w:r>
        <w:rPr>
          <w:snapToGrid w:val="0"/>
        </w:rPr>
        <w:t>.</w:t>
      </w:r>
      <w:r>
        <w:rPr>
          <w:snapToGrid w:val="0"/>
        </w:rPr>
        <w:tab/>
        <w:t>Regulations</w:t>
      </w:r>
      <w:bookmarkEnd w:id="355"/>
      <w:bookmarkEnd w:id="356"/>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procedure of the</w:t>
      </w:r>
      <w:r>
        <w:t xml:space="preserve"> Commissioner</w:t>
      </w:r>
      <w:r>
        <w:rPr>
          <w:snapToGrid w:val="0"/>
        </w:rPr>
        <w: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a body or class of bodies for the purposes of the definition of </w:t>
      </w:r>
      <w:r>
        <w:rPr>
          <w:b/>
          <w:i/>
          <w:snapToGrid w:val="0"/>
        </w:rPr>
        <w:t>authorised financial institution</w:t>
      </w:r>
      <w:r>
        <w:rPr>
          <w:snapToGrid w:val="0"/>
        </w:rPr>
        <w:t xml:space="preserve">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 xml:space="preserve">prescribe a body or class of bodies for the purposes of the definition of </w:t>
      </w:r>
      <w:r>
        <w:rPr>
          <w:b/>
          <w:i/>
          <w:snapToGrid w:val="0"/>
        </w:rPr>
        <w:t>lending institution</w:t>
      </w:r>
      <w:r>
        <w:rPr>
          <w:snapToGrid w:val="0"/>
        </w:rPr>
        <w:t xml:space="preserve">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145 amended by No. 29 of 1982 s. 11; No. 77 of 1984 s. 5; No. 65 of 1987 s. 42; No. 18 of 1988 s. 5; No. 43 of 1994 s. 10; No. 56 of 1995 s. 48; No. 59 of 1995 s. 39 and 41; No. 55 of 2004 s. 1018; No. 77 of 2006 Sch. 1 cl. 147(2); No. 58 of 2010 s. 130 and 134.]</w:t>
      </w:r>
    </w:p>
    <w:p>
      <w:pPr>
        <w:pStyle w:val="Heading2"/>
      </w:pPr>
      <w:bookmarkStart w:id="357" w:name="_Toc404159181"/>
      <w:bookmarkStart w:id="358" w:name="_Toc424293207"/>
      <w:bookmarkStart w:id="359" w:name="_Toc435024570"/>
      <w:bookmarkStart w:id="360" w:name="_Toc468701078"/>
      <w:r>
        <w:rPr>
          <w:rStyle w:val="CharPartNo"/>
        </w:rPr>
        <w:t>Part XI</w:t>
      </w:r>
      <w:r>
        <w:t> — </w:t>
      </w:r>
      <w:r>
        <w:rPr>
          <w:rStyle w:val="CharPartText"/>
        </w:rPr>
        <w:t>Savings and transitional</w:t>
      </w:r>
      <w:bookmarkEnd w:id="357"/>
      <w:bookmarkEnd w:id="358"/>
      <w:bookmarkEnd w:id="359"/>
      <w:bookmarkEnd w:id="360"/>
    </w:p>
    <w:p>
      <w:pPr>
        <w:pStyle w:val="Ednotedivision"/>
      </w:pPr>
      <w:r>
        <w:t>[Division 1 (s. 146, 147) deleted by No. 23 of 2014 s. 81.]</w:t>
      </w:r>
    </w:p>
    <w:p>
      <w:pPr>
        <w:pStyle w:val="Ednotedivision"/>
      </w:pPr>
      <w:r>
        <w:t>[Division heading deleted by No. 23 of 2014 s. 82.]</w:t>
      </w:r>
    </w:p>
    <w:p>
      <w:pPr>
        <w:pStyle w:val="Heading5"/>
      </w:pPr>
      <w:bookmarkStart w:id="361" w:name="_Toc404159182"/>
      <w:bookmarkStart w:id="362" w:name="_Toc468701079"/>
      <w:r>
        <w:rPr>
          <w:rStyle w:val="CharSectno"/>
        </w:rPr>
        <w:t>148</w:t>
      </w:r>
      <w:r>
        <w:t>.</w:t>
      </w:r>
      <w:r>
        <w:tab/>
        <w:t>Terms used</w:t>
      </w:r>
      <w:bookmarkEnd w:id="361"/>
      <w:bookmarkEnd w:id="362"/>
    </w:p>
    <w:p>
      <w:pPr>
        <w:pStyle w:val="Subsection"/>
      </w:pPr>
      <w:r>
        <w:tab/>
      </w:r>
      <w:r>
        <w:tab/>
        <w:t>In this Division —</w:t>
      </w:r>
    </w:p>
    <w:p>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pPr>
        <w:pStyle w:val="Defstart"/>
      </w:pPr>
      <w:r>
        <w:tab/>
      </w:r>
      <w:r>
        <w:rPr>
          <w:rStyle w:val="CharDefText"/>
        </w:rPr>
        <w:t>former Board</w:t>
      </w:r>
      <w:r>
        <w:t xml:space="preserve"> means the Real Estate and Business Agents Supervisory Board established by section 6 of the Act immediately prior to the commencement day;</w:t>
      </w:r>
    </w:p>
    <w:p>
      <w:pPr>
        <w:pStyle w:val="Defstart"/>
      </w:pPr>
      <w:r>
        <w:tab/>
      </w:r>
      <w:r>
        <w:rPr>
          <w:rStyle w:val="CharDefText"/>
        </w:rPr>
        <w:t>former Registrar</w:t>
      </w:r>
      <w:r>
        <w:t xml:space="preserve"> means a Registrar appointed under section 12 of the Act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148 inserted by No. 58 of 2010 s. 132.]</w:t>
      </w:r>
    </w:p>
    <w:p>
      <w:pPr>
        <w:pStyle w:val="Heading5"/>
      </w:pPr>
      <w:bookmarkStart w:id="363" w:name="_Toc404159183"/>
      <w:bookmarkStart w:id="364" w:name="_Toc468701080"/>
      <w:r>
        <w:rPr>
          <w:rStyle w:val="CharSectno"/>
        </w:rPr>
        <w:t>149</w:t>
      </w:r>
      <w:r>
        <w:t>.</w:t>
      </w:r>
      <w:r>
        <w:tab/>
        <w:t>Former Board abolished</w:t>
      </w:r>
      <w:bookmarkEnd w:id="363"/>
      <w:bookmarkEnd w:id="364"/>
    </w:p>
    <w:p>
      <w:pPr>
        <w:pStyle w:val="Subsection"/>
      </w:pPr>
      <w:r>
        <w:tab/>
      </w:r>
      <w:r>
        <w:tab/>
        <w:t>Subject to sections 156 and 157, at the beginning of the commencement day, the former Board is abolished and its members go out of office.</w:t>
      </w:r>
    </w:p>
    <w:p>
      <w:pPr>
        <w:pStyle w:val="Footnotesection"/>
      </w:pPr>
      <w:r>
        <w:tab/>
        <w:t>[Section 149 inserted by No. 58 of 2010 s. 132.]</w:t>
      </w:r>
    </w:p>
    <w:p>
      <w:pPr>
        <w:pStyle w:val="Heading5"/>
      </w:pPr>
      <w:bookmarkStart w:id="365" w:name="_Toc404159184"/>
      <w:bookmarkStart w:id="366" w:name="_Toc468701081"/>
      <w:r>
        <w:rPr>
          <w:rStyle w:val="CharSectno"/>
        </w:rPr>
        <w:t>150</w:t>
      </w:r>
      <w:r>
        <w:t>.</w:t>
      </w:r>
      <w:r>
        <w:tab/>
        <w:t>References to former Board</w:t>
      </w:r>
      <w:bookmarkEnd w:id="365"/>
      <w:bookmarkEnd w:id="366"/>
    </w:p>
    <w:p>
      <w:pPr>
        <w:pStyle w:val="Subsection"/>
      </w:pPr>
      <w:r>
        <w:tab/>
      </w:r>
      <w:r>
        <w:tab/>
        <w:t>If in a written law or other document or instrument there is a reference to the former Board, that reference may, where the context so requires, be read as if it had been amended to be a reference to the Commissioner.</w:t>
      </w:r>
    </w:p>
    <w:p>
      <w:pPr>
        <w:pStyle w:val="Footnotesection"/>
      </w:pPr>
      <w:r>
        <w:tab/>
        <w:t>[Section 150 inserted by No. 58 of 2010 s. 132.]</w:t>
      </w:r>
    </w:p>
    <w:p>
      <w:pPr>
        <w:pStyle w:val="Heading5"/>
      </w:pPr>
      <w:bookmarkStart w:id="367" w:name="_Toc404159185"/>
      <w:bookmarkStart w:id="368" w:name="_Toc468701082"/>
      <w:r>
        <w:rPr>
          <w:rStyle w:val="CharSectno"/>
        </w:rPr>
        <w:t>151</w:t>
      </w:r>
      <w:r>
        <w:t>.</w:t>
      </w:r>
      <w:r>
        <w:tab/>
        <w:t>Immunity continues</w:t>
      </w:r>
      <w:bookmarkEnd w:id="367"/>
      <w:bookmarkEnd w:id="368"/>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151 inserted by No. 58 of 2010 s. 132.]</w:t>
      </w:r>
    </w:p>
    <w:p>
      <w:pPr>
        <w:pStyle w:val="Heading5"/>
      </w:pPr>
      <w:bookmarkStart w:id="369" w:name="_Toc404159186"/>
      <w:bookmarkStart w:id="370" w:name="_Toc468701083"/>
      <w:r>
        <w:rPr>
          <w:rStyle w:val="CharSectno"/>
        </w:rPr>
        <w:t>152</w:t>
      </w:r>
      <w:r>
        <w:t>.</w:t>
      </w:r>
      <w:r>
        <w:tab/>
        <w:t>Notices by former Board</w:t>
      </w:r>
      <w:bookmarkEnd w:id="369"/>
      <w:bookmarkEnd w:id="370"/>
    </w:p>
    <w:p>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pPr>
        <w:pStyle w:val="Footnotesection"/>
      </w:pPr>
      <w:r>
        <w:tab/>
        <w:t>[Section 152 inserted by No. 58 of 2010 s. 132.]</w:t>
      </w:r>
    </w:p>
    <w:p>
      <w:pPr>
        <w:pStyle w:val="Heading5"/>
      </w:pPr>
      <w:bookmarkStart w:id="371" w:name="_Toc404159187"/>
      <w:bookmarkStart w:id="372" w:name="_Toc468701084"/>
      <w:r>
        <w:rPr>
          <w:rStyle w:val="CharSectno"/>
        </w:rPr>
        <w:t>153</w:t>
      </w:r>
      <w:r>
        <w:t>.</w:t>
      </w:r>
      <w:r>
        <w:tab/>
        <w:t>References to former Registrar</w:t>
      </w:r>
      <w:bookmarkEnd w:id="371"/>
      <w:bookmarkEnd w:id="372"/>
    </w:p>
    <w:p>
      <w:pPr>
        <w:pStyle w:val="Subsection"/>
        <w:spacing w:before="180"/>
      </w:pPr>
      <w:r>
        <w:tab/>
        <w:t>(1)</w:t>
      </w:r>
      <w:r>
        <w:tab/>
        <w:t>If in a written law or other document or instrument there is a reference to the former Registrar, that reference may, where the context so requires, be read as if it had been amended to be a reference to the Commissioner.</w:t>
      </w:r>
    </w:p>
    <w:p>
      <w:pPr>
        <w:pStyle w:val="Subsection"/>
        <w:spacing w:before="180"/>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pPr>
        <w:pStyle w:val="Footnotesection"/>
        <w:spacing w:before="140"/>
        <w:ind w:left="890" w:hanging="890"/>
      </w:pPr>
      <w:r>
        <w:tab/>
        <w:t>[Section 153 inserted by No. 58 of 2010 s. 132.]</w:t>
      </w:r>
    </w:p>
    <w:p>
      <w:pPr>
        <w:pStyle w:val="Heading5"/>
        <w:spacing w:before="280"/>
      </w:pPr>
      <w:bookmarkStart w:id="373" w:name="_Toc404159188"/>
      <w:bookmarkStart w:id="374" w:name="_Toc468701085"/>
      <w:r>
        <w:rPr>
          <w:rStyle w:val="CharSectno"/>
        </w:rPr>
        <w:t>154</w:t>
      </w:r>
      <w:r>
        <w:t>.</w:t>
      </w:r>
      <w:r>
        <w:tab/>
        <w:t>Unfinished investigations by former Board</w:t>
      </w:r>
      <w:bookmarkEnd w:id="373"/>
      <w:bookmarkEnd w:id="374"/>
    </w:p>
    <w:p>
      <w:pPr>
        <w:pStyle w:val="Subsection"/>
        <w:spacing w:before="180"/>
      </w:pPr>
      <w:r>
        <w:tab/>
      </w:r>
      <w:r>
        <w:tab/>
        <w:t>Investigations being carried out by the former Board under the Act as it was prior to the commencement day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Footnotesection"/>
        <w:spacing w:before="140"/>
        <w:ind w:left="890" w:hanging="890"/>
      </w:pPr>
      <w:r>
        <w:tab/>
        <w:t>[Section 154 inserted by No. 58 of 2010 s. 132.]</w:t>
      </w:r>
    </w:p>
    <w:p>
      <w:pPr>
        <w:pStyle w:val="Heading5"/>
        <w:spacing w:before="280"/>
      </w:pPr>
      <w:bookmarkStart w:id="375" w:name="_Toc404159189"/>
      <w:bookmarkStart w:id="376" w:name="_Toc468701086"/>
      <w:r>
        <w:rPr>
          <w:rStyle w:val="CharSectno"/>
        </w:rPr>
        <w:t>155</w:t>
      </w:r>
      <w:r>
        <w:t>.</w:t>
      </w:r>
      <w:r>
        <w:tab/>
        <w:t>Unfinished proceedings by former Board</w:t>
      </w:r>
      <w:bookmarkEnd w:id="375"/>
      <w:bookmarkEnd w:id="376"/>
    </w:p>
    <w:p>
      <w:pPr>
        <w:pStyle w:val="Subsection"/>
        <w:spacing w:before="180"/>
      </w:pPr>
      <w:r>
        <w:tab/>
        <w:t>(1)</w:t>
      </w:r>
      <w:r>
        <w:tab/>
        <w:t>Proceedings before the former Board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Subsection"/>
        <w:spacing w:before="180"/>
      </w:pPr>
      <w:r>
        <w:tab/>
        <w:t>(2)</w:t>
      </w:r>
      <w:r>
        <w:tab/>
        <w:t>Proceedings before the State Administrative Tribunal or another court commenced by allegation against a licensed real estate or business agent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155 inserted by No. 58 of 2010 s. 132.]</w:t>
      </w:r>
    </w:p>
    <w:p>
      <w:pPr>
        <w:pStyle w:val="Heading5"/>
      </w:pPr>
      <w:bookmarkStart w:id="377" w:name="_Toc404159190"/>
      <w:bookmarkStart w:id="378" w:name="_Toc468701087"/>
      <w:r>
        <w:rPr>
          <w:rStyle w:val="CharSectno"/>
        </w:rPr>
        <w:t>156</w:t>
      </w:r>
      <w:r>
        <w:t>.</w:t>
      </w:r>
      <w:r>
        <w:tab/>
        <w:t>Winding</w:t>
      </w:r>
      <w:r>
        <w:noBreakHyphen/>
        <w:t>up former Board</w:t>
      </w:r>
      <w:bookmarkEnd w:id="377"/>
      <w:bookmarkEnd w:id="378"/>
    </w:p>
    <w:p>
      <w:pPr>
        <w:pStyle w:val="Subsection"/>
      </w:pPr>
      <w:r>
        <w:tab/>
      </w:r>
      <w:r>
        <w:tab/>
        <w:t>On and after the commencement day —</w:t>
      </w:r>
    </w:p>
    <w:p>
      <w:pPr>
        <w:pStyle w:val="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Indenta"/>
      </w:pPr>
      <w:r>
        <w:tab/>
        <w:t>(c)</w:t>
      </w:r>
      <w:r>
        <w:tab/>
        <w:t>all rights, liabilities and obligations of the former Board that existed immediately before the commencement day devolve on the Commissioner acting on behalf of, and in the name of, the State; and</w:t>
      </w:r>
    </w:p>
    <w:p>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pPr>
        <w:pStyle w:val="Indenta"/>
        <w:spacing w:before="60"/>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pPr>
        <w:pStyle w:val="Footnotesection"/>
        <w:spacing w:before="100"/>
        <w:ind w:left="890" w:hanging="890"/>
      </w:pPr>
      <w:r>
        <w:tab/>
        <w:t>[Section 156 inserted by No. 58 of 2010 s. 132.]</w:t>
      </w:r>
    </w:p>
    <w:p>
      <w:pPr>
        <w:pStyle w:val="Heading5"/>
      </w:pPr>
      <w:bookmarkStart w:id="379" w:name="_Toc404159191"/>
      <w:bookmarkStart w:id="380" w:name="_Toc468701088"/>
      <w:r>
        <w:rPr>
          <w:rStyle w:val="CharSectno"/>
        </w:rPr>
        <w:t>157</w:t>
      </w:r>
      <w:r>
        <w:t>.</w:t>
      </w:r>
      <w:r>
        <w:tab/>
        <w:t>Final report by former Board</w:t>
      </w:r>
      <w:bookmarkEnd w:id="379"/>
      <w:bookmarkEnd w:id="380"/>
    </w:p>
    <w:p>
      <w:pPr>
        <w:pStyle w:val="Subsection"/>
        <w:spacing w:before="140"/>
      </w:pPr>
      <w:r>
        <w:tab/>
        <w:t>(1)</w:t>
      </w:r>
      <w:r>
        <w:tab/>
        <w:t xml:space="preserve">The provisions of the </w:t>
      </w:r>
      <w:r>
        <w:rPr>
          <w:i/>
          <w:iCs/>
        </w:rPr>
        <w:t>Financial Management Act 2006</w:t>
      </w:r>
      <w:r>
        <w:t xml:space="preserve"> Part 5 Division 3 apply to the former Board.</w:t>
      </w:r>
    </w:p>
    <w:p>
      <w:pPr>
        <w:pStyle w:val="Subsection"/>
        <w:spacing w:before="140"/>
      </w:pPr>
      <w:r>
        <w:tab/>
        <w:t>(2)</w:t>
      </w:r>
      <w:r>
        <w:tab/>
        <w:t>The chief executive officer is to include the final report submitted under subsection (1) in the department’s annual report for that financial year.</w:t>
      </w:r>
    </w:p>
    <w:p>
      <w:pPr>
        <w:pStyle w:val="Footnotesection"/>
        <w:spacing w:before="100"/>
        <w:ind w:left="890" w:hanging="890"/>
      </w:pPr>
      <w:r>
        <w:tab/>
        <w:t>[Section 157 inserted by No. 58 of 2010 s. 132.]</w:t>
      </w:r>
    </w:p>
    <w:p>
      <w:pPr>
        <w:pStyle w:val="Heading5"/>
      </w:pPr>
      <w:bookmarkStart w:id="381" w:name="_Toc404159192"/>
      <w:bookmarkStart w:id="382" w:name="_Toc468701089"/>
      <w:r>
        <w:rPr>
          <w:rStyle w:val="CharSectno"/>
        </w:rPr>
        <w:t>158</w:t>
      </w:r>
      <w:r>
        <w:t>.</w:t>
      </w:r>
      <w:r>
        <w:tab/>
        <w:t>Staff of former Board</w:t>
      </w:r>
      <w:bookmarkEnd w:id="381"/>
      <w:bookmarkEnd w:id="382"/>
    </w:p>
    <w:p>
      <w:pPr>
        <w:pStyle w:val="Subsection"/>
        <w:spacing w:before="140"/>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pPr>
        <w:pStyle w:val="Subsection"/>
        <w:spacing w:before="140"/>
      </w:pPr>
      <w:r>
        <w:tab/>
        <w:t>(2)</w:t>
      </w:r>
      <w:r>
        <w:tab/>
        <w:t>A person mentioned in subsection (1) is to be regarded as having been engaged or employed, as is relevant, by the chief executive officer.</w:t>
      </w:r>
    </w:p>
    <w:p>
      <w:pPr>
        <w:pStyle w:val="Subsection"/>
        <w:spacing w:before="140"/>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Footnotesection"/>
        <w:spacing w:before="100"/>
        <w:ind w:left="890" w:hanging="890"/>
      </w:pPr>
      <w:r>
        <w:tab/>
        <w:t>[Section 158 inserted by No. 58 of 2010 s. 132.]</w:t>
      </w:r>
    </w:p>
    <w:p>
      <w:pPr>
        <w:pStyle w:val="Heading5"/>
      </w:pPr>
      <w:bookmarkStart w:id="383" w:name="_Toc404159193"/>
      <w:bookmarkStart w:id="384" w:name="_Toc468701090"/>
      <w:r>
        <w:rPr>
          <w:rStyle w:val="CharSectno"/>
        </w:rPr>
        <w:t>159</w:t>
      </w:r>
      <w:r>
        <w:t>.</w:t>
      </w:r>
      <w:r>
        <w:tab/>
        <w:t>Transitional regulations</w:t>
      </w:r>
      <w:bookmarkEnd w:id="383"/>
      <w:bookmarkEnd w:id="384"/>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159 inserted by No. 58 of 2010 s. 132.]</w:t>
      </w:r>
    </w:p>
    <w:p>
      <w:pPr>
        <w:pStyle w:val="Subsection"/>
        <w:rPr>
          <w:snapToGrid w:val="0"/>
        </w:rPr>
      </w:pPr>
    </w:p>
    <w:p>
      <w:p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85" w:name="_Toc404159194"/>
      <w:bookmarkStart w:id="386" w:name="_Toc424293220"/>
      <w:bookmarkStart w:id="387" w:name="_Toc435024583"/>
      <w:bookmarkStart w:id="388" w:name="_Toc468701091"/>
      <w:r>
        <w:rPr>
          <w:rStyle w:val="CharSchNo"/>
          <w:rFonts w:eastAsia="MS Mincho"/>
        </w:rPr>
        <w:t>Schedule 1</w:t>
      </w:r>
      <w:r>
        <w:t> — </w:t>
      </w:r>
      <w:r>
        <w:rPr>
          <w:rStyle w:val="CharSchText"/>
          <w:rFonts w:eastAsia="MS Mincho"/>
        </w:rPr>
        <w:t>Qualifications for grant of licence and related matters</w:t>
      </w:r>
      <w:bookmarkEnd w:id="385"/>
      <w:bookmarkEnd w:id="386"/>
      <w:bookmarkEnd w:id="387"/>
      <w:bookmarkEnd w:id="388"/>
    </w:p>
    <w:p>
      <w:pPr>
        <w:pStyle w:val="yShoulderClause"/>
      </w:pPr>
      <w:r>
        <w:t>[s. 27]</w:t>
      </w:r>
    </w:p>
    <w:p>
      <w:pPr>
        <w:pStyle w:val="yFootnoteheading"/>
        <w:rPr>
          <w:rFonts w:eastAsia="MS Mincho"/>
        </w:rPr>
      </w:pPr>
      <w:r>
        <w:rPr>
          <w:rFonts w:eastAsia="MS Mincho"/>
        </w:rPr>
        <w:tab/>
        <w:t>[Heading inserted by No. 23 of 2014 s. 83(1).]</w:t>
      </w:r>
    </w:p>
    <w:p>
      <w:pPr>
        <w:pStyle w:val="yEdnotedivision"/>
        <w:rPr>
          <w:rFonts w:eastAsia="MS Mincho"/>
        </w:rPr>
      </w:pPr>
      <w:r>
        <w:rPr>
          <w:rFonts w:eastAsia="MS Mincho"/>
        </w:rPr>
        <w:t>[Division heading deleted by No. 23 of 2014 s. 83(2).]</w:t>
      </w:r>
    </w:p>
    <w:p>
      <w:pPr>
        <w:pStyle w:val="yHeading5"/>
        <w:rPr>
          <w:snapToGrid w:val="0"/>
        </w:rPr>
      </w:pPr>
      <w:bookmarkStart w:id="389" w:name="_Toc404159195"/>
      <w:bookmarkStart w:id="390" w:name="_Toc468701092"/>
      <w:r>
        <w:rPr>
          <w:rStyle w:val="CharSClsNo"/>
        </w:rPr>
        <w:t>1</w:t>
      </w:r>
      <w:r>
        <w:rPr>
          <w:snapToGrid w:val="0"/>
        </w:rPr>
        <w:t>.</w:t>
      </w:r>
      <w:r>
        <w:rPr>
          <w:snapToGrid w:val="0"/>
        </w:rPr>
        <w:tab/>
        <w:t>Qualifications</w:t>
      </w:r>
      <w:bookmarkEnd w:id="389"/>
      <w:bookmarkEnd w:id="390"/>
    </w:p>
    <w:p>
      <w:pPr>
        <w:pStyle w:val="ySubsection"/>
        <w:rPr>
          <w:snapToGrid w:val="0"/>
        </w:rPr>
      </w:pPr>
      <w:r>
        <w:rPr>
          <w:snapToGrid w:val="0"/>
        </w:rPr>
        <w:tab/>
      </w:r>
      <w:r>
        <w:rPr>
          <w:snapToGrid w:val="0"/>
        </w:rPr>
        <w:tab/>
        <w:t>A person —</w:t>
      </w:r>
    </w:p>
    <w:p>
      <w:pPr>
        <w:pStyle w:val="yIndenta"/>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 or</w:t>
      </w:r>
    </w:p>
    <w:p>
      <w:pPr>
        <w:pStyle w:val="yIndenta"/>
        <w:rPr>
          <w:snapToGrid w:val="0"/>
        </w:rPr>
      </w:pPr>
      <w:r>
        <w:rPr>
          <w:snapToGrid w:val="0"/>
        </w:rPr>
        <w:tab/>
        <w:t>(b)</w:t>
      </w:r>
      <w:r>
        <w:rPr>
          <w:snapToGrid w:val="0"/>
        </w:rPr>
        <w:tab/>
        <w:t>who has within a period of 5 years immediately preceding his application —</w:t>
      </w:r>
    </w:p>
    <w:p>
      <w:pPr>
        <w:pStyle w:val="yIndenti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rPr>
          <w:snapToGrid w:val="0"/>
        </w:rPr>
      </w:pPr>
      <w:r>
        <w:rPr>
          <w:snapToGrid w:val="0"/>
        </w:rPr>
        <w:tab/>
        <w:t>(ii)</w:t>
      </w:r>
      <w:r>
        <w:rPr>
          <w:snapToGrid w:val="0"/>
        </w:rPr>
        <w:tab/>
        <w:t>in that State or Territory for a period of at least 2 years acted as and carried out the functions of an agent,</w:t>
      </w:r>
    </w:p>
    <w:p>
      <w:pPr>
        <w:pStyle w:val="yIndenta"/>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 or</w:t>
      </w:r>
    </w:p>
    <w:p>
      <w:pPr>
        <w:pStyle w:val="yIndenta"/>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keepNext/>
        <w:keepLines/>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[Clause 1 amended by No. 74 of 1980 s. 13(a); No. 28 of 2003 s. 177(1); No. 19 of 2010 s. 51.]</w:t>
      </w:r>
    </w:p>
    <w:p>
      <w:pPr>
        <w:pStyle w:val="yHeading5"/>
        <w:rPr>
          <w:snapToGrid w:val="0"/>
        </w:rPr>
      </w:pPr>
      <w:bookmarkStart w:id="391" w:name="_Toc404159196"/>
      <w:bookmarkStart w:id="392" w:name="_Toc468701093"/>
      <w:r>
        <w:rPr>
          <w:rStyle w:val="CharSClsNo"/>
        </w:rPr>
        <w:t>2</w:t>
      </w:r>
      <w:r>
        <w:rPr>
          <w:snapToGrid w:val="0"/>
        </w:rPr>
        <w:t>.</w:t>
      </w:r>
      <w:r>
        <w:rPr>
          <w:snapToGrid w:val="0"/>
        </w:rPr>
        <w:tab/>
        <w:t>Sufficient practical experience defined</w:t>
      </w:r>
      <w:bookmarkEnd w:id="391"/>
      <w:bookmarkEnd w:id="392"/>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by No. 19 of 2010 s. 51.]</w:t>
      </w:r>
    </w:p>
    <w:p>
      <w:pPr>
        <w:pStyle w:val="yHeading5"/>
        <w:rPr>
          <w:snapToGrid w:val="0"/>
        </w:rPr>
      </w:pPr>
      <w:bookmarkStart w:id="393" w:name="_Toc404159197"/>
      <w:bookmarkStart w:id="394" w:name="_Toc468701094"/>
      <w:r>
        <w:rPr>
          <w:rStyle w:val="CharSClsNo"/>
        </w:rPr>
        <w:t>3</w:t>
      </w:r>
      <w:r>
        <w:rPr>
          <w:snapToGrid w:val="0"/>
        </w:rPr>
        <w:t>.</w:t>
      </w:r>
      <w:r>
        <w:rPr>
          <w:snapToGrid w:val="0"/>
        </w:rPr>
        <w:tab/>
        <w:t>Licence by reason of qualification under cl. 1(c)</w:t>
      </w:r>
      <w:bookmarkEnd w:id="393"/>
      <w:bookmarkEnd w:id="394"/>
    </w:p>
    <w:p>
      <w:pPr>
        <w:pStyle w:val="ySubsection"/>
        <w:rPr>
          <w:snapToGrid w:val="0"/>
        </w:rPr>
      </w:pPr>
      <w:r>
        <w:rPr>
          <w:snapToGrid w:val="0"/>
        </w:rPr>
        <w:tab/>
      </w:r>
      <w:r>
        <w:rPr>
          <w:snapToGrid w:val="0"/>
        </w:rPr>
        <w:tab/>
      </w:r>
      <w:r>
        <w:rPr>
          <w:szCs w:val="22"/>
        </w:rPr>
        <w:t>A licence granted to a person who is qualified under clause 1(c)</w:t>
      </w:r>
      <w:r>
        <w:rPr>
          <w:snapToGrid w:val="0"/>
        </w:rPr>
        <w:t xml:space="preserv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by No. 19 of 2010 s. 51; No. 23 of 2014 s. 83(3).]</w:t>
      </w:r>
    </w:p>
    <w:p>
      <w:pPr>
        <w:pStyle w:val="yHeading5"/>
        <w:rPr>
          <w:snapToGrid w:val="0"/>
        </w:rPr>
      </w:pPr>
      <w:bookmarkStart w:id="395" w:name="_Toc404159198"/>
      <w:bookmarkStart w:id="396" w:name="_Toc468701095"/>
      <w:r>
        <w:rPr>
          <w:rStyle w:val="CharSClsNo"/>
        </w:rPr>
        <w:t>4</w:t>
      </w:r>
      <w:r>
        <w:rPr>
          <w:snapToGrid w:val="0"/>
        </w:rPr>
        <w:t>.</w:t>
      </w:r>
      <w:r>
        <w:rPr>
          <w:snapToGrid w:val="0"/>
        </w:rPr>
        <w:tab/>
        <w:t>Licence by reason of qualification under cl. 1(d)</w:t>
      </w:r>
      <w:bookmarkEnd w:id="395"/>
      <w:bookmarkEnd w:id="396"/>
    </w:p>
    <w:p>
      <w:pPr>
        <w:pStyle w:val="ySubsection"/>
        <w:rPr>
          <w:snapToGrid w:val="0"/>
        </w:rPr>
      </w:pPr>
      <w:r>
        <w:rPr>
          <w:snapToGrid w:val="0"/>
        </w:rPr>
        <w:tab/>
      </w:r>
      <w:r>
        <w:rPr>
          <w:snapToGrid w:val="0"/>
        </w:rPr>
        <w:tab/>
      </w:r>
      <w:r>
        <w:rPr>
          <w:szCs w:val="22"/>
        </w:rPr>
        <w:t xml:space="preserve">A licence applied for by a person who is qualified under clause 1(d)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pPr>
        <w:pStyle w:val="yFootnotesection"/>
      </w:pPr>
      <w:r>
        <w:tab/>
        <w:t>[Clause 4 amended by No. 28 of 2003 s. 177(2); No. 19 of 2010 s. 51; No. 58 of 2010 s. 134; No. 23 of 2014 s. 83(4).]</w:t>
      </w:r>
    </w:p>
    <w:p>
      <w:pPr>
        <w:pStyle w:val="yHeading5"/>
        <w:rPr>
          <w:snapToGrid w:val="0"/>
        </w:rPr>
      </w:pPr>
      <w:bookmarkStart w:id="397" w:name="_Toc404159199"/>
      <w:bookmarkStart w:id="398" w:name="_Toc468701096"/>
      <w:r>
        <w:rPr>
          <w:rStyle w:val="CharSClsNo"/>
        </w:rPr>
        <w:t>5</w:t>
      </w:r>
      <w:r>
        <w:rPr>
          <w:snapToGrid w:val="0"/>
        </w:rPr>
        <w:t>.</w:t>
      </w:r>
      <w:r>
        <w:rPr>
          <w:snapToGrid w:val="0"/>
        </w:rPr>
        <w:tab/>
        <w:t>Dead or incapacitated licensee, conduct of business of</w:t>
      </w:r>
      <w:bookmarkEnd w:id="397"/>
      <w:bookmarkEnd w:id="398"/>
    </w:p>
    <w:p>
      <w:pPr>
        <w:pStyle w:val="ySubsection"/>
        <w:rPr>
          <w:snapToGrid w:val="0"/>
        </w:rPr>
      </w:pPr>
      <w:r>
        <w:rPr>
          <w:snapToGrid w:val="0"/>
        </w:rPr>
        <w:tab/>
        <w:t>(1)</w:t>
      </w:r>
      <w:r>
        <w:rPr>
          <w:snapToGrid w:val="0"/>
        </w:rPr>
        <w:tab/>
        <w:t>A person who is not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w:t>
      </w:r>
    </w:p>
    <w:p>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[Clause 5 amended by No. 28 of 2003 s. 177(3); No. 19 of 2010 s. 51; No. 58 of 2010 s. 134.]</w:t>
      </w:r>
    </w:p>
    <w:p>
      <w:pPr>
        <w:pStyle w:val="yHeading5"/>
        <w:rPr>
          <w:snapToGrid w:val="0"/>
        </w:rPr>
      </w:pPr>
      <w:bookmarkStart w:id="399" w:name="_Toc404159200"/>
      <w:bookmarkStart w:id="400" w:name="_Toc468701097"/>
      <w:r>
        <w:rPr>
          <w:rStyle w:val="CharSClsNo"/>
        </w:rPr>
        <w:t>6</w:t>
      </w:r>
      <w:r>
        <w:rPr>
          <w:snapToGrid w:val="0"/>
        </w:rPr>
        <w:t>.</w:t>
      </w:r>
      <w:r>
        <w:rPr>
          <w:snapToGrid w:val="0"/>
        </w:rPr>
        <w:tab/>
        <w:t>Death or withdrawal of partner in firm or director of body corporate, Commissioner to be notified</w:t>
      </w:r>
      <w:bookmarkEnd w:id="399"/>
      <w:bookmarkEnd w:id="400"/>
    </w:p>
    <w:p>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[Clause 6 amended by No. 74 of 1980 s. 13(c); No. 19 of 2010 s. 51; No. 58 of 2010 s. 134.]</w:t>
      </w:r>
    </w:p>
    <w:p>
      <w:pPr>
        <w:pStyle w:val="yEdnotedivision"/>
        <w:tabs>
          <w:tab w:val="left" w:pos="1418"/>
        </w:tabs>
      </w:pPr>
      <w:r>
        <w:rPr>
          <w:rFonts w:eastAsia="MS Mincho"/>
        </w:rPr>
        <w:t>[Division 2:</w:t>
      </w:r>
      <w:r>
        <w:rPr>
          <w:rFonts w:eastAsia="MS Mincho"/>
        </w:rPr>
        <w:tab/>
        <w:t xml:space="preserve">cl. 7, 9-12 and 15 </w:t>
      </w:r>
      <w:r>
        <w:t>deleted by No. 58 of 2010 s. 133;</w:t>
      </w:r>
      <w:r>
        <w:br/>
      </w:r>
      <w:r>
        <w:rPr>
          <w:rFonts w:eastAsia="MS Mincho"/>
        </w:rPr>
        <w:tab/>
        <w:t xml:space="preserve">balance deleted by No. 23 of 2014 s. 83(5); </w:t>
      </w:r>
      <w:r>
        <w:rPr>
          <w:rFonts w:eastAsia="MS Mincho"/>
        </w:rPr>
        <w:br/>
      </w:r>
      <w:r>
        <w:tab/>
        <w:t xml:space="preserve">Heading deleted by No. 55 of 2004 s. 1019; </w:t>
      </w:r>
      <w:r>
        <w:br/>
      </w:r>
      <w:r>
        <w:tab/>
        <w:t>cl. </w:t>
      </w:r>
      <w:r>
        <w:rPr>
          <w:bCs/>
        </w:rPr>
        <w:t>17</w:t>
      </w:r>
      <w:r>
        <w:rPr>
          <w:bCs/>
        </w:rPr>
        <w:noBreakHyphen/>
        <w:t>24 d</w:t>
      </w:r>
      <w:r>
        <w:t>eleted by No. 55 of 2004 s. 1019.]</w:t>
      </w:r>
    </w:p>
    <w:p>
      <w:pPr>
        <w:pStyle w:val="CentredBaseLine"/>
        <w:spacing w:before="1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outlineLvl w:val="0"/>
      </w:pPr>
      <w:bookmarkStart w:id="402" w:name="_Toc404159201"/>
      <w:bookmarkStart w:id="403" w:name="_Toc424293227"/>
      <w:bookmarkStart w:id="404" w:name="_Toc435024590"/>
      <w:bookmarkStart w:id="405" w:name="_Toc468701098"/>
      <w:r>
        <w:t>Notes</w:t>
      </w:r>
      <w:bookmarkEnd w:id="402"/>
      <w:bookmarkEnd w:id="403"/>
      <w:bookmarkEnd w:id="404"/>
      <w:bookmarkEnd w:id="405"/>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06" w:name="_Toc404159202"/>
      <w:bookmarkStart w:id="407" w:name="_Toc468701099"/>
      <w:r>
        <w:rPr>
          <w:snapToGrid w:val="0"/>
        </w:rPr>
        <w:t>Compilation table</w:t>
      </w:r>
      <w:bookmarkEnd w:id="406"/>
      <w:bookmarkEnd w:id="407"/>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Real Estate and Business Agents Act 1978</w:t>
            </w:r>
          </w:p>
        </w:tc>
        <w:tc>
          <w:tcPr>
            <w:tcW w:w="1135" w:type="dxa"/>
          </w:tcPr>
          <w:p>
            <w:pPr>
              <w:pStyle w:val="nTable"/>
              <w:spacing w:after="40"/>
            </w:pPr>
            <w:r>
              <w:t>72 of 1978</w:t>
            </w:r>
          </w:p>
        </w:tc>
        <w:tc>
          <w:tcPr>
            <w:tcW w:w="1135" w:type="dxa"/>
          </w:tcPr>
          <w:p>
            <w:pPr>
              <w:pStyle w:val="nTable"/>
              <w:spacing w:after="40"/>
            </w:pPr>
            <w:r>
              <w:t>20 Oct 1978</w:t>
            </w:r>
          </w:p>
        </w:tc>
        <w:tc>
          <w:tcPr>
            <w:tcW w:w="2551" w:type="dxa"/>
          </w:tcPr>
          <w:p>
            <w:pPr>
              <w:pStyle w:val="nTable"/>
              <w:spacing w:after="40"/>
            </w:pPr>
            <w:r>
              <w:t>Act other than s. 5, 54, 55, 57</w:t>
            </w:r>
            <w:r>
              <w:noBreakHyphen/>
              <w:t>100, 102</w:t>
            </w:r>
            <w:r>
              <w:noBreakHyphen/>
              <w:t xml:space="preserve">131 and 135: 1 Sep 1979 (see s. 2(1) and </w:t>
            </w:r>
            <w:r>
              <w:rPr>
                <w:i/>
              </w:rPr>
              <w:t>Gazette</w:t>
            </w:r>
            <w:r>
              <w:t xml:space="preserve"> 31 Aug 1979 p. 2601);</w:t>
            </w:r>
            <w:r>
              <w:br/>
              <w:t xml:space="preserve">s. 5: 1 Dec 1979 (see s. 2(2) and </w:t>
            </w:r>
            <w:r>
              <w:rPr>
                <w:i/>
              </w:rPr>
              <w:t>Gazette</w:t>
            </w:r>
            <w:r>
              <w:t xml:space="preserve"> 31 Aug 1979 p. 2615); </w:t>
            </w:r>
            <w:r>
              <w:br/>
              <w:t>s. 54, 55, 57</w:t>
            </w:r>
            <w:r>
              <w:noBreakHyphen/>
              <w:t>100, 102</w:t>
            </w:r>
            <w:r>
              <w:noBreakHyphen/>
              <w:t xml:space="preserve">131 and 135: 1 Dec 1979 (see s. 2(1) and </w:t>
            </w:r>
            <w:r>
              <w:rPr>
                <w:i/>
              </w:rPr>
              <w:t>Gazette</w:t>
            </w:r>
            <w:r>
              <w:t xml:space="preserve"> 31 Aug 1979 p. 2601)</w:t>
            </w:r>
          </w:p>
        </w:tc>
      </w:tr>
      <w:tr>
        <w:trPr>
          <w:cantSplit/>
        </w:trPr>
        <w:tc>
          <w:tcPr>
            <w:tcW w:w="2268" w:type="dxa"/>
          </w:tcPr>
          <w:p>
            <w:pPr>
              <w:pStyle w:val="nTable"/>
              <w:spacing w:after="40"/>
              <w:ind w:right="113"/>
            </w:pPr>
            <w:r>
              <w:rPr>
                <w:i/>
              </w:rPr>
              <w:t>Real Estate and Business Agents Act Amendment Act 1979</w:t>
            </w:r>
          </w:p>
        </w:tc>
        <w:tc>
          <w:tcPr>
            <w:tcW w:w="1135" w:type="dxa"/>
          </w:tcPr>
          <w:p>
            <w:pPr>
              <w:pStyle w:val="nTable"/>
              <w:spacing w:after="40"/>
            </w:pPr>
            <w:r>
              <w:t>74 of 1979</w:t>
            </w:r>
          </w:p>
        </w:tc>
        <w:tc>
          <w:tcPr>
            <w:tcW w:w="1135" w:type="dxa"/>
          </w:tcPr>
          <w:p>
            <w:pPr>
              <w:pStyle w:val="nTable"/>
              <w:spacing w:after="40"/>
            </w:pPr>
            <w:r>
              <w:t>27 Nov 1979</w:t>
            </w:r>
          </w:p>
        </w:tc>
        <w:tc>
          <w:tcPr>
            <w:tcW w:w="2551" w:type="dxa"/>
          </w:tcPr>
          <w:p>
            <w:pPr>
              <w:pStyle w:val="nTable"/>
              <w:spacing w:after="40"/>
            </w:pPr>
            <w:r>
              <w:t>27 Nov 1979</w:t>
            </w:r>
          </w:p>
        </w:tc>
      </w:tr>
      <w:tr>
        <w:trPr>
          <w:cantSplit/>
        </w:trPr>
        <w:tc>
          <w:tcPr>
            <w:tcW w:w="2268" w:type="dxa"/>
          </w:tcPr>
          <w:p>
            <w:pPr>
              <w:pStyle w:val="nTable"/>
              <w:spacing w:after="40"/>
              <w:ind w:right="113"/>
            </w:pPr>
            <w:r>
              <w:rPr>
                <w:i/>
              </w:rPr>
              <w:t>Real Estate and Business Agents Amendment Act 1980</w:t>
            </w:r>
          </w:p>
        </w:tc>
        <w:tc>
          <w:tcPr>
            <w:tcW w:w="1135" w:type="dxa"/>
          </w:tcPr>
          <w:p>
            <w:pPr>
              <w:pStyle w:val="nTable"/>
              <w:spacing w:after="40"/>
            </w:pPr>
            <w:r>
              <w:t>74 of 1980</w:t>
            </w:r>
          </w:p>
        </w:tc>
        <w:tc>
          <w:tcPr>
            <w:tcW w:w="1135" w:type="dxa"/>
          </w:tcPr>
          <w:p>
            <w:pPr>
              <w:pStyle w:val="nTable"/>
              <w:spacing w:after="40"/>
            </w:pPr>
            <w:r>
              <w:t>5 Dec 1980</w:t>
            </w:r>
          </w:p>
        </w:tc>
        <w:tc>
          <w:tcPr>
            <w:tcW w:w="2551" w:type="dxa"/>
          </w:tcPr>
          <w:p>
            <w:pPr>
              <w:pStyle w:val="nTable"/>
              <w:spacing w:after="40"/>
            </w:pPr>
            <w:r>
              <w:t xml:space="preserve">s. 13: 1 Dec 1980 (see s. 2(2)); </w:t>
            </w:r>
            <w:r>
              <w:br/>
              <w:t>Act other than s. 13: 2 Jan 1981 (see s. 2(1))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approved 23 Feb 1982</w:t>
            </w:r>
            <w:r>
              <w:t xml:space="preserve"> (includes amendments listed above)</w:t>
            </w:r>
          </w:p>
        </w:tc>
      </w:tr>
      <w:tr>
        <w:trPr>
          <w:cantSplit/>
        </w:trPr>
        <w:tc>
          <w:tcPr>
            <w:tcW w:w="2268" w:type="dxa"/>
          </w:tcPr>
          <w:p>
            <w:pPr>
              <w:pStyle w:val="nTable"/>
              <w:spacing w:after="40"/>
              <w:ind w:right="113"/>
            </w:pPr>
            <w:r>
              <w:rPr>
                <w:i/>
              </w:rPr>
              <w:t>Companies (Consequential Amendments) Act 1982</w:t>
            </w:r>
            <w:r>
              <w:t xml:space="preserve"> s. 28</w:t>
            </w:r>
          </w:p>
        </w:tc>
        <w:tc>
          <w:tcPr>
            <w:tcW w:w="1135" w:type="dxa"/>
          </w:tcPr>
          <w:p>
            <w:pPr>
              <w:pStyle w:val="nTable"/>
              <w:spacing w:after="40"/>
            </w:pPr>
            <w:r>
              <w:t>10 of 1982</w:t>
            </w:r>
          </w:p>
        </w:tc>
        <w:tc>
          <w:tcPr>
            <w:tcW w:w="1135"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keepNext/>
              <w:keepLines/>
              <w:spacing w:after="40"/>
              <w:ind w:right="113"/>
            </w:pPr>
            <w:r>
              <w:rPr>
                <w:i/>
              </w:rPr>
              <w:t>Real Estate and Business Agents Amendment Act 1982</w:t>
            </w:r>
          </w:p>
        </w:tc>
        <w:tc>
          <w:tcPr>
            <w:tcW w:w="1135" w:type="dxa"/>
          </w:tcPr>
          <w:p>
            <w:pPr>
              <w:pStyle w:val="nTable"/>
              <w:keepNext/>
              <w:keepLines/>
              <w:spacing w:after="40"/>
            </w:pPr>
            <w:r>
              <w:t>29 of 1982</w:t>
            </w:r>
          </w:p>
        </w:tc>
        <w:tc>
          <w:tcPr>
            <w:tcW w:w="1135" w:type="dxa"/>
          </w:tcPr>
          <w:p>
            <w:pPr>
              <w:pStyle w:val="nTable"/>
              <w:keepNext/>
              <w:keepLines/>
              <w:spacing w:after="40"/>
            </w:pPr>
            <w:r>
              <w:t>27 May 1982</w:t>
            </w:r>
          </w:p>
        </w:tc>
        <w:tc>
          <w:tcPr>
            <w:tcW w:w="2551" w:type="dxa"/>
          </w:tcPr>
          <w:p>
            <w:pPr>
              <w:pStyle w:val="nTable"/>
              <w:keepNext/>
              <w:keepLines/>
              <w:spacing w:after="40"/>
            </w:pPr>
            <w:r>
              <w:t xml:space="preserve">25 Jun 1982 (see s. 2 and </w:t>
            </w:r>
            <w:r>
              <w:rPr>
                <w:i/>
              </w:rPr>
              <w:t>Gazette</w:t>
            </w:r>
            <w:r>
              <w:t xml:space="preserve"> 25 Jun 1982 p. 2091)</w:t>
            </w:r>
          </w:p>
        </w:tc>
      </w:tr>
      <w:tr>
        <w:trPr>
          <w:cantSplit/>
        </w:trPr>
        <w:tc>
          <w:tcPr>
            <w:tcW w:w="2268" w:type="dxa"/>
          </w:tcPr>
          <w:p>
            <w:pPr>
              <w:pStyle w:val="nTable"/>
              <w:spacing w:after="40"/>
              <w:ind w:right="113"/>
            </w:pPr>
            <w:r>
              <w:rPr>
                <w:i/>
              </w:rPr>
              <w:t>Real Estate and Business Agents Amendment Act 1984</w:t>
            </w:r>
          </w:p>
        </w:tc>
        <w:tc>
          <w:tcPr>
            <w:tcW w:w="1135" w:type="dxa"/>
          </w:tcPr>
          <w:p>
            <w:pPr>
              <w:pStyle w:val="nTable"/>
              <w:spacing w:after="40"/>
            </w:pPr>
            <w:r>
              <w:t>77 of 1984</w:t>
            </w:r>
          </w:p>
        </w:tc>
        <w:tc>
          <w:tcPr>
            <w:tcW w:w="1135" w:type="dxa"/>
          </w:tcPr>
          <w:p>
            <w:pPr>
              <w:pStyle w:val="nTable"/>
              <w:spacing w:after="40"/>
            </w:pPr>
            <w:r>
              <w:t>26 Nov 1984</w:t>
            </w:r>
          </w:p>
        </w:tc>
        <w:tc>
          <w:tcPr>
            <w:tcW w:w="2551" w:type="dxa"/>
          </w:tcPr>
          <w:p>
            <w:pPr>
              <w:pStyle w:val="nTable"/>
              <w:spacing w:after="40"/>
            </w:pPr>
            <w:r>
              <w:t>26 Nov 1984 (see s. 2)</w:t>
            </w:r>
          </w:p>
        </w:tc>
      </w:tr>
      <w:tr>
        <w:trPr>
          <w:cantSplit/>
        </w:trPr>
        <w:tc>
          <w:tcPr>
            <w:tcW w:w="2268" w:type="dxa"/>
          </w:tcPr>
          <w:p>
            <w:pPr>
              <w:pStyle w:val="nTable"/>
              <w:spacing w:after="40"/>
              <w:ind w:right="113"/>
            </w:pPr>
            <w:r>
              <w:rPr>
                <w:i/>
              </w:rPr>
              <w:t>Acts Amendment (Strata Titles) Act 1985</w:t>
            </w:r>
            <w:r>
              <w:t xml:space="preserve"> Pt. III</w:t>
            </w:r>
          </w:p>
        </w:tc>
        <w:tc>
          <w:tcPr>
            <w:tcW w:w="1135" w:type="dxa"/>
          </w:tcPr>
          <w:p>
            <w:pPr>
              <w:pStyle w:val="nTable"/>
              <w:spacing w:after="40"/>
            </w:pPr>
            <w:r>
              <w:t>40 of 1985</w:t>
            </w:r>
          </w:p>
        </w:tc>
        <w:tc>
          <w:tcPr>
            <w:tcW w:w="1135" w:type="dxa"/>
          </w:tcPr>
          <w:p>
            <w:pPr>
              <w:pStyle w:val="nTable"/>
              <w:spacing w:after="40"/>
            </w:pPr>
            <w:r>
              <w:t>13 May 1985</w:t>
            </w:r>
          </w:p>
        </w:tc>
        <w:tc>
          <w:tcPr>
            <w:tcW w:w="2551" w:type="dxa"/>
          </w:tcPr>
          <w:p>
            <w:pPr>
              <w:pStyle w:val="nTable"/>
              <w:spacing w:after="40"/>
            </w:pPr>
            <w:r>
              <w:t xml:space="preserve">30 Jun 1985 (see s. 2 and </w:t>
            </w:r>
            <w:r>
              <w:rPr>
                <w:i/>
              </w:rPr>
              <w:t>Gazette</w:t>
            </w:r>
            <w:r>
              <w:t xml:space="preserve"> 21 Jun 1985 p. 2188)</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7 Nov 1985</w:t>
            </w:r>
            <w:r>
              <w:t xml:space="preserve"> (includes amendments listed above)</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5"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State Government Insurance Commission Act 1986</w:t>
            </w:r>
            <w:r>
              <w:t xml:space="preserve"> s. 46(2)</w:t>
            </w:r>
          </w:p>
        </w:tc>
        <w:tc>
          <w:tcPr>
            <w:tcW w:w="1135" w:type="dxa"/>
          </w:tcPr>
          <w:p>
            <w:pPr>
              <w:pStyle w:val="nTable"/>
              <w:spacing w:after="40"/>
            </w:pPr>
            <w:r>
              <w:t>51 of 1986</w:t>
            </w:r>
          </w:p>
        </w:tc>
        <w:tc>
          <w:tcPr>
            <w:tcW w:w="1135" w:type="dxa"/>
          </w:tcPr>
          <w:p>
            <w:pPr>
              <w:pStyle w:val="nTable"/>
              <w:spacing w:after="40"/>
            </w:pPr>
            <w:r>
              <w:t>5 Aug 1986</w:t>
            </w:r>
          </w:p>
        </w:tc>
        <w:tc>
          <w:tcPr>
            <w:tcW w:w="2551" w:type="dxa"/>
          </w:tcPr>
          <w:p>
            <w:pPr>
              <w:pStyle w:val="nTable"/>
              <w:spacing w:after="40"/>
            </w:pPr>
            <w:r>
              <w:t xml:space="preserve">1 Jan 1987 (see s. 2 and </w:t>
            </w:r>
            <w:r>
              <w:rPr>
                <w:i/>
              </w:rPr>
              <w:t>Gazette</w:t>
            </w:r>
            <w:r>
              <w:t xml:space="preserve"> 19 Dec 1986 p. 4859)</w:t>
            </w:r>
          </w:p>
        </w:tc>
      </w:tr>
      <w:tr>
        <w:trPr>
          <w:cantSplit/>
        </w:trPr>
        <w:tc>
          <w:tcPr>
            <w:tcW w:w="2268" w:type="dxa"/>
          </w:tcPr>
          <w:p>
            <w:pPr>
              <w:pStyle w:val="nTable"/>
              <w:spacing w:after="40"/>
              <w:ind w:right="113"/>
            </w:pPr>
            <w:r>
              <w:rPr>
                <w:i/>
              </w:rPr>
              <w:t>Acts Amendment (Legal Practitioners, Costs and Taxation) Act 1987</w:t>
            </w:r>
            <w:r>
              <w:t xml:space="preserve"> Pt. XV</w:t>
            </w:r>
          </w:p>
        </w:tc>
        <w:tc>
          <w:tcPr>
            <w:tcW w:w="1135" w:type="dxa"/>
          </w:tcPr>
          <w:p>
            <w:pPr>
              <w:pStyle w:val="nTable"/>
              <w:spacing w:after="40"/>
            </w:pPr>
            <w:r>
              <w:t>65 of 1987</w:t>
            </w:r>
          </w:p>
        </w:tc>
        <w:tc>
          <w:tcPr>
            <w:tcW w:w="1135"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Residential Tenancies Act 1987</w:t>
            </w:r>
            <w:r>
              <w:t xml:space="preserve"> s. 89</w:t>
            </w:r>
          </w:p>
        </w:tc>
        <w:tc>
          <w:tcPr>
            <w:tcW w:w="1135" w:type="dxa"/>
          </w:tcPr>
          <w:p>
            <w:pPr>
              <w:pStyle w:val="nTable"/>
              <w:spacing w:after="40"/>
            </w:pPr>
            <w:r>
              <w:t>128 of 1987</w:t>
            </w:r>
          </w:p>
        </w:tc>
        <w:tc>
          <w:tcPr>
            <w:tcW w:w="1135" w:type="dxa"/>
          </w:tcPr>
          <w:p>
            <w:pPr>
              <w:pStyle w:val="nTable"/>
              <w:spacing w:after="40"/>
            </w:pPr>
            <w:r>
              <w:t>21 Jan 1988</w:t>
            </w:r>
          </w:p>
        </w:tc>
        <w:tc>
          <w:tcPr>
            <w:tcW w:w="2551" w:type="dxa"/>
          </w:tcPr>
          <w:p>
            <w:pPr>
              <w:pStyle w:val="nTable"/>
              <w:spacing w:after="40"/>
            </w:pPr>
            <w:r>
              <w:t xml:space="preserve">1 Oct 1989 (see s. 2 and </w:t>
            </w:r>
            <w:r>
              <w:rPr>
                <w:i/>
              </w:rPr>
              <w:t>Gazette</w:t>
            </w:r>
            <w:r>
              <w:t xml:space="preserve"> 18 Aug 1989 p. 2748)</w:t>
            </w:r>
          </w:p>
        </w:tc>
      </w:tr>
      <w:tr>
        <w:trPr>
          <w:cantSplit/>
        </w:trPr>
        <w:tc>
          <w:tcPr>
            <w:tcW w:w="2268" w:type="dxa"/>
          </w:tcPr>
          <w:p>
            <w:pPr>
              <w:pStyle w:val="nTable"/>
              <w:spacing w:after="40"/>
              <w:ind w:right="113"/>
            </w:pPr>
            <w:r>
              <w:rPr>
                <w:i/>
              </w:rPr>
              <w:t>Real Estate and Business Agents Amendment Act 1988</w:t>
            </w:r>
          </w:p>
        </w:tc>
        <w:tc>
          <w:tcPr>
            <w:tcW w:w="1135" w:type="dxa"/>
          </w:tcPr>
          <w:p>
            <w:pPr>
              <w:pStyle w:val="nTable"/>
              <w:spacing w:after="40"/>
            </w:pPr>
            <w:r>
              <w:t>18 of 1988</w:t>
            </w:r>
          </w:p>
        </w:tc>
        <w:tc>
          <w:tcPr>
            <w:tcW w:w="1135" w:type="dxa"/>
          </w:tcPr>
          <w:p>
            <w:pPr>
              <w:pStyle w:val="nTable"/>
              <w:spacing w:after="40"/>
            </w:pPr>
            <w:r>
              <w:t>9 Sep 1988</w:t>
            </w:r>
          </w:p>
        </w:tc>
        <w:tc>
          <w:tcPr>
            <w:tcW w:w="2551" w:type="dxa"/>
          </w:tcPr>
          <w:p>
            <w:pPr>
              <w:pStyle w:val="nTable"/>
              <w:spacing w:after="40"/>
            </w:pPr>
            <w:r>
              <w:t>s. 1 and 2: 9 Sep 1988;</w:t>
            </w:r>
            <w:r>
              <w:br/>
              <w:t xml:space="preserve">Act other than s. 1 and 2: 28 Oct 1988 (see s. 2 and </w:t>
            </w:r>
            <w:r>
              <w:rPr>
                <w:i/>
              </w:rPr>
              <w:t>Gazette</w:t>
            </w:r>
            <w:r>
              <w:t xml:space="preserve"> 28 Oct 1988 p. 4327)</w:t>
            </w:r>
          </w:p>
        </w:tc>
      </w:tr>
      <w:tr>
        <w:trPr>
          <w:cantSplit/>
        </w:trPr>
        <w:tc>
          <w:tcPr>
            <w:tcW w:w="2268" w:type="dxa"/>
          </w:tcPr>
          <w:p>
            <w:pPr>
              <w:pStyle w:val="nTable"/>
              <w:spacing w:after="40"/>
              <w:ind w:right="113"/>
            </w:pPr>
            <w:r>
              <w:rPr>
                <w:i/>
              </w:rPr>
              <w:t>R &amp; I Bank Act 1990</w:t>
            </w:r>
            <w:r>
              <w:t xml:space="preserve"> s. 45(1)</w:t>
            </w:r>
          </w:p>
        </w:tc>
        <w:tc>
          <w:tcPr>
            <w:tcW w:w="1135" w:type="dxa"/>
          </w:tcPr>
          <w:p>
            <w:pPr>
              <w:pStyle w:val="nTable"/>
              <w:spacing w:after="40"/>
            </w:pPr>
            <w:r>
              <w:t>73 of 1990</w:t>
            </w:r>
          </w:p>
        </w:tc>
        <w:tc>
          <w:tcPr>
            <w:tcW w:w="1135" w:type="dxa"/>
          </w:tcPr>
          <w:p>
            <w:pPr>
              <w:pStyle w:val="nTable"/>
              <w:spacing w:after="40"/>
            </w:pPr>
            <w:r>
              <w:t>20 Dec 1990</w:t>
            </w:r>
          </w:p>
        </w:tc>
        <w:tc>
          <w:tcPr>
            <w:tcW w:w="2551" w:type="dxa"/>
          </w:tcPr>
          <w:p>
            <w:pPr>
              <w:pStyle w:val="nTable"/>
              <w:spacing w:after="40"/>
            </w:pPr>
            <w:r>
              <w:t xml:space="preserve">1 Jan 1991 (see s. 2(2) and </w:t>
            </w:r>
            <w:r>
              <w:rPr>
                <w:i/>
              </w:rPr>
              <w:t>Gazette</w:t>
            </w:r>
            <w:r>
              <w:t xml:space="preserve"> 28 Dec 1990 p. 6369)</w:t>
            </w:r>
          </w:p>
        </w:tc>
      </w:tr>
      <w:tr>
        <w:trPr>
          <w:cantSplit/>
        </w:trPr>
        <w:tc>
          <w:tcPr>
            <w:tcW w:w="2268" w:type="dxa"/>
          </w:tcPr>
          <w:p>
            <w:pPr>
              <w:pStyle w:val="nTable"/>
              <w:spacing w:after="40"/>
              <w:ind w:right="113"/>
            </w:pPr>
            <w:r>
              <w:rPr>
                <w:i/>
              </w:rPr>
              <w:t>R &amp; I Bank Amendment Act 1994</w:t>
            </w:r>
            <w:r>
              <w:t xml:space="preserve"> s. 13</w:t>
            </w:r>
          </w:p>
        </w:tc>
        <w:tc>
          <w:tcPr>
            <w:tcW w:w="1135" w:type="dxa"/>
          </w:tcPr>
          <w:p>
            <w:pPr>
              <w:pStyle w:val="nTable"/>
              <w:spacing w:after="40"/>
            </w:pPr>
            <w:r>
              <w:t>6 of 1994</w:t>
            </w:r>
          </w:p>
        </w:tc>
        <w:tc>
          <w:tcPr>
            <w:tcW w:w="1135" w:type="dxa"/>
          </w:tcPr>
          <w:p>
            <w:pPr>
              <w:pStyle w:val="nTable"/>
              <w:spacing w:after="40"/>
            </w:pPr>
            <w:r>
              <w:t>11 Apr 1994</w:t>
            </w:r>
          </w:p>
        </w:tc>
        <w:tc>
          <w:tcPr>
            <w:tcW w:w="2551" w:type="dxa"/>
          </w:tcPr>
          <w:p>
            <w:pPr>
              <w:pStyle w:val="nTable"/>
              <w:spacing w:after="40"/>
            </w:pPr>
            <w:r>
              <w:t xml:space="preserve">26 Apr 1994 (see s. 2(2) and </w:t>
            </w:r>
            <w:r>
              <w:rPr>
                <w:i/>
              </w:rPr>
              <w:t>Gazette</w:t>
            </w:r>
            <w:r>
              <w:t xml:space="preserve"> 26 Apr 1994 p. 1743)</w:t>
            </w:r>
          </w:p>
        </w:tc>
      </w:tr>
      <w:tr>
        <w:trPr>
          <w:cantSplit/>
        </w:trPr>
        <w:tc>
          <w:tcPr>
            <w:tcW w:w="2268" w:type="dxa"/>
          </w:tcPr>
          <w:p>
            <w:pPr>
              <w:pStyle w:val="nTable"/>
              <w:spacing w:after="40"/>
              <w:ind w:right="113"/>
            </w:pPr>
            <w:r>
              <w:rPr>
                <w:i/>
              </w:rPr>
              <w:t>Acts Amendment (Public Sector Management) Act 1994</w:t>
            </w:r>
            <w:r>
              <w:t xml:space="preserve"> s. 3(2)</w:t>
            </w:r>
          </w:p>
        </w:tc>
        <w:tc>
          <w:tcPr>
            <w:tcW w:w="1135"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Real Estate and Business Agents Amendment Act 1994</w:t>
            </w:r>
          </w:p>
        </w:tc>
        <w:tc>
          <w:tcPr>
            <w:tcW w:w="1135" w:type="dxa"/>
          </w:tcPr>
          <w:p>
            <w:pPr>
              <w:pStyle w:val="nTable"/>
              <w:spacing w:after="40"/>
            </w:pPr>
            <w:r>
              <w:t>43 of 1994</w:t>
            </w:r>
          </w:p>
        </w:tc>
        <w:tc>
          <w:tcPr>
            <w:tcW w:w="1135" w:type="dxa"/>
          </w:tcPr>
          <w:p>
            <w:pPr>
              <w:pStyle w:val="nTable"/>
              <w:spacing w:after="40"/>
            </w:pPr>
            <w:r>
              <w:t>31 Aug 1994</w:t>
            </w:r>
          </w:p>
        </w:tc>
        <w:tc>
          <w:tcPr>
            <w:tcW w:w="2551" w:type="dxa"/>
          </w:tcPr>
          <w:p>
            <w:pPr>
              <w:pStyle w:val="nTable"/>
              <w:spacing w:after="40"/>
            </w:pPr>
            <w:r>
              <w:t>Act other than s. 7 and 8(b)(i): 31 Aug 1994 (see s. 2(1));</w:t>
            </w:r>
            <w:r>
              <w:br/>
              <w:t xml:space="preserve">s. 7 and 8(b)(i): 6 Oct 1994 (see s. 2(2) and </w:t>
            </w:r>
            <w:r>
              <w:rPr>
                <w:i/>
              </w:rPr>
              <w:t>Gazette</w:t>
            </w:r>
            <w:r>
              <w:t xml:space="preserve"> 30 Sep 1994 p. 4947)</w:t>
            </w:r>
          </w:p>
        </w:tc>
      </w:tr>
      <w:tr>
        <w:trPr>
          <w:cantSplit/>
        </w:trPr>
        <w:tc>
          <w:tcPr>
            <w:tcW w:w="2268"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44(1)</w:t>
            </w:r>
          </w:p>
        </w:tc>
        <w:tc>
          <w:tcPr>
            <w:tcW w:w="1135" w:type="dxa"/>
          </w:tcPr>
          <w:p>
            <w:pPr>
              <w:pStyle w:val="nTable"/>
              <w:spacing w:after="40"/>
            </w:pPr>
            <w:r>
              <w:t>14 of 1995</w:t>
            </w:r>
          </w:p>
        </w:tc>
        <w:tc>
          <w:tcPr>
            <w:tcW w:w="1135" w:type="dxa"/>
          </w:tcPr>
          <w:p>
            <w:pPr>
              <w:pStyle w:val="nTable"/>
              <w:spacing w:after="40"/>
            </w:pPr>
            <w:r>
              <w:t>4 Jul 1995</w:t>
            </w:r>
          </w:p>
        </w:tc>
        <w:tc>
          <w:tcPr>
            <w:tcW w:w="2551" w:type="dxa"/>
          </w:tcPr>
          <w:p>
            <w:pPr>
              <w:pStyle w:val="nTable"/>
              <w:spacing w:after="40"/>
            </w:pPr>
            <w:r>
              <w:t xml:space="preserve">1 Dec 1995 (see s. 2(3) and 9(1) and </w:t>
            </w:r>
            <w:r>
              <w:rPr>
                <w:i/>
              </w:rPr>
              <w:t>Gazette</w:t>
            </w:r>
            <w:r>
              <w:t xml:space="preserve"> 29 Nov 1995 p. 5529)</w:t>
            </w:r>
          </w:p>
        </w:tc>
      </w:tr>
      <w:tr>
        <w:trPr>
          <w:cantSplit/>
        </w:trPr>
        <w:tc>
          <w:tcPr>
            <w:tcW w:w="2268" w:type="dxa"/>
          </w:tcPr>
          <w:p>
            <w:pPr>
              <w:pStyle w:val="nTable"/>
              <w:spacing w:after="40"/>
              <w:ind w:right="113"/>
              <w:rPr>
                <w:rFonts w:ascii="Times" w:hAnsi="Times"/>
                <w:vertAlign w:val="superscript"/>
              </w:rPr>
            </w:pPr>
            <w:r>
              <w:rPr>
                <w:i/>
              </w:rPr>
              <w:t>Business Licensing Amendment Act 1995</w:t>
            </w:r>
            <w:r>
              <w:t xml:space="preserve"> Pt. 8</w:t>
            </w:r>
            <w:r>
              <w:rPr>
                <w:vertAlign w:val="superscript"/>
              </w:rPr>
              <w:t> 7</w:t>
            </w:r>
          </w:p>
        </w:tc>
        <w:tc>
          <w:tcPr>
            <w:tcW w:w="1135" w:type="dxa"/>
          </w:tcPr>
          <w:p>
            <w:pPr>
              <w:pStyle w:val="nTable"/>
              <w:spacing w:after="40"/>
            </w:pPr>
            <w:r>
              <w:t>56 of 1995</w:t>
            </w:r>
          </w:p>
        </w:tc>
        <w:tc>
          <w:tcPr>
            <w:tcW w:w="1135" w:type="dxa"/>
          </w:tcPr>
          <w:p>
            <w:pPr>
              <w:pStyle w:val="nTable"/>
              <w:spacing w:after="40"/>
            </w:pPr>
            <w:r>
              <w:t>20 Dec 1995</w:t>
            </w:r>
          </w:p>
        </w:tc>
        <w:tc>
          <w:tcPr>
            <w:tcW w:w="2551" w:type="dxa"/>
          </w:tcPr>
          <w:p>
            <w:pPr>
              <w:pStyle w:val="nTable"/>
              <w:spacing w:after="40"/>
            </w:pPr>
            <w:r>
              <w:t xml:space="preserve">1 Jul 1996 (see s. 2(2) and </w:t>
            </w:r>
            <w:r>
              <w:rPr>
                <w:i/>
              </w:rPr>
              <w:t>Gazette</w:t>
            </w:r>
            <w:r>
              <w:t xml:space="preserve"> 1 Jul 1996 p. 3179)</w:t>
            </w:r>
          </w:p>
        </w:tc>
      </w:tr>
      <w:tr>
        <w:trPr>
          <w:cantSplit/>
        </w:trPr>
        <w:tc>
          <w:tcPr>
            <w:tcW w:w="2268" w:type="dxa"/>
          </w:tcPr>
          <w:p>
            <w:pPr>
              <w:pStyle w:val="nTable"/>
              <w:spacing w:after="40"/>
              <w:ind w:right="113"/>
            </w:pPr>
            <w:r>
              <w:rPr>
                <w:i/>
              </w:rPr>
              <w:t>Real Estate Legislation Amendment Act 1995</w:t>
            </w:r>
            <w:r>
              <w:t xml:space="preserve"> Pt. 2</w:t>
            </w:r>
            <w:r>
              <w:rPr>
                <w:vertAlign w:val="superscript"/>
              </w:rPr>
              <w:t> 8</w:t>
            </w:r>
          </w:p>
        </w:tc>
        <w:tc>
          <w:tcPr>
            <w:tcW w:w="1135" w:type="dxa"/>
          </w:tcPr>
          <w:p>
            <w:pPr>
              <w:pStyle w:val="nTable"/>
              <w:spacing w:after="40"/>
            </w:pPr>
            <w:r>
              <w:t>59 of 1995</w:t>
            </w:r>
          </w:p>
        </w:tc>
        <w:tc>
          <w:tcPr>
            <w:tcW w:w="1135" w:type="dxa"/>
          </w:tcPr>
          <w:p>
            <w:pPr>
              <w:pStyle w:val="nTable"/>
              <w:spacing w:after="40"/>
            </w:pPr>
            <w:r>
              <w:t>20 Dec 1995</w:t>
            </w:r>
          </w:p>
        </w:tc>
        <w:tc>
          <w:tcPr>
            <w:tcW w:w="2551" w:type="dxa"/>
          </w:tcPr>
          <w:p>
            <w:pPr>
              <w:pStyle w:val="nTable"/>
              <w:spacing w:after="40"/>
            </w:pPr>
            <w:r>
              <w:t>Pt. 2, other than s. 11: 1 Jul 1996 (see s. 2 and </w:t>
            </w:r>
            <w:r>
              <w:rPr>
                <w:i/>
              </w:rPr>
              <w:t>Gazette</w:t>
            </w:r>
            <w:r>
              <w:t xml:space="preserve"> 25 Jun 1996 p. 2902 and 6 Sep 1996 p. 4405);</w:t>
            </w:r>
            <w:r>
              <w:br/>
              <w:t xml:space="preserve">s. 11: 5 Apr 2007 (see s. 2 and </w:t>
            </w:r>
            <w:r>
              <w:rPr>
                <w:i/>
                <w:iCs/>
              </w:rPr>
              <w:t>Gazette</w:t>
            </w:r>
            <w:r>
              <w:t xml:space="preserve"> 30 Mar 2007 p. 1451)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6 Sep 1996</w:t>
            </w:r>
            <w:r>
              <w:t xml:space="preserve"> (includes amendments listed above except those in the </w:t>
            </w:r>
            <w:r>
              <w:rPr>
                <w:i/>
              </w:rPr>
              <w:t>Real Estate Legislation Amendment Act 1995</w:t>
            </w:r>
            <w:r>
              <w:t xml:space="preserve"> s. 11) (correction in </w:t>
            </w:r>
            <w:r>
              <w:rPr>
                <w:i/>
              </w:rPr>
              <w:t>Gazette</w:t>
            </w:r>
            <w:r>
              <w:t xml:space="preserve"> 11 Oct 1996 p. 5396)</w:t>
            </w:r>
          </w:p>
        </w:tc>
      </w:tr>
      <w:tr>
        <w:trPr>
          <w:cantSplit/>
        </w:trPr>
        <w:tc>
          <w:tcPr>
            <w:tcW w:w="2268" w:type="dxa"/>
          </w:tcPr>
          <w:p>
            <w:pPr>
              <w:pStyle w:val="nTable"/>
              <w:spacing w:after="40"/>
              <w:ind w:right="113"/>
              <w:rPr>
                <w:i/>
              </w:rPr>
            </w:pPr>
            <w:r>
              <w:rPr>
                <w:i/>
              </w:rPr>
              <w:t>Real Estate and Business Agents Amendment Act 1998</w:t>
            </w:r>
          </w:p>
        </w:tc>
        <w:tc>
          <w:tcPr>
            <w:tcW w:w="1135" w:type="dxa"/>
          </w:tcPr>
          <w:p>
            <w:pPr>
              <w:pStyle w:val="nTable"/>
              <w:spacing w:after="40"/>
            </w:pPr>
            <w:r>
              <w:t>34 of 1998</w:t>
            </w:r>
          </w:p>
        </w:tc>
        <w:tc>
          <w:tcPr>
            <w:tcW w:w="1135" w:type="dxa"/>
          </w:tcPr>
          <w:p>
            <w:pPr>
              <w:pStyle w:val="nTable"/>
              <w:spacing w:after="40"/>
            </w:pPr>
            <w:r>
              <w:t>6 Jul 1998</w:t>
            </w:r>
          </w:p>
        </w:tc>
        <w:tc>
          <w:tcPr>
            <w:tcW w:w="2551" w:type="dxa"/>
          </w:tcPr>
          <w:p>
            <w:pPr>
              <w:pStyle w:val="nTable"/>
              <w:spacing w:after="40"/>
            </w:pPr>
            <w:r>
              <w:t>s. 1 and 2: 6 Jul 1998;</w:t>
            </w:r>
            <w:r>
              <w:br/>
              <w:t xml:space="preserve">Act other than s. 1 and 2: 1 Nov 1998 (see s. 2 and </w:t>
            </w:r>
            <w:r>
              <w:rPr>
                <w:i/>
              </w:rPr>
              <w:t>Gazette</w:t>
            </w:r>
            <w:r>
              <w:t xml:space="preserve"> 16 Oct 1998 p. 5729)</w:t>
            </w:r>
          </w:p>
        </w:tc>
      </w:tr>
      <w:tr>
        <w:trPr>
          <w:cantSplit/>
        </w:trPr>
        <w:tc>
          <w:tcPr>
            <w:tcW w:w="2268" w:type="dxa"/>
          </w:tcPr>
          <w:p>
            <w:pPr>
              <w:pStyle w:val="nTable"/>
              <w:spacing w:after="40"/>
              <w:ind w:right="113"/>
            </w:pPr>
            <w:r>
              <w:rPr>
                <w:i/>
              </w:rPr>
              <w:t>Acts Amendment and Repeal (Financial Sector Reform) Act 1999</w:t>
            </w:r>
            <w:r>
              <w:t xml:space="preserve"> s. 99</w:t>
            </w:r>
          </w:p>
        </w:tc>
        <w:tc>
          <w:tcPr>
            <w:tcW w:w="1135" w:type="dxa"/>
          </w:tcPr>
          <w:p>
            <w:pPr>
              <w:pStyle w:val="nTable"/>
              <w:spacing w:after="40"/>
            </w:pPr>
            <w:r>
              <w:t>26 of 1999</w:t>
            </w:r>
          </w:p>
        </w:tc>
        <w:tc>
          <w:tcPr>
            <w:tcW w:w="1135"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tcPr>
          <w:p>
            <w:pPr>
              <w:pStyle w:val="nTable"/>
              <w:spacing w:after="40"/>
              <w:ind w:right="113"/>
            </w:pPr>
            <w:r>
              <w:rPr>
                <w:i/>
              </w:rPr>
              <w:t>Real Estate Legislation (Fidelity Guarantee Funds) Amendment Act 2000</w:t>
            </w:r>
            <w:r>
              <w:t xml:space="preserve"> Pt. 2</w:t>
            </w:r>
            <w:r>
              <w:rPr>
                <w:vertAlign w:val="superscript"/>
              </w:rPr>
              <w:t> 9</w:t>
            </w:r>
          </w:p>
        </w:tc>
        <w:tc>
          <w:tcPr>
            <w:tcW w:w="1135" w:type="dxa"/>
          </w:tcPr>
          <w:p>
            <w:pPr>
              <w:pStyle w:val="nTable"/>
              <w:spacing w:after="40"/>
            </w:pPr>
            <w:r>
              <w:t>3 of 2000</w:t>
            </w:r>
          </w:p>
        </w:tc>
        <w:tc>
          <w:tcPr>
            <w:tcW w:w="1135" w:type="dxa"/>
          </w:tcPr>
          <w:p>
            <w:pPr>
              <w:pStyle w:val="nTable"/>
              <w:spacing w:after="40"/>
            </w:pPr>
            <w:r>
              <w:t>12 Apr 2000</w:t>
            </w:r>
          </w:p>
        </w:tc>
        <w:tc>
          <w:tcPr>
            <w:tcW w:w="2551" w:type="dxa"/>
          </w:tcPr>
          <w:p>
            <w:pPr>
              <w:pStyle w:val="nTable"/>
              <w:spacing w:after="40"/>
            </w:pPr>
            <w:r>
              <w:t>12 Apr 2000 (see s. 2)</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9 Mar 2001</w:t>
            </w:r>
            <w:r>
              <w:t xml:space="preserve"> (includes amendments listed above except those in the </w:t>
            </w:r>
            <w:r>
              <w:rPr>
                <w:i/>
              </w:rPr>
              <w:t>Real Estate Legislation Amendment Act 1995</w:t>
            </w:r>
            <w:r>
              <w:t xml:space="preserve"> s. 11)</w:t>
            </w:r>
          </w:p>
        </w:tc>
      </w:tr>
      <w:tr>
        <w:trPr>
          <w:cantSplit/>
        </w:trPr>
        <w:tc>
          <w:tcPr>
            <w:tcW w:w="2268" w:type="dxa"/>
          </w:tcPr>
          <w:p>
            <w:pPr>
              <w:pStyle w:val="nTable"/>
              <w:spacing w:after="40"/>
              <w:ind w:right="113"/>
              <w:rPr>
                <w:i/>
              </w:rPr>
            </w:pPr>
            <w:r>
              <w:rPr>
                <w:i/>
              </w:rPr>
              <w:t>Corporations (Consequential Amendments) Act 2001</w:t>
            </w:r>
            <w:r>
              <w:t xml:space="preserve"> s. 220 and 222</w:t>
            </w:r>
          </w:p>
        </w:tc>
        <w:tc>
          <w:tcPr>
            <w:tcW w:w="1135"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rPr>
                <w:i/>
              </w:rPr>
            </w:pPr>
            <w:r>
              <w:rPr>
                <w:i/>
              </w:rPr>
              <w:t xml:space="preserve">Building Societies Amendment Act 2001 </w:t>
            </w:r>
            <w:r>
              <w:t>s. 50 and 51</w:t>
            </w:r>
          </w:p>
        </w:tc>
        <w:tc>
          <w:tcPr>
            <w:tcW w:w="1135" w:type="dxa"/>
          </w:tcPr>
          <w:p>
            <w:pPr>
              <w:pStyle w:val="nTable"/>
              <w:spacing w:after="40"/>
            </w:pPr>
            <w:r>
              <w:t>12 of 2001</w:t>
            </w:r>
          </w:p>
        </w:tc>
        <w:tc>
          <w:tcPr>
            <w:tcW w:w="1135" w:type="dxa"/>
          </w:tcPr>
          <w:p>
            <w:pPr>
              <w:pStyle w:val="nTable"/>
              <w:spacing w:after="40"/>
            </w:pPr>
            <w:r>
              <w:t>13 Jul 2001</w:t>
            </w:r>
          </w:p>
        </w:tc>
        <w:tc>
          <w:tcPr>
            <w:tcW w:w="2551" w:type="dxa"/>
          </w:tcPr>
          <w:p>
            <w:pPr>
              <w:pStyle w:val="nTable"/>
              <w:spacing w:after="40"/>
            </w:pPr>
            <w:r>
              <w:t>13 Jul 2001 (see s. 2)</w:t>
            </w:r>
          </w:p>
        </w:tc>
      </w:tr>
      <w:tr>
        <w:trPr>
          <w:cantSplit/>
        </w:trPr>
        <w:tc>
          <w:tcPr>
            <w:tcW w:w="2268" w:type="dxa"/>
          </w:tcPr>
          <w:p>
            <w:pPr>
              <w:pStyle w:val="nTable"/>
              <w:spacing w:after="40"/>
              <w:ind w:right="170"/>
              <w:rPr>
                <w:i/>
              </w:rPr>
            </w:pPr>
            <w:r>
              <w:rPr>
                <w:i/>
              </w:rPr>
              <w:t xml:space="preserve">Corporations (Consequential Amendments) Act (No. 3) 2003 </w:t>
            </w:r>
            <w:r>
              <w:t>Pt. 12 </w:t>
            </w:r>
            <w:r>
              <w:rPr>
                <w:vertAlign w:val="superscript"/>
              </w:rPr>
              <w:t>10</w:t>
            </w:r>
          </w:p>
        </w:tc>
        <w:tc>
          <w:tcPr>
            <w:tcW w:w="1135" w:type="dxa"/>
          </w:tcPr>
          <w:p>
            <w:pPr>
              <w:pStyle w:val="nTable"/>
              <w:spacing w:after="40"/>
            </w:pPr>
            <w:r>
              <w:t>21 of 2003</w:t>
            </w:r>
          </w:p>
        </w:tc>
        <w:tc>
          <w:tcPr>
            <w:tcW w:w="1135" w:type="dxa"/>
          </w:tcPr>
          <w:p>
            <w:pPr>
              <w:pStyle w:val="nTable"/>
              <w:spacing w:after="40"/>
            </w:pPr>
            <w:r>
              <w:t>23 Apr 2003</w:t>
            </w:r>
          </w:p>
        </w:tc>
        <w:tc>
          <w:tcPr>
            <w:tcW w:w="2551"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ind w:right="170"/>
            </w:pPr>
            <w:r>
              <w:rPr>
                <w:i/>
              </w:rPr>
              <w:t>Acts Amendment (Equality of Status) Act 2003</w:t>
            </w:r>
            <w:r>
              <w:t xml:space="preserve"> Pt. 51</w:t>
            </w:r>
          </w:p>
        </w:tc>
        <w:tc>
          <w:tcPr>
            <w:tcW w:w="1135"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ind w:right="170"/>
              <w:rPr>
                <w:i/>
              </w:rPr>
            </w:pPr>
            <w:r>
              <w:rPr>
                <w:i/>
              </w:rPr>
              <w:t xml:space="preserve">Sentencing Legislation Amendment and Repeal Act 2003 </w:t>
            </w:r>
            <w:r>
              <w:t>s. 88</w:t>
            </w:r>
          </w:p>
        </w:tc>
        <w:tc>
          <w:tcPr>
            <w:tcW w:w="1135"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70"/>
            </w:pPr>
            <w:r>
              <w:rPr>
                <w:i/>
              </w:rPr>
              <w:t>Acts Amendment and Repeal (Courts and Legal Practice) Act 2003</w:t>
            </w:r>
            <w:r>
              <w:t xml:space="preserve"> s. 59</w:t>
            </w:r>
          </w:p>
        </w:tc>
        <w:tc>
          <w:tcPr>
            <w:tcW w:w="1135"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101</w:t>
            </w:r>
          </w:p>
        </w:tc>
        <w:tc>
          <w:tcPr>
            <w:tcW w:w="1135"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snapToGrid w:val="0"/>
              </w:rPr>
              <w:t>Courts Legislation Amendment and Repeal Act 2004</w:t>
            </w:r>
            <w:r>
              <w:rPr>
                <w:snapToGrid w:val="0"/>
              </w:rPr>
              <w:t xml:space="preserve"> s. 141</w:t>
            </w:r>
          </w:p>
        </w:tc>
        <w:tc>
          <w:tcPr>
            <w:tcW w:w="1135"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vertAlign w:val="superscript"/>
              </w:rPr>
            </w:pPr>
            <w:r>
              <w:rPr>
                <w:i/>
              </w:rPr>
              <w:t xml:space="preserve">State Administrative Tribunal (Conferral of Jurisdiction) Amendment and Repeal Act 2004 </w:t>
            </w:r>
            <w:r>
              <w:t>Pt. 2 Div. 112</w:t>
            </w:r>
            <w:r>
              <w:rPr>
                <w:vertAlign w:val="superscript"/>
              </w:rPr>
              <w:t> 11</w:t>
            </w:r>
          </w:p>
        </w:tc>
        <w:tc>
          <w:tcPr>
            <w:tcW w:w="1135"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8" w:type="dxa"/>
          </w:tcPr>
          <w:p>
            <w:pPr>
              <w:pStyle w:val="nTable"/>
              <w:spacing w:after="40"/>
              <w:ind w:right="170"/>
              <w:rPr>
                <w:i/>
                <w:vertAlign w:val="superscript"/>
              </w:rPr>
            </w:pPr>
            <w:r>
              <w:rPr>
                <w:i/>
                <w:snapToGrid w:val="0"/>
              </w:rPr>
              <w:t>Criminal Procedure and Appeals (Consequential and Other Provisions) Act 2004</w:t>
            </w:r>
            <w:r>
              <w:rPr>
                <w:snapToGrid w:val="0"/>
              </w:rPr>
              <w:t xml:space="preserve"> s. 80 and 82</w:t>
            </w:r>
          </w:p>
        </w:tc>
        <w:tc>
          <w:tcPr>
            <w:tcW w:w="1135" w:type="dxa"/>
          </w:tcPr>
          <w:p>
            <w:pPr>
              <w:pStyle w:val="nTable"/>
              <w:spacing w:after="40"/>
            </w:pPr>
            <w:r>
              <w:rPr>
                <w:snapToGrid w:val="0"/>
              </w:rPr>
              <w:t>84 of 2004</w:t>
            </w:r>
          </w:p>
        </w:tc>
        <w:tc>
          <w:tcPr>
            <w:tcW w:w="1135"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pacing w:val="-2"/>
              </w:rPr>
            </w:pPr>
            <w:r>
              <w:rPr>
                <w:b/>
              </w:rPr>
              <w:t xml:space="preserve">Reprint 5: The </w:t>
            </w:r>
            <w:r>
              <w:rPr>
                <w:b/>
                <w:i/>
              </w:rPr>
              <w:t>Real Estate and Business Agents Act 1978</w:t>
            </w:r>
            <w:r>
              <w:rPr>
                <w:b/>
              </w:rPr>
              <w:t xml:space="preserve"> as at 8 Apr 2005</w:t>
            </w:r>
            <w:r>
              <w:t xml:space="preserve"> (includes amendments listed above except those in the </w:t>
            </w:r>
            <w:r>
              <w:rPr>
                <w:i/>
              </w:rPr>
              <w:t>Real Estate Legislation Amendment Act 1995</w:t>
            </w:r>
            <w:r>
              <w:t xml:space="preserve"> s. 11, </w:t>
            </w:r>
            <w:r>
              <w:rPr>
                <w:i/>
                <w:snapToGrid w:val="0"/>
              </w:rPr>
              <w:t>Courts Legislation Amendment and Repeal Act 2004</w:t>
            </w:r>
            <w:r>
              <w:rPr>
                <w:iCs/>
                <w:snapToGrid w:val="0"/>
              </w:rPr>
              <w:t xml:space="preserve"> and the </w:t>
            </w:r>
            <w:r>
              <w:rPr>
                <w:i/>
                <w:snapToGrid w:val="0"/>
              </w:rPr>
              <w:t>Criminal Procedure and Appeals (Consequential and Other Provisions) Act 2004</w:t>
            </w:r>
            <w:r>
              <w:t>)</w:t>
            </w:r>
          </w:p>
        </w:tc>
      </w:tr>
      <w:tr>
        <w:trPr>
          <w:cantSplit/>
        </w:trPr>
        <w:tc>
          <w:tcPr>
            <w:tcW w:w="2268" w:type="dxa"/>
          </w:tcPr>
          <w:p>
            <w:pPr>
              <w:pStyle w:val="nTable"/>
              <w:spacing w:after="40"/>
              <w:ind w:right="113"/>
              <w:rPr>
                <w:i/>
              </w:rPr>
            </w:pPr>
            <w:r>
              <w:rPr>
                <w:i/>
              </w:rPr>
              <w:t>Housing Societies Repeal Act 2005</w:t>
            </w:r>
            <w:r>
              <w:t xml:space="preserve"> s. 29</w:t>
            </w:r>
          </w:p>
        </w:tc>
        <w:tc>
          <w:tcPr>
            <w:tcW w:w="1135" w:type="dxa"/>
          </w:tcPr>
          <w:p>
            <w:pPr>
              <w:pStyle w:val="nTable"/>
              <w:spacing w:after="40"/>
            </w:pPr>
            <w:r>
              <w:t>17 of 2005</w:t>
            </w:r>
          </w:p>
        </w:tc>
        <w:tc>
          <w:tcPr>
            <w:tcW w:w="1135" w:type="dxa"/>
          </w:tcPr>
          <w:p>
            <w:pPr>
              <w:pStyle w:val="nTable"/>
              <w:spacing w:after="40"/>
            </w:pPr>
            <w:r>
              <w:t>5 Oct 2005</w:t>
            </w:r>
          </w:p>
        </w:tc>
        <w:tc>
          <w:tcPr>
            <w:tcW w:w="2551" w:type="dxa"/>
          </w:tcPr>
          <w:p>
            <w:pPr>
              <w:pStyle w:val="nTable"/>
              <w:spacing w:after="40"/>
            </w:pPr>
            <w:r>
              <w:t xml:space="preserve">10 Jul 2010 (see s. 2(3) and </w:t>
            </w:r>
            <w:r>
              <w:rPr>
                <w:i/>
                <w:iCs/>
              </w:rPr>
              <w:t>Gazette</w:t>
            </w:r>
            <w:r>
              <w:t xml:space="preserve"> 9 Jul 2010 p. 3239)</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s. 63</w:t>
            </w:r>
          </w:p>
        </w:tc>
        <w:tc>
          <w:tcPr>
            <w:tcW w:w="1135" w:type="dxa"/>
          </w:tcPr>
          <w:p>
            <w:pPr>
              <w:pStyle w:val="nTable"/>
              <w:spacing w:after="40"/>
            </w:pPr>
            <w:r>
              <w:t>24 of 2005</w:t>
            </w:r>
          </w:p>
        </w:tc>
        <w:tc>
          <w:tcPr>
            <w:tcW w:w="1135"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 xml:space="preserve">Machinery of Government (Miscellaneous Amendments) Act 2006 </w:t>
            </w:r>
            <w:r>
              <w:t>Pt. 4 Div. 19</w:t>
            </w:r>
          </w:p>
        </w:tc>
        <w:tc>
          <w:tcPr>
            <w:tcW w:w="1135" w:type="dxa"/>
          </w:tcPr>
          <w:p>
            <w:pPr>
              <w:pStyle w:val="nTable"/>
              <w:spacing w:after="40"/>
            </w:pPr>
            <w: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right="113"/>
              <w:rPr>
                <w:i/>
              </w:rPr>
            </w:pPr>
            <w:r>
              <w:rPr>
                <w:i/>
                <w:snapToGrid w:val="0"/>
              </w:rPr>
              <w:t xml:space="preserve">Consumer Protection Legislation Amendment and Repeal Act 2006 </w:t>
            </w:r>
            <w:r>
              <w:rPr>
                <w:snapToGrid w:val="0"/>
              </w:rPr>
              <w:t>Pt. 8</w:t>
            </w:r>
          </w:p>
        </w:tc>
        <w:tc>
          <w:tcPr>
            <w:tcW w:w="1135" w:type="dxa"/>
          </w:tcPr>
          <w:p>
            <w:pPr>
              <w:pStyle w:val="nTable"/>
              <w:spacing w:after="40"/>
            </w:pPr>
            <w:r>
              <w:t>69 of 2006</w:t>
            </w:r>
          </w:p>
        </w:tc>
        <w:tc>
          <w:tcPr>
            <w:tcW w:w="1135" w:type="dxa"/>
          </w:tcPr>
          <w:p>
            <w:pPr>
              <w:pStyle w:val="nTable"/>
              <w:spacing w:after="40"/>
            </w:pPr>
            <w:r>
              <w:rPr>
                <w:snapToGrid w:val="0"/>
              </w:rPr>
              <w:t>13 Dec 2006</w:t>
            </w:r>
          </w:p>
        </w:tc>
        <w:tc>
          <w:tcPr>
            <w:tcW w:w="2551" w:type="dxa"/>
          </w:tcPr>
          <w:p>
            <w:pPr>
              <w:pStyle w:val="nTable"/>
              <w:spacing w:after="40"/>
            </w:pPr>
            <w:r>
              <w:rPr>
                <w:snapToGrid w:val="0"/>
              </w:rPr>
              <w:t xml:space="preserve">25 Jul 2007 (see s. 2 and </w:t>
            </w:r>
            <w:r>
              <w:rPr>
                <w:i/>
                <w:iCs/>
                <w:snapToGrid w:val="0"/>
              </w:rPr>
              <w:t>Gazette</w:t>
            </w:r>
            <w:r>
              <w:rPr>
                <w:snapToGrid w:val="0"/>
              </w:rPr>
              <w:t xml:space="preserve"> 24 Jul 2007 p. 3657)</w:t>
            </w:r>
          </w:p>
        </w:tc>
      </w:tr>
      <w:tr>
        <w:trPr>
          <w:cantSplit/>
        </w:trPr>
        <w:tc>
          <w:tcPr>
            <w:tcW w:w="2268" w:type="dxa"/>
          </w:tcPr>
          <w:p>
            <w:pPr>
              <w:pStyle w:val="nTable"/>
              <w:spacing w:after="40"/>
              <w:ind w:right="113"/>
              <w:rPr>
                <w:i/>
              </w:rPr>
            </w:pPr>
            <w:r>
              <w:rPr>
                <w:i/>
                <w:snapToGrid w:val="0"/>
              </w:rPr>
              <w:t>Financial Legislation Amendment and Repeal Act 2006</w:t>
            </w:r>
            <w:r>
              <w:rPr>
                <w:snapToGrid w:val="0"/>
              </w:rPr>
              <w:t xml:space="preserve"> Sch. 1 cl. 147</w:t>
            </w:r>
          </w:p>
        </w:tc>
        <w:tc>
          <w:tcPr>
            <w:tcW w:w="1135" w:type="dxa"/>
          </w:tcPr>
          <w:p>
            <w:pPr>
              <w:pStyle w:val="nTable"/>
              <w:spacing w:after="40"/>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6: The </w:t>
            </w:r>
            <w:r>
              <w:rPr>
                <w:b/>
                <w:i/>
              </w:rPr>
              <w:t>Real Estate and Business Agents Act 1978</w:t>
            </w:r>
            <w:r>
              <w:rPr>
                <w:b/>
              </w:rPr>
              <w:t xml:space="preserve"> as at 24 Aug 2007</w:t>
            </w:r>
            <w:r>
              <w:t xml:space="preserve"> (includes amendments listed above </w:t>
            </w:r>
            <w:r>
              <w:rPr>
                <w:snapToGrid w:val="0"/>
              </w:rPr>
              <w:t xml:space="preserve">except those in the </w:t>
            </w:r>
            <w:r>
              <w:rPr>
                <w:i/>
                <w:iCs/>
              </w:rPr>
              <w:t>Housing Societies Repeal Act 2005</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32</w:t>
            </w:r>
          </w:p>
        </w:tc>
        <w:tc>
          <w:tcPr>
            <w:tcW w:w="1135" w:type="dxa"/>
          </w:tcPr>
          <w:p>
            <w:pPr>
              <w:pStyle w:val="nTable"/>
              <w:spacing w:after="40"/>
            </w:pPr>
            <w:r>
              <w:t>12 of 2008</w:t>
            </w:r>
          </w:p>
        </w:tc>
        <w:tc>
          <w:tcPr>
            <w:tcW w:w="1135"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snapToGrid w:val="0"/>
              </w:rPr>
              <w:t xml:space="preserve"> s. 696</w:t>
            </w:r>
          </w:p>
        </w:tc>
        <w:tc>
          <w:tcPr>
            <w:tcW w:w="1135"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74</w:t>
            </w:r>
          </w:p>
        </w:tc>
        <w:tc>
          <w:tcPr>
            <w:tcW w:w="1135" w:type="dxa"/>
          </w:tcPr>
          <w:p>
            <w:pPr>
              <w:pStyle w:val="nTable"/>
              <w:spacing w:after="40"/>
            </w:pPr>
            <w:r>
              <w:t>18 of 2009</w:t>
            </w:r>
          </w:p>
        </w:tc>
        <w:tc>
          <w:tcPr>
            <w:tcW w:w="1135"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28 and 51</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iCs/>
                <w:snapToGrid w:val="0"/>
              </w:rPr>
              <w:t>Acts Amendment (Fair Trading) Act 2010</w:t>
            </w:r>
            <w:r>
              <w:rPr>
                <w:iCs/>
                <w:snapToGrid w:val="0"/>
              </w:rPr>
              <w:t xml:space="preserve"> Pt. 6</w:t>
            </w:r>
          </w:p>
        </w:tc>
        <w:tc>
          <w:tcPr>
            <w:tcW w:w="1135" w:type="dxa"/>
            <w:shd w:val="clear" w:color="auto" w:fill="auto"/>
          </w:tcPr>
          <w:p>
            <w:pPr>
              <w:pStyle w:val="nTable"/>
              <w:spacing w:after="40"/>
              <w:rPr>
                <w:snapToGrid w:val="0"/>
              </w:rPr>
            </w:pPr>
            <w:r>
              <w:rPr>
                <w:snapToGrid w:val="0"/>
              </w:rPr>
              <w:t>58 of 2010</w:t>
            </w:r>
          </w:p>
        </w:tc>
        <w:tc>
          <w:tcPr>
            <w:tcW w:w="1135" w:type="dxa"/>
            <w:shd w:val="clear" w:color="auto" w:fill="auto"/>
          </w:tcPr>
          <w:p>
            <w:pPr>
              <w:pStyle w:val="nTable"/>
              <w:spacing w:after="40"/>
              <w:rPr>
                <w:snapToGrid w:val="0"/>
              </w:rPr>
            </w:pPr>
            <w:r>
              <w:rPr>
                <w:snapToGrid w:val="0"/>
              </w:rPr>
              <w:t>8 Dec 2010</w:t>
            </w:r>
          </w:p>
        </w:tc>
        <w:tc>
          <w:tcPr>
            <w:tcW w:w="2551" w:type="dxa"/>
            <w:shd w:val="clear" w:color="auto" w:fill="auto"/>
          </w:tcPr>
          <w:p>
            <w:pPr>
              <w:pStyle w:val="nTable"/>
              <w:spacing w:after="40"/>
              <w:rPr>
                <w:snapToGrid w:val="0"/>
              </w:rPr>
            </w:pPr>
            <w:r>
              <w:rPr>
                <w:snapToGrid w:val="0"/>
              </w:rPr>
              <w:t xml:space="preserve">1 Jul 2011 (see s. 2(c) and </w:t>
            </w:r>
            <w:r>
              <w:rPr>
                <w:i/>
                <w:snapToGrid w:val="0"/>
              </w:rPr>
              <w:t xml:space="preserve">Gazette </w:t>
            </w:r>
            <w:r>
              <w:rPr>
                <w:snapToGrid w:val="0"/>
              </w:rPr>
              <w:t>7 Jun 2011 p. 2057)</w:t>
            </w:r>
          </w:p>
        </w:tc>
      </w:tr>
      <w:tr>
        <w:trPr>
          <w:cantSplit/>
        </w:trPr>
        <w:tc>
          <w:tcPr>
            <w:tcW w:w="2268" w:type="dxa"/>
            <w:shd w:val="clear" w:color="auto" w:fill="auto"/>
          </w:tcPr>
          <w:p>
            <w:pPr>
              <w:pStyle w:val="nTable"/>
              <w:spacing w:after="40"/>
              <w:ind w:right="113"/>
              <w:rPr>
                <w:i/>
                <w:iCs/>
                <w:snapToGrid w:val="0"/>
              </w:rPr>
            </w:pPr>
            <w:r>
              <w:rPr>
                <w:i/>
                <w:iCs/>
                <w:snapToGrid w:val="0"/>
              </w:rPr>
              <w:t>Statutes (Repeals and Minor Amendments) Act 2011</w:t>
            </w:r>
            <w:r>
              <w:t xml:space="preserve"> s. 25</w:t>
            </w:r>
          </w:p>
        </w:tc>
        <w:tc>
          <w:tcPr>
            <w:tcW w:w="1135" w:type="dxa"/>
            <w:shd w:val="clear" w:color="auto" w:fill="auto"/>
          </w:tcPr>
          <w:p>
            <w:pPr>
              <w:pStyle w:val="nTable"/>
              <w:spacing w:after="40"/>
              <w:rPr>
                <w:snapToGrid w:val="0"/>
              </w:rPr>
            </w:pPr>
            <w:r>
              <w:rPr>
                <w:snapToGrid w:val="0"/>
              </w:rPr>
              <w:t>47 of 2011</w:t>
            </w:r>
          </w:p>
        </w:tc>
        <w:tc>
          <w:tcPr>
            <w:tcW w:w="1135" w:type="dxa"/>
            <w:shd w:val="clear" w:color="auto" w:fill="auto"/>
          </w:tcPr>
          <w:p>
            <w:pPr>
              <w:pStyle w:val="nTable"/>
              <w:spacing w:after="40"/>
              <w:rPr>
                <w:snapToGrid w:val="0"/>
              </w:rPr>
            </w:pPr>
            <w:r>
              <w:rPr>
                <w:snapToGrid w:val="0"/>
              </w:rPr>
              <w:t>25 Oct 2011</w:t>
            </w:r>
          </w:p>
        </w:tc>
        <w:tc>
          <w:tcPr>
            <w:tcW w:w="2551" w:type="dxa"/>
            <w:shd w:val="clear" w:color="auto" w:fill="auto"/>
          </w:tcPr>
          <w:p>
            <w:pPr>
              <w:pStyle w:val="nTable"/>
              <w:spacing w:after="40"/>
              <w:rPr>
                <w:snapToGrid w:val="0"/>
              </w:rPr>
            </w:pPr>
            <w:r>
              <w:rPr>
                <w:snapToGrid w:val="0"/>
              </w:rPr>
              <w:t>26 Oct 2011 (see s. 2(b))</w:t>
            </w:r>
          </w:p>
        </w:tc>
      </w:tr>
      <w:tr>
        <w:trPr>
          <w:cantSplit/>
        </w:trPr>
        <w:tc>
          <w:tcPr>
            <w:tcW w:w="7089" w:type="dxa"/>
            <w:gridSpan w:val="4"/>
            <w:shd w:val="clear" w:color="auto" w:fill="auto"/>
          </w:tcPr>
          <w:p>
            <w:pPr>
              <w:pStyle w:val="nTable"/>
              <w:spacing w:after="40"/>
              <w:rPr>
                <w:snapToGrid w:val="0"/>
              </w:rPr>
            </w:pPr>
            <w:r>
              <w:rPr>
                <w:b/>
              </w:rPr>
              <w:t xml:space="preserve">Reprint 7: The </w:t>
            </w:r>
            <w:r>
              <w:rPr>
                <w:b/>
                <w:i/>
              </w:rPr>
              <w:t>Real Estate and Business Agents Act 1978</w:t>
            </w:r>
            <w:r>
              <w:rPr>
                <w:b/>
              </w:rPr>
              <w:t xml:space="preserve"> as at 18 Nov 2011</w:t>
            </w:r>
            <w: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ind w:right="113"/>
              <w:rPr>
                <w:i/>
                <w:iCs/>
                <w:snapToGrid w:val="0"/>
              </w:rPr>
            </w:pPr>
            <w:r>
              <w:rPr>
                <w:i/>
                <w:iCs/>
                <w:snapToGrid w:val="0"/>
              </w:rPr>
              <w:t>Consumer Protection Legislation Amendment Act 2014</w:t>
            </w:r>
            <w:r>
              <w:rPr>
                <w:iCs/>
                <w:snapToGrid w:val="0"/>
              </w:rPr>
              <w:t xml:space="preserve"> Pt. 10</w:t>
            </w:r>
          </w:p>
        </w:tc>
        <w:tc>
          <w:tcPr>
            <w:tcW w:w="1135" w:type="dxa"/>
            <w:tcBorders>
              <w:bottom w:val="single" w:sz="4" w:space="0" w:color="auto"/>
            </w:tcBorders>
            <w:shd w:val="clear" w:color="auto" w:fill="auto"/>
          </w:tcPr>
          <w:p>
            <w:pPr>
              <w:pStyle w:val="nTable"/>
              <w:spacing w:after="40"/>
              <w:rPr>
                <w:snapToGrid w:val="0"/>
              </w:rPr>
            </w:pPr>
            <w:r>
              <w:rPr>
                <w:snapToGrid w:val="0"/>
              </w:rPr>
              <w:t>23 of 2014</w:t>
            </w:r>
          </w:p>
        </w:tc>
        <w:tc>
          <w:tcPr>
            <w:tcW w:w="1135" w:type="dxa"/>
            <w:tcBorders>
              <w:bottom w:val="single" w:sz="4" w:space="0" w:color="auto"/>
            </w:tcBorders>
            <w:shd w:val="clear" w:color="auto" w:fill="auto"/>
          </w:tcPr>
          <w:p>
            <w:pPr>
              <w:pStyle w:val="nTable"/>
              <w:spacing w:after="40"/>
              <w:rPr>
                <w:snapToGrid w:val="0"/>
              </w:rPr>
            </w:pPr>
            <w:r>
              <w:rPr>
                <w:snapToGrid w:val="0"/>
              </w:rPr>
              <w:t>9 Oct 2014</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bl>
    <w:p>
      <w:pPr>
        <w:pStyle w:val="nSubsection"/>
        <w:widowControl w:val="0"/>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8" w:name="_Toc377996655"/>
      <w:bookmarkStart w:id="409" w:name="_Toc412629096"/>
      <w:bookmarkStart w:id="410" w:name="_Toc468701100"/>
      <w:r>
        <w:t>Provisions that have not come into operation</w:t>
      </w:r>
      <w:bookmarkEnd w:id="408"/>
      <w:bookmarkEnd w:id="409"/>
      <w:bookmarkEnd w:id="410"/>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6"/>
      </w:tblGrid>
      <w:tr>
        <w:trPr>
          <w:cantSplit/>
          <w:tblHeader/>
        </w:trPr>
        <w:tc>
          <w:tcPr>
            <w:tcW w:w="2273" w:type="dxa"/>
            <w:tcBorders>
              <w:top w:val="single" w:sz="4" w:space="0" w:color="auto"/>
              <w:bottom w:val="single" w:sz="4" w:space="0" w:color="auto"/>
            </w:tcBorders>
          </w:tcPr>
          <w:p>
            <w:pPr>
              <w:pStyle w:val="nTable"/>
              <w:keepNext/>
              <w:spacing w:after="40"/>
              <w:ind w:right="113"/>
              <w:rPr>
                <w:b/>
              </w:rPr>
            </w:pPr>
            <w:r>
              <w:rPr>
                <w:b/>
              </w:rPr>
              <w:t>Short title</w:t>
            </w:r>
          </w:p>
        </w:tc>
        <w:tc>
          <w:tcPr>
            <w:tcW w:w="1139" w:type="dxa"/>
            <w:tcBorders>
              <w:top w:val="single" w:sz="4" w:space="0" w:color="auto"/>
              <w:bottom w:val="single" w:sz="4" w:space="0" w:color="auto"/>
            </w:tcBorders>
          </w:tcPr>
          <w:p>
            <w:pPr>
              <w:pStyle w:val="nTable"/>
              <w:keepNext/>
              <w:spacing w:after="40"/>
              <w:rPr>
                <w:b/>
              </w:rPr>
            </w:pPr>
            <w:r>
              <w:rPr>
                <w:b/>
              </w:rPr>
              <w:t>Number and year</w:t>
            </w:r>
          </w:p>
        </w:tc>
        <w:tc>
          <w:tcPr>
            <w:tcW w:w="1138" w:type="dxa"/>
            <w:tcBorders>
              <w:top w:val="single" w:sz="4" w:space="0" w:color="auto"/>
              <w:bottom w:val="single" w:sz="4" w:space="0" w:color="auto"/>
            </w:tcBorders>
          </w:tcPr>
          <w:p>
            <w:pPr>
              <w:pStyle w:val="nTable"/>
              <w:keepNext/>
              <w:spacing w:after="40"/>
              <w:rPr>
                <w:b/>
              </w:rPr>
            </w:pPr>
            <w:r>
              <w:rPr>
                <w:b/>
              </w:rPr>
              <w:t>Assent</w:t>
            </w:r>
          </w:p>
        </w:tc>
        <w:tc>
          <w:tcPr>
            <w:tcW w:w="2556" w:type="dxa"/>
            <w:tcBorders>
              <w:top w:val="single" w:sz="4" w:space="0" w:color="auto"/>
              <w:bottom w:val="single" w:sz="4" w:space="0" w:color="auto"/>
            </w:tcBorders>
          </w:tcPr>
          <w:p>
            <w:pPr>
              <w:pStyle w:val="nTable"/>
              <w:keepNext/>
              <w:spacing w:after="40"/>
              <w:rPr>
                <w:b/>
              </w:rPr>
            </w:pPr>
            <w:r>
              <w:rPr>
                <w:b/>
              </w:rPr>
              <w:t>Commencement</w:t>
            </w:r>
          </w:p>
        </w:tc>
      </w:tr>
      <w:tr>
        <w:trPr>
          <w:cantSplit/>
        </w:trPr>
        <w:tc>
          <w:tcPr>
            <w:tcW w:w="2273" w:type="dxa"/>
            <w:tcBorders>
              <w:bottom w:val="single" w:sz="4" w:space="0" w:color="auto"/>
            </w:tcBorders>
          </w:tcPr>
          <w:p>
            <w:pPr>
              <w:pStyle w:val="nTable"/>
              <w:spacing w:after="40"/>
              <w:rPr>
                <w:snapToGrid w:val="0"/>
              </w:rPr>
            </w:pPr>
            <w:r>
              <w:rPr>
                <w:i/>
              </w:rPr>
              <w:t>Licensing Provisions Amendment Act 2016</w:t>
            </w:r>
            <w:r>
              <w:t xml:space="preserve"> Pt. 7</w:t>
            </w:r>
            <w:r>
              <w:rPr>
                <w:vertAlign w:val="superscript"/>
              </w:rPr>
              <w:t> 12</w:t>
            </w:r>
          </w:p>
        </w:tc>
        <w:tc>
          <w:tcPr>
            <w:tcW w:w="1139" w:type="dxa"/>
            <w:tcBorders>
              <w:bottom w:val="single" w:sz="4" w:space="0" w:color="auto"/>
            </w:tcBorders>
          </w:tcPr>
          <w:p>
            <w:pPr>
              <w:pStyle w:val="nTable"/>
              <w:spacing w:after="40"/>
            </w:pPr>
            <w:r>
              <w:t>44 of 2016</w:t>
            </w:r>
          </w:p>
        </w:tc>
        <w:tc>
          <w:tcPr>
            <w:tcW w:w="1138" w:type="dxa"/>
            <w:tcBorders>
              <w:bottom w:val="single" w:sz="4" w:space="0" w:color="auto"/>
            </w:tcBorders>
          </w:tcPr>
          <w:p>
            <w:pPr>
              <w:pStyle w:val="nTable"/>
              <w:spacing w:after="40"/>
            </w:pPr>
            <w:r>
              <w:t>1 Dec 2016</w:t>
            </w:r>
          </w:p>
        </w:tc>
        <w:tc>
          <w:tcPr>
            <w:tcW w:w="2556" w:type="dxa"/>
            <w:tcBorders>
              <w:bottom w:val="single" w:sz="4" w:space="0" w:color="auto"/>
            </w:tcBorders>
          </w:tcPr>
          <w:p>
            <w:pPr>
              <w:pStyle w:val="nTable"/>
              <w:spacing w:after="40"/>
              <w:rPr>
                <w:snapToGrid w:val="0"/>
              </w:rPr>
            </w:pPr>
            <w:r>
              <w:rPr>
                <w:snapToGrid w:val="0"/>
              </w:rPr>
              <w:t>To be proclaimed (see s. 2(b))</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BlankOpen"/>
        <w:rPr>
          <w:snapToGrid w:val="0"/>
        </w:rPr>
      </w:pP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BlankOpen"/>
        <w:rPr>
          <w:snapToGrid w:val="0"/>
        </w:rPr>
      </w:pP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BlankClose"/>
        <w:rPr>
          <w:snapToGrid w:val="0"/>
        </w:rPr>
      </w:pPr>
    </w:p>
    <w:p>
      <w:pPr>
        <w:pStyle w:val="nSubsection"/>
      </w:pPr>
      <w:r>
        <w:rPr>
          <w:vertAlign w:val="superscript"/>
        </w:rPr>
        <w:t>10</w:t>
      </w:r>
      <w:r>
        <w:tab/>
        <w:t xml:space="preserve">The </w:t>
      </w:r>
      <w:r>
        <w:rPr>
          <w:i/>
        </w:rPr>
        <w:t>Corporations (Consequential Amendments) Act (No. 3) 2003</w:t>
      </w:r>
      <w:r>
        <w:t xml:space="preserve"> s. 2</w:t>
      </w:r>
      <w:r>
        <w:noBreakHyphen/>
        <w:t>4 contain validation provisions which may be relevant to this Act.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snapToGrid w:val="0"/>
          <w:vertAlign w:val="superscript"/>
        </w:rPr>
        <w:t>12</w:t>
      </w:r>
      <w:r>
        <w:rPr>
          <w:snapToGrid w:val="0"/>
        </w:rPr>
        <w:tab/>
      </w:r>
      <w:r>
        <w:t>On</w:t>
      </w:r>
      <w:r>
        <w:rPr>
          <w:snapToGrid w:val="0"/>
        </w:rPr>
        <w:t xml:space="preserve"> the date as at which this compilation was prepared, </w:t>
      </w:r>
      <w:r>
        <w:t xml:space="preserve">the </w:t>
      </w:r>
      <w:r>
        <w:rPr>
          <w:i/>
        </w:rPr>
        <w:t xml:space="preserve">Licensing Provisions Amendment Act 2016 </w:t>
      </w:r>
      <w:r>
        <w:t xml:space="preserve">Pt. 7 </w:t>
      </w:r>
      <w:r>
        <w:rPr>
          <w:snapToGrid w:val="0"/>
        </w:rPr>
        <w:t>had not come into operation. It reads as follows:</w:t>
      </w:r>
    </w:p>
    <w:p>
      <w:pPr>
        <w:pStyle w:val="BlankOpen"/>
      </w:pPr>
    </w:p>
    <w:p>
      <w:pPr>
        <w:pStyle w:val="nzHeading2"/>
      </w:pPr>
      <w:bookmarkStart w:id="411" w:name="_Toc433181785"/>
      <w:bookmarkStart w:id="412" w:name="_Toc433181843"/>
      <w:bookmarkStart w:id="413" w:name="_Toc433181901"/>
      <w:bookmarkStart w:id="414" w:name="_Toc433182020"/>
      <w:bookmarkStart w:id="415" w:name="_Toc433285383"/>
      <w:bookmarkStart w:id="416" w:name="_Toc434580871"/>
      <w:r>
        <w:rPr>
          <w:rStyle w:val="CharPartNo"/>
        </w:rPr>
        <w:t>Part 7</w:t>
      </w:r>
      <w:r>
        <w:rPr>
          <w:rStyle w:val="CharDivNo"/>
        </w:rPr>
        <w:t> </w:t>
      </w:r>
      <w:r>
        <w:t>—</w:t>
      </w:r>
      <w:r>
        <w:rPr>
          <w:rStyle w:val="CharDivText"/>
        </w:rPr>
        <w:t> </w:t>
      </w:r>
      <w:r>
        <w:rPr>
          <w:rStyle w:val="CharPartText"/>
          <w:i/>
        </w:rPr>
        <w:t>Real Estate and Business Agents Act 1978</w:t>
      </w:r>
      <w:r>
        <w:rPr>
          <w:rStyle w:val="CharPartText"/>
        </w:rPr>
        <w:t> amended</w:t>
      </w:r>
      <w:bookmarkEnd w:id="411"/>
      <w:bookmarkEnd w:id="412"/>
      <w:bookmarkEnd w:id="413"/>
      <w:bookmarkEnd w:id="414"/>
      <w:bookmarkEnd w:id="415"/>
      <w:bookmarkEnd w:id="416"/>
    </w:p>
    <w:p>
      <w:pPr>
        <w:pStyle w:val="nzHeading5"/>
        <w:rPr>
          <w:snapToGrid w:val="0"/>
        </w:rPr>
      </w:pPr>
      <w:bookmarkStart w:id="417" w:name="_Toc434580872"/>
      <w:r>
        <w:rPr>
          <w:rStyle w:val="CharSectno"/>
        </w:rPr>
        <w:t>29</w:t>
      </w:r>
      <w:r>
        <w:rPr>
          <w:snapToGrid w:val="0"/>
        </w:rPr>
        <w:t>.</w:t>
      </w:r>
      <w:r>
        <w:rPr>
          <w:snapToGrid w:val="0"/>
        </w:rPr>
        <w:tab/>
        <w:t>Act amended</w:t>
      </w:r>
      <w:bookmarkEnd w:id="417"/>
    </w:p>
    <w:p>
      <w:pPr>
        <w:pStyle w:val="nzSubsection"/>
      </w:pPr>
      <w:r>
        <w:tab/>
      </w:r>
      <w:r>
        <w:tab/>
        <w:t>This Part amends the</w:t>
      </w:r>
      <w:r>
        <w:rPr>
          <w:i/>
        </w:rPr>
        <w:t xml:space="preserve"> Real Estate and Business Agents Act 1978</w:t>
      </w:r>
      <w:r>
        <w:t>.</w:t>
      </w:r>
    </w:p>
    <w:p>
      <w:pPr>
        <w:pStyle w:val="nzHeading5"/>
      </w:pPr>
      <w:bookmarkStart w:id="418" w:name="_Toc434580873"/>
      <w:r>
        <w:rPr>
          <w:rStyle w:val="CharSectno"/>
        </w:rPr>
        <w:t>30</w:t>
      </w:r>
      <w:r>
        <w:t>.</w:t>
      </w:r>
      <w:r>
        <w:tab/>
        <w:t>Section 24 amended</w:t>
      </w:r>
      <w:bookmarkEnd w:id="418"/>
    </w:p>
    <w:p>
      <w:pPr>
        <w:pStyle w:val="nzSubsection"/>
      </w:pPr>
      <w:r>
        <w:tab/>
        <w:t>(1)</w:t>
      </w:r>
      <w:r>
        <w:tab/>
        <w:t>Delete section 24(3).</w:t>
      </w:r>
    </w:p>
    <w:p>
      <w:pPr>
        <w:pStyle w:val="nzSubsection"/>
      </w:pPr>
      <w:r>
        <w:tab/>
        <w:t>(2)</w:t>
      </w:r>
      <w:r>
        <w:tab/>
        <w:t>In section 24(4) delete “determines, verified if the Commissioner so requires by statutory declaration.” and insert:</w:t>
      </w:r>
    </w:p>
    <w:p>
      <w:pPr>
        <w:pStyle w:val="BlankOpen"/>
      </w:pPr>
    </w:p>
    <w:p>
      <w:pPr>
        <w:pStyle w:val="nzSubsection"/>
      </w:pPr>
      <w:r>
        <w:tab/>
      </w:r>
      <w:r>
        <w:tab/>
        <w:t>determines.</w:t>
      </w:r>
    </w:p>
    <w:p>
      <w:pPr>
        <w:pStyle w:val="BlankClose"/>
      </w:pPr>
    </w:p>
    <w:p>
      <w:pPr>
        <w:pStyle w:val="nzHeading5"/>
      </w:pPr>
      <w:bookmarkStart w:id="419" w:name="_Toc434580874"/>
      <w:r>
        <w:rPr>
          <w:rStyle w:val="CharSectno"/>
        </w:rPr>
        <w:t>31</w:t>
      </w:r>
      <w:r>
        <w:t>.</w:t>
      </w:r>
      <w:r>
        <w:tab/>
        <w:t>Section 33 amended</w:t>
      </w:r>
      <w:bookmarkEnd w:id="419"/>
    </w:p>
    <w:p>
      <w:pPr>
        <w:pStyle w:val="nzSubsection"/>
      </w:pPr>
      <w:r>
        <w:tab/>
        <w:t>(1)</w:t>
      </w:r>
      <w:r>
        <w:tab/>
        <w:t>Delete section 33(3).</w:t>
      </w:r>
    </w:p>
    <w:p>
      <w:pPr>
        <w:pStyle w:val="nzSubsection"/>
      </w:pPr>
      <w:r>
        <w:tab/>
        <w:t>(2)</w:t>
      </w:r>
      <w:r>
        <w:tab/>
        <w:t>In section 33(4) delete “determines, verified if the Commissioner so requires by statutory declaration.” and insert:</w:t>
      </w:r>
    </w:p>
    <w:p>
      <w:pPr>
        <w:pStyle w:val="BlankOpen"/>
      </w:pPr>
    </w:p>
    <w:p>
      <w:pPr>
        <w:pStyle w:val="nzSubsection"/>
      </w:pPr>
      <w:r>
        <w:tab/>
      </w:r>
      <w:r>
        <w:tab/>
        <w:t>determines.</w:t>
      </w:r>
    </w:p>
    <w:p>
      <w:pPr>
        <w:pStyle w:val="nzSubsection"/>
      </w:pPr>
    </w:p>
    <w:p>
      <w:pPr>
        <w:pStyle w:val="nzHeading5"/>
      </w:pPr>
      <w:bookmarkStart w:id="420" w:name="_Toc434580875"/>
      <w:r>
        <w:rPr>
          <w:rStyle w:val="CharSectno"/>
        </w:rPr>
        <w:t>32</w:t>
      </w:r>
      <w:r>
        <w:t>.</w:t>
      </w:r>
      <w:r>
        <w:tab/>
        <w:t>Section 43 amended</w:t>
      </w:r>
      <w:bookmarkEnd w:id="420"/>
    </w:p>
    <w:p>
      <w:pPr>
        <w:pStyle w:val="nzSubsection"/>
      </w:pPr>
      <w:r>
        <w:tab/>
        <w:t>(1)</w:t>
      </w:r>
      <w:r>
        <w:tab/>
        <w:t>Delete section 43(2).</w:t>
      </w:r>
    </w:p>
    <w:p>
      <w:pPr>
        <w:pStyle w:val="nzSubsection"/>
      </w:pPr>
      <w:r>
        <w:tab/>
        <w:t>(2)</w:t>
      </w:r>
      <w:r>
        <w:tab/>
        <w:t>In section 43(3) delete “determines, verified if the Commissioner so requires by statutory declaration.” and insert:</w:t>
      </w:r>
    </w:p>
    <w:p>
      <w:pPr>
        <w:pStyle w:val="BlankOpen"/>
      </w:pPr>
    </w:p>
    <w:p>
      <w:pPr>
        <w:pStyle w:val="nzSubsection"/>
      </w:pPr>
      <w:r>
        <w:tab/>
      </w:r>
      <w:r>
        <w:tab/>
        <w:t>determines.</w:t>
      </w:r>
    </w:p>
    <w:p>
      <w:pPr>
        <w:pStyle w:val="nzSubsection"/>
      </w:pPr>
    </w:p>
    <w:p>
      <w:pPr>
        <w:pStyle w:val="nzHeading5"/>
      </w:pPr>
      <w:bookmarkStart w:id="421" w:name="_Toc434580876"/>
      <w:r>
        <w:rPr>
          <w:rStyle w:val="CharSectno"/>
        </w:rPr>
        <w:t>33</w:t>
      </w:r>
      <w:r>
        <w:t>.</w:t>
      </w:r>
      <w:r>
        <w:tab/>
        <w:t>Section 49 amended</w:t>
      </w:r>
      <w:bookmarkEnd w:id="421"/>
    </w:p>
    <w:p>
      <w:pPr>
        <w:pStyle w:val="nzSubsection"/>
      </w:pPr>
      <w:r>
        <w:tab/>
        <w:t>(1)</w:t>
      </w:r>
      <w:r>
        <w:tab/>
        <w:t>Delete section 49(5).</w:t>
      </w:r>
    </w:p>
    <w:p>
      <w:pPr>
        <w:pStyle w:val="nzSubsection"/>
      </w:pPr>
      <w:r>
        <w:tab/>
        <w:t>(2)</w:t>
      </w:r>
      <w:r>
        <w:tab/>
        <w:t>In section 49(6) delete “determines, verified if the Commissioner so determines by statutory declaration.” and insert:</w:t>
      </w:r>
    </w:p>
    <w:p>
      <w:pPr>
        <w:pStyle w:val="BlankOpen"/>
      </w:pPr>
    </w:p>
    <w:p>
      <w:pPr>
        <w:pStyle w:val="nzSubsection"/>
      </w:pPr>
      <w:r>
        <w:tab/>
      </w:r>
      <w:r>
        <w:tab/>
        <w:t>determines.</w:t>
      </w:r>
    </w:p>
    <w:p>
      <w:pPr>
        <w:pStyle w:val="nzSubsection"/>
      </w:pPr>
    </w:p>
    <w:p>
      <w:pPr>
        <w:pStyle w:val="nzHeading5"/>
      </w:pPr>
      <w:bookmarkStart w:id="422" w:name="_Toc434580877"/>
      <w:r>
        <w:rPr>
          <w:rStyle w:val="CharSectno"/>
        </w:rPr>
        <w:t>34</w:t>
      </w:r>
      <w:r>
        <w:t>.</w:t>
      </w:r>
      <w:r>
        <w:tab/>
        <w:t>Section 61 amended</w:t>
      </w:r>
      <w:bookmarkEnd w:id="422"/>
    </w:p>
    <w:p>
      <w:pPr>
        <w:pStyle w:val="nzSubsection"/>
      </w:pPr>
      <w:r>
        <w:tab/>
        <w:t>(1)</w:t>
      </w:r>
      <w:r>
        <w:tab/>
        <w:t>In section 61(4) delete “unless there is a failure to settle the transaction and that failure is due to the fault of the agent’s principal.” and insert:</w:t>
      </w:r>
    </w:p>
    <w:p>
      <w:pPr>
        <w:pStyle w:val="BlankOpen"/>
      </w:pPr>
    </w:p>
    <w:p>
      <w:pPr>
        <w:pStyle w:val="nzSubsection"/>
      </w:pPr>
      <w:r>
        <w:tab/>
      </w:r>
      <w:r>
        <w:tab/>
        <w:t xml:space="preserve">unless — </w:t>
      </w:r>
    </w:p>
    <w:p>
      <w:pPr>
        <w:pStyle w:val="nzIndenta"/>
      </w:pPr>
      <w:r>
        <w:tab/>
        <w:t>(a)</w:t>
      </w:r>
      <w:r>
        <w:tab/>
        <w:t>there is a failure to settle the transaction and that failure is due to the fault of the agent’s principal; or</w:t>
      </w:r>
    </w:p>
    <w:p>
      <w:pPr>
        <w:pStyle w:val="nzIndenta"/>
      </w:pPr>
      <w:r>
        <w:tab/>
        <w:t>(b)</w:t>
      </w:r>
      <w:r>
        <w:tab/>
        <w:t>it is a prescribed transaction.</w:t>
      </w:r>
    </w:p>
    <w:p>
      <w:pPr>
        <w:pStyle w:val="BlankClose"/>
      </w:pPr>
    </w:p>
    <w:p>
      <w:pPr>
        <w:pStyle w:val="nzSubsection"/>
      </w:pPr>
      <w:r>
        <w:tab/>
        <w:t>(2)</w:t>
      </w:r>
      <w:r>
        <w:tab/>
        <w:t xml:space="preserve">In section 61(4a) insert in alphabetical order — </w:t>
      </w:r>
    </w:p>
    <w:p>
      <w:pPr>
        <w:pStyle w:val="BlankOpen"/>
      </w:pPr>
    </w:p>
    <w:p>
      <w:pPr>
        <w:pStyle w:val="nzDefstart"/>
      </w:pPr>
      <w:r>
        <w:tab/>
      </w:r>
      <w:r>
        <w:rPr>
          <w:rStyle w:val="CharDefText"/>
        </w:rPr>
        <w:t>prescribed transaction</w:t>
      </w:r>
      <w:r>
        <w:t xml:space="preserve"> means any of the following transactions — </w:t>
      </w:r>
    </w:p>
    <w:p>
      <w:pPr>
        <w:pStyle w:val="nzDefpara"/>
      </w:pPr>
      <w:r>
        <w:tab/>
        <w:t>(a)</w:t>
      </w:r>
      <w:r>
        <w:tab/>
        <w:t xml:space="preserve">the sale of a lot in a proposed scheme described in the </w:t>
      </w:r>
      <w:r>
        <w:rPr>
          <w:i/>
        </w:rPr>
        <w:t>Strata Titles Act 1985</w:t>
      </w:r>
      <w:r>
        <w:t xml:space="preserve"> section 70(1);</w:t>
      </w:r>
    </w:p>
    <w:p>
      <w:pPr>
        <w:pStyle w:val="nzIndenta"/>
      </w:pPr>
      <w:r>
        <w:tab/>
        <w:t>(b)</w:t>
      </w:r>
      <w:r>
        <w:tab/>
        <w:t>any other transaction prescribed, or that belongs to a class of transactions prescribed, for the purposes of this definition;</w:t>
      </w:r>
    </w:p>
    <w:p>
      <w:pPr>
        <w:pStyle w:val="BlankClose"/>
      </w:pPr>
    </w:p>
    <w:p>
      <w:pPr>
        <w:pStyle w:val="nzHeading5"/>
      </w:pPr>
      <w:bookmarkStart w:id="423" w:name="_Toc434580878"/>
      <w:r>
        <w:rPr>
          <w:rStyle w:val="CharSectno"/>
        </w:rPr>
        <w:t>35</w:t>
      </w:r>
      <w:r>
        <w:t>.</w:t>
      </w:r>
      <w:r>
        <w:tab/>
        <w:t>Section 134A inserted</w:t>
      </w:r>
      <w:bookmarkEnd w:id="423"/>
    </w:p>
    <w:p>
      <w:pPr>
        <w:pStyle w:val="nzSubsection"/>
      </w:pPr>
      <w:r>
        <w:tab/>
      </w:r>
      <w:r>
        <w:tab/>
        <w:t>After section 133 insert:</w:t>
      </w:r>
    </w:p>
    <w:p>
      <w:pPr>
        <w:pStyle w:val="BlankOpen"/>
      </w:pPr>
    </w:p>
    <w:p>
      <w:pPr>
        <w:pStyle w:val="nzHeading5"/>
      </w:pPr>
      <w:bookmarkStart w:id="424" w:name="_Toc434580879"/>
      <w:r>
        <w:t>134A.</w:t>
      </w:r>
      <w:r>
        <w:tab/>
        <w:t>Offence to give false or misleading information</w:t>
      </w:r>
      <w:bookmarkEnd w:id="424"/>
    </w:p>
    <w:p>
      <w:pPr>
        <w:pStyle w:val="nzSubsection"/>
      </w:pPr>
      <w:r>
        <w:tab/>
        <w:t>(1)</w:t>
      </w:r>
      <w:r>
        <w:tab/>
        <w:t>A person who gives false or misleading information in relation to an application under section 24, 33, 43, 48 or 49 commits an offence.</w:t>
      </w:r>
    </w:p>
    <w:p>
      <w:pPr>
        <w:pStyle w:val="nzPenstart"/>
      </w:pPr>
      <w:r>
        <w:tab/>
        <w:t>Penalty for this subsection: a fine of $20 000.</w:t>
      </w:r>
    </w:p>
    <w:p>
      <w:pPr>
        <w:pStyle w:val="nzSubsection"/>
      </w:pPr>
      <w:r>
        <w:tab/>
        <w:t>(2)</w:t>
      </w:r>
      <w:r>
        <w:tab/>
        <w:t>For the purposes of subsection (1), a person gives false or misleading information in relation to an application referred to in subsection (1) if the person does one or more of the following —</w:t>
      </w:r>
    </w:p>
    <w:p>
      <w:pPr>
        <w:pStyle w:val="nzIndenta"/>
      </w:pPr>
      <w:r>
        <w:tab/>
        <w:t>(a)</w:t>
      </w:r>
      <w:r>
        <w:tab/>
        <w:t>states anything in relation to an application that the person knows is false or misleading in a material particular;</w:t>
      </w:r>
    </w:p>
    <w:p>
      <w:pPr>
        <w:pStyle w:val="nzIndenta"/>
      </w:pPr>
      <w:r>
        <w:tab/>
        <w:t>(b)</w:t>
      </w:r>
      <w:r>
        <w:tab/>
        <w:t>omits anything from a statement made in relation to an application without which the statement is, to the person’s knowledge, misleading in a material particular;</w:t>
      </w:r>
    </w:p>
    <w:p>
      <w:pPr>
        <w:pStyle w:val="nzIndenta"/>
      </w:pPr>
      <w:r>
        <w:tab/>
        <w:t>(c)</w:t>
      </w:r>
      <w:r>
        <w:tab/>
        <w:t>gives or produces any information in relation to an application that —</w:t>
      </w:r>
    </w:p>
    <w:p>
      <w:pPr>
        <w:pStyle w:val="nzIndenti"/>
      </w:pPr>
      <w:r>
        <w:tab/>
        <w:t>(i)</w:t>
      </w:r>
      <w:r>
        <w:tab/>
        <w:t>the person knows is false or misleading in a material particular; or</w:t>
      </w:r>
    </w:p>
    <w:p>
      <w:pPr>
        <w:pStyle w:val="nzIndenti"/>
      </w:pPr>
      <w:r>
        <w:tab/>
        <w:t>(ii)</w:t>
      </w:r>
      <w:r>
        <w:tab/>
        <w:t>omits anything without which the information is, to the person’s knowledge, misleading in a material particular.</w:t>
      </w:r>
    </w:p>
    <w:p>
      <w:pPr>
        <w:pStyle w:val="BlankClose"/>
      </w:pPr>
    </w:p>
    <w:p>
      <w:pPr>
        <w:pStyle w:val="BlankClose"/>
      </w:pP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426" w:name="_Toc435024592"/>
      <w:bookmarkStart w:id="427" w:name="_Toc468701101"/>
      <w:r>
        <w:rPr>
          <w:sz w:val="28"/>
        </w:rPr>
        <w:t>Defined terms</w:t>
      </w:r>
      <w:bookmarkEnd w:id="426"/>
      <w:bookmarkEnd w:id="4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4(1), 92(5)</w:t>
      </w:r>
    </w:p>
    <w:p>
      <w:pPr>
        <w:pStyle w:val="DefinedTerms"/>
      </w:pPr>
      <w:r>
        <w:t>agents code of conduct</w:t>
      </w:r>
      <w:r>
        <w:tab/>
        <w:t>4(1)</w:t>
      </w:r>
    </w:p>
    <w:p>
      <w:pPr>
        <w:pStyle w:val="DefinedTerms"/>
      </w:pPr>
      <w:r>
        <w:t>applicant</w:t>
      </w:r>
      <w:r>
        <w:tab/>
        <w:t>131A</w:t>
      </w:r>
    </w:p>
    <w:p>
      <w:pPr>
        <w:pStyle w:val="DefinedTerms"/>
      </w:pPr>
      <w:r>
        <w:t>appointed day</w:t>
      </w:r>
      <w:r>
        <w:tab/>
        <w:t>4(1)</w:t>
      </w:r>
    </w:p>
    <w:p>
      <w:pPr>
        <w:pStyle w:val="DefinedTerms"/>
      </w:pPr>
      <w:r>
        <w:t>approved</w:t>
      </w:r>
      <w:r>
        <w:tab/>
        <w:t>4(1)</w:t>
      </w:r>
    </w:p>
    <w:p>
      <w:pPr>
        <w:pStyle w:val="DefinedTerms"/>
      </w:pPr>
      <w:r>
        <w:t>Assistance Account</w:t>
      </w:r>
      <w:r>
        <w:tab/>
        <w:t>4(1)</w:t>
      </w:r>
    </w:p>
    <w:p>
      <w:pPr>
        <w:pStyle w:val="DefinedTerms"/>
      </w:pPr>
      <w:r>
        <w:t>assisted person</w:t>
      </w:r>
      <w:r>
        <w:tab/>
        <w:t>131A</w:t>
      </w:r>
    </w:p>
    <w:p>
      <w:pPr>
        <w:pStyle w:val="DefinedTerms"/>
      </w:pPr>
      <w:r>
        <w:t>auditor</w:t>
      </w:r>
      <w:r>
        <w:tab/>
        <w:t>4(1)</w:t>
      </w:r>
    </w:p>
    <w:p>
      <w:pPr>
        <w:pStyle w:val="DefinedTerms"/>
      </w:pPr>
      <w:r>
        <w:t>authorised financial institution</w:t>
      </w:r>
      <w:r>
        <w:tab/>
        <w:t>67</w:t>
      </w:r>
    </w:p>
    <w:p>
      <w:pPr>
        <w:pStyle w:val="DefinedTerms"/>
      </w:pPr>
      <w:r>
        <w:t>bank</w:t>
      </w:r>
      <w:r>
        <w:tab/>
        <w:t>4(1)</w:t>
      </w:r>
    </w:p>
    <w:p>
      <w:pPr>
        <w:pStyle w:val="DefinedTerms"/>
      </w:pPr>
      <w:r>
        <w:t>bank account</w:t>
      </w:r>
      <w:r>
        <w:tab/>
        <w:t>67</w:t>
      </w:r>
    </w:p>
    <w:p>
      <w:pPr>
        <w:pStyle w:val="DefinedTerms"/>
      </w:pPr>
      <w:r>
        <w:t>banker</w:t>
      </w:r>
      <w:r>
        <w:tab/>
        <w:t>67</w:t>
      </w:r>
    </w:p>
    <w:p>
      <w:pPr>
        <w:pStyle w:val="DefinedTerms"/>
      </w:pPr>
      <w:r>
        <w:t>business</w:t>
      </w:r>
      <w:r>
        <w:tab/>
        <w:t>4(1), 4(1)</w:t>
      </w:r>
    </w:p>
    <w:p>
      <w:pPr>
        <w:pStyle w:val="DefinedTerms"/>
      </w:pPr>
      <w:r>
        <w:t>business agent</w:t>
      </w:r>
      <w:r>
        <w:tab/>
        <w:t>4(1)</w:t>
      </w:r>
    </w:p>
    <w:p>
      <w:pPr>
        <w:pStyle w:val="DefinedTerms"/>
      </w:pPr>
      <w:r>
        <w:t>business day</w:t>
      </w:r>
      <w:r>
        <w:tab/>
        <w:t>67</w:t>
      </w:r>
    </w:p>
    <w:p>
      <w:pPr>
        <w:pStyle w:val="DefinedTerms"/>
      </w:pPr>
      <w:r>
        <w:t>business sales representative</w:t>
      </w:r>
      <w:r>
        <w:tab/>
        <w:t>4(1)</w:t>
      </w:r>
    </w:p>
    <w:p>
      <w:pPr>
        <w:pStyle w:val="DefinedTerms"/>
      </w:pPr>
      <w:r>
        <w:t>business transaction</w:t>
      </w:r>
      <w:r>
        <w:tab/>
        <w:t>4(1)</w:t>
      </w:r>
    </w:p>
    <w:p>
      <w:pPr>
        <w:pStyle w:val="DefinedTerms"/>
      </w:pPr>
      <w:r>
        <w:t>certificate of registration</w:t>
      </w:r>
      <w:r>
        <w:tab/>
        <w:t>4(1)</w:t>
      </w:r>
    </w:p>
    <w:p>
      <w:pPr>
        <w:pStyle w:val="DefinedTerms"/>
      </w:pPr>
      <w:r>
        <w:t>code of conduct for sales representatives</w:t>
      </w:r>
      <w:r>
        <w:tab/>
        <w:t>4(1)</w:t>
      </w:r>
    </w:p>
    <w:p>
      <w:pPr>
        <w:pStyle w:val="DefinedTerms"/>
      </w:pPr>
      <w:r>
        <w:t>commencement day</w:t>
      </w:r>
      <w:r>
        <w:tab/>
        <w:t>148</w:t>
      </w:r>
    </w:p>
    <w:p>
      <w:pPr>
        <w:pStyle w:val="DefinedTerms"/>
      </w:pPr>
      <w:r>
        <w:t>Commissioner</w:t>
      </w:r>
      <w:r>
        <w:tab/>
        <w:t>4(1)</w:t>
      </w:r>
    </w:p>
    <w:p>
      <w:pPr>
        <w:pStyle w:val="DefinedTerms"/>
      </w:pPr>
      <w:r>
        <w:t>committee</w:t>
      </w:r>
      <w:r>
        <w:tab/>
        <w:t>23A(1)</w:t>
      </w:r>
    </w:p>
    <w:p>
      <w:pPr>
        <w:pStyle w:val="DefinedTerms"/>
      </w:pPr>
      <w:r>
        <w:t>defalcation by a licensee</w:t>
      </w:r>
      <w:r>
        <w:tab/>
        <w:t>4(1)</w:t>
      </w:r>
    </w:p>
    <w:p>
      <w:pPr>
        <w:pStyle w:val="DefinedTerms"/>
      </w:pPr>
      <w:r>
        <w:t>department</w:t>
      </w:r>
      <w:r>
        <w:tab/>
        <w:t>4(1)</w:t>
      </w:r>
    </w:p>
    <w:p>
      <w:pPr>
        <w:pStyle w:val="DefinedTerms"/>
      </w:pPr>
      <w:r>
        <w:t>developer</w:t>
      </w:r>
      <w:r>
        <w:tab/>
        <w:t>4(1)</w:t>
      </w:r>
    </w:p>
    <w:p>
      <w:pPr>
        <w:pStyle w:val="DefinedTerms"/>
      </w:pPr>
      <w:r>
        <w:t>dwelling</w:t>
      </w:r>
      <w:r>
        <w:tab/>
        <w:t>131A</w:t>
      </w:r>
    </w:p>
    <w:p>
      <w:pPr>
        <w:pStyle w:val="DefinedTerms"/>
      </w:pPr>
      <w:r>
        <w:t>Fidelity Account</w:t>
      </w:r>
      <w:r>
        <w:tab/>
        <w:t>4(1)</w:t>
      </w:r>
    </w:p>
    <w:p>
      <w:pPr>
        <w:pStyle w:val="DefinedTerms"/>
      </w:pPr>
      <w:r>
        <w:t>fit and proper</w:t>
      </w:r>
      <w:r>
        <w:tab/>
        <w:t>27(2), 47(2)</w:t>
      </w:r>
    </w:p>
    <w:p>
      <w:pPr>
        <w:pStyle w:val="DefinedTerms"/>
      </w:pPr>
      <w:r>
        <w:t>former Board</w:t>
      </w:r>
      <w:r>
        <w:tab/>
        <w:t>148</w:t>
      </w:r>
    </w:p>
    <w:p>
      <w:pPr>
        <w:pStyle w:val="DefinedTerms"/>
      </w:pPr>
      <w:r>
        <w:t>former Registrar</w:t>
      </w:r>
      <w:r>
        <w:tab/>
        <w:t>148</w:t>
      </w:r>
    </w:p>
    <w:p>
      <w:pPr>
        <w:pStyle w:val="DefinedTerms"/>
      </w:pPr>
      <w:r>
        <w:t>franchising agreement</w:t>
      </w:r>
      <w:r>
        <w:tab/>
        <w:t>4(1)</w:t>
      </w:r>
    </w:p>
    <w:p>
      <w:pPr>
        <w:pStyle w:val="DefinedTerms"/>
      </w:pPr>
      <w:r>
        <w:t>General Purpose Account</w:t>
      </w:r>
      <w:r>
        <w:tab/>
        <w:t>4(1)</w:t>
      </w:r>
    </w:p>
    <w:p>
      <w:pPr>
        <w:pStyle w:val="DefinedTerms"/>
      </w:pPr>
      <w:r>
        <w:t>incidental expenses</w:t>
      </w:r>
      <w:r>
        <w:tab/>
        <w:t>131A</w:t>
      </w:r>
    </w:p>
    <w:p>
      <w:pPr>
        <w:pStyle w:val="DefinedTerms"/>
      </w:pPr>
      <w:r>
        <w:t>Interest Account</w:t>
      </w:r>
      <w:r>
        <w:tab/>
        <w:t>4(1)</w:t>
      </w:r>
    </w:p>
    <w:p>
      <w:pPr>
        <w:pStyle w:val="DefinedTerms"/>
      </w:pPr>
      <w:r>
        <w:t>legal practitioner</w:t>
      </w:r>
      <w:r>
        <w:tab/>
        <w:t>4(1)</w:t>
      </w:r>
    </w:p>
    <w:p>
      <w:pPr>
        <w:pStyle w:val="DefinedTerms"/>
      </w:pPr>
      <w:r>
        <w:t>lending institution</w:t>
      </w:r>
      <w:r>
        <w:tab/>
        <w:t>131A</w:t>
      </w:r>
    </w:p>
    <w:p>
      <w:pPr>
        <w:pStyle w:val="DefinedTerms"/>
      </w:pPr>
      <w:r>
        <w:t>liability</w:t>
      </w:r>
      <w:r>
        <w:tab/>
        <w:t>148</w:t>
      </w:r>
    </w:p>
    <w:p>
      <w:pPr>
        <w:pStyle w:val="DefinedTerms"/>
      </w:pPr>
      <w:r>
        <w:t>licence</w:t>
      </w:r>
      <w:r>
        <w:tab/>
        <w:t>4(1)</w:t>
      </w:r>
    </w:p>
    <w:p>
      <w:pPr>
        <w:pStyle w:val="DefinedTerms"/>
      </w:pPr>
      <w:r>
        <w:t>licensed</w:t>
      </w:r>
      <w:r>
        <w:tab/>
        <w:t>4(1)</w:t>
      </w:r>
    </w:p>
    <w:p>
      <w:pPr>
        <w:pStyle w:val="DefinedTerms"/>
      </w:pPr>
      <w:r>
        <w:t>licensee</w:t>
      </w:r>
      <w:r>
        <w:tab/>
        <w:t>4(1)</w:t>
      </w:r>
    </w:p>
    <w:p>
      <w:pPr>
        <w:pStyle w:val="DefinedTerms"/>
      </w:pPr>
      <w:r>
        <w:t>member</w:t>
      </w:r>
      <w:r>
        <w:tab/>
        <w:t>4(1)</w:t>
      </w:r>
    </w:p>
    <w:p>
      <w:pPr>
        <w:pStyle w:val="DefinedTerms"/>
      </w:pPr>
      <w:r>
        <w:t>party</w:t>
      </w:r>
      <w:r>
        <w:tab/>
        <w:t>23C(7)</w:t>
      </w:r>
    </w:p>
    <w:p>
      <w:pPr>
        <w:pStyle w:val="DefinedTerms"/>
      </w:pPr>
      <w:r>
        <w:t>person aggrieved</w:t>
      </w:r>
      <w:r>
        <w:tab/>
        <w:t>23(2)</w:t>
      </w:r>
    </w:p>
    <w:p>
      <w:pPr>
        <w:pStyle w:val="DefinedTerms"/>
      </w:pPr>
      <w:r>
        <w:t>real estate</w:t>
      </w:r>
      <w:r>
        <w:tab/>
        <w:t>4(1)</w:t>
      </w:r>
    </w:p>
    <w:p>
      <w:pPr>
        <w:pStyle w:val="DefinedTerms"/>
      </w:pPr>
      <w:r>
        <w:t>real estate agent</w:t>
      </w:r>
      <w:r>
        <w:tab/>
        <w:t>4(1)</w:t>
      </w:r>
    </w:p>
    <w:p>
      <w:pPr>
        <w:pStyle w:val="DefinedTerms"/>
      </w:pPr>
      <w:r>
        <w:t>real estate sales representative</w:t>
      </w:r>
      <w:r>
        <w:tab/>
        <w:t>4(1)</w:t>
      </w:r>
    </w:p>
    <w:p>
      <w:pPr>
        <w:pStyle w:val="DefinedTerms"/>
      </w:pPr>
      <w:r>
        <w:t>real estate transaction</w:t>
      </w:r>
      <w:r>
        <w:tab/>
        <w:t>4(1)</w:t>
      </w:r>
    </w:p>
    <w:p>
      <w:pPr>
        <w:pStyle w:val="DefinedTerms"/>
      </w:pPr>
      <w:r>
        <w:t>registered</w:t>
      </w:r>
      <w:r>
        <w:tab/>
        <w:t>4(1)</w:t>
      </w:r>
    </w:p>
    <w:p>
      <w:pPr>
        <w:pStyle w:val="DefinedTerms"/>
      </w:pPr>
      <w:r>
        <w:t>registered sales representative</w:t>
      </w:r>
      <w:r>
        <w:tab/>
        <w:t>4(1)</w:t>
      </w:r>
    </w:p>
    <w:p>
      <w:pPr>
        <w:pStyle w:val="DefinedTerms"/>
      </w:pPr>
      <w:r>
        <w:t>registration</w:t>
      </w:r>
      <w:r>
        <w:tab/>
        <w:t>4(1)</w:t>
      </w:r>
    </w:p>
    <w:p>
      <w:pPr>
        <w:pStyle w:val="DefinedTerms"/>
      </w:pPr>
      <w:r>
        <w:t>renewal</w:t>
      </w:r>
      <w:r>
        <w:tab/>
        <w:t>4(1)</w:t>
      </w:r>
    </w:p>
    <w:p>
      <w:pPr>
        <w:pStyle w:val="DefinedTerms"/>
      </w:pPr>
      <w:r>
        <w:t>repealed Act</w:t>
      </w:r>
      <w:r>
        <w:tab/>
        <w:t>4(1)</w:t>
      </w:r>
    </w:p>
    <w:p>
      <w:pPr>
        <w:pStyle w:val="DefinedTerms"/>
      </w:pPr>
      <w:r>
        <w:t>request</w:t>
      </w:r>
      <w:r>
        <w:tab/>
        <w:t>68A(7)</w:t>
      </w:r>
    </w:p>
    <w:p>
      <w:pPr>
        <w:pStyle w:val="DefinedTerms"/>
      </w:pPr>
      <w:r>
        <w:t>residential premises</w:t>
      </w:r>
      <w:r>
        <w:tab/>
        <w:t>61A(3)</w:t>
      </w:r>
    </w:p>
    <w:p>
      <w:pPr>
        <w:pStyle w:val="DefinedTerms"/>
      </w:pPr>
      <w:r>
        <w:t>reviewable decision</w:t>
      </w:r>
      <w:r>
        <w:tab/>
        <w:t>23(2)</w:t>
      </w:r>
    </w:p>
    <w:p>
      <w:pPr>
        <w:pStyle w:val="DefinedTerms"/>
      </w:pPr>
      <w:r>
        <w:t>right</w:t>
      </w:r>
      <w:r>
        <w:tab/>
        <w:t>148</w:t>
      </w:r>
    </w:p>
    <w:p>
      <w:pPr>
        <w:pStyle w:val="DefinedTerms"/>
      </w:pPr>
      <w:r>
        <w:t>sales representative</w:t>
      </w:r>
      <w:r>
        <w:tab/>
        <w:t>4(1)</w:t>
      </w:r>
    </w:p>
    <w:p>
      <w:pPr>
        <w:pStyle w:val="DefinedTerms"/>
      </w:pPr>
      <w:r>
        <w:t>separate account</w:t>
      </w:r>
      <w:r>
        <w:tab/>
        <w:t>67</w:t>
      </w:r>
    </w:p>
    <w:p>
      <w:pPr>
        <w:pStyle w:val="DefinedTerms"/>
      </w:pPr>
      <w:r>
        <w:t>settlement</w:t>
      </w:r>
      <w:r>
        <w:tab/>
        <w:t>61(4a)</w:t>
      </w:r>
    </w:p>
    <w:p>
      <w:pPr>
        <w:pStyle w:val="DefinedTerms"/>
      </w:pPr>
      <w:r>
        <w:t>specified</w:t>
      </w:r>
      <w:r>
        <w:tab/>
        <w:t>159(6)</w:t>
      </w:r>
    </w:p>
    <w:p>
      <w:pPr>
        <w:pStyle w:val="DefinedTerms"/>
      </w:pPr>
      <w:r>
        <w:t>strata company</w:t>
      </w:r>
      <w:r>
        <w:tab/>
        <w:t>4(1)</w:t>
      </w:r>
    </w:p>
    <w:p>
      <w:pPr>
        <w:pStyle w:val="DefinedTerms"/>
      </w:pPr>
      <w:r>
        <w:t>subsection</w:t>
      </w:r>
      <w:r>
        <w:tab/>
        <w:t>103(1)</w:t>
      </w:r>
    </w:p>
    <w:p>
      <w:pPr>
        <w:pStyle w:val="DefinedTerms"/>
      </w:pPr>
      <w:r>
        <w:t>supervisor</w:t>
      </w:r>
      <w:r>
        <w:tab/>
        <w:t>4(1)</w:t>
      </w:r>
    </w:p>
    <w:p>
      <w:pPr>
        <w:pStyle w:val="DefinedTerms"/>
      </w:pPr>
      <w:r>
        <w:t>tenancy</w:t>
      </w:r>
      <w:r>
        <w:tab/>
        <w:t>61A(3)</w:t>
      </w:r>
    </w:p>
    <w:p>
      <w:pPr>
        <w:pStyle w:val="DefinedTerms"/>
      </w:pPr>
      <w:r>
        <w:t>tenant</w:t>
      </w:r>
      <w:r>
        <w:tab/>
        <w:t>61A(3)</w:t>
      </w:r>
    </w:p>
    <w:p>
      <w:pPr>
        <w:pStyle w:val="DefinedTerms"/>
      </w:pPr>
      <w:r>
        <w:t>transaction</w:t>
      </w:r>
      <w:r>
        <w:tab/>
        <w:t>4(1), 61(4a)</w:t>
      </w:r>
    </w:p>
    <w:p>
      <w:pPr>
        <w:pStyle w:val="DefinedTerms"/>
      </w:pPr>
      <w:r>
        <w:t>transitional matter</w:t>
      </w:r>
      <w:r>
        <w:tab/>
        <w:t>159(2)</w:t>
      </w:r>
    </w:p>
    <w:p>
      <w:pPr>
        <w:pStyle w:val="DefinedTerms"/>
      </w:pPr>
      <w:r>
        <w:t>Treasurer</w:t>
      </w:r>
      <w:r>
        <w:tab/>
        <w:t>4(1)</w:t>
      </w:r>
    </w:p>
    <w:p>
      <w:pPr>
        <w:pStyle w:val="DefinedTerms"/>
      </w:pPr>
      <w:r>
        <w:t>Treasury</w:t>
      </w:r>
      <w:r>
        <w:tab/>
        <w:t>4(1)</w:t>
      </w:r>
    </w:p>
    <w:p>
      <w:pPr>
        <w:pStyle w:val="DefinedTerms"/>
      </w:pPr>
      <w:r>
        <w:t>triennial certificate</w:t>
      </w:r>
      <w:r>
        <w:tab/>
        <w:t>4(1)</w:t>
      </w:r>
    </w:p>
    <w:p>
      <w:pPr>
        <w:pStyle w:val="DefinedTerms"/>
      </w:pPr>
      <w:r>
        <w:t>trust account</w:t>
      </w:r>
      <w:r>
        <w:tab/>
        <w:t>92(5)</w:t>
      </w:r>
    </w:p>
    <w:p>
      <w:pPr>
        <w:pStyle w:val="DefinedTerms"/>
      </w:pPr>
      <w:r>
        <w:t>trust accounts</w:t>
      </w:r>
      <w:r>
        <w:tab/>
        <w:t>67</w:t>
      </w:r>
    </w:p>
    <w:p>
      <w:pPr>
        <w:pStyle w:val="DefinedTerms"/>
      </w:pPr>
      <w:r>
        <w:t>year</w:t>
      </w:r>
      <w:r>
        <w:tab/>
        <w:t>67</w:t>
      </w:r>
    </w:p>
    <w:p>
      <w:pPr>
        <w:rPr>
          <w:rFonts w:ascii="Arial" w:hAnsi="Arial" w:cs="Arial"/>
          <w:sz w:val="12"/>
        </w:rPr>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07-d0-00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01" w:name="Schedule"/>
    <w:bookmarkEnd w:id="4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25" w:name="Compilation"/>
    <w:bookmarkEnd w:id="4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8" w:name="DefinedTerms"/>
    <w:bookmarkEnd w:id="42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9" w:name="Coversheet"/>
    <w:bookmarkEnd w:id="4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160B9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724"/>
    <w:docVar w:name="WAFER_20140128103514" w:val="RemoveTocBookmarks,RemoveUnusedBookmarks,RemoveLanguageTags,UsedStyles,ResetPageSize,UpdateArrangement"/>
    <w:docVar w:name="WAFER_20140128103514_GUID" w:val="82d23b57-9927-4e52-a435-f44f28bcf9d0"/>
    <w:docVar w:name="WAFER_20140128112227" w:val="RemoveTocBookmarks,RunningHeaders"/>
    <w:docVar w:name="WAFER_20140128112227_GUID" w:val="77b987c8-f2f4-4173-927f-93f5d60036e9"/>
    <w:docVar w:name="WAFER_20141015123210" w:val="RemoveTocBookmarks,RemoveUnusedBookmarks,RemoveLanguageTags,UsedStyles,ResetPageSize,UpdateArrangement"/>
    <w:docVar w:name="WAFER_20141015123210_GUID" w:val="64a3355d-7a26-45e2-bd22-de9f30038f17"/>
    <w:docVar w:name="WAFER_20141119103439" w:val="RemoveTocBookmarks,RunningHeaders"/>
    <w:docVar w:name="WAFER_20141119103439_GUID" w:val="238c4c98-8065-46db-ab23-ff5cff7f0da8"/>
    <w:docVar w:name="WAFER_20150710114227" w:val="ResetPageSize,UpdateArrangement,UpdateNTable"/>
    <w:docVar w:name="WAFER_20150710114227_GUID" w:val="ad99801e-4621-4a3b-873d-a113a8440bd8"/>
    <w:docVar w:name="WAFER_20151111162724" w:val="UpdateStyles,UsedStyles"/>
    <w:docVar w:name="WAFER_20151111162724_GUID" w:val="18489fbf-4911-4b9f-a5b9-fc67e4ffc4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139</Pages>
  <Words>36656</Words>
  <Characters>171920</Characters>
  <Application>Microsoft Office Word</Application>
  <DocSecurity>0</DocSecurity>
  <Lines>4524</Lines>
  <Paragraphs>2292</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206284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1978 - 07-d0-00</dc:title>
  <dc:subject/>
  <dc:creator/>
  <cp:keywords/>
  <dc:description/>
  <cp:lastModifiedBy>svcMRProcess</cp:lastModifiedBy>
  <cp:revision>4</cp:revision>
  <cp:lastPrinted>2014-11-19T02:18:00Z</cp:lastPrinted>
  <dcterms:created xsi:type="dcterms:W3CDTF">2018-09-07T23:38:00Z</dcterms:created>
  <dcterms:modified xsi:type="dcterms:W3CDTF">2018-09-07T23:38:00Z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DocumentType">
    <vt:lpwstr>Act</vt:lpwstr>
  </property>
  <property fmtid="{D5CDD505-2E9C-101B-9397-08002B2CF9AE}" pid="4" name="OwlsUID">
    <vt:i4>672</vt:i4>
  </property>
  <property fmtid="{D5CDD505-2E9C-101B-9397-08002B2CF9AE}" pid="5" name="ReprintNo">
    <vt:lpwstr>7</vt:lpwstr>
  </property>
  <property fmtid="{D5CDD505-2E9C-101B-9397-08002B2CF9AE}" pid="6" name="ReprintedAsAt">
    <vt:filetime>2011-11-17T16:00:00Z</vt:filetime>
  </property>
  <property fmtid="{D5CDD505-2E9C-101B-9397-08002B2CF9AE}" pid="7" name="AsAtDate">
    <vt:lpwstr>01 Dec 2016</vt:lpwstr>
  </property>
  <property fmtid="{D5CDD505-2E9C-101B-9397-08002B2CF9AE}" pid="8" name="Suffix">
    <vt:lpwstr>07-d0-00</vt:lpwstr>
  </property>
  <property fmtid="{D5CDD505-2E9C-101B-9397-08002B2CF9AE}" pid="9" name="CommencementDate">
    <vt:lpwstr>20161201</vt:lpwstr>
  </property>
</Properties>
</file>