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Port Authorities Act 1999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_Toc1491924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_Toc1491925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_Toc1491926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Port authorities: establishment and administration</w:t>
      </w:r>
    </w:p>
    <w:p>
      <w:pPr>
        <w:pStyle w:val="TOC4"/>
        <w:tabs>
          <w:tab w:val="right" w:leader="dot" w:pos="7077"/>
        </w:tabs>
        <w:rPr>
          <w:rFonts w:asciiTheme="minorHAnsi" w:eastAsiaTheme="minorEastAsia" w:hAnsiTheme="minorHAnsi" w:cstheme="minorBidi"/>
          <w:b w:val="0"/>
          <w:szCs w:val="22"/>
        </w:rPr>
      </w:pPr>
      <w:r>
        <w:t>Division 1 — Establishment of port authorities</w:t>
      </w:r>
    </w:p>
    <w:p>
      <w:pPr>
        <w:pStyle w:val="TOC8"/>
        <w:rPr>
          <w:rFonts w:asciiTheme="minorHAnsi" w:eastAsiaTheme="minorEastAsia" w:hAnsiTheme="minorHAnsi" w:cstheme="minorBidi"/>
          <w:szCs w:val="22"/>
        </w:rPr>
      </w:pPr>
      <w:r>
        <w:t>4</w:t>
      </w:r>
      <w:r>
        <w:rPr>
          <w:snapToGrid w:val="0"/>
        </w:rPr>
        <w:t>.</w:t>
      </w:r>
      <w:r>
        <w:rPr>
          <w:snapToGrid w:val="0"/>
        </w:rPr>
        <w:tab/>
        <w:t>Port authorities, establishment, nature and trading names of</w:t>
      </w:r>
      <w:r>
        <w:tab/>
      </w:r>
      <w:r>
        <w:fldChar w:fldCharType="begin"/>
      </w:r>
      <w:r>
        <w:instrText xml:space="preserve"> PAGEREF _Toc1491929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Port authorities not to be regarded as agents of Crown for purposes of State laws</w:t>
      </w:r>
      <w:r>
        <w:tab/>
      </w:r>
      <w:r>
        <w:fldChar w:fldCharType="begin"/>
      </w:r>
      <w:r>
        <w:instrText xml:space="preserve"> PAGEREF _Toc1491930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Port authorities and officers not part of public sector</w:t>
      </w:r>
      <w:r>
        <w:tab/>
      </w:r>
      <w:r>
        <w:fldChar w:fldCharType="begin"/>
      </w:r>
      <w:r>
        <w:instrText xml:space="preserve"> PAGEREF _Toc1491931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Boards of directors</w:t>
      </w:r>
    </w:p>
    <w:p>
      <w:pPr>
        <w:pStyle w:val="TOC8"/>
        <w:rPr>
          <w:rFonts w:asciiTheme="minorHAnsi" w:eastAsiaTheme="minorEastAsia" w:hAnsiTheme="minorHAnsi" w:cstheme="minorBidi"/>
          <w:szCs w:val="22"/>
        </w:rPr>
      </w:pPr>
      <w:r>
        <w:t>7</w:t>
      </w:r>
      <w:r>
        <w:rPr>
          <w:snapToGrid w:val="0"/>
        </w:rPr>
        <w:t>.</w:t>
      </w:r>
      <w:r>
        <w:rPr>
          <w:snapToGrid w:val="0"/>
        </w:rPr>
        <w:tab/>
        <w:t>Port authorities to have board of directors</w:t>
      </w:r>
      <w:r>
        <w:tab/>
      </w:r>
      <w:r>
        <w:fldChar w:fldCharType="begin"/>
      </w:r>
      <w:r>
        <w:instrText xml:space="preserve"> PAGEREF _Toc1491933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Boards, role of</w:t>
      </w:r>
      <w:r>
        <w:tab/>
      </w:r>
      <w:r>
        <w:fldChar w:fldCharType="begin"/>
      </w:r>
      <w:r>
        <w:instrText xml:space="preserve"> PAGEREF _Toc1491934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Boards, constitution and proceedings of (Sch. 2)</w:t>
      </w:r>
      <w:r>
        <w:tab/>
      </w:r>
      <w:r>
        <w:fldChar w:fldCharType="begin"/>
      </w:r>
      <w:r>
        <w:instrText xml:space="preserve"> PAGEREF _Toc1491935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Directors, remuneration of</w:t>
      </w:r>
      <w:r>
        <w:tab/>
      </w:r>
      <w:r>
        <w:fldChar w:fldCharType="begin"/>
      </w:r>
      <w:r>
        <w:instrText xml:space="preserve"> PAGEREF _Toc1491936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Conflict of duties</w:t>
      </w:r>
      <w:r>
        <w:tab/>
      </w:r>
      <w:r>
        <w:fldChar w:fldCharType="begin"/>
      </w:r>
      <w:r>
        <w:instrText xml:space="preserve"> PAGEREF _Toc1491937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Notifiable interests, disclosing</w:t>
      </w:r>
      <w:r>
        <w:tab/>
      </w:r>
      <w:r>
        <w:fldChar w:fldCharType="begin"/>
      </w:r>
      <w:r>
        <w:instrText xml:space="preserve"> PAGEREF _Toc1491938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Committees</w:t>
      </w:r>
      <w:r>
        <w:tab/>
      </w:r>
      <w:r>
        <w:fldChar w:fldCharType="begin"/>
      </w:r>
      <w:r>
        <w:instrText xml:space="preserve"> PAGEREF _Toc1491939 \h </w:instrText>
      </w:r>
      <w:r>
        <w:fldChar w:fldCharType="separate"/>
      </w:r>
      <w:r>
        <w:t>11</w:t>
      </w:r>
      <w:r>
        <w:fldChar w:fldCharType="end"/>
      </w:r>
    </w:p>
    <w:p>
      <w:pPr>
        <w:pStyle w:val="TOC8"/>
        <w:rPr>
          <w:rFonts w:asciiTheme="minorHAnsi" w:eastAsiaTheme="minorEastAsia" w:hAnsiTheme="minorHAnsi" w:cstheme="minorBidi"/>
          <w:szCs w:val="22"/>
        </w:rPr>
      </w:pPr>
      <w:r>
        <w:t>14A.</w:t>
      </w:r>
      <w:r>
        <w:tab/>
        <w:t>Community consultation committees</w:t>
      </w:r>
      <w:r>
        <w:tab/>
      </w:r>
      <w:r>
        <w:fldChar w:fldCharType="begin"/>
      </w:r>
      <w:r>
        <w:instrText xml:space="preserve"> PAGEREF _Toc1491940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Staff</w:t>
      </w:r>
    </w:p>
    <w:p>
      <w:pPr>
        <w:pStyle w:val="TOC8"/>
        <w:rPr>
          <w:rFonts w:asciiTheme="minorHAnsi" w:eastAsiaTheme="minorEastAsia" w:hAnsiTheme="minorHAnsi" w:cstheme="minorBidi"/>
          <w:szCs w:val="22"/>
        </w:rPr>
      </w:pPr>
      <w:r>
        <w:t>14</w:t>
      </w:r>
      <w:r>
        <w:rPr>
          <w:snapToGrid w:val="0"/>
        </w:rPr>
        <w:t>.</w:t>
      </w:r>
      <w:r>
        <w:rPr>
          <w:snapToGrid w:val="0"/>
        </w:rPr>
        <w:tab/>
        <w:t>Chief executive officer</w:t>
      </w:r>
      <w:r>
        <w:tab/>
      </w:r>
      <w:r>
        <w:fldChar w:fldCharType="begin"/>
      </w:r>
      <w:r>
        <w:instrText xml:space="preserve"> PAGEREF _Toc1491942 \h </w:instrText>
      </w:r>
      <w:r>
        <w:fldChar w:fldCharType="separate"/>
      </w:r>
      <w:r>
        <w:t>12</w:t>
      </w:r>
      <w:r>
        <w:fldChar w:fldCharType="end"/>
      </w:r>
    </w:p>
    <w:p>
      <w:pPr>
        <w:pStyle w:val="TOC8"/>
        <w:rPr>
          <w:rFonts w:asciiTheme="minorHAnsi" w:eastAsiaTheme="minorEastAsia" w:hAnsiTheme="minorHAnsi" w:cstheme="minorBidi"/>
          <w:szCs w:val="22"/>
        </w:rPr>
      </w:pPr>
      <w:r>
        <w:t>15A.</w:t>
      </w:r>
      <w:r>
        <w:tab/>
        <w:t>Remuneration of CEO while port authority is not a Government entity</w:t>
      </w:r>
      <w:r>
        <w:tab/>
      </w:r>
      <w:r>
        <w:fldChar w:fldCharType="begin"/>
      </w:r>
      <w:r>
        <w:instrText xml:space="preserve"> PAGEREF _Toc1491943 \h </w:instrText>
      </w:r>
      <w:r>
        <w:fldChar w:fldCharType="separate"/>
      </w:r>
      <w:r>
        <w:t>13</w:t>
      </w:r>
      <w:r>
        <w:fldChar w:fldCharType="end"/>
      </w:r>
    </w:p>
    <w:p>
      <w:pPr>
        <w:pStyle w:val="TOC8"/>
        <w:rPr>
          <w:rFonts w:asciiTheme="minorHAnsi" w:eastAsiaTheme="minorEastAsia" w:hAnsiTheme="minorHAnsi" w:cstheme="minorBidi"/>
          <w:szCs w:val="22"/>
        </w:rPr>
      </w:pPr>
      <w:r>
        <w:t>15B.</w:t>
      </w:r>
      <w:r>
        <w:tab/>
        <w:t>Remuneration of CEO while port authority is a Government entity</w:t>
      </w:r>
      <w:r>
        <w:tab/>
      </w:r>
      <w:r>
        <w:fldChar w:fldCharType="begin"/>
      </w:r>
      <w:r>
        <w:instrText xml:space="preserve"> PAGEREF _Toc1491944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CEO’s functions</w:t>
      </w:r>
      <w:r>
        <w:tab/>
      </w:r>
      <w:r>
        <w:fldChar w:fldCharType="begin"/>
      </w:r>
      <w:r>
        <w:instrText xml:space="preserve"> PAGEREF _Toc1491945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Staff</w:t>
      </w:r>
      <w:r>
        <w:tab/>
      </w:r>
      <w:r>
        <w:fldChar w:fldCharType="begin"/>
      </w:r>
      <w:r>
        <w:instrText xml:space="preserve"> PAGEREF _Toc1491946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Minimum standards for staff management</w:t>
      </w:r>
      <w:r>
        <w:tab/>
      </w:r>
      <w:r>
        <w:fldChar w:fldCharType="begin"/>
      </w:r>
      <w:r>
        <w:instrText xml:space="preserve"> PAGEREF _Toc1491947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Reports to Public Sector Commissioner as to s. 17 standards</w:t>
      </w:r>
      <w:r>
        <w:tab/>
      </w:r>
      <w:r>
        <w:fldChar w:fldCharType="begin"/>
      </w:r>
      <w:r>
        <w:instrText xml:space="preserve"> PAGEREF _Toc1491948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Superannuation</w:t>
      </w:r>
      <w:r>
        <w:tab/>
      </w:r>
      <w:r>
        <w:fldChar w:fldCharType="begin"/>
      </w:r>
      <w:r>
        <w:instrText xml:space="preserve"> PAGEREF _Toc1491949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Conduct and integrity of staff</w:t>
      </w:r>
    </w:p>
    <w:p>
      <w:pPr>
        <w:pStyle w:val="TOC8"/>
        <w:rPr>
          <w:rFonts w:asciiTheme="minorHAnsi" w:eastAsiaTheme="minorEastAsia" w:hAnsiTheme="minorHAnsi" w:cstheme="minorBidi"/>
          <w:szCs w:val="22"/>
        </w:rPr>
      </w:pPr>
      <w:r>
        <w:t>20</w:t>
      </w:r>
      <w:r>
        <w:rPr>
          <w:snapToGrid w:val="0"/>
        </w:rPr>
        <w:t>.</w:t>
      </w:r>
      <w:r>
        <w:rPr>
          <w:snapToGrid w:val="0"/>
        </w:rPr>
        <w:tab/>
        <w:t>CEO and staff, duties of (Sch. 3) etc.</w:t>
      </w:r>
      <w:r>
        <w:tab/>
      </w:r>
      <w:r>
        <w:fldChar w:fldCharType="begin"/>
      </w:r>
      <w:r>
        <w:instrText xml:space="preserve"> PAGEREF _Toc1491951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Codes of conduct</w:t>
      </w:r>
      <w:r>
        <w:tab/>
      </w:r>
      <w:r>
        <w:fldChar w:fldCharType="begin"/>
      </w:r>
      <w:r>
        <w:instrText xml:space="preserve"> PAGEREF _Toc1491952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 as to s. 21 codes</w:t>
      </w:r>
      <w:r>
        <w:tab/>
      </w:r>
      <w:r>
        <w:fldChar w:fldCharType="begin"/>
      </w:r>
      <w:r>
        <w:instrText xml:space="preserve"> PAGEREF _Toc1491953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Reports to Minister as to s. 21 codes</w:t>
      </w:r>
      <w:r>
        <w:tab/>
      </w:r>
      <w:r>
        <w:fldChar w:fldCharType="begin"/>
      </w:r>
      <w:r>
        <w:instrText xml:space="preserve"> PAGEREF _Toc1491954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Port areas and property of port authorities</w:t>
      </w:r>
    </w:p>
    <w:p>
      <w:pPr>
        <w:pStyle w:val="TOC8"/>
        <w:rPr>
          <w:rFonts w:asciiTheme="minorHAnsi" w:eastAsiaTheme="minorEastAsia" w:hAnsiTheme="minorHAnsi" w:cstheme="minorBidi"/>
          <w:szCs w:val="22"/>
        </w:rPr>
      </w:pPr>
      <w:r>
        <w:t>24</w:t>
      </w:r>
      <w:r>
        <w:rPr>
          <w:snapToGrid w:val="0"/>
        </w:rPr>
        <w:t>.</w:t>
      </w:r>
      <w:r>
        <w:rPr>
          <w:snapToGrid w:val="0"/>
        </w:rPr>
        <w:tab/>
        <w:t>Port areas defined</w:t>
      </w:r>
      <w:r>
        <w:tab/>
      </w:r>
      <w:r>
        <w:fldChar w:fldCharType="begin"/>
      </w:r>
      <w:r>
        <w:instrText xml:space="preserve"> PAGEREF _Toc1491956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Port authority, property vested in</w:t>
      </w:r>
      <w:r>
        <w:tab/>
      </w:r>
      <w:r>
        <w:fldChar w:fldCharType="begin"/>
      </w:r>
      <w:r>
        <w:instrText xml:space="preserve"> PAGEREF _Toc1491957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Port property may be taken back by Crown</w:t>
      </w:r>
      <w:r>
        <w:tab/>
      </w:r>
      <w:r>
        <w:fldChar w:fldCharType="begin"/>
      </w:r>
      <w:r>
        <w:instrText xml:space="preserve"> PAGEREF _Toc1491958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sell land, restrictions on</w:t>
      </w:r>
      <w:r>
        <w:tab/>
      </w:r>
      <w:r>
        <w:fldChar w:fldCharType="begin"/>
      </w:r>
      <w:r>
        <w:instrText xml:space="preserve"> PAGEREF _Toc1491959 \h </w:instrText>
      </w:r>
      <w:r>
        <w:fldChar w:fldCharType="separate"/>
      </w:r>
      <w:r>
        <w:t>21</w:t>
      </w:r>
      <w:r>
        <w:fldChar w:fldCharType="end"/>
      </w:r>
    </w:p>
    <w:p>
      <w:pPr>
        <w:pStyle w:val="TOC8"/>
        <w:rPr>
          <w:rFonts w:asciiTheme="minorHAnsi" w:eastAsiaTheme="minorEastAsia" w:hAnsiTheme="minorHAnsi" w:cstheme="minorBidi"/>
          <w:szCs w:val="22"/>
        </w:rPr>
      </w:pPr>
      <w:r>
        <w:t>27A.</w:t>
      </w:r>
      <w:r>
        <w:tab/>
        <w:t>Land, creating interests in</w:t>
      </w:r>
      <w:r>
        <w:tab/>
      </w:r>
      <w:r>
        <w:fldChar w:fldCharType="begin"/>
      </w:r>
      <w:r>
        <w:instrText xml:space="preserve"> PAGEREF _Toc1491960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Vested land, creating and dealing with interests in</w:t>
      </w:r>
      <w:r>
        <w:tab/>
      </w:r>
      <w:r>
        <w:fldChar w:fldCharType="begin"/>
      </w:r>
      <w:r>
        <w:instrText xml:space="preserve"> PAGEREF _Toc1491961 \h </w:instrText>
      </w:r>
      <w:r>
        <w:fldChar w:fldCharType="separate"/>
      </w:r>
      <w:r>
        <w:t>22</w:t>
      </w:r>
      <w:r>
        <w:fldChar w:fldCharType="end"/>
      </w:r>
    </w:p>
    <w:p>
      <w:pPr>
        <w:pStyle w:val="TOC8"/>
        <w:rPr>
          <w:rFonts w:asciiTheme="minorHAnsi" w:eastAsiaTheme="minorEastAsia" w:hAnsiTheme="minorHAnsi" w:cstheme="minorBidi"/>
          <w:szCs w:val="22"/>
        </w:rPr>
      </w:pPr>
      <w:r>
        <w:t>29A.</w:t>
      </w:r>
      <w:r>
        <w:tab/>
        <w:t xml:space="preserve">Operation of </w:t>
      </w:r>
      <w:r>
        <w:rPr>
          <w:i/>
        </w:rPr>
        <w:t>Planning and Development Act 2005</w:t>
      </w:r>
      <w:r>
        <w:t xml:space="preserve"> section 136 modified</w:t>
      </w:r>
      <w:r>
        <w:tab/>
      </w:r>
      <w:r>
        <w:fldChar w:fldCharType="begin"/>
      </w:r>
      <w:r>
        <w:instrText xml:space="preserve"> PAGEREF _Toc1491962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Disputes between port authority and Crown</w:t>
      </w:r>
      <w:r>
        <w:tab/>
      </w:r>
      <w:r>
        <w:fldChar w:fldCharType="begin"/>
      </w:r>
      <w:r>
        <w:instrText xml:space="preserve"> PAGEREF _Toc1491963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Functions and powers</w:t>
      </w:r>
    </w:p>
    <w:p>
      <w:pPr>
        <w:pStyle w:val="TOC4"/>
        <w:tabs>
          <w:tab w:val="right" w:leader="dot" w:pos="7077"/>
        </w:tabs>
        <w:rPr>
          <w:rFonts w:asciiTheme="minorHAnsi" w:eastAsiaTheme="minorEastAsia" w:hAnsiTheme="minorHAnsi" w:cstheme="minorBidi"/>
          <w:b w:val="0"/>
          <w:szCs w:val="22"/>
        </w:rPr>
      </w:pPr>
      <w:r>
        <w:t>Division 1 — Functions, powers and related provisions</w:t>
      </w:r>
    </w:p>
    <w:p>
      <w:pPr>
        <w:pStyle w:val="TOC8"/>
        <w:rPr>
          <w:rFonts w:asciiTheme="minorHAnsi" w:eastAsiaTheme="minorEastAsia" w:hAnsiTheme="minorHAnsi" w:cstheme="minorBidi"/>
          <w:szCs w:val="22"/>
        </w:rPr>
      </w:pPr>
      <w:r>
        <w:t>30</w:t>
      </w:r>
      <w:r>
        <w:rPr>
          <w:snapToGrid w:val="0"/>
        </w:rPr>
        <w:t>.</w:t>
      </w:r>
      <w:r>
        <w:rPr>
          <w:snapToGrid w:val="0"/>
        </w:rPr>
        <w:tab/>
        <w:t>Functions</w:t>
      </w:r>
      <w:r>
        <w:tab/>
      </w:r>
      <w:r>
        <w:fldChar w:fldCharType="begin"/>
      </w:r>
      <w:r>
        <w:instrText xml:space="preserve"> PAGEREF _Toc1491966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Port authorities can act at their discretion</w:t>
      </w:r>
      <w:r>
        <w:tab/>
      </w:r>
      <w:r>
        <w:fldChar w:fldCharType="begin"/>
      </w:r>
      <w:r>
        <w:instrText xml:space="preserve"> PAGEREF _Toc1491967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Control of port, port authority has</w:t>
      </w:r>
      <w:r>
        <w:tab/>
      </w:r>
      <w:r>
        <w:fldChar w:fldCharType="begin"/>
      </w:r>
      <w:r>
        <w:instrText xml:space="preserve"> PAGEREF _Toc1491968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act in accordance with policy instruments</w:t>
      </w:r>
      <w:r>
        <w:tab/>
      </w:r>
      <w:r>
        <w:fldChar w:fldCharType="begin"/>
      </w:r>
      <w:r>
        <w:instrText xml:space="preserve"> PAGEREF _Toc1491969 \h </w:instrText>
      </w:r>
      <w:r>
        <w:fldChar w:fldCharType="separate"/>
      </w:r>
      <w:r>
        <w:t>24</w:t>
      </w:r>
      <w:r>
        <w:fldChar w:fldCharType="end"/>
      </w:r>
    </w:p>
    <w:p>
      <w:pPr>
        <w:pStyle w:val="TOC8"/>
        <w:rPr>
          <w:rFonts w:asciiTheme="minorHAnsi" w:eastAsiaTheme="minorEastAsia" w:hAnsiTheme="minorHAnsi" w:cstheme="minorBidi"/>
          <w:szCs w:val="22"/>
        </w:rPr>
      </w:pPr>
      <w:r>
        <w:t>34A.</w:t>
      </w:r>
      <w:r>
        <w:tab/>
        <w:t>Duty to comply with State budgetary requirements</w:t>
      </w:r>
      <w:r>
        <w:tab/>
      </w:r>
      <w:r>
        <w:fldChar w:fldCharType="begin"/>
      </w:r>
      <w:r>
        <w:instrText xml:space="preserve"> PAGEREF _Toc1491970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Duty to act on commercial principles</w:t>
      </w:r>
      <w:r>
        <w:tab/>
      </w:r>
      <w:r>
        <w:fldChar w:fldCharType="begin"/>
      </w:r>
      <w:r>
        <w:instrText xml:space="preserve"> PAGEREF _Toc1491971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generally</w:t>
      </w:r>
      <w:r>
        <w:tab/>
      </w:r>
      <w:r>
        <w:fldChar w:fldCharType="begin"/>
      </w:r>
      <w:r>
        <w:instrText xml:space="preserve"> PAGEREF _Toc1491972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Port facilities and services, extended powers as to</w:t>
      </w:r>
      <w:r>
        <w:tab/>
      </w:r>
      <w:r>
        <w:fldChar w:fldCharType="begin"/>
      </w:r>
      <w:r>
        <w:instrText xml:space="preserve"> PAGEREF _Toc1491973 \h </w:instrText>
      </w:r>
      <w:r>
        <w:fldChar w:fldCharType="separate"/>
      </w:r>
      <w:r>
        <w:t>29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Fees and charges, power to levy</w:t>
      </w:r>
      <w:r>
        <w:tab/>
      </w:r>
      <w:r>
        <w:fldChar w:fldCharType="begin"/>
      </w:r>
      <w:r>
        <w:instrText xml:space="preserve"> PAGEREF _Toc1491974 \h </w:instrText>
      </w:r>
      <w:r>
        <w:fldChar w:fldCharType="separate"/>
      </w:r>
      <w:r>
        <w:t>29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Planning laws, application of to port authorities</w:t>
      </w:r>
      <w:r>
        <w:tab/>
      </w:r>
      <w:r>
        <w:fldChar w:fldCharType="begin"/>
      </w:r>
      <w:r>
        <w:instrText xml:space="preserve"> PAGEREF _Toc1491975 \h </w:instrText>
      </w:r>
      <w:r>
        <w:fldChar w:fldCharType="separate"/>
      </w:r>
      <w:r>
        <w:t>30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Subsidiaries of port authorities, acquisition of etc.</w:t>
      </w:r>
      <w:r>
        <w:tab/>
      </w:r>
      <w:r>
        <w:fldChar w:fldCharType="begin"/>
      </w:r>
      <w:r>
        <w:instrText xml:space="preserve"> PAGEREF _Toc1491976 \h </w:instrText>
      </w:r>
      <w:r>
        <w:fldChar w:fldCharType="separate"/>
      </w:r>
      <w:r>
        <w:t>31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Ministerial approval, transactions requiring</w:t>
      </w:r>
      <w:r>
        <w:tab/>
      </w:r>
      <w:r>
        <w:fldChar w:fldCharType="begin"/>
      </w:r>
      <w:r>
        <w:instrText xml:space="preserve"> PAGEREF _Toc1491977 \h </w:instrText>
      </w:r>
      <w:r>
        <w:fldChar w:fldCharType="separate"/>
      </w:r>
      <w:r>
        <w:t>31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Exemptions from s. 40</w:t>
      </w:r>
      <w:r>
        <w:tab/>
      </w:r>
      <w:r>
        <w:fldChar w:fldCharType="begin"/>
      </w:r>
      <w:r>
        <w:instrText xml:space="preserve"> PAGEREF _Toc1491978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Term used: transaction</w:t>
      </w:r>
      <w:r>
        <w:tab/>
      </w:r>
      <w:r>
        <w:fldChar w:fldCharType="begin"/>
      </w:r>
      <w:r>
        <w:instrText xml:space="preserve"> PAGEREF _Toc1491979 \h </w:instrText>
      </w:r>
      <w:r>
        <w:fldChar w:fldCharType="separate"/>
      </w:r>
      <w:r>
        <w:t>32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Major initiatives etc., Minister to be consulted on</w:t>
      </w:r>
      <w:r>
        <w:tab/>
      </w:r>
      <w:r>
        <w:fldChar w:fldCharType="begin"/>
      </w:r>
      <w:r>
        <w:instrText xml:space="preserve"> PAGEREF _Toc1491980 \h </w:instrText>
      </w:r>
      <w:r>
        <w:fldChar w:fldCharType="separate"/>
      </w:r>
      <w:r>
        <w:t>33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Delegation by port authority</w:t>
      </w:r>
      <w:r>
        <w:tab/>
      </w:r>
      <w:r>
        <w:fldChar w:fldCharType="begin"/>
      </w:r>
      <w:r>
        <w:instrText xml:space="preserve"> PAGEREF _Toc1491981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Protection of people dealing with port authorities</w:t>
      </w:r>
    </w:p>
    <w:p>
      <w:pPr>
        <w:pStyle w:val="TOC8"/>
        <w:rPr>
          <w:rFonts w:asciiTheme="minorHAnsi" w:eastAsiaTheme="minorEastAsia" w:hAnsiTheme="minorHAnsi" w:cstheme="minorBidi"/>
          <w:szCs w:val="22"/>
        </w:rPr>
      </w:pPr>
      <w:r>
        <w:t>45</w:t>
      </w:r>
      <w:r>
        <w:rPr>
          <w:snapToGrid w:val="0"/>
        </w:rPr>
        <w:t>.</w:t>
      </w:r>
      <w:r>
        <w:rPr>
          <w:snapToGrid w:val="0"/>
        </w:rPr>
        <w:tab/>
        <w:t>People dealing with port authorities may make assumptions</w:t>
      </w:r>
      <w:r>
        <w:tab/>
      </w:r>
      <w:r>
        <w:fldChar w:fldCharType="begin"/>
      </w:r>
      <w:r>
        <w:instrText xml:space="preserve"> PAGEREF _Toc1491983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Third parties may make assumptions</w:t>
      </w:r>
      <w:r>
        <w:tab/>
      </w:r>
      <w:r>
        <w:fldChar w:fldCharType="begin"/>
      </w:r>
      <w:r>
        <w:instrText xml:space="preserve"> PAGEREF _Toc1491984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Assumptions that may be made under s. 45 and 46</w:t>
      </w:r>
      <w:r>
        <w:tab/>
      </w:r>
      <w:r>
        <w:fldChar w:fldCharType="begin"/>
      </w:r>
      <w:r>
        <w:instrText xml:space="preserve"> PAGEREF _Toc1491985 \h </w:instrText>
      </w:r>
      <w:r>
        <w:fldChar w:fldCharType="separate"/>
      </w:r>
      <w:r>
        <w:t>34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Exception to s. 45 and 46</w:t>
      </w:r>
      <w:r>
        <w:tab/>
      </w:r>
      <w:r>
        <w:fldChar w:fldCharType="begin"/>
      </w:r>
      <w:r>
        <w:instrText xml:space="preserve"> PAGEREF _Toc1491986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about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49</w:t>
      </w:r>
      <w:r>
        <w:rPr>
          <w:snapToGrid w:val="0"/>
        </w:rPr>
        <w:t>.</w:t>
      </w:r>
      <w:r>
        <w:rPr>
          <w:snapToGrid w:val="0"/>
        </w:rPr>
        <w:tab/>
        <w:t>Draft strategic development plan to be submitted to Minister</w:t>
      </w:r>
      <w:r>
        <w:tab/>
      </w:r>
      <w:r>
        <w:fldChar w:fldCharType="begin"/>
      </w:r>
      <w:r>
        <w:instrText xml:space="preserve"> PAGEREF _Toc1491989 \h </w:instrText>
      </w:r>
      <w:r>
        <w:fldChar w:fldCharType="separate"/>
      </w:r>
      <w:r>
        <w:t>37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Period to which strategic development plan relates</w:t>
      </w:r>
      <w:r>
        <w:tab/>
      </w:r>
      <w:r>
        <w:fldChar w:fldCharType="begin"/>
      </w:r>
      <w:r>
        <w:instrText xml:space="preserve"> PAGEREF _Toc1491990 \h </w:instrText>
      </w:r>
      <w:r>
        <w:fldChar w:fldCharType="separate"/>
      </w:r>
      <w:r>
        <w:t>37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Matters to be included in strategic development plan</w:t>
      </w:r>
      <w:r>
        <w:tab/>
      </w:r>
      <w:r>
        <w:fldChar w:fldCharType="begin"/>
      </w:r>
      <w:r>
        <w:instrText xml:space="preserve"> PAGEREF _Toc1491991 \h </w:instrText>
      </w:r>
      <w:r>
        <w:fldChar w:fldCharType="separate"/>
      </w:r>
      <w:r>
        <w:t>37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Strategic development plan to be agreed if possible</w:t>
      </w:r>
      <w:r>
        <w:tab/>
      </w:r>
      <w:r>
        <w:fldChar w:fldCharType="begin"/>
      </w:r>
      <w:r>
        <w:instrText xml:space="preserve"> PAGEREF _Toc1491992 \h </w:instrText>
      </w:r>
      <w:r>
        <w:fldChar w:fldCharType="separate"/>
      </w:r>
      <w:r>
        <w:t>38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Minister’s powers in relation to draft strategic development plan</w:t>
      </w:r>
      <w:r>
        <w:tab/>
      </w:r>
      <w:r>
        <w:fldChar w:fldCharType="begin"/>
      </w:r>
      <w:r>
        <w:instrText xml:space="preserve"> PAGEREF _Toc1491993 \h </w:instrText>
      </w:r>
      <w:r>
        <w:fldChar w:fldCharType="separate"/>
      </w:r>
      <w:r>
        <w:t>38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Strategic development plan pending agreement</w:t>
      </w:r>
      <w:r>
        <w:tab/>
      </w:r>
      <w:r>
        <w:fldChar w:fldCharType="begin"/>
      </w:r>
      <w:r>
        <w:instrText xml:space="preserve"> PAGEREF _Toc1491994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Agreed draft becomes strategic development plan</w:t>
      </w:r>
      <w:r>
        <w:tab/>
      </w:r>
      <w:r>
        <w:fldChar w:fldCharType="begin"/>
      </w:r>
      <w:r>
        <w:instrText xml:space="preserve"> PAGEREF _Toc1491995 \h </w:instrText>
      </w:r>
      <w:r>
        <w:fldChar w:fldCharType="separate"/>
      </w:r>
      <w:r>
        <w:t>39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Modifying strategic development plan</w:t>
      </w:r>
      <w:r>
        <w:tab/>
      </w:r>
      <w:r>
        <w:fldChar w:fldCharType="begin"/>
      </w:r>
      <w:r>
        <w:instrText xml:space="preserve"> PAGEREF _Toc1491996 \h </w:instrText>
      </w:r>
      <w:r>
        <w:fldChar w:fldCharType="separate"/>
      </w:r>
      <w:r>
        <w:t>39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Treasurer’s concurrence needed by Minister for s. 55 or 56</w:t>
      </w:r>
      <w:r>
        <w:tab/>
      </w:r>
      <w:r>
        <w:fldChar w:fldCharType="begin"/>
      </w:r>
      <w:r>
        <w:instrText xml:space="preserve"> PAGEREF _Toc1491997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58</w:t>
      </w:r>
      <w:r>
        <w:rPr>
          <w:snapToGrid w:val="0"/>
        </w:rPr>
        <w:t>.</w:t>
      </w:r>
      <w:r>
        <w:rPr>
          <w:snapToGrid w:val="0"/>
        </w:rPr>
        <w:tab/>
        <w:t>Draft statement of corporate intent to be submitted to Minister</w:t>
      </w:r>
      <w:r>
        <w:tab/>
      </w:r>
      <w:r>
        <w:fldChar w:fldCharType="begin"/>
      </w:r>
      <w:r>
        <w:instrText xml:space="preserve"> PAGEREF _Toc1491999 \h </w:instrText>
      </w:r>
      <w:r>
        <w:fldChar w:fldCharType="separate"/>
      </w:r>
      <w:r>
        <w:t>41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Period to which statement of corporate intent relates</w:t>
      </w:r>
      <w:r>
        <w:tab/>
      </w:r>
      <w:r>
        <w:fldChar w:fldCharType="begin"/>
      </w:r>
      <w:r>
        <w:instrText xml:space="preserve"> PAGEREF _Toc1492000 \h </w:instrText>
      </w:r>
      <w:r>
        <w:fldChar w:fldCharType="separate"/>
      </w:r>
      <w:r>
        <w:t>41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Matters to be included in statement of corporate intent</w:t>
      </w:r>
      <w:r>
        <w:tab/>
      </w:r>
      <w:r>
        <w:fldChar w:fldCharType="begin"/>
      </w:r>
      <w:r>
        <w:instrText xml:space="preserve"> PAGEREF _Toc1492001 \h </w:instrText>
      </w:r>
      <w:r>
        <w:fldChar w:fldCharType="separate"/>
      </w:r>
      <w:r>
        <w:t>41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Statement of corporate intent to be agreed if possible</w:t>
      </w:r>
      <w:r>
        <w:tab/>
      </w:r>
      <w:r>
        <w:fldChar w:fldCharType="begin"/>
      </w:r>
      <w:r>
        <w:instrText xml:space="preserve"> PAGEREF _Toc1492002 \h </w:instrText>
      </w:r>
      <w:r>
        <w:fldChar w:fldCharType="separate"/>
      </w:r>
      <w:r>
        <w:t>43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Minister’s powers in relation to draft statement of corporate intent</w:t>
      </w:r>
      <w:r>
        <w:tab/>
      </w:r>
      <w:r>
        <w:fldChar w:fldCharType="begin"/>
      </w:r>
      <w:r>
        <w:instrText xml:space="preserve"> PAGEREF _Toc1492003 \h </w:instrText>
      </w:r>
      <w:r>
        <w:fldChar w:fldCharType="separate"/>
      </w:r>
      <w:r>
        <w:t>43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Statement of corporate intent pending agreement</w:t>
      </w:r>
      <w:r>
        <w:tab/>
      </w:r>
      <w:r>
        <w:fldChar w:fldCharType="begin"/>
      </w:r>
      <w:r>
        <w:instrText xml:space="preserve"> PAGEREF _Toc1492004 \h </w:instrText>
      </w:r>
      <w:r>
        <w:fldChar w:fldCharType="separate"/>
      </w:r>
      <w:r>
        <w:t>44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Agreed draft becomes statement of corporate intent</w:t>
      </w:r>
      <w:r>
        <w:tab/>
      </w:r>
      <w:r>
        <w:fldChar w:fldCharType="begin"/>
      </w:r>
      <w:r>
        <w:instrText xml:space="preserve"> PAGEREF _Toc1492005 \h </w:instrText>
      </w:r>
      <w:r>
        <w:fldChar w:fldCharType="separate"/>
      </w:r>
      <w:r>
        <w:t>44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Modifying statement of corporate intent</w:t>
      </w:r>
      <w:r>
        <w:tab/>
      </w:r>
      <w:r>
        <w:fldChar w:fldCharType="begin"/>
      </w:r>
      <w:r>
        <w:instrText xml:space="preserve"> PAGEREF _Toc1492006 \h </w:instrText>
      </w:r>
      <w:r>
        <w:fldChar w:fldCharType="separate"/>
      </w:r>
      <w:r>
        <w:t>45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Treasurer’s concurrence needed by Minister for s. 64 and 65</w:t>
      </w:r>
      <w:r>
        <w:tab/>
      </w:r>
      <w:r>
        <w:fldChar w:fldCharType="begin"/>
      </w:r>
      <w:r>
        <w:instrText xml:space="preserve"> PAGEREF _Toc1492007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Reporting requirements</w:t>
      </w:r>
    </w:p>
    <w:p>
      <w:pPr>
        <w:pStyle w:val="TOC8"/>
        <w:rPr>
          <w:rFonts w:asciiTheme="minorHAnsi" w:eastAsiaTheme="minorEastAsia" w:hAnsiTheme="minorHAnsi" w:cstheme="minorBidi"/>
          <w:szCs w:val="22"/>
        </w:rPr>
      </w:pPr>
      <w:r>
        <w:t>67</w:t>
      </w:r>
      <w:r>
        <w:rPr>
          <w:snapToGrid w:val="0"/>
        </w:rPr>
        <w:t>.</w:t>
      </w:r>
      <w:r>
        <w:rPr>
          <w:snapToGrid w:val="0"/>
        </w:rPr>
        <w:tab/>
        <w:t>Half</w:t>
      </w:r>
      <w:r>
        <w:rPr>
          <w:snapToGrid w:val="0"/>
        </w:rPr>
        <w:noBreakHyphen/>
        <w:t>yearly reports</w:t>
      </w:r>
      <w:r>
        <w:tab/>
      </w:r>
      <w:r>
        <w:fldChar w:fldCharType="begin"/>
      </w:r>
      <w:r>
        <w:instrText xml:space="preserve"> PAGEREF _Toc1492009 \h </w:instrText>
      </w:r>
      <w:r>
        <w:fldChar w:fldCharType="separate"/>
      </w:r>
      <w:r>
        <w:t>46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Annual reports</w:t>
      </w:r>
      <w:r>
        <w:tab/>
      </w:r>
      <w:r>
        <w:fldChar w:fldCharType="begin"/>
      </w:r>
      <w:r>
        <w:instrText xml:space="preserve"> PAGEREF _Toc1492010 \h </w:instrText>
      </w:r>
      <w:r>
        <w:fldChar w:fldCharType="separate"/>
      </w:r>
      <w:r>
        <w:t>46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Annual reports, contents of</w:t>
      </w:r>
      <w:r>
        <w:tab/>
      </w:r>
      <w:r>
        <w:fldChar w:fldCharType="begin"/>
      </w:r>
      <w:r>
        <w:instrText xml:space="preserve"> PAGEREF _Toc1492011 \h </w:instrText>
      </w:r>
      <w:r>
        <w:fldChar w:fldCharType="separate"/>
      </w:r>
      <w:r>
        <w:t>47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Commercially sensitive matters, deletion of from reports</w:t>
      </w:r>
      <w:r>
        <w:tab/>
      </w:r>
      <w:r>
        <w:fldChar w:fldCharType="begin"/>
      </w:r>
      <w:r>
        <w:instrText xml:space="preserve"> PAGEREF _Toc1492012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Ministerial directions, general provisions</w:t>
      </w:r>
    </w:p>
    <w:p>
      <w:pPr>
        <w:pStyle w:val="TOC8"/>
        <w:rPr>
          <w:rFonts w:asciiTheme="minorHAnsi" w:eastAsiaTheme="minorEastAsia" w:hAnsiTheme="minorHAnsi" w:cstheme="minorBidi"/>
          <w:szCs w:val="22"/>
        </w:rPr>
      </w:pPr>
      <w:r>
        <w:t>71</w:t>
      </w:r>
      <w:r>
        <w:rPr>
          <w:snapToGrid w:val="0"/>
        </w:rPr>
        <w:t>.</w:t>
      </w:r>
      <w:r>
        <w:rPr>
          <w:snapToGrid w:val="0"/>
        </w:rPr>
        <w:tab/>
        <w:t>Which directions port authority obliged to obey</w:t>
      </w:r>
      <w:r>
        <w:tab/>
      </w:r>
      <w:r>
        <w:fldChar w:fldCharType="begin"/>
      </w:r>
      <w:r>
        <w:instrText xml:space="preserve"> PAGEREF _Toc1492014 \h </w:instrText>
      </w:r>
      <w:r>
        <w:fldChar w:fldCharType="separate"/>
      </w:r>
      <w:r>
        <w:t>48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Minister may give directions</w:t>
      </w:r>
      <w:r>
        <w:tab/>
      </w:r>
      <w:r>
        <w:fldChar w:fldCharType="begin"/>
      </w:r>
      <w:r>
        <w:instrText xml:space="preserve"> PAGEREF _Toc1492015 \h </w:instrText>
      </w:r>
      <w:r>
        <w:fldChar w:fldCharType="separate"/>
      </w:r>
      <w:r>
        <w:t>48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When s. 72(1) direction takes effect</w:t>
      </w:r>
      <w:r>
        <w:tab/>
      </w:r>
      <w:r>
        <w:fldChar w:fldCharType="begin"/>
      </w:r>
      <w:r>
        <w:instrText xml:space="preserve"> PAGEREF _Toc1492016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Consultation and provision of information</w:t>
      </w:r>
    </w:p>
    <w:p>
      <w:pPr>
        <w:pStyle w:val="TOC8"/>
        <w:rPr>
          <w:rFonts w:asciiTheme="minorHAnsi" w:eastAsiaTheme="minorEastAsia" w:hAnsiTheme="minorHAnsi" w:cstheme="minorBidi"/>
          <w:szCs w:val="22"/>
        </w:rPr>
      </w:pPr>
      <w:r>
        <w:t>74</w:t>
      </w:r>
      <w:r>
        <w:rPr>
          <w:snapToGrid w:val="0"/>
        </w:rPr>
        <w:t>.</w:t>
      </w:r>
      <w:r>
        <w:rPr>
          <w:snapToGrid w:val="0"/>
        </w:rPr>
        <w:tab/>
        <w:t>Consultation between board and Minister</w:t>
      </w:r>
      <w:r>
        <w:tab/>
      </w:r>
      <w:r>
        <w:fldChar w:fldCharType="begin"/>
      </w:r>
      <w:r>
        <w:instrText xml:space="preserve"> PAGEREF _Toc1492018 \h </w:instrText>
      </w:r>
      <w:r>
        <w:fldChar w:fldCharType="separate"/>
      </w:r>
      <w:r>
        <w:t>49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Minister to have access to information</w:t>
      </w:r>
      <w:r>
        <w:tab/>
      </w:r>
      <w:r>
        <w:fldChar w:fldCharType="begin"/>
      </w:r>
      <w:r>
        <w:instrText xml:space="preserve"> PAGEREF _Toc1492019 \h </w:instrText>
      </w:r>
      <w:r>
        <w:fldChar w:fldCharType="separate"/>
      </w:r>
      <w:r>
        <w:t>50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Minister to be kept informed</w:t>
      </w:r>
      <w:r>
        <w:tab/>
      </w:r>
      <w:r>
        <w:fldChar w:fldCharType="begin"/>
      </w:r>
      <w:r>
        <w:instrText xml:space="preserve"> PAGEREF _Toc1492020 \h </w:instrText>
      </w:r>
      <w:r>
        <w:fldChar w:fldCharType="separate"/>
      </w:r>
      <w:r>
        <w:t>51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Financial difficulty, board to notify Minister of etc.</w:t>
      </w:r>
      <w:r>
        <w:tab/>
      </w:r>
      <w:r>
        <w:fldChar w:fldCharType="begin"/>
      </w:r>
      <w:r>
        <w:instrText xml:space="preserve"> PAGEREF _Toc1492021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xml:space="preserve"> — </w:t>
      </w:r>
      <w:r>
        <w:t>Protection from liability</w:t>
      </w:r>
    </w:p>
    <w:p>
      <w:pPr>
        <w:pStyle w:val="TOC8"/>
        <w:rPr>
          <w:rFonts w:asciiTheme="minorHAnsi" w:eastAsiaTheme="minorEastAsia" w:hAnsiTheme="minorHAnsi" w:cstheme="minorBidi"/>
          <w:szCs w:val="22"/>
        </w:rPr>
      </w:pPr>
      <w:r>
        <w:t>78</w:t>
      </w:r>
      <w:r>
        <w:rPr>
          <w:snapToGrid w:val="0"/>
        </w:rPr>
        <w:t>.</w:t>
      </w:r>
      <w:r>
        <w:rPr>
          <w:snapToGrid w:val="0"/>
        </w:rPr>
        <w:tab/>
        <w:t>No liability for things done under this Part</w:t>
      </w:r>
      <w:r>
        <w:tab/>
      </w:r>
      <w:r>
        <w:fldChar w:fldCharType="begin"/>
      </w:r>
      <w:r>
        <w:instrText xml:space="preserve"> PAGEREF _Toc1492023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79</w:t>
      </w:r>
      <w:r>
        <w:rPr>
          <w:snapToGrid w:val="0"/>
        </w:rPr>
        <w:t>.</w:t>
      </w:r>
      <w:r>
        <w:rPr>
          <w:snapToGrid w:val="0"/>
        </w:rPr>
        <w:tab/>
        <w:t>Bank account</w:t>
      </w:r>
      <w:r>
        <w:tab/>
      </w:r>
      <w:r>
        <w:fldChar w:fldCharType="begin"/>
      </w:r>
      <w:r>
        <w:instrText xml:space="preserve"> PAGEREF _Toc1492026 \h </w:instrText>
      </w:r>
      <w:r>
        <w:fldChar w:fldCharType="separate"/>
      </w:r>
      <w:r>
        <w:t>53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Investing funds</w:t>
      </w:r>
      <w:r>
        <w:tab/>
      </w:r>
      <w:r>
        <w:fldChar w:fldCharType="begin"/>
      </w:r>
      <w:r>
        <w:instrText xml:space="preserve"> PAGEREF _Toc1492027 \h </w:instrText>
      </w:r>
      <w:r>
        <w:fldChar w:fldCharType="separate"/>
      </w:r>
      <w:r>
        <w:t>53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Exemption from rates</w:t>
      </w:r>
      <w:r>
        <w:tab/>
      </w:r>
      <w:r>
        <w:fldChar w:fldCharType="begin"/>
      </w:r>
      <w:r>
        <w:instrText xml:space="preserve"> PAGEREF _Toc1492028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Payments to State</w:t>
      </w:r>
    </w:p>
    <w:p>
      <w:pPr>
        <w:pStyle w:val="TOC8"/>
        <w:rPr>
          <w:rFonts w:asciiTheme="minorHAnsi" w:eastAsiaTheme="minorEastAsia" w:hAnsiTheme="minorHAnsi" w:cstheme="minorBidi"/>
          <w:szCs w:val="22"/>
        </w:rPr>
      </w:pPr>
      <w:r>
        <w:t>82</w:t>
      </w:r>
      <w:r>
        <w:rPr>
          <w:snapToGrid w:val="0"/>
        </w:rPr>
        <w:t>.</w:t>
      </w:r>
      <w:r>
        <w:rPr>
          <w:snapToGrid w:val="0"/>
        </w:rPr>
        <w:tab/>
        <w:t>Payment of amount in lieu of rates</w:t>
      </w:r>
      <w:r>
        <w:tab/>
      </w:r>
      <w:r>
        <w:fldChar w:fldCharType="begin"/>
      </w:r>
      <w:r>
        <w:instrText xml:space="preserve"> PAGEREF _Toc1492030 \h </w:instrText>
      </w:r>
      <w:r>
        <w:fldChar w:fldCharType="separate"/>
      </w:r>
      <w:r>
        <w:t>54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Determining amounts under s. 82</w:t>
      </w:r>
      <w:r>
        <w:tab/>
      </w:r>
      <w:r>
        <w:fldChar w:fldCharType="begin"/>
      </w:r>
      <w:r>
        <w:instrText xml:space="preserve"> PAGEREF _Toc1492031 \h </w:instrText>
      </w:r>
      <w:r>
        <w:fldChar w:fldCharType="separate"/>
      </w:r>
      <w:r>
        <w:t>54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Dividends</w:t>
      </w:r>
      <w:r>
        <w:tab/>
      </w:r>
      <w:r>
        <w:fldChar w:fldCharType="begin"/>
      </w:r>
      <w:r>
        <w:instrText xml:space="preserve"> PAGEREF _Toc1492032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Borrowing</w:t>
      </w:r>
    </w:p>
    <w:p>
      <w:pPr>
        <w:pStyle w:val="TOC8"/>
        <w:rPr>
          <w:rFonts w:asciiTheme="minorHAnsi" w:eastAsiaTheme="minorEastAsia" w:hAnsiTheme="minorHAnsi" w:cstheme="minorBidi"/>
          <w:szCs w:val="22"/>
        </w:rPr>
      </w:pPr>
      <w:r>
        <w:t>85</w:t>
      </w:r>
      <w:r>
        <w:rPr>
          <w:snapToGrid w:val="0"/>
        </w:rPr>
        <w:t>.</w:t>
      </w:r>
      <w:r>
        <w:rPr>
          <w:snapToGrid w:val="0"/>
        </w:rPr>
        <w:tab/>
        <w:t>Borrowing powers</w:t>
      </w:r>
      <w:r>
        <w:tab/>
      </w:r>
      <w:r>
        <w:fldChar w:fldCharType="begin"/>
      </w:r>
      <w:r>
        <w:instrText xml:space="preserve"> PAGEREF _Toc1492034 \h </w:instrText>
      </w:r>
      <w:r>
        <w:fldChar w:fldCharType="separate"/>
      </w:r>
      <w:r>
        <w:t>57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Borrowing limits</w:t>
      </w:r>
      <w:r>
        <w:tab/>
      </w:r>
      <w:r>
        <w:fldChar w:fldCharType="begin"/>
      </w:r>
      <w:r>
        <w:instrText xml:space="preserve"> PAGEREF _Toc1492035 \h </w:instrText>
      </w:r>
      <w:r>
        <w:fldChar w:fldCharType="separate"/>
      </w:r>
      <w:r>
        <w:t>57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Hedging transactions</w:t>
      </w:r>
      <w:r>
        <w:tab/>
      </w:r>
      <w:r>
        <w:fldChar w:fldCharType="begin"/>
      </w:r>
      <w:r>
        <w:instrText xml:space="preserve"> PAGEREF _Toc1492036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88</w:t>
      </w:r>
      <w:r>
        <w:rPr>
          <w:snapToGrid w:val="0"/>
        </w:rPr>
        <w:t>.</w:t>
      </w:r>
      <w:r>
        <w:rPr>
          <w:snapToGrid w:val="0"/>
        </w:rPr>
        <w:tab/>
        <w:t>Guarantees by Treasurer</w:t>
      </w:r>
      <w:r>
        <w:tab/>
      </w:r>
      <w:r>
        <w:fldChar w:fldCharType="begin"/>
      </w:r>
      <w:r>
        <w:instrText xml:space="preserve"> PAGEREF _Toc1492038 \h </w:instrText>
      </w:r>
      <w:r>
        <w:fldChar w:fldCharType="separate"/>
      </w:r>
      <w:r>
        <w:t>60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Charges for Treasurer’s guarantee</w:t>
      </w:r>
      <w:r>
        <w:tab/>
      </w:r>
      <w:r>
        <w:fldChar w:fldCharType="begin"/>
      </w:r>
      <w:r>
        <w:instrText xml:space="preserve"> PAGEREF _Toc1492039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Financial administration and audit</w:t>
      </w:r>
    </w:p>
    <w:p>
      <w:pPr>
        <w:pStyle w:val="TOC8"/>
        <w:rPr>
          <w:rFonts w:asciiTheme="minorHAnsi" w:eastAsiaTheme="minorEastAsia" w:hAnsiTheme="minorHAnsi" w:cstheme="minorBidi"/>
          <w:szCs w:val="22"/>
        </w:rPr>
      </w:pPr>
      <w:r>
        <w:t>90</w:t>
      </w:r>
      <w:r>
        <w:rPr>
          <w:snapToGrid w:val="0"/>
        </w:rPr>
        <w:t>.</w:t>
      </w:r>
      <w:r>
        <w:rPr>
          <w:snapToGrid w:val="0"/>
        </w:rPr>
        <w:tab/>
      </w:r>
      <w:r>
        <w:rPr>
          <w:i/>
        </w:rPr>
        <w:t>Financial Management Act 2006</w:t>
      </w:r>
      <w:r>
        <w:t xml:space="preserve"> and </w:t>
      </w:r>
      <w:r>
        <w:rPr>
          <w:i/>
        </w:rPr>
        <w:t>Auditor General Act 2006</w:t>
      </w:r>
      <w:r>
        <w:t>, limited application of</w:t>
      </w:r>
      <w:r>
        <w:tab/>
      </w:r>
      <w:r>
        <w:fldChar w:fldCharType="begin"/>
      </w:r>
      <w:r>
        <w:instrText xml:space="preserve"> PAGEREF _Toc1492041 \h </w:instrText>
      </w:r>
      <w:r>
        <w:fldChar w:fldCharType="separate"/>
      </w:r>
      <w:r>
        <w:t>61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Financial administration and audit (Sch. 5)</w:t>
      </w:r>
      <w:r>
        <w:tab/>
      </w:r>
      <w:r>
        <w:fldChar w:fldCharType="begin"/>
      </w:r>
      <w:r>
        <w:instrText xml:space="preserve"> PAGEREF _Toc1492042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xml:space="preserve"> — </w:t>
      </w:r>
      <w:r>
        <w:t>Financial targets</w:t>
      </w:r>
    </w:p>
    <w:p>
      <w:pPr>
        <w:pStyle w:val="TOC8"/>
        <w:rPr>
          <w:rFonts w:asciiTheme="minorHAnsi" w:eastAsiaTheme="minorEastAsia" w:hAnsiTheme="minorHAnsi" w:cstheme="minorBidi"/>
          <w:szCs w:val="22"/>
        </w:rPr>
      </w:pPr>
      <w:r>
        <w:t>92</w:t>
      </w:r>
      <w:r>
        <w:rPr>
          <w:snapToGrid w:val="0"/>
        </w:rPr>
        <w:t>.</w:t>
      </w:r>
      <w:r>
        <w:rPr>
          <w:snapToGrid w:val="0"/>
        </w:rPr>
        <w:tab/>
        <w:t>Annual financial targets, Minister may set</w:t>
      </w:r>
      <w:r>
        <w:tab/>
      </w:r>
      <w:r>
        <w:fldChar w:fldCharType="begin"/>
      </w:r>
      <w:r>
        <w:instrText xml:space="preserve"> PAGEREF _Toc1492044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Navigation and port matters</w:t>
      </w:r>
    </w:p>
    <w:p>
      <w:pPr>
        <w:pStyle w:val="TOC4"/>
        <w:tabs>
          <w:tab w:val="right" w:leader="dot" w:pos="7077"/>
        </w:tabs>
        <w:rPr>
          <w:rFonts w:asciiTheme="minorHAnsi" w:eastAsiaTheme="minorEastAsia" w:hAnsiTheme="minorHAnsi" w:cstheme="minorBidi"/>
          <w:b w:val="0"/>
          <w:szCs w:val="22"/>
        </w:rPr>
      </w:pPr>
      <w:r>
        <w:t>Division 1 — Navigational aids</w:t>
      </w:r>
    </w:p>
    <w:p>
      <w:pPr>
        <w:pStyle w:val="TOC8"/>
        <w:rPr>
          <w:rFonts w:asciiTheme="minorHAnsi" w:eastAsiaTheme="minorEastAsia" w:hAnsiTheme="minorHAnsi" w:cstheme="minorBidi"/>
          <w:szCs w:val="22"/>
        </w:rPr>
      </w:pPr>
      <w:r>
        <w:t>93</w:t>
      </w:r>
      <w:r>
        <w:rPr>
          <w:snapToGrid w:val="0"/>
        </w:rPr>
        <w:t>.</w:t>
      </w:r>
      <w:r>
        <w:rPr>
          <w:snapToGrid w:val="0"/>
        </w:rPr>
        <w:tab/>
        <w:t>Port authority may provide etc. navigational aids etc.</w:t>
      </w:r>
      <w:r>
        <w:tab/>
      </w:r>
      <w:r>
        <w:fldChar w:fldCharType="begin"/>
      </w:r>
      <w:r>
        <w:instrText xml:space="preserve"> PAGEREF _Toc1492047 \h </w:instrText>
      </w:r>
      <w:r>
        <w:fldChar w:fldCharType="separate"/>
      </w:r>
      <w:r>
        <w:t>64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Interference with navigational aids, offence</w:t>
      </w:r>
      <w:r>
        <w:tab/>
      </w:r>
      <w:r>
        <w:fldChar w:fldCharType="begin"/>
      </w:r>
      <w:r>
        <w:instrText xml:space="preserve"> PAGEREF _Toc1492048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Pilotage</w:t>
      </w:r>
    </w:p>
    <w:p>
      <w:pPr>
        <w:pStyle w:val="TOC8"/>
        <w:rPr>
          <w:rFonts w:asciiTheme="minorHAnsi" w:eastAsiaTheme="minorEastAsia" w:hAnsiTheme="minorHAnsi" w:cstheme="minorBidi"/>
          <w:szCs w:val="22"/>
        </w:rPr>
      </w:pPr>
      <w:r>
        <w:t>95</w:t>
      </w:r>
      <w:r>
        <w:rPr>
          <w:snapToGrid w:val="0"/>
        </w:rPr>
        <w:t>.</w:t>
      </w:r>
      <w:r>
        <w:rPr>
          <w:snapToGrid w:val="0"/>
        </w:rPr>
        <w:tab/>
        <w:t>Terms used in, and application of, this Division</w:t>
      </w:r>
      <w:r>
        <w:tab/>
      </w:r>
      <w:r>
        <w:fldChar w:fldCharType="begin"/>
      </w:r>
      <w:r>
        <w:instrText xml:space="preserve"> PAGEREF _Toc1492050 \h </w:instrText>
      </w:r>
      <w:r>
        <w:fldChar w:fldCharType="separate"/>
      </w:r>
      <w:r>
        <w:t>65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Port authority to approve pilots and ensure pilotage services are provided</w:t>
      </w:r>
      <w:r>
        <w:tab/>
      </w:r>
      <w:r>
        <w:fldChar w:fldCharType="begin"/>
      </w:r>
      <w:r>
        <w:instrText xml:space="preserve"> PAGEREF _Toc1492051 \h </w:instrText>
      </w:r>
      <w:r>
        <w:fldChar w:fldCharType="separate"/>
      </w:r>
      <w:r>
        <w:t>66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Pilotage compulsory in ports</w:t>
      </w:r>
      <w:r>
        <w:tab/>
      </w:r>
      <w:r>
        <w:fldChar w:fldCharType="begin"/>
      </w:r>
      <w:r>
        <w:instrText xml:space="preserve"> PAGEREF _Toc1492052 \h </w:instrText>
      </w:r>
      <w:r>
        <w:fldChar w:fldCharType="separate"/>
      </w:r>
      <w:r>
        <w:t>67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Pilot under authority of master</w:t>
      </w:r>
      <w:r>
        <w:tab/>
      </w:r>
      <w:r>
        <w:fldChar w:fldCharType="begin"/>
      </w:r>
      <w:r>
        <w:instrText xml:space="preserve"> PAGEREF _Toc1492053 \h </w:instrText>
      </w:r>
      <w:r>
        <w:fldChar w:fldCharType="separate"/>
      </w:r>
      <w:r>
        <w:t>68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Liability of owner or master of piloted vessel</w:t>
      </w:r>
      <w:r>
        <w:tab/>
      </w:r>
      <w:r>
        <w:fldChar w:fldCharType="begin"/>
      </w:r>
      <w:r>
        <w:instrText xml:space="preserve"> PAGEREF _Toc1492054 \h </w:instrText>
      </w:r>
      <w:r>
        <w:fldChar w:fldCharType="separate"/>
      </w:r>
      <w:r>
        <w:t>68</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Immunity from liability for negligent provision of pilotage services</w:t>
      </w:r>
      <w:r>
        <w:tab/>
      </w:r>
      <w:r>
        <w:fldChar w:fldCharType="begin"/>
      </w:r>
      <w:r>
        <w:instrText xml:space="preserve"> PAGEREF _Toc1492055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Harbour masters</w:t>
      </w:r>
    </w:p>
    <w:p>
      <w:pPr>
        <w:pStyle w:val="TOC8"/>
        <w:rPr>
          <w:rFonts w:asciiTheme="minorHAnsi" w:eastAsiaTheme="minorEastAsia" w:hAnsiTheme="minorHAnsi" w:cstheme="minorBidi"/>
          <w:szCs w:val="22"/>
        </w:rPr>
      </w:pPr>
      <w:r>
        <w:t>101</w:t>
      </w:r>
      <w:r>
        <w:rPr>
          <w:snapToGrid w:val="0"/>
        </w:rPr>
        <w:t>.</w:t>
      </w:r>
      <w:r>
        <w:rPr>
          <w:snapToGrid w:val="0"/>
        </w:rPr>
        <w:tab/>
        <w:t>Port includes other declared areas</w:t>
      </w:r>
      <w:r>
        <w:tab/>
      </w:r>
      <w:r>
        <w:fldChar w:fldCharType="begin"/>
      </w:r>
      <w:r>
        <w:instrText xml:space="preserve"> PAGEREF _Toc1492057 \h </w:instrText>
      </w:r>
      <w:r>
        <w:fldChar w:fldCharType="separate"/>
      </w:r>
      <w:r>
        <w:t>69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Appointment of harbour master and deputy harbour master etc.</w:t>
      </w:r>
      <w:r>
        <w:tab/>
      </w:r>
      <w:r>
        <w:fldChar w:fldCharType="begin"/>
      </w:r>
      <w:r>
        <w:instrText xml:space="preserve"> PAGEREF _Toc1492058 \h </w:instrText>
      </w:r>
      <w:r>
        <w:fldChar w:fldCharType="separate"/>
      </w:r>
      <w:r>
        <w:t>69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Functions of harbour master</w:t>
      </w:r>
      <w:r>
        <w:tab/>
      </w:r>
      <w:r>
        <w:fldChar w:fldCharType="begin"/>
      </w:r>
      <w:r>
        <w:instrText xml:space="preserve"> PAGEREF _Toc1492059 \h </w:instrText>
      </w:r>
      <w:r>
        <w:fldChar w:fldCharType="separate"/>
      </w:r>
      <w:r>
        <w:t>70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Directions to masters etc.</w:t>
      </w:r>
      <w:r>
        <w:tab/>
      </w:r>
      <w:r>
        <w:fldChar w:fldCharType="begin"/>
      </w:r>
      <w:r>
        <w:instrText xml:space="preserve"> PAGEREF _Toc1492060 \h </w:instrText>
      </w:r>
      <w:r>
        <w:fldChar w:fldCharType="separate"/>
      </w:r>
      <w:r>
        <w:t>70</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Directions as to dangerous things</w:t>
      </w:r>
      <w:r>
        <w:tab/>
      </w:r>
      <w:r>
        <w:fldChar w:fldCharType="begin"/>
      </w:r>
      <w:r>
        <w:instrText xml:space="preserve"> PAGEREF _Toc1492061 \h </w:instrText>
      </w:r>
      <w:r>
        <w:fldChar w:fldCharType="separate"/>
      </w:r>
      <w:r>
        <w:t>71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Limit on power to order removal of vessels or dangerous things</w:t>
      </w:r>
      <w:r>
        <w:tab/>
      </w:r>
      <w:r>
        <w:fldChar w:fldCharType="begin"/>
      </w:r>
      <w:r>
        <w:instrText xml:space="preserve"> PAGEREF _Toc1492062 \h </w:instrText>
      </w:r>
      <w:r>
        <w:fldChar w:fldCharType="separate"/>
      </w:r>
      <w:r>
        <w:t>72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Ownerless vessels and dangerous things, removal of</w:t>
      </w:r>
      <w:r>
        <w:tab/>
      </w:r>
      <w:r>
        <w:fldChar w:fldCharType="begin"/>
      </w:r>
      <w:r>
        <w:instrText xml:space="preserve"> PAGEREF _Toc1492063 \h </w:instrText>
      </w:r>
      <w:r>
        <w:fldChar w:fldCharType="separate"/>
      </w:r>
      <w:r>
        <w:t>72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Not obeying s. 104 or 106 direction, offence</w:t>
      </w:r>
      <w:r>
        <w:tab/>
      </w:r>
      <w:r>
        <w:fldChar w:fldCharType="begin"/>
      </w:r>
      <w:r>
        <w:instrText xml:space="preserve"> PAGEREF _Toc1492064 \h </w:instrText>
      </w:r>
      <w:r>
        <w:fldChar w:fldCharType="separate"/>
      </w:r>
      <w:r>
        <w:t>72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Powers if direction not obeyed</w:t>
      </w:r>
      <w:r>
        <w:tab/>
      </w:r>
      <w:r>
        <w:fldChar w:fldCharType="begin"/>
      </w:r>
      <w:r>
        <w:instrText xml:space="preserve"> PAGEREF _Toc1492065 \h </w:instrText>
      </w:r>
      <w:r>
        <w:fldChar w:fldCharType="separate"/>
      </w:r>
      <w:r>
        <w:t>72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Recovering port authority’s s. 107 costs</w:t>
      </w:r>
      <w:r>
        <w:tab/>
      </w:r>
      <w:r>
        <w:fldChar w:fldCharType="begin"/>
      </w:r>
      <w:r>
        <w:instrText xml:space="preserve"> PAGEREF _Toc1492066 \h </w:instrText>
      </w:r>
      <w:r>
        <w:fldChar w:fldCharType="separate"/>
      </w:r>
      <w:r>
        <w:t>73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Immunity from liability for acts under this Division</w:t>
      </w:r>
      <w:r>
        <w:tab/>
      </w:r>
      <w:r>
        <w:fldChar w:fldCharType="begin"/>
      </w:r>
      <w:r>
        <w:instrText xml:space="preserve"> PAGEREF _Toc1492067 \h </w:instrText>
      </w:r>
      <w:r>
        <w:fldChar w:fldCharType="separate"/>
      </w:r>
      <w:r>
        <w:t>73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Hindering harbour master etc., offence</w:t>
      </w:r>
      <w:r>
        <w:tab/>
      </w:r>
      <w:r>
        <w:fldChar w:fldCharType="begin"/>
      </w:r>
      <w:r>
        <w:instrText xml:space="preserve"> PAGEREF _Toc1492068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Damage in a port caused by vessels etc.</w:t>
      </w:r>
    </w:p>
    <w:p>
      <w:pPr>
        <w:pStyle w:val="TOC8"/>
        <w:rPr>
          <w:rFonts w:asciiTheme="minorHAnsi" w:eastAsiaTheme="minorEastAsia" w:hAnsiTheme="minorHAnsi" w:cstheme="minorBidi"/>
          <w:szCs w:val="22"/>
        </w:rPr>
      </w:pPr>
      <w:r>
        <w:t>113</w:t>
      </w:r>
      <w:r>
        <w:rPr>
          <w:snapToGrid w:val="0"/>
        </w:rPr>
        <w:t>.</w:t>
      </w:r>
      <w:r>
        <w:rPr>
          <w:snapToGrid w:val="0"/>
        </w:rPr>
        <w:tab/>
        <w:t>Responsibility for damage to port facilities or property</w:t>
      </w:r>
      <w:r>
        <w:tab/>
      </w:r>
      <w:r>
        <w:fldChar w:fldCharType="begin"/>
      </w:r>
      <w:r>
        <w:instrText xml:space="preserve"> PAGEREF _Toc1492070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Port safety</w:t>
      </w:r>
    </w:p>
    <w:p>
      <w:pPr>
        <w:pStyle w:val="TOC8"/>
        <w:rPr>
          <w:rFonts w:asciiTheme="minorHAnsi" w:eastAsiaTheme="minorEastAsia" w:hAnsiTheme="minorHAnsi" w:cstheme="minorBidi"/>
          <w:szCs w:val="22"/>
        </w:rPr>
      </w:pPr>
      <w:r>
        <w:t>114.</w:t>
      </w:r>
      <w:r>
        <w:tab/>
        <w:t>Marine safety plan, port authority to have</w:t>
      </w:r>
      <w:r>
        <w:tab/>
      </w:r>
      <w:r>
        <w:fldChar w:fldCharType="begin"/>
      </w:r>
      <w:r>
        <w:instrText xml:space="preserve"> PAGEREF _Toc1492072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6 — Powers of police officers and others</w:t>
      </w:r>
    </w:p>
    <w:p>
      <w:pPr>
        <w:pStyle w:val="TOC8"/>
        <w:rPr>
          <w:rFonts w:asciiTheme="minorHAnsi" w:eastAsiaTheme="minorEastAsia" w:hAnsiTheme="minorHAnsi" w:cstheme="minorBidi"/>
          <w:szCs w:val="22"/>
        </w:rPr>
      </w:pPr>
      <w:r>
        <w:t>114A.</w:t>
      </w:r>
      <w:r>
        <w:tab/>
        <w:t>Police officers and others may enter vessels and conduct examinations and enquiries</w:t>
      </w:r>
      <w:r>
        <w:tab/>
      </w:r>
      <w:r>
        <w:fldChar w:fldCharType="begin"/>
      </w:r>
      <w:r>
        <w:instrText xml:space="preserve"> PAGEREF _Toc1492074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7 — Protection from liability</w:t>
      </w:r>
    </w:p>
    <w:p>
      <w:pPr>
        <w:pStyle w:val="TOC8"/>
        <w:rPr>
          <w:rFonts w:asciiTheme="minorHAnsi" w:eastAsiaTheme="minorEastAsia" w:hAnsiTheme="minorHAnsi" w:cstheme="minorBidi"/>
          <w:szCs w:val="22"/>
        </w:rPr>
      </w:pPr>
      <w:r>
        <w:t>114B.</w:t>
      </w:r>
      <w:r>
        <w:tab/>
        <w:t>Immunity from liability for damage to vessels</w:t>
      </w:r>
      <w:r>
        <w:tab/>
      </w:r>
      <w:r>
        <w:fldChar w:fldCharType="begin"/>
      </w:r>
      <w:r>
        <w:instrText xml:space="preserve"> PAGEREF _Toc1492076 \h </w:instrText>
      </w:r>
      <w:r>
        <w:fldChar w:fldCharType="separate"/>
      </w:r>
      <w:r>
        <w:t>77</w:t>
      </w:r>
      <w:r>
        <w:fldChar w:fldCharType="end"/>
      </w:r>
    </w:p>
    <w:p>
      <w:pPr>
        <w:pStyle w:val="TOC8"/>
        <w:rPr>
          <w:rFonts w:asciiTheme="minorHAnsi" w:eastAsiaTheme="minorEastAsia" w:hAnsiTheme="minorHAnsi" w:cstheme="minorBidi"/>
          <w:szCs w:val="22"/>
        </w:rPr>
      </w:pPr>
      <w:r>
        <w:t>114C.</w:t>
      </w:r>
      <w:r>
        <w:tab/>
        <w:t>Immunity from liability for damaged goods</w:t>
      </w:r>
      <w:r>
        <w:tab/>
      </w:r>
      <w:r>
        <w:fldChar w:fldCharType="begin"/>
      </w:r>
      <w:r>
        <w:instrText xml:space="preserve"> PAGEREF _Toc1492077 \h </w:instrText>
      </w:r>
      <w:r>
        <w:fldChar w:fldCharType="separate"/>
      </w:r>
      <w:r>
        <w:t>77</w:t>
      </w:r>
      <w:r>
        <w:fldChar w:fldCharType="end"/>
      </w:r>
    </w:p>
    <w:p>
      <w:pPr>
        <w:pStyle w:val="TOC8"/>
        <w:rPr>
          <w:rFonts w:asciiTheme="minorHAnsi" w:eastAsiaTheme="minorEastAsia" w:hAnsiTheme="minorHAnsi" w:cstheme="minorBidi"/>
          <w:szCs w:val="22"/>
        </w:rPr>
      </w:pPr>
      <w:r>
        <w:t>114D.</w:t>
      </w:r>
      <w:r>
        <w:tab/>
        <w:t>Immunity from liability for delay in delivery of goods</w:t>
      </w:r>
      <w:r>
        <w:tab/>
      </w:r>
      <w:r>
        <w:fldChar w:fldCharType="begin"/>
      </w:r>
      <w:r>
        <w:instrText xml:space="preserve"> PAGEREF _Toc1492078 \h </w:instrText>
      </w:r>
      <w:r>
        <w:fldChar w:fldCharType="separate"/>
      </w:r>
      <w:r>
        <w:t>78</w:t>
      </w:r>
      <w:r>
        <w:fldChar w:fldCharType="end"/>
      </w:r>
    </w:p>
    <w:p>
      <w:pPr>
        <w:pStyle w:val="TOC8"/>
        <w:rPr>
          <w:rFonts w:asciiTheme="minorHAnsi" w:eastAsiaTheme="minorEastAsia" w:hAnsiTheme="minorHAnsi" w:cstheme="minorBidi"/>
          <w:szCs w:val="22"/>
        </w:rPr>
      </w:pPr>
      <w:r>
        <w:t>114EA.</w:t>
      </w:r>
      <w:r>
        <w:tab/>
        <w:t>Immunity from liability for acts or omissions of port users</w:t>
      </w:r>
      <w:r>
        <w:tab/>
      </w:r>
      <w:r>
        <w:fldChar w:fldCharType="begin"/>
      </w:r>
      <w:r>
        <w:instrText xml:space="preserve"> PAGEREF _Toc1492079 \h </w:instrText>
      </w:r>
      <w:r>
        <w:fldChar w:fldCharType="separate"/>
      </w:r>
      <w:r>
        <w:t>78</w:t>
      </w:r>
      <w:r>
        <w:fldChar w:fldCharType="end"/>
      </w:r>
    </w:p>
    <w:p>
      <w:pPr>
        <w:pStyle w:val="TOC8"/>
        <w:rPr>
          <w:rFonts w:asciiTheme="minorHAnsi" w:eastAsiaTheme="minorEastAsia" w:hAnsiTheme="minorHAnsi" w:cstheme="minorBidi"/>
          <w:szCs w:val="22"/>
        </w:rPr>
      </w:pPr>
      <w:r>
        <w:t>114E.</w:t>
      </w:r>
      <w:r>
        <w:tab/>
        <w:t>Immunity from liability for certain events and actions</w:t>
      </w:r>
      <w:r>
        <w:tab/>
      </w:r>
      <w:r>
        <w:fldChar w:fldCharType="begin"/>
      </w:r>
      <w:r>
        <w:instrText xml:space="preserve"> PAGEREF _Toc1492080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Port charges</w:t>
      </w:r>
    </w:p>
    <w:p>
      <w:pPr>
        <w:pStyle w:val="TOC8"/>
        <w:rPr>
          <w:rFonts w:asciiTheme="minorHAnsi" w:eastAsiaTheme="minorEastAsia" w:hAnsiTheme="minorHAnsi" w:cstheme="minorBidi"/>
          <w:szCs w:val="22"/>
        </w:rPr>
      </w:pPr>
      <w:r>
        <w:t>115</w:t>
      </w:r>
      <w:r>
        <w:rPr>
          <w:snapToGrid w:val="0"/>
        </w:rPr>
        <w:t>.</w:t>
      </w:r>
      <w:r>
        <w:rPr>
          <w:snapToGrid w:val="0"/>
        </w:rPr>
        <w:tab/>
        <w:t>Term used: port charges; application of this Part</w:t>
      </w:r>
      <w:r>
        <w:tab/>
      </w:r>
      <w:r>
        <w:fldChar w:fldCharType="begin"/>
      </w:r>
      <w:r>
        <w:instrText xml:space="preserve"> PAGEREF _Toc1492082 \h </w:instrText>
      </w:r>
      <w:r>
        <w:fldChar w:fldCharType="separate"/>
      </w:r>
      <w:r>
        <w:t>80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Liability to pay port charges in respect of vessels</w:t>
      </w:r>
      <w:r>
        <w:tab/>
      </w:r>
      <w:r>
        <w:fldChar w:fldCharType="begin"/>
      </w:r>
      <w:r>
        <w:instrText xml:space="preserve"> PAGEREF _Toc1492083 \h </w:instrText>
      </w:r>
      <w:r>
        <w:fldChar w:fldCharType="separate"/>
      </w:r>
      <w:r>
        <w:t>80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Liability to pay port charges in respect of goods</w:t>
      </w:r>
      <w:r>
        <w:tab/>
      </w:r>
      <w:r>
        <w:fldChar w:fldCharType="begin"/>
      </w:r>
      <w:r>
        <w:instrText xml:space="preserve"> PAGEREF _Toc1492084 \h </w:instrText>
      </w:r>
      <w:r>
        <w:fldChar w:fldCharType="separate"/>
      </w:r>
      <w:r>
        <w:t>80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Recovery of port charges by port authority</w:t>
      </w:r>
      <w:r>
        <w:tab/>
      </w:r>
      <w:r>
        <w:fldChar w:fldCharType="begin"/>
      </w:r>
      <w:r>
        <w:instrText xml:space="preserve"> PAGEREF _Toc1492085 \h </w:instrText>
      </w:r>
      <w:r>
        <w:fldChar w:fldCharType="separate"/>
      </w:r>
      <w:r>
        <w:t>81</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Collectors of port charges</w:t>
      </w:r>
      <w:r>
        <w:tab/>
      </w:r>
      <w:r>
        <w:fldChar w:fldCharType="begin"/>
      </w:r>
      <w:r>
        <w:instrText xml:space="preserve"> PAGEREF _Toc1492086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9 — Proceedings for offences</w:t>
      </w:r>
    </w:p>
    <w:p>
      <w:pPr>
        <w:pStyle w:val="TOC4"/>
        <w:tabs>
          <w:tab w:val="right" w:leader="dot" w:pos="7077"/>
        </w:tabs>
        <w:rPr>
          <w:rFonts w:asciiTheme="minorHAnsi" w:eastAsiaTheme="minorEastAsia" w:hAnsiTheme="minorHAnsi" w:cstheme="minorBidi"/>
          <w:b w:val="0"/>
          <w:szCs w:val="22"/>
        </w:rPr>
      </w:pPr>
      <w:r>
        <w:t xml:space="preserve">Division 1 </w:t>
      </w:r>
      <w:r>
        <w:rPr>
          <w:snapToGrid w:val="0"/>
        </w:rPr>
        <w:t>— </w:t>
      </w:r>
      <w:r>
        <w:t>General</w:t>
      </w:r>
    </w:p>
    <w:p>
      <w:pPr>
        <w:pStyle w:val="TOC8"/>
        <w:rPr>
          <w:rFonts w:asciiTheme="minorHAnsi" w:eastAsiaTheme="minorEastAsia" w:hAnsiTheme="minorHAnsi" w:cstheme="minorBidi"/>
          <w:szCs w:val="22"/>
        </w:rPr>
      </w:pPr>
      <w:r>
        <w:t>120</w:t>
      </w:r>
      <w:r>
        <w:rPr>
          <w:snapToGrid w:val="0"/>
        </w:rPr>
        <w:t>.</w:t>
      </w:r>
      <w:r>
        <w:rPr>
          <w:snapToGrid w:val="0"/>
        </w:rPr>
        <w:tab/>
        <w:t>Who can commence prosecutions</w:t>
      </w:r>
      <w:r>
        <w:tab/>
      </w:r>
      <w:r>
        <w:fldChar w:fldCharType="begin"/>
      </w:r>
      <w:r>
        <w:instrText xml:space="preserve"> PAGEREF _Toc1492089 \h </w:instrText>
      </w:r>
      <w:r>
        <w:fldChar w:fldCharType="separate"/>
      </w:r>
      <w:r>
        <w:t>82</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Time limit for prosecutions</w:t>
      </w:r>
      <w:r>
        <w:tab/>
      </w:r>
      <w:r>
        <w:fldChar w:fldCharType="begin"/>
      </w:r>
      <w:r>
        <w:instrText xml:space="preserve"> PAGEREF _Toc1492090 \h </w:instrText>
      </w:r>
      <w:r>
        <w:fldChar w:fldCharType="separate"/>
      </w:r>
      <w:r>
        <w:t>82</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Averment as to place of offence</w:t>
      </w:r>
      <w:r>
        <w:tab/>
      </w:r>
      <w:r>
        <w:fldChar w:fldCharType="begin"/>
      </w:r>
      <w:r>
        <w:instrText xml:space="preserve"> PAGEREF _Toc1492091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Infringement notices</w:t>
      </w:r>
    </w:p>
    <w:p>
      <w:pPr>
        <w:pStyle w:val="TOC8"/>
        <w:rPr>
          <w:rFonts w:asciiTheme="minorHAnsi" w:eastAsiaTheme="minorEastAsia" w:hAnsiTheme="minorHAnsi" w:cstheme="minorBidi"/>
          <w:szCs w:val="22"/>
        </w:rPr>
      </w:pPr>
      <w:r>
        <w:t>123</w:t>
      </w:r>
      <w:r>
        <w:rPr>
          <w:snapToGrid w:val="0"/>
        </w:rPr>
        <w:t>.</w:t>
      </w:r>
      <w:r>
        <w:rPr>
          <w:snapToGrid w:val="0"/>
        </w:rPr>
        <w:tab/>
        <w:t>Terms used</w:t>
      </w:r>
      <w:r>
        <w:tab/>
      </w:r>
      <w:r>
        <w:fldChar w:fldCharType="begin"/>
      </w:r>
      <w:r>
        <w:instrText xml:space="preserve"> PAGEREF _Toc1492093 \h </w:instrText>
      </w:r>
      <w:r>
        <w:fldChar w:fldCharType="separate"/>
      </w:r>
      <w:r>
        <w:t>83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Giving of notice</w:t>
      </w:r>
      <w:r>
        <w:tab/>
      </w:r>
      <w:r>
        <w:fldChar w:fldCharType="begin"/>
      </w:r>
      <w:r>
        <w:instrText xml:space="preserve"> PAGEREF _Toc1492094 \h </w:instrText>
      </w:r>
      <w:r>
        <w:fldChar w:fldCharType="separate"/>
      </w:r>
      <w:r>
        <w:t>83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Content of notice</w:t>
      </w:r>
      <w:r>
        <w:tab/>
      </w:r>
      <w:r>
        <w:fldChar w:fldCharType="begin"/>
      </w:r>
      <w:r>
        <w:instrText xml:space="preserve"> PAGEREF _Toc1492095 \h </w:instrText>
      </w:r>
      <w:r>
        <w:fldChar w:fldCharType="separate"/>
      </w:r>
      <w:r>
        <w:t>83</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Extending time for paying modified penalty</w:t>
      </w:r>
      <w:r>
        <w:tab/>
      </w:r>
      <w:r>
        <w:fldChar w:fldCharType="begin"/>
      </w:r>
      <w:r>
        <w:instrText xml:space="preserve"> PAGEREF _Toc1492096 \h </w:instrText>
      </w:r>
      <w:r>
        <w:fldChar w:fldCharType="separate"/>
      </w:r>
      <w:r>
        <w:t>84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Withdrawing notice</w:t>
      </w:r>
      <w:r>
        <w:tab/>
      </w:r>
      <w:r>
        <w:fldChar w:fldCharType="begin"/>
      </w:r>
      <w:r>
        <w:instrText xml:space="preserve"> PAGEREF _Toc1492097 \h </w:instrText>
      </w:r>
      <w:r>
        <w:fldChar w:fldCharType="separate"/>
      </w:r>
      <w:r>
        <w:t>84</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Benefit of paying modified penalty</w:t>
      </w:r>
      <w:r>
        <w:tab/>
      </w:r>
      <w:r>
        <w:fldChar w:fldCharType="begin"/>
      </w:r>
      <w:r>
        <w:instrText xml:space="preserve"> PAGEREF _Toc1492098 \h </w:instrText>
      </w:r>
      <w:r>
        <w:fldChar w:fldCharType="separate"/>
      </w:r>
      <w:r>
        <w:t>84</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Application of penalties collected</w:t>
      </w:r>
      <w:r>
        <w:tab/>
      </w:r>
      <w:r>
        <w:fldChar w:fldCharType="begin"/>
      </w:r>
      <w:r>
        <w:instrText xml:space="preserve"> PAGEREF _Toc1492099 \h </w:instrText>
      </w:r>
      <w:r>
        <w:fldChar w:fldCharType="separate"/>
      </w:r>
      <w:r>
        <w:t>85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Authorised persons, appointment of</w:t>
      </w:r>
      <w:r>
        <w:tab/>
      </w:r>
      <w:r>
        <w:fldChar w:fldCharType="begin"/>
      </w:r>
      <w:r>
        <w:instrText xml:space="preserve"> PAGEREF _Toc1492100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131</w:t>
      </w:r>
      <w:r>
        <w:rPr>
          <w:snapToGrid w:val="0"/>
        </w:rPr>
        <w:t>.</w:t>
      </w:r>
      <w:r>
        <w:rPr>
          <w:snapToGrid w:val="0"/>
        </w:rPr>
        <w:tab/>
        <w:t>Hindering, offence</w:t>
      </w:r>
      <w:r>
        <w:tab/>
      </w:r>
      <w:r>
        <w:fldChar w:fldCharType="begin"/>
      </w:r>
      <w:r>
        <w:instrText xml:space="preserve"> PAGEREF _Toc1492102 \h </w:instrText>
      </w:r>
      <w:r>
        <w:fldChar w:fldCharType="separate"/>
      </w:r>
      <w:r>
        <w:t>86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Individual port authorities, provisions for (Sch. 6)</w:t>
      </w:r>
      <w:r>
        <w:tab/>
      </w:r>
      <w:r>
        <w:fldChar w:fldCharType="begin"/>
      </w:r>
      <w:r>
        <w:instrText xml:space="preserve"> PAGEREF _Toc1492103 \h </w:instrText>
      </w:r>
      <w:r>
        <w:fldChar w:fldCharType="separate"/>
      </w:r>
      <w:r>
        <w:t>86</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Supplementary provision about laying documents before Parliament</w:t>
      </w:r>
      <w:r>
        <w:tab/>
      </w:r>
      <w:r>
        <w:fldChar w:fldCharType="begin"/>
      </w:r>
      <w:r>
        <w:instrText xml:space="preserve"> PAGEREF _Toc1492104 \h </w:instrText>
      </w:r>
      <w:r>
        <w:fldChar w:fldCharType="separate"/>
      </w:r>
      <w:r>
        <w:t>87</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Execution of documents by port authority</w:t>
      </w:r>
      <w:r>
        <w:tab/>
      </w:r>
      <w:r>
        <w:fldChar w:fldCharType="begin"/>
      </w:r>
      <w:r>
        <w:instrText xml:space="preserve"> PAGEREF _Toc1492105 \h </w:instrText>
      </w:r>
      <w:r>
        <w:fldChar w:fldCharType="separate"/>
      </w:r>
      <w:r>
        <w:t>87</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Contracts with port authority, formalities of</w:t>
      </w:r>
      <w:r>
        <w:tab/>
      </w:r>
      <w:r>
        <w:fldChar w:fldCharType="begin"/>
      </w:r>
      <w:r>
        <w:instrText xml:space="preserve"> PAGEREF _Toc1492106 \h </w:instrText>
      </w:r>
      <w:r>
        <w:fldChar w:fldCharType="separate"/>
      </w:r>
      <w:r>
        <w:t>88</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Overdue amounts, interest on</w:t>
      </w:r>
      <w:r>
        <w:tab/>
      </w:r>
      <w:r>
        <w:fldChar w:fldCharType="begin"/>
      </w:r>
      <w:r>
        <w:instrText xml:space="preserve"> PAGEREF _Toc1492107 \h </w:instrText>
      </w:r>
      <w:r>
        <w:fldChar w:fldCharType="separate"/>
      </w:r>
      <w:r>
        <w:t>89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Recovery of expenses due to offence</w:t>
      </w:r>
      <w:r>
        <w:tab/>
      </w:r>
      <w:r>
        <w:fldChar w:fldCharType="begin"/>
      </w:r>
      <w:r>
        <w:instrText xml:space="preserve"> PAGEREF _Toc1492108 \h </w:instrText>
      </w:r>
      <w:r>
        <w:fldChar w:fldCharType="separate"/>
      </w:r>
      <w:r>
        <w:t>89</w:t>
      </w:r>
      <w:r>
        <w:fldChar w:fldCharType="end"/>
      </w:r>
    </w:p>
    <w:p>
      <w:pPr>
        <w:pStyle w:val="TOC8"/>
        <w:rPr>
          <w:rFonts w:asciiTheme="minorHAnsi" w:eastAsiaTheme="minorEastAsia" w:hAnsiTheme="minorHAnsi" w:cstheme="minorBidi"/>
          <w:szCs w:val="22"/>
        </w:rPr>
      </w:pPr>
      <w:r>
        <w:t>138.</w:t>
      </w:r>
      <w:r>
        <w:tab/>
      </w:r>
      <w:r>
        <w:rPr>
          <w:i/>
        </w:rPr>
        <w:t>Government Agreements Act 1979</w:t>
      </w:r>
      <w:r>
        <w:t xml:space="preserve"> not affected</w:t>
      </w:r>
      <w:r>
        <w:tab/>
      </w:r>
      <w:r>
        <w:fldChar w:fldCharType="begin"/>
      </w:r>
      <w:r>
        <w:instrText xml:space="preserve"> PAGEREF _Toc1492109 \h </w:instrText>
      </w:r>
      <w:r>
        <w:fldChar w:fldCharType="separate"/>
      </w:r>
      <w:r>
        <w:t>89</w:t>
      </w:r>
      <w:r>
        <w:fldChar w:fldCharType="end"/>
      </w:r>
    </w:p>
    <w:p>
      <w:pPr>
        <w:pStyle w:val="TOC8"/>
        <w:rPr>
          <w:rFonts w:asciiTheme="minorHAnsi" w:eastAsiaTheme="minorEastAsia" w:hAnsiTheme="minorHAnsi" w:cstheme="minorBidi"/>
          <w:szCs w:val="22"/>
        </w:rPr>
      </w:pPr>
      <w:r>
        <w:t>139A.</w:t>
      </w:r>
      <w:r>
        <w:tab/>
        <w:t>Transitional provisions</w:t>
      </w:r>
      <w:r>
        <w:tab/>
      </w:r>
      <w:r>
        <w:fldChar w:fldCharType="begin"/>
      </w:r>
      <w:r>
        <w:instrText xml:space="preserve"> PAGEREF _Toc1492110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11 — Regulations</w:t>
      </w:r>
    </w:p>
    <w:p>
      <w:pPr>
        <w:pStyle w:val="TOC8"/>
        <w:rPr>
          <w:rFonts w:asciiTheme="minorHAnsi" w:eastAsiaTheme="minorEastAsia" w:hAnsiTheme="minorHAnsi" w:cstheme="minorBidi"/>
          <w:szCs w:val="22"/>
        </w:rPr>
      </w:pPr>
      <w:r>
        <w:t>139</w:t>
      </w:r>
      <w:r>
        <w:rPr>
          <w:snapToGrid w:val="0"/>
        </w:rPr>
        <w:t>.</w:t>
      </w:r>
      <w:r>
        <w:rPr>
          <w:snapToGrid w:val="0"/>
        </w:rPr>
        <w:tab/>
        <w:t>General power to make regulations</w:t>
      </w:r>
      <w:r>
        <w:tab/>
      </w:r>
      <w:r>
        <w:fldChar w:fldCharType="begin"/>
      </w:r>
      <w:r>
        <w:instrText xml:space="preserve"> PAGEREF _Toc1492112 \h </w:instrText>
      </w:r>
      <w:r>
        <w:fldChar w:fldCharType="separate"/>
      </w:r>
      <w:r>
        <w:t>91</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Offences against regulations</w:t>
      </w:r>
      <w:r>
        <w:tab/>
      </w:r>
      <w:r>
        <w:fldChar w:fldCharType="begin"/>
      </w:r>
      <w:r>
        <w:instrText xml:space="preserve"> PAGEREF _Toc1492113 \h </w:instrText>
      </w:r>
      <w:r>
        <w:fldChar w:fldCharType="separate"/>
      </w:r>
      <w:r>
        <w:t>91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Adoption of other laws, codes etc.</w:t>
      </w:r>
      <w:r>
        <w:tab/>
      </w:r>
      <w:r>
        <w:fldChar w:fldCharType="begin"/>
      </w:r>
      <w:r>
        <w:instrText xml:space="preserve"> PAGEREF _Toc1492114 \h </w:instrText>
      </w:r>
      <w:r>
        <w:fldChar w:fldCharType="separate"/>
      </w:r>
      <w:r>
        <w:t>91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References to other approvals or decisions</w:t>
      </w:r>
      <w:r>
        <w:tab/>
      </w:r>
      <w:r>
        <w:fldChar w:fldCharType="begin"/>
      </w:r>
      <w:r>
        <w:instrText xml:space="preserve"> PAGEREF _Toc1492115 \h </w:instrText>
      </w:r>
      <w:r>
        <w:fldChar w:fldCharType="separate"/>
      </w:r>
      <w:r>
        <w:t>92</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Licensing, provisions as to</w:t>
      </w:r>
      <w:r>
        <w:tab/>
      </w:r>
      <w:r>
        <w:fldChar w:fldCharType="begin"/>
      </w:r>
      <w:r>
        <w:instrText xml:space="preserve"> PAGEREF _Toc1492116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12 — Review of Act</w:t>
      </w:r>
    </w:p>
    <w:p>
      <w:pPr>
        <w:pStyle w:val="TOC8"/>
        <w:rPr>
          <w:rFonts w:asciiTheme="minorHAnsi" w:eastAsiaTheme="minorEastAsia" w:hAnsiTheme="minorHAnsi" w:cstheme="minorBidi"/>
          <w:szCs w:val="22"/>
        </w:rPr>
      </w:pPr>
      <w:r>
        <w:t>144.</w:t>
      </w:r>
      <w:r>
        <w:tab/>
        <w:t>Minister to review and report on Act</w:t>
      </w:r>
      <w:r>
        <w:tab/>
      </w:r>
      <w:r>
        <w:fldChar w:fldCharType="begin"/>
      </w:r>
      <w:r>
        <w:instrText xml:space="preserve"> PAGEREF _Toc1492118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1 — Port authorities and ports</w:t>
      </w:r>
    </w:p>
    <w:p>
      <w:pPr>
        <w:pStyle w:val="TOC2"/>
        <w:tabs>
          <w:tab w:val="right" w:leader="dot" w:pos="7077"/>
        </w:tabs>
        <w:rPr>
          <w:rFonts w:asciiTheme="minorHAnsi" w:eastAsiaTheme="minorEastAsia" w:hAnsiTheme="minorHAnsi" w:cstheme="minorBidi"/>
          <w:b w:val="0"/>
          <w:sz w:val="22"/>
          <w:szCs w:val="22"/>
        </w:rPr>
      </w:pPr>
      <w:r>
        <w:t>Schedule 2 — Provisions about the constitution and proceedings of boards</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_Toc1492121 \h </w:instrText>
      </w:r>
      <w:r>
        <w:fldChar w:fldCharType="separate"/>
      </w:r>
      <w:r>
        <w:t>95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Resignation and removal</w:t>
      </w:r>
      <w:r>
        <w:tab/>
      </w:r>
      <w:r>
        <w:fldChar w:fldCharType="begin"/>
      </w:r>
      <w:r>
        <w:instrText xml:space="preserve"> PAGEREF _Toc1492122 \h </w:instrText>
      </w:r>
      <w:r>
        <w:fldChar w:fldCharType="separate"/>
      </w:r>
      <w:r>
        <w:t>95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Chairperson and deputy chairperson</w:t>
      </w:r>
      <w:r>
        <w:tab/>
      </w:r>
      <w:r>
        <w:fldChar w:fldCharType="begin"/>
      </w:r>
      <w:r>
        <w:instrText xml:space="preserve"> PAGEREF _Toc1492123 \h </w:instrText>
      </w:r>
      <w:r>
        <w:fldChar w:fldCharType="separate"/>
      </w:r>
      <w:r>
        <w:t>96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Alternate directors</w:t>
      </w:r>
      <w:r>
        <w:tab/>
      </w:r>
      <w:r>
        <w:fldChar w:fldCharType="begin"/>
      </w:r>
      <w:r>
        <w:instrText xml:space="preserve"> PAGEREF _Toc1492124 \h </w:instrText>
      </w:r>
      <w:r>
        <w:fldChar w:fldCharType="separate"/>
      </w:r>
      <w:r>
        <w:t>96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Meetings</w:t>
      </w:r>
      <w:r>
        <w:tab/>
      </w:r>
      <w:r>
        <w:fldChar w:fldCharType="begin"/>
      </w:r>
      <w:r>
        <w:instrText xml:space="preserve"> PAGEREF _Toc1492125 \h </w:instrText>
      </w:r>
      <w:r>
        <w:fldChar w:fldCharType="separate"/>
      </w:r>
      <w:r>
        <w:t>96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Telephone and video meetings</w:t>
      </w:r>
      <w:r>
        <w:tab/>
      </w:r>
      <w:r>
        <w:fldChar w:fldCharType="begin"/>
      </w:r>
      <w:r>
        <w:instrText xml:space="preserve"> PAGEREF _Toc1492126 \h </w:instrText>
      </w:r>
      <w:r>
        <w:fldChar w:fldCharType="separate"/>
      </w:r>
      <w:r>
        <w:t>97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Resolution may be passed without meeting</w:t>
      </w:r>
      <w:r>
        <w:tab/>
      </w:r>
      <w:r>
        <w:fldChar w:fldCharType="begin"/>
      </w:r>
      <w:r>
        <w:instrText xml:space="preserve"> PAGEREF _Toc1492127 \h </w:instrText>
      </w:r>
      <w:r>
        <w:fldChar w:fldCharType="separate"/>
      </w:r>
      <w:r>
        <w:t>97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Directors with material personal interests, voting by etc.</w:t>
      </w:r>
      <w:r>
        <w:tab/>
      </w:r>
      <w:r>
        <w:fldChar w:fldCharType="begin"/>
      </w:r>
      <w:r>
        <w:instrText xml:space="preserve"> PAGEREF _Toc1492128 \h </w:instrText>
      </w:r>
      <w:r>
        <w:fldChar w:fldCharType="separate"/>
      </w:r>
      <w:r>
        <w:t>98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Minutes of meetings etc.</w:t>
      </w:r>
      <w:r>
        <w:tab/>
      </w:r>
      <w:r>
        <w:fldChar w:fldCharType="begin"/>
      </w:r>
      <w:r>
        <w:instrText xml:space="preserve"> PAGEREF _Toc1492129 \h </w:instrText>
      </w:r>
      <w:r>
        <w:fldChar w:fldCharType="separate"/>
      </w:r>
      <w:r>
        <w:t>99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Leave of absence</w:t>
      </w:r>
      <w:r>
        <w:tab/>
      </w:r>
      <w:r>
        <w:fldChar w:fldCharType="begin"/>
      </w:r>
      <w:r>
        <w:instrText xml:space="preserve"> PAGEREF _Toc1492130 \h </w:instrText>
      </w:r>
      <w:r>
        <w:fldChar w:fldCharType="separate"/>
      </w:r>
      <w:r>
        <w:t>99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Board to determine own procedures</w:t>
      </w:r>
      <w:r>
        <w:tab/>
      </w:r>
      <w:r>
        <w:fldChar w:fldCharType="begin"/>
      </w:r>
      <w:r>
        <w:instrText xml:space="preserve"> PAGEREF _Toc1492131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about duties of CEO and staff</w:t>
      </w:r>
    </w:p>
    <w:p>
      <w:pPr>
        <w:pStyle w:val="TOC4"/>
        <w:tabs>
          <w:tab w:val="right" w:leader="dot" w:pos="7077"/>
        </w:tabs>
        <w:rPr>
          <w:rFonts w:asciiTheme="minorHAnsi" w:eastAsiaTheme="minorEastAsia" w:hAnsiTheme="minorHAnsi" w:cstheme="minorBidi"/>
          <w:b w:val="0"/>
          <w:szCs w:val="22"/>
        </w:rPr>
      </w:pPr>
      <w:r>
        <w:t>Division 1 — General duties of CEO</w:t>
      </w:r>
    </w:p>
    <w:p>
      <w:pPr>
        <w:pStyle w:val="TOC8"/>
        <w:rPr>
          <w:rFonts w:asciiTheme="minorHAnsi" w:eastAsiaTheme="minorEastAsia" w:hAnsiTheme="minorHAnsi" w:cstheme="minorBidi"/>
          <w:szCs w:val="22"/>
        </w:rPr>
      </w:pPr>
      <w:r>
        <w:t>1</w:t>
      </w:r>
      <w:r>
        <w:rPr>
          <w:snapToGrid w:val="0"/>
        </w:rPr>
        <w:t>.</w:t>
      </w:r>
      <w:r>
        <w:rPr>
          <w:snapToGrid w:val="0"/>
        </w:rPr>
        <w:tab/>
        <w:t>Duties of CEO</w:t>
      </w:r>
      <w:r>
        <w:tab/>
      </w:r>
      <w:r>
        <w:fldChar w:fldCharType="begin"/>
      </w:r>
      <w:r>
        <w:instrText xml:space="preserve"> PAGEREF _Toc1492134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Particular duties stated</w:t>
      </w:r>
    </w:p>
    <w:p>
      <w:pPr>
        <w:pStyle w:val="TOC8"/>
        <w:rPr>
          <w:rFonts w:asciiTheme="minorHAnsi" w:eastAsiaTheme="minorEastAsia" w:hAnsiTheme="minorHAnsi" w:cstheme="minorBidi"/>
          <w:szCs w:val="22"/>
        </w:rPr>
      </w:pPr>
      <w:r>
        <w:t>2</w:t>
      </w:r>
      <w:r>
        <w:rPr>
          <w:snapToGrid w:val="0"/>
        </w:rPr>
        <w:t>.</w:t>
      </w:r>
      <w:r>
        <w:rPr>
          <w:snapToGrid w:val="0"/>
        </w:rPr>
        <w:tab/>
        <w:t>Term used: officer and interpretation</w:t>
      </w:r>
      <w:r>
        <w:tab/>
      </w:r>
      <w:r>
        <w:fldChar w:fldCharType="begin"/>
      </w:r>
      <w:r>
        <w:instrText xml:space="preserve"> PAGEREF _Toc1492136 \h </w:instrText>
      </w:r>
      <w:r>
        <w:fldChar w:fldCharType="separate"/>
      </w:r>
      <w:r>
        <w:t>100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Duty to act honestly</w:t>
      </w:r>
      <w:r>
        <w:tab/>
      </w:r>
      <w:r>
        <w:fldChar w:fldCharType="begin"/>
      </w:r>
      <w:r>
        <w:instrText xml:space="preserve"> PAGEREF _Toc1492137 \h </w:instrText>
      </w:r>
      <w:r>
        <w:fldChar w:fldCharType="separate"/>
      </w:r>
      <w:r>
        <w:t>101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Duty to exercise reasonable care and diligence</w:t>
      </w:r>
      <w:r>
        <w:tab/>
      </w:r>
      <w:r>
        <w:fldChar w:fldCharType="begin"/>
      </w:r>
      <w:r>
        <w:instrText xml:space="preserve"> PAGEREF _Toc1492138 \h </w:instrText>
      </w:r>
      <w:r>
        <w:fldChar w:fldCharType="separate"/>
      </w:r>
      <w:r>
        <w:t>101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Duty not to make improper use of information</w:t>
      </w:r>
      <w:r>
        <w:tab/>
      </w:r>
      <w:r>
        <w:fldChar w:fldCharType="begin"/>
      </w:r>
      <w:r>
        <w:instrText xml:space="preserve"> PAGEREF _Toc1492139 \h </w:instrText>
      </w:r>
      <w:r>
        <w:fldChar w:fldCharType="separate"/>
      </w:r>
      <w:r>
        <w:t>101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Duty not to make improper use of position</w:t>
      </w:r>
      <w:r>
        <w:tab/>
      </w:r>
      <w:r>
        <w:fldChar w:fldCharType="begin"/>
      </w:r>
      <w:r>
        <w:instrText xml:space="preserve"> PAGEREF _Toc1492140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Compensation</w:t>
      </w:r>
    </w:p>
    <w:p>
      <w:pPr>
        <w:pStyle w:val="TOC8"/>
        <w:rPr>
          <w:rFonts w:asciiTheme="minorHAnsi" w:eastAsiaTheme="minorEastAsia" w:hAnsiTheme="minorHAnsi" w:cstheme="minorBidi"/>
          <w:szCs w:val="22"/>
        </w:rPr>
      </w:pPr>
      <w:r>
        <w:t>7</w:t>
      </w:r>
      <w:r>
        <w:rPr>
          <w:snapToGrid w:val="0"/>
        </w:rPr>
        <w:t>.</w:t>
      </w:r>
      <w:r>
        <w:rPr>
          <w:snapToGrid w:val="0"/>
        </w:rPr>
        <w:tab/>
        <w:t>Compensation may be ordered if cl. 3, 4, 5 or 6 offence</w:t>
      </w:r>
      <w:r>
        <w:tab/>
      </w:r>
      <w:r>
        <w:fldChar w:fldCharType="begin"/>
      </w:r>
      <w:r>
        <w:instrText xml:space="preserve"> PAGEREF _Toc1492142 \h </w:instrText>
      </w:r>
      <w:r>
        <w:fldChar w:fldCharType="separate"/>
      </w:r>
      <w:r>
        <w:t>102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Civil recovery if cl. 3, 4, 5 or 6 offence</w:t>
      </w:r>
      <w:r>
        <w:tab/>
      </w:r>
      <w:r>
        <w:fldChar w:fldCharType="begin"/>
      </w:r>
      <w:r>
        <w:instrText xml:space="preserve"> PAGEREF _Toc1492143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9</w:t>
      </w:r>
      <w:r>
        <w:rPr>
          <w:snapToGrid w:val="0"/>
        </w:rPr>
        <w:t>.</w:t>
      </w:r>
      <w:r>
        <w:rPr>
          <w:snapToGrid w:val="0"/>
        </w:rPr>
        <w:tab/>
        <w:t>Relief from liability under cl. 1, 7 and 8</w:t>
      </w:r>
      <w:r>
        <w:tab/>
      </w:r>
      <w:r>
        <w:fldChar w:fldCharType="begin"/>
      </w:r>
      <w:r>
        <w:instrText xml:space="preserve"> PAGEREF _Toc1492145 \h </w:instrText>
      </w:r>
      <w:r>
        <w:fldChar w:fldCharType="separate"/>
      </w:r>
      <w:r>
        <w:t>103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relief from liability under cl. 1, 7 or 8</w:t>
      </w:r>
      <w:r>
        <w:tab/>
      </w:r>
      <w:r>
        <w:fldChar w:fldCharType="begin"/>
      </w:r>
      <w:r>
        <w:instrText xml:space="preserve"> PAGEREF _Toc1492146 \h </w:instrText>
      </w:r>
      <w:r>
        <w:fldChar w:fldCharType="separate"/>
      </w:r>
      <w:r>
        <w:t>103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Case as to cl. 9 may be withdrawn from jury</w:t>
      </w:r>
      <w:r>
        <w:tab/>
      </w:r>
      <w:r>
        <w:fldChar w:fldCharType="begin"/>
      </w:r>
      <w:r>
        <w:instrText xml:space="preserve"> PAGEREF _Toc1492147 \h </w:instrText>
      </w:r>
      <w:r>
        <w:fldChar w:fldCharType="separate"/>
      </w:r>
      <w:r>
        <w:t>103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Compliance with directions is not contravention of cl. 1, 3 or 4</w:t>
      </w:r>
      <w:r>
        <w:tab/>
      </w:r>
      <w:r>
        <w:fldChar w:fldCharType="begin"/>
      </w:r>
      <w:r>
        <w:instrText xml:space="preserve"> PAGEREF _Toc1492148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Restrictions on indemnities and exemptions</w:t>
      </w:r>
    </w:p>
    <w:p>
      <w:pPr>
        <w:pStyle w:val="TOC8"/>
        <w:rPr>
          <w:rFonts w:asciiTheme="minorHAnsi" w:eastAsiaTheme="minorEastAsia" w:hAnsiTheme="minorHAnsi" w:cstheme="minorBidi"/>
          <w:szCs w:val="22"/>
        </w:rPr>
      </w:pPr>
      <w:r>
        <w:t>13.</w:t>
      </w:r>
      <w:r>
        <w:tab/>
        <w:t>CEO and executive officers not to be exempted or indemnified for some liability</w:t>
      </w:r>
      <w:r>
        <w:tab/>
      </w:r>
      <w:r>
        <w:fldChar w:fldCharType="begin"/>
      </w:r>
      <w:r>
        <w:instrText xml:space="preserve"> PAGEREF _Toc1492150 \h </w:instrText>
      </w:r>
      <w:r>
        <w:fldChar w:fldCharType="separate"/>
      </w:r>
      <w:r>
        <w:t>104</w:t>
      </w:r>
      <w:r>
        <w:fldChar w:fldCharType="end"/>
      </w:r>
    </w:p>
    <w:p>
      <w:pPr>
        <w:pStyle w:val="TOC8"/>
        <w:rPr>
          <w:rFonts w:asciiTheme="minorHAnsi" w:eastAsiaTheme="minorEastAsia" w:hAnsiTheme="minorHAnsi" w:cstheme="minorBidi"/>
          <w:szCs w:val="22"/>
        </w:rPr>
      </w:pPr>
      <w:r>
        <w:t>14.</w:t>
      </w:r>
      <w:r>
        <w:tab/>
        <w:t>Insurance premiums for certain liabilities of CEO and executive officers</w:t>
      </w:r>
      <w:r>
        <w:tab/>
      </w:r>
      <w:r>
        <w:fldChar w:fldCharType="begin"/>
      </w:r>
      <w:r>
        <w:instrText xml:space="preserve"> PAGEREF _Toc1492151 \h </w:instrText>
      </w:r>
      <w:r>
        <w:fldChar w:fldCharType="separate"/>
      </w:r>
      <w:r>
        <w:t>105</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_Toc1492152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Schedule 4 — Provisions to be included in articles of association of subsidiaries</w:t>
      </w:r>
    </w:p>
    <w:p>
      <w:pPr>
        <w:pStyle w:val="TOC8"/>
        <w:rPr>
          <w:rFonts w:asciiTheme="minorHAnsi" w:eastAsiaTheme="minorEastAsia" w:hAnsiTheme="minorHAnsi" w:cstheme="minorBidi"/>
          <w:szCs w:val="22"/>
        </w:rPr>
      </w:pPr>
      <w:r>
        <w:t>1</w:t>
      </w:r>
      <w:r>
        <w:rPr>
          <w:snapToGrid w:val="0"/>
        </w:rPr>
        <w:t>.</w:t>
      </w:r>
      <w:r>
        <w:rPr>
          <w:snapToGrid w:val="0"/>
        </w:rPr>
        <w:tab/>
        <w:t>Disposal of shares</w:t>
      </w:r>
      <w:r>
        <w:tab/>
      </w:r>
      <w:r>
        <w:fldChar w:fldCharType="begin"/>
      </w:r>
      <w:r>
        <w:instrText xml:space="preserve"> PAGEREF _Toc1492154 \h </w:instrText>
      </w:r>
      <w:r>
        <w:fldChar w:fldCharType="separate"/>
      </w:r>
      <w:r>
        <w:t>106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Directors</w:t>
      </w:r>
      <w:r>
        <w:tab/>
      </w:r>
      <w:r>
        <w:fldChar w:fldCharType="begin"/>
      </w:r>
      <w:r>
        <w:instrText xml:space="preserve"> PAGEREF _Toc1492155 \h </w:instrText>
      </w:r>
      <w:r>
        <w:fldChar w:fldCharType="separate"/>
      </w:r>
      <w:r>
        <w:t>106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Further shares</w:t>
      </w:r>
      <w:r>
        <w:tab/>
      </w:r>
      <w:r>
        <w:fldChar w:fldCharType="begin"/>
      </w:r>
      <w:r>
        <w:instrText xml:space="preserve"> PAGEREF _Toc1492156 \h </w:instrText>
      </w:r>
      <w:r>
        <w:fldChar w:fldCharType="separate"/>
      </w:r>
      <w:r>
        <w:t>106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Subsidiaries of subsidiary</w:t>
      </w:r>
      <w:r>
        <w:tab/>
      </w:r>
      <w:r>
        <w:fldChar w:fldCharType="begin"/>
      </w:r>
      <w:r>
        <w:instrText xml:space="preserve"> PAGEREF _Toc1492157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Schedule 5 — Financial administration and audit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_Toc1492160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Corporations Act s. 286)</w:t>
      </w:r>
      <w:r>
        <w:tab/>
      </w:r>
      <w:r>
        <w:fldChar w:fldCharType="begin"/>
      </w:r>
      <w:r>
        <w:instrText xml:space="preserve"> PAGEREF _Toc1492162 \h </w:instrText>
      </w:r>
      <w:r>
        <w:fldChar w:fldCharType="separate"/>
      </w:r>
      <w:r>
        <w:t>108</w:t>
      </w:r>
      <w:r>
        <w:fldChar w:fldCharType="end"/>
      </w:r>
    </w:p>
    <w:p>
      <w:pPr>
        <w:pStyle w:val="TOC8"/>
        <w:rPr>
          <w:rFonts w:asciiTheme="minorHAnsi" w:eastAsiaTheme="minorEastAsia" w:hAnsiTheme="minorHAnsi" w:cstheme="minorBidi"/>
          <w:szCs w:val="22"/>
        </w:rPr>
      </w:pPr>
      <w:r>
        <w:t>3.</w:t>
      </w:r>
      <w:r>
        <w:tab/>
        <w:t xml:space="preserve">Physical format </w:t>
      </w:r>
      <w:r>
        <w:rPr>
          <w:i/>
        </w:rPr>
        <w:t>(cf. Corporations Act s. 288)</w:t>
      </w:r>
      <w:r>
        <w:tab/>
      </w:r>
      <w:r>
        <w:fldChar w:fldCharType="begin"/>
      </w:r>
      <w:r>
        <w:instrText xml:space="preserve"> PAGEREF _Toc1492163 \h </w:instrText>
      </w:r>
      <w:r>
        <w:fldChar w:fldCharType="separate"/>
      </w:r>
      <w:r>
        <w:t>109</w:t>
      </w:r>
      <w:r>
        <w:fldChar w:fldCharType="end"/>
      </w:r>
    </w:p>
    <w:p>
      <w:pPr>
        <w:pStyle w:val="TOC8"/>
        <w:rPr>
          <w:rFonts w:asciiTheme="minorHAnsi" w:eastAsiaTheme="minorEastAsia" w:hAnsiTheme="minorHAnsi" w:cstheme="minorBidi"/>
          <w:szCs w:val="22"/>
        </w:rPr>
      </w:pPr>
      <w:r>
        <w:t>4.</w:t>
      </w:r>
      <w:r>
        <w:tab/>
        <w:t xml:space="preserve">Place where records are kept </w:t>
      </w:r>
      <w:r>
        <w:rPr>
          <w:i/>
        </w:rPr>
        <w:t>(cf. Corporations Act s. 289)</w:t>
      </w:r>
      <w:r>
        <w:tab/>
      </w:r>
      <w:r>
        <w:fldChar w:fldCharType="begin"/>
      </w:r>
      <w:r>
        <w:instrText xml:space="preserve"> PAGEREF _Toc1492164 \h </w:instrText>
      </w:r>
      <w:r>
        <w:fldChar w:fldCharType="separate"/>
      </w:r>
      <w:r>
        <w:t>109</w:t>
      </w:r>
      <w:r>
        <w:fldChar w:fldCharType="end"/>
      </w:r>
    </w:p>
    <w:p>
      <w:pPr>
        <w:pStyle w:val="TOC8"/>
        <w:rPr>
          <w:rFonts w:asciiTheme="minorHAnsi" w:eastAsiaTheme="minorEastAsia" w:hAnsiTheme="minorHAnsi" w:cstheme="minorBidi"/>
          <w:szCs w:val="22"/>
        </w:rPr>
      </w:pPr>
      <w:r>
        <w:t>5.</w:t>
      </w:r>
      <w:r>
        <w:tab/>
        <w:t xml:space="preserve">Director access </w:t>
      </w:r>
      <w:r>
        <w:rPr>
          <w:i/>
        </w:rPr>
        <w:t>(cf. Corporations Act s. 290)</w:t>
      </w:r>
      <w:r>
        <w:tab/>
      </w:r>
      <w:r>
        <w:fldChar w:fldCharType="begin"/>
      </w:r>
      <w:r>
        <w:instrText xml:space="preserve"> PAGEREF _Toc1492165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3 — Financial reporting</w:t>
      </w:r>
    </w:p>
    <w:p>
      <w:pPr>
        <w:pStyle w:val="TOC6"/>
        <w:tabs>
          <w:tab w:val="right" w:leader="dot" w:pos="7077"/>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 and directors’ report </w:t>
      </w:r>
      <w:r>
        <w:rPr>
          <w:i/>
        </w:rPr>
        <w:t>(cf. Corporations Act s. 292)</w:t>
      </w:r>
      <w:r>
        <w:tab/>
      </w:r>
      <w:r>
        <w:fldChar w:fldCharType="begin"/>
      </w:r>
      <w:r>
        <w:instrText xml:space="preserve"> PAGEREF _Toc1492168 \h </w:instrText>
      </w:r>
      <w:r>
        <w:fldChar w:fldCharType="separate"/>
      </w:r>
      <w:r>
        <w:t>110</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Corporations Act s. 295)</w:t>
      </w:r>
      <w:r>
        <w:tab/>
      </w:r>
      <w:r>
        <w:fldChar w:fldCharType="begin"/>
      </w:r>
      <w:r>
        <w:instrText xml:space="preserve"> PAGEREF _Toc1492169 \h </w:instrText>
      </w:r>
      <w:r>
        <w:fldChar w:fldCharType="separate"/>
      </w:r>
      <w:r>
        <w:t>110</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Corporations Act s. 296)</w:t>
      </w:r>
      <w:r>
        <w:tab/>
      </w:r>
      <w:r>
        <w:fldChar w:fldCharType="begin"/>
      </w:r>
      <w:r>
        <w:instrText xml:space="preserve"> PAGEREF _Toc1492170 \h </w:instrText>
      </w:r>
      <w:r>
        <w:fldChar w:fldCharType="separate"/>
      </w:r>
      <w:r>
        <w:t>111</w:t>
      </w:r>
      <w:r>
        <w:fldChar w:fldCharType="end"/>
      </w:r>
    </w:p>
    <w:p>
      <w:pPr>
        <w:pStyle w:val="TOC8"/>
        <w:rPr>
          <w:rFonts w:asciiTheme="minorHAnsi" w:eastAsiaTheme="minorEastAsia" w:hAnsiTheme="minorHAnsi" w:cstheme="minorBidi"/>
          <w:szCs w:val="22"/>
        </w:rPr>
      </w:pPr>
      <w:r>
        <w:t>9.</w:t>
      </w:r>
      <w:r>
        <w:tab/>
        <w:t xml:space="preserve">True and fair view </w:t>
      </w:r>
      <w:r>
        <w:rPr>
          <w:i/>
        </w:rPr>
        <w:t>(cf. Corporations Act s. 297)</w:t>
      </w:r>
      <w:r>
        <w:tab/>
      </w:r>
      <w:r>
        <w:fldChar w:fldCharType="begin"/>
      </w:r>
      <w:r>
        <w:instrText xml:space="preserve"> PAGEREF _Toc1492171 \h </w:instrText>
      </w:r>
      <w:r>
        <w:fldChar w:fldCharType="separate"/>
      </w:r>
      <w:r>
        <w:t>112</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Corporations Act s. 298)</w:t>
      </w:r>
      <w:r>
        <w:tab/>
      </w:r>
      <w:r>
        <w:fldChar w:fldCharType="begin"/>
      </w:r>
      <w:r>
        <w:instrText xml:space="preserve"> PAGEREF _Toc1492172 \h </w:instrText>
      </w:r>
      <w:r>
        <w:fldChar w:fldCharType="separate"/>
      </w:r>
      <w:r>
        <w:t>112</w:t>
      </w:r>
      <w:r>
        <w:fldChar w:fldCharType="end"/>
      </w:r>
    </w:p>
    <w:p>
      <w:pPr>
        <w:pStyle w:val="TOC8"/>
        <w:rPr>
          <w:rFonts w:asciiTheme="minorHAnsi" w:eastAsiaTheme="minorEastAsia" w:hAnsiTheme="minorHAnsi" w:cstheme="minorBidi"/>
          <w:szCs w:val="22"/>
        </w:rPr>
      </w:pPr>
      <w:r>
        <w:t>11.</w:t>
      </w:r>
      <w:r>
        <w:tab/>
        <w:t xml:space="preserve">Annual directors’ report, general information in </w:t>
      </w:r>
      <w:r>
        <w:rPr>
          <w:i/>
        </w:rPr>
        <w:t>(cf. Corporations Act s. 299)</w:t>
      </w:r>
      <w:r>
        <w:tab/>
      </w:r>
      <w:r>
        <w:fldChar w:fldCharType="begin"/>
      </w:r>
      <w:r>
        <w:instrText xml:space="preserve"> PAGEREF _Toc1492173 \h </w:instrText>
      </w:r>
      <w:r>
        <w:fldChar w:fldCharType="separate"/>
      </w:r>
      <w:r>
        <w:t>112</w:t>
      </w:r>
      <w:r>
        <w:fldChar w:fldCharType="end"/>
      </w:r>
    </w:p>
    <w:p>
      <w:pPr>
        <w:pStyle w:val="TOC8"/>
        <w:rPr>
          <w:rFonts w:asciiTheme="minorHAnsi" w:eastAsiaTheme="minorEastAsia" w:hAnsiTheme="minorHAnsi" w:cstheme="minorBidi"/>
          <w:szCs w:val="22"/>
        </w:rPr>
      </w:pPr>
      <w:r>
        <w:t>12.</w:t>
      </w:r>
      <w:r>
        <w:tab/>
        <w:t xml:space="preserve">Annual directors’ report, specific information in </w:t>
      </w:r>
      <w:r>
        <w:rPr>
          <w:i/>
        </w:rPr>
        <w:t>(cf. Corporations Act s. 300)</w:t>
      </w:r>
      <w:r>
        <w:tab/>
      </w:r>
      <w:r>
        <w:fldChar w:fldCharType="begin"/>
      </w:r>
      <w:r>
        <w:instrText xml:space="preserve"> PAGEREF _Toc1492174 \h </w:instrText>
      </w:r>
      <w:r>
        <w:fldChar w:fldCharType="separate"/>
      </w:r>
      <w:r>
        <w:t>114</w:t>
      </w:r>
      <w:r>
        <w:fldChar w:fldCharType="end"/>
      </w:r>
    </w:p>
    <w:p>
      <w:pPr>
        <w:pStyle w:val="TOC8"/>
        <w:rPr>
          <w:rFonts w:asciiTheme="minorHAnsi" w:eastAsiaTheme="minorEastAsia" w:hAnsiTheme="minorHAnsi" w:cstheme="minorBidi"/>
          <w:szCs w:val="22"/>
        </w:rPr>
      </w:pPr>
      <w:r>
        <w:t>13.</w:t>
      </w:r>
      <w:r>
        <w:tab/>
        <w:t xml:space="preserve">Annual directors’ report, other specific information in </w:t>
      </w:r>
      <w:r>
        <w:rPr>
          <w:i/>
        </w:rPr>
        <w:t>(cf. Corporations Act s. 300A)</w:t>
      </w:r>
      <w:r>
        <w:tab/>
      </w:r>
      <w:r>
        <w:fldChar w:fldCharType="begin"/>
      </w:r>
      <w:r>
        <w:instrText xml:space="preserve"> PAGEREF _Toc1492175 \h </w:instrText>
      </w:r>
      <w:r>
        <w:fldChar w:fldCharType="separate"/>
      </w:r>
      <w:r>
        <w:t>114</w:t>
      </w:r>
      <w:r>
        <w:fldChar w:fldCharType="end"/>
      </w:r>
    </w:p>
    <w:p>
      <w:pPr>
        <w:pStyle w:val="TOC8"/>
        <w:rPr>
          <w:rFonts w:asciiTheme="minorHAnsi" w:eastAsiaTheme="minorEastAsia" w:hAnsiTheme="minorHAnsi" w:cstheme="minorBidi"/>
          <w:szCs w:val="22"/>
        </w:rPr>
      </w:pPr>
      <w:r>
        <w:t>14.</w:t>
      </w:r>
      <w:r>
        <w:tab/>
        <w:t xml:space="preserve">Audit of annual financial report </w:t>
      </w:r>
      <w:r>
        <w:rPr>
          <w:i/>
        </w:rPr>
        <w:t>(cf. Corporations Act s. 301)</w:t>
      </w:r>
      <w:r>
        <w:tab/>
      </w:r>
      <w:r>
        <w:fldChar w:fldCharType="begin"/>
      </w:r>
      <w:r>
        <w:instrText xml:space="preserve"> PAGEREF _Toc1492176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 xml:space="preserve">Audit opinion </w:t>
      </w:r>
      <w:r>
        <w:rPr>
          <w:i/>
        </w:rPr>
        <w:t>(cf. Corporations Act s. 307)</w:t>
      </w:r>
      <w:r>
        <w:tab/>
      </w:r>
      <w:r>
        <w:fldChar w:fldCharType="begin"/>
      </w:r>
      <w:r>
        <w:instrText xml:space="preserve"> PAGEREF _Toc1492178 \h </w:instrText>
      </w:r>
      <w:r>
        <w:fldChar w:fldCharType="separate"/>
      </w:r>
      <w:r>
        <w:t>115</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Corporations Act s. 308)</w:t>
      </w:r>
      <w:r>
        <w:tab/>
      </w:r>
      <w:r>
        <w:fldChar w:fldCharType="begin"/>
      </w:r>
      <w:r>
        <w:instrText xml:space="preserve"> PAGEREF _Toc1492179 \h </w:instrText>
      </w:r>
      <w:r>
        <w:fldChar w:fldCharType="separate"/>
      </w:r>
      <w:r>
        <w:t>115</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Corporations Act s. 310)</w:t>
      </w:r>
      <w:r>
        <w:tab/>
      </w:r>
      <w:r>
        <w:fldChar w:fldCharType="begin"/>
      </w:r>
      <w:r>
        <w:instrText xml:space="preserve"> PAGEREF _Toc1492180 \h </w:instrText>
      </w:r>
      <w:r>
        <w:fldChar w:fldCharType="separate"/>
      </w:r>
      <w:r>
        <w:t>116</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Corporations Act s. 312)</w:t>
      </w:r>
      <w:r>
        <w:tab/>
      </w:r>
      <w:r>
        <w:fldChar w:fldCharType="begin"/>
      </w:r>
      <w:r>
        <w:instrText xml:space="preserve"> PAGEREF _Toc1492181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Corporations Act s. 323)</w:t>
      </w:r>
      <w:r>
        <w:tab/>
      </w:r>
      <w:r>
        <w:fldChar w:fldCharType="begin"/>
      </w:r>
      <w:r>
        <w:instrText xml:space="preserve"> PAGEREF _Toc1492183 \h </w:instrText>
      </w:r>
      <w:r>
        <w:fldChar w:fldCharType="separate"/>
      </w:r>
      <w:r>
        <w:t>117</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Corporations Act s. 323A)</w:t>
      </w:r>
      <w:r>
        <w:tab/>
      </w:r>
      <w:r>
        <w:fldChar w:fldCharType="begin"/>
      </w:r>
      <w:r>
        <w:instrText xml:space="preserve"> PAGEREF _Toc1492184 \h </w:instrText>
      </w:r>
      <w:r>
        <w:fldChar w:fldCharType="separate"/>
      </w:r>
      <w:r>
        <w:t>117</w:t>
      </w:r>
      <w:r>
        <w:fldChar w:fldCharType="end"/>
      </w:r>
    </w:p>
    <w:p>
      <w:pPr>
        <w:pStyle w:val="TOC8"/>
        <w:rPr>
          <w:rFonts w:asciiTheme="minorHAnsi" w:eastAsiaTheme="minorEastAsia" w:hAnsiTheme="minorHAnsi" w:cstheme="minorBidi"/>
          <w:szCs w:val="22"/>
        </w:rPr>
      </w:pPr>
      <w:r>
        <w:t>21.</w:t>
      </w:r>
      <w:r>
        <w:tab/>
        <w:t xml:space="preserve">Controlled entity to assist the Auditor General </w:t>
      </w:r>
      <w:r>
        <w:rPr>
          <w:i/>
        </w:rPr>
        <w:t>(cf. Corporations Act s. 323B)</w:t>
      </w:r>
      <w:r>
        <w:tab/>
      </w:r>
      <w:r>
        <w:fldChar w:fldCharType="begin"/>
      </w:r>
      <w:r>
        <w:instrText xml:space="preserve"> PAGEREF _Toc1492185 \h </w:instrText>
      </w:r>
      <w:r>
        <w:fldChar w:fldCharType="separate"/>
      </w:r>
      <w:r>
        <w:t>117</w:t>
      </w:r>
      <w:r>
        <w:fldChar w:fldCharType="end"/>
      </w:r>
    </w:p>
    <w:p>
      <w:pPr>
        <w:pStyle w:val="TOC8"/>
        <w:rPr>
          <w:rFonts w:asciiTheme="minorHAnsi" w:eastAsiaTheme="minorEastAsia" w:hAnsiTheme="minorHAnsi" w:cstheme="minorBidi"/>
          <w:szCs w:val="22"/>
        </w:rPr>
      </w:pPr>
      <w:r>
        <w:t>22.</w:t>
      </w:r>
      <w:r>
        <w:tab/>
        <w:t xml:space="preserve">Application of cl. 19 to 21 to entity that has ceased to be controlled </w:t>
      </w:r>
      <w:r>
        <w:rPr>
          <w:i/>
        </w:rPr>
        <w:t>(cf. Corporations Act s. 323C)</w:t>
      </w:r>
      <w:r>
        <w:tab/>
      </w:r>
      <w:r>
        <w:fldChar w:fldCharType="begin"/>
      </w:r>
      <w:r>
        <w:instrText xml:space="preserve"> PAGEREF _Toc1492186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years of a port authority and the entities it controls</w:t>
      </w:r>
    </w:p>
    <w:p>
      <w:pPr>
        <w:pStyle w:val="TOC8"/>
        <w:rPr>
          <w:rFonts w:asciiTheme="minorHAnsi" w:eastAsiaTheme="minorEastAsia" w:hAnsiTheme="minorHAnsi" w:cstheme="minorBidi"/>
          <w:szCs w:val="22"/>
        </w:rPr>
      </w:pPr>
      <w:r>
        <w:t>23.</w:t>
      </w:r>
      <w:r>
        <w:tab/>
        <w:t xml:space="preserve">Financial years </w:t>
      </w:r>
      <w:r>
        <w:rPr>
          <w:i/>
        </w:rPr>
        <w:t>(cf. Corporations Act s. 323D)</w:t>
      </w:r>
      <w:r>
        <w:tab/>
      </w:r>
      <w:r>
        <w:fldChar w:fldCharType="begin"/>
      </w:r>
      <w:r>
        <w:instrText xml:space="preserve"> PAGEREF _Toc1492188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4 — Accounting standards</w:t>
      </w:r>
    </w:p>
    <w:p>
      <w:pPr>
        <w:pStyle w:val="TOC8"/>
        <w:rPr>
          <w:rFonts w:asciiTheme="minorHAnsi" w:eastAsiaTheme="minorEastAsia" w:hAnsiTheme="minorHAnsi" w:cstheme="minorBidi"/>
          <w:szCs w:val="22"/>
        </w:rPr>
      </w:pPr>
      <w:r>
        <w:t>24.</w:t>
      </w:r>
      <w:r>
        <w:tab/>
        <w:t xml:space="preserve">Accounting standards </w:t>
      </w:r>
      <w:r>
        <w:rPr>
          <w:i/>
        </w:rPr>
        <w:t>(cf. Corporations Act s. 334)</w:t>
      </w:r>
      <w:r>
        <w:tab/>
      </w:r>
      <w:r>
        <w:fldChar w:fldCharType="begin"/>
      </w:r>
      <w:r>
        <w:instrText xml:space="preserve"> PAGEREF _Toc1492190 \h </w:instrText>
      </w:r>
      <w:r>
        <w:fldChar w:fldCharType="separate"/>
      </w:r>
      <w:r>
        <w:t>118</w:t>
      </w:r>
      <w:r>
        <w:fldChar w:fldCharType="end"/>
      </w:r>
    </w:p>
    <w:p>
      <w:pPr>
        <w:pStyle w:val="TOC8"/>
        <w:rPr>
          <w:rFonts w:asciiTheme="minorHAnsi" w:eastAsiaTheme="minorEastAsia" w:hAnsiTheme="minorHAnsi" w:cstheme="minorBidi"/>
          <w:szCs w:val="22"/>
        </w:rPr>
      </w:pPr>
      <w:r>
        <w:t>25.</w:t>
      </w:r>
      <w:r>
        <w:tab/>
        <w:t xml:space="preserve">Equity accounting </w:t>
      </w:r>
      <w:r>
        <w:rPr>
          <w:i/>
        </w:rPr>
        <w:t>(cf. Corporations Act s. 335)</w:t>
      </w:r>
      <w:r>
        <w:tab/>
      </w:r>
      <w:r>
        <w:fldChar w:fldCharType="begin"/>
      </w:r>
      <w:r>
        <w:instrText xml:space="preserve"> PAGEREF _Toc1492191 \h </w:instrText>
      </w:r>
      <w:r>
        <w:fldChar w:fldCharType="separate"/>
      </w:r>
      <w:r>
        <w:t>119</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Corporations Act s. 337)</w:t>
      </w:r>
      <w:r>
        <w:tab/>
      </w:r>
      <w:r>
        <w:fldChar w:fldCharType="begin"/>
      </w:r>
      <w:r>
        <w:instrText xml:space="preserve"> PAGEREF _Toc1492192 \h </w:instrText>
      </w:r>
      <w:r>
        <w:fldChar w:fldCharType="separate"/>
      </w:r>
      <w:r>
        <w:t>119</w:t>
      </w:r>
      <w:r>
        <w:fldChar w:fldCharType="end"/>
      </w:r>
    </w:p>
    <w:p>
      <w:pPr>
        <w:pStyle w:val="TOC8"/>
        <w:rPr>
          <w:rFonts w:asciiTheme="minorHAnsi" w:eastAsiaTheme="minorEastAsia" w:hAnsiTheme="minorHAnsi" w:cstheme="minorBidi"/>
          <w:szCs w:val="22"/>
        </w:rPr>
      </w:pPr>
      <w:r>
        <w:t>27.</w:t>
      </w:r>
      <w:r>
        <w:tab/>
        <w:t>Evidence of text of accounting standard</w:t>
      </w:r>
      <w:r>
        <w:tab/>
      </w:r>
      <w:r>
        <w:fldChar w:fldCharType="begin"/>
      </w:r>
      <w:r>
        <w:instrText xml:space="preserve"> PAGEREF _Toc1492193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5 — Extension of time</w:t>
      </w:r>
    </w:p>
    <w:p>
      <w:pPr>
        <w:pStyle w:val="TOC8"/>
        <w:rPr>
          <w:rFonts w:asciiTheme="minorHAnsi" w:eastAsiaTheme="minorEastAsia" w:hAnsiTheme="minorHAnsi" w:cstheme="minorBidi"/>
          <w:szCs w:val="22"/>
        </w:rPr>
      </w:pPr>
      <w:r>
        <w:t>28.</w:t>
      </w:r>
      <w:r>
        <w:tab/>
        <w:t>Extension of time</w:t>
      </w:r>
      <w:r>
        <w:tab/>
      </w:r>
      <w:r>
        <w:fldChar w:fldCharType="begin"/>
      </w:r>
      <w:r>
        <w:instrText xml:space="preserve"> PAGEREF _Toc1492195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6 — Sanctions for contraventions of this Schedule</w:t>
      </w:r>
    </w:p>
    <w:p>
      <w:pPr>
        <w:pStyle w:val="TOC8"/>
        <w:rPr>
          <w:rFonts w:asciiTheme="minorHAnsi" w:eastAsiaTheme="minorEastAsia" w:hAnsiTheme="minorHAnsi" w:cstheme="minorBidi"/>
          <w:szCs w:val="22"/>
        </w:rPr>
      </w:pPr>
      <w:r>
        <w:t>29.</w:t>
      </w:r>
      <w:r>
        <w:tab/>
        <w:t xml:space="preserve">Contravention of Div. 2 and 3 </w:t>
      </w:r>
      <w:r>
        <w:rPr>
          <w:i/>
        </w:rPr>
        <w:t>(cf. Corporations Act s. 344)</w:t>
      </w:r>
      <w:r>
        <w:tab/>
      </w:r>
      <w:r>
        <w:fldChar w:fldCharType="begin"/>
      </w:r>
      <w:r>
        <w:instrText xml:space="preserve"> PAGEREF _Toc1492197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33.</w:t>
      </w:r>
      <w:r>
        <w:tab/>
        <w:t xml:space="preserve">Treasurer’s power to make specific exemption orders </w:t>
      </w:r>
      <w:r>
        <w:rPr>
          <w:i/>
        </w:rPr>
        <w:t>(cf. Corporations Act s. 340)</w:t>
      </w:r>
      <w:r>
        <w:tab/>
      </w:r>
      <w:r>
        <w:fldChar w:fldCharType="begin"/>
      </w:r>
      <w:r>
        <w:instrText xml:space="preserve"> PAGEREF _Toc1492199 \h </w:instrText>
      </w:r>
      <w:r>
        <w:fldChar w:fldCharType="separate"/>
      </w:r>
      <w:r>
        <w:t>121</w:t>
      </w:r>
      <w:r>
        <w:fldChar w:fldCharType="end"/>
      </w:r>
    </w:p>
    <w:p>
      <w:pPr>
        <w:pStyle w:val="TOC8"/>
        <w:rPr>
          <w:rFonts w:asciiTheme="minorHAnsi" w:eastAsiaTheme="minorEastAsia" w:hAnsiTheme="minorHAnsi" w:cstheme="minorBidi"/>
          <w:szCs w:val="22"/>
        </w:rPr>
      </w:pPr>
      <w:r>
        <w:t>33A.</w:t>
      </w:r>
      <w:r>
        <w:tab/>
        <w:t xml:space="preserve">Criteria for specific exemption orders and class orders   </w:t>
      </w:r>
      <w:r>
        <w:rPr>
          <w:i/>
        </w:rPr>
        <w:t>(cf. Corporations Act s. 342)</w:t>
      </w:r>
      <w:r>
        <w:tab/>
      </w:r>
      <w:r>
        <w:fldChar w:fldCharType="begin"/>
      </w:r>
      <w:r>
        <w:instrText xml:space="preserve"> PAGEREF _Toc1492200 \h </w:instrText>
      </w:r>
      <w:r>
        <w:fldChar w:fldCharType="separate"/>
      </w:r>
      <w:r>
        <w:t>122</w:t>
      </w:r>
      <w:r>
        <w:fldChar w:fldCharType="end"/>
      </w:r>
    </w:p>
    <w:p>
      <w:pPr>
        <w:pStyle w:val="TOC8"/>
        <w:rPr>
          <w:rFonts w:asciiTheme="minorHAnsi" w:eastAsiaTheme="minorEastAsia" w:hAnsiTheme="minorHAnsi" w:cstheme="minorBidi"/>
          <w:szCs w:val="22"/>
        </w:rPr>
      </w:pPr>
      <w:r>
        <w:t>34.</w:t>
      </w:r>
      <w:r>
        <w:tab/>
        <w:t xml:space="preserve">Deadline for reporting to Minister </w:t>
      </w:r>
      <w:r>
        <w:rPr>
          <w:i/>
        </w:rPr>
        <w:t>(cf. Corporations Act s. 315)</w:t>
      </w:r>
      <w:r>
        <w:tab/>
      </w:r>
      <w:r>
        <w:fldChar w:fldCharType="begin"/>
      </w:r>
      <w:r>
        <w:instrText xml:space="preserve"> PAGEREF _Toc1492201 \h </w:instrText>
      </w:r>
      <w:r>
        <w:fldChar w:fldCharType="separate"/>
      </w:r>
      <w:r>
        <w:t>122</w:t>
      </w:r>
      <w:r>
        <w:fldChar w:fldCharType="end"/>
      </w:r>
    </w:p>
    <w:p>
      <w:pPr>
        <w:pStyle w:val="TOC8"/>
        <w:rPr>
          <w:rFonts w:asciiTheme="minorHAnsi" w:eastAsiaTheme="minorEastAsia" w:hAnsiTheme="minorHAnsi" w:cstheme="minorBidi"/>
          <w:szCs w:val="22"/>
        </w:rPr>
      </w:pPr>
      <w:r>
        <w:t>35.</w:t>
      </w:r>
      <w:r>
        <w:tab/>
        <w:t xml:space="preserve">Annual report to Minister, content of </w:t>
      </w:r>
      <w:r>
        <w:rPr>
          <w:i/>
        </w:rPr>
        <w:t>(cf. Corporations Act s. 314)</w:t>
      </w:r>
      <w:r>
        <w:tab/>
      </w:r>
      <w:r>
        <w:fldChar w:fldCharType="begin"/>
      </w:r>
      <w:r>
        <w:instrText xml:space="preserve"> PAGEREF _Toc1492202 \h </w:instrText>
      </w:r>
      <w:r>
        <w:fldChar w:fldCharType="separate"/>
      </w:r>
      <w:r>
        <w:t>122</w:t>
      </w:r>
      <w:r>
        <w:fldChar w:fldCharType="end"/>
      </w:r>
    </w:p>
    <w:p>
      <w:pPr>
        <w:pStyle w:val="TOC8"/>
        <w:rPr>
          <w:rFonts w:asciiTheme="minorHAnsi" w:eastAsiaTheme="minorEastAsia" w:hAnsiTheme="minorHAnsi" w:cstheme="minorBidi"/>
          <w:szCs w:val="22"/>
        </w:rPr>
      </w:pPr>
      <w:r>
        <w:t>37.</w:t>
      </w:r>
      <w:r>
        <w:tab/>
        <w:t>Audit, deadline for; interim report</w:t>
      </w:r>
      <w:r>
        <w:tab/>
      </w:r>
      <w:r>
        <w:fldChar w:fldCharType="begin"/>
      </w:r>
      <w:r>
        <w:instrText xml:space="preserve"> PAGEREF _Toc1492203 \h </w:instrText>
      </w:r>
      <w:r>
        <w:fldChar w:fldCharType="separate"/>
      </w:r>
      <w:r>
        <w:t>122</w:t>
      </w:r>
      <w:r>
        <w:fldChar w:fldCharType="end"/>
      </w:r>
    </w:p>
    <w:p>
      <w:pPr>
        <w:pStyle w:val="TOC8"/>
        <w:rPr>
          <w:rFonts w:asciiTheme="minorHAnsi" w:eastAsiaTheme="minorEastAsia" w:hAnsiTheme="minorHAnsi" w:cstheme="minorBidi"/>
          <w:szCs w:val="22"/>
        </w:rPr>
      </w:pPr>
      <w:r>
        <w:t>44.</w:t>
      </w:r>
      <w:r>
        <w:tab/>
        <w:t>Auditor General, duties and powers of</w:t>
      </w:r>
      <w:r>
        <w:tab/>
      </w:r>
      <w:r>
        <w:fldChar w:fldCharType="begin"/>
      </w:r>
      <w:r>
        <w:instrText xml:space="preserve"> PAGEREF _Toc1492204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Schedule 6 — Provisions for Pilbara Ports Authority</w:t>
      </w:r>
    </w:p>
    <w:p>
      <w:pPr>
        <w:pStyle w:val="TOC4"/>
        <w:tabs>
          <w:tab w:val="right" w:leader="dot" w:pos="7077"/>
        </w:tabs>
        <w:rPr>
          <w:rFonts w:asciiTheme="minorHAnsi" w:eastAsiaTheme="minorEastAsia" w:hAnsiTheme="minorHAnsi" w:cstheme="minorBidi"/>
          <w:b w:val="0"/>
          <w:szCs w:val="22"/>
        </w:rPr>
      </w:pPr>
      <w:r>
        <w:t>Division 1 — Port of Dampier</w:t>
      </w:r>
    </w:p>
    <w:p>
      <w:pPr>
        <w:pStyle w:val="TOC8"/>
        <w:rPr>
          <w:rFonts w:asciiTheme="minorHAnsi" w:eastAsiaTheme="minorEastAsia" w:hAnsiTheme="minorHAnsi" w:cstheme="minorBidi"/>
          <w:szCs w:val="22"/>
        </w:rPr>
      </w:pPr>
      <w:r>
        <w:t>1.1</w:t>
      </w:r>
      <w:r>
        <w:rPr>
          <w:snapToGrid w:val="0"/>
        </w:rPr>
        <w:t>.</w:t>
      </w:r>
      <w:r>
        <w:rPr>
          <w:snapToGrid w:val="0"/>
        </w:rPr>
        <w:tab/>
        <w:t>Application of Division</w:t>
      </w:r>
      <w:r>
        <w:tab/>
      </w:r>
      <w:r>
        <w:fldChar w:fldCharType="begin"/>
      </w:r>
      <w:r>
        <w:instrText xml:space="preserve"> PAGEREF _Toc1492207 \h </w:instrText>
      </w:r>
      <w:r>
        <w:fldChar w:fldCharType="separate"/>
      </w:r>
      <w:r>
        <w:t>124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Terms used</w:t>
      </w:r>
      <w:r>
        <w:tab/>
      </w:r>
      <w:r>
        <w:fldChar w:fldCharType="begin"/>
      </w:r>
      <w:r>
        <w:instrText xml:space="preserve"> PAGEREF _Toc1492208 \h </w:instrText>
      </w:r>
      <w:r>
        <w:fldChar w:fldCharType="separate"/>
      </w:r>
      <w:r>
        <w:t>124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does not affect State agreements</w:t>
      </w:r>
      <w:r>
        <w:tab/>
      </w:r>
      <w:r>
        <w:fldChar w:fldCharType="begin"/>
      </w:r>
      <w:r>
        <w:instrText xml:space="preserve"> PAGEREF _Toc1492209 \h </w:instrText>
      </w:r>
      <w:r>
        <w:fldChar w:fldCharType="separate"/>
      </w:r>
      <w:r>
        <w:t>125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Some property excepted from s. 26(1)</w:t>
      </w:r>
      <w:r>
        <w:tab/>
      </w:r>
      <w:r>
        <w:fldChar w:fldCharType="begin"/>
      </w:r>
      <w:r>
        <w:instrText xml:space="preserve"> PAGEREF _Toc1492210 \h </w:instrText>
      </w:r>
      <w:r>
        <w:fldChar w:fldCharType="separate"/>
      </w:r>
      <w:r>
        <w:t>125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Recovery of costs from users, functions include</w:t>
      </w:r>
      <w:r>
        <w:tab/>
      </w:r>
      <w:r>
        <w:fldChar w:fldCharType="begin"/>
      </w:r>
      <w:r>
        <w:instrText xml:space="preserve"> PAGEREF _Toc1492211 \h </w:instrText>
      </w:r>
      <w:r>
        <w:fldChar w:fldCharType="separate"/>
      </w:r>
      <w:r>
        <w:t>125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Companies, Joint Venturers and Salt Company, duties of</w:t>
      </w:r>
      <w:r>
        <w:tab/>
      </w:r>
      <w:r>
        <w:fldChar w:fldCharType="begin"/>
      </w:r>
      <w:r>
        <w:instrText xml:space="preserve"> PAGEREF _Toc1492212 \h </w:instrText>
      </w:r>
      <w:r>
        <w:fldChar w:fldCharType="separate"/>
      </w:r>
      <w:r>
        <w:t>125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Pilotage services, agreements with Companies etc. as to</w:t>
      </w:r>
      <w:r>
        <w:tab/>
      </w:r>
      <w:r>
        <w:fldChar w:fldCharType="begin"/>
      </w:r>
      <w:r>
        <w:instrText xml:space="preserve"> PAGEREF _Toc1492213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2 — Port of Port Hedland</w:t>
      </w:r>
    </w:p>
    <w:p>
      <w:pPr>
        <w:pStyle w:val="TOC8"/>
        <w:rPr>
          <w:rFonts w:asciiTheme="minorHAnsi" w:eastAsiaTheme="minorEastAsia" w:hAnsiTheme="minorHAnsi" w:cstheme="minorBidi"/>
          <w:szCs w:val="22"/>
        </w:rPr>
      </w:pPr>
      <w:r>
        <w:t>2.1</w:t>
      </w:r>
      <w:r>
        <w:rPr>
          <w:snapToGrid w:val="0"/>
        </w:rPr>
        <w:t>.</w:t>
      </w:r>
      <w:r>
        <w:rPr>
          <w:snapToGrid w:val="0"/>
        </w:rPr>
        <w:tab/>
        <w:t>Application of Division</w:t>
      </w:r>
      <w:r>
        <w:tab/>
      </w:r>
      <w:r>
        <w:fldChar w:fldCharType="begin"/>
      </w:r>
      <w:r>
        <w:instrText xml:space="preserve"> PAGEREF _Toc1492215 \h </w:instrText>
      </w:r>
      <w:r>
        <w:fldChar w:fldCharType="separate"/>
      </w:r>
      <w:r>
        <w:t>127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Act does not affect State agreements</w:t>
      </w:r>
      <w:r>
        <w:tab/>
      </w:r>
      <w:r>
        <w:fldChar w:fldCharType="begin"/>
      </w:r>
      <w:r>
        <w:instrText xml:space="preserve"> PAGEREF _Toc1492216 \h </w:instrText>
      </w:r>
      <w:r>
        <w:fldChar w:fldCharType="separate"/>
      </w:r>
      <w:r>
        <w:t>127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Port includes pilotage area for some purposes</w:t>
      </w:r>
      <w:r>
        <w:tab/>
      </w:r>
      <w:r>
        <w:fldChar w:fldCharType="begin"/>
      </w:r>
      <w:r>
        <w:instrText xml:space="preserve"> PAGEREF _Toc1492217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Schedule 7 — Purposes for which, or matters about which, regulations may be made</w:t>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Ports Legislation Amendment Act 2014</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_Toc1492222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the Southern Ports Authority</w:t>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_Toc1492224 \h </w:instrText>
      </w:r>
      <w:r>
        <w:fldChar w:fldCharType="separate"/>
      </w:r>
      <w:r>
        <w:t>133</w:t>
      </w:r>
      <w:r>
        <w:fldChar w:fldCharType="end"/>
      </w:r>
    </w:p>
    <w:p>
      <w:pPr>
        <w:pStyle w:val="TOC8"/>
        <w:rPr>
          <w:rFonts w:asciiTheme="minorHAnsi" w:eastAsiaTheme="minorEastAsia" w:hAnsiTheme="minorHAnsi" w:cstheme="minorBidi"/>
          <w:szCs w:val="22"/>
        </w:rPr>
      </w:pPr>
      <w:r>
        <w:t>3.</w:t>
      </w:r>
      <w:r>
        <w:tab/>
        <w:t>Merger of Albany Port Authority and Esperance Port Authority into Southern Ports Authority</w:t>
      </w:r>
      <w:r>
        <w:tab/>
      </w:r>
      <w:r>
        <w:fldChar w:fldCharType="begin"/>
      </w:r>
      <w:r>
        <w:instrText xml:space="preserve"> PAGEREF _Toc1492225 \h </w:instrText>
      </w:r>
      <w:r>
        <w:fldChar w:fldCharType="separate"/>
      </w:r>
      <w:r>
        <w:t>134</w:t>
      </w:r>
      <w:r>
        <w:fldChar w:fldCharType="end"/>
      </w:r>
    </w:p>
    <w:p>
      <w:pPr>
        <w:pStyle w:val="TOC8"/>
        <w:rPr>
          <w:rFonts w:asciiTheme="minorHAnsi" w:eastAsiaTheme="minorEastAsia" w:hAnsiTheme="minorHAnsi" w:cstheme="minorBidi"/>
          <w:szCs w:val="22"/>
        </w:rPr>
      </w:pPr>
      <w:r>
        <w:t>4.</w:t>
      </w:r>
      <w:r>
        <w:tab/>
        <w:t>Directors and former directors</w:t>
      </w:r>
      <w:r>
        <w:tab/>
      </w:r>
      <w:r>
        <w:fldChar w:fldCharType="begin"/>
      </w:r>
      <w:r>
        <w:instrText xml:space="preserve"> PAGEREF _Toc1492226 \h </w:instrText>
      </w:r>
      <w:r>
        <w:fldChar w:fldCharType="separate"/>
      </w:r>
      <w:r>
        <w:t>134</w:t>
      </w:r>
      <w:r>
        <w:fldChar w:fldCharType="end"/>
      </w:r>
    </w:p>
    <w:p>
      <w:pPr>
        <w:pStyle w:val="TOC8"/>
        <w:rPr>
          <w:rFonts w:asciiTheme="minorHAnsi" w:eastAsiaTheme="minorEastAsia" w:hAnsiTheme="minorHAnsi" w:cstheme="minorBidi"/>
          <w:szCs w:val="22"/>
        </w:rPr>
      </w:pPr>
      <w:r>
        <w:t>5.</w:t>
      </w:r>
      <w:r>
        <w:tab/>
        <w:t>Powers of new board in anticipation of merger</w:t>
      </w:r>
      <w:r>
        <w:tab/>
      </w:r>
      <w:r>
        <w:fldChar w:fldCharType="begin"/>
      </w:r>
      <w:r>
        <w:instrText xml:space="preserve"> PAGEREF _Toc1492227 \h </w:instrText>
      </w:r>
      <w:r>
        <w:fldChar w:fldCharType="separate"/>
      </w:r>
      <w:r>
        <w:t>135</w:t>
      </w:r>
      <w:r>
        <w:fldChar w:fldCharType="end"/>
      </w:r>
    </w:p>
    <w:p>
      <w:pPr>
        <w:pStyle w:val="TOC8"/>
        <w:rPr>
          <w:rFonts w:asciiTheme="minorHAnsi" w:eastAsiaTheme="minorEastAsia" w:hAnsiTheme="minorHAnsi" w:cstheme="minorBidi"/>
          <w:szCs w:val="22"/>
        </w:rPr>
      </w:pPr>
      <w:r>
        <w:t>6.</w:t>
      </w:r>
      <w:r>
        <w:tab/>
        <w:t>CEOs and members of staff</w:t>
      </w:r>
      <w:r>
        <w:tab/>
      </w:r>
      <w:r>
        <w:fldChar w:fldCharType="begin"/>
      </w:r>
      <w:r>
        <w:instrText xml:space="preserve"> PAGEREF _Toc1492228 \h </w:instrText>
      </w:r>
      <w:r>
        <w:fldChar w:fldCharType="separate"/>
      </w:r>
      <w:r>
        <w:t>135</w:t>
      </w:r>
      <w:r>
        <w:fldChar w:fldCharType="end"/>
      </w:r>
    </w:p>
    <w:p>
      <w:pPr>
        <w:pStyle w:val="TOC8"/>
        <w:rPr>
          <w:rFonts w:asciiTheme="minorHAnsi" w:eastAsiaTheme="minorEastAsia" w:hAnsiTheme="minorHAnsi" w:cstheme="minorBidi"/>
          <w:szCs w:val="22"/>
        </w:rPr>
      </w:pPr>
      <w:r>
        <w:t>7.</w:t>
      </w:r>
      <w:r>
        <w:tab/>
        <w:t>Preservation of rights</w:t>
      </w:r>
      <w:r>
        <w:tab/>
      </w:r>
      <w:r>
        <w:fldChar w:fldCharType="begin"/>
      </w:r>
      <w:r>
        <w:instrText xml:space="preserve"> PAGEREF _Toc1492229 \h </w:instrText>
      </w:r>
      <w:r>
        <w:fldChar w:fldCharType="separate"/>
      </w:r>
      <w:r>
        <w:t>136</w:t>
      </w:r>
      <w:r>
        <w:fldChar w:fldCharType="end"/>
      </w:r>
    </w:p>
    <w:p>
      <w:pPr>
        <w:pStyle w:val="TOC8"/>
        <w:rPr>
          <w:rFonts w:asciiTheme="minorHAnsi" w:eastAsiaTheme="minorEastAsia" w:hAnsiTheme="minorHAnsi" w:cstheme="minorBidi"/>
          <w:szCs w:val="22"/>
        </w:rPr>
      </w:pPr>
      <w:r>
        <w:t>8.</w:t>
      </w:r>
      <w:r>
        <w:tab/>
        <w:t>Devolution of assets, liabilities, proceedings, remedies and immunities</w:t>
      </w:r>
      <w:r>
        <w:tab/>
      </w:r>
      <w:r>
        <w:fldChar w:fldCharType="begin"/>
      </w:r>
      <w:r>
        <w:instrText xml:space="preserve"> PAGEREF _Toc1492230 \h </w:instrText>
      </w:r>
      <w:r>
        <w:fldChar w:fldCharType="separate"/>
      </w:r>
      <w:r>
        <w:t>137</w:t>
      </w:r>
      <w:r>
        <w:fldChar w:fldCharType="end"/>
      </w:r>
    </w:p>
    <w:p>
      <w:pPr>
        <w:pStyle w:val="TOC8"/>
        <w:rPr>
          <w:rFonts w:asciiTheme="minorHAnsi" w:eastAsiaTheme="minorEastAsia" w:hAnsiTheme="minorHAnsi" w:cstheme="minorBidi"/>
          <w:szCs w:val="22"/>
        </w:rPr>
      </w:pPr>
      <w:r>
        <w:t>9.</w:t>
      </w:r>
      <w:r>
        <w:tab/>
        <w:t>Completion of things commenced</w:t>
      </w:r>
      <w:r>
        <w:tab/>
      </w:r>
      <w:r>
        <w:fldChar w:fldCharType="begin"/>
      </w:r>
      <w:r>
        <w:instrText xml:space="preserve"> PAGEREF _Toc1492231 \h </w:instrText>
      </w:r>
      <w:r>
        <w:fldChar w:fldCharType="separate"/>
      </w:r>
      <w:r>
        <w:t>138</w:t>
      </w:r>
      <w:r>
        <w:fldChar w:fldCharType="end"/>
      </w:r>
    </w:p>
    <w:p>
      <w:pPr>
        <w:pStyle w:val="TOC8"/>
        <w:rPr>
          <w:rFonts w:asciiTheme="minorHAnsi" w:eastAsiaTheme="minorEastAsia" w:hAnsiTheme="minorHAnsi" w:cstheme="minorBidi"/>
          <w:szCs w:val="22"/>
        </w:rPr>
      </w:pPr>
      <w:r>
        <w:t>10.</w:t>
      </w:r>
      <w:r>
        <w:tab/>
        <w:t>Continuing effect of things done</w:t>
      </w:r>
      <w:r>
        <w:tab/>
      </w:r>
      <w:r>
        <w:fldChar w:fldCharType="begin"/>
      </w:r>
      <w:r>
        <w:instrText xml:space="preserve"> PAGEREF _Toc1492232 \h </w:instrText>
      </w:r>
      <w:r>
        <w:fldChar w:fldCharType="separate"/>
      </w:r>
      <w:r>
        <w:t>138</w:t>
      </w:r>
      <w:r>
        <w:fldChar w:fldCharType="end"/>
      </w:r>
    </w:p>
    <w:p>
      <w:pPr>
        <w:pStyle w:val="TOC8"/>
        <w:rPr>
          <w:rFonts w:asciiTheme="minorHAnsi" w:eastAsiaTheme="minorEastAsia" w:hAnsiTheme="minorHAnsi" w:cstheme="minorBidi"/>
          <w:szCs w:val="22"/>
        </w:rPr>
      </w:pPr>
      <w:r>
        <w:t>11.</w:t>
      </w:r>
      <w:r>
        <w:tab/>
        <w:t>Agreements, instruments and documents</w:t>
      </w:r>
      <w:r>
        <w:tab/>
      </w:r>
      <w:r>
        <w:fldChar w:fldCharType="begin"/>
      </w:r>
      <w:r>
        <w:instrText xml:space="preserve"> PAGEREF _Toc1492233 \h </w:instrText>
      </w:r>
      <w:r>
        <w:fldChar w:fldCharType="separate"/>
      </w:r>
      <w:r>
        <w:t>138</w:t>
      </w:r>
      <w:r>
        <w:fldChar w:fldCharType="end"/>
      </w:r>
    </w:p>
    <w:p>
      <w:pPr>
        <w:pStyle w:val="TOC8"/>
        <w:rPr>
          <w:rFonts w:asciiTheme="minorHAnsi" w:eastAsiaTheme="minorEastAsia" w:hAnsiTheme="minorHAnsi" w:cstheme="minorBidi"/>
          <w:szCs w:val="22"/>
        </w:rPr>
      </w:pPr>
      <w:r>
        <w:t>12.</w:t>
      </w:r>
      <w:r>
        <w:tab/>
        <w:t>Port authorities to implement or facilitate merger and share costs</w:t>
      </w:r>
      <w:r>
        <w:tab/>
      </w:r>
      <w:r>
        <w:fldChar w:fldCharType="begin"/>
      </w:r>
      <w:r>
        <w:instrText xml:space="preserve"> PAGEREF _Toc1492234 \h </w:instrText>
      </w:r>
      <w:r>
        <w:fldChar w:fldCharType="separate"/>
      </w:r>
      <w:r>
        <w:t>139</w:t>
      </w:r>
      <w:r>
        <w:fldChar w:fldCharType="end"/>
      </w:r>
    </w:p>
    <w:p>
      <w:pPr>
        <w:pStyle w:val="TOC8"/>
        <w:rPr>
          <w:rFonts w:asciiTheme="minorHAnsi" w:eastAsiaTheme="minorEastAsia" w:hAnsiTheme="minorHAnsi" w:cstheme="minorBidi"/>
          <w:szCs w:val="22"/>
        </w:rPr>
      </w:pPr>
      <w:r>
        <w:t>13.</w:t>
      </w:r>
      <w:r>
        <w:tab/>
        <w:t>Financial reporting</w:t>
      </w:r>
      <w:r>
        <w:tab/>
      </w:r>
      <w:r>
        <w:fldChar w:fldCharType="begin"/>
      </w:r>
      <w:r>
        <w:instrText xml:space="preserve"> PAGEREF _Toc1492235 \h </w:instrText>
      </w:r>
      <w:r>
        <w:fldChar w:fldCharType="separate"/>
      </w:r>
      <w:r>
        <w:t>141</w:t>
      </w:r>
      <w:r>
        <w:fldChar w:fldCharType="end"/>
      </w:r>
    </w:p>
    <w:p>
      <w:pPr>
        <w:pStyle w:val="TOC8"/>
        <w:rPr>
          <w:rFonts w:asciiTheme="minorHAnsi" w:eastAsiaTheme="minorEastAsia" w:hAnsiTheme="minorHAnsi" w:cstheme="minorBidi"/>
          <w:szCs w:val="22"/>
        </w:rPr>
      </w:pPr>
      <w:r>
        <w:t>14.</w:t>
      </w:r>
      <w:r>
        <w:tab/>
        <w:t>Dividends</w:t>
      </w:r>
      <w:r>
        <w:tab/>
      </w:r>
      <w:r>
        <w:fldChar w:fldCharType="begin"/>
      </w:r>
      <w:r>
        <w:instrText xml:space="preserve"> PAGEREF _Toc1492236 \h </w:instrText>
      </w:r>
      <w:r>
        <w:fldChar w:fldCharType="separate"/>
      </w:r>
      <w:r>
        <w:t>143</w:t>
      </w:r>
      <w:r>
        <w:fldChar w:fldCharType="end"/>
      </w:r>
    </w:p>
    <w:p>
      <w:pPr>
        <w:pStyle w:val="TOC8"/>
        <w:rPr>
          <w:rFonts w:asciiTheme="minorHAnsi" w:eastAsiaTheme="minorEastAsia" w:hAnsiTheme="minorHAnsi" w:cstheme="minorBidi"/>
          <w:szCs w:val="22"/>
        </w:rPr>
      </w:pPr>
      <w:r>
        <w:t>15.</w:t>
      </w:r>
      <w:r>
        <w:tab/>
        <w:t>Transitional regulations</w:t>
      </w:r>
      <w:r>
        <w:tab/>
      </w:r>
      <w:r>
        <w:fldChar w:fldCharType="begin"/>
      </w:r>
      <w:r>
        <w:instrText xml:space="preserve"> PAGEREF _Toc1492237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the Mid West Ports Authority</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_Toc1492239 \h </w:instrText>
      </w:r>
      <w:r>
        <w:fldChar w:fldCharType="separate"/>
      </w:r>
      <w:r>
        <w:t>144</w:t>
      </w:r>
      <w:r>
        <w:fldChar w:fldCharType="end"/>
      </w:r>
    </w:p>
    <w:p>
      <w:pPr>
        <w:pStyle w:val="TOC8"/>
        <w:rPr>
          <w:rFonts w:asciiTheme="minorHAnsi" w:eastAsiaTheme="minorEastAsia" w:hAnsiTheme="minorHAnsi" w:cstheme="minorBidi"/>
          <w:szCs w:val="22"/>
        </w:rPr>
      </w:pPr>
      <w:r>
        <w:t>17.</w:t>
      </w:r>
      <w:r>
        <w:tab/>
        <w:t>Directors and former directors</w:t>
      </w:r>
      <w:r>
        <w:tab/>
      </w:r>
      <w:r>
        <w:fldChar w:fldCharType="begin"/>
      </w:r>
      <w:r>
        <w:instrText xml:space="preserve"> PAGEREF _Toc1492240 \h </w:instrText>
      </w:r>
      <w:r>
        <w:fldChar w:fldCharType="separate"/>
      </w:r>
      <w:r>
        <w:t>144</w:t>
      </w:r>
      <w:r>
        <w:fldChar w:fldCharType="end"/>
      </w:r>
    </w:p>
    <w:p>
      <w:pPr>
        <w:pStyle w:val="TOC8"/>
        <w:rPr>
          <w:rFonts w:asciiTheme="minorHAnsi" w:eastAsiaTheme="minorEastAsia" w:hAnsiTheme="minorHAnsi" w:cstheme="minorBidi"/>
          <w:szCs w:val="22"/>
        </w:rPr>
      </w:pPr>
      <w:r>
        <w:t>18.</w:t>
      </w:r>
      <w:r>
        <w:tab/>
        <w:t>Powers of new board in anticipation of renaming</w:t>
      </w:r>
      <w:r>
        <w:tab/>
      </w:r>
      <w:r>
        <w:fldChar w:fldCharType="begin"/>
      </w:r>
      <w:r>
        <w:instrText xml:space="preserve"> PAGEREF _Toc1492241 \h </w:instrText>
      </w:r>
      <w:r>
        <w:fldChar w:fldCharType="separate"/>
      </w:r>
      <w:r>
        <w:t>145</w:t>
      </w:r>
      <w:r>
        <w:fldChar w:fldCharType="end"/>
      </w:r>
    </w:p>
    <w:p>
      <w:pPr>
        <w:pStyle w:val="TOC8"/>
        <w:rPr>
          <w:rFonts w:asciiTheme="minorHAnsi" w:eastAsiaTheme="minorEastAsia" w:hAnsiTheme="minorHAnsi" w:cstheme="minorBidi"/>
          <w:szCs w:val="22"/>
        </w:rPr>
      </w:pPr>
      <w:r>
        <w:t>19.</w:t>
      </w:r>
      <w:r>
        <w:tab/>
        <w:t>CEO and staff</w:t>
      </w:r>
      <w:r>
        <w:tab/>
      </w:r>
      <w:r>
        <w:fldChar w:fldCharType="begin"/>
      </w:r>
      <w:r>
        <w:instrText xml:space="preserve"> PAGEREF _Toc1492242 \h </w:instrText>
      </w:r>
      <w:r>
        <w:fldChar w:fldCharType="separate"/>
      </w:r>
      <w:r>
        <w:t>145</w:t>
      </w:r>
      <w:r>
        <w:fldChar w:fldCharType="end"/>
      </w:r>
    </w:p>
    <w:p>
      <w:pPr>
        <w:pStyle w:val="TOC8"/>
        <w:rPr>
          <w:rFonts w:asciiTheme="minorHAnsi" w:eastAsiaTheme="minorEastAsia" w:hAnsiTheme="minorHAnsi" w:cstheme="minorBidi"/>
          <w:szCs w:val="22"/>
        </w:rPr>
      </w:pPr>
      <w:r>
        <w:t>20.</w:t>
      </w:r>
      <w:r>
        <w:tab/>
        <w:t>Agreements, instruments and documents</w:t>
      </w:r>
      <w:r>
        <w:tab/>
      </w:r>
      <w:r>
        <w:fldChar w:fldCharType="begin"/>
      </w:r>
      <w:r>
        <w:instrText xml:space="preserve"> PAGEREF _Toc1492243 \h </w:instrText>
      </w:r>
      <w:r>
        <w:fldChar w:fldCharType="separate"/>
      </w:r>
      <w:r>
        <w:t>146</w:t>
      </w:r>
      <w:r>
        <w:fldChar w:fldCharType="end"/>
      </w:r>
    </w:p>
    <w:p>
      <w:pPr>
        <w:pStyle w:val="TOC8"/>
        <w:rPr>
          <w:rFonts w:asciiTheme="minorHAnsi" w:eastAsiaTheme="minorEastAsia" w:hAnsiTheme="minorHAnsi" w:cstheme="minorBidi"/>
          <w:szCs w:val="22"/>
        </w:rPr>
      </w:pPr>
      <w:r>
        <w:t>21.</w:t>
      </w:r>
      <w:r>
        <w:tab/>
        <w:t>Port authority to implement or facilitate renaming</w:t>
      </w:r>
      <w:r>
        <w:tab/>
      </w:r>
      <w:r>
        <w:fldChar w:fldCharType="begin"/>
      </w:r>
      <w:r>
        <w:instrText xml:space="preserve"> PAGEREF _Toc1492244 \h </w:instrText>
      </w:r>
      <w:r>
        <w:fldChar w:fldCharType="separate"/>
      </w:r>
      <w:r>
        <w:t>147</w:t>
      </w:r>
      <w:r>
        <w:fldChar w:fldCharType="end"/>
      </w:r>
    </w:p>
    <w:p>
      <w:pPr>
        <w:pStyle w:val="TOC8"/>
        <w:rPr>
          <w:rFonts w:asciiTheme="minorHAnsi" w:eastAsiaTheme="minorEastAsia" w:hAnsiTheme="minorHAnsi" w:cstheme="minorBidi"/>
          <w:szCs w:val="22"/>
        </w:rPr>
      </w:pPr>
      <w:r>
        <w:t>22.</w:t>
      </w:r>
      <w:r>
        <w:tab/>
        <w:t>Transitional regulations</w:t>
      </w:r>
      <w:r>
        <w:tab/>
      </w:r>
      <w:r>
        <w:fldChar w:fldCharType="begin"/>
      </w:r>
      <w:r>
        <w:instrText xml:space="preserve"> PAGEREF _Toc1492245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the Pilbara Ports Authority</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_Toc1492247 \h </w:instrText>
      </w:r>
      <w:r>
        <w:fldChar w:fldCharType="separate"/>
      </w:r>
      <w:r>
        <w:t>148</w:t>
      </w:r>
      <w:r>
        <w:fldChar w:fldCharType="end"/>
      </w:r>
    </w:p>
    <w:p>
      <w:pPr>
        <w:pStyle w:val="TOC8"/>
        <w:rPr>
          <w:rFonts w:asciiTheme="minorHAnsi" w:eastAsiaTheme="minorEastAsia" w:hAnsiTheme="minorHAnsi" w:cstheme="minorBidi"/>
          <w:szCs w:val="22"/>
        </w:rPr>
      </w:pPr>
      <w:r>
        <w:t>24.</w:t>
      </w:r>
      <w:r>
        <w:tab/>
        <w:t>Merger of Dampier Port Authority into Pilbara Ports Authority</w:t>
      </w:r>
      <w:r>
        <w:tab/>
      </w:r>
      <w:r>
        <w:fldChar w:fldCharType="begin"/>
      </w:r>
      <w:r>
        <w:instrText xml:space="preserve"> PAGEREF _Toc1492248 \h </w:instrText>
      </w:r>
      <w:r>
        <w:fldChar w:fldCharType="separate"/>
      </w:r>
      <w:r>
        <w:t>149</w:t>
      </w:r>
      <w:r>
        <w:fldChar w:fldCharType="end"/>
      </w:r>
    </w:p>
    <w:p>
      <w:pPr>
        <w:pStyle w:val="TOC8"/>
        <w:rPr>
          <w:rFonts w:asciiTheme="minorHAnsi" w:eastAsiaTheme="minorEastAsia" w:hAnsiTheme="minorHAnsi" w:cstheme="minorBidi"/>
          <w:szCs w:val="22"/>
        </w:rPr>
      </w:pPr>
      <w:r>
        <w:t>25.</w:t>
      </w:r>
      <w:r>
        <w:tab/>
        <w:t>Directors and former directors</w:t>
      </w:r>
      <w:r>
        <w:tab/>
      </w:r>
      <w:r>
        <w:fldChar w:fldCharType="begin"/>
      </w:r>
      <w:r>
        <w:instrText xml:space="preserve"> PAGEREF _Toc1492249 \h </w:instrText>
      </w:r>
      <w:r>
        <w:fldChar w:fldCharType="separate"/>
      </w:r>
      <w:r>
        <w:t>149</w:t>
      </w:r>
      <w:r>
        <w:fldChar w:fldCharType="end"/>
      </w:r>
    </w:p>
    <w:p>
      <w:pPr>
        <w:pStyle w:val="TOC8"/>
        <w:rPr>
          <w:rFonts w:asciiTheme="minorHAnsi" w:eastAsiaTheme="minorEastAsia" w:hAnsiTheme="minorHAnsi" w:cstheme="minorBidi"/>
          <w:szCs w:val="22"/>
        </w:rPr>
      </w:pPr>
      <w:r>
        <w:t>26.</w:t>
      </w:r>
      <w:r>
        <w:tab/>
        <w:t>Powers of new board in anticipation of merger</w:t>
      </w:r>
      <w:r>
        <w:tab/>
      </w:r>
      <w:r>
        <w:fldChar w:fldCharType="begin"/>
      </w:r>
      <w:r>
        <w:instrText xml:space="preserve"> PAGEREF _Toc1492250 \h </w:instrText>
      </w:r>
      <w:r>
        <w:fldChar w:fldCharType="separate"/>
      </w:r>
      <w:r>
        <w:t>149</w:t>
      </w:r>
      <w:r>
        <w:fldChar w:fldCharType="end"/>
      </w:r>
    </w:p>
    <w:p>
      <w:pPr>
        <w:pStyle w:val="TOC8"/>
        <w:rPr>
          <w:rFonts w:asciiTheme="minorHAnsi" w:eastAsiaTheme="minorEastAsia" w:hAnsiTheme="minorHAnsi" w:cstheme="minorBidi"/>
          <w:szCs w:val="22"/>
        </w:rPr>
      </w:pPr>
      <w:r>
        <w:t>27.</w:t>
      </w:r>
      <w:r>
        <w:tab/>
        <w:t>CEOs and members of staff</w:t>
      </w:r>
      <w:r>
        <w:tab/>
      </w:r>
      <w:r>
        <w:fldChar w:fldCharType="begin"/>
      </w:r>
      <w:r>
        <w:instrText xml:space="preserve"> PAGEREF _Toc1492251 \h </w:instrText>
      </w:r>
      <w:r>
        <w:fldChar w:fldCharType="separate"/>
      </w:r>
      <w:r>
        <w:t>150</w:t>
      </w:r>
      <w:r>
        <w:fldChar w:fldCharType="end"/>
      </w:r>
    </w:p>
    <w:p>
      <w:pPr>
        <w:pStyle w:val="TOC8"/>
        <w:rPr>
          <w:rFonts w:asciiTheme="minorHAnsi" w:eastAsiaTheme="minorEastAsia" w:hAnsiTheme="minorHAnsi" w:cstheme="minorBidi"/>
          <w:szCs w:val="22"/>
        </w:rPr>
      </w:pPr>
      <w:r>
        <w:t>28.</w:t>
      </w:r>
      <w:r>
        <w:tab/>
        <w:t>Preservation of rights</w:t>
      </w:r>
      <w:r>
        <w:tab/>
      </w:r>
      <w:r>
        <w:fldChar w:fldCharType="begin"/>
      </w:r>
      <w:r>
        <w:instrText xml:space="preserve"> PAGEREF _Toc1492252 \h </w:instrText>
      </w:r>
      <w:r>
        <w:fldChar w:fldCharType="separate"/>
      </w:r>
      <w:r>
        <w:t>151</w:t>
      </w:r>
      <w:r>
        <w:fldChar w:fldCharType="end"/>
      </w:r>
    </w:p>
    <w:p>
      <w:pPr>
        <w:pStyle w:val="TOC8"/>
        <w:rPr>
          <w:rFonts w:asciiTheme="minorHAnsi" w:eastAsiaTheme="minorEastAsia" w:hAnsiTheme="minorHAnsi" w:cstheme="minorBidi"/>
          <w:szCs w:val="22"/>
        </w:rPr>
      </w:pPr>
      <w:r>
        <w:t>29.</w:t>
      </w:r>
      <w:r>
        <w:tab/>
        <w:t>Devolution of assets, liabilities, proceedings, remedies and immunities</w:t>
      </w:r>
      <w:r>
        <w:tab/>
      </w:r>
      <w:r>
        <w:fldChar w:fldCharType="begin"/>
      </w:r>
      <w:r>
        <w:instrText xml:space="preserve"> PAGEREF _Toc1492253 \h </w:instrText>
      </w:r>
      <w:r>
        <w:fldChar w:fldCharType="separate"/>
      </w:r>
      <w:r>
        <w:t>151</w:t>
      </w:r>
      <w:r>
        <w:fldChar w:fldCharType="end"/>
      </w:r>
    </w:p>
    <w:p>
      <w:pPr>
        <w:pStyle w:val="TOC8"/>
        <w:rPr>
          <w:rFonts w:asciiTheme="minorHAnsi" w:eastAsiaTheme="minorEastAsia" w:hAnsiTheme="minorHAnsi" w:cstheme="minorBidi"/>
          <w:szCs w:val="22"/>
        </w:rPr>
      </w:pPr>
      <w:r>
        <w:t>30.</w:t>
      </w:r>
      <w:r>
        <w:tab/>
        <w:t>Completion of things commenced</w:t>
      </w:r>
      <w:r>
        <w:tab/>
      </w:r>
      <w:r>
        <w:fldChar w:fldCharType="begin"/>
      </w:r>
      <w:r>
        <w:instrText xml:space="preserve"> PAGEREF _Toc1492254 \h </w:instrText>
      </w:r>
      <w:r>
        <w:fldChar w:fldCharType="separate"/>
      </w:r>
      <w:r>
        <w:t>152</w:t>
      </w:r>
      <w:r>
        <w:fldChar w:fldCharType="end"/>
      </w:r>
    </w:p>
    <w:p>
      <w:pPr>
        <w:pStyle w:val="TOC8"/>
        <w:rPr>
          <w:rFonts w:asciiTheme="minorHAnsi" w:eastAsiaTheme="minorEastAsia" w:hAnsiTheme="minorHAnsi" w:cstheme="minorBidi"/>
          <w:szCs w:val="22"/>
        </w:rPr>
      </w:pPr>
      <w:r>
        <w:t>31.</w:t>
      </w:r>
      <w:r>
        <w:tab/>
        <w:t>Continuing effect of things done</w:t>
      </w:r>
      <w:r>
        <w:tab/>
      </w:r>
      <w:r>
        <w:fldChar w:fldCharType="begin"/>
      </w:r>
      <w:r>
        <w:instrText xml:space="preserve"> PAGEREF _Toc1492255 \h </w:instrText>
      </w:r>
      <w:r>
        <w:fldChar w:fldCharType="separate"/>
      </w:r>
      <w:r>
        <w:t>152</w:t>
      </w:r>
      <w:r>
        <w:fldChar w:fldCharType="end"/>
      </w:r>
    </w:p>
    <w:p>
      <w:pPr>
        <w:pStyle w:val="TOC8"/>
        <w:rPr>
          <w:rFonts w:asciiTheme="minorHAnsi" w:eastAsiaTheme="minorEastAsia" w:hAnsiTheme="minorHAnsi" w:cstheme="minorBidi"/>
          <w:szCs w:val="22"/>
        </w:rPr>
      </w:pPr>
      <w:r>
        <w:t>32.</w:t>
      </w:r>
      <w:r>
        <w:tab/>
        <w:t>Agreements, instruments and documents</w:t>
      </w:r>
      <w:r>
        <w:tab/>
      </w:r>
      <w:r>
        <w:fldChar w:fldCharType="begin"/>
      </w:r>
      <w:r>
        <w:instrText xml:space="preserve"> PAGEREF _Toc1492256 \h </w:instrText>
      </w:r>
      <w:r>
        <w:fldChar w:fldCharType="separate"/>
      </w:r>
      <w:r>
        <w:t>153</w:t>
      </w:r>
      <w:r>
        <w:fldChar w:fldCharType="end"/>
      </w:r>
    </w:p>
    <w:p>
      <w:pPr>
        <w:pStyle w:val="TOC8"/>
        <w:rPr>
          <w:rFonts w:asciiTheme="minorHAnsi" w:eastAsiaTheme="minorEastAsia" w:hAnsiTheme="minorHAnsi" w:cstheme="minorBidi"/>
          <w:szCs w:val="22"/>
        </w:rPr>
      </w:pPr>
      <w:r>
        <w:t>33.</w:t>
      </w:r>
      <w:r>
        <w:tab/>
        <w:t>Port authorities to implement or facilitate merger and share costs</w:t>
      </w:r>
      <w:r>
        <w:tab/>
      </w:r>
      <w:r>
        <w:fldChar w:fldCharType="begin"/>
      </w:r>
      <w:r>
        <w:instrText xml:space="preserve"> PAGEREF _Toc1492257 \h </w:instrText>
      </w:r>
      <w:r>
        <w:fldChar w:fldCharType="separate"/>
      </w:r>
      <w:r>
        <w:t>154</w:t>
      </w:r>
      <w:r>
        <w:fldChar w:fldCharType="end"/>
      </w:r>
    </w:p>
    <w:p>
      <w:pPr>
        <w:pStyle w:val="TOC8"/>
        <w:rPr>
          <w:rFonts w:asciiTheme="minorHAnsi" w:eastAsiaTheme="minorEastAsia" w:hAnsiTheme="minorHAnsi" w:cstheme="minorBidi"/>
          <w:szCs w:val="22"/>
        </w:rPr>
      </w:pPr>
      <w:r>
        <w:t>34.</w:t>
      </w:r>
      <w:r>
        <w:tab/>
        <w:t>Financial reporting</w:t>
      </w:r>
      <w:r>
        <w:tab/>
      </w:r>
      <w:r>
        <w:fldChar w:fldCharType="begin"/>
      </w:r>
      <w:r>
        <w:instrText xml:space="preserve"> PAGEREF _Toc1492258 \h </w:instrText>
      </w:r>
      <w:r>
        <w:fldChar w:fldCharType="separate"/>
      </w:r>
      <w:r>
        <w:t>155</w:t>
      </w:r>
      <w:r>
        <w:fldChar w:fldCharType="end"/>
      </w:r>
    </w:p>
    <w:p>
      <w:pPr>
        <w:pStyle w:val="TOC8"/>
        <w:rPr>
          <w:rFonts w:asciiTheme="minorHAnsi" w:eastAsiaTheme="minorEastAsia" w:hAnsiTheme="minorHAnsi" w:cstheme="minorBidi"/>
          <w:szCs w:val="22"/>
        </w:rPr>
      </w:pPr>
      <w:r>
        <w:t>35.</w:t>
      </w:r>
      <w:r>
        <w:tab/>
        <w:t>Dividends</w:t>
      </w:r>
      <w:r>
        <w:tab/>
      </w:r>
      <w:r>
        <w:fldChar w:fldCharType="begin"/>
      </w:r>
      <w:r>
        <w:instrText xml:space="preserve"> PAGEREF _Toc1492259 \h </w:instrText>
      </w:r>
      <w:r>
        <w:fldChar w:fldCharType="separate"/>
      </w:r>
      <w:r>
        <w:t>157</w:t>
      </w:r>
      <w:r>
        <w:fldChar w:fldCharType="end"/>
      </w:r>
    </w:p>
    <w:p>
      <w:pPr>
        <w:pStyle w:val="TOC8"/>
        <w:rPr>
          <w:rFonts w:asciiTheme="minorHAnsi" w:eastAsiaTheme="minorEastAsia" w:hAnsiTheme="minorHAnsi" w:cstheme="minorBidi"/>
          <w:szCs w:val="22"/>
        </w:rPr>
      </w:pPr>
      <w:r>
        <w:t>36.</w:t>
      </w:r>
      <w:r>
        <w:tab/>
        <w:t>Transitional regulations</w:t>
      </w:r>
      <w:r>
        <w:tab/>
      </w:r>
      <w:r>
        <w:fldChar w:fldCharType="begin"/>
      </w:r>
      <w:r>
        <w:instrText xml:space="preserve"> PAGEREF _Toc1492260 \h </w:instrText>
      </w:r>
      <w:r>
        <w:fldChar w:fldCharType="separate"/>
      </w:r>
      <w:r>
        <w:t>158</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the Kimberley Ports Authority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_Toc1492262 \h </w:instrText>
      </w:r>
      <w:r>
        <w:fldChar w:fldCharType="separate"/>
      </w:r>
      <w:r>
        <w:t>158</w:t>
      </w:r>
      <w:r>
        <w:fldChar w:fldCharType="end"/>
      </w:r>
    </w:p>
    <w:p>
      <w:pPr>
        <w:pStyle w:val="TOC8"/>
        <w:rPr>
          <w:rFonts w:asciiTheme="minorHAnsi" w:eastAsiaTheme="minorEastAsia" w:hAnsiTheme="minorHAnsi" w:cstheme="minorBidi"/>
          <w:szCs w:val="22"/>
        </w:rPr>
      </w:pPr>
      <w:r>
        <w:t>38.</w:t>
      </w:r>
      <w:r>
        <w:tab/>
        <w:t>Directors and former directors</w:t>
      </w:r>
      <w:r>
        <w:tab/>
      </w:r>
      <w:r>
        <w:fldChar w:fldCharType="begin"/>
      </w:r>
      <w:r>
        <w:instrText xml:space="preserve"> PAGEREF _Toc1492263 \h </w:instrText>
      </w:r>
      <w:r>
        <w:fldChar w:fldCharType="separate"/>
      </w:r>
      <w:r>
        <w:t>159</w:t>
      </w:r>
      <w:r>
        <w:fldChar w:fldCharType="end"/>
      </w:r>
    </w:p>
    <w:p>
      <w:pPr>
        <w:pStyle w:val="TOC8"/>
        <w:rPr>
          <w:rFonts w:asciiTheme="minorHAnsi" w:eastAsiaTheme="minorEastAsia" w:hAnsiTheme="minorHAnsi" w:cstheme="minorBidi"/>
          <w:szCs w:val="22"/>
        </w:rPr>
      </w:pPr>
      <w:r>
        <w:t>39.</w:t>
      </w:r>
      <w:r>
        <w:tab/>
        <w:t>Powers of new board in anticipation of renaming</w:t>
      </w:r>
      <w:r>
        <w:tab/>
      </w:r>
      <w:r>
        <w:fldChar w:fldCharType="begin"/>
      </w:r>
      <w:r>
        <w:instrText xml:space="preserve"> PAGEREF _Toc1492264 \h </w:instrText>
      </w:r>
      <w:r>
        <w:fldChar w:fldCharType="separate"/>
      </w:r>
      <w:r>
        <w:t>159</w:t>
      </w:r>
      <w:r>
        <w:fldChar w:fldCharType="end"/>
      </w:r>
    </w:p>
    <w:p>
      <w:pPr>
        <w:pStyle w:val="TOC8"/>
        <w:rPr>
          <w:rFonts w:asciiTheme="minorHAnsi" w:eastAsiaTheme="minorEastAsia" w:hAnsiTheme="minorHAnsi" w:cstheme="minorBidi"/>
          <w:szCs w:val="22"/>
        </w:rPr>
      </w:pPr>
      <w:r>
        <w:t>40.</w:t>
      </w:r>
      <w:r>
        <w:tab/>
        <w:t>CEO and staff</w:t>
      </w:r>
      <w:r>
        <w:tab/>
      </w:r>
      <w:r>
        <w:fldChar w:fldCharType="begin"/>
      </w:r>
      <w:r>
        <w:instrText xml:space="preserve"> PAGEREF _Toc1492265 \h </w:instrText>
      </w:r>
      <w:r>
        <w:fldChar w:fldCharType="separate"/>
      </w:r>
      <w:r>
        <w:t>160</w:t>
      </w:r>
      <w:r>
        <w:fldChar w:fldCharType="end"/>
      </w:r>
    </w:p>
    <w:p>
      <w:pPr>
        <w:pStyle w:val="TOC8"/>
        <w:rPr>
          <w:rFonts w:asciiTheme="minorHAnsi" w:eastAsiaTheme="minorEastAsia" w:hAnsiTheme="minorHAnsi" w:cstheme="minorBidi"/>
          <w:szCs w:val="22"/>
        </w:rPr>
      </w:pPr>
      <w:r>
        <w:t>41.</w:t>
      </w:r>
      <w:r>
        <w:tab/>
        <w:t>Agreements, instruments and documents</w:t>
      </w:r>
      <w:r>
        <w:tab/>
      </w:r>
      <w:r>
        <w:fldChar w:fldCharType="begin"/>
      </w:r>
      <w:r>
        <w:instrText xml:space="preserve"> PAGEREF _Toc1492266 \h </w:instrText>
      </w:r>
      <w:r>
        <w:fldChar w:fldCharType="separate"/>
      </w:r>
      <w:r>
        <w:t>160</w:t>
      </w:r>
      <w:r>
        <w:fldChar w:fldCharType="end"/>
      </w:r>
    </w:p>
    <w:p>
      <w:pPr>
        <w:pStyle w:val="TOC8"/>
        <w:rPr>
          <w:rFonts w:asciiTheme="minorHAnsi" w:eastAsiaTheme="minorEastAsia" w:hAnsiTheme="minorHAnsi" w:cstheme="minorBidi"/>
          <w:szCs w:val="22"/>
        </w:rPr>
      </w:pPr>
      <w:r>
        <w:t>42.</w:t>
      </w:r>
      <w:r>
        <w:tab/>
        <w:t>Port authority to implement or facilitate renaming</w:t>
      </w:r>
      <w:r>
        <w:tab/>
      </w:r>
      <w:r>
        <w:fldChar w:fldCharType="begin"/>
      </w:r>
      <w:r>
        <w:instrText xml:space="preserve"> PAGEREF _Toc1492267 \h </w:instrText>
      </w:r>
      <w:r>
        <w:fldChar w:fldCharType="separate"/>
      </w:r>
      <w:r>
        <w:t>161</w:t>
      </w:r>
      <w:r>
        <w:fldChar w:fldCharType="end"/>
      </w:r>
    </w:p>
    <w:p>
      <w:pPr>
        <w:pStyle w:val="TOC8"/>
        <w:rPr>
          <w:rFonts w:asciiTheme="minorHAnsi" w:eastAsiaTheme="minorEastAsia" w:hAnsiTheme="minorHAnsi" w:cstheme="minorBidi"/>
          <w:szCs w:val="22"/>
        </w:rPr>
      </w:pPr>
      <w:r>
        <w:t>43.</w:t>
      </w:r>
      <w:r>
        <w:tab/>
        <w:t>Transitional regulations</w:t>
      </w:r>
      <w:r>
        <w:tab/>
      </w:r>
      <w:r>
        <w:fldChar w:fldCharType="begin"/>
      </w:r>
      <w:r>
        <w:instrText xml:space="preserve"> PAGEREF _Toc1492268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certain directors</w:t>
      </w:r>
    </w:p>
    <w:p>
      <w:pPr>
        <w:pStyle w:val="TOC8"/>
        <w:rPr>
          <w:rFonts w:asciiTheme="minorHAnsi" w:eastAsiaTheme="minorEastAsia" w:hAnsiTheme="minorHAnsi" w:cstheme="minorBidi"/>
          <w:szCs w:val="22"/>
        </w:rPr>
      </w:pPr>
      <w:r>
        <w:t>44.</w:t>
      </w:r>
      <w:r>
        <w:tab/>
        <w:t>Certain directors to cease to hold office</w:t>
      </w:r>
      <w:r>
        <w:tab/>
      </w:r>
      <w:r>
        <w:fldChar w:fldCharType="begin"/>
      </w:r>
      <w:r>
        <w:instrText xml:space="preserve"> PAGEREF _Toc1492270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 provisions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_Toc1492272 \h </w:instrText>
      </w:r>
      <w:r>
        <w:fldChar w:fldCharType="separate"/>
      </w:r>
      <w:r>
        <w:t>163</w:t>
      </w:r>
      <w:r>
        <w:fldChar w:fldCharType="end"/>
      </w:r>
    </w:p>
    <w:p>
      <w:pPr>
        <w:pStyle w:val="TOC8"/>
        <w:rPr>
          <w:rFonts w:asciiTheme="minorHAnsi" w:eastAsiaTheme="minorEastAsia" w:hAnsiTheme="minorHAnsi" w:cstheme="minorBidi"/>
          <w:szCs w:val="22"/>
        </w:rPr>
      </w:pPr>
      <w:r>
        <w:t>46.</w:t>
      </w:r>
      <w:r>
        <w:tab/>
        <w:t>Exemption from State taxes</w:t>
      </w:r>
      <w:r>
        <w:tab/>
      </w:r>
      <w:r>
        <w:fldChar w:fldCharType="begin"/>
      </w:r>
      <w:r>
        <w:instrText xml:space="preserve"> PAGEREF _Toc1492273 \h </w:instrText>
      </w:r>
      <w:r>
        <w:fldChar w:fldCharType="separate"/>
      </w:r>
      <w:r>
        <w:t>164</w:t>
      </w:r>
      <w:r>
        <w:fldChar w:fldCharType="end"/>
      </w:r>
    </w:p>
    <w:p>
      <w:pPr>
        <w:pStyle w:val="TOC8"/>
        <w:rPr>
          <w:rFonts w:asciiTheme="minorHAnsi" w:eastAsiaTheme="minorEastAsia" w:hAnsiTheme="minorHAnsi" w:cstheme="minorBidi"/>
          <w:szCs w:val="22"/>
        </w:rPr>
      </w:pPr>
      <w:r>
        <w:t>47.</w:t>
      </w:r>
      <w:r>
        <w:tab/>
        <w:t>Registration of documents</w:t>
      </w:r>
      <w:r>
        <w:tab/>
      </w:r>
      <w:r>
        <w:fldChar w:fldCharType="begin"/>
      </w:r>
      <w:r>
        <w:instrText xml:space="preserve"> PAGEREF _Toc1492274 \h </w:instrText>
      </w:r>
      <w:r>
        <w:fldChar w:fldCharType="separate"/>
      </w:r>
      <w:r>
        <w:t>164</w:t>
      </w:r>
      <w:r>
        <w:fldChar w:fldCharType="end"/>
      </w:r>
    </w:p>
    <w:p>
      <w:pPr>
        <w:pStyle w:val="TOC8"/>
        <w:rPr>
          <w:rFonts w:asciiTheme="minorHAnsi" w:eastAsiaTheme="minorEastAsia" w:hAnsiTheme="minorHAnsi" w:cstheme="minorBidi"/>
          <w:szCs w:val="22"/>
        </w:rPr>
      </w:pPr>
      <w:r>
        <w:t>48.</w:t>
      </w:r>
      <w:r>
        <w:tab/>
        <w:t>Matters that a new board can deal with</w:t>
      </w:r>
      <w:r>
        <w:tab/>
      </w:r>
      <w:r>
        <w:fldChar w:fldCharType="begin"/>
      </w:r>
      <w:r>
        <w:instrText xml:space="preserve"> PAGEREF _Toc1492275 \h </w:instrText>
      </w:r>
      <w:r>
        <w:fldChar w:fldCharType="separate"/>
      </w:r>
      <w:r>
        <w:t>164</w:t>
      </w:r>
      <w:r>
        <w:fldChar w:fldCharType="end"/>
      </w:r>
    </w:p>
    <w:p>
      <w:pPr>
        <w:pStyle w:val="TOC8"/>
        <w:rPr>
          <w:rFonts w:asciiTheme="minorHAnsi" w:eastAsiaTheme="minorEastAsia" w:hAnsiTheme="minorHAnsi" w:cstheme="minorBidi"/>
          <w:szCs w:val="22"/>
        </w:rPr>
      </w:pPr>
      <w:r>
        <w:t>49.</w:t>
      </w:r>
      <w:r>
        <w:tab/>
        <w:t>Operation of transitional regulations</w:t>
      </w:r>
      <w:r>
        <w:tab/>
      </w:r>
      <w:r>
        <w:fldChar w:fldCharType="begin"/>
      </w:r>
      <w:r>
        <w:instrText xml:space="preserve"> PAGEREF _Toc1492276 \h </w:instrText>
      </w:r>
      <w:r>
        <w:fldChar w:fldCharType="separate"/>
      </w:r>
      <w:r>
        <w:t>166</w:t>
      </w:r>
      <w:r>
        <w:fldChar w:fldCharType="end"/>
      </w:r>
    </w:p>
    <w:p>
      <w:pPr>
        <w:pStyle w:val="TOC8"/>
        <w:rPr>
          <w:rFonts w:asciiTheme="minorHAnsi" w:eastAsiaTheme="minorEastAsia" w:hAnsiTheme="minorHAnsi" w:cstheme="minorBidi"/>
          <w:szCs w:val="22"/>
        </w:rPr>
      </w:pPr>
      <w:r>
        <w:t>50.</w:t>
      </w:r>
      <w:r>
        <w:tab/>
        <w:t>Saving</w:t>
      </w:r>
      <w:r>
        <w:tab/>
      </w:r>
      <w:r>
        <w:fldChar w:fldCharType="begin"/>
      </w:r>
      <w:r>
        <w:instrText xml:space="preserve"> PAGEREF _Toc1492277 \h </w:instrText>
      </w:r>
      <w:r>
        <w:fldChar w:fldCharType="separate"/>
      </w:r>
      <w:r>
        <w:t>166</w:t>
      </w:r>
      <w:r>
        <w:fldChar w:fldCharType="end"/>
      </w:r>
    </w:p>
    <w:p>
      <w:pPr>
        <w:pStyle w:val="TOC8"/>
        <w:rPr>
          <w:rFonts w:asciiTheme="minorHAnsi" w:eastAsiaTheme="minorEastAsia" w:hAnsiTheme="minorHAnsi" w:cstheme="minorBidi"/>
          <w:szCs w:val="22"/>
        </w:rPr>
      </w:pPr>
      <w:r>
        <w:t>51.</w:t>
      </w:r>
      <w:r>
        <w:tab/>
        <w:t>Government agreements not affected</w:t>
      </w:r>
      <w:r>
        <w:tab/>
      </w:r>
      <w:r>
        <w:fldChar w:fldCharType="begin"/>
      </w:r>
      <w:r>
        <w:instrText xml:space="preserve"> PAGEREF _Toc1492278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Schedule 9 — Placing additional ports under a port authority’s control and management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_Toc1492280 \h </w:instrText>
      </w:r>
      <w:r>
        <w:fldChar w:fldCharType="separate"/>
      </w:r>
      <w:r>
        <w:t>168</w:t>
      </w:r>
      <w:r>
        <w:fldChar w:fldCharType="end"/>
      </w:r>
    </w:p>
    <w:p>
      <w:pPr>
        <w:pStyle w:val="TOC8"/>
        <w:rPr>
          <w:rFonts w:asciiTheme="minorHAnsi" w:eastAsiaTheme="minorEastAsia" w:hAnsiTheme="minorHAnsi" w:cstheme="minorBidi"/>
          <w:szCs w:val="22"/>
        </w:rPr>
      </w:pPr>
      <w:r>
        <w:t>2.</w:t>
      </w:r>
      <w:r>
        <w:tab/>
        <w:t>Regulations may place a port under the control and management of a port authority</w:t>
      </w:r>
      <w:r>
        <w:tab/>
      </w:r>
      <w:r>
        <w:fldChar w:fldCharType="begin"/>
      </w:r>
      <w:r>
        <w:instrText xml:space="preserve"> PAGEREF _Toc1492281 \h </w:instrText>
      </w:r>
      <w:r>
        <w:fldChar w:fldCharType="separate"/>
      </w:r>
      <w:r>
        <w:t>168</w:t>
      </w:r>
      <w:r>
        <w:fldChar w:fldCharType="end"/>
      </w:r>
    </w:p>
    <w:p>
      <w:pPr>
        <w:pStyle w:val="TOC8"/>
        <w:rPr>
          <w:rFonts w:asciiTheme="minorHAnsi" w:eastAsiaTheme="minorEastAsia" w:hAnsiTheme="minorHAnsi" w:cstheme="minorBidi"/>
          <w:szCs w:val="22"/>
        </w:rPr>
      </w:pPr>
      <w:r>
        <w:t>3.</w:t>
      </w:r>
      <w:r>
        <w:tab/>
        <w:t>Port authority to implement or facilitate port addition</w:t>
      </w:r>
      <w:r>
        <w:tab/>
      </w:r>
      <w:r>
        <w:fldChar w:fldCharType="begin"/>
      </w:r>
      <w:r>
        <w:instrText xml:space="preserve"> PAGEREF _Toc1492282 \h </w:instrText>
      </w:r>
      <w:r>
        <w:fldChar w:fldCharType="separate"/>
      </w:r>
      <w:r>
        <w:t>168</w:t>
      </w:r>
      <w:r>
        <w:fldChar w:fldCharType="end"/>
      </w:r>
    </w:p>
    <w:p>
      <w:pPr>
        <w:pStyle w:val="TOC8"/>
        <w:rPr>
          <w:rFonts w:asciiTheme="minorHAnsi" w:eastAsiaTheme="minorEastAsia" w:hAnsiTheme="minorHAnsi" w:cstheme="minorBidi"/>
          <w:szCs w:val="22"/>
        </w:rPr>
      </w:pPr>
      <w:r>
        <w:t>4.</w:t>
      </w:r>
      <w:r>
        <w:tab/>
        <w:t>Government agreements not affected</w:t>
      </w:r>
      <w:r>
        <w:tab/>
      </w:r>
      <w:r>
        <w:fldChar w:fldCharType="begin"/>
      </w:r>
      <w:r>
        <w:instrText xml:space="preserve"> PAGEREF _Toc1492283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_Toc1492285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 xml:space="preserve">An Act about port authorities, their functions, the areas that they are to control and manage, the way in which they are to operate, and related matters. </w:t>
      </w:r>
    </w:p>
    <w:p>
      <w:pPr>
        <w:pStyle w:val="Heading2"/>
      </w:pPr>
      <w:bookmarkStart w:id="3" w:name="_Toc398889925"/>
      <w:bookmarkStart w:id="4" w:name="_Toc424284360"/>
      <w:bookmarkStart w:id="5" w:name="_Toc468975250"/>
      <w:bookmarkStart w:id="6" w:name="_Toc468975614"/>
      <w:bookmarkStart w:id="7" w:name="_Toc468977948"/>
      <w:bookmarkStart w:id="8" w:name="_Toc1491559"/>
      <w:bookmarkStart w:id="9" w:name="_Toc1491923"/>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pPr>
      <w:bookmarkStart w:id="10" w:name="_Toc398889926"/>
      <w:bookmarkStart w:id="11" w:name="_Toc1491924"/>
      <w:r>
        <w:rPr>
          <w:rStyle w:val="CharSectno"/>
        </w:rPr>
        <w:t>1</w:t>
      </w:r>
      <w:r>
        <w:rPr>
          <w:snapToGrid w:val="0"/>
        </w:rPr>
        <w:t>.</w:t>
      </w:r>
      <w:r>
        <w:rPr>
          <w:snapToGrid w:val="0"/>
        </w:rPr>
        <w:tab/>
        <w:t>Short title</w:t>
      </w:r>
      <w:bookmarkEnd w:id="10"/>
      <w:bookmarkEnd w:id="11"/>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12" w:name="_Toc398889927"/>
      <w:bookmarkStart w:id="13" w:name="_Toc1491925"/>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4" w:name="_Toc398889928"/>
      <w:bookmarkStart w:id="15" w:name="_Toc1491926"/>
      <w:r>
        <w:rPr>
          <w:rStyle w:val="CharSectno"/>
        </w:rPr>
        <w:t>3</w:t>
      </w:r>
      <w:r>
        <w:rPr>
          <w:snapToGrid w:val="0"/>
        </w:rPr>
        <w:t>.</w:t>
      </w:r>
      <w:r>
        <w:rPr>
          <w:snapToGrid w:val="0"/>
        </w:rPr>
        <w:tab/>
        <w:t>Terms used</w:t>
      </w:r>
      <w:bookmarkEnd w:id="14"/>
      <w:bookmarkEnd w:id="15"/>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 or</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 and</w:t>
      </w:r>
    </w:p>
    <w:p>
      <w:pPr>
        <w:pStyle w:val="Defpara"/>
      </w:pPr>
      <w:r>
        <w:tab/>
        <w:t>(b)</w:t>
      </w:r>
      <w:r>
        <w:tab/>
        <w:t>minerals and mineral products; and</w:t>
      </w:r>
    </w:p>
    <w:p>
      <w:pPr>
        <w:pStyle w:val="Defpara"/>
      </w:pPr>
      <w:r>
        <w:tab/>
        <w:t>(c)</w:t>
      </w:r>
      <w:r>
        <w:tab/>
        <w:t>petroleum and hydrocarbon products; and</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 or</w:t>
      </w:r>
    </w:p>
    <w:p>
      <w:pPr>
        <w:pStyle w:val="Defpara"/>
      </w:pPr>
      <w:r>
        <w:tab/>
        <w:t>(b)</w:t>
      </w:r>
      <w:r>
        <w:tab/>
        <w:t>a breakwater, groyne or seawall; or</w:t>
      </w:r>
    </w:p>
    <w:p>
      <w:pPr>
        <w:pStyle w:val="Defpara"/>
      </w:pPr>
      <w:r>
        <w:tab/>
        <w:t>(c)</w:t>
      </w:r>
      <w:r>
        <w:tab/>
        <w:t>a dredged channel; or</w:t>
      </w:r>
    </w:p>
    <w:p>
      <w:pPr>
        <w:pStyle w:val="Defpara"/>
      </w:pPr>
      <w:r>
        <w:tab/>
        <w:t>(d)</w:t>
      </w:r>
      <w:r>
        <w:tab/>
        <w:t>a boat pen or vessel mooring; or</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 or who becomes a member of staff by operation of this Act;</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means a port named in Schedule 1 or placed under the control and management of a port authority by regulations in accordance with Schedule 9 and the</w:t>
      </w:r>
      <w:r>
        <w:rPr>
          <w:i/>
        </w:rPr>
        <w:t xml:space="preserve"> </w:t>
      </w:r>
      <w:r>
        <w:rPr>
          <w:rStyle w:val="CharDefText"/>
        </w:rPr>
        <w:t>port</w:t>
      </w:r>
      <w:r>
        <w:rPr>
          <w:b/>
        </w:rPr>
        <w:t xml:space="preserve"> </w:t>
      </w:r>
      <w:r>
        <w:t xml:space="preserve">or </w:t>
      </w:r>
      <w:r>
        <w:rPr>
          <w:b/>
          <w:i/>
        </w:rPr>
        <w:t>its</w:t>
      </w:r>
      <w:r>
        <w:t xml:space="preserve"> </w:t>
      </w:r>
      <w:r>
        <w:rPr>
          <w:rStyle w:val="CharDefText"/>
        </w:rPr>
        <w:t>port</w:t>
      </w:r>
      <w:r>
        <w:t>, in relation to a port authority, means —</w:t>
      </w:r>
    </w:p>
    <w:p>
      <w:pPr>
        <w:pStyle w:val="Defpara"/>
      </w:pPr>
      <w:r>
        <w:tab/>
        <w:t>(a)</w:t>
      </w:r>
      <w:r>
        <w:tab/>
        <w:t>the port that the port authority controls and manages; or</w:t>
      </w:r>
    </w:p>
    <w:p>
      <w:pPr>
        <w:pStyle w:val="Defpara"/>
      </w:pPr>
      <w:r>
        <w:tab/>
        <w:t>(b)</w:t>
      </w:r>
      <w:r>
        <w:tab/>
        <w:t>if the port authority controls and manages more than one port — each of those ports;</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 and</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tab/>
      </w:r>
      <w:r>
        <w:rPr>
          <w:rStyle w:val="CharDefText"/>
        </w:rPr>
        <w:t>port operations</w:t>
      </w:r>
      <w:r>
        <w:t xml:space="preserve"> means — </w:t>
      </w:r>
    </w:p>
    <w:p>
      <w:pPr>
        <w:pStyle w:val="Defpara"/>
      </w:pPr>
      <w:r>
        <w:tab/>
        <w:t>(a)</w:t>
      </w:r>
      <w:r>
        <w:tab/>
        <w:t>the carrying out of port activities or port works; or</w:t>
      </w:r>
    </w:p>
    <w:p>
      <w:pPr>
        <w:pStyle w:val="Defpara"/>
      </w:pPr>
      <w:r>
        <w:tab/>
        <w:t>(b)</w:t>
      </w:r>
      <w:r>
        <w:tab/>
        <w:t>the provision of port services; or</w:t>
      </w:r>
    </w:p>
    <w:p>
      <w:pPr>
        <w:pStyle w:val="Defpara"/>
      </w:pPr>
      <w:r>
        <w:tab/>
        <w:t>(c)</w:t>
      </w:r>
      <w:r>
        <w:tab/>
        <w:t>the provision, management or operation of port facilities;</w:t>
      </w:r>
    </w:p>
    <w:p>
      <w:pPr>
        <w:pStyle w:val="Defstart"/>
      </w:pPr>
      <w:r>
        <w:tab/>
      </w:r>
      <w:r>
        <w:rPr>
          <w:rStyle w:val="CharDefText"/>
        </w:rPr>
        <w:t>port property</w:t>
      </w:r>
      <w:r>
        <w:t xml:space="preserve">, in relation to a port authority, means — </w:t>
      </w:r>
    </w:p>
    <w:p>
      <w:pPr>
        <w:pStyle w:val="Defpara"/>
      </w:pPr>
      <w:r>
        <w:tab/>
        <w:t>(a)</w:t>
      </w:r>
      <w:r>
        <w:tab/>
        <w:t>port facilities; or</w:t>
      </w:r>
    </w:p>
    <w:p>
      <w:pPr>
        <w:pStyle w:val="Defpara"/>
      </w:pPr>
      <w:r>
        <w:tab/>
        <w:t>(b)</w:t>
      </w:r>
      <w:r>
        <w:tab/>
        <w:t>vested property; or</w:t>
      </w:r>
    </w:p>
    <w:p>
      <w:pPr>
        <w:pStyle w:val="Defpara"/>
      </w:pPr>
      <w:r>
        <w:tab/>
        <w:t>(c)</w:t>
      </w:r>
      <w:r>
        <w:tab/>
        <w:t>other property held by the port authority;</w:t>
      </w:r>
    </w:p>
    <w:p>
      <w:pPr>
        <w:pStyle w:val="Defstart"/>
      </w:pPr>
      <w:r>
        <w:tab/>
      </w:r>
      <w:r>
        <w:rPr>
          <w:rStyle w:val="CharDefText"/>
        </w:rPr>
        <w:t>port security</w:t>
      </w:r>
      <w:r>
        <w:t xml:space="preserve"> means all matters relating to — </w:t>
      </w:r>
    </w:p>
    <w:p>
      <w:pPr>
        <w:pStyle w:val="Defpara"/>
      </w:pPr>
      <w:r>
        <w:tab/>
        <w:t>(a)</w:t>
      </w:r>
      <w:r>
        <w:tab/>
        <w:t xml:space="preserve">the preservation and protection of — </w:t>
      </w:r>
    </w:p>
    <w:p>
      <w:pPr>
        <w:pStyle w:val="Defsubpara"/>
      </w:pPr>
      <w:r>
        <w:tab/>
        <w:t>(i)</w:t>
      </w:r>
      <w:r>
        <w:tab/>
        <w:t>port property; or</w:t>
      </w:r>
    </w:p>
    <w:p>
      <w:pPr>
        <w:pStyle w:val="Defsubpara"/>
      </w:pPr>
      <w:r>
        <w:tab/>
        <w:t>(ii)</w:t>
      </w:r>
      <w:r>
        <w:tab/>
        <w:t>any other vessel, vehicle or other property within the port,</w:t>
      </w:r>
    </w:p>
    <w:p>
      <w:pPr>
        <w:pStyle w:val="Defpara"/>
      </w:pPr>
      <w:r>
        <w:tab/>
      </w:r>
      <w:r>
        <w:tab/>
        <w:t>from damage, destruction or unlawful activity; and</w:t>
      </w:r>
    </w:p>
    <w:p>
      <w:pPr>
        <w:pStyle w:val="Defpara"/>
      </w:pPr>
      <w:r>
        <w:tab/>
        <w:t>(b)</w:t>
      </w:r>
      <w:r>
        <w:tab/>
        <w:t>the protection of people within the port from injury or unlawful activity;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keepNext/>
      </w:pPr>
      <w:r>
        <w:tab/>
      </w:r>
      <w:r>
        <w:rPr>
          <w:rStyle w:val="CharDefText"/>
        </w:rPr>
        <w:t>potential supplier</w:t>
      </w:r>
      <w:r>
        <w:t xml:space="preserve"> means — </w:t>
      </w:r>
    </w:p>
    <w:p>
      <w:pPr>
        <w:pStyle w:val="Defpara"/>
      </w:pPr>
      <w:r>
        <w:tab/>
        <w:t>(a)</w:t>
      </w:r>
      <w:r>
        <w:tab/>
        <w:t>a person who might become a supplier of port services; or</w:t>
      </w:r>
    </w:p>
    <w:p>
      <w:pPr>
        <w:pStyle w:val="Defpara"/>
      </w:pPr>
      <w:r>
        <w:tab/>
        <w:t>(b)</w:t>
      </w:r>
      <w:r>
        <w:tab/>
        <w:t>a person who might become a supplier of port services and, for that purpose, provide related port facilities;</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No. 10 of 2001 s. 157; No. 74 of 2003 s. 93(2); No. 8 of 2009 s. 102(2) and (3); No. 46 of 2009 s. 17; No. 39 of 2010 s. 81(2); No. 9 of 2014 s. 4.]</w:t>
      </w:r>
    </w:p>
    <w:p>
      <w:pPr>
        <w:pStyle w:val="Heading2"/>
      </w:pPr>
      <w:bookmarkStart w:id="16" w:name="_Toc398889929"/>
      <w:bookmarkStart w:id="17" w:name="_Toc424284364"/>
      <w:bookmarkStart w:id="18" w:name="_Toc468975254"/>
      <w:bookmarkStart w:id="19" w:name="_Toc468975618"/>
      <w:bookmarkStart w:id="20" w:name="_Toc468977952"/>
      <w:bookmarkStart w:id="21" w:name="_Toc1491563"/>
      <w:bookmarkStart w:id="22" w:name="_Toc1491927"/>
      <w:r>
        <w:rPr>
          <w:rStyle w:val="CharPartNo"/>
        </w:rPr>
        <w:t>Part 2</w:t>
      </w:r>
      <w:r>
        <w:t xml:space="preserve"> — </w:t>
      </w:r>
      <w:r>
        <w:rPr>
          <w:rStyle w:val="CharPartText"/>
        </w:rPr>
        <w:t>Port authorities: establishment and administration</w:t>
      </w:r>
      <w:bookmarkEnd w:id="16"/>
      <w:bookmarkEnd w:id="17"/>
      <w:bookmarkEnd w:id="18"/>
      <w:bookmarkEnd w:id="19"/>
      <w:bookmarkEnd w:id="20"/>
      <w:bookmarkEnd w:id="21"/>
      <w:bookmarkEnd w:id="22"/>
      <w:r>
        <w:rPr>
          <w:rStyle w:val="CharPartText"/>
        </w:rPr>
        <w:t xml:space="preserve"> </w:t>
      </w:r>
    </w:p>
    <w:p>
      <w:pPr>
        <w:pStyle w:val="Heading3"/>
      </w:pPr>
      <w:bookmarkStart w:id="23" w:name="_Toc398889930"/>
      <w:bookmarkStart w:id="24" w:name="_Toc424284365"/>
      <w:bookmarkStart w:id="25" w:name="_Toc468975255"/>
      <w:bookmarkStart w:id="26" w:name="_Toc468975619"/>
      <w:bookmarkStart w:id="27" w:name="_Toc468977953"/>
      <w:bookmarkStart w:id="28" w:name="_Toc1491564"/>
      <w:bookmarkStart w:id="29" w:name="_Toc1491928"/>
      <w:r>
        <w:rPr>
          <w:rStyle w:val="CharDivNo"/>
        </w:rPr>
        <w:t>Division 1</w:t>
      </w:r>
      <w:r>
        <w:t xml:space="preserve"> — </w:t>
      </w:r>
      <w:r>
        <w:rPr>
          <w:rStyle w:val="CharDivText"/>
        </w:rPr>
        <w:t>Establishment of port authorities</w:t>
      </w:r>
      <w:bookmarkEnd w:id="23"/>
      <w:bookmarkEnd w:id="24"/>
      <w:bookmarkEnd w:id="25"/>
      <w:bookmarkEnd w:id="26"/>
      <w:bookmarkEnd w:id="27"/>
      <w:bookmarkEnd w:id="28"/>
      <w:bookmarkEnd w:id="29"/>
      <w:r>
        <w:rPr>
          <w:rStyle w:val="CharDivText"/>
        </w:rPr>
        <w:t xml:space="preserve"> </w:t>
      </w:r>
    </w:p>
    <w:p>
      <w:pPr>
        <w:pStyle w:val="Heading5"/>
        <w:rPr>
          <w:snapToGrid w:val="0"/>
        </w:rPr>
      </w:pPr>
      <w:bookmarkStart w:id="30" w:name="_Toc398889931"/>
      <w:bookmarkStart w:id="31" w:name="_Toc1491929"/>
      <w:r>
        <w:rPr>
          <w:rStyle w:val="CharSectno"/>
        </w:rPr>
        <w:t>4</w:t>
      </w:r>
      <w:r>
        <w:rPr>
          <w:snapToGrid w:val="0"/>
        </w:rPr>
        <w:t>.</w:t>
      </w:r>
      <w:r>
        <w:rPr>
          <w:snapToGrid w:val="0"/>
        </w:rPr>
        <w:tab/>
        <w:t>Port authorities, establishment, nature and trading names of</w:t>
      </w:r>
      <w:bookmarkEnd w:id="30"/>
      <w:bookmarkEnd w:id="31"/>
    </w:p>
    <w:p>
      <w:pPr>
        <w:pStyle w:val="Subsection"/>
      </w:pPr>
      <w:r>
        <w:tab/>
        <w:t>(1)</w:t>
      </w:r>
      <w:r>
        <w:tab/>
        <w:t>There are to be the port authorities named in column 2 of Schedule 1.</w:t>
      </w:r>
    </w:p>
    <w:p>
      <w:pPr>
        <w:pStyle w:val="Subsection"/>
      </w:pPr>
      <w:r>
        <w:tab/>
        <w:t>(2A)</w:t>
      </w:r>
      <w:r>
        <w:tab/>
        <w:t xml:space="preserve">A port authority named in column 2 of an item in Schedule 1 is to control and manage — </w:t>
      </w:r>
    </w:p>
    <w:p>
      <w:pPr>
        <w:pStyle w:val="Indenta"/>
      </w:pPr>
      <w:r>
        <w:tab/>
        <w:t>(a)</w:t>
      </w:r>
      <w:r>
        <w:tab/>
        <w:t>any port named in column 3 of that item</w:t>
      </w:r>
      <w:r>
        <w:rPr>
          <w:snapToGrid w:val="0"/>
        </w:rPr>
        <w:t>; and</w:t>
      </w:r>
    </w:p>
    <w:p>
      <w:pPr>
        <w:pStyle w:val="Indenta"/>
      </w:pPr>
      <w:r>
        <w:tab/>
        <w:t>(b)</w:t>
      </w:r>
      <w:r>
        <w:tab/>
        <w:t xml:space="preserve">any port placed under the control and management of the port authority </w:t>
      </w:r>
      <w:r>
        <w:rPr>
          <w:snapToGrid w:val="0"/>
        </w:rPr>
        <w:t>by regulations in accordance with Schedule 9.</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Footnotesection"/>
      </w:pPr>
      <w:r>
        <w:tab/>
        <w:t>[Section 4 amended: No. 9 of 2014 s. 5.]</w:t>
      </w:r>
    </w:p>
    <w:p>
      <w:pPr>
        <w:pStyle w:val="Heading5"/>
        <w:rPr>
          <w:snapToGrid w:val="0"/>
        </w:rPr>
      </w:pPr>
      <w:bookmarkStart w:id="32" w:name="_Toc398889932"/>
      <w:bookmarkStart w:id="33" w:name="_Toc1491930"/>
      <w:r>
        <w:rPr>
          <w:rStyle w:val="CharSectno"/>
        </w:rPr>
        <w:t>5</w:t>
      </w:r>
      <w:r>
        <w:rPr>
          <w:snapToGrid w:val="0"/>
        </w:rPr>
        <w:t>.</w:t>
      </w:r>
      <w:r>
        <w:rPr>
          <w:snapToGrid w:val="0"/>
        </w:rPr>
        <w:tab/>
        <w:t>Port authorities not to be regarded as agents of Crown for purposes of State laws</w:t>
      </w:r>
      <w:bookmarkEnd w:id="32"/>
      <w:bookmarkEnd w:id="33"/>
    </w:p>
    <w:p>
      <w:pPr>
        <w:pStyle w:val="Subsection"/>
        <w:rPr>
          <w:snapToGrid w:val="0"/>
        </w:rPr>
      </w:pPr>
      <w:r>
        <w:rPr>
          <w:snapToGrid w:val="0"/>
        </w:rPr>
        <w:tab/>
      </w:r>
      <w:r>
        <w:rPr>
          <w:snapToGrid w:val="0"/>
        </w:rPr>
        <w:tab/>
      </w:r>
      <w:r>
        <w:t>For the purposes of any law of the State, a port authority is to be regarded as not being</w:t>
      </w:r>
      <w:r>
        <w:rPr>
          <w:snapToGrid w:val="0"/>
        </w:rPr>
        <w:t xml:space="preserve"> an agent of the Crown and does not have the status, immunities and privileges of the Crown.</w:t>
      </w:r>
    </w:p>
    <w:p>
      <w:pPr>
        <w:pStyle w:val="Footnotesection"/>
      </w:pPr>
      <w:r>
        <w:tab/>
        <w:t>[Section 5 amended: No. 9 of 2014 s. 6.]</w:t>
      </w:r>
    </w:p>
    <w:p>
      <w:pPr>
        <w:pStyle w:val="Heading5"/>
        <w:rPr>
          <w:snapToGrid w:val="0"/>
        </w:rPr>
      </w:pPr>
      <w:bookmarkStart w:id="34" w:name="_Toc398889933"/>
      <w:bookmarkStart w:id="35" w:name="_Toc1491931"/>
      <w:r>
        <w:rPr>
          <w:rStyle w:val="CharSectno"/>
        </w:rPr>
        <w:t>6</w:t>
      </w:r>
      <w:r>
        <w:rPr>
          <w:snapToGrid w:val="0"/>
        </w:rPr>
        <w:t>.</w:t>
      </w:r>
      <w:r>
        <w:rPr>
          <w:snapToGrid w:val="0"/>
        </w:rPr>
        <w:tab/>
        <w:t>Port authorities and officers not part of public sector</w:t>
      </w:r>
      <w:bookmarkEnd w:id="34"/>
      <w:bookmarkEnd w:id="35"/>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36" w:name="_Toc398889934"/>
      <w:bookmarkStart w:id="37" w:name="_Toc424284369"/>
      <w:bookmarkStart w:id="38" w:name="_Toc468975259"/>
      <w:bookmarkStart w:id="39" w:name="_Toc468975623"/>
      <w:bookmarkStart w:id="40" w:name="_Toc468977957"/>
      <w:bookmarkStart w:id="41" w:name="_Toc1491568"/>
      <w:bookmarkStart w:id="42" w:name="_Toc1491932"/>
      <w:r>
        <w:rPr>
          <w:rStyle w:val="CharDivNo"/>
        </w:rPr>
        <w:t>Division 2</w:t>
      </w:r>
      <w:r>
        <w:t xml:space="preserve"> — </w:t>
      </w:r>
      <w:r>
        <w:rPr>
          <w:rStyle w:val="CharDivText"/>
        </w:rPr>
        <w:t>Boards of directors</w:t>
      </w:r>
      <w:bookmarkEnd w:id="36"/>
      <w:bookmarkEnd w:id="37"/>
      <w:bookmarkEnd w:id="38"/>
      <w:bookmarkEnd w:id="39"/>
      <w:bookmarkEnd w:id="40"/>
      <w:bookmarkEnd w:id="41"/>
      <w:bookmarkEnd w:id="42"/>
      <w:r>
        <w:rPr>
          <w:rStyle w:val="CharDivText"/>
        </w:rPr>
        <w:t xml:space="preserve"> </w:t>
      </w:r>
    </w:p>
    <w:p>
      <w:pPr>
        <w:pStyle w:val="Heading5"/>
        <w:rPr>
          <w:snapToGrid w:val="0"/>
        </w:rPr>
      </w:pPr>
      <w:bookmarkStart w:id="43" w:name="_Toc398889935"/>
      <w:bookmarkStart w:id="44" w:name="_Toc1491933"/>
      <w:r>
        <w:rPr>
          <w:rStyle w:val="CharSectno"/>
        </w:rPr>
        <w:t>7</w:t>
      </w:r>
      <w:r>
        <w:rPr>
          <w:snapToGrid w:val="0"/>
        </w:rPr>
        <w:t>.</w:t>
      </w:r>
      <w:r>
        <w:rPr>
          <w:snapToGrid w:val="0"/>
        </w:rPr>
        <w:tab/>
        <w:t>Port authorities to have board of directors</w:t>
      </w:r>
      <w:bookmarkEnd w:id="43"/>
      <w:bookmarkEnd w:id="44"/>
      <w:r>
        <w:rPr>
          <w:snapToGrid w:val="0"/>
        </w:rPr>
        <w:t xml:space="preserve"> </w:t>
      </w:r>
    </w:p>
    <w:p>
      <w:pPr>
        <w:pStyle w:val="Subsection"/>
        <w:rPr>
          <w:snapToGrid w:val="0"/>
        </w:rPr>
      </w:pPr>
      <w:r>
        <w:rPr>
          <w:snapToGrid w:val="0"/>
        </w:rPr>
        <w:tab/>
        <w:t>(1)</w:t>
      </w:r>
      <w:r>
        <w:rPr>
          <w:snapToGrid w:val="0"/>
        </w:rPr>
        <w:tab/>
        <w:t xml:space="preserve">A port authority is to have a board of directors comprising </w:t>
      </w:r>
      <w:r>
        <w:t>not less than 5 or more than 7</w:t>
      </w:r>
      <w:r>
        <w:rPr>
          <w:snapToGrid w:val="0"/>
        </w:rPr>
        <w:t>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pPr>
        <w:pStyle w:val="Subsection"/>
        <w:rPr>
          <w:snapToGrid w:val="0"/>
        </w:rPr>
      </w:pPr>
      <w:r>
        <w:rPr>
          <w:snapToGrid w:val="0"/>
        </w:rPr>
        <w:tab/>
        <w:t>(3)</w:t>
      </w:r>
      <w:r>
        <w:rPr>
          <w:snapToGrid w:val="0"/>
        </w:rPr>
        <w:tab/>
        <w:t>A member of staff is not eligible to be appointed as, or be, a director.</w:t>
      </w:r>
    </w:p>
    <w:p>
      <w:pPr>
        <w:pStyle w:val="Ednotesubsection"/>
      </w:pPr>
      <w:r>
        <w:tab/>
        <w:t>[(4)</w:t>
      </w:r>
      <w:r>
        <w:tab/>
        <w:t>deleted]</w:t>
      </w:r>
    </w:p>
    <w:p>
      <w:pPr>
        <w:pStyle w:val="Footnotesection"/>
      </w:pPr>
      <w:r>
        <w:tab/>
        <w:t>[Section 7 amended: No. 39 of 2010 s. 89; No. 9 of 2014 s. 7.]</w:t>
      </w:r>
    </w:p>
    <w:p>
      <w:pPr>
        <w:pStyle w:val="Heading5"/>
        <w:rPr>
          <w:snapToGrid w:val="0"/>
        </w:rPr>
      </w:pPr>
      <w:bookmarkStart w:id="45" w:name="_Toc398889936"/>
      <w:bookmarkStart w:id="46" w:name="_Toc1491934"/>
      <w:r>
        <w:rPr>
          <w:rStyle w:val="CharSectno"/>
        </w:rPr>
        <w:t>8</w:t>
      </w:r>
      <w:r>
        <w:rPr>
          <w:snapToGrid w:val="0"/>
        </w:rPr>
        <w:t>.</w:t>
      </w:r>
      <w:r>
        <w:rPr>
          <w:snapToGrid w:val="0"/>
        </w:rPr>
        <w:tab/>
        <w:t>Boards, role of</w:t>
      </w:r>
      <w:bookmarkEnd w:id="45"/>
      <w:bookmarkEnd w:id="46"/>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spacing w:before="180"/>
        <w:rPr>
          <w:snapToGrid w:val="0"/>
        </w:rPr>
      </w:pPr>
      <w:bookmarkStart w:id="47" w:name="_Toc398889937"/>
      <w:bookmarkStart w:id="48" w:name="_Toc1491935"/>
      <w:r>
        <w:rPr>
          <w:rStyle w:val="CharSectno"/>
        </w:rPr>
        <w:t>9</w:t>
      </w:r>
      <w:r>
        <w:rPr>
          <w:snapToGrid w:val="0"/>
        </w:rPr>
        <w:t>.</w:t>
      </w:r>
      <w:r>
        <w:rPr>
          <w:snapToGrid w:val="0"/>
        </w:rPr>
        <w:tab/>
        <w:t>Boards, constitution and proceedings of (Sch. 2)</w:t>
      </w:r>
      <w:bookmarkEnd w:id="47"/>
      <w:bookmarkEnd w:id="48"/>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spacing w:before="180"/>
        <w:rPr>
          <w:snapToGrid w:val="0"/>
        </w:rPr>
      </w:pPr>
      <w:bookmarkStart w:id="49" w:name="_Toc398889938"/>
      <w:bookmarkStart w:id="50" w:name="_Toc1491936"/>
      <w:r>
        <w:rPr>
          <w:rStyle w:val="CharSectno"/>
        </w:rPr>
        <w:t>10</w:t>
      </w:r>
      <w:r>
        <w:rPr>
          <w:snapToGrid w:val="0"/>
        </w:rPr>
        <w:t>.</w:t>
      </w:r>
      <w:r>
        <w:rPr>
          <w:snapToGrid w:val="0"/>
        </w:rPr>
        <w:tab/>
        <w:t>Directors, remuneration of</w:t>
      </w:r>
      <w:bookmarkEnd w:id="49"/>
      <w:bookmarkEnd w:id="50"/>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spacing w:before="120"/>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51" w:name="_Toc398889939"/>
      <w:bookmarkStart w:id="52" w:name="_Toc1491937"/>
      <w:r>
        <w:rPr>
          <w:rStyle w:val="CharSectno"/>
        </w:rPr>
        <w:t>11</w:t>
      </w:r>
      <w:r>
        <w:rPr>
          <w:snapToGrid w:val="0"/>
        </w:rPr>
        <w:t>.</w:t>
      </w:r>
      <w:r>
        <w:rPr>
          <w:snapToGrid w:val="0"/>
        </w:rPr>
        <w:tab/>
        <w:t>Conflict of duties</w:t>
      </w:r>
      <w:bookmarkEnd w:id="51"/>
      <w:bookmarkEnd w:id="52"/>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53" w:name="_Toc398889940"/>
      <w:bookmarkStart w:id="54" w:name="_Toc1491938"/>
      <w:r>
        <w:rPr>
          <w:rStyle w:val="CharSectno"/>
        </w:rPr>
        <w:t>12</w:t>
      </w:r>
      <w:r>
        <w:rPr>
          <w:snapToGrid w:val="0"/>
        </w:rPr>
        <w:t>.</w:t>
      </w:r>
      <w:r>
        <w:rPr>
          <w:snapToGrid w:val="0"/>
        </w:rPr>
        <w:tab/>
        <w:t>Notifiable interests, disclosing</w:t>
      </w:r>
      <w:bookmarkEnd w:id="53"/>
      <w:bookmarkEnd w:id="54"/>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rPr>
          <w:snapToGrid w:val="0"/>
        </w:rPr>
      </w:pPr>
      <w:bookmarkStart w:id="55" w:name="_Toc398889941"/>
      <w:bookmarkStart w:id="56" w:name="_Toc1491939"/>
      <w:r>
        <w:rPr>
          <w:rStyle w:val="CharSectno"/>
        </w:rPr>
        <w:t>13</w:t>
      </w:r>
      <w:r>
        <w:rPr>
          <w:snapToGrid w:val="0"/>
        </w:rPr>
        <w:t>.</w:t>
      </w:r>
      <w:r>
        <w:rPr>
          <w:snapToGrid w:val="0"/>
        </w:rPr>
        <w:tab/>
        <w:t>Committees</w:t>
      </w:r>
      <w:bookmarkEnd w:id="55"/>
      <w:bookmarkEnd w:id="56"/>
      <w:r>
        <w:rPr>
          <w:snapToGrid w:val="0"/>
        </w:rPr>
        <w:t xml:space="preserve"> </w:t>
      </w:r>
    </w:p>
    <w:p>
      <w:pPr>
        <w:pStyle w:val="Subsection"/>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w:t>
      </w:r>
    </w:p>
    <w:p>
      <w:pPr>
        <w:pStyle w:val="Subsection"/>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rPr>
          <w:snapToGrid w:val="0"/>
        </w:rPr>
      </w:pPr>
      <w:r>
        <w:rPr>
          <w:snapToGrid w:val="0"/>
        </w:rPr>
        <w:tab/>
        <w:t>(4)</w:t>
      </w:r>
      <w:r>
        <w:rPr>
          <w:snapToGrid w:val="0"/>
        </w:rPr>
        <w:tab/>
        <w:t>Subject to subsection (2), a committee may determine its own procedures.</w:t>
      </w:r>
    </w:p>
    <w:p>
      <w:pPr>
        <w:pStyle w:val="Subsection"/>
      </w:pPr>
      <w:r>
        <w:tab/>
        <w:t>(5)</w:t>
      </w:r>
      <w:r>
        <w:tab/>
        <w:t xml:space="preserve">The port authority is to provide a committee with such — </w:t>
      </w:r>
    </w:p>
    <w:p>
      <w:pPr>
        <w:pStyle w:val="Indenta"/>
      </w:pPr>
      <w:r>
        <w:tab/>
        <w:t>(a)</w:t>
      </w:r>
      <w:r>
        <w:tab/>
        <w:t>administrative support; and</w:t>
      </w:r>
    </w:p>
    <w:p>
      <w:pPr>
        <w:pStyle w:val="Indenta"/>
      </w:pPr>
      <w:r>
        <w:tab/>
        <w:t>(b)</w:t>
      </w:r>
      <w:r>
        <w:tab/>
        <w:t>facilities,</w:t>
      </w:r>
    </w:p>
    <w:p>
      <w:pPr>
        <w:pStyle w:val="Subsection"/>
      </w:pPr>
      <w:r>
        <w:tab/>
      </w:r>
      <w:r>
        <w:tab/>
        <w:t>as the committee may reasonably require for the performance of its functions.</w:t>
      </w:r>
    </w:p>
    <w:p>
      <w:pPr>
        <w:pStyle w:val="Footnotesection"/>
      </w:pPr>
      <w:r>
        <w:tab/>
        <w:t>[Section 13 amended: No. 9 of 2014 s. 8.]</w:t>
      </w:r>
    </w:p>
    <w:p>
      <w:pPr>
        <w:pStyle w:val="Heading5"/>
      </w:pPr>
      <w:bookmarkStart w:id="57" w:name="_Toc398889942"/>
      <w:bookmarkStart w:id="58" w:name="_Toc1491940"/>
      <w:r>
        <w:rPr>
          <w:rStyle w:val="CharSectno"/>
        </w:rPr>
        <w:t>14A</w:t>
      </w:r>
      <w:r>
        <w:t>.</w:t>
      </w:r>
      <w:r>
        <w:tab/>
        <w:t>Community consultation committees</w:t>
      </w:r>
      <w:bookmarkEnd w:id="57"/>
      <w:bookmarkEnd w:id="58"/>
    </w:p>
    <w:p>
      <w:pPr>
        <w:pStyle w:val="Subsection"/>
      </w:pPr>
      <w:r>
        <w:tab/>
        <w:t>(1)</w:t>
      </w:r>
      <w:r>
        <w:tab/>
        <w:t xml:space="preserve">In this section — </w:t>
      </w:r>
    </w:p>
    <w:p>
      <w:pPr>
        <w:pStyle w:val="Defstart"/>
      </w:pPr>
      <w:r>
        <w:tab/>
      </w:r>
      <w:r>
        <w:rPr>
          <w:rStyle w:val="CharDefText"/>
        </w:rPr>
        <w:t>consultation committee</w:t>
      </w:r>
      <w:r>
        <w:t xml:space="preserve"> means the committee established as required by subsection (2).</w:t>
      </w:r>
    </w:p>
    <w:p>
      <w:pPr>
        <w:pStyle w:val="Subsection"/>
      </w:pPr>
      <w:r>
        <w:tab/>
        <w:t>(2)</w:t>
      </w:r>
      <w:r>
        <w:tab/>
        <w:t>Without limiting section 13, a port authority must, under that section, establish a committee for the port for the purpose of promoting and facilitating communication, information sharing and consultation between the port authority and members of the public who are or may be affected by port operations.</w:t>
      </w:r>
    </w:p>
    <w:p>
      <w:pPr>
        <w:pStyle w:val="Subsection"/>
      </w:pPr>
      <w:r>
        <w:tab/>
        <w:t>(3)</w:t>
      </w:r>
      <w:r>
        <w:tab/>
        <w:t>A local government that has electors who are or may be affected by port operations at the port is to be represented on the consultation committee.</w:t>
      </w:r>
    </w:p>
    <w:p>
      <w:pPr>
        <w:pStyle w:val="Subsection"/>
      </w:pPr>
      <w:r>
        <w:tab/>
        <w:t>(4)</w:t>
      </w:r>
      <w:r>
        <w:tab/>
        <w:t>Minutes of the proceedings of the consultation committee are to be made available on the port authority’s website or in a prescribed manner.</w:t>
      </w:r>
    </w:p>
    <w:p>
      <w:pPr>
        <w:pStyle w:val="Subsection"/>
      </w:pPr>
      <w:r>
        <w:tab/>
        <w:t>(5)</w:t>
      </w:r>
      <w:r>
        <w:tab/>
        <w:t>Subsection (2) does not apply if the regulations exempt the port from the operation of this section.</w:t>
      </w:r>
    </w:p>
    <w:p>
      <w:pPr>
        <w:pStyle w:val="Footnotesection"/>
      </w:pPr>
      <w:r>
        <w:tab/>
        <w:t>[Section 14A inserted: No. 9 of 2014 s. 9.]</w:t>
      </w:r>
    </w:p>
    <w:p>
      <w:pPr>
        <w:pStyle w:val="Heading3"/>
      </w:pPr>
      <w:bookmarkStart w:id="59" w:name="_Toc398889943"/>
      <w:bookmarkStart w:id="60" w:name="_Toc424284378"/>
      <w:bookmarkStart w:id="61" w:name="_Toc468975268"/>
      <w:bookmarkStart w:id="62" w:name="_Toc468975632"/>
      <w:bookmarkStart w:id="63" w:name="_Toc468977966"/>
      <w:bookmarkStart w:id="64" w:name="_Toc1491577"/>
      <w:bookmarkStart w:id="65" w:name="_Toc1491941"/>
      <w:r>
        <w:rPr>
          <w:rStyle w:val="CharDivNo"/>
        </w:rPr>
        <w:t>Division 3</w:t>
      </w:r>
      <w:r>
        <w:rPr>
          <w:snapToGrid w:val="0"/>
        </w:rPr>
        <w:t xml:space="preserve"> — </w:t>
      </w:r>
      <w:r>
        <w:rPr>
          <w:rStyle w:val="CharDivText"/>
        </w:rPr>
        <w:t>Staff</w:t>
      </w:r>
      <w:bookmarkEnd w:id="59"/>
      <w:bookmarkEnd w:id="60"/>
      <w:bookmarkEnd w:id="61"/>
      <w:bookmarkEnd w:id="62"/>
      <w:bookmarkEnd w:id="63"/>
      <w:bookmarkEnd w:id="64"/>
      <w:bookmarkEnd w:id="65"/>
      <w:r>
        <w:rPr>
          <w:rStyle w:val="CharDivText"/>
        </w:rPr>
        <w:t xml:space="preserve"> </w:t>
      </w:r>
    </w:p>
    <w:p>
      <w:pPr>
        <w:pStyle w:val="Heading5"/>
        <w:rPr>
          <w:snapToGrid w:val="0"/>
        </w:rPr>
      </w:pPr>
      <w:bookmarkStart w:id="66" w:name="_Toc398889944"/>
      <w:bookmarkStart w:id="67" w:name="_Toc1491942"/>
      <w:r>
        <w:rPr>
          <w:rStyle w:val="CharSectno"/>
        </w:rPr>
        <w:t>14</w:t>
      </w:r>
      <w:r>
        <w:rPr>
          <w:snapToGrid w:val="0"/>
        </w:rPr>
        <w:t>.</w:t>
      </w:r>
      <w:r>
        <w:rPr>
          <w:snapToGrid w:val="0"/>
        </w:rPr>
        <w:tab/>
        <w:t>Chief executive officer</w:t>
      </w:r>
      <w:bookmarkEnd w:id="66"/>
      <w:bookmarkEnd w:id="67"/>
      <w:r>
        <w:rPr>
          <w:snapToGrid w:val="0"/>
        </w:rPr>
        <w:t xml:space="preserve"> </w:t>
      </w:r>
    </w:p>
    <w:p>
      <w:pPr>
        <w:pStyle w:val="Subsection"/>
        <w:rPr>
          <w:snapToGrid w:val="0"/>
        </w:rPr>
      </w:pPr>
      <w:r>
        <w:rPr>
          <w:snapToGrid w:val="0"/>
        </w:rPr>
        <w:tab/>
        <w:t>(1)</w:t>
      </w:r>
      <w:r>
        <w:rPr>
          <w:snapToGrid w:val="0"/>
        </w:rPr>
        <w:tab/>
        <w:t>A port authority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w:t>
      </w:r>
      <w:r>
        <w:t xml:space="preserve">sections 15A and 15B, </w:t>
      </w:r>
      <w:r>
        <w:rPr>
          <w:snapToGrid w:val="0"/>
        </w:rPr>
        <w:t>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rPr>
          <w:snapToGrid w:val="0"/>
        </w:rPr>
      </w:pPr>
      <w:r>
        <w:rPr>
          <w:snapToGrid w:val="0"/>
        </w:rPr>
        <w:tab/>
        <w:t>(3)</w:t>
      </w:r>
      <w:r>
        <w:rPr>
          <w:snapToGrid w:val="0"/>
        </w:rPr>
        <w:tab/>
        <w:t>The board must get the Minister’s approval before it exercises any of the powers conferred by subsection (2).</w:t>
      </w:r>
    </w:p>
    <w:p>
      <w:pPr>
        <w:pStyle w:val="Subsection"/>
        <w:rPr>
          <w:snapToGrid w:val="0"/>
        </w:rPr>
      </w:pPr>
      <w:r>
        <w:tab/>
        <w:t>(4A)</w:t>
      </w:r>
      <w:r>
        <w:tab/>
        <w:t>Subsection (3) does not apply to the exercise by the board of the power to determine or set remuneration to which section 15A or 15B applies.</w:t>
      </w:r>
    </w:p>
    <w:p>
      <w:pPr>
        <w:pStyle w:val="Subsection"/>
        <w:rPr>
          <w:snapToGrid w:val="0"/>
        </w:rPr>
      </w:pPr>
      <w:r>
        <w:rPr>
          <w:snapToGrid w:val="0"/>
        </w:rPr>
        <w:tab/>
        <w:t>(4)</w:t>
      </w:r>
      <w:r>
        <w:rPr>
          <w:snapToGrid w:val="0"/>
        </w:rPr>
        <w:tab/>
        <w:t>The chief executive officer of a port authority may resign from office by giving notice in writing to the board.</w:t>
      </w:r>
    </w:p>
    <w:p>
      <w:pPr>
        <w:pStyle w:val="Subsection"/>
        <w:keepLines/>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14 amended: No. 46 of 2016 s. 23.]</w:t>
      </w:r>
    </w:p>
    <w:p>
      <w:pPr>
        <w:pStyle w:val="Heading5"/>
      </w:pPr>
      <w:bookmarkStart w:id="68" w:name="_Toc429561684"/>
      <w:bookmarkStart w:id="69" w:name="_Toc1491943"/>
      <w:r>
        <w:rPr>
          <w:rStyle w:val="CharSectno"/>
        </w:rPr>
        <w:t>15A</w:t>
      </w:r>
      <w:r>
        <w:t>.</w:t>
      </w:r>
      <w:r>
        <w:tab/>
        <w:t>Remuneration of CEO while port authority is not a Government entity</w:t>
      </w:r>
      <w:bookmarkEnd w:id="68"/>
      <w:bookmarkEnd w:id="69"/>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port authority to which it relates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CEO of a port authority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pPr>
        <w:pStyle w:val="Indenta"/>
        <w:keepNext/>
      </w:pPr>
      <w:r>
        <w:tab/>
        <w:t>(b)</w:t>
      </w:r>
      <w:r>
        <w:tab/>
        <w:t>does not require the board to re</w:t>
      </w:r>
      <w:r>
        <w:noBreakHyphen/>
        <w:t>determine the remuneration of the person who, immediately before that day, holds office as the port authority’s CEO.</w:t>
      </w:r>
    </w:p>
    <w:p>
      <w:pPr>
        <w:pStyle w:val="Footnotesection"/>
      </w:pPr>
      <w:r>
        <w:tab/>
        <w:t>[Section 15A inserted: No. 46 of 2016 s. 24.]</w:t>
      </w:r>
    </w:p>
    <w:p>
      <w:pPr>
        <w:pStyle w:val="Heading5"/>
      </w:pPr>
      <w:bookmarkStart w:id="70" w:name="_Toc429561685"/>
      <w:bookmarkStart w:id="71" w:name="_Toc1491944"/>
      <w:r>
        <w:rPr>
          <w:rStyle w:val="CharSectno"/>
        </w:rPr>
        <w:t>15B</w:t>
      </w:r>
      <w:r>
        <w:t>.</w:t>
      </w:r>
      <w:r>
        <w:tab/>
        <w:t>Remuneration of CEO while port authority is a Government entity</w:t>
      </w:r>
      <w:bookmarkEnd w:id="70"/>
      <w:bookmarkEnd w:id="71"/>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port authority to which it relates is a Government entity as defined in the </w:t>
      </w:r>
      <w:r>
        <w:rPr>
          <w:i/>
        </w:rPr>
        <w:t>Salaries and Allowances Act 1975</w:t>
      </w:r>
      <w:r>
        <w:t xml:space="preserve"> section 7C(1).</w:t>
      </w:r>
    </w:p>
    <w:p>
      <w:pPr>
        <w:pStyle w:val="Subsection"/>
      </w:pPr>
      <w:r>
        <w:tab/>
        <w:t>(3)</w:t>
      </w:r>
      <w:r>
        <w:tab/>
        <w:t xml:space="preserve">The remuneration of the CEO of a port authority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CEO of a port authority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15B inserted: No. 46 of 2016 s. 24.]</w:t>
      </w:r>
    </w:p>
    <w:p>
      <w:pPr>
        <w:pStyle w:val="Heading5"/>
        <w:rPr>
          <w:snapToGrid w:val="0"/>
        </w:rPr>
      </w:pPr>
      <w:bookmarkStart w:id="72" w:name="_Toc398889945"/>
      <w:bookmarkStart w:id="73" w:name="_Toc1491945"/>
      <w:r>
        <w:rPr>
          <w:rStyle w:val="CharSectno"/>
        </w:rPr>
        <w:t>15</w:t>
      </w:r>
      <w:r>
        <w:rPr>
          <w:snapToGrid w:val="0"/>
        </w:rPr>
        <w:t>.</w:t>
      </w:r>
      <w:r>
        <w:rPr>
          <w:snapToGrid w:val="0"/>
        </w:rPr>
        <w:tab/>
        <w:t>CEO’s functions</w:t>
      </w:r>
      <w:bookmarkEnd w:id="72"/>
      <w:bookmarkEnd w:id="73"/>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74" w:name="_Toc398889946"/>
      <w:bookmarkStart w:id="75" w:name="_Toc1491946"/>
      <w:r>
        <w:rPr>
          <w:rStyle w:val="CharSectno"/>
        </w:rPr>
        <w:t>16</w:t>
      </w:r>
      <w:r>
        <w:rPr>
          <w:snapToGrid w:val="0"/>
        </w:rPr>
        <w:t>.</w:t>
      </w:r>
      <w:r>
        <w:rPr>
          <w:snapToGrid w:val="0"/>
        </w:rPr>
        <w:tab/>
        <w:t>Staff</w:t>
      </w:r>
      <w:bookmarkEnd w:id="74"/>
      <w:bookmarkEnd w:id="75"/>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keepNext/>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keepNext/>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 and</w:t>
      </w:r>
    </w:p>
    <w:p>
      <w:pPr>
        <w:pStyle w:val="Indenti"/>
        <w:rPr>
          <w:snapToGrid w:val="0"/>
        </w:rPr>
      </w:pPr>
      <w:r>
        <w:rPr>
          <w:snapToGrid w:val="0"/>
        </w:rPr>
        <w:tab/>
        <w:t>(ii)</w:t>
      </w:r>
      <w:r>
        <w:rPr>
          <w:snapToGrid w:val="0"/>
        </w:rPr>
        <w:tab/>
        <w:t>leave; and</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8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80"/>
      </w:pPr>
      <w:r>
        <w:tab/>
        <w:t>[(5)</w:t>
      </w:r>
      <w:r>
        <w:tab/>
        <w:t>deleted]</w:t>
      </w:r>
    </w:p>
    <w:p>
      <w:pPr>
        <w:pStyle w:val="Subsection"/>
        <w:spacing w:before="18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No. 20 of 2002 s. 23; amended in Gazette 15 Aug 2003 p. 3689.]</w:t>
      </w:r>
    </w:p>
    <w:p>
      <w:pPr>
        <w:pStyle w:val="Heading5"/>
        <w:spacing w:before="240"/>
        <w:rPr>
          <w:snapToGrid w:val="0"/>
        </w:rPr>
      </w:pPr>
      <w:bookmarkStart w:id="76" w:name="_Toc398889947"/>
      <w:bookmarkStart w:id="77" w:name="_Toc1491947"/>
      <w:r>
        <w:rPr>
          <w:rStyle w:val="CharSectno"/>
        </w:rPr>
        <w:t>17</w:t>
      </w:r>
      <w:r>
        <w:rPr>
          <w:snapToGrid w:val="0"/>
        </w:rPr>
        <w:t>.</w:t>
      </w:r>
      <w:r>
        <w:rPr>
          <w:snapToGrid w:val="0"/>
        </w:rPr>
        <w:tab/>
        <w:t>Minimum standards for staff management</w:t>
      </w:r>
      <w:bookmarkEnd w:id="76"/>
      <w:bookmarkEnd w:id="77"/>
      <w:r>
        <w:rPr>
          <w:snapToGrid w:val="0"/>
        </w:rPr>
        <w:t xml:space="preserve"> </w:t>
      </w:r>
    </w:p>
    <w:p>
      <w:pPr>
        <w:pStyle w:val="Subsection"/>
        <w:spacing w:before="18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keepNext/>
        <w:spacing w:before="18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(3)</w:t>
      </w:r>
      <w:r>
        <w:rPr>
          <w:snapToGrid w:val="0"/>
        </w:rPr>
        <w:tab/>
        <w:t>Section 14(3) is not affected by the requirements of subsection (2).</w:t>
      </w:r>
    </w:p>
    <w:p>
      <w:pPr>
        <w:pStyle w:val="Subsection"/>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No. 39 of 2010 s. 81(3).]</w:t>
      </w:r>
    </w:p>
    <w:p>
      <w:pPr>
        <w:pStyle w:val="Heading5"/>
        <w:rPr>
          <w:snapToGrid w:val="0"/>
        </w:rPr>
      </w:pPr>
      <w:bookmarkStart w:id="78" w:name="_Toc398889948"/>
      <w:bookmarkStart w:id="79" w:name="_Toc1491948"/>
      <w:r>
        <w:rPr>
          <w:rStyle w:val="CharSectno"/>
        </w:rPr>
        <w:t>18</w:t>
      </w:r>
      <w:r>
        <w:rPr>
          <w:snapToGrid w:val="0"/>
        </w:rPr>
        <w:t>.</w:t>
      </w:r>
      <w:r>
        <w:rPr>
          <w:snapToGrid w:val="0"/>
        </w:rPr>
        <w:tab/>
        <w:t>Reports to Public Sector Commissioner as to s. 17 standards</w:t>
      </w:r>
      <w:bookmarkEnd w:id="78"/>
      <w:bookmarkEnd w:id="79"/>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No. 39 of 2010 s. 81(3).]</w:t>
      </w:r>
    </w:p>
    <w:p>
      <w:pPr>
        <w:pStyle w:val="Heading5"/>
        <w:rPr>
          <w:snapToGrid w:val="0"/>
        </w:rPr>
      </w:pPr>
      <w:bookmarkStart w:id="80" w:name="_Toc398889949"/>
      <w:bookmarkStart w:id="81" w:name="_Toc1491949"/>
      <w:r>
        <w:rPr>
          <w:rStyle w:val="CharSectno"/>
        </w:rPr>
        <w:t>19</w:t>
      </w:r>
      <w:r>
        <w:rPr>
          <w:snapToGrid w:val="0"/>
        </w:rPr>
        <w:t>.</w:t>
      </w:r>
      <w:r>
        <w:rPr>
          <w:snapToGrid w:val="0"/>
        </w:rPr>
        <w:tab/>
        <w:t>Superannuation</w:t>
      </w:r>
      <w:bookmarkEnd w:id="80"/>
      <w:bookmarkEnd w:id="81"/>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No. 43 of 2000 s. 58.]</w:t>
      </w:r>
    </w:p>
    <w:p>
      <w:pPr>
        <w:pStyle w:val="Heading3"/>
      </w:pPr>
      <w:bookmarkStart w:id="82" w:name="_Toc398889950"/>
      <w:bookmarkStart w:id="83" w:name="_Toc424284385"/>
      <w:bookmarkStart w:id="84" w:name="_Toc468975277"/>
      <w:bookmarkStart w:id="85" w:name="_Toc468975641"/>
      <w:bookmarkStart w:id="86" w:name="_Toc468977975"/>
      <w:bookmarkStart w:id="87" w:name="_Toc1491586"/>
      <w:bookmarkStart w:id="88" w:name="_Toc1491950"/>
      <w:r>
        <w:rPr>
          <w:rStyle w:val="CharDivNo"/>
        </w:rPr>
        <w:t>Division 4</w:t>
      </w:r>
      <w:r>
        <w:rPr>
          <w:snapToGrid w:val="0"/>
        </w:rPr>
        <w:t xml:space="preserve"> — </w:t>
      </w:r>
      <w:r>
        <w:rPr>
          <w:rStyle w:val="CharDivText"/>
        </w:rPr>
        <w:t>Conduct and integrity of staff</w:t>
      </w:r>
      <w:bookmarkEnd w:id="82"/>
      <w:bookmarkEnd w:id="83"/>
      <w:bookmarkEnd w:id="84"/>
      <w:bookmarkEnd w:id="85"/>
      <w:bookmarkEnd w:id="86"/>
      <w:bookmarkEnd w:id="87"/>
      <w:bookmarkEnd w:id="88"/>
    </w:p>
    <w:p>
      <w:pPr>
        <w:pStyle w:val="Heading5"/>
        <w:rPr>
          <w:snapToGrid w:val="0"/>
        </w:rPr>
      </w:pPr>
      <w:bookmarkStart w:id="89" w:name="_Toc398889951"/>
      <w:bookmarkStart w:id="90" w:name="_Toc1491951"/>
      <w:r>
        <w:rPr>
          <w:rStyle w:val="CharSectno"/>
        </w:rPr>
        <w:t>20</w:t>
      </w:r>
      <w:r>
        <w:rPr>
          <w:snapToGrid w:val="0"/>
        </w:rPr>
        <w:t>.</w:t>
      </w:r>
      <w:r>
        <w:rPr>
          <w:snapToGrid w:val="0"/>
        </w:rPr>
        <w:tab/>
        <w:t>CEO and staff, duties of (Sch. 3) etc.</w:t>
      </w:r>
      <w:bookmarkEnd w:id="89"/>
      <w:bookmarkEnd w:id="90"/>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91" w:name="_Toc398889952"/>
      <w:bookmarkStart w:id="92" w:name="_Toc1491952"/>
      <w:r>
        <w:rPr>
          <w:rStyle w:val="CharSectno"/>
        </w:rPr>
        <w:t>21</w:t>
      </w:r>
      <w:r>
        <w:rPr>
          <w:snapToGrid w:val="0"/>
        </w:rPr>
        <w:t>.</w:t>
      </w:r>
      <w:r>
        <w:rPr>
          <w:snapToGrid w:val="0"/>
        </w:rPr>
        <w:tab/>
        <w:t>Codes of conduct</w:t>
      </w:r>
      <w:bookmarkEnd w:id="91"/>
      <w:bookmarkEnd w:id="92"/>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No. 39 of 2010 s. 81(3).]</w:t>
      </w:r>
    </w:p>
    <w:p>
      <w:pPr>
        <w:pStyle w:val="Heading5"/>
        <w:spacing w:before="180"/>
        <w:rPr>
          <w:snapToGrid w:val="0"/>
        </w:rPr>
      </w:pPr>
      <w:bookmarkStart w:id="93" w:name="_Toc398889953"/>
      <w:bookmarkStart w:id="94" w:name="_Toc1491953"/>
      <w:r>
        <w:rPr>
          <w:rStyle w:val="CharSectno"/>
        </w:rPr>
        <w:t>22</w:t>
      </w:r>
      <w:r>
        <w:rPr>
          <w:snapToGrid w:val="0"/>
        </w:rPr>
        <w:t>.</w:t>
      </w:r>
      <w:r>
        <w:rPr>
          <w:snapToGrid w:val="0"/>
        </w:rPr>
        <w:tab/>
        <w:t>Reports to Public Sector Commissioner as to s. 21 codes</w:t>
      </w:r>
      <w:bookmarkEnd w:id="93"/>
      <w:bookmarkEnd w:id="94"/>
    </w:p>
    <w:p>
      <w:pPr>
        <w:pStyle w:val="Subsection"/>
        <w:keepNext/>
        <w:spacing w:before="140"/>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spacing w:before="140"/>
        <w:rPr>
          <w:snapToGrid w:val="0"/>
        </w:rPr>
      </w:pPr>
      <w:r>
        <w:rPr>
          <w:snapToGrid w:val="0"/>
        </w:rPr>
        <w:tab/>
      </w:r>
      <w:r>
        <w:rPr>
          <w:snapToGrid w:val="0"/>
        </w:rPr>
        <w:tab/>
        <w:t>as the Commissioner may specify.</w:t>
      </w:r>
    </w:p>
    <w:p>
      <w:pPr>
        <w:pStyle w:val="Subsection"/>
        <w:spacing w:before="140"/>
        <w:rPr>
          <w:snapToGrid w:val="0"/>
        </w:rPr>
      </w:pPr>
      <w:r>
        <w:rPr>
          <w:snapToGrid w:val="0"/>
        </w:rPr>
        <w:tab/>
        <w:t>(2)</w:t>
      </w:r>
      <w:r>
        <w:rPr>
          <w:snapToGrid w:val="0"/>
        </w:rPr>
        <w:tab/>
        <w:t>A board must comply with a direction given to it under subsection (1).</w:t>
      </w:r>
    </w:p>
    <w:p>
      <w:pPr>
        <w:pStyle w:val="Subsection"/>
        <w:spacing w:before="140"/>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spacing w:before="80"/>
        <w:ind w:left="890" w:hanging="890"/>
      </w:pPr>
      <w:r>
        <w:tab/>
        <w:t>[Section 22 amended: No. 39 of 2010 s. 81(3).]</w:t>
      </w:r>
    </w:p>
    <w:p>
      <w:pPr>
        <w:pStyle w:val="Heading5"/>
        <w:rPr>
          <w:snapToGrid w:val="0"/>
        </w:rPr>
      </w:pPr>
      <w:bookmarkStart w:id="95" w:name="_Toc398889954"/>
      <w:bookmarkStart w:id="96" w:name="_Toc1491954"/>
      <w:r>
        <w:rPr>
          <w:rStyle w:val="CharSectno"/>
        </w:rPr>
        <w:t>23</w:t>
      </w:r>
      <w:r>
        <w:rPr>
          <w:snapToGrid w:val="0"/>
        </w:rPr>
        <w:t>.</w:t>
      </w:r>
      <w:r>
        <w:rPr>
          <w:snapToGrid w:val="0"/>
        </w:rPr>
        <w:tab/>
        <w:t>Reports to Minister as to s. 21 codes</w:t>
      </w:r>
      <w:bookmarkEnd w:id="95"/>
      <w:bookmarkEnd w:id="96"/>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No. 39 of 2010 s. 81(3).]</w:t>
      </w:r>
    </w:p>
    <w:p>
      <w:pPr>
        <w:pStyle w:val="Heading2"/>
      </w:pPr>
      <w:bookmarkStart w:id="97" w:name="_Toc398889955"/>
      <w:bookmarkStart w:id="98" w:name="_Toc424284390"/>
      <w:bookmarkStart w:id="99" w:name="_Toc468975282"/>
      <w:bookmarkStart w:id="100" w:name="_Toc468975646"/>
      <w:bookmarkStart w:id="101" w:name="_Toc468977980"/>
      <w:bookmarkStart w:id="102" w:name="_Toc1491591"/>
      <w:bookmarkStart w:id="103" w:name="_Toc1491955"/>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398889956"/>
      <w:bookmarkStart w:id="105" w:name="_Toc1491956"/>
      <w:r>
        <w:rPr>
          <w:rStyle w:val="CharSectno"/>
        </w:rPr>
        <w:t>24</w:t>
      </w:r>
      <w:r>
        <w:rPr>
          <w:snapToGrid w:val="0"/>
        </w:rPr>
        <w:t>.</w:t>
      </w:r>
      <w:r>
        <w:rPr>
          <w:snapToGrid w:val="0"/>
        </w:rPr>
        <w:tab/>
        <w:t>Port areas defined</w:t>
      </w:r>
      <w:bookmarkEnd w:id="104"/>
      <w:bookmarkEnd w:id="105"/>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106" w:name="_Toc398889957"/>
      <w:bookmarkStart w:id="107" w:name="_Toc1491957"/>
      <w:r>
        <w:rPr>
          <w:rStyle w:val="CharSectno"/>
        </w:rPr>
        <w:t>25</w:t>
      </w:r>
      <w:r>
        <w:rPr>
          <w:snapToGrid w:val="0"/>
        </w:rPr>
        <w:t>.</w:t>
      </w:r>
      <w:r>
        <w:rPr>
          <w:snapToGrid w:val="0"/>
        </w:rPr>
        <w:tab/>
        <w:t>Port authority, property vested in</w:t>
      </w:r>
      <w:bookmarkEnd w:id="106"/>
      <w:bookmarkEnd w:id="107"/>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rPr>
          <w:vertAlign w:val="superscript"/>
        </w:rPr>
        <w:t> 1</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No. 71 of 2003 s. 4(1)</w:t>
      </w:r>
      <w:r>
        <w:rPr>
          <w:i w:val="0"/>
          <w:vertAlign w:val="superscript"/>
        </w:rPr>
        <w:t> 2</w:t>
      </w:r>
      <w:r>
        <w:t>.]</w:t>
      </w:r>
    </w:p>
    <w:p>
      <w:pPr>
        <w:pStyle w:val="Heading5"/>
        <w:rPr>
          <w:snapToGrid w:val="0"/>
        </w:rPr>
      </w:pPr>
      <w:bookmarkStart w:id="108" w:name="_Toc398889958"/>
      <w:bookmarkStart w:id="109" w:name="_Toc1491958"/>
      <w:r>
        <w:rPr>
          <w:rStyle w:val="CharSectno"/>
        </w:rPr>
        <w:t>26</w:t>
      </w:r>
      <w:r>
        <w:rPr>
          <w:snapToGrid w:val="0"/>
        </w:rPr>
        <w:t>.</w:t>
      </w:r>
      <w:r>
        <w:rPr>
          <w:snapToGrid w:val="0"/>
        </w:rPr>
        <w:tab/>
        <w:t>Port property may be taken back by Crown</w:t>
      </w:r>
      <w:bookmarkEnd w:id="108"/>
      <w:bookmarkEnd w:id="109"/>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110" w:name="_Toc398889959"/>
      <w:bookmarkStart w:id="111" w:name="_Toc1491959"/>
      <w:r>
        <w:rPr>
          <w:rStyle w:val="CharSectno"/>
        </w:rPr>
        <w:t>27</w:t>
      </w:r>
      <w:r>
        <w:rPr>
          <w:snapToGrid w:val="0"/>
        </w:rPr>
        <w:t>.</w:t>
      </w:r>
      <w:r>
        <w:rPr>
          <w:snapToGrid w:val="0"/>
        </w:rPr>
        <w:tab/>
        <w:t>Power to sell land, restrictions on</w:t>
      </w:r>
      <w:bookmarkEnd w:id="110"/>
      <w:bookmarkEnd w:id="111"/>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 xml:space="preserve">In this </w:t>
      </w:r>
      <w:r>
        <w:t>section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Footnotesection"/>
      </w:pPr>
      <w:r>
        <w:tab/>
        <w:t>[Section 27 amended: No. 9 of 2014 s. 10.]</w:t>
      </w:r>
    </w:p>
    <w:p>
      <w:pPr>
        <w:pStyle w:val="Heading5"/>
      </w:pPr>
      <w:bookmarkStart w:id="112" w:name="_Toc398889960"/>
      <w:bookmarkStart w:id="113" w:name="_Toc1491960"/>
      <w:r>
        <w:rPr>
          <w:rStyle w:val="CharSectno"/>
        </w:rPr>
        <w:t>27A</w:t>
      </w:r>
      <w:r>
        <w:t>.</w:t>
      </w:r>
      <w:r>
        <w:tab/>
        <w:t>Land, creating interests in</w:t>
      </w:r>
      <w:bookmarkEnd w:id="112"/>
      <w:bookmarkEnd w:id="113"/>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No. 71 of 2003 s. 5.]</w:t>
      </w:r>
    </w:p>
    <w:p>
      <w:pPr>
        <w:pStyle w:val="Heading5"/>
        <w:rPr>
          <w:snapToGrid w:val="0"/>
        </w:rPr>
      </w:pPr>
      <w:bookmarkStart w:id="114" w:name="_Toc398889961"/>
      <w:bookmarkStart w:id="115" w:name="_Toc1491961"/>
      <w:r>
        <w:rPr>
          <w:rStyle w:val="CharSectno"/>
        </w:rPr>
        <w:t>28</w:t>
      </w:r>
      <w:r>
        <w:rPr>
          <w:snapToGrid w:val="0"/>
        </w:rPr>
        <w:t>.</w:t>
      </w:r>
      <w:r>
        <w:rPr>
          <w:snapToGrid w:val="0"/>
        </w:rPr>
        <w:tab/>
        <w:t>Vested land, creating and dealing with interests in</w:t>
      </w:r>
      <w:bookmarkEnd w:id="114"/>
      <w:bookmarkEnd w:id="115"/>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pPr>
      <w:bookmarkStart w:id="116" w:name="_Toc398889962"/>
      <w:bookmarkStart w:id="117" w:name="_Toc1491962"/>
      <w:r>
        <w:rPr>
          <w:rStyle w:val="CharSectno"/>
        </w:rPr>
        <w:t>29A</w:t>
      </w:r>
      <w:r>
        <w:t>.</w:t>
      </w:r>
      <w:r>
        <w:tab/>
        <w:t xml:space="preserve">Operation of </w:t>
      </w:r>
      <w:r>
        <w:rPr>
          <w:i/>
        </w:rPr>
        <w:t>Planning and Development Act 2005</w:t>
      </w:r>
      <w:r>
        <w:t xml:space="preserve"> section 136 modified</w:t>
      </w:r>
      <w:bookmarkEnd w:id="116"/>
      <w:bookmarkEnd w:id="117"/>
    </w:p>
    <w:p>
      <w:pPr>
        <w:pStyle w:val="Subsection"/>
      </w:pPr>
      <w:r>
        <w:tab/>
      </w:r>
      <w:r>
        <w:tab/>
        <w:t xml:space="preserve">A port authority does not have to obtain approval under the </w:t>
      </w:r>
      <w:r>
        <w:rPr>
          <w:i/>
        </w:rPr>
        <w:t>Planning and Development Act 2005</w:t>
      </w:r>
      <w:r>
        <w:t xml:space="preserve"> section 136 in order to grant a lease or licence in respect of port land.</w:t>
      </w:r>
    </w:p>
    <w:p>
      <w:pPr>
        <w:pStyle w:val="Footnotesection"/>
      </w:pPr>
      <w:r>
        <w:tab/>
        <w:t>[Section 29A inserted: No. 9 of 2014 s. 11.]</w:t>
      </w:r>
    </w:p>
    <w:p>
      <w:pPr>
        <w:pStyle w:val="Heading5"/>
        <w:rPr>
          <w:snapToGrid w:val="0"/>
        </w:rPr>
      </w:pPr>
      <w:bookmarkStart w:id="118" w:name="_Toc398889963"/>
      <w:bookmarkStart w:id="119" w:name="_Toc1491963"/>
      <w:r>
        <w:rPr>
          <w:rStyle w:val="CharSectno"/>
        </w:rPr>
        <w:t>29</w:t>
      </w:r>
      <w:r>
        <w:rPr>
          <w:snapToGrid w:val="0"/>
        </w:rPr>
        <w:t>.</w:t>
      </w:r>
      <w:r>
        <w:rPr>
          <w:snapToGrid w:val="0"/>
        </w:rPr>
        <w:tab/>
        <w:t>Disputes between port authority and Crown</w:t>
      </w:r>
      <w:bookmarkEnd w:id="118"/>
      <w:bookmarkEnd w:id="119"/>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120" w:name="_Toc398889964"/>
      <w:bookmarkStart w:id="121" w:name="_Toc424284399"/>
      <w:bookmarkStart w:id="122" w:name="_Toc468975291"/>
      <w:bookmarkStart w:id="123" w:name="_Toc468975655"/>
      <w:bookmarkStart w:id="124" w:name="_Toc468977989"/>
      <w:bookmarkStart w:id="125" w:name="_Toc1491600"/>
      <w:bookmarkStart w:id="126" w:name="_Toc1491964"/>
      <w:r>
        <w:rPr>
          <w:rStyle w:val="CharPartNo"/>
        </w:rPr>
        <w:t>Part 4</w:t>
      </w:r>
      <w:r>
        <w:t xml:space="preserve"> — </w:t>
      </w:r>
      <w:r>
        <w:rPr>
          <w:rStyle w:val="CharPartText"/>
        </w:rPr>
        <w:t>Functions and powers</w:t>
      </w:r>
      <w:bookmarkEnd w:id="120"/>
      <w:bookmarkEnd w:id="121"/>
      <w:bookmarkEnd w:id="122"/>
      <w:bookmarkEnd w:id="123"/>
      <w:bookmarkEnd w:id="124"/>
      <w:bookmarkEnd w:id="125"/>
      <w:bookmarkEnd w:id="126"/>
      <w:r>
        <w:t xml:space="preserve"> </w:t>
      </w:r>
    </w:p>
    <w:p>
      <w:pPr>
        <w:pStyle w:val="Heading3"/>
      </w:pPr>
      <w:bookmarkStart w:id="127" w:name="_Toc398889965"/>
      <w:bookmarkStart w:id="128" w:name="_Toc424284400"/>
      <w:bookmarkStart w:id="129" w:name="_Toc468975292"/>
      <w:bookmarkStart w:id="130" w:name="_Toc468975656"/>
      <w:bookmarkStart w:id="131" w:name="_Toc468977990"/>
      <w:bookmarkStart w:id="132" w:name="_Toc1491601"/>
      <w:bookmarkStart w:id="133" w:name="_Toc1491965"/>
      <w:r>
        <w:rPr>
          <w:rStyle w:val="CharDivNo"/>
        </w:rPr>
        <w:t>Division 1</w:t>
      </w:r>
      <w:r>
        <w:t xml:space="preserve"> — </w:t>
      </w:r>
      <w:r>
        <w:rPr>
          <w:rStyle w:val="CharDivText"/>
        </w:rPr>
        <w:t>Functions, powers and related provisions</w:t>
      </w:r>
      <w:bookmarkEnd w:id="127"/>
      <w:bookmarkEnd w:id="128"/>
      <w:bookmarkEnd w:id="129"/>
      <w:bookmarkEnd w:id="130"/>
      <w:bookmarkEnd w:id="131"/>
      <w:bookmarkEnd w:id="132"/>
      <w:bookmarkEnd w:id="133"/>
      <w:r>
        <w:rPr>
          <w:rStyle w:val="CharDivText"/>
        </w:rPr>
        <w:t xml:space="preserve"> </w:t>
      </w:r>
    </w:p>
    <w:p>
      <w:pPr>
        <w:pStyle w:val="Heading5"/>
        <w:rPr>
          <w:snapToGrid w:val="0"/>
        </w:rPr>
      </w:pPr>
      <w:bookmarkStart w:id="134" w:name="_Toc398889966"/>
      <w:bookmarkStart w:id="135" w:name="_Toc1491966"/>
      <w:r>
        <w:rPr>
          <w:rStyle w:val="CharSectno"/>
        </w:rPr>
        <w:t>30</w:t>
      </w:r>
      <w:r>
        <w:rPr>
          <w:snapToGrid w:val="0"/>
        </w:rPr>
        <w:t>.</w:t>
      </w:r>
      <w:r>
        <w:rPr>
          <w:snapToGrid w:val="0"/>
        </w:rPr>
        <w:tab/>
        <w:t>Functions</w:t>
      </w:r>
      <w:bookmarkEnd w:id="134"/>
      <w:bookmarkEnd w:id="135"/>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 and</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 and</w:t>
      </w:r>
    </w:p>
    <w:p>
      <w:pPr>
        <w:pStyle w:val="Indenta"/>
        <w:rPr>
          <w:snapToGrid w:val="0"/>
        </w:rPr>
      </w:pPr>
      <w:r>
        <w:rPr>
          <w:snapToGrid w:val="0"/>
        </w:rPr>
        <w:tab/>
        <w:t>(c)</w:t>
      </w:r>
      <w:r>
        <w:rPr>
          <w:snapToGrid w:val="0"/>
        </w:rPr>
        <w:tab/>
        <w:t>to control business and other activities in the port or in connection with the operation of the port; and</w:t>
      </w:r>
    </w:p>
    <w:p>
      <w:pPr>
        <w:pStyle w:val="Indenta"/>
        <w:rPr>
          <w:snapToGrid w:val="0"/>
        </w:rPr>
      </w:pPr>
      <w:r>
        <w:rPr>
          <w:snapToGrid w:val="0"/>
        </w:rPr>
        <w:tab/>
        <w:t>(d)</w:t>
      </w:r>
      <w:r>
        <w:rPr>
          <w:snapToGrid w:val="0"/>
        </w:rPr>
        <w:tab/>
        <w:t>to be responsible for the safe and efficient operation of the port; and</w:t>
      </w:r>
    </w:p>
    <w:p>
      <w:pPr>
        <w:pStyle w:val="Indenta"/>
      </w:pPr>
      <w:r>
        <w:tab/>
        <w:t>(e)</w:t>
      </w:r>
      <w:r>
        <w:tab/>
        <w:t>to be responsible for maintaining port property; and</w:t>
      </w:r>
    </w:p>
    <w:p>
      <w:pPr>
        <w:pStyle w:val="Indenta"/>
      </w:pPr>
      <w:r>
        <w:tab/>
        <w:t>(fa)</w:t>
      </w:r>
      <w:r>
        <w:tab/>
        <w:t>to be responsible for port security; and</w:t>
      </w:r>
    </w:p>
    <w:p>
      <w:pPr>
        <w:pStyle w:val="Indenta"/>
        <w:rPr>
          <w:snapToGrid w:val="0"/>
        </w:rPr>
      </w:pPr>
      <w:r>
        <w:rPr>
          <w:snapToGrid w:val="0"/>
        </w:rPr>
        <w:tab/>
        <w:t>(f)</w:t>
      </w:r>
      <w:r>
        <w:rPr>
          <w:snapToGrid w:val="0"/>
        </w:rPr>
        <w:tab/>
        <w:t xml:space="preserve">to protect the environment of the port and minimise the impact of port </w:t>
      </w:r>
      <w:r>
        <w:t>operations</w:t>
      </w:r>
      <w:r>
        <w:rPr>
          <w:snapToGrid w:val="0"/>
        </w:rPr>
        <w:t xml:space="preserve">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to do things that its board determines to be conducive or incidental to the performance of a function referred to in subsection (1); or</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No. 71 of 2003 s. 6; No. 9 of 2014 s. 12.]</w:t>
      </w:r>
    </w:p>
    <w:p>
      <w:pPr>
        <w:pStyle w:val="Heading5"/>
        <w:rPr>
          <w:snapToGrid w:val="0"/>
        </w:rPr>
      </w:pPr>
      <w:bookmarkStart w:id="136" w:name="_Toc398889967"/>
      <w:bookmarkStart w:id="137" w:name="_Toc1491967"/>
      <w:r>
        <w:rPr>
          <w:rStyle w:val="CharSectno"/>
        </w:rPr>
        <w:t>31</w:t>
      </w:r>
      <w:r>
        <w:rPr>
          <w:snapToGrid w:val="0"/>
        </w:rPr>
        <w:t>.</w:t>
      </w:r>
      <w:r>
        <w:rPr>
          <w:snapToGrid w:val="0"/>
        </w:rPr>
        <w:tab/>
        <w:t>Port authorities can act at their discretion</w:t>
      </w:r>
      <w:bookmarkEnd w:id="136"/>
      <w:bookmarkEnd w:id="137"/>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w:t>
      </w:r>
      <w:r>
        <w:t xml:space="preserve"> operations.</w:t>
      </w:r>
    </w:p>
    <w:p>
      <w:pPr>
        <w:pStyle w:val="Footnotesection"/>
      </w:pPr>
      <w:r>
        <w:tab/>
        <w:t>[Section 31 amended: No. 9 of 2014 s. 13.]</w:t>
      </w:r>
    </w:p>
    <w:p>
      <w:pPr>
        <w:pStyle w:val="Heading5"/>
        <w:rPr>
          <w:snapToGrid w:val="0"/>
        </w:rPr>
      </w:pPr>
      <w:bookmarkStart w:id="138" w:name="_Toc398889968"/>
      <w:bookmarkStart w:id="139" w:name="_Toc1491968"/>
      <w:r>
        <w:rPr>
          <w:rStyle w:val="CharSectno"/>
        </w:rPr>
        <w:t>32</w:t>
      </w:r>
      <w:r>
        <w:rPr>
          <w:snapToGrid w:val="0"/>
        </w:rPr>
        <w:t>.</w:t>
      </w:r>
      <w:r>
        <w:rPr>
          <w:snapToGrid w:val="0"/>
        </w:rPr>
        <w:tab/>
        <w:t>Control of port, port authority has</w:t>
      </w:r>
      <w:bookmarkEnd w:id="138"/>
      <w:bookmarkEnd w:id="139"/>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140" w:name="_Toc398889969"/>
      <w:bookmarkStart w:id="141" w:name="_Toc1491969"/>
      <w:r>
        <w:rPr>
          <w:rStyle w:val="CharSectno"/>
        </w:rPr>
        <w:t>33</w:t>
      </w:r>
      <w:r>
        <w:rPr>
          <w:snapToGrid w:val="0"/>
        </w:rPr>
        <w:t>.</w:t>
      </w:r>
      <w:r>
        <w:rPr>
          <w:snapToGrid w:val="0"/>
        </w:rPr>
        <w:tab/>
        <w:t>Duty to act in accordance with policy instruments</w:t>
      </w:r>
      <w:bookmarkEnd w:id="140"/>
      <w:bookmarkEnd w:id="141"/>
      <w:r>
        <w:rPr>
          <w:snapToGrid w:val="0"/>
        </w:rPr>
        <w:t xml:space="preserve"> </w:t>
      </w:r>
    </w:p>
    <w:p>
      <w:pPr>
        <w:pStyle w:val="Subsection"/>
        <w:rPr>
          <w:snapToGrid w:val="0"/>
        </w:rPr>
      </w:pPr>
      <w:r>
        <w:rPr>
          <w:snapToGrid w:val="0"/>
        </w:rPr>
        <w:tab/>
      </w:r>
      <w:r>
        <w:rPr>
          <w:snapToGrid w:val="0"/>
        </w:rPr>
        <w:tab/>
      </w:r>
      <w:r>
        <w:t>Subject to section 34A, a</w:t>
      </w:r>
      <w:r>
        <w:rPr>
          <w:snapToGrid w:val="0"/>
        </w:rPr>
        <w:t xml:space="preserve"> port authority is to perform its functions in accordance with its strategic development plan and its statement of corporate intent as existing from time to time.</w:t>
      </w:r>
    </w:p>
    <w:p>
      <w:pPr>
        <w:pStyle w:val="Footnotesection"/>
      </w:pPr>
      <w:r>
        <w:tab/>
        <w:t>[Section 33 amended: No. 9 of 2014 s. 14.]</w:t>
      </w:r>
    </w:p>
    <w:p>
      <w:pPr>
        <w:pStyle w:val="Heading5"/>
      </w:pPr>
      <w:bookmarkStart w:id="142" w:name="_Toc398889970"/>
      <w:bookmarkStart w:id="143" w:name="_Toc1491970"/>
      <w:r>
        <w:rPr>
          <w:rStyle w:val="CharSectno"/>
        </w:rPr>
        <w:t>34A</w:t>
      </w:r>
      <w:r>
        <w:t>.</w:t>
      </w:r>
      <w:r>
        <w:tab/>
        <w:t>Duty to comply with State budgetary requirements</w:t>
      </w:r>
      <w:bookmarkEnd w:id="142"/>
      <w:bookmarkEnd w:id="143"/>
    </w:p>
    <w:p>
      <w:pPr>
        <w:pStyle w:val="Subsection"/>
      </w:pPr>
      <w:r>
        <w:tab/>
        <w:t>(1)</w:t>
      </w:r>
      <w:r>
        <w:tab/>
        <w:t xml:space="preserve">In this section — </w:t>
      </w:r>
    </w:p>
    <w:p>
      <w:pPr>
        <w:pStyle w:val="Defstart"/>
      </w:pPr>
      <w:r>
        <w:tab/>
      </w:r>
      <w:r>
        <w:rPr>
          <w:rStyle w:val="CharDefText"/>
        </w:rPr>
        <w:t>approved</w:t>
      </w:r>
      <w:r>
        <w:t xml:space="preserve"> means approved from time to time by the Government for the port authority and communicated in writing by the Treasurer to the port authority;</w:t>
      </w:r>
    </w:p>
    <w:p>
      <w:pPr>
        <w:pStyle w:val="Defstart"/>
      </w:pPr>
      <w:r>
        <w:tab/>
      </w:r>
      <w:r>
        <w:rPr>
          <w:rStyle w:val="CharDefText"/>
        </w:rPr>
        <w:t>Government</w:t>
      </w:r>
      <w:r>
        <w:t xml:space="preserve"> includes — </w:t>
      </w:r>
    </w:p>
    <w:p>
      <w:pPr>
        <w:pStyle w:val="Defpara"/>
      </w:pPr>
      <w:r>
        <w:tab/>
        <w:t>(a)</w:t>
      </w:r>
      <w:r>
        <w:tab/>
        <w:t>Cabinet; and</w:t>
      </w:r>
    </w:p>
    <w:p>
      <w:pPr>
        <w:pStyle w:val="Defpara"/>
      </w:pPr>
      <w:r>
        <w:tab/>
        <w:t>(b)</w:t>
      </w:r>
      <w:r>
        <w:tab/>
        <w:t>a committee of Cabinet; and</w:t>
      </w:r>
    </w:p>
    <w:p>
      <w:pPr>
        <w:pStyle w:val="Defpara"/>
      </w:pPr>
      <w:r>
        <w:tab/>
        <w:t>(c)</w:t>
      </w:r>
      <w:r>
        <w:tab/>
        <w:t>a subcommittee of a committee of Cabinet; and</w:t>
      </w:r>
    </w:p>
    <w:p>
      <w:pPr>
        <w:pStyle w:val="Defpara"/>
      </w:pPr>
      <w:r>
        <w:tab/>
        <w:t>(d)</w:t>
      </w:r>
      <w:r>
        <w:tab/>
        <w:t>the Treasurer.</w:t>
      </w:r>
    </w:p>
    <w:p>
      <w:pPr>
        <w:pStyle w:val="Subsection"/>
        <w:keepNext/>
      </w:pPr>
      <w:r>
        <w:tab/>
        <w:t>(2)</w:t>
      </w:r>
      <w:r>
        <w:tab/>
      </w:r>
      <w:r>
        <w:rPr>
          <w:snapToGrid w:val="0"/>
        </w:rPr>
        <w:t xml:space="preserve">A port authority in performing its functions </w:t>
      </w:r>
      <w:r>
        <w:t xml:space="preserve">must — </w:t>
      </w:r>
    </w:p>
    <w:p>
      <w:pPr>
        <w:pStyle w:val="Indenta"/>
      </w:pPr>
      <w:r>
        <w:tab/>
        <w:t>(a)</w:t>
      </w:r>
      <w:r>
        <w:tab/>
        <w:t>comply with approved requirements as to capital works expenditure limits and associated funding; and</w:t>
      </w:r>
    </w:p>
    <w:p>
      <w:pPr>
        <w:pStyle w:val="Indenta"/>
      </w:pPr>
      <w:r>
        <w:tab/>
        <w:t>(b)</w:t>
      </w:r>
      <w:r>
        <w:tab/>
        <w:t>endeavour to achieve financial outcomes that are consistent with forecasts contained in approved income and cash flow statements and approved statements of financial position.</w:t>
      </w:r>
    </w:p>
    <w:p>
      <w:pPr>
        <w:pStyle w:val="Subsection"/>
        <w:rPr>
          <w:snapToGrid w:val="0"/>
        </w:rPr>
      </w:pPr>
      <w:r>
        <w:rPr>
          <w:snapToGrid w:val="0"/>
        </w:rPr>
        <w:tab/>
        <w:t>(3)</w:t>
      </w:r>
      <w:r>
        <w:rPr>
          <w:snapToGrid w:val="0"/>
        </w:rPr>
        <w:tab/>
        <w:t>If there is any conflict or inconsistency between the duty imposed by subsection (2) and the duty imposed by section 33, the duty imposed by subsection (2) prevails. </w:t>
      </w:r>
    </w:p>
    <w:p>
      <w:pPr>
        <w:pStyle w:val="Footnotesection"/>
      </w:pPr>
      <w:r>
        <w:tab/>
        <w:t>[Section 34A inserted: No. 9 of 2014 s. 15.]</w:t>
      </w:r>
    </w:p>
    <w:p>
      <w:pPr>
        <w:pStyle w:val="Heading5"/>
        <w:rPr>
          <w:snapToGrid w:val="0"/>
        </w:rPr>
      </w:pPr>
      <w:bookmarkStart w:id="144" w:name="_Toc398889971"/>
      <w:bookmarkStart w:id="145" w:name="_Toc1491971"/>
      <w:r>
        <w:rPr>
          <w:rStyle w:val="CharSectno"/>
        </w:rPr>
        <w:t>34</w:t>
      </w:r>
      <w:r>
        <w:rPr>
          <w:snapToGrid w:val="0"/>
        </w:rPr>
        <w:t>.</w:t>
      </w:r>
      <w:r>
        <w:rPr>
          <w:snapToGrid w:val="0"/>
        </w:rPr>
        <w:tab/>
        <w:t>Duty to act on commercial principles</w:t>
      </w:r>
      <w:bookmarkEnd w:id="144"/>
      <w:bookmarkEnd w:id="145"/>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146" w:name="_Toc398889972"/>
      <w:bookmarkStart w:id="147" w:name="_Toc1491972"/>
      <w:r>
        <w:rPr>
          <w:rStyle w:val="CharSectno"/>
        </w:rPr>
        <w:t>35</w:t>
      </w:r>
      <w:r>
        <w:rPr>
          <w:snapToGrid w:val="0"/>
        </w:rPr>
        <w:t>.</w:t>
      </w:r>
      <w:r>
        <w:rPr>
          <w:snapToGrid w:val="0"/>
        </w:rPr>
        <w:tab/>
        <w:t>Powers generally</w:t>
      </w:r>
      <w:bookmarkEnd w:id="146"/>
      <w:bookmarkEnd w:id="147"/>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 and</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 and</w:t>
      </w:r>
    </w:p>
    <w:p>
      <w:pPr>
        <w:pStyle w:val="Indenta"/>
        <w:rPr>
          <w:snapToGrid w:val="0"/>
        </w:rPr>
      </w:pPr>
      <w:r>
        <w:rPr>
          <w:snapToGrid w:val="0"/>
        </w:rPr>
        <w:tab/>
        <w:t>(c)</w:t>
      </w:r>
      <w:r>
        <w:rPr>
          <w:snapToGrid w:val="0"/>
        </w:rPr>
        <w:tab/>
        <w:t>carry out port works or arrange for port works to be carried out; and</w:t>
      </w:r>
    </w:p>
    <w:p>
      <w:pPr>
        <w:pStyle w:val="Indenta"/>
        <w:rPr>
          <w:snapToGrid w:val="0"/>
        </w:rPr>
      </w:pPr>
      <w:r>
        <w:rPr>
          <w:snapToGrid w:val="0"/>
        </w:rPr>
        <w:tab/>
        <w:t>(d)</w:t>
      </w:r>
      <w:r>
        <w:rPr>
          <w:snapToGrid w:val="0"/>
        </w:rPr>
        <w:tab/>
        <w:t>provide, manage and operate port facilities or arrange for port facilities to be provided, managed and operated; and</w:t>
      </w:r>
    </w:p>
    <w:p>
      <w:pPr>
        <w:pStyle w:val="Indenta"/>
        <w:rPr>
          <w:snapToGrid w:val="0"/>
        </w:rPr>
      </w:pPr>
      <w:r>
        <w:rPr>
          <w:snapToGrid w:val="0"/>
        </w:rPr>
        <w:tab/>
        <w:t>(e)</w:t>
      </w:r>
      <w:r>
        <w:rPr>
          <w:snapToGrid w:val="0"/>
        </w:rPr>
        <w:tab/>
        <w:t>provide port services or arrange for port services to be provided; and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 and</w:t>
      </w:r>
    </w:p>
    <w:p>
      <w:pPr>
        <w:pStyle w:val="Indenta"/>
        <w:rPr>
          <w:snapToGrid w:val="0"/>
        </w:rPr>
      </w:pPr>
      <w:r>
        <w:rPr>
          <w:snapToGrid w:val="0"/>
        </w:rPr>
        <w:tab/>
        <w:t>(g)</w:t>
      </w:r>
      <w:r>
        <w:rPr>
          <w:snapToGrid w:val="0"/>
        </w:rPr>
        <w:tab/>
        <w:t>apply for the grant of any licence or other authority required by the port authority; and</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produce and deal in any equipment, facilities or system associated with, the performance of the function; and</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 and</w:t>
      </w:r>
    </w:p>
    <w:p>
      <w:pPr>
        <w:pStyle w:val="Indenta"/>
        <w:keepLines/>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 and</w:t>
      </w:r>
    </w:p>
    <w:p>
      <w:pPr>
        <w:pStyle w:val="Indenta"/>
        <w:rPr>
          <w:snapToGrid w:val="0"/>
        </w:rPr>
      </w:pPr>
      <w:r>
        <w:rPr>
          <w:snapToGrid w:val="0"/>
        </w:rPr>
        <w:tab/>
        <w:t>(l)</w:t>
      </w:r>
      <w:r>
        <w:rPr>
          <w:snapToGrid w:val="0"/>
        </w:rPr>
        <w:tab/>
        <w:t>carry out any investigation, survey, exploration or feasibility study; and</w:t>
      </w:r>
    </w:p>
    <w:p>
      <w:pPr>
        <w:pStyle w:val="Indenta"/>
        <w:rPr>
          <w:snapToGrid w:val="0"/>
        </w:rPr>
      </w:pPr>
      <w:r>
        <w:rPr>
          <w:snapToGrid w:val="0"/>
        </w:rPr>
        <w:tab/>
        <w:t>(m)</w:t>
      </w:r>
      <w:r>
        <w:rPr>
          <w:snapToGrid w:val="0"/>
        </w:rPr>
        <w:tab/>
        <w:t>collaborate in, carry out, or procure the carrying out of, research and publish information that results from the research; and</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keepNext/>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pPr>
      <w:r>
        <w:tab/>
        <w:t>(9A)</w:t>
      </w:r>
      <w:r>
        <w:tab/>
        <w:t xml:space="preserve">Subject to the </w:t>
      </w:r>
      <w:r>
        <w:rPr>
          <w:i/>
        </w:rPr>
        <w:t>Environmental Protection Act 1986</w:t>
      </w:r>
      <w:r>
        <w:t>, port operations may take place on any day and at any time.</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 and</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 and</w:t>
      </w:r>
    </w:p>
    <w:p>
      <w:pPr>
        <w:pStyle w:val="Defpara"/>
      </w:pPr>
      <w:r>
        <w:tab/>
        <w:t>(b)</w:t>
      </w:r>
      <w:r>
        <w:tab/>
        <w:t>dredging, engineering, marine civil construction, pollution management, security, pilotage, towage, vessel movement control, emergency response, shore stabilization and waste management services; and</w:t>
      </w:r>
    </w:p>
    <w:p>
      <w:pPr>
        <w:pStyle w:val="Defpara"/>
      </w:pPr>
      <w:r>
        <w:tab/>
        <w:t>(c)</w:t>
      </w:r>
      <w:r>
        <w:tab/>
        <w:t>supplying provisions or equipment to vessels; and</w:t>
      </w:r>
    </w:p>
    <w:p>
      <w:pPr>
        <w:pStyle w:val="Defpara"/>
      </w:pPr>
      <w:r>
        <w:tab/>
        <w:t>(d)</w:t>
      </w:r>
      <w:r>
        <w:tab/>
        <w:t>supplying water, fuel or electricity; and</w:t>
      </w:r>
    </w:p>
    <w:p>
      <w:pPr>
        <w:pStyle w:val="Defpara"/>
      </w:pPr>
      <w:r>
        <w:tab/>
        <w:t>(e)</w:t>
      </w:r>
      <w:r>
        <w:tab/>
        <w:t>providing for the use or hire of port facilities; and</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pPr>
      <w:r>
        <w:tab/>
        <w:t>(i)</w:t>
      </w:r>
      <w:r>
        <w:tab/>
        <w:t>maritime structures and other buildings, structures and enclosures; and</w:t>
      </w:r>
    </w:p>
    <w:p>
      <w:pPr>
        <w:pStyle w:val="Defsubpara"/>
        <w:keepLines w:val="0"/>
      </w:pPr>
      <w:r>
        <w:tab/>
        <w:t>(ii)</w:t>
      </w:r>
      <w:r>
        <w:tab/>
        <w:t>railways, roads, bridges, dams and embankments;</w:t>
      </w:r>
    </w:p>
    <w:p>
      <w:pPr>
        <w:pStyle w:val="Defpara"/>
        <w:keepNext/>
      </w:pPr>
      <w:r>
        <w:tab/>
      </w:r>
      <w:r>
        <w:tab/>
        <w:t>and</w:t>
      </w:r>
    </w:p>
    <w:p>
      <w:pPr>
        <w:pStyle w:val="Defpara"/>
      </w:pPr>
      <w:r>
        <w:tab/>
        <w:t>(b)</w:t>
      </w:r>
      <w:r>
        <w:tab/>
        <w:t>reclaiming land from the sea or a river.</w:t>
      </w:r>
    </w:p>
    <w:p>
      <w:pPr>
        <w:pStyle w:val="Footnotesection"/>
      </w:pPr>
      <w:r>
        <w:tab/>
        <w:t>[Section 35 amended: No. 9 of 2014 s. 16.]</w:t>
      </w:r>
    </w:p>
    <w:p>
      <w:pPr>
        <w:pStyle w:val="Heading5"/>
        <w:rPr>
          <w:snapToGrid w:val="0"/>
        </w:rPr>
      </w:pPr>
      <w:bookmarkStart w:id="148" w:name="_Toc398889973"/>
      <w:bookmarkStart w:id="149" w:name="_Toc1491973"/>
      <w:r>
        <w:rPr>
          <w:rStyle w:val="CharSectno"/>
        </w:rPr>
        <w:t>36</w:t>
      </w:r>
      <w:r>
        <w:rPr>
          <w:snapToGrid w:val="0"/>
        </w:rPr>
        <w:t>.</w:t>
      </w:r>
      <w:r>
        <w:rPr>
          <w:snapToGrid w:val="0"/>
        </w:rPr>
        <w:tab/>
        <w:t>Port facilities and services, extended powers as to</w:t>
      </w:r>
      <w:bookmarkEnd w:id="148"/>
      <w:bookmarkEnd w:id="149"/>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 and</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150" w:name="_Toc398889974"/>
      <w:bookmarkStart w:id="151" w:name="_Toc1491974"/>
      <w:r>
        <w:rPr>
          <w:rStyle w:val="CharSectno"/>
        </w:rPr>
        <w:t>37</w:t>
      </w:r>
      <w:r>
        <w:rPr>
          <w:snapToGrid w:val="0"/>
        </w:rPr>
        <w:t>.</w:t>
      </w:r>
      <w:r>
        <w:rPr>
          <w:snapToGrid w:val="0"/>
        </w:rPr>
        <w:tab/>
        <w:t>Fees and charges, power to levy</w:t>
      </w:r>
      <w:bookmarkEnd w:id="150"/>
      <w:bookmarkEnd w:id="151"/>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152" w:name="_Toc398889975"/>
      <w:bookmarkStart w:id="153" w:name="_Toc1491975"/>
      <w:r>
        <w:rPr>
          <w:rStyle w:val="CharSectno"/>
        </w:rPr>
        <w:t>38</w:t>
      </w:r>
      <w:r>
        <w:rPr>
          <w:snapToGrid w:val="0"/>
        </w:rPr>
        <w:t>.</w:t>
      </w:r>
      <w:r>
        <w:rPr>
          <w:snapToGrid w:val="0"/>
        </w:rPr>
        <w:tab/>
        <w:t>Planning laws, application of to port authorities</w:t>
      </w:r>
      <w:bookmarkEnd w:id="152"/>
      <w:bookmarkEnd w:id="15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p>
    <w:p>
      <w:pPr>
        <w:pStyle w:val="Ednotesubsection"/>
      </w:pPr>
      <w:r>
        <w:tab/>
        <w:t>[(4), (5)</w:t>
      </w:r>
      <w:r>
        <w:tab/>
        <w:t>deleted]</w:t>
      </w:r>
    </w:p>
    <w:p>
      <w:pPr>
        <w:pStyle w:val="Subsection"/>
        <w:rPr>
          <w:snapToGrid w:val="0"/>
        </w:rPr>
      </w:pPr>
      <w:r>
        <w:rPr>
          <w:snapToGrid w:val="0"/>
        </w:rPr>
        <w:tab/>
        <w:t>(6)</w:t>
      </w:r>
      <w:r>
        <w:rPr>
          <w:snapToGrid w:val="0"/>
        </w:rPr>
        <w:tab/>
        <w:t>If there is a dispute between a port authority and a local government with respect to a planning matter relating to port works or port facilities, the parties to the dispute are to refer it to the Minister.</w:t>
      </w:r>
    </w:p>
    <w:p>
      <w:pPr>
        <w:pStyle w:val="Subsection"/>
        <w:rPr>
          <w:snapToGrid w:val="0"/>
        </w:rPr>
      </w:pPr>
      <w:r>
        <w:rPr>
          <w:snapToGrid w:val="0"/>
        </w:rPr>
        <w:tab/>
        <w:t>(7)</w:t>
      </w:r>
      <w:r>
        <w:rPr>
          <w:snapToGrid w:val="0"/>
        </w:rPr>
        <w:tab/>
        <w:t xml:space="preserve">The Minister may, after consulting the </w:t>
      </w:r>
      <w:r>
        <w:t xml:space="preserve">Minister administering the </w:t>
      </w:r>
      <w:r>
        <w:rPr>
          <w:i/>
          <w:iCs/>
        </w:rPr>
        <w:t>Planning and Development Act 2005</w:t>
      </w:r>
      <w:r>
        <w:rPr>
          <w:iCs/>
        </w:rPr>
        <w:t xml:space="preserve">, </w:t>
      </w:r>
      <w:r>
        <w:rPr>
          <w:snapToGrid w:val="0"/>
        </w:rPr>
        <w:t>make a decision on the dispute and that decision is final and binding on the parties.</w:t>
      </w:r>
    </w:p>
    <w:p>
      <w:pPr>
        <w:pStyle w:val="Footnotesection"/>
      </w:pPr>
      <w:r>
        <w:tab/>
        <w:t>[Section 38 amended: No. 74 of 2003 s. 93(3); No. 38 of 2005 s. 15; No. 24 of 2011 s. 169.]</w:t>
      </w:r>
    </w:p>
    <w:p>
      <w:pPr>
        <w:pStyle w:val="Heading5"/>
        <w:rPr>
          <w:snapToGrid w:val="0"/>
        </w:rPr>
      </w:pPr>
      <w:bookmarkStart w:id="154" w:name="_Toc398889976"/>
      <w:bookmarkStart w:id="155" w:name="_Toc1491976"/>
      <w:r>
        <w:rPr>
          <w:rStyle w:val="CharSectno"/>
        </w:rPr>
        <w:t>39</w:t>
      </w:r>
      <w:r>
        <w:rPr>
          <w:snapToGrid w:val="0"/>
        </w:rPr>
        <w:t>.</w:t>
      </w:r>
      <w:r>
        <w:rPr>
          <w:snapToGrid w:val="0"/>
        </w:rPr>
        <w:tab/>
        <w:t>Subsidiaries of port authorities, acquisition of etc.</w:t>
      </w:r>
      <w:bookmarkEnd w:id="154"/>
      <w:bookmarkEnd w:id="155"/>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 and</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156" w:name="_Toc398889977"/>
      <w:bookmarkStart w:id="157" w:name="_Toc1491977"/>
      <w:r>
        <w:rPr>
          <w:rStyle w:val="CharSectno"/>
        </w:rPr>
        <w:t>40</w:t>
      </w:r>
      <w:r>
        <w:rPr>
          <w:snapToGrid w:val="0"/>
        </w:rPr>
        <w:t>.</w:t>
      </w:r>
      <w:r>
        <w:rPr>
          <w:snapToGrid w:val="0"/>
        </w:rPr>
        <w:tab/>
        <w:t>Ministerial approval, transactions requiring</w:t>
      </w:r>
      <w:bookmarkEnd w:id="156"/>
      <w:bookmarkEnd w:id="157"/>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 and</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158" w:name="_Toc398889978"/>
      <w:bookmarkStart w:id="159" w:name="_Toc1491978"/>
      <w:r>
        <w:rPr>
          <w:rStyle w:val="CharSectno"/>
        </w:rPr>
        <w:t>41</w:t>
      </w:r>
      <w:r>
        <w:rPr>
          <w:snapToGrid w:val="0"/>
        </w:rPr>
        <w:t>.</w:t>
      </w:r>
      <w:r>
        <w:rPr>
          <w:snapToGrid w:val="0"/>
        </w:rPr>
        <w:tab/>
        <w:t>Exemptions from s. 40</w:t>
      </w:r>
      <w:bookmarkEnd w:id="158"/>
      <w:bookmarkEnd w:id="159"/>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160" w:name="_Toc398889979"/>
      <w:bookmarkStart w:id="161" w:name="_Toc1491979"/>
      <w:r>
        <w:rPr>
          <w:rStyle w:val="CharSectno"/>
        </w:rPr>
        <w:t>42</w:t>
      </w:r>
      <w:r>
        <w:rPr>
          <w:snapToGrid w:val="0"/>
        </w:rPr>
        <w:t>.</w:t>
      </w:r>
      <w:r>
        <w:rPr>
          <w:snapToGrid w:val="0"/>
        </w:rPr>
        <w:tab/>
        <w:t>Term used: transaction</w:t>
      </w:r>
      <w:bookmarkEnd w:id="160"/>
      <w:bookmarkEnd w:id="161"/>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162" w:name="_Toc398889980"/>
      <w:bookmarkStart w:id="163" w:name="_Toc1491980"/>
      <w:r>
        <w:rPr>
          <w:rStyle w:val="CharSectno"/>
        </w:rPr>
        <w:t>43</w:t>
      </w:r>
      <w:r>
        <w:rPr>
          <w:snapToGrid w:val="0"/>
        </w:rPr>
        <w:t>.</w:t>
      </w:r>
      <w:r>
        <w:rPr>
          <w:snapToGrid w:val="0"/>
        </w:rPr>
        <w:tab/>
        <w:t>Major initiatives etc., Minister to be consulted on</w:t>
      </w:r>
      <w:bookmarkEnd w:id="162"/>
      <w:bookmarkEnd w:id="163"/>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164" w:name="_Toc398889981"/>
      <w:bookmarkStart w:id="165" w:name="_Toc1491981"/>
      <w:r>
        <w:rPr>
          <w:rStyle w:val="CharSectno"/>
        </w:rPr>
        <w:t>44</w:t>
      </w:r>
      <w:r>
        <w:rPr>
          <w:snapToGrid w:val="0"/>
        </w:rPr>
        <w:t>.</w:t>
      </w:r>
      <w:r>
        <w:rPr>
          <w:snapToGrid w:val="0"/>
        </w:rPr>
        <w:tab/>
        <w:t>Delegation by port authority</w:t>
      </w:r>
      <w:bookmarkEnd w:id="164"/>
      <w:bookmarkEnd w:id="165"/>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rPr>
          <w:snapToGrid w:val="0"/>
        </w:rPr>
      </w:pPr>
      <w:r>
        <w:rPr>
          <w:snapToGrid w:val="0"/>
        </w:rPr>
        <w:tab/>
        <w:t>(b)</w:t>
      </w:r>
      <w:r>
        <w:rPr>
          <w:snapToGrid w:val="0"/>
        </w:rPr>
        <w:tab/>
        <w:t>the CEO; or</w:t>
      </w:r>
    </w:p>
    <w:p>
      <w:pPr>
        <w:pStyle w:val="Indenta"/>
        <w:rPr>
          <w:snapToGrid w:val="0"/>
        </w:rPr>
      </w:pPr>
      <w:r>
        <w:rPr>
          <w:snapToGrid w:val="0"/>
        </w:rPr>
        <w:tab/>
        <w:t>(c)</w:t>
      </w:r>
      <w:r>
        <w:rPr>
          <w:snapToGrid w:val="0"/>
        </w:rPr>
        <w:tab/>
        <w:t>a member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166" w:name="_Toc398889982"/>
      <w:bookmarkStart w:id="167" w:name="_Toc424284417"/>
      <w:bookmarkStart w:id="168" w:name="_Toc468975309"/>
      <w:bookmarkStart w:id="169" w:name="_Toc468975673"/>
      <w:bookmarkStart w:id="170" w:name="_Toc468978007"/>
      <w:bookmarkStart w:id="171" w:name="_Toc1491618"/>
      <w:bookmarkStart w:id="172" w:name="_Toc1491982"/>
      <w:r>
        <w:rPr>
          <w:rStyle w:val="CharDivNo"/>
        </w:rPr>
        <w:t>Division 2</w:t>
      </w:r>
      <w:r>
        <w:rPr>
          <w:snapToGrid w:val="0"/>
        </w:rPr>
        <w:t xml:space="preserve"> — </w:t>
      </w:r>
      <w:r>
        <w:rPr>
          <w:rStyle w:val="CharDivText"/>
        </w:rPr>
        <w:t>Protection of people dealing with port authorities</w:t>
      </w:r>
      <w:bookmarkEnd w:id="166"/>
      <w:bookmarkEnd w:id="167"/>
      <w:bookmarkEnd w:id="168"/>
      <w:bookmarkEnd w:id="169"/>
      <w:bookmarkEnd w:id="170"/>
      <w:bookmarkEnd w:id="171"/>
      <w:bookmarkEnd w:id="172"/>
    </w:p>
    <w:p>
      <w:pPr>
        <w:pStyle w:val="Heading5"/>
        <w:rPr>
          <w:snapToGrid w:val="0"/>
        </w:rPr>
      </w:pPr>
      <w:bookmarkStart w:id="173" w:name="_Toc398889983"/>
      <w:bookmarkStart w:id="174" w:name="_Toc1491983"/>
      <w:r>
        <w:rPr>
          <w:rStyle w:val="CharSectno"/>
        </w:rPr>
        <w:t>45</w:t>
      </w:r>
      <w:r>
        <w:rPr>
          <w:snapToGrid w:val="0"/>
        </w:rPr>
        <w:t>.</w:t>
      </w:r>
      <w:r>
        <w:rPr>
          <w:snapToGrid w:val="0"/>
        </w:rPr>
        <w:tab/>
        <w:t>People dealing with port authorities may make assumptions</w:t>
      </w:r>
      <w:bookmarkEnd w:id="173"/>
      <w:bookmarkEnd w:id="174"/>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175" w:name="_Toc398889984"/>
      <w:bookmarkStart w:id="176" w:name="_Toc1491984"/>
      <w:r>
        <w:rPr>
          <w:rStyle w:val="CharSectno"/>
        </w:rPr>
        <w:t>46</w:t>
      </w:r>
      <w:r>
        <w:rPr>
          <w:snapToGrid w:val="0"/>
        </w:rPr>
        <w:t>.</w:t>
      </w:r>
      <w:r>
        <w:rPr>
          <w:snapToGrid w:val="0"/>
        </w:rPr>
        <w:tab/>
        <w:t>Third parties may make assumptions</w:t>
      </w:r>
      <w:bookmarkEnd w:id="175"/>
      <w:bookmarkEnd w:id="176"/>
      <w:r>
        <w:rPr>
          <w:snapToGrid w:val="0"/>
        </w:rPr>
        <w:t xml:space="preserve"> </w:t>
      </w:r>
    </w:p>
    <w:p>
      <w:pPr>
        <w:pStyle w:val="Subsection"/>
        <w:rPr>
          <w:snapToGrid w:val="0"/>
        </w:rPr>
      </w:pPr>
      <w:r>
        <w:rPr>
          <w:snapToGrid w:val="0"/>
        </w:rPr>
        <w:tab/>
        <w:t>(1)</w:t>
      </w:r>
      <w:r>
        <w:rPr>
          <w:snapToGrid w:val="0"/>
        </w:rPr>
        <w:tab/>
        <w:t xml:space="preserve">A </w:t>
      </w:r>
      <w:r>
        <w:t>person (the</w:t>
      </w:r>
      <w:r>
        <w:rPr>
          <w:rStyle w:val="CharDefText"/>
        </w:rPr>
        <w:t xml:space="preserve"> third party</w:t>
      </w:r>
      <w:r>
        <w:rPr>
          <w:snapToGrid w:val="0"/>
        </w:rPr>
        <w:t xml:space="preserve">) having dealings with a </w:t>
      </w:r>
      <w:r>
        <w:t xml:space="preserve">person (the </w:t>
      </w:r>
      <w:r>
        <w:rPr>
          <w:rStyle w:val="CharDefText"/>
        </w:rPr>
        <w:t>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177" w:name="_Toc398889985"/>
      <w:bookmarkStart w:id="178" w:name="_Toc1491985"/>
      <w:r>
        <w:rPr>
          <w:rStyle w:val="CharSectno"/>
        </w:rPr>
        <w:t>47</w:t>
      </w:r>
      <w:r>
        <w:rPr>
          <w:snapToGrid w:val="0"/>
        </w:rPr>
        <w:t>.</w:t>
      </w:r>
      <w:r>
        <w:rPr>
          <w:snapToGrid w:val="0"/>
        </w:rPr>
        <w:tab/>
        <w:t>Assumptions that may be made under s. 45 and 46</w:t>
      </w:r>
      <w:bookmarkEnd w:id="177"/>
      <w:bookmarkEnd w:id="178"/>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 and</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 and</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179" w:name="_Toc398889986"/>
      <w:bookmarkStart w:id="180" w:name="_Toc1491986"/>
      <w:r>
        <w:rPr>
          <w:rStyle w:val="CharSectno"/>
        </w:rPr>
        <w:t>48</w:t>
      </w:r>
      <w:r>
        <w:rPr>
          <w:snapToGrid w:val="0"/>
        </w:rPr>
        <w:t>.</w:t>
      </w:r>
      <w:r>
        <w:rPr>
          <w:snapToGrid w:val="0"/>
        </w:rPr>
        <w:tab/>
        <w:t>Exception to s. 45 and 46</w:t>
      </w:r>
      <w:bookmarkEnd w:id="179"/>
      <w:bookmarkEnd w:id="180"/>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181" w:name="_Toc398889987"/>
      <w:bookmarkStart w:id="182" w:name="_Toc424284422"/>
      <w:bookmarkStart w:id="183" w:name="_Toc468975314"/>
      <w:bookmarkStart w:id="184" w:name="_Toc468975678"/>
      <w:bookmarkStart w:id="185" w:name="_Toc468978012"/>
      <w:bookmarkStart w:id="186" w:name="_Toc1491623"/>
      <w:bookmarkStart w:id="187" w:name="_Toc1491987"/>
      <w:r>
        <w:rPr>
          <w:rStyle w:val="CharPartNo"/>
        </w:rPr>
        <w:t>Part 5</w:t>
      </w:r>
      <w:r>
        <w:t xml:space="preserve"> — </w:t>
      </w:r>
      <w:r>
        <w:rPr>
          <w:rStyle w:val="CharPartText"/>
        </w:rPr>
        <w:t>Provisions about accountability</w:t>
      </w:r>
      <w:bookmarkEnd w:id="181"/>
      <w:bookmarkEnd w:id="182"/>
      <w:bookmarkEnd w:id="183"/>
      <w:bookmarkEnd w:id="184"/>
      <w:bookmarkEnd w:id="185"/>
      <w:bookmarkEnd w:id="186"/>
      <w:bookmarkEnd w:id="187"/>
      <w:r>
        <w:rPr>
          <w:rStyle w:val="CharPartText"/>
        </w:rPr>
        <w:t xml:space="preserve"> </w:t>
      </w:r>
    </w:p>
    <w:p>
      <w:pPr>
        <w:pStyle w:val="Heading3"/>
      </w:pPr>
      <w:bookmarkStart w:id="188" w:name="_Toc398889988"/>
      <w:bookmarkStart w:id="189" w:name="_Toc424284423"/>
      <w:bookmarkStart w:id="190" w:name="_Toc468975315"/>
      <w:bookmarkStart w:id="191" w:name="_Toc468975679"/>
      <w:bookmarkStart w:id="192" w:name="_Toc468978013"/>
      <w:bookmarkStart w:id="193" w:name="_Toc1491624"/>
      <w:bookmarkStart w:id="194" w:name="_Toc1491988"/>
      <w:r>
        <w:rPr>
          <w:rStyle w:val="CharDivNo"/>
        </w:rPr>
        <w:t>Division 1</w:t>
      </w:r>
      <w:r>
        <w:t xml:space="preserve"> — </w:t>
      </w:r>
      <w:r>
        <w:rPr>
          <w:rStyle w:val="CharDivText"/>
        </w:rPr>
        <w:t>Strategic development plans</w:t>
      </w:r>
      <w:bookmarkEnd w:id="188"/>
      <w:bookmarkEnd w:id="189"/>
      <w:bookmarkEnd w:id="190"/>
      <w:bookmarkEnd w:id="191"/>
      <w:bookmarkEnd w:id="192"/>
      <w:bookmarkEnd w:id="193"/>
      <w:bookmarkEnd w:id="194"/>
      <w:r>
        <w:rPr>
          <w:rStyle w:val="CharDivText"/>
        </w:rPr>
        <w:t xml:space="preserve"> </w:t>
      </w:r>
    </w:p>
    <w:p>
      <w:pPr>
        <w:pStyle w:val="Heading5"/>
        <w:rPr>
          <w:snapToGrid w:val="0"/>
        </w:rPr>
      </w:pPr>
      <w:bookmarkStart w:id="195" w:name="_Toc398889989"/>
      <w:bookmarkStart w:id="196" w:name="_Toc1491989"/>
      <w:r>
        <w:rPr>
          <w:rStyle w:val="CharSectno"/>
        </w:rPr>
        <w:t>49</w:t>
      </w:r>
      <w:r>
        <w:rPr>
          <w:snapToGrid w:val="0"/>
        </w:rPr>
        <w:t>.</w:t>
      </w:r>
      <w:r>
        <w:rPr>
          <w:snapToGrid w:val="0"/>
        </w:rPr>
        <w:tab/>
        <w:t>Draft strategic development plan to be submitted to Minister</w:t>
      </w:r>
      <w:bookmarkEnd w:id="195"/>
      <w:bookmarkEnd w:id="196"/>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No. 77 of 2006 s. 11(2).]</w:t>
      </w:r>
    </w:p>
    <w:p>
      <w:pPr>
        <w:pStyle w:val="Heading5"/>
        <w:spacing w:before="240"/>
        <w:rPr>
          <w:snapToGrid w:val="0"/>
        </w:rPr>
      </w:pPr>
      <w:bookmarkStart w:id="197" w:name="_Toc398889990"/>
      <w:bookmarkStart w:id="198" w:name="_Toc1491990"/>
      <w:r>
        <w:rPr>
          <w:rStyle w:val="CharSectno"/>
        </w:rPr>
        <w:t>50</w:t>
      </w:r>
      <w:r>
        <w:rPr>
          <w:snapToGrid w:val="0"/>
        </w:rPr>
        <w:t>.</w:t>
      </w:r>
      <w:r>
        <w:rPr>
          <w:snapToGrid w:val="0"/>
        </w:rPr>
        <w:tab/>
        <w:t>Period to which strategic development plan relates</w:t>
      </w:r>
      <w:bookmarkEnd w:id="197"/>
      <w:bookmarkEnd w:id="198"/>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199" w:name="_Toc398889991"/>
      <w:bookmarkStart w:id="200" w:name="_Toc1491991"/>
      <w:r>
        <w:rPr>
          <w:rStyle w:val="CharSectno"/>
        </w:rPr>
        <w:t>51</w:t>
      </w:r>
      <w:r>
        <w:rPr>
          <w:snapToGrid w:val="0"/>
        </w:rPr>
        <w:t>.</w:t>
      </w:r>
      <w:r>
        <w:rPr>
          <w:snapToGrid w:val="0"/>
        </w:rPr>
        <w:tab/>
        <w:t>Matters to be included in strategic development plan</w:t>
      </w:r>
      <w:bookmarkEnd w:id="199"/>
      <w:bookmarkEnd w:id="200"/>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 xml:space="preserve">competitive strategies, pricing, service efficiency and effectiveness, </w:t>
      </w:r>
      <w:r>
        <w:t xml:space="preserve">participation of potential suppliers, </w:t>
      </w:r>
      <w:r>
        <w:rPr>
          <w:snapToGrid w:val="0"/>
        </w:rPr>
        <w:t>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Footnotesection"/>
      </w:pPr>
      <w:r>
        <w:tab/>
        <w:t>[Section 51 amended: No. 9 of 2014 s. 17.]</w:t>
      </w:r>
    </w:p>
    <w:p>
      <w:pPr>
        <w:pStyle w:val="Heading5"/>
        <w:spacing w:before="180"/>
        <w:rPr>
          <w:snapToGrid w:val="0"/>
        </w:rPr>
      </w:pPr>
      <w:bookmarkStart w:id="201" w:name="_Toc398889992"/>
      <w:bookmarkStart w:id="202" w:name="_Toc1491992"/>
      <w:r>
        <w:rPr>
          <w:rStyle w:val="CharSectno"/>
        </w:rPr>
        <w:t>52</w:t>
      </w:r>
      <w:r>
        <w:rPr>
          <w:snapToGrid w:val="0"/>
        </w:rPr>
        <w:t>.</w:t>
      </w:r>
      <w:r>
        <w:rPr>
          <w:snapToGrid w:val="0"/>
        </w:rPr>
        <w:tab/>
        <w:t>Strategic development plan to be agreed if possible</w:t>
      </w:r>
      <w:bookmarkEnd w:id="201"/>
      <w:bookmarkEnd w:id="202"/>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203" w:name="_Toc398889993"/>
      <w:bookmarkStart w:id="204" w:name="_Toc1491993"/>
      <w:r>
        <w:rPr>
          <w:rStyle w:val="CharSectno"/>
        </w:rPr>
        <w:t>53</w:t>
      </w:r>
      <w:r>
        <w:rPr>
          <w:snapToGrid w:val="0"/>
        </w:rPr>
        <w:t>.</w:t>
      </w:r>
      <w:r>
        <w:rPr>
          <w:snapToGrid w:val="0"/>
        </w:rPr>
        <w:tab/>
        <w:t>Minister’s powers in relation to draft strategic development plan</w:t>
      </w:r>
      <w:bookmarkEnd w:id="203"/>
      <w:bookmarkEnd w:id="204"/>
      <w:r>
        <w:rPr>
          <w:snapToGrid w:val="0"/>
        </w:rPr>
        <w:t xml:space="preserve"> </w:t>
      </w:r>
    </w:p>
    <w:p>
      <w:pPr>
        <w:pStyle w:val="Subsection"/>
        <w:spacing w:before="120"/>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05" w:name="_Toc398889994"/>
      <w:bookmarkStart w:id="206" w:name="_Toc1491994"/>
      <w:r>
        <w:rPr>
          <w:rStyle w:val="CharSectno"/>
        </w:rPr>
        <w:t>54</w:t>
      </w:r>
      <w:r>
        <w:rPr>
          <w:snapToGrid w:val="0"/>
        </w:rPr>
        <w:t>.</w:t>
      </w:r>
      <w:r>
        <w:rPr>
          <w:snapToGrid w:val="0"/>
        </w:rPr>
        <w:tab/>
        <w:t>Strategic development plan pending agreement</w:t>
      </w:r>
      <w:bookmarkEnd w:id="205"/>
      <w:bookmarkEnd w:id="206"/>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07" w:name="_Toc398889995"/>
      <w:bookmarkStart w:id="208" w:name="_Toc1491995"/>
      <w:r>
        <w:rPr>
          <w:rStyle w:val="CharSectno"/>
        </w:rPr>
        <w:t>55</w:t>
      </w:r>
      <w:r>
        <w:rPr>
          <w:snapToGrid w:val="0"/>
        </w:rPr>
        <w:t>.</w:t>
      </w:r>
      <w:r>
        <w:rPr>
          <w:snapToGrid w:val="0"/>
        </w:rPr>
        <w:tab/>
        <w:t>Agreed draft becomes strategic development plan</w:t>
      </w:r>
      <w:bookmarkEnd w:id="207"/>
      <w:bookmarkEnd w:id="208"/>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209" w:name="_Toc398889996"/>
      <w:bookmarkStart w:id="210" w:name="_Toc1491996"/>
      <w:r>
        <w:rPr>
          <w:rStyle w:val="CharSectno"/>
        </w:rPr>
        <w:t>56</w:t>
      </w:r>
      <w:r>
        <w:rPr>
          <w:snapToGrid w:val="0"/>
        </w:rPr>
        <w:t>.</w:t>
      </w:r>
      <w:r>
        <w:rPr>
          <w:snapToGrid w:val="0"/>
        </w:rPr>
        <w:tab/>
        <w:t>Modifying strategic development plan</w:t>
      </w:r>
      <w:bookmarkEnd w:id="209"/>
      <w:bookmarkEnd w:id="210"/>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11" w:name="_Toc398889997"/>
      <w:bookmarkStart w:id="212" w:name="_Toc1491997"/>
      <w:r>
        <w:rPr>
          <w:rStyle w:val="CharSectno"/>
        </w:rPr>
        <w:t>57</w:t>
      </w:r>
      <w:r>
        <w:rPr>
          <w:snapToGrid w:val="0"/>
        </w:rPr>
        <w:t>.</w:t>
      </w:r>
      <w:r>
        <w:rPr>
          <w:snapToGrid w:val="0"/>
        </w:rPr>
        <w:tab/>
        <w:t>Treasurer’s concurrence needed by Minister for s. 55 or 56</w:t>
      </w:r>
      <w:bookmarkEnd w:id="211"/>
      <w:bookmarkEnd w:id="212"/>
    </w:p>
    <w:p>
      <w:pPr>
        <w:pStyle w:val="Subsection"/>
        <w:rPr>
          <w:snapToGrid w:val="0"/>
        </w:rPr>
      </w:pPr>
      <w:r>
        <w:tab/>
        <w:t>(1)</w:t>
      </w:r>
      <w:r>
        <w:tab/>
        <w:t>The</w:t>
      </w:r>
      <w:r>
        <w:rPr>
          <w:snapToGrid w:val="0"/>
        </w:rPr>
        <w:t xml:space="preserv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Subsection"/>
      </w:pPr>
      <w:r>
        <w:tab/>
        <w:t>(2)</w:t>
      </w:r>
      <w:r>
        <w:tab/>
        <w:t xml:space="preserve">Without limiting section 34A, any agreement or concurrence mentioned in subsection (1) has effect subject to the reservation that the port authority must — </w:t>
      </w:r>
    </w:p>
    <w:p>
      <w:pPr>
        <w:pStyle w:val="Indenta"/>
      </w:pPr>
      <w:r>
        <w:tab/>
        <w:t>(a)</w:t>
      </w:r>
      <w:r>
        <w:tab/>
        <w:t>comply with the requirements mentioned in section 34A(2)(a); and</w:t>
      </w:r>
    </w:p>
    <w:p>
      <w:pPr>
        <w:pStyle w:val="Indenta"/>
      </w:pPr>
      <w:r>
        <w:tab/>
        <w:t>(b)</w:t>
      </w:r>
      <w:r>
        <w:tab/>
        <w:t>endeavour to achieve the financial outcomes mentioned in section 34A(2)(b),</w:t>
      </w:r>
    </w:p>
    <w:p>
      <w:pPr>
        <w:pStyle w:val="Subsection"/>
      </w:pPr>
      <w:r>
        <w:tab/>
      </w:r>
      <w:r>
        <w:tab/>
        <w:t>whether or not they are consistent with the strategic development plan or modified strategic development plan, as the case may be.</w:t>
      </w:r>
    </w:p>
    <w:p>
      <w:pPr>
        <w:pStyle w:val="Footnotesection"/>
      </w:pPr>
      <w:r>
        <w:tab/>
        <w:t>[Section 57 amended: No. 9 of 2014 s. 18.]</w:t>
      </w:r>
    </w:p>
    <w:p>
      <w:pPr>
        <w:pStyle w:val="Heading3"/>
      </w:pPr>
      <w:bookmarkStart w:id="213" w:name="_Toc398889998"/>
      <w:bookmarkStart w:id="214" w:name="_Toc424284433"/>
      <w:bookmarkStart w:id="215" w:name="_Toc468975325"/>
      <w:bookmarkStart w:id="216" w:name="_Toc468975689"/>
      <w:bookmarkStart w:id="217" w:name="_Toc468978023"/>
      <w:bookmarkStart w:id="218" w:name="_Toc1491634"/>
      <w:bookmarkStart w:id="219" w:name="_Toc1491998"/>
      <w:r>
        <w:rPr>
          <w:rStyle w:val="CharDivNo"/>
        </w:rPr>
        <w:t>Division 2</w:t>
      </w:r>
      <w:r>
        <w:t xml:space="preserve"> — </w:t>
      </w:r>
      <w:r>
        <w:rPr>
          <w:rStyle w:val="CharDivText"/>
        </w:rPr>
        <w:t>Statement of corporate intent</w:t>
      </w:r>
      <w:bookmarkEnd w:id="213"/>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398889999"/>
      <w:bookmarkStart w:id="221" w:name="_Toc1491999"/>
      <w:r>
        <w:rPr>
          <w:rStyle w:val="CharSectno"/>
        </w:rPr>
        <w:t>58</w:t>
      </w:r>
      <w:r>
        <w:rPr>
          <w:snapToGrid w:val="0"/>
        </w:rPr>
        <w:t>.</w:t>
      </w:r>
      <w:r>
        <w:rPr>
          <w:snapToGrid w:val="0"/>
        </w:rPr>
        <w:tab/>
        <w:t>Draft statement of corporate intent to be submitted to Minister</w:t>
      </w:r>
      <w:bookmarkEnd w:id="220"/>
      <w:bookmarkEnd w:id="221"/>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No. 77 of 2006 s. 11(3).]</w:t>
      </w:r>
    </w:p>
    <w:p>
      <w:pPr>
        <w:pStyle w:val="Heading5"/>
        <w:spacing w:before="240"/>
        <w:rPr>
          <w:snapToGrid w:val="0"/>
        </w:rPr>
      </w:pPr>
      <w:bookmarkStart w:id="222" w:name="_Toc398890000"/>
      <w:bookmarkStart w:id="223" w:name="_Toc1492000"/>
      <w:r>
        <w:rPr>
          <w:rStyle w:val="CharSectno"/>
        </w:rPr>
        <w:t>59</w:t>
      </w:r>
      <w:r>
        <w:rPr>
          <w:snapToGrid w:val="0"/>
        </w:rPr>
        <w:t>.</w:t>
      </w:r>
      <w:r>
        <w:rPr>
          <w:snapToGrid w:val="0"/>
        </w:rPr>
        <w:tab/>
        <w:t>Period to which statement of corporate intent relates</w:t>
      </w:r>
      <w:bookmarkEnd w:id="222"/>
      <w:bookmarkEnd w:id="223"/>
      <w:r>
        <w:rPr>
          <w:snapToGrid w:val="0"/>
        </w:rPr>
        <w:t xml:space="preserve"> </w:t>
      </w:r>
    </w:p>
    <w:p>
      <w:pPr>
        <w:pStyle w:val="Subsection"/>
        <w:spacing w:before="180"/>
        <w:rPr>
          <w:snapToGrid w:val="0"/>
        </w:rPr>
      </w:pPr>
      <w:r>
        <w:rPr>
          <w:snapToGrid w:val="0"/>
        </w:rPr>
        <w:tab/>
      </w:r>
      <w:r>
        <w:rPr>
          <w:snapToGrid w:val="0"/>
        </w:rPr>
        <w:tab/>
        <w:t>A statement of corporate intent is to cover a financial year.</w:t>
      </w:r>
    </w:p>
    <w:p>
      <w:pPr>
        <w:pStyle w:val="Heading5"/>
        <w:spacing w:before="240"/>
        <w:rPr>
          <w:snapToGrid w:val="0"/>
        </w:rPr>
      </w:pPr>
      <w:bookmarkStart w:id="224" w:name="_Toc398890001"/>
      <w:bookmarkStart w:id="225" w:name="_Toc1492001"/>
      <w:r>
        <w:rPr>
          <w:rStyle w:val="CharSectno"/>
        </w:rPr>
        <w:t>60</w:t>
      </w:r>
      <w:r>
        <w:rPr>
          <w:snapToGrid w:val="0"/>
        </w:rPr>
        <w:t>.</w:t>
      </w:r>
      <w:r>
        <w:rPr>
          <w:snapToGrid w:val="0"/>
        </w:rPr>
        <w:tab/>
        <w:t>Matters to be included in statement of corporate intent</w:t>
      </w:r>
      <w:bookmarkEnd w:id="224"/>
      <w:bookmarkEnd w:id="225"/>
      <w:r>
        <w:rPr>
          <w:snapToGrid w:val="0"/>
        </w:rPr>
        <w:t xml:space="preserve"> </w:t>
      </w:r>
    </w:p>
    <w:p>
      <w:pPr>
        <w:pStyle w:val="Subsection"/>
        <w:spacing w:before="180"/>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spacing w:before="180"/>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 and</w:t>
      </w:r>
    </w:p>
    <w:p>
      <w:pPr>
        <w:pStyle w:val="Indenta"/>
        <w:rPr>
          <w:snapToGrid w:val="0"/>
        </w:rPr>
      </w:pPr>
      <w:r>
        <w:rPr>
          <w:snapToGrid w:val="0"/>
        </w:rPr>
        <w:tab/>
        <w:t>(b)</w:t>
      </w:r>
      <w:r>
        <w:rPr>
          <w:snapToGrid w:val="0"/>
        </w:rPr>
        <w:tab/>
        <w:t>an outline of major planned achievements; and</w:t>
      </w:r>
    </w:p>
    <w:p>
      <w:pPr>
        <w:pStyle w:val="Indenta"/>
        <w:rPr>
          <w:snapToGrid w:val="0"/>
        </w:rPr>
      </w:pPr>
      <w:r>
        <w:rPr>
          <w:snapToGrid w:val="0"/>
        </w:rPr>
        <w:tab/>
        <w:t>(c)</w:t>
      </w:r>
      <w:r>
        <w:rPr>
          <w:snapToGrid w:val="0"/>
        </w:rPr>
        <w:tab/>
        <w:t>proposed arrangements to facilitate trade; and</w:t>
      </w:r>
    </w:p>
    <w:p>
      <w:pPr>
        <w:pStyle w:val="Indenta"/>
        <w:rPr>
          <w:snapToGrid w:val="0"/>
        </w:rPr>
      </w:pPr>
      <w:r>
        <w:rPr>
          <w:snapToGrid w:val="0"/>
        </w:rPr>
        <w:tab/>
        <w:t>(d)</w:t>
      </w:r>
      <w:r>
        <w:rPr>
          <w:snapToGrid w:val="0"/>
        </w:rPr>
        <w:tab/>
        <w:t>estimates of operating revenue and expenditure; and</w:t>
      </w:r>
    </w:p>
    <w:p>
      <w:pPr>
        <w:pStyle w:val="Indenta"/>
        <w:rPr>
          <w:snapToGrid w:val="0"/>
        </w:rPr>
      </w:pPr>
      <w:r>
        <w:rPr>
          <w:snapToGrid w:val="0"/>
        </w:rPr>
        <w:tab/>
        <w:t>(e)</w:t>
      </w:r>
      <w:r>
        <w:rPr>
          <w:snapToGrid w:val="0"/>
        </w:rPr>
        <w:tab/>
        <w:t>an outline of capital expenditure and borrowing requirements; and</w:t>
      </w:r>
    </w:p>
    <w:p>
      <w:pPr>
        <w:pStyle w:val="Indenta"/>
        <w:rPr>
          <w:snapToGrid w:val="0"/>
        </w:rPr>
      </w:pPr>
      <w:r>
        <w:rPr>
          <w:snapToGrid w:val="0"/>
        </w:rPr>
        <w:tab/>
        <w:t>(f)</w:t>
      </w:r>
      <w:r>
        <w:rPr>
          <w:snapToGrid w:val="0"/>
        </w:rPr>
        <w:tab/>
        <w:t>proposed pricing arrangements; and</w:t>
      </w:r>
    </w:p>
    <w:p>
      <w:pPr>
        <w:pStyle w:val="Indenta"/>
        <w:rPr>
          <w:snapToGrid w:val="0"/>
        </w:rPr>
      </w:pPr>
      <w:r>
        <w:rPr>
          <w:snapToGrid w:val="0"/>
        </w:rPr>
        <w:tab/>
        <w:t>(g)</w:t>
      </w:r>
      <w:r>
        <w:rPr>
          <w:snapToGrid w:val="0"/>
        </w:rPr>
        <w:tab/>
        <w:t>proposed provisions for dividends; and</w:t>
      </w:r>
    </w:p>
    <w:p>
      <w:pPr>
        <w:pStyle w:val="Indenta"/>
        <w:rPr>
          <w:snapToGrid w:val="0"/>
        </w:rPr>
      </w:pPr>
      <w:r>
        <w:rPr>
          <w:snapToGrid w:val="0"/>
        </w:rPr>
        <w:tab/>
        <w:t>(h)</w:t>
      </w:r>
      <w:r>
        <w:rPr>
          <w:snapToGrid w:val="0"/>
        </w:rPr>
        <w:tab/>
        <w:t>the performance targets and other measures by which performances may be judged and related to objectives; and</w:t>
      </w:r>
    </w:p>
    <w:p>
      <w:pPr>
        <w:pStyle w:val="Indenta"/>
        <w:rPr>
          <w:snapToGrid w:val="0"/>
        </w:rPr>
      </w:pPr>
      <w:r>
        <w:rPr>
          <w:snapToGrid w:val="0"/>
        </w:rPr>
        <w:tab/>
        <w:t>(i)</w:t>
      </w:r>
      <w:r>
        <w:rPr>
          <w:snapToGrid w:val="0"/>
        </w:rPr>
        <w:tab/>
        <w:t>accounting policies that apply to the preparation of accounts; and</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 and</w:t>
      </w:r>
    </w:p>
    <w:p>
      <w:pPr>
        <w:pStyle w:val="Indenta"/>
      </w:pPr>
      <w:r>
        <w:tab/>
        <w:t>(ka)</w:t>
      </w:r>
      <w:r>
        <w:tab/>
        <w:t>proposed arrangements to facilitate the participation of potential suppliers in the provision of port services or, if no arrangements are proposed, the reason and justification for their absence; and</w:t>
      </w:r>
    </w:p>
    <w:p>
      <w:pPr>
        <w:pStyle w:val="Indenta"/>
        <w:rPr>
          <w:snapToGrid w:val="0"/>
        </w:rPr>
      </w:pPr>
      <w:r>
        <w:rPr>
          <w:snapToGrid w:val="0"/>
        </w:rPr>
        <w:tab/>
        <w:t>(k)</w:t>
      </w:r>
      <w:r>
        <w:rPr>
          <w:snapToGrid w:val="0"/>
        </w:rPr>
        <w:tab/>
        <w:t>the nature and extent of community service obligations that are to be performed; and</w:t>
      </w:r>
    </w:p>
    <w:p>
      <w:pPr>
        <w:pStyle w:val="Indenta"/>
        <w:rPr>
          <w:snapToGrid w:val="0"/>
        </w:rPr>
      </w:pPr>
      <w:r>
        <w:rPr>
          <w:snapToGrid w:val="0"/>
        </w:rPr>
        <w:tab/>
        <w:t>(l)</w:t>
      </w:r>
      <w:r>
        <w:rPr>
          <w:snapToGrid w:val="0"/>
        </w:rPr>
        <w:tab/>
        <w:t>the costings of, funding for, or other arrangements to make adjustments relating to, community service obligations; and</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 and</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Footnotesection"/>
      </w:pPr>
      <w:r>
        <w:tab/>
        <w:t>[Section 60 amended: No. 9 of 2014 s. 19.]</w:t>
      </w:r>
    </w:p>
    <w:p>
      <w:pPr>
        <w:pStyle w:val="Heading5"/>
        <w:spacing w:before="180"/>
        <w:rPr>
          <w:snapToGrid w:val="0"/>
        </w:rPr>
      </w:pPr>
      <w:bookmarkStart w:id="226" w:name="_Toc398890002"/>
      <w:bookmarkStart w:id="227" w:name="_Toc1492002"/>
      <w:r>
        <w:rPr>
          <w:rStyle w:val="CharSectno"/>
        </w:rPr>
        <w:t>61</w:t>
      </w:r>
      <w:r>
        <w:rPr>
          <w:snapToGrid w:val="0"/>
        </w:rPr>
        <w:t>.</w:t>
      </w:r>
      <w:r>
        <w:rPr>
          <w:snapToGrid w:val="0"/>
        </w:rPr>
        <w:tab/>
        <w:t>Statement of corporate intent to be agreed if possible</w:t>
      </w:r>
      <w:bookmarkEnd w:id="226"/>
      <w:bookmarkEnd w:id="227"/>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228" w:name="_Toc398890003"/>
      <w:bookmarkStart w:id="229" w:name="_Toc1492003"/>
      <w:r>
        <w:rPr>
          <w:rStyle w:val="CharSectno"/>
        </w:rPr>
        <w:t>62</w:t>
      </w:r>
      <w:r>
        <w:rPr>
          <w:snapToGrid w:val="0"/>
        </w:rPr>
        <w:t>.</w:t>
      </w:r>
      <w:r>
        <w:rPr>
          <w:snapToGrid w:val="0"/>
        </w:rPr>
        <w:tab/>
        <w:t>Minister’s powers in relation to draft statement of corporate intent</w:t>
      </w:r>
      <w:bookmarkEnd w:id="228"/>
      <w:bookmarkEnd w:id="229"/>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30" w:name="_Toc398890004"/>
      <w:bookmarkStart w:id="231" w:name="_Toc1492004"/>
      <w:r>
        <w:rPr>
          <w:rStyle w:val="CharSectno"/>
        </w:rPr>
        <w:t>63</w:t>
      </w:r>
      <w:r>
        <w:rPr>
          <w:snapToGrid w:val="0"/>
        </w:rPr>
        <w:t>.</w:t>
      </w:r>
      <w:r>
        <w:rPr>
          <w:snapToGrid w:val="0"/>
        </w:rPr>
        <w:tab/>
        <w:t>Statement of corporate intent pending agreement</w:t>
      </w:r>
      <w:bookmarkEnd w:id="230"/>
      <w:bookmarkEnd w:id="231"/>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32" w:name="_Toc398890005"/>
      <w:bookmarkStart w:id="233" w:name="_Toc1492005"/>
      <w:r>
        <w:rPr>
          <w:rStyle w:val="CharSectno"/>
        </w:rPr>
        <w:t>64</w:t>
      </w:r>
      <w:r>
        <w:rPr>
          <w:snapToGrid w:val="0"/>
        </w:rPr>
        <w:t>.</w:t>
      </w:r>
      <w:r>
        <w:rPr>
          <w:snapToGrid w:val="0"/>
        </w:rPr>
        <w:tab/>
        <w:t>Agreed draft becomes statement of corporate intent</w:t>
      </w:r>
      <w:bookmarkEnd w:id="232"/>
      <w:bookmarkEnd w:id="233"/>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234" w:name="_Toc398890006"/>
      <w:bookmarkStart w:id="235" w:name="_Toc1492006"/>
      <w:r>
        <w:rPr>
          <w:rStyle w:val="CharSectno"/>
        </w:rPr>
        <w:t>65</w:t>
      </w:r>
      <w:r>
        <w:rPr>
          <w:snapToGrid w:val="0"/>
        </w:rPr>
        <w:t>.</w:t>
      </w:r>
      <w:r>
        <w:rPr>
          <w:snapToGrid w:val="0"/>
        </w:rPr>
        <w:tab/>
        <w:t>Modifying statement of corporate intent</w:t>
      </w:r>
      <w:bookmarkEnd w:id="234"/>
      <w:bookmarkEnd w:id="235"/>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36" w:name="_Toc398890007"/>
      <w:bookmarkStart w:id="237" w:name="_Toc1492007"/>
      <w:r>
        <w:rPr>
          <w:rStyle w:val="CharSectno"/>
        </w:rPr>
        <w:t>66</w:t>
      </w:r>
      <w:r>
        <w:rPr>
          <w:snapToGrid w:val="0"/>
        </w:rPr>
        <w:t>.</w:t>
      </w:r>
      <w:r>
        <w:rPr>
          <w:snapToGrid w:val="0"/>
        </w:rPr>
        <w:tab/>
        <w:t>Treasurer’s concurrence needed by Minister for s. 64 and 65</w:t>
      </w:r>
      <w:bookmarkEnd w:id="236"/>
      <w:bookmarkEnd w:id="237"/>
    </w:p>
    <w:p>
      <w:pPr>
        <w:pStyle w:val="Subsection"/>
        <w:keepNext/>
        <w:keepLines/>
        <w:rPr>
          <w:snapToGrid w:val="0"/>
        </w:rPr>
      </w:pPr>
      <w:r>
        <w:tab/>
        <w:t>(1)</w:t>
      </w:r>
      <w:r>
        <w:tab/>
        <w:t>The</w:t>
      </w:r>
      <w:r>
        <w:rPr>
          <w:snapToGrid w:val="0"/>
        </w:rPr>
        <w:t xml:space="preserv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Subsection"/>
      </w:pPr>
      <w:r>
        <w:tab/>
        <w:t>(2)</w:t>
      </w:r>
      <w:r>
        <w:tab/>
        <w:t xml:space="preserve">Without limiting section 34A, any agreement or concurrence mentioned in subsection (1) has effect subject to the reservation that the port authority must — </w:t>
      </w:r>
    </w:p>
    <w:p>
      <w:pPr>
        <w:pStyle w:val="Indenta"/>
      </w:pPr>
      <w:r>
        <w:tab/>
        <w:t>(a)</w:t>
      </w:r>
      <w:r>
        <w:tab/>
        <w:t>comply with the requirements mentioned in section 34A(2)(a); and</w:t>
      </w:r>
    </w:p>
    <w:p>
      <w:pPr>
        <w:pStyle w:val="Indenta"/>
      </w:pPr>
      <w:r>
        <w:tab/>
        <w:t>(b)</w:t>
      </w:r>
      <w:r>
        <w:tab/>
        <w:t>endeavour to achieve the financial outcomes mentioned in section 34A(2)(b),</w:t>
      </w:r>
    </w:p>
    <w:p>
      <w:pPr>
        <w:pStyle w:val="Subsection"/>
      </w:pPr>
      <w:r>
        <w:tab/>
      </w:r>
      <w:r>
        <w:tab/>
        <w:t>whether or not they are consistent with the statement of corporate intent or modified statement of corporate intent, as the case may be.</w:t>
      </w:r>
    </w:p>
    <w:p>
      <w:pPr>
        <w:pStyle w:val="Footnotesection"/>
      </w:pPr>
      <w:r>
        <w:tab/>
        <w:t>[Section 66 amended: No. 9 of 2014 s. 20.]</w:t>
      </w:r>
    </w:p>
    <w:p>
      <w:pPr>
        <w:pStyle w:val="Heading3"/>
      </w:pPr>
      <w:bookmarkStart w:id="238" w:name="_Toc398890008"/>
      <w:bookmarkStart w:id="239" w:name="_Toc424284443"/>
      <w:bookmarkStart w:id="240" w:name="_Toc468975335"/>
      <w:bookmarkStart w:id="241" w:name="_Toc468975699"/>
      <w:bookmarkStart w:id="242" w:name="_Toc468978033"/>
      <w:bookmarkStart w:id="243" w:name="_Toc1491644"/>
      <w:bookmarkStart w:id="244" w:name="_Toc1492008"/>
      <w:r>
        <w:rPr>
          <w:rStyle w:val="CharDivNo"/>
        </w:rPr>
        <w:t>Division 3</w:t>
      </w:r>
      <w:r>
        <w:t xml:space="preserve"> — </w:t>
      </w:r>
      <w:r>
        <w:rPr>
          <w:rStyle w:val="CharDivText"/>
        </w:rPr>
        <w:t>Reporting requirements</w:t>
      </w:r>
      <w:bookmarkEnd w:id="238"/>
      <w:bookmarkEnd w:id="239"/>
      <w:bookmarkEnd w:id="240"/>
      <w:bookmarkEnd w:id="241"/>
      <w:bookmarkEnd w:id="242"/>
      <w:bookmarkEnd w:id="243"/>
      <w:bookmarkEnd w:id="244"/>
      <w:r>
        <w:rPr>
          <w:rStyle w:val="CharDivText"/>
        </w:rPr>
        <w:t xml:space="preserve"> </w:t>
      </w:r>
    </w:p>
    <w:p>
      <w:pPr>
        <w:pStyle w:val="Heading5"/>
        <w:rPr>
          <w:snapToGrid w:val="0"/>
        </w:rPr>
      </w:pPr>
      <w:bookmarkStart w:id="245" w:name="_Toc398890009"/>
      <w:bookmarkStart w:id="246" w:name="_Toc1492009"/>
      <w:r>
        <w:rPr>
          <w:rStyle w:val="CharSectno"/>
        </w:rPr>
        <w:t>67</w:t>
      </w:r>
      <w:r>
        <w:rPr>
          <w:snapToGrid w:val="0"/>
        </w:rPr>
        <w:t>.</w:t>
      </w:r>
      <w:r>
        <w:rPr>
          <w:snapToGrid w:val="0"/>
        </w:rPr>
        <w:tab/>
        <w:t>Half</w:t>
      </w:r>
      <w:r>
        <w:rPr>
          <w:snapToGrid w:val="0"/>
        </w:rPr>
        <w:noBreakHyphen/>
        <w:t>yearly reports</w:t>
      </w:r>
      <w:bookmarkEnd w:id="245"/>
      <w:bookmarkEnd w:id="246"/>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247" w:name="_Toc398890010"/>
      <w:bookmarkStart w:id="248" w:name="_Toc1492010"/>
      <w:r>
        <w:rPr>
          <w:rStyle w:val="CharSectno"/>
        </w:rPr>
        <w:t>68</w:t>
      </w:r>
      <w:r>
        <w:rPr>
          <w:snapToGrid w:val="0"/>
        </w:rPr>
        <w:t>.</w:t>
      </w:r>
      <w:r>
        <w:rPr>
          <w:snapToGrid w:val="0"/>
        </w:rPr>
        <w:tab/>
        <w:t>Annual reports</w:t>
      </w:r>
      <w:bookmarkEnd w:id="247"/>
      <w:bookmarkEnd w:id="248"/>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249" w:name="_Toc398890011"/>
      <w:bookmarkStart w:id="250" w:name="_Toc1492011"/>
      <w:r>
        <w:rPr>
          <w:rStyle w:val="CharSectno"/>
        </w:rPr>
        <w:t>69</w:t>
      </w:r>
      <w:r>
        <w:rPr>
          <w:snapToGrid w:val="0"/>
        </w:rPr>
        <w:t>.</w:t>
      </w:r>
      <w:r>
        <w:rPr>
          <w:snapToGrid w:val="0"/>
        </w:rPr>
        <w:tab/>
        <w:t>Annual reports, contents of</w:t>
      </w:r>
      <w:bookmarkEnd w:id="249"/>
      <w:bookmarkEnd w:id="250"/>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 and</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 and</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 and</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251" w:name="_Toc398890012"/>
      <w:bookmarkStart w:id="252" w:name="_Toc1492012"/>
      <w:r>
        <w:rPr>
          <w:rStyle w:val="CharSectno"/>
        </w:rPr>
        <w:t>70</w:t>
      </w:r>
      <w:r>
        <w:rPr>
          <w:snapToGrid w:val="0"/>
        </w:rPr>
        <w:t>.</w:t>
      </w:r>
      <w:r>
        <w:rPr>
          <w:snapToGrid w:val="0"/>
        </w:rPr>
        <w:tab/>
        <w:t>Commercially sensitive matters, deletion of from reports</w:t>
      </w:r>
      <w:bookmarkEnd w:id="251"/>
      <w:bookmarkEnd w:id="252"/>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253" w:name="_Toc398890013"/>
      <w:bookmarkStart w:id="254" w:name="_Toc424284448"/>
      <w:bookmarkStart w:id="255" w:name="_Toc468975340"/>
      <w:bookmarkStart w:id="256" w:name="_Toc468975704"/>
      <w:bookmarkStart w:id="257" w:name="_Toc468978038"/>
      <w:bookmarkStart w:id="258" w:name="_Toc1491649"/>
      <w:bookmarkStart w:id="259" w:name="_Toc1492013"/>
      <w:r>
        <w:rPr>
          <w:rStyle w:val="CharDivNo"/>
        </w:rPr>
        <w:t>Division 4</w:t>
      </w:r>
      <w:r>
        <w:rPr>
          <w:snapToGrid w:val="0"/>
        </w:rPr>
        <w:t xml:space="preserve"> — </w:t>
      </w:r>
      <w:r>
        <w:rPr>
          <w:rStyle w:val="CharDivText"/>
        </w:rPr>
        <w:t>Ministerial directions, general provisions</w:t>
      </w:r>
      <w:bookmarkEnd w:id="253"/>
      <w:bookmarkEnd w:id="254"/>
      <w:bookmarkEnd w:id="255"/>
      <w:bookmarkEnd w:id="256"/>
      <w:bookmarkEnd w:id="257"/>
      <w:bookmarkEnd w:id="258"/>
      <w:bookmarkEnd w:id="259"/>
      <w:r>
        <w:rPr>
          <w:rStyle w:val="CharDivText"/>
        </w:rPr>
        <w:t xml:space="preserve"> </w:t>
      </w:r>
    </w:p>
    <w:p>
      <w:pPr>
        <w:pStyle w:val="Heading5"/>
        <w:rPr>
          <w:snapToGrid w:val="0"/>
        </w:rPr>
      </w:pPr>
      <w:bookmarkStart w:id="260" w:name="_Toc398890014"/>
      <w:bookmarkStart w:id="261" w:name="_Toc1492014"/>
      <w:r>
        <w:rPr>
          <w:rStyle w:val="CharSectno"/>
        </w:rPr>
        <w:t>71</w:t>
      </w:r>
      <w:r>
        <w:rPr>
          <w:snapToGrid w:val="0"/>
        </w:rPr>
        <w:t>.</w:t>
      </w:r>
      <w:r>
        <w:rPr>
          <w:snapToGrid w:val="0"/>
        </w:rPr>
        <w:tab/>
        <w:t>Which directions port authority obliged to obey</w:t>
      </w:r>
      <w:bookmarkEnd w:id="260"/>
      <w:bookmarkEnd w:id="261"/>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262" w:name="_Toc398890015"/>
      <w:bookmarkStart w:id="263" w:name="_Toc1492015"/>
      <w:r>
        <w:rPr>
          <w:rStyle w:val="CharSectno"/>
        </w:rPr>
        <w:t>72</w:t>
      </w:r>
      <w:r>
        <w:rPr>
          <w:snapToGrid w:val="0"/>
        </w:rPr>
        <w:t>.</w:t>
      </w:r>
      <w:r>
        <w:rPr>
          <w:snapToGrid w:val="0"/>
        </w:rPr>
        <w:tab/>
        <w:t>Minister may give directions</w:t>
      </w:r>
      <w:bookmarkEnd w:id="262"/>
      <w:bookmarkEnd w:id="263"/>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264" w:name="_Toc398890016"/>
      <w:bookmarkStart w:id="265" w:name="_Toc1492016"/>
      <w:r>
        <w:rPr>
          <w:rStyle w:val="CharSectno"/>
        </w:rPr>
        <w:t>73</w:t>
      </w:r>
      <w:r>
        <w:rPr>
          <w:snapToGrid w:val="0"/>
        </w:rPr>
        <w:t>.</w:t>
      </w:r>
      <w:r>
        <w:rPr>
          <w:snapToGrid w:val="0"/>
        </w:rPr>
        <w:tab/>
        <w:t>When s. 72(1) direction takes effect</w:t>
      </w:r>
      <w:bookmarkEnd w:id="264"/>
      <w:bookmarkEnd w:id="265"/>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keepNext w:val="0"/>
      </w:pPr>
      <w:bookmarkStart w:id="266" w:name="_Toc398890017"/>
      <w:bookmarkStart w:id="267" w:name="_Toc424284452"/>
      <w:bookmarkStart w:id="268" w:name="_Toc468975344"/>
      <w:bookmarkStart w:id="269" w:name="_Toc468975708"/>
      <w:bookmarkStart w:id="270" w:name="_Toc468978042"/>
      <w:bookmarkStart w:id="271" w:name="_Toc1491653"/>
      <w:bookmarkStart w:id="272" w:name="_Toc1492017"/>
      <w:r>
        <w:rPr>
          <w:rStyle w:val="CharDivNo"/>
        </w:rPr>
        <w:t>Division 5</w:t>
      </w:r>
      <w:r>
        <w:rPr>
          <w:snapToGrid w:val="0"/>
        </w:rPr>
        <w:t xml:space="preserve"> — </w:t>
      </w:r>
      <w:r>
        <w:rPr>
          <w:rStyle w:val="CharDivText"/>
        </w:rPr>
        <w:t>Consultation and provision of information</w:t>
      </w:r>
      <w:bookmarkEnd w:id="266"/>
      <w:bookmarkEnd w:id="267"/>
      <w:bookmarkEnd w:id="268"/>
      <w:bookmarkEnd w:id="269"/>
      <w:bookmarkEnd w:id="270"/>
      <w:bookmarkEnd w:id="271"/>
      <w:bookmarkEnd w:id="272"/>
      <w:r>
        <w:rPr>
          <w:rStyle w:val="CharDivText"/>
        </w:rPr>
        <w:t xml:space="preserve"> </w:t>
      </w:r>
    </w:p>
    <w:p>
      <w:pPr>
        <w:pStyle w:val="Heading5"/>
        <w:keepNext w:val="0"/>
        <w:rPr>
          <w:snapToGrid w:val="0"/>
        </w:rPr>
      </w:pPr>
      <w:bookmarkStart w:id="273" w:name="_Toc398890018"/>
      <w:bookmarkStart w:id="274" w:name="_Toc1492018"/>
      <w:r>
        <w:rPr>
          <w:rStyle w:val="CharSectno"/>
        </w:rPr>
        <w:t>74</w:t>
      </w:r>
      <w:r>
        <w:rPr>
          <w:snapToGrid w:val="0"/>
        </w:rPr>
        <w:t>.</w:t>
      </w:r>
      <w:r>
        <w:rPr>
          <w:snapToGrid w:val="0"/>
        </w:rPr>
        <w:tab/>
        <w:t>Consultation between board and Minister</w:t>
      </w:r>
      <w:bookmarkEnd w:id="273"/>
      <w:bookmarkEnd w:id="274"/>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275" w:name="_Toc398890019"/>
      <w:bookmarkStart w:id="276" w:name="_Toc1492019"/>
      <w:r>
        <w:rPr>
          <w:rStyle w:val="CharSectno"/>
        </w:rPr>
        <w:t>75</w:t>
      </w:r>
      <w:r>
        <w:rPr>
          <w:snapToGrid w:val="0"/>
        </w:rPr>
        <w:t>.</w:t>
      </w:r>
      <w:r>
        <w:rPr>
          <w:snapToGrid w:val="0"/>
        </w:rPr>
        <w:tab/>
        <w:t>Minister to have access to information</w:t>
      </w:r>
      <w:bookmarkEnd w:id="275"/>
      <w:bookmarkEnd w:id="276"/>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277" w:name="_Toc398890020"/>
      <w:bookmarkStart w:id="278" w:name="_Toc1492020"/>
      <w:r>
        <w:rPr>
          <w:rStyle w:val="CharSectno"/>
        </w:rPr>
        <w:t>76</w:t>
      </w:r>
      <w:r>
        <w:rPr>
          <w:snapToGrid w:val="0"/>
        </w:rPr>
        <w:t>.</w:t>
      </w:r>
      <w:r>
        <w:rPr>
          <w:snapToGrid w:val="0"/>
        </w:rPr>
        <w:tab/>
        <w:t>Minister to be kept informed</w:t>
      </w:r>
      <w:bookmarkEnd w:id="277"/>
      <w:bookmarkEnd w:id="278"/>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 and</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79" w:name="_Toc398890021"/>
      <w:bookmarkStart w:id="280" w:name="_Toc1492021"/>
      <w:r>
        <w:rPr>
          <w:rStyle w:val="CharSectno"/>
        </w:rPr>
        <w:t>77</w:t>
      </w:r>
      <w:r>
        <w:rPr>
          <w:snapToGrid w:val="0"/>
        </w:rPr>
        <w:t>.</w:t>
      </w:r>
      <w:r>
        <w:rPr>
          <w:snapToGrid w:val="0"/>
        </w:rPr>
        <w:tab/>
        <w:t>Financial difficulty, board to notify Minister of etc.</w:t>
      </w:r>
      <w:bookmarkEnd w:id="279"/>
      <w:bookmarkEnd w:id="280"/>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281" w:name="_Toc398890022"/>
      <w:bookmarkStart w:id="282" w:name="_Toc424284457"/>
      <w:bookmarkStart w:id="283" w:name="_Toc468975349"/>
      <w:bookmarkStart w:id="284" w:name="_Toc468975713"/>
      <w:bookmarkStart w:id="285" w:name="_Toc468978047"/>
      <w:bookmarkStart w:id="286" w:name="_Toc1491658"/>
      <w:bookmarkStart w:id="287" w:name="_Toc1492022"/>
      <w:r>
        <w:rPr>
          <w:rStyle w:val="CharDivNo"/>
        </w:rPr>
        <w:t>Division 6</w:t>
      </w:r>
      <w:r>
        <w:rPr>
          <w:snapToGrid w:val="0"/>
        </w:rPr>
        <w:t xml:space="preserve"> — </w:t>
      </w:r>
      <w:r>
        <w:rPr>
          <w:rStyle w:val="CharDivText"/>
        </w:rPr>
        <w:t>Protection from liability</w:t>
      </w:r>
      <w:bookmarkEnd w:id="281"/>
      <w:bookmarkEnd w:id="282"/>
      <w:bookmarkEnd w:id="283"/>
      <w:bookmarkEnd w:id="284"/>
      <w:bookmarkEnd w:id="285"/>
      <w:bookmarkEnd w:id="286"/>
      <w:bookmarkEnd w:id="287"/>
      <w:r>
        <w:rPr>
          <w:rStyle w:val="CharDivText"/>
        </w:rPr>
        <w:t xml:space="preserve"> </w:t>
      </w:r>
    </w:p>
    <w:p>
      <w:pPr>
        <w:pStyle w:val="Heading5"/>
        <w:rPr>
          <w:snapToGrid w:val="0"/>
        </w:rPr>
      </w:pPr>
      <w:bookmarkStart w:id="288" w:name="_Toc398890023"/>
      <w:bookmarkStart w:id="289" w:name="_Toc1492023"/>
      <w:r>
        <w:rPr>
          <w:rStyle w:val="CharSectno"/>
        </w:rPr>
        <w:t>78</w:t>
      </w:r>
      <w:r>
        <w:rPr>
          <w:snapToGrid w:val="0"/>
        </w:rPr>
        <w:t>.</w:t>
      </w:r>
      <w:r>
        <w:rPr>
          <w:snapToGrid w:val="0"/>
        </w:rPr>
        <w:tab/>
        <w:t>No liability for things done under this Part</w:t>
      </w:r>
      <w:bookmarkEnd w:id="288"/>
      <w:bookmarkEnd w:id="289"/>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290" w:name="_Toc398890024"/>
      <w:bookmarkStart w:id="291" w:name="_Toc424284459"/>
      <w:bookmarkStart w:id="292" w:name="_Toc468975351"/>
      <w:bookmarkStart w:id="293" w:name="_Toc468975715"/>
      <w:bookmarkStart w:id="294" w:name="_Toc468978049"/>
      <w:bookmarkStart w:id="295" w:name="_Toc1491660"/>
      <w:bookmarkStart w:id="296" w:name="_Toc1492024"/>
      <w:r>
        <w:rPr>
          <w:rStyle w:val="CharPartNo"/>
        </w:rPr>
        <w:t>Part 6</w:t>
      </w:r>
      <w:r>
        <w:t xml:space="preserve"> — </w:t>
      </w:r>
      <w:r>
        <w:rPr>
          <w:rStyle w:val="CharPartText"/>
        </w:rPr>
        <w:t>Financial provisions</w:t>
      </w:r>
      <w:bookmarkEnd w:id="290"/>
      <w:bookmarkEnd w:id="291"/>
      <w:bookmarkEnd w:id="292"/>
      <w:bookmarkEnd w:id="293"/>
      <w:bookmarkEnd w:id="294"/>
      <w:bookmarkEnd w:id="295"/>
      <w:bookmarkEnd w:id="296"/>
      <w:r>
        <w:rPr>
          <w:rStyle w:val="CharPartText"/>
        </w:rPr>
        <w:t xml:space="preserve"> </w:t>
      </w:r>
    </w:p>
    <w:p>
      <w:pPr>
        <w:pStyle w:val="Heading3"/>
      </w:pPr>
      <w:bookmarkStart w:id="297" w:name="_Toc398890025"/>
      <w:bookmarkStart w:id="298" w:name="_Toc424284460"/>
      <w:bookmarkStart w:id="299" w:name="_Toc468975352"/>
      <w:bookmarkStart w:id="300" w:name="_Toc468975716"/>
      <w:bookmarkStart w:id="301" w:name="_Toc468978050"/>
      <w:bookmarkStart w:id="302" w:name="_Toc1491661"/>
      <w:bookmarkStart w:id="303" w:name="_Toc1492025"/>
      <w:r>
        <w:rPr>
          <w:rStyle w:val="CharDivNo"/>
        </w:rPr>
        <w:t>Division 1</w:t>
      </w:r>
      <w:r>
        <w:t xml:space="preserve"> — </w:t>
      </w:r>
      <w:r>
        <w:rPr>
          <w:rStyle w:val="CharDivText"/>
        </w:rPr>
        <w:t>General</w:t>
      </w:r>
      <w:bookmarkEnd w:id="297"/>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398890026"/>
      <w:bookmarkStart w:id="305" w:name="_Toc1492026"/>
      <w:r>
        <w:rPr>
          <w:rStyle w:val="CharSectno"/>
        </w:rPr>
        <w:t>79</w:t>
      </w:r>
      <w:r>
        <w:rPr>
          <w:snapToGrid w:val="0"/>
        </w:rPr>
        <w:t>.</w:t>
      </w:r>
      <w:r>
        <w:rPr>
          <w:snapToGrid w:val="0"/>
        </w:rPr>
        <w:tab/>
        <w:t>Bank account</w:t>
      </w:r>
      <w:bookmarkEnd w:id="304"/>
      <w:bookmarkEnd w:id="305"/>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No. 77 of 2006 Sch. 1 cl. 131(1) and (2).]</w:t>
      </w:r>
    </w:p>
    <w:p>
      <w:pPr>
        <w:pStyle w:val="Heading5"/>
        <w:rPr>
          <w:snapToGrid w:val="0"/>
        </w:rPr>
      </w:pPr>
      <w:bookmarkStart w:id="306" w:name="_Toc398890027"/>
      <w:bookmarkStart w:id="307" w:name="_Toc1492027"/>
      <w:r>
        <w:rPr>
          <w:rStyle w:val="CharSectno"/>
        </w:rPr>
        <w:t>80</w:t>
      </w:r>
      <w:r>
        <w:rPr>
          <w:snapToGrid w:val="0"/>
        </w:rPr>
        <w:t>.</w:t>
      </w:r>
      <w:r>
        <w:rPr>
          <w:snapToGrid w:val="0"/>
        </w:rPr>
        <w:tab/>
        <w:t>Investing funds</w:t>
      </w:r>
      <w:bookmarkEnd w:id="306"/>
      <w:bookmarkEnd w:id="307"/>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308" w:name="_Toc398890028"/>
      <w:bookmarkStart w:id="309" w:name="_Toc1492028"/>
      <w:r>
        <w:rPr>
          <w:rStyle w:val="CharSectno"/>
        </w:rPr>
        <w:t>81</w:t>
      </w:r>
      <w:r>
        <w:rPr>
          <w:snapToGrid w:val="0"/>
        </w:rPr>
        <w:t>.</w:t>
      </w:r>
      <w:r>
        <w:rPr>
          <w:snapToGrid w:val="0"/>
        </w:rPr>
        <w:tab/>
        <w:t>Exemption from rates</w:t>
      </w:r>
      <w:bookmarkEnd w:id="308"/>
      <w:bookmarkEnd w:id="309"/>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310" w:name="_Toc398890029"/>
      <w:bookmarkStart w:id="311" w:name="_Toc424284464"/>
      <w:bookmarkStart w:id="312" w:name="_Toc468975356"/>
      <w:bookmarkStart w:id="313" w:name="_Toc468975720"/>
      <w:bookmarkStart w:id="314" w:name="_Toc468978054"/>
      <w:bookmarkStart w:id="315" w:name="_Toc1491665"/>
      <w:bookmarkStart w:id="316" w:name="_Toc1492029"/>
      <w:r>
        <w:rPr>
          <w:rStyle w:val="CharDivNo"/>
        </w:rPr>
        <w:t>Division 2</w:t>
      </w:r>
      <w:r>
        <w:rPr>
          <w:snapToGrid w:val="0"/>
        </w:rPr>
        <w:t xml:space="preserve"> — </w:t>
      </w:r>
      <w:r>
        <w:rPr>
          <w:rStyle w:val="CharDivText"/>
        </w:rPr>
        <w:t>Payments to State</w:t>
      </w:r>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398890030"/>
      <w:bookmarkStart w:id="318" w:name="_Toc1492030"/>
      <w:r>
        <w:rPr>
          <w:rStyle w:val="CharSectno"/>
        </w:rPr>
        <w:t>82</w:t>
      </w:r>
      <w:r>
        <w:rPr>
          <w:snapToGrid w:val="0"/>
        </w:rPr>
        <w:t>.</w:t>
      </w:r>
      <w:r>
        <w:rPr>
          <w:snapToGrid w:val="0"/>
        </w:rPr>
        <w:tab/>
        <w:t>Payment of amount in lieu of rates</w:t>
      </w:r>
      <w:bookmarkEnd w:id="317"/>
      <w:bookmarkEnd w:id="318"/>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 or</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319" w:name="_Toc398890031"/>
      <w:bookmarkStart w:id="320" w:name="_Toc1492031"/>
      <w:r>
        <w:rPr>
          <w:rStyle w:val="CharSectno"/>
        </w:rPr>
        <w:t>83</w:t>
      </w:r>
      <w:r>
        <w:rPr>
          <w:snapToGrid w:val="0"/>
        </w:rPr>
        <w:t>.</w:t>
      </w:r>
      <w:r>
        <w:rPr>
          <w:snapToGrid w:val="0"/>
        </w:rPr>
        <w:tab/>
        <w:t>Determining amounts under s. 82</w:t>
      </w:r>
      <w:bookmarkEnd w:id="319"/>
      <w:bookmarkEnd w:id="320"/>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321" w:name="_Toc398890032"/>
      <w:bookmarkStart w:id="322" w:name="_Toc1492032"/>
      <w:r>
        <w:rPr>
          <w:rStyle w:val="CharSectno"/>
        </w:rPr>
        <w:t>84</w:t>
      </w:r>
      <w:r>
        <w:rPr>
          <w:snapToGrid w:val="0"/>
        </w:rPr>
        <w:t>.</w:t>
      </w:r>
      <w:r>
        <w:rPr>
          <w:snapToGrid w:val="0"/>
        </w:rPr>
        <w:tab/>
        <w:t>Dividends</w:t>
      </w:r>
      <w:bookmarkEnd w:id="321"/>
      <w:bookmarkEnd w:id="322"/>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pPr>
      <w:r>
        <w:tab/>
        <w:t>(iia)</w:t>
      </w:r>
      <w:r>
        <w:tab/>
        <w:t>any interim dividend paid to the Treasurer in relation to that financial year in accordance with subsections (5) to (8);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pPr>
      <w:r>
        <w:tab/>
        <w:t>(2A)</w:t>
      </w:r>
      <w:r>
        <w:tab/>
        <w:t>In calculating a dividend under this section no account is to be taken of a payment made to the port authority by another person for application towards the capital cost of providing port facilities if the Minister, with the concurrence of the Treasurer, has declared the payment to be an exempt payment for the purposes of this section.</w:t>
      </w:r>
    </w:p>
    <w:p>
      <w:pPr>
        <w:pStyle w:val="Subsection"/>
      </w:pPr>
      <w:r>
        <w:tab/>
        <w:t>(2B)</w:t>
      </w:r>
      <w:r>
        <w:tab/>
        <w:t>A declaration under subsection (2A) can be made before or after the payment is received by the port authority.</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 xml:space="preserve">after consultation with the board, </w:t>
      </w:r>
      <w:r>
        <w:t>may</w:t>
      </w:r>
      <w:r>
        <w:rPr>
          <w:snapToGrid w:val="0"/>
        </w:rPr>
        <w:t xml:space="preserve">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pPr>
      <w:r>
        <w:tab/>
        <w:t>(5)</w:t>
      </w:r>
      <w:r>
        <w:tab/>
        <w:t>If the Minister considers that payment by a port authority of an interim dividend in relation to a financial year is justified, the Minister may give written notice to the board of the port authority informing it that an interim dividend is to be paid to the Treasurer.</w:t>
      </w:r>
    </w:p>
    <w:p>
      <w:pPr>
        <w:pStyle w:val="Subsection"/>
      </w:pPr>
      <w:r>
        <w:tab/>
        <w:t>(6)</w:t>
      </w:r>
      <w:r>
        <w:tab/>
        <w:t>As soon as practicable after it receives a notice under subsection (5) the board of a port authority is to make a recommendation to the Minister as to the amount of the interim dividend that the board recommends as appropriate.</w:t>
      </w:r>
    </w:p>
    <w:p>
      <w:pPr>
        <w:pStyle w:val="Subsection"/>
      </w:pPr>
      <w:r>
        <w:tab/>
        <w:t>(7)</w:t>
      </w:r>
      <w:r>
        <w:tab/>
        <w:t xml:space="preserve">The Minister, with the Treasurer’s concurrence — </w:t>
      </w:r>
    </w:p>
    <w:p>
      <w:pPr>
        <w:pStyle w:val="Indenta"/>
      </w:pPr>
      <w:r>
        <w:tab/>
        <w:t>(a)</w:t>
      </w:r>
      <w:r>
        <w:tab/>
        <w:t>may accept a recommendation under subsection (6); or</w:t>
      </w:r>
    </w:p>
    <w:p>
      <w:pPr>
        <w:pStyle w:val="Indenta"/>
      </w:pPr>
      <w:r>
        <w:tab/>
        <w:t>(b)</w:t>
      </w:r>
      <w:r>
        <w:tab/>
        <w:t>after consultation with the board, may direct that the amount of the interim dividend is to be some other amount.</w:t>
      </w:r>
    </w:p>
    <w:p>
      <w:pPr>
        <w:pStyle w:val="Subsection"/>
      </w:pPr>
      <w:r>
        <w:tab/>
        <w:t>(8)</w:t>
      </w:r>
      <w:r>
        <w:tab/>
        <w:t xml:space="preserve">A port authority is to pay the interim dividend — </w:t>
      </w:r>
    </w:p>
    <w:p>
      <w:pPr>
        <w:pStyle w:val="Indenta"/>
      </w:pPr>
      <w:r>
        <w:tab/>
        <w:t>(a)</w:t>
      </w:r>
      <w:r>
        <w:tab/>
        <w:t>as soon as practicable after the amount is fixed under subsection (7); and</w:t>
      </w:r>
    </w:p>
    <w:p>
      <w:pPr>
        <w:pStyle w:val="Indenta"/>
      </w:pPr>
      <w:r>
        <w:tab/>
        <w:t>(b)</w:t>
      </w:r>
      <w:r>
        <w:tab/>
        <w:t>in any case not later than the end of the financial year to which the interim dividend relates.</w:t>
      </w:r>
    </w:p>
    <w:p>
      <w:pPr>
        <w:pStyle w:val="Subsection"/>
      </w:pPr>
      <w:r>
        <w:tab/>
        <w:t>(9)</w:t>
      </w:r>
      <w:r>
        <w:tab/>
        <w:t>The Minister must within 14 days after a direction is given under subsection (3) or (7) cause a copy of it to be laid before each House of Parliament or dealt with in accordance with section 133.</w:t>
      </w:r>
    </w:p>
    <w:p>
      <w:pPr>
        <w:pStyle w:val="Footnotesection"/>
      </w:pPr>
      <w:r>
        <w:tab/>
        <w:t>[Section 84 amended: No. 9 of 2014 s. 21.]</w:t>
      </w:r>
    </w:p>
    <w:p>
      <w:pPr>
        <w:pStyle w:val="Heading3"/>
      </w:pPr>
      <w:bookmarkStart w:id="323" w:name="_Toc398890033"/>
      <w:bookmarkStart w:id="324" w:name="_Toc424284468"/>
      <w:bookmarkStart w:id="325" w:name="_Toc468975360"/>
      <w:bookmarkStart w:id="326" w:name="_Toc468975724"/>
      <w:bookmarkStart w:id="327" w:name="_Toc468978058"/>
      <w:bookmarkStart w:id="328" w:name="_Toc1491669"/>
      <w:bookmarkStart w:id="329" w:name="_Toc1492033"/>
      <w:r>
        <w:rPr>
          <w:rStyle w:val="CharDivNo"/>
        </w:rPr>
        <w:t>Division 3</w:t>
      </w:r>
      <w:r>
        <w:rPr>
          <w:snapToGrid w:val="0"/>
        </w:rPr>
        <w:t xml:space="preserve"> — </w:t>
      </w:r>
      <w:r>
        <w:rPr>
          <w:rStyle w:val="CharDivText"/>
        </w:rPr>
        <w:t>Borrowing</w:t>
      </w:r>
      <w:bookmarkEnd w:id="323"/>
      <w:bookmarkEnd w:id="324"/>
      <w:bookmarkEnd w:id="325"/>
      <w:bookmarkEnd w:id="326"/>
      <w:bookmarkEnd w:id="327"/>
      <w:bookmarkEnd w:id="328"/>
      <w:bookmarkEnd w:id="329"/>
      <w:r>
        <w:rPr>
          <w:rStyle w:val="CharDivText"/>
        </w:rPr>
        <w:t xml:space="preserve"> </w:t>
      </w:r>
    </w:p>
    <w:p>
      <w:pPr>
        <w:pStyle w:val="Heading5"/>
        <w:rPr>
          <w:snapToGrid w:val="0"/>
        </w:rPr>
      </w:pPr>
      <w:bookmarkStart w:id="330" w:name="_Toc398890034"/>
      <w:bookmarkStart w:id="331" w:name="_Toc1492034"/>
      <w:r>
        <w:rPr>
          <w:rStyle w:val="CharSectno"/>
        </w:rPr>
        <w:t>85</w:t>
      </w:r>
      <w:r>
        <w:rPr>
          <w:snapToGrid w:val="0"/>
        </w:rPr>
        <w:t>.</w:t>
      </w:r>
      <w:r>
        <w:rPr>
          <w:snapToGrid w:val="0"/>
        </w:rPr>
        <w:tab/>
        <w:t>Borrowing powers</w:t>
      </w:r>
      <w:bookmarkEnd w:id="330"/>
      <w:bookmarkEnd w:id="331"/>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332" w:name="_Toc398890035"/>
      <w:bookmarkStart w:id="333" w:name="_Toc1492035"/>
      <w:r>
        <w:rPr>
          <w:rStyle w:val="CharSectno"/>
        </w:rPr>
        <w:t>86</w:t>
      </w:r>
      <w:r>
        <w:rPr>
          <w:snapToGrid w:val="0"/>
        </w:rPr>
        <w:t>.</w:t>
      </w:r>
      <w:r>
        <w:rPr>
          <w:snapToGrid w:val="0"/>
        </w:rPr>
        <w:tab/>
        <w:t>Borrowing limits</w:t>
      </w:r>
      <w:bookmarkEnd w:id="332"/>
      <w:bookmarkEnd w:id="333"/>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334" w:name="_Toc398890036"/>
      <w:bookmarkStart w:id="335" w:name="_Toc1492036"/>
      <w:r>
        <w:rPr>
          <w:rStyle w:val="CharSectno"/>
        </w:rPr>
        <w:t>87</w:t>
      </w:r>
      <w:r>
        <w:rPr>
          <w:snapToGrid w:val="0"/>
        </w:rPr>
        <w:t>.</w:t>
      </w:r>
      <w:r>
        <w:rPr>
          <w:snapToGrid w:val="0"/>
        </w:rPr>
        <w:tab/>
        <w:t>Hedging transactions</w:t>
      </w:r>
      <w:bookmarkEnd w:id="334"/>
      <w:bookmarkEnd w:id="335"/>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 or</w:t>
      </w:r>
    </w:p>
    <w:p>
      <w:pPr>
        <w:pStyle w:val="Indenti"/>
        <w:rPr>
          <w:snapToGrid w:val="0"/>
        </w:rPr>
      </w:pPr>
      <w:r>
        <w:rPr>
          <w:snapToGrid w:val="0"/>
        </w:rPr>
        <w:tab/>
        <w:t>(ii)</w:t>
      </w:r>
      <w:r>
        <w:rPr>
          <w:snapToGrid w:val="0"/>
        </w:rPr>
        <w:tab/>
        <w:t>a forward foreign exchange transaction; or</w:t>
      </w:r>
    </w:p>
    <w:p>
      <w:pPr>
        <w:pStyle w:val="Indenti"/>
        <w:rPr>
          <w:snapToGrid w:val="0"/>
        </w:rPr>
      </w:pPr>
      <w:r>
        <w:rPr>
          <w:snapToGrid w:val="0"/>
        </w:rPr>
        <w:tab/>
        <w:t>(iii)</w:t>
      </w:r>
      <w:r>
        <w:rPr>
          <w:snapToGrid w:val="0"/>
        </w:rPr>
        <w:tab/>
        <w:t>a currency swap; or</w:t>
      </w:r>
    </w:p>
    <w:p>
      <w:pPr>
        <w:pStyle w:val="Indenti"/>
        <w:rPr>
          <w:snapToGrid w:val="0"/>
        </w:rPr>
      </w:pPr>
      <w:r>
        <w:rPr>
          <w:snapToGrid w:val="0"/>
        </w:rPr>
        <w:tab/>
        <w:t>(iv)</w:t>
      </w:r>
      <w:r>
        <w:rPr>
          <w:snapToGrid w:val="0"/>
        </w:rPr>
        <w:tab/>
        <w:t>a forward currency swap; or</w:t>
      </w:r>
    </w:p>
    <w:p>
      <w:pPr>
        <w:pStyle w:val="Indenti"/>
        <w:rPr>
          <w:snapToGrid w:val="0"/>
        </w:rPr>
      </w:pPr>
      <w:r>
        <w:rPr>
          <w:snapToGrid w:val="0"/>
        </w:rPr>
        <w:tab/>
        <w:t>(v)</w:t>
      </w:r>
      <w:r>
        <w:rPr>
          <w:snapToGrid w:val="0"/>
        </w:rPr>
        <w:tab/>
        <w:t>a foreign currency cap, a foreign currency collar or a foreign currency floor; or</w:t>
      </w:r>
    </w:p>
    <w:p>
      <w:pPr>
        <w:pStyle w:val="Indenti"/>
        <w:rPr>
          <w:snapToGrid w:val="0"/>
        </w:rPr>
      </w:pPr>
      <w:r>
        <w:rPr>
          <w:snapToGrid w:val="0"/>
        </w:rPr>
        <w:tab/>
        <w:t>(vi)</w:t>
      </w:r>
      <w:r>
        <w:rPr>
          <w:snapToGrid w:val="0"/>
        </w:rPr>
        <w:tab/>
        <w:t>a forward interest rate agreement; or</w:t>
      </w:r>
    </w:p>
    <w:p>
      <w:pPr>
        <w:pStyle w:val="Indenti"/>
        <w:rPr>
          <w:snapToGrid w:val="0"/>
        </w:rPr>
      </w:pPr>
      <w:r>
        <w:rPr>
          <w:snapToGrid w:val="0"/>
        </w:rPr>
        <w:tab/>
        <w:t>(vii)</w:t>
      </w:r>
      <w:r>
        <w:rPr>
          <w:snapToGrid w:val="0"/>
        </w:rPr>
        <w:tab/>
        <w:t>an interest rate swap; or</w:t>
      </w:r>
    </w:p>
    <w:p>
      <w:pPr>
        <w:pStyle w:val="Indenti"/>
        <w:rPr>
          <w:snapToGrid w:val="0"/>
        </w:rPr>
      </w:pPr>
      <w:r>
        <w:rPr>
          <w:snapToGrid w:val="0"/>
        </w:rPr>
        <w:tab/>
        <w:t>(viii)</w:t>
      </w:r>
      <w:r>
        <w:rPr>
          <w:snapToGrid w:val="0"/>
        </w:rPr>
        <w:tab/>
        <w:t>a forward interest rate swap; or</w:t>
      </w:r>
    </w:p>
    <w:p>
      <w:pPr>
        <w:pStyle w:val="Indenti"/>
        <w:rPr>
          <w:snapToGrid w:val="0"/>
        </w:rPr>
      </w:pPr>
      <w:r>
        <w:rPr>
          <w:snapToGrid w:val="0"/>
        </w:rPr>
        <w:tab/>
        <w:t>(ix)</w:t>
      </w:r>
      <w:r>
        <w:rPr>
          <w:snapToGrid w:val="0"/>
        </w:rPr>
        <w:tab/>
        <w:t>an interest rate cap, an interest rate collar or an interest rate floor; or</w:t>
      </w:r>
    </w:p>
    <w:p>
      <w:pPr>
        <w:pStyle w:val="Indenti"/>
        <w:rPr>
          <w:snapToGrid w:val="0"/>
        </w:rPr>
      </w:pPr>
      <w:r>
        <w:rPr>
          <w:snapToGrid w:val="0"/>
        </w:rPr>
        <w:tab/>
        <w:t>(x)</w:t>
      </w:r>
      <w:r>
        <w:rPr>
          <w:snapToGrid w:val="0"/>
        </w:rPr>
        <w:tab/>
        <w:t>an option for interest rate or currency management purposes; or</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pPr>
      <w:r>
        <w:tab/>
        <w:t>(2)</w:t>
      </w:r>
      <w:r>
        <w:tab/>
        <w:t xml:space="preserve">A port authority may also enter into a hedging arrangement for the purpose of managing, limiting or reducing perceived risks or anticipated costs in connection with a transaction that involves capital expenditure and is undertaken in, or based on, a foreign currency as long as the port authority, with advice from the Treasury Corporation — </w:t>
      </w:r>
    </w:p>
    <w:p>
      <w:pPr>
        <w:pStyle w:val="Indenta"/>
      </w:pPr>
      <w:r>
        <w:tab/>
        <w:t>(a)</w:t>
      </w:r>
      <w:r>
        <w:tab/>
        <w:t>identifies, considers and takes steps to minimise any foreign exchange risks before entering into the hedging arrangement; and</w:t>
      </w:r>
    </w:p>
    <w:p>
      <w:pPr>
        <w:pStyle w:val="Indenta"/>
      </w:pPr>
      <w:r>
        <w:tab/>
        <w:t>(b)</w:t>
      </w:r>
      <w:r>
        <w:tab/>
        <w:t>monitors any foreign exchange risks that may result from entering into the hedging arrangement.</w:t>
      </w:r>
    </w:p>
    <w:p>
      <w:pPr>
        <w:pStyle w:val="Subsection"/>
      </w:pPr>
      <w:r>
        <w:tab/>
        <w:t>(3)</w:t>
      </w:r>
      <w:r>
        <w:tab/>
        <w:t xml:space="preserve">In this section — </w:t>
      </w:r>
    </w:p>
    <w:p>
      <w:pPr>
        <w:pStyle w:val="Defstart"/>
      </w:pPr>
      <w:r>
        <w:tab/>
      </w:r>
      <w:r>
        <w:rPr>
          <w:rStyle w:val="CharDefText"/>
        </w:rPr>
        <w:t xml:space="preserve">hedging arrangement </w:t>
      </w:r>
      <w:r>
        <w:t>means an agreement or arrangement described in subsection (1)(a) or (b);</w:t>
      </w:r>
    </w:p>
    <w:p>
      <w:pPr>
        <w:pStyle w:val="Defstart"/>
      </w:pPr>
      <w:r>
        <w:rPr>
          <w:b/>
        </w:rPr>
        <w:tab/>
      </w:r>
      <w:r>
        <w:rPr>
          <w:rStyle w:val="CharDefText"/>
        </w:rPr>
        <w:t>interest rate</w:t>
      </w:r>
      <w:r>
        <w:t xml:space="preserve"> includes coupon rate, discount rate and yield;</w:t>
      </w:r>
    </w:p>
    <w:p>
      <w:pPr>
        <w:pStyle w:val="Defstart"/>
      </w:pPr>
      <w:r>
        <w:tab/>
      </w:r>
      <w:r>
        <w:rPr>
          <w:rStyle w:val="CharDefText"/>
        </w:rPr>
        <w:t>Treasury Corporation</w:t>
      </w:r>
      <w:r>
        <w:t xml:space="preserve"> means the Western Australian Treasury Corporation established under the </w:t>
      </w:r>
      <w:r>
        <w:rPr>
          <w:i/>
        </w:rPr>
        <w:t>Western Australian Treasury Corporation Act 1986</w:t>
      </w:r>
      <w:r>
        <w:t>.</w:t>
      </w:r>
    </w:p>
    <w:p>
      <w:pPr>
        <w:pStyle w:val="Footnotesection"/>
      </w:pPr>
      <w:r>
        <w:tab/>
        <w:t>[Section 87 amended: No. 10 of 2001 s. 158; No. 21 of 2003 s. 19; No. 9 of 2014 s. 22.]</w:t>
      </w:r>
    </w:p>
    <w:p>
      <w:pPr>
        <w:pStyle w:val="Heading3"/>
      </w:pPr>
      <w:bookmarkStart w:id="336" w:name="_Toc398890037"/>
      <w:bookmarkStart w:id="337" w:name="_Toc424284472"/>
      <w:bookmarkStart w:id="338" w:name="_Toc468975364"/>
      <w:bookmarkStart w:id="339" w:name="_Toc468975728"/>
      <w:bookmarkStart w:id="340" w:name="_Toc468978062"/>
      <w:bookmarkStart w:id="341" w:name="_Toc1491673"/>
      <w:bookmarkStart w:id="342" w:name="_Toc1492037"/>
      <w:r>
        <w:rPr>
          <w:rStyle w:val="CharDivNo"/>
        </w:rPr>
        <w:t>Division 4</w:t>
      </w:r>
      <w:r>
        <w:t xml:space="preserve"> — </w:t>
      </w:r>
      <w:r>
        <w:rPr>
          <w:rStyle w:val="CharDivText"/>
        </w:rPr>
        <w:t>Guarantees</w:t>
      </w:r>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398890038"/>
      <w:bookmarkStart w:id="344" w:name="_Toc1492038"/>
      <w:r>
        <w:rPr>
          <w:rStyle w:val="CharSectno"/>
        </w:rPr>
        <w:t>88</w:t>
      </w:r>
      <w:r>
        <w:rPr>
          <w:snapToGrid w:val="0"/>
        </w:rPr>
        <w:t>.</w:t>
      </w:r>
      <w:r>
        <w:rPr>
          <w:snapToGrid w:val="0"/>
        </w:rPr>
        <w:tab/>
        <w:t>Guarantees by Treasurer</w:t>
      </w:r>
      <w:bookmarkEnd w:id="343"/>
      <w:bookmarkEnd w:id="344"/>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No. 77 of 2006 s. 4, 5(1).]</w:t>
      </w:r>
    </w:p>
    <w:p>
      <w:pPr>
        <w:pStyle w:val="Heading5"/>
        <w:rPr>
          <w:snapToGrid w:val="0"/>
        </w:rPr>
      </w:pPr>
      <w:bookmarkStart w:id="345" w:name="_Toc398890039"/>
      <w:bookmarkStart w:id="346" w:name="_Toc1492039"/>
      <w:r>
        <w:rPr>
          <w:rStyle w:val="CharSectno"/>
        </w:rPr>
        <w:t>89</w:t>
      </w:r>
      <w:r>
        <w:rPr>
          <w:snapToGrid w:val="0"/>
        </w:rPr>
        <w:t>.</w:t>
      </w:r>
      <w:r>
        <w:rPr>
          <w:snapToGrid w:val="0"/>
        </w:rPr>
        <w:tab/>
        <w:t>Charges for Treasurer’s guarantee</w:t>
      </w:r>
      <w:bookmarkEnd w:id="345"/>
      <w:bookmarkEnd w:id="346"/>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No. 77 of 2006 s. 4.]</w:t>
      </w:r>
    </w:p>
    <w:p>
      <w:pPr>
        <w:pStyle w:val="Heading3"/>
      </w:pPr>
      <w:bookmarkStart w:id="347" w:name="_Toc398890040"/>
      <w:bookmarkStart w:id="348" w:name="_Toc424284475"/>
      <w:bookmarkStart w:id="349" w:name="_Toc468975367"/>
      <w:bookmarkStart w:id="350" w:name="_Toc468975731"/>
      <w:bookmarkStart w:id="351" w:name="_Toc468978065"/>
      <w:bookmarkStart w:id="352" w:name="_Toc1491676"/>
      <w:bookmarkStart w:id="353" w:name="_Toc1492040"/>
      <w:r>
        <w:rPr>
          <w:rStyle w:val="CharDivNo"/>
        </w:rPr>
        <w:t>Division 5</w:t>
      </w:r>
      <w:r>
        <w:rPr>
          <w:snapToGrid w:val="0"/>
        </w:rPr>
        <w:t xml:space="preserve"> — </w:t>
      </w:r>
      <w:r>
        <w:rPr>
          <w:rStyle w:val="CharDivText"/>
        </w:rPr>
        <w:t>Financial administration and audit</w:t>
      </w:r>
      <w:bookmarkEnd w:id="347"/>
      <w:bookmarkEnd w:id="348"/>
      <w:bookmarkEnd w:id="349"/>
      <w:bookmarkEnd w:id="350"/>
      <w:bookmarkEnd w:id="351"/>
      <w:bookmarkEnd w:id="352"/>
      <w:bookmarkEnd w:id="353"/>
      <w:r>
        <w:rPr>
          <w:rStyle w:val="CharDivText"/>
        </w:rPr>
        <w:t xml:space="preserve"> </w:t>
      </w:r>
    </w:p>
    <w:p>
      <w:pPr>
        <w:pStyle w:val="Heading5"/>
        <w:rPr>
          <w:snapToGrid w:val="0"/>
        </w:rPr>
      </w:pPr>
      <w:bookmarkStart w:id="354" w:name="_Toc398890041"/>
      <w:bookmarkStart w:id="355" w:name="_Toc1492041"/>
      <w:r>
        <w:rPr>
          <w:rStyle w:val="CharSectno"/>
        </w:rPr>
        <w:t>90</w:t>
      </w:r>
      <w:r>
        <w:rPr>
          <w:snapToGrid w:val="0"/>
        </w:rPr>
        <w:t>.</w:t>
      </w:r>
      <w:r>
        <w:rPr>
          <w:snapToGrid w:val="0"/>
        </w:rPr>
        <w:tab/>
      </w:r>
      <w:r>
        <w:rPr>
          <w:i/>
        </w:rPr>
        <w:t>Financial Management Act 2006</w:t>
      </w:r>
      <w:r>
        <w:t xml:space="preserve"> and </w:t>
      </w:r>
      <w:r>
        <w:rPr>
          <w:i/>
        </w:rPr>
        <w:t>Auditor General Act 2006</w:t>
      </w:r>
      <w:r>
        <w:t>, limited application of</w:t>
      </w:r>
      <w:bookmarkEnd w:id="354"/>
      <w:bookmarkEnd w:id="355"/>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No. 77 of 2006 Sch. 1 cl. 131(3) and (4).]</w:t>
      </w:r>
    </w:p>
    <w:p>
      <w:pPr>
        <w:pStyle w:val="Heading5"/>
        <w:rPr>
          <w:snapToGrid w:val="0"/>
        </w:rPr>
      </w:pPr>
      <w:bookmarkStart w:id="356" w:name="_Toc398890042"/>
      <w:bookmarkStart w:id="357" w:name="_Toc1492042"/>
      <w:r>
        <w:rPr>
          <w:rStyle w:val="CharSectno"/>
        </w:rPr>
        <w:t>91</w:t>
      </w:r>
      <w:r>
        <w:rPr>
          <w:snapToGrid w:val="0"/>
        </w:rPr>
        <w:t>.</w:t>
      </w:r>
      <w:r>
        <w:rPr>
          <w:snapToGrid w:val="0"/>
        </w:rPr>
        <w:tab/>
        <w:t>Financial administration and audit (Sch. 5)</w:t>
      </w:r>
      <w:bookmarkEnd w:id="356"/>
      <w:bookmarkEnd w:id="357"/>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 or</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keepNext/>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spacing w:before="180"/>
      </w:pPr>
      <w:r>
        <w:tab/>
      </w:r>
      <w:r>
        <w:tab/>
        <w:t>the Minister may recommend to the Governor, as soon as practicable after the circumstance in paragraph (a), (b) or (c) arises, that regulations be made under subsection (2).</w:t>
      </w:r>
    </w:p>
    <w:p>
      <w:pPr>
        <w:pStyle w:val="Subsection"/>
        <w:spacing w:before="180"/>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ind w:left="890" w:hanging="890"/>
      </w:pPr>
      <w:r>
        <w:tab/>
        <w:t>[Section 91 amended: No. 10 of 2001 s. 159.]</w:t>
      </w:r>
    </w:p>
    <w:p>
      <w:pPr>
        <w:pStyle w:val="Heading3"/>
        <w:spacing w:before="260"/>
      </w:pPr>
      <w:bookmarkStart w:id="358" w:name="_Toc398890043"/>
      <w:bookmarkStart w:id="359" w:name="_Toc424284478"/>
      <w:bookmarkStart w:id="360" w:name="_Toc468975370"/>
      <w:bookmarkStart w:id="361" w:name="_Toc468975734"/>
      <w:bookmarkStart w:id="362" w:name="_Toc468978068"/>
      <w:bookmarkStart w:id="363" w:name="_Toc1491679"/>
      <w:bookmarkStart w:id="364" w:name="_Toc1492043"/>
      <w:r>
        <w:rPr>
          <w:rStyle w:val="CharDivNo"/>
        </w:rPr>
        <w:t>Division 6</w:t>
      </w:r>
      <w:r>
        <w:rPr>
          <w:snapToGrid w:val="0"/>
        </w:rPr>
        <w:t xml:space="preserve"> — </w:t>
      </w:r>
      <w:r>
        <w:rPr>
          <w:rStyle w:val="CharDivText"/>
        </w:rPr>
        <w:t>Financial targets</w:t>
      </w:r>
      <w:bookmarkEnd w:id="358"/>
      <w:bookmarkEnd w:id="359"/>
      <w:bookmarkEnd w:id="360"/>
      <w:bookmarkEnd w:id="361"/>
      <w:bookmarkEnd w:id="362"/>
      <w:bookmarkEnd w:id="363"/>
      <w:bookmarkEnd w:id="364"/>
    </w:p>
    <w:p>
      <w:pPr>
        <w:pStyle w:val="Heading5"/>
        <w:spacing w:before="240"/>
        <w:rPr>
          <w:snapToGrid w:val="0"/>
        </w:rPr>
      </w:pPr>
      <w:bookmarkStart w:id="365" w:name="_Toc398890044"/>
      <w:bookmarkStart w:id="366" w:name="_Toc1492044"/>
      <w:r>
        <w:rPr>
          <w:rStyle w:val="CharSectno"/>
        </w:rPr>
        <w:t>92</w:t>
      </w:r>
      <w:r>
        <w:rPr>
          <w:snapToGrid w:val="0"/>
        </w:rPr>
        <w:t>.</w:t>
      </w:r>
      <w:r>
        <w:rPr>
          <w:snapToGrid w:val="0"/>
        </w:rPr>
        <w:tab/>
        <w:t>Annual financial targets, Minister may set</w:t>
      </w:r>
      <w:bookmarkEnd w:id="365"/>
      <w:bookmarkEnd w:id="366"/>
    </w:p>
    <w:p>
      <w:pPr>
        <w:pStyle w:val="Subsection"/>
        <w:spacing w:before="180"/>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keepNext/>
        <w:keepLines/>
        <w:spacing w:before="180"/>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spacing w:before="180"/>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spacing w:before="180"/>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367" w:name="_Toc398890045"/>
      <w:bookmarkStart w:id="368" w:name="_Toc424284480"/>
      <w:bookmarkStart w:id="369" w:name="_Toc468975372"/>
      <w:bookmarkStart w:id="370" w:name="_Toc468975736"/>
      <w:bookmarkStart w:id="371" w:name="_Toc468978070"/>
      <w:bookmarkStart w:id="372" w:name="_Toc1491681"/>
      <w:bookmarkStart w:id="373" w:name="_Toc1492045"/>
      <w:r>
        <w:rPr>
          <w:rStyle w:val="CharPartNo"/>
        </w:rPr>
        <w:t>Part 7</w:t>
      </w:r>
      <w:r>
        <w:t xml:space="preserve"> — </w:t>
      </w:r>
      <w:r>
        <w:rPr>
          <w:rStyle w:val="CharPartText"/>
        </w:rPr>
        <w:t>Navigation and port matters</w:t>
      </w:r>
      <w:bookmarkEnd w:id="367"/>
      <w:bookmarkEnd w:id="368"/>
      <w:bookmarkEnd w:id="369"/>
      <w:bookmarkEnd w:id="370"/>
      <w:bookmarkEnd w:id="371"/>
      <w:bookmarkEnd w:id="372"/>
      <w:bookmarkEnd w:id="373"/>
      <w:r>
        <w:rPr>
          <w:rStyle w:val="CharPartText"/>
        </w:rPr>
        <w:t xml:space="preserve"> </w:t>
      </w:r>
    </w:p>
    <w:p>
      <w:pPr>
        <w:pStyle w:val="Heading3"/>
        <w:spacing w:before="180"/>
      </w:pPr>
      <w:bookmarkStart w:id="374" w:name="_Toc398890046"/>
      <w:bookmarkStart w:id="375" w:name="_Toc424284481"/>
      <w:bookmarkStart w:id="376" w:name="_Toc468975373"/>
      <w:bookmarkStart w:id="377" w:name="_Toc468975737"/>
      <w:bookmarkStart w:id="378" w:name="_Toc468978071"/>
      <w:bookmarkStart w:id="379" w:name="_Toc1491682"/>
      <w:bookmarkStart w:id="380" w:name="_Toc1492046"/>
      <w:r>
        <w:rPr>
          <w:rStyle w:val="CharDivNo"/>
        </w:rPr>
        <w:t>Division 1</w:t>
      </w:r>
      <w:r>
        <w:t xml:space="preserve"> — </w:t>
      </w:r>
      <w:r>
        <w:rPr>
          <w:rStyle w:val="CharDivText"/>
        </w:rPr>
        <w:t>Navigational aids</w:t>
      </w:r>
      <w:bookmarkEnd w:id="374"/>
      <w:bookmarkEnd w:id="375"/>
      <w:bookmarkEnd w:id="376"/>
      <w:bookmarkEnd w:id="377"/>
      <w:bookmarkEnd w:id="378"/>
      <w:bookmarkEnd w:id="379"/>
      <w:bookmarkEnd w:id="380"/>
    </w:p>
    <w:p>
      <w:pPr>
        <w:pStyle w:val="Heading5"/>
        <w:rPr>
          <w:snapToGrid w:val="0"/>
        </w:rPr>
      </w:pPr>
      <w:bookmarkStart w:id="381" w:name="_Toc398890047"/>
      <w:bookmarkStart w:id="382" w:name="_Toc1492047"/>
      <w:r>
        <w:rPr>
          <w:rStyle w:val="CharSectno"/>
        </w:rPr>
        <w:t>93</w:t>
      </w:r>
      <w:r>
        <w:rPr>
          <w:snapToGrid w:val="0"/>
        </w:rPr>
        <w:t>.</w:t>
      </w:r>
      <w:r>
        <w:rPr>
          <w:snapToGrid w:val="0"/>
        </w:rPr>
        <w:tab/>
        <w:t>Port authority may provide etc. navigational aids etc.</w:t>
      </w:r>
      <w:bookmarkEnd w:id="381"/>
      <w:bookmarkEnd w:id="382"/>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 or</w:t>
      </w:r>
    </w:p>
    <w:p>
      <w:pPr>
        <w:pStyle w:val="Indenta"/>
      </w:pPr>
      <w:r>
        <w:rPr>
          <w:snapToGrid w:val="0"/>
        </w:rPr>
        <w:tab/>
        <w:t>(b)</w:t>
      </w:r>
      <w:r>
        <w:rPr>
          <w:snapToGrid w:val="0"/>
        </w:rPr>
        <w:tab/>
      </w:r>
      <w:r>
        <w:t>agree to take over the control of a navigational aid for the port; or</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 and</w:t>
      </w:r>
    </w:p>
    <w:p>
      <w:pPr>
        <w:pStyle w:val="Indenta"/>
      </w:pPr>
      <w:r>
        <w:tab/>
        <w:t>(b)</w:t>
      </w:r>
      <w:r>
        <w:tab/>
        <w:t>the port authority; and</w:t>
      </w:r>
    </w:p>
    <w:p>
      <w:pPr>
        <w:pStyle w:val="Indenta"/>
      </w:pPr>
      <w:r>
        <w:tab/>
        <w:t>(c)</w:t>
      </w:r>
      <w:r>
        <w:tab/>
        <w:t>the CEO and members of staff of the port authority; and</w:t>
      </w:r>
    </w:p>
    <w:p>
      <w:pPr>
        <w:pStyle w:val="Indenta"/>
        <w:keepNext/>
        <w:keepLines/>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383" w:name="_Toc398890048"/>
      <w:bookmarkStart w:id="384" w:name="_Toc1492048"/>
      <w:r>
        <w:rPr>
          <w:rStyle w:val="CharSectno"/>
        </w:rPr>
        <w:t>94</w:t>
      </w:r>
      <w:r>
        <w:rPr>
          <w:snapToGrid w:val="0"/>
        </w:rPr>
        <w:t>.</w:t>
      </w:r>
      <w:r>
        <w:rPr>
          <w:snapToGrid w:val="0"/>
        </w:rPr>
        <w:tab/>
        <w:t>Interference with navigational aids, offence</w:t>
      </w:r>
      <w:bookmarkEnd w:id="383"/>
      <w:bookmarkEnd w:id="384"/>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385" w:name="_Toc398890049"/>
      <w:bookmarkStart w:id="386" w:name="_Toc424284484"/>
      <w:bookmarkStart w:id="387" w:name="_Toc468975376"/>
      <w:bookmarkStart w:id="388" w:name="_Toc468975740"/>
      <w:bookmarkStart w:id="389" w:name="_Toc468978074"/>
      <w:bookmarkStart w:id="390" w:name="_Toc1491685"/>
      <w:bookmarkStart w:id="391" w:name="_Toc1492049"/>
      <w:r>
        <w:rPr>
          <w:rStyle w:val="CharDivNo"/>
        </w:rPr>
        <w:t>Division 2</w:t>
      </w:r>
      <w:r>
        <w:rPr>
          <w:snapToGrid w:val="0"/>
        </w:rPr>
        <w:t xml:space="preserve"> — </w:t>
      </w:r>
      <w:r>
        <w:rPr>
          <w:rStyle w:val="CharDivText"/>
        </w:rPr>
        <w:t>Pilotage</w:t>
      </w:r>
      <w:bookmarkEnd w:id="385"/>
      <w:bookmarkEnd w:id="386"/>
      <w:bookmarkEnd w:id="387"/>
      <w:bookmarkEnd w:id="388"/>
      <w:bookmarkEnd w:id="389"/>
      <w:bookmarkEnd w:id="390"/>
      <w:bookmarkEnd w:id="391"/>
      <w:r>
        <w:rPr>
          <w:rStyle w:val="CharDivText"/>
        </w:rPr>
        <w:t xml:space="preserve"> </w:t>
      </w:r>
    </w:p>
    <w:p>
      <w:pPr>
        <w:pStyle w:val="Heading5"/>
        <w:rPr>
          <w:snapToGrid w:val="0"/>
        </w:rPr>
      </w:pPr>
      <w:bookmarkStart w:id="392" w:name="_Toc398890050"/>
      <w:bookmarkStart w:id="393" w:name="_Toc1492050"/>
      <w:r>
        <w:rPr>
          <w:rStyle w:val="CharSectno"/>
        </w:rPr>
        <w:t>95</w:t>
      </w:r>
      <w:r>
        <w:rPr>
          <w:snapToGrid w:val="0"/>
        </w:rPr>
        <w:t>.</w:t>
      </w:r>
      <w:r>
        <w:rPr>
          <w:snapToGrid w:val="0"/>
        </w:rPr>
        <w:tab/>
        <w:t>Terms used in, and application of, this Division</w:t>
      </w:r>
      <w:bookmarkEnd w:id="392"/>
      <w:bookmarkEnd w:id="393"/>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394" w:name="_Toc398890051"/>
      <w:bookmarkStart w:id="395" w:name="_Toc1492051"/>
      <w:r>
        <w:rPr>
          <w:rStyle w:val="CharSectno"/>
        </w:rPr>
        <w:t>96</w:t>
      </w:r>
      <w:r>
        <w:rPr>
          <w:snapToGrid w:val="0"/>
        </w:rPr>
        <w:t>.</w:t>
      </w:r>
      <w:r>
        <w:rPr>
          <w:snapToGrid w:val="0"/>
        </w:rPr>
        <w:tab/>
        <w:t>Port authority to approve pilots and ensure pilotage services are provided</w:t>
      </w:r>
      <w:bookmarkEnd w:id="394"/>
      <w:bookmarkEnd w:id="395"/>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 or</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r>
      <w:r>
        <w:t xml:space="preserve">Subject to subsection (8), </w:t>
      </w:r>
      <w:r>
        <w:rPr>
          <w:snapToGrid w:val="0"/>
        </w:rPr>
        <w:t>any charges for pilotage services provided in a port — </w:t>
      </w:r>
    </w:p>
    <w:p>
      <w:pPr>
        <w:pStyle w:val="Indenta"/>
        <w:rPr>
          <w:snapToGrid w:val="0"/>
        </w:rPr>
      </w:pPr>
      <w:r>
        <w:rPr>
          <w:snapToGrid w:val="0"/>
        </w:rPr>
        <w:tab/>
        <w:t>(a)</w:t>
      </w:r>
      <w:r>
        <w:rPr>
          <w:snapToGrid w:val="0"/>
        </w:rPr>
        <w:tab/>
        <w:t>are to be determined</w:t>
      </w:r>
      <w:r>
        <w:t xml:space="preserve"> under section 37;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Footnotesection"/>
        <w:ind w:left="890" w:hanging="890"/>
      </w:pPr>
      <w:r>
        <w:tab/>
        <w:t>[Section 96 amended: No. 9 of 2014 s. 23.]</w:t>
      </w:r>
    </w:p>
    <w:p>
      <w:pPr>
        <w:pStyle w:val="Heading5"/>
        <w:rPr>
          <w:snapToGrid w:val="0"/>
        </w:rPr>
      </w:pPr>
      <w:bookmarkStart w:id="396" w:name="_Toc398890052"/>
      <w:bookmarkStart w:id="397" w:name="_Toc1492052"/>
      <w:r>
        <w:rPr>
          <w:rStyle w:val="CharSectno"/>
        </w:rPr>
        <w:t>97</w:t>
      </w:r>
      <w:r>
        <w:rPr>
          <w:snapToGrid w:val="0"/>
        </w:rPr>
        <w:t>.</w:t>
      </w:r>
      <w:r>
        <w:rPr>
          <w:snapToGrid w:val="0"/>
        </w:rPr>
        <w:tab/>
        <w:t>Pilotage compulsory in ports</w:t>
      </w:r>
      <w:bookmarkEnd w:id="396"/>
      <w:bookmarkEnd w:id="397"/>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398" w:name="_Toc398890053"/>
      <w:bookmarkStart w:id="399" w:name="_Toc1492053"/>
      <w:r>
        <w:rPr>
          <w:rStyle w:val="CharSectno"/>
        </w:rPr>
        <w:t>98</w:t>
      </w:r>
      <w:r>
        <w:rPr>
          <w:snapToGrid w:val="0"/>
        </w:rPr>
        <w:t>.</w:t>
      </w:r>
      <w:r>
        <w:rPr>
          <w:snapToGrid w:val="0"/>
        </w:rPr>
        <w:tab/>
        <w:t>Pilot under authority of master</w:t>
      </w:r>
      <w:bookmarkEnd w:id="398"/>
      <w:bookmarkEnd w:id="399"/>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400" w:name="_Toc398890054"/>
      <w:bookmarkStart w:id="401" w:name="_Toc1492054"/>
      <w:r>
        <w:rPr>
          <w:rStyle w:val="CharSectno"/>
        </w:rPr>
        <w:t>99</w:t>
      </w:r>
      <w:r>
        <w:rPr>
          <w:snapToGrid w:val="0"/>
        </w:rPr>
        <w:t>.</w:t>
      </w:r>
      <w:r>
        <w:rPr>
          <w:snapToGrid w:val="0"/>
        </w:rPr>
        <w:tab/>
        <w:t>Liability of owner or master of piloted vessel</w:t>
      </w:r>
      <w:bookmarkEnd w:id="400"/>
      <w:bookmarkEnd w:id="401"/>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402" w:name="_Toc398890055"/>
      <w:bookmarkStart w:id="403" w:name="_Toc1492055"/>
      <w:r>
        <w:rPr>
          <w:rStyle w:val="CharSectno"/>
        </w:rPr>
        <w:t>100</w:t>
      </w:r>
      <w:r>
        <w:rPr>
          <w:snapToGrid w:val="0"/>
        </w:rPr>
        <w:t>.</w:t>
      </w:r>
      <w:r>
        <w:rPr>
          <w:snapToGrid w:val="0"/>
        </w:rPr>
        <w:tab/>
        <w:t>Immunity from liability for negligent provision of pilotage services</w:t>
      </w:r>
      <w:bookmarkEnd w:id="402"/>
      <w:bookmarkEnd w:id="403"/>
    </w:p>
    <w:p>
      <w:pPr>
        <w:pStyle w:val="Subsection"/>
        <w:rPr>
          <w:snapToGrid w:val="0"/>
        </w:rPr>
      </w:pPr>
      <w:r>
        <w:tab/>
        <w:t>(1)</w:t>
      </w:r>
      <w:r>
        <w:tab/>
      </w:r>
      <w:r>
        <w:rPr>
          <w:snapToGrid w:val="0"/>
        </w:rPr>
        <w:t xml:space="preserve">Neither the State nor the port authority is liable for any loss or damage resulting from — </w:t>
      </w:r>
    </w:p>
    <w:p>
      <w:pPr>
        <w:pStyle w:val="Indenta"/>
      </w:pPr>
      <w:r>
        <w:tab/>
        <w:t>(a)</w:t>
      </w:r>
      <w:r>
        <w:tab/>
      </w:r>
      <w:r>
        <w:rPr>
          <w:snapToGrid w:val="0"/>
        </w:rPr>
        <w:t>an act or omission by</w:t>
      </w:r>
      <w:r>
        <w:t xml:space="preserve"> a port authority, a harbour master or a member of staff of a port authority in connection with the provision of pilotage services; or</w:t>
      </w:r>
    </w:p>
    <w:p>
      <w:pPr>
        <w:pStyle w:val="Indenta"/>
        <w:rPr>
          <w:snapToGrid w:val="0"/>
        </w:rPr>
      </w:pPr>
      <w:r>
        <w:rPr>
          <w:snapToGrid w:val="0"/>
        </w:rPr>
        <w:tab/>
        <w:t>(b)</w:t>
      </w:r>
      <w:r>
        <w:rPr>
          <w:snapToGrid w:val="0"/>
        </w:rPr>
        <w:tab/>
        <w:t>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Footnotesection"/>
        <w:ind w:left="890" w:hanging="890"/>
      </w:pPr>
      <w:r>
        <w:tab/>
        <w:t>[Section 100 amended: No. 9 of 2014 s. 24.]</w:t>
      </w:r>
    </w:p>
    <w:p>
      <w:pPr>
        <w:pStyle w:val="Heading3"/>
        <w:rPr>
          <w:snapToGrid w:val="0"/>
        </w:rPr>
      </w:pPr>
      <w:bookmarkStart w:id="404" w:name="_Toc398890056"/>
      <w:bookmarkStart w:id="405" w:name="_Toc424284491"/>
      <w:bookmarkStart w:id="406" w:name="_Toc468975383"/>
      <w:bookmarkStart w:id="407" w:name="_Toc468975747"/>
      <w:bookmarkStart w:id="408" w:name="_Toc468978081"/>
      <w:bookmarkStart w:id="409" w:name="_Toc1491692"/>
      <w:bookmarkStart w:id="410" w:name="_Toc1492056"/>
      <w:r>
        <w:rPr>
          <w:rStyle w:val="CharDivNo"/>
        </w:rPr>
        <w:t>Division 3</w:t>
      </w:r>
      <w:r>
        <w:rPr>
          <w:snapToGrid w:val="0"/>
        </w:rPr>
        <w:t> — </w:t>
      </w:r>
      <w:r>
        <w:rPr>
          <w:rStyle w:val="CharDivText"/>
        </w:rPr>
        <w:t>Harbour masters</w:t>
      </w:r>
      <w:bookmarkEnd w:id="404"/>
      <w:bookmarkEnd w:id="405"/>
      <w:bookmarkEnd w:id="406"/>
      <w:bookmarkEnd w:id="407"/>
      <w:bookmarkEnd w:id="408"/>
      <w:bookmarkEnd w:id="409"/>
      <w:bookmarkEnd w:id="410"/>
      <w:r>
        <w:rPr>
          <w:rStyle w:val="CharDivText"/>
        </w:rPr>
        <w:t xml:space="preserve"> </w:t>
      </w:r>
    </w:p>
    <w:p>
      <w:pPr>
        <w:pStyle w:val="Heading5"/>
        <w:rPr>
          <w:snapToGrid w:val="0"/>
        </w:rPr>
      </w:pPr>
      <w:bookmarkStart w:id="411" w:name="_Toc398890057"/>
      <w:bookmarkStart w:id="412" w:name="_Toc1492057"/>
      <w:r>
        <w:rPr>
          <w:rStyle w:val="CharSectno"/>
        </w:rPr>
        <w:t>101</w:t>
      </w:r>
      <w:r>
        <w:rPr>
          <w:snapToGrid w:val="0"/>
        </w:rPr>
        <w:t>.</w:t>
      </w:r>
      <w:r>
        <w:rPr>
          <w:snapToGrid w:val="0"/>
        </w:rPr>
        <w:tab/>
        <w:t>Port includes other declared areas</w:t>
      </w:r>
      <w:bookmarkEnd w:id="411"/>
      <w:bookmarkEnd w:id="412"/>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413" w:name="_Toc398890058"/>
      <w:bookmarkStart w:id="414" w:name="_Toc1492058"/>
      <w:r>
        <w:rPr>
          <w:rStyle w:val="CharSectno"/>
        </w:rPr>
        <w:t>102</w:t>
      </w:r>
      <w:r>
        <w:rPr>
          <w:snapToGrid w:val="0"/>
        </w:rPr>
        <w:t>.</w:t>
      </w:r>
      <w:r>
        <w:rPr>
          <w:snapToGrid w:val="0"/>
        </w:rPr>
        <w:tab/>
        <w:t>Appointment of harbour master and deputy harbour master etc.</w:t>
      </w:r>
      <w:bookmarkEnd w:id="413"/>
      <w:bookmarkEnd w:id="414"/>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 or</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415" w:name="_Toc398890059"/>
      <w:bookmarkStart w:id="416" w:name="_Toc1492059"/>
      <w:r>
        <w:rPr>
          <w:rStyle w:val="CharSectno"/>
        </w:rPr>
        <w:t>103</w:t>
      </w:r>
      <w:r>
        <w:rPr>
          <w:snapToGrid w:val="0"/>
        </w:rPr>
        <w:t>.</w:t>
      </w:r>
      <w:r>
        <w:rPr>
          <w:snapToGrid w:val="0"/>
        </w:rPr>
        <w:tab/>
        <w:t>Functions of harbour master</w:t>
      </w:r>
      <w:bookmarkEnd w:id="415"/>
      <w:bookmarkEnd w:id="416"/>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 and</w:t>
      </w:r>
    </w:p>
    <w:p>
      <w:pPr>
        <w:pStyle w:val="Indenta"/>
        <w:rPr>
          <w:snapToGrid w:val="0"/>
        </w:rPr>
      </w:pPr>
      <w:r>
        <w:rPr>
          <w:snapToGrid w:val="0"/>
        </w:rPr>
        <w:tab/>
        <w:t>(b)</w:t>
      </w:r>
      <w:r>
        <w:rPr>
          <w:snapToGrid w:val="0"/>
        </w:rPr>
        <w:tab/>
        <w:t>to ensure the port is kept free of obstructions or possible obstructions to vessels using the port; and</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417" w:name="_Toc398890060"/>
      <w:bookmarkStart w:id="418" w:name="_Toc1492060"/>
      <w:r>
        <w:rPr>
          <w:rStyle w:val="CharSectno"/>
        </w:rPr>
        <w:t>104</w:t>
      </w:r>
      <w:r>
        <w:rPr>
          <w:snapToGrid w:val="0"/>
        </w:rPr>
        <w:t>.</w:t>
      </w:r>
      <w:r>
        <w:rPr>
          <w:snapToGrid w:val="0"/>
        </w:rPr>
        <w:tab/>
        <w:t>Directions to masters etc.</w:t>
      </w:r>
      <w:bookmarkEnd w:id="417"/>
      <w:bookmarkEnd w:id="418"/>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419" w:name="_Toc398890061"/>
      <w:bookmarkStart w:id="420" w:name="_Toc1492061"/>
      <w:r>
        <w:rPr>
          <w:rStyle w:val="CharSectno"/>
        </w:rPr>
        <w:t>105</w:t>
      </w:r>
      <w:r>
        <w:rPr>
          <w:snapToGrid w:val="0"/>
        </w:rPr>
        <w:t>.</w:t>
      </w:r>
      <w:r>
        <w:rPr>
          <w:snapToGrid w:val="0"/>
        </w:rPr>
        <w:tab/>
        <w:t>Directions as to dangerous things</w:t>
      </w:r>
      <w:bookmarkEnd w:id="419"/>
      <w:bookmarkEnd w:id="42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421" w:name="_Toc398890062"/>
      <w:bookmarkStart w:id="422" w:name="_Toc1492062"/>
      <w:r>
        <w:rPr>
          <w:rStyle w:val="CharSectno"/>
        </w:rPr>
        <w:t>106</w:t>
      </w:r>
      <w:r>
        <w:rPr>
          <w:snapToGrid w:val="0"/>
        </w:rPr>
        <w:t>.</w:t>
      </w:r>
      <w:r>
        <w:rPr>
          <w:snapToGrid w:val="0"/>
        </w:rPr>
        <w:tab/>
        <w:t>Limit on power to order removal of vessels or dangerous things</w:t>
      </w:r>
      <w:bookmarkEnd w:id="421"/>
      <w:bookmarkEnd w:id="422"/>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 or</w:t>
      </w:r>
    </w:p>
    <w:p>
      <w:pPr>
        <w:pStyle w:val="Indenta"/>
        <w:rPr>
          <w:snapToGrid w:val="0"/>
        </w:rPr>
      </w:pPr>
      <w:r>
        <w:rPr>
          <w:snapToGrid w:val="0"/>
        </w:rPr>
        <w:tab/>
        <w:t>(b)</w:t>
      </w:r>
      <w:r>
        <w:rPr>
          <w:snapToGrid w:val="0"/>
        </w:rPr>
        <w:tab/>
        <w:t>hindering the efficiency of the operations of the port; or</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423" w:name="_Toc398890063"/>
      <w:bookmarkStart w:id="424" w:name="_Toc1492063"/>
      <w:r>
        <w:rPr>
          <w:rStyle w:val="CharSectno"/>
        </w:rPr>
        <w:t>107</w:t>
      </w:r>
      <w:r>
        <w:rPr>
          <w:snapToGrid w:val="0"/>
        </w:rPr>
        <w:t>.</w:t>
      </w:r>
      <w:r>
        <w:rPr>
          <w:snapToGrid w:val="0"/>
        </w:rPr>
        <w:tab/>
        <w:t>Ownerless vessels and dangerous things, removal of</w:t>
      </w:r>
      <w:bookmarkEnd w:id="423"/>
      <w:bookmarkEnd w:id="424"/>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425" w:name="_Toc398890064"/>
      <w:bookmarkStart w:id="426" w:name="_Toc1492064"/>
      <w:r>
        <w:rPr>
          <w:rStyle w:val="CharSectno"/>
        </w:rPr>
        <w:t>108</w:t>
      </w:r>
      <w:r>
        <w:rPr>
          <w:snapToGrid w:val="0"/>
        </w:rPr>
        <w:t>.</w:t>
      </w:r>
      <w:r>
        <w:rPr>
          <w:snapToGrid w:val="0"/>
        </w:rPr>
        <w:tab/>
        <w:t>Not obeying s. 104 or 106 direction, offence</w:t>
      </w:r>
      <w:bookmarkEnd w:id="425"/>
      <w:bookmarkEnd w:id="426"/>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427" w:name="_Toc398890065"/>
      <w:bookmarkStart w:id="428" w:name="_Toc1492065"/>
      <w:r>
        <w:rPr>
          <w:rStyle w:val="CharSectno"/>
        </w:rPr>
        <w:t>109</w:t>
      </w:r>
      <w:r>
        <w:rPr>
          <w:snapToGrid w:val="0"/>
        </w:rPr>
        <w:t>.</w:t>
      </w:r>
      <w:r>
        <w:rPr>
          <w:snapToGrid w:val="0"/>
        </w:rPr>
        <w:tab/>
        <w:t>Powers if direction not obeyed</w:t>
      </w:r>
      <w:bookmarkEnd w:id="427"/>
      <w:bookmarkEnd w:id="428"/>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429" w:name="_Toc398890066"/>
      <w:bookmarkStart w:id="430" w:name="_Toc1492066"/>
      <w:r>
        <w:rPr>
          <w:rStyle w:val="CharSectno"/>
        </w:rPr>
        <w:t>110</w:t>
      </w:r>
      <w:r>
        <w:rPr>
          <w:snapToGrid w:val="0"/>
        </w:rPr>
        <w:t>.</w:t>
      </w:r>
      <w:r>
        <w:rPr>
          <w:snapToGrid w:val="0"/>
        </w:rPr>
        <w:tab/>
        <w:t>Recovering port authority’s s. 107 costs</w:t>
      </w:r>
      <w:bookmarkEnd w:id="429"/>
      <w:bookmarkEnd w:id="430"/>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431" w:name="_Toc398890067"/>
      <w:bookmarkStart w:id="432" w:name="_Toc1492067"/>
      <w:r>
        <w:rPr>
          <w:rStyle w:val="CharSectno"/>
        </w:rPr>
        <w:t>111</w:t>
      </w:r>
      <w:r>
        <w:rPr>
          <w:snapToGrid w:val="0"/>
        </w:rPr>
        <w:t>.</w:t>
      </w:r>
      <w:r>
        <w:rPr>
          <w:snapToGrid w:val="0"/>
        </w:rPr>
        <w:tab/>
        <w:t>Immunity from liability for acts under this Division</w:t>
      </w:r>
      <w:bookmarkEnd w:id="431"/>
      <w:bookmarkEnd w:id="432"/>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433" w:name="_Toc398890068"/>
      <w:bookmarkStart w:id="434" w:name="_Toc1492068"/>
      <w:r>
        <w:rPr>
          <w:rStyle w:val="CharSectno"/>
        </w:rPr>
        <w:t>112</w:t>
      </w:r>
      <w:r>
        <w:rPr>
          <w:snapToGrid w:val="0"/>
        </w:rPr>
        <w:t>.</w:t>
      </w:r>
      <w:r>
        <w:rPr>
          <w:snapToGrid w:val="0"/>
        </w:rPr>
        <w:tab/>
        <w:t>Hindering harbour master etc., offence</w:t>
      </w:r>
      <w:bookmarkEnd w:id="433"/>
      <w:bookmarkEnd w:id="434"/>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435" w:name="_Toc398890069"/>
      <w:bookmarkStart w:id="436" w:name="_Toc424284504"/>
      <w:bookmarkStart w:id="437" w:name="_Toc468975396"/>
      <w:bookmarkStart w:id="438" w:name="_Toc468975760"/>
      <w:bookmarkStart w:id="439" w:name="_Toc468978094"/>
      <w:bookmarkStart w:id="440" w:name="_Toc1491705"/>
      <w:bookmarkStart w:id="441" w:name="_Toc1492069"/>
      <w:r>
        <w:rPr>
          <w:rStyle w:val="CharDivNo"/>
        </w:rPr>
        <w:t>Division 4</w:t>
      </w:r>
      <w:r>
        <w:rPr>
          <w:snapToGrid w:val="0"/>
        </w:rPr>
        <w:t> — </w:t>
      </w:r>
      <w:r>
        <w:rPr>
          <w:rStyle w:val="CharDivText"/>
        </w:rPr>
        <w:t>Damage in a port caused by vessels etc.</w:t>
      </w:r>
      <w:bookmarkEnd w:id="435"/>
      <w:bookmarkEnd w:id="436"/>
      <w:bookmarkEnd w:id="437"/>
      <w:bookmarkEnd w:id="438"/>
      <w:bookmarkEnd w:id="439"/>
      <w:bookmarkEnd w:id="440"/>
      <w:bookmarkEnd w:id="441"/>
      <w:r>
        <w:rPr>
          <w:rStyle w:val="CharDivText"/>
        </w:rPr>
        <w:t xml:space="preserve"> </w:t>
      </w:r>
    </w:p>
    <w:p>
      <w:pPr>
        <w:pStyle w:val="Heading5"/>
        <w:rPr>
          <w:snapToGrid w:val="0"/>
        </w:rPr>
      </w:pPr>
      <w:bookmarkStart w:id="442" w:name="_Toc398890070"/>
      <w:bookmarkStart w:id="443" w:name="_Toc1492070"/>
      <w:r>
        <w:rPr>
          <w:rStyle w:val="CharSectno"/>
        </w:rPr>
        <w:t>113</w:t>
      </w:r>
      <w:r>
        <w:rPr>
          <w:snapToGrid w:val="0"/>
        </w:rPr>
        <w:t>.</w:t>
      </w:r>
      <w:r>
        <w:rPr>
          <w:snapToGrid w:val="0"/>
        </w:rPr>
        <w:tab/>
        <w:t>Responsibility for damage to port facilities or property</w:t>
      </w:r>
      <w:bookmarkEnd w:id="442"/>
      <w:bookmarkEnd w:id="443"/>
      <w:r>
        <w:rPr>
          <w:snapToGrid w:val="0"/>
        </w:rPr>
        <w:t xml:space="preserve"> </w:t>
      </w:r>
    </w:p>
    <w:p>
      <w:pPr>
        <w:pStyle w:val="Subsection"/>
      </w:pPr>
      <w:r>
        <w:tab/>
        <w:t>(1A)</w:t>
      </w:r>
      <w:r>
        <w:tab/>
        <w:t xml:space="preserve">In this section — </w:t>
      </w:r>
    </w:p>
    <w:p>
      <w:pPr>
        <w:pStyle w:val="Defstart"/>
      </w:pPr>
      <w:r>
        <w:tab/>
      </w:r>
      <w:r>
        <w:rPr>
          <w:rStyle w:val="CharDefText"/>
        </w:rPr>
        <w:t>prescribed thing</w:t>
      </w:r>
      <w:r>
        <w:t xml:space="preserve"> means — </w:t>
      </w:r>
    </w:p>
    <w:p>
      <w:pPr>
        <w:pStyle w:val="Defpara"/>
      </w:pPr>
      <w:r>
        <w:tab/>
        <w:t>(a)</w:t>
      </w:r>
      <w:r>
        <w:tab/>
        <w:t>any floating object; or</w:t>
      </w:r>
    </w:p>
    <w:p>
      <w:pPr>
        <w:pStyle w:val="Defpara"/>
      </w:pPr>
      <w:r>
        <w:tab/>
        <w:t>(b)</w:t>
      </w:r>
      <w:r>
        <w:tab/>
        <w:t>any material, product or substance (whether solid, liquid or gas); or</w:t>
      </w:r>
    </w:p>
    <w:p>
      <w:pPr>
        <w:pStyle w:val="Defpara"/>
      </w:pPr>
      <w:r>
        <w:tab/>
        <w:t>(c)</w:t>
      </w:r>
      <w:r>
        <w:tab/>
        <w:t>any vehicle, plant, machinery, equipment or infrastructure.</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 or</w:t>
      </w:r>
    </w:p>
    <w:p>
      <w:pPr>
        <w:pStyle w:val="Indenta"/>
      </w:pPr>
      <w:r>
        <w:tab/>
        <w:t>(b)</w:t>
      </w:r>
      <w:r>
        <w:tab/>
        <w:t>a prescribed thing; or</w:t>
      </w:r>
    </w:p>
    <w:p>
      <w:pPr>
        <w:pStyle w:val="Indenta"/>
        <w:rPr>
          <w:snapToGrid w:val="0"/>
        </w:rPr>
      </w:pPr>
      <w:r>
        <w:tab/>
        <w:t>(c)</w:t>
      </w:r>
      <w:r>
        <w:tab/>
        <w:t xml:space="preserve">any person employed in, on or in relation to, a </w:t>
      </w:r>
      <w:r>
        <w:rPr>
          <w:snapToGrid w:val="0"/>
        </w:rPr>
        <w:t>vessel, or its equipment or cargo, or a prescribed thing.</w:t>
      </w:r>
    </w:p>
    <w:p>
      <w:pPr>
        <w:pStyle w:val="Ednotepara"/>
        <w:rPr>
          <w:snapToGrid w:val="0"/>
        </w:rPr>
      </w:pPr>
      <w:r>
        <w:tab/>
        <w:t>[(d)</w:t>
      </w:r>
      <w:r>
        <w:tab/>
        <w:t>deleted]</w:t>
      </w:r>
    </w:p>
    <w:p>
      <w:pPr>
        <w:pStyle w:val="Subsection"/>
        <w:rPr>
          <w:snapToGrid w:val="0"/>
        </w:rPr>
      </w:pPr>
      <w:r>
        <w:rPr>
          <w:snapToGrid w:val="0"/>
        </w:rPr>
        <w:tab/>
        <w:t>(2)</w:t>
      </w:r>
      <w:r>
        <w:rPr>
          <w:snapToGrid w:val="0"/>
        </w:rPr>
        <w:tab/>
        <w:t>If this section applies, the owner of the vessel or prescribed thing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or control of the prescribed thing,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or prescribed thing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Footnotesection"/>
        <w:ind w:left="890" w:hanging="890"/>
      </w:pPr>
      <w:r>
        <w:tab/>
        <w:t>[Section 113 amended: No. 9 of 2014 s. 25.]</w:t>
      </w:r>
    </w:p>
    <w:p>
      <w:pPr>
        <w:pStyle w:val="Heading3"/>
        <w:rPr>
          <w:snapToGrid w:val="0"/>
        </w:rPr>
      </w:pPr>
      <w:bookmarkStart w:id="444" w:name="_Toc398890071"/>
      <w:bookmarkStart w:id="445" w:name="_Toc424284506"/>
      <w:bookmarkStart w:id="446" w:name="_Toc468975398"/>
      <w:bookmarkStart w:id="447" w:name="_Toc468975762"/>
      <w:bookmarkStart w:id="448" w:name="_Toc468978096"/>
      <w:bookmarkStart w:id="449" w:name="_Toc1491707"/>
      <w:bookmarkStart w:id="450" w:name="_Toc1492071"/>
      <w:r>
        <w:rPr>
          <w:rStyle w:val="CharDivNo"/>
        </w:rPr>
        <w:t>Division 5</w:t>
      </w:r>
      <w:r>
        <w:rPr>
          <w:snapToGrid w:val="0"/>
        </w:rPr>
        <w:t xml:space="preserve"> — </w:t>
      </w:r>
      <w:r>
        <w:rPr>
          <w:rStyle w:val="CharDivText"/>
        </w:rPr>
        <w:t>Port safety</w:t>
      </w:r>
      <w:bookmarkEnd w:id="444"/>
      <w:bookmarkEnd w:id="445"/>
      <w:bookmarkEnd w:id="446"/>
      <w:bookmarkEnd w:id="447"/>
      <w:bookmarkEnd w:id="448"/>
      <w:bookmarkEnd w:id="449"/>
      <w:bookmarkEnd w:id="450"/>
    </w:p>
    <w:p>
      <w:pPr>
        <w:pStyle w:val="Heading5"/>
      </w:pPr>
      <w:bookmarkStart w:id="451" w:name="_Toc398890072"/>
      <w:bookmarkStart w:id="452" w:name="_Toc1492072"/>
      <w:r>
        <w:rPr>
          <w:rStyle w:val="CharSectno"/>
        </w:rPr>
        <w:t>114</w:t>
      </w:r>
      <w:r>
        <w:t>.</w:t>
      </w:r>
      <w:r>
        <w:tab/>
        <w:t>Marine safety plan, port authority to have</w:t>
      </w:r>
      <w:bookmarkEnd w:id="451"/>
      <w:bookmarkEnd w:id="452"/>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453" w:name="_Toc398890073"/>
      <w:bookmarkStart w:id="454" w:name="_Toc424284508"/>
      <w:bookmarkStart w:id="455" w:name="_Toc468975400"/>
      <w:bookmarkStart w:id="456" w:name="_Toc468975764"/>
      <w:bookmarkStart w:id="457" w:name="_Toc468978098"/>
      <w:bookmarkStart w:id="458" w:name="_Toc1491709"/>
      <w:bookmarkStart w:id="459" w:name="_Toc1492073"/>
      <w:r>
        <w:rPr>
          <w:rStyle w:val="CharDivNo"/>
        </w:rPr>
        <w:t>Division 6</w:t>
      </w:r>
      <w:r>
        <w:t xml:space="preserve"> — </w:t>
      </w:r>
      <w:r>
        <w:rPr>
          <w:rStyle w:val="CharDivText"/>
        </w:rPr>
        <w:t>Powers of police officers and others</w:t>
      </w:r>
      <w:bookmarkEnd w:id="453"/>
      <w:bookmarkEnd w:id="454"/>
      <w:bookmarkEnd w:id="455"/>
      <w:bookmarkEnd w:id="456"/>
      <w:bookmarkEnd w:id="457"/>
      <w:bookmarkEnd w:id="458"/>
      <w:bookmarkEnd w:id="459"/>
      <w:r>
        <w:t xml:space="preserve"> </w:t>
      </w:r>
    </w:p>
    <w:p>
      <w:pPr>
        <w:pStyle w:val="Footnoteheading"/>
        <w:keepNext/>
        <w:keepLines/>
        <w:tabs>
          <w:tab w:val="left" w:pos="851"/>
        </w:tabs>
      </w:pPr>
      <w:r>
        <w:tab/>
        <w:t>[Heading inserted: No. 71 of 2003 s. 7.]</w:t>
      </w:r>
    </w:p>
    <w:p>
      <w:pPr>
        <w:pStyle w:val="Heading5"/>
      </w:pPr>
      <w:bookmarkStart w:id="460" w:name="_Toc398890074"/>
      <w:bookmarkStart w:id="461" w:name="_Toc1492074"/>
      <w:r>
        <w:rPr>
          <w:rStyle w:val="CharSectno"/>
        </w:rPr>
        <w:t>114A</w:t>
      </w:r>
      <w:r>
        <w:t>.</w:t>
      </w:r>
      <w:r>
        <w:tab/>
        <w:t>Police officers and others may enter vessels and conduct examinations and enquiries</w:t>
      </w:r>
      <w:bookmarkEnd w:id="460"/>
      <w:bookmarkEnd w:id="461"/>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keepNext/>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No. 71 of 2003 s. 7.]</w:t>
      </w:r>
    </w:p>
    <w:p>
      <w:pPr>
        <w:pStyle w:val="Heading3"/>
      </w:pPr>
      <w:bookmarkStart w:id="462" w:name="_Toc398890075"/>
      <w:bookmarkStart w:id="463" w:name="_Toc424284510"/>
      <w:bookmarkStart w:id="464" w:name="_Toc468975402"/>
      <w:bookmarkStart w:id="465" w:name="_Toc468975766"/>
      <w:bookmarkStart w:id="466" w:name="_Toc468978100"/>
      <w:bookmarkStart w:id="467" w:name="_Toc1491711"/>
      <w:bookmarkStart w:id="468" w:name="_Toc1492075"/>
      <w:r>
        <w:rPr>
          <w:rStyle w:val="CharDivNo"/>
        </w:rPr>
        <w:t>Division 7</w:t>
      </w:r>
      <w:r>
        <w:t xml:space="preserve"> — </w:t>
      </w:r>
      <w:r>
        <w:rPr>
          <w:rStyle w:val="CharDivText"/>
        </w:rPr>
        <w:t>Protection from liability</w:t>
      </w:r>
      <w:bookmarkEnd w:id="462"/>
      <w:bookmarkEnd w:id="463"/>
      <w:bookmarkEnd w:id="464"/>
      <w:bookmarkEnd w:id="465"/>
      <w:bookmarkEnd w:id="466"/>
      <w:bookmarkEnd w:id="467"/>
      <w:bookmarkEnd w:id="468"/>
    </w:p>
    <w:p>
      <w:pPr>
        <w:pStyle w:val="Footnoteheading"/>
        <w:tabs>
          <w:tab w:val="left" w:pos="851"/>
        </w:tabs>
      </w:pPr>
      <w:r>
        <w:tab/>
        <w:t>[Heading inserted: No. 71 of 2003 s. 7.]</w:t>
      </w:r>
    </w:p>
    <w:p>
      <w:pPr>
        <w:pStyle w:val="Heading5"/>
      </w:pPr>
      <w:bookmarkStart w:id="469" w:name="_Toc398890076"/>
      <w:bookmarkStart w:id="470" w:name="_Toc1492076"/>
      <w:r>
        <w:rPr>
          <w:rStyle w:val="CharSectno"/>
        </w:rPr>
        <w:t>114B</w:t>
      </w:r>
      <w:r>
        <w:t>.</w:t>
      </w:r>
      <w:r>
        <w:tab/>
        <w:t>Immunity from liability for damage to vessels</w:t>
      </w:r>
      <w:bookmarkEnd w:id="469"/>
      <w:bookmarkEnd w:id="470"/>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pPr>
      <w:r>
        <w:tab/>
        <w:t>(b)</w:t>
      </w:r>
      <w:r>
        <w:tab/>
        <w:t>that results from a defect in a mooring, anchorage or berth, or anything else, provided by the port authority.</w:t>
      </w:r>
    </w:p>
    <w:p>
      <w:pPr>
        <w:pStyle w:val="Footnotesection"/>
        <w:ind w:left="890" w:hanging="890"/>
      </w:pPr>
      <w:r>
        <w:tab/>
        <w:t>[Section 114B inserted: No. 71 of 2003 s. 7.]</w:t>
      </w:r>
    </w:p>
    <w:p>
      <w:pPr>
        <w:pStyle w:val="Heading5"/>
      </w:pPr>
      <w:bookmarkStart w:id="471" w:name="_Toc398890077"/>
      <w:bookmarkStart w:id="472" w:name="_Toc1492077"/>
      <w:r>
        <w:rPr>
          <w:rStyle w:val="CharSectno"/>
        </w:rPr>
        <w:t>114C</w:t>
      </w:r>
      <w:r>
        <w:t>.</w:t>
      </w:r>
      <w:r>
        <w:tab/>
        <w:t>Immunity from liability for damaged goods</w:t>
      </w:r>
      <w:bookmarkEnd w:id="471"/>
      <w:bookmarkEnd w:id="472"/>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No. 71 of 2003 s. 7.]</w:t>
      </w:r>
    </w:p>
    <w:p>
      <w:pPr>
        <w:pStyle w:val="Heading5"/>
      </w:pPr>
      <w:bookmarkStart w:id="473" w:name="_Toc398890078"/>
      <w:bookmarkStart w:id="474" w:name="_Toc1492078"/>
      <w:r>
        <w:rPr>
          <w:rStyle w:val="CharSectno"/>
        </w:rPr>
        <w:t>114D</w:t>
      </w:r>
      <w:r>
        <w:t>.</w:t>
      </w:r>
      <w:r>
        <w:tab/>
        <w:t>Immunity from liability for delay in delivery of goods</w:t>
      </w:r>
      <w:bookmarkEnd w:id="473"/>
      <w:bookmarkEnd w:id="474"/>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No. 71 of 2003 s. 7.]</w:t>
      </w:r>
    </w:p>
    <w:p>
      <w:pPr>
        <w:pStyle w:val="Heading5"/>
      </w:pPr>
      <w:bookmarkStart w:id="475" w:name="_Toc398890079"/>
      <w:bookmarkStart w:id="476" w:name="_Toc1492079"/>
      <w:r>
        <w:rPr>
          <w:rStyle w:val="CharSectno"/>
        </w:rPr>
        <w:t>114EA</w:t>
      </w:r>
      <w:r>
        <w:t>.</w:t>
      </w:r>
      <w:r>
        <w:tab/>
        <w:t>Immunity from liability for acts or omissions of port users</w:t>
      </w:r>
      <w:bookmarkEnd w:id="475"/>
      <w:bookmarkEnd w:id="476"/>
    </w:p>
    <w:p>
      <w:pPr>
        <w:pStyle w:val="Subsection"/>
      </w:pPr>
      <w:r>
        <w:tab/>
        <w:t>(1)</w:t>
      </w:r>
      <w:r>
        <w:tab/>
        <w:t>A port authority is not liable for any loss or damage resulting from an act or omission of a person who is, or is acting on behalf of, a user of its port.</w:t>
      </w:r>
    </w:p>
    <w:p>
      <w:pPr>
        <w:pStyle w:val="Subsection"/>
      </w:pPr>
      <w:r>
        <w:tab/>
        <w:t>(2)</w:t>
      </w:r>
      <w:r>
        <w:tab/>
        <w:t>Subsection (1) does not affect any liability a port authority might have for breach of contract.</w:t>
      </w:r>
    </w:p>
    <w:p>
      <w:pPr>
        <w:pStyle w:val="Footnotesection"/>
      </w:pPr>
      <w:r>
        <w:tab/>
        <w:t>[Section 114EA inserted: No. 9 of 2014 s. 26.]</w:t>
      </w:r>
    </w:p>
    <w:p>
      <w:pPr>
        <w:pStyle w:val="Heading5"/>
      </w:pPr>
      <w:bookmarkStart w:id="477" w:name="_Toc398890080"/>
      <w:bookmarkStart w:id="478" w:name="_Toc1492080"/>
      <w:r>
        <w:rPr>
          <w:rStyle w:val="CharSectno"/>
        </w:rPr>
        <w:t>114E</w:t>
      </w:r>
      <w:r>
        <w:t>.</w:t>
      </w:r>
      <w:r>
        <w:tab/>
        <w:t>Immunity from liability for certain events and actions</w:t>
      </w:r>
      <w:bookmarkEnd w:id="477"/>
      <w:bookmarkEnd w:id="478"/>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 or</w:t>
      </w:r>
    </w:p>
    <w:p>
      <w:pPr>
        <w:pStyle w:val="Indenta"/>
      </w:pPr>
      <w:r>
        <w:tab/>
        <w:t>(b)</w:t>
      </w:r>
      <w:r>
        <w:tab/>
        <w:t>an act of war; or</w:t>
      </w:r>
    </w:p>
    <w:p>
      <w:pPr>
        <w:pStyle w:val="Indenta"/>
      </w:pPr>
      <w:r>
        <w:tab/>
        <w:t>(c)</w:t>
      </w:r>
      <w:r>
        <w:tab/>
        <w:t>an act of public enemies; or</w:t>
      </w:r>
    </w:p>
    <w:p>
      <w:pPr>
        <w:pStyle w:val="Indenta"/>
      </w:pPr>
      <w:r>
        <w:tab/>
        <w:t>(d)</w:t>
      </w:r>
      <w:r>
        <w:tab/>
        <w:t>any insurrection, revolution or civil disorder; or</w:t>
      </w:r>
    </w:p>
    <w:p>
      <w:pPr>
        <w:pStyle w:val="Indenta"/>
      </w:pPr>
      <w:r>
        <w:tab/>
        <w:t>(e)</w:t>
      </w:r>
      <w:r>
        <w:tab/>
        <w:t>the unlawful seizure or control of any people or any vessels, vehicles or other property; or</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No. 71 of 2003 s. 7.]</w:t>
      </w:r>
    </w:p>
    <w:p>
      <w:pPr>
        <w:pStyle w:val="Heading2"/>
      </w:pPr>
      <w:bookmarkStart w:id="479" w:name="_Toc398890081"/>
      <w:bookmarkStart w:id="480" w:name="_Toc424284516"/>
      <w:bookmarkStart w:id="481" w:name="_Toc468975408"/>
      <w:bookmarkStart w:id="482" w:name="_Toc468975772"/>
      <w:bookmarkStart w:id="483" w:name="_Toc468978106"/>
      <w:bookmarkStart w:id="484" w:name="_Toc1491717"/>
      <w:bookmarkStart w:id="485" w:name="_Toc1492081"/>
      <w:r>
        <w:rPr>
          <w:rStyle w:val="CharPartNo"/>
        </w:rPr>
        <w:t>Part 8</w:t>
      </w:r>
      <w:r>
        <w:rPr>
          <w:rStyle w:val="CharDivNo"/>
        </w:rPr>
        <w:t xml:space="preserve"> </w:t>
      </w:r>
      <w:r>
        <w:t>—</w:t>
      </w:r>
      <w:r>
        <w:rPr>
          <w:rStyle w:val="CharDivText"/>
        </w:rPr>
        <w:t xml:space="preserve"> </w:t>
      </w:r>
      <w:r>
        <w:rPr>
          <w:rStyle w:val="CharPartText"/>
        </w:rPr>
        <w:t>Port charges</w:t>
      </w:r>
      <w:bookmarkEnd w:id="479"/>
      <w:bookmarkEnd w:id="480"/>
      <w:bookmarkEnd w:id="481"/>
      <w:bookmarkEnd w:id="482"/>
      <w:bookmarkEnd w:id="483"/>
      <w:bookmarkEnd w:id="484"/>
      <w:bookmarkEnd w:id="485"/>
      <w:r>
        <w:rPr>
          <w:rStyle w:val="CharPartText"/>
        </w:rPr>
        <w:t xml:space="preserve"> </w:t>
      </w:r>
    </w:p>
    <w:p>
      <w:pPr>
        <w:pStyle w:val="Heading5"/>
        <w:rPr>
          <w:snapToGrid w:val="0"/>
        </w:rPr>
      </w:pPr>
      <w:bookmarkStart w:id="486" w:name="_Toc398890082"/>
      <w:bookmarkStart w:id="487" w:name="_Toc1492082"/>
      <w:r>
        <w:rPr>
          <w:rStyle w:val="CharSectno"/>
        </w:rPr>
        <w:t>115</w:t>
      </w:r>
      <w:r>
        <w:rPr>
          <w:snapToGrid w:val="0"/>
        </w:rPr>
        <w:t>.</w:t>
      </w:r>
      <w:r>
        <w:rPr>
          <w:snapToGrid w:val="0"/>
        </w:rPr>
        <w:tab/>
        <w:t>Term used: port charges; application of this Part</w:t>
      </w:r>
      <w:bookmarkEnd w:id="486"/>
      <w:bookmarkEnd w:id="487"/>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 or</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488" w:name="_Toc398890083"/>
      <w:bookmarkStart w:id="489" w:name="_Toc1492083"/>
      <w:r>
        <w:rPr>
          <w:rStyle w:val="CharSectno"/>
        </w:rPr>
        <w:t>116</w:t>
      </w:r>
      <w:r>
        <w:rPr>
          <w:snapToGrid w:val="0"/>
        </w:rPr>
        <w:t>.</w:t>
      </w:r>
      <w:r>
        <w:rPr>
          <w:snapToGrid w:val="0"/>
        </w:rPr>
        <w:tab/>
        <w:t>Liability to pay port charges in respect of vessels</w:t>
      </w:r>
      <w:bookmarkEnd w:id="488"/>
      <w:bookmarkEnd w:id="489"/>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490" w:name="_Toc398890084"/>
      <w:bookmarkStart w:id="491" w:name="_Toc1492084"/>
      <w:r>
        <w:rPr>
          <w:rStyle w:val="CharSectno"/>
        </w:rPr>
        <w:t>117</w:t>
      </w:r>
      <w:r>
        <w:rPr>
          <w:snapToGrid w:val="0"/>
        </w:rPr>
        <w:t>.</w:t>
      </w:r>
      <w:r>
        <w:rPr>
          <w:snapToGrid w:val="0"/>
        </w:rPr>
        <w:tab/>
        <w:t>Liability to pay port charges in respect of goods</w:t>
      </w:r>
      <w:bookmarkEnd w:id="490"/>
      <w:bookmarkEnd w:id="491"/>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492" w:name="_Toc398890085"/>
      <w:bookmarkStart w:id="493" w:name="_Toc1492085"/>
      <w:r>
        <w:rPr>
          <w:rStyle w:val="CharSectno"/>
        </w:rPr>
        <w:t>118</w:t>
      </w:r>
      <w:r>
        <w:rPr>
          <w:snapToGrid w:val="0"/>
        </w:rPr>
        <w:t>.</w:t>
      </w:r>
      <w:r>
        <w:rPr>
          <w:snapToGrid w:val="0"/>
        </w:rPr>
        <w:tab/>
        <w:t>Recovery of port charges by port authority</w:t>
      </w:r>
      <w:bookmarkEnd w:id="492"/>
      <w:bookmarkEnd w:id="493"/>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494" w:name="_Toc398890086"/>
      <w:bookmarkStart w:id="495" w:name="_Toc1492086"/>
      <w:r>
        <w:rPr>
          <w:rStyle w:val="CharSectno"/>
        </w:rPr>
        <w:t>119</w:t>
      </w:r>
      <w:r>
        <w:rPr>
          <w:snapToGrid w:val="0"/>
        </w:rPr>
        <w:t>.</w:t>
      </w:r>
      <w:r>
        <w:rPr>
          <w:snapToGrid w:val="0"/>
        </w:rPr>
        <w:tab/>
        <w:t>Collectors of port charges</w:t>
      </w:r>
      <w:bookmarkEnd w:id="494"/>
      <w:bookmarkEnd w:id="495"/>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496" w:name="_Toc398890087"/>
      <w:bookmarkStart w:id="497" w:name="_Toc424284522"/>
      <w:bookmarkStart w:id="498" w:name="_Toc468975414"/>
      <w:bookmarkStart w:id="499" w:name="_Toc468975778"/>
      <w:bookmarkStart w:id="500" w:name="_Toc468978112"/>
      <w:bookmarkStart w:id="501" w:name="_Toc1491723"/>
      <w:bookmarkStart w:id="502" w:name="_Toc1492087"/>
      <w:r>
        <w:rPr>
          <w:rStyle w:val="CharPartNo"/>
        </w:rPr>
        <w:t>Part 9</w:t>
      </w:r>
      <w:r>
        <w:t xml:space="preserve"> — </w:t>
      </w:r>
      <w:r>
        <w:rPr>
          <w:rStyle w:val="CharPartText"/>
        </w:rPr>
        <w:t>Proceedings for offences</w:t>
      </w:r>
      <w:bookmarkEnd w:id="496"/>
      <w:bookmarkEnd w:id="497"/>
      <w:bookmarkEnd w:id="498"/>
      <w:bookmarkEnd w:id="499"/>
      <w:bookmarkEnd w:id="500"/>
      <w:bookmarkEnd w:id="501"/>
      <w:bookmarkEnd w:id="502"/>
      <w:r>
        <w:rPr>
          <w:rStyle w:val="CharPartText"/>
        </w:rPr>
        <w:t xml:space="preserve"> </w:t>
      </w:r>
    </w:p>
    <w:p>
      <w:pPr>
        <w:pStyle w:val="Heading3"/>
        <w:rPr>
          <w:snapToGrid w:val="0"/>
        </w:rPr>
      </w:pPr>
      <w:bookmarkStart w:id="503" w:name="_Toc398890088"/>
      <w:bookmarkStart w:id="504" w:name="_Toc424284523"/>
      <w:bookmarkStart w:id="505" w:name="_Toc468975415"/>
      <w:bookmarkStart w:id="506" w:name="_Toc468975779"/>
      <w:bookmarkStart w:id="507" w:name="_Toc468978113"/>
      <w:bookmarkStart w:id="508" w:name="_Toc1491724"/>
      <w:bookmarkStart w:id="509" w:name="_Toc1492088"/>
      <w:r>
        <w:rPr>
          <w:rStyle w:val="CharDivNo"/>
        </w:rPr>
        <w:t xml:space="preserve">Division 1 </w:t>
      </w:r>
      <w:r>
        <w:rPr>
          <w:snapToGrid w:val="0"/>
        </w:rPr>
        <w:t>— </w:t>
      </w:r>
      <w:r>
        <w:rPr>
          <w:rStyle w:val="CharDivText"/>
        </w:rPr>
        <w:t>General</w:t>
      </w:r>
      <w:bookmarkEnd w:id="503"/>
      <w:bookmarkEnd w:id="504"/>
      <w:bookmarkEnd w:id="505"/>
      <w:bookmarkEnd w:id="506"/>
      <w:bookmarkEnd w:id="507"/>
      <w:bookmarkEnd w:id="508"/>
      <w:bookmarkEnd w:id="509"/>
      <w:r>
        <w:rPr>
          <w:rStyle w:val="CharDivText"/>
        </w:rPr>
        <w:t xml:space="preserve"> </w:t>
      </w:r>
    </w:p>
    <w:p>
      <w:pPr>
        <w:pStyle w:val="Heading5"/>
        <w:rPr>
          <w:snapToGrid w:val="0"/>
        </w:rPr>
      </w:pPr>
      <w:bookmarkStart w:id="510" w:name="_Toc398890089"/>
      <w:bookmarkStart w:id="511" w:name="_Toc1492089"/>
      <w:r>
        <w:rPr>
          <w:rStyle w:val="CharSectno"/>
        </w:rPr>
        <w:t>120</w:t>
      </w:r>
      <w:r>
        <w:rPr>
          <w:snapToGrid w:val="0"/>
        </w:rPr>
        <w:t>.</w:t>
      </w:r>
      <w:r>
        <w:rPr>
          <w:snapToGrid w:val="0"/>
        </w:rPr>
        <w:tab/>
        <w:t>Who can commence prosecutions</w:t>
      </w:r>
      <w:bookmarkEnd w:id="510"/>
      <w:bookmarkEnd w:id="511"/>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No. 84 of 2004 s. 80.] </w:t>
      </w:r>
    </w:p>
    <w:p>
      <w:pPr>
        <w:pStyle w:val="Heading5"/>
        <w:rPr>
          <w:snapToGrid w:val="0"/>
        </w:rPr>
      </w:pPr>
      <w:bookmarkStart w:id="512" w:name="_Toc398890090"/>
      <w:bookmarkStart w:id="513" w:name="_Toc1492090"/>
      <w:r>
        <w:rPr>
          <w:rStyle w:val="CharSectno"/>
        </w:rPr>
        <w:t>121</w:t>
      </w:r>
      <w:r>
        <w:rPr>
          <w:snapToGrid w:val="0"/>
        </w:rPr>
        <w:t>.</w:t>
      </w:r>
      <w:r>
        <w:rPr>
          <w:snapToGrid w:val="0"/>
        </w:rPr>
        <w:tab/>
        <w:t>Time limit for prosecutions</w:t>
      </w:r>
      <w:bookmarkEnd w:id="512"/>
      <w:bookmarkEnd w:id="513"/>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514" w:name="_Toc398890091"/>
      <w:bookmarkStart w:id="515" w:name="_Toc1492091"/>
      <w:r>
        <w:rPr>
          <w:rStyle w:val="CharSectno"/>
        </w:rPr>
        <w:t>122</w:t>
      </w:r>
      <w:r>
        <w:rPr>
          <w:snapToGrid w:val="0"/>
        </w:rPr>
        <w:t>.</w:t>
      </w:r>
      <w:r>
        <w:rPr>
          <w:snapToGrid w:val="0"/>
        </w:rPr>
        <w:tab/>
        <w:t>Averment as to place of offence</w:t>
      </w:r>
      <w:bookmarkEnd w:id="514"/>
      <w:bookmarkEnd w:id="515"/>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516" w:name="_Toc398890092"/>
      <w:bookmarkStart w:id="517" w:name="_Toc424284527"/>
      <w:bookmarkStart w:id="518" w:name="_Toc468975419"/>
      <w:bookmarkStart w:id="519" w:name="_Toc468975783"/>
      <w:bookmarkStart w:id="520" w:name="_Toc468978117"/>
      <w:bookmarkStart w:id="521" w:name="_Toc1491728"/>
      <w:bookmarkStart w:id="522" w:name="_Toc1492092"/>
      <w:r>
        <w:rPr>
          <w:rStyle w:val="CharDivNo"/>
        </w:rPr>
        <w:t>Division 2</w:t>
      </w:r>
      <w:r>
        <w:rPr>
          <w:snapToGrid w:val="0"/>
        </w:rPr>
        <w:t> — </w:t>
      </w:r>
      <w:r>
        <w:rPr>
          <w:rStyle w:val="CharDivText"/>
        </w:rPr>
        <w:t>Infringement notices</w:t>
      </w:r>
      <w:bookmarkEnd w:id="516"/>
      <w:bookmarkEnd w:id="517"/>
      <w:bookmarkEnd w:id="518"/>
      <w:bookmarkEnd w:id="519"/>
      <w:bookmarkEnd w:id="520"/>
      <w:bookmarkEnd w:id="521"/>
      <w:bookmarkEnd w:id="522"/>
      <w:r>
        <w:rPr>
          <w:rStyle w:val="CharDivText"/>
        </w:rPr>
        <w:t xml:space="preserve"> </w:t>
      </w:r>
    </w:p>
    <w:p>
      <w:pPr>
        <w:pStyle w:val="Heading5"/>
        <w:rPr>
          <w:snapToGrid w:val="0"/>
        </w:rPr>
      </w:pPr>
      <w:bookmarkStart w:id="523" w:name="_Toc398890093"/>
      <w:bookmarkStart w:id="524" w:name="_Toc1492093"/>
      <w:r>
        <w:rPr>
          <w:rStyle w:val="CharSectno"/>
        </w:rPr>
        <w:t>123</w:t>
      </w:r>
      <w:r>
        <w:rPr>
          <w:snapToGrid w:val="0"/>
        </w:rPr>
        <w:t>.</w:t>
      </w:r>
      <w:r>
        <w:rPr>
          <w:snapToGrid w:val="0"/>
        </w:rPr>
        <w:tab/>
        <w:t>Terms used</w:t>
      </w:r>
      <w:bookmarkEnd w:id="523"/>
      <w:bookmarkEnd w:id="52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525" w:name="_Toc398890094"/>
      <w:bookmarkStart w:id="526" w:name="_Toc1492094"/>
      <w:r>
        <w:rPr>
          <w:rStyle w:val="CharSectno"/>
        </w:rPr>
        <w:t>124</w:t>
      </w:r>
      <w:r>
        <w:rPr>
          <w:snapToGrid w:val="0"/>
        </w:rPr>
        <w:t>.</w:t>
      </w:r>
      <w:r>
        <w:rPr>
          <w:snapToGrid w:val="0"/>
        </w:rPr>
        <w:tab/>
        <w:t>Giving of notice</w:t>
      </w:r>
      <w:bookmarkEnd w:id="525"/>
      <w:bookmarkEnd w:id="526"/>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527" w:name="_Toc398890095"/>
      <w:bookmarkStart w:id="528" w:name="_Toc1492095"/>
      <w:r>
        <w:rPr>
          <w:rStyle w:val="CharSectno"/>
        </w:rPr>
        <w:t>125</w:t>
      </w:r>
      <w:r>
        <w:rPr>
          <w:snapToGrid w:val="0"/>
        </w:rPr>
        <w:t>.</w:t>
      </w:r>
      <w:r>
        <w:rPr>
          <w:snapToGrid w:val="0"/>
        </w:rPr>
        <w:tab/>
        <w:t>Content of notice</w:t>
      </w:r>
      <w:bookmarkEnd w:id="527"/>
      <w:bookmarkEnd w:id="528"/>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No. 84 of 2004 s. 80.] </w:t>
      </w:r>
    </w:p>
    <w:p>
      <w:pPr>
        <w:pStyle w:val="Heading5"/>
        <w:rPr>
          <w:snapToGrid w:val="0"/>
        </w:rPr>
      </w:pPr>
      <w:bookmarkStart w:id="529" w:name="_Toc398890096"/>
      <w:bookmarkStart w:id="530" w:name="_Toc1492096"/>
      <w:r>
        <w:rPr>
          <w:rStyle w:val="CharSectno"/>
        </w:rPr>
        <w:t>126</w:t>
      </w:r>
      <w:r>
        <w:rPr>
          <w:snapToGrid w:val="0"/>
        </w:rPr>
        <w:t>.</w:t>
      </w:r>
      <w:r>
        <w:rPr>
          <w:snapToGrid w:val="0"/>
        </w:rPr>
        <w:tab/>
        <w:t>Extending time for paying modified penalty</w:t>
      </w:r>
      <w:bookmarkEnd w:id="529"/>
      <w:bookmarkEnd w:id="530"/>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531" w:name="_Toc398890097"/>
      <w:bookmarkStart w:id="532" w:name="_Toc1492097"/>
      <w:r>
        <w:rPr>
          <w:rStyle w:val="CharSectno"/>
        </w:rPr>
        <w:t>127</w:t>
      </w:r>
      <w:r>
        <w:rPr>
          <w:snapToGrid w:val="0"/>
        </w:rPr>
        <w:t>.</w:t>
      </w:r>
      <w:r>
        <w:rPr>
          <w:snapToGrid w:val="0"/>
        </w:rPr>
        <w:tab/>
        <w:t>Withdrawing notice</w:t>
      </w:r>
      <w:bookmarkEnd w:id="531"/>
      <w:bookmarkEnd w:id="532"/>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533" w:name="_Toc398890098"/>
      <w:bookmarkStart w:id="534" w:name="_Toc1492098"/>
      <w:r>
        <w:rPr>
          <w:rStyle w:val="CharSectno"/>
        </w:rPr>
        <w:t>128</w:t>
      </w:r>
      <w:r>
        <w:rPr>
          <w:snapToGrid w:val="0"/>
        </w:rPr>
        <w:t>.</w:t>
      </w:r>
      <w:r>
        <w:rPr>
          <w:snapToGrid w:val="0"/>
        </w:rPr>
        <w:tab/>
        <w:t>Benefit of paying modified penalty</w:t>
      </w:r>
      <w:bookmarkEnd w:id="533"/>
      <w:bookmarkEnd w:id="534"/>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535" w:name="_Toc398890099"/>
      <w:bookmarkStart w:id="536" w:name="_Toc1492099"/>
      <w:r>
        <w:rPr>
          <w:rStyle w:val="CharSectno"/>
        </w:rPr>
        <w:t>129</w:t>
      </w:r>
      <w:r>
        <w:rPr>
          <w:snapToGrid w:val="0"/>
        </w:rPr>
        <w:t>.</w:t>
      </w:r>
      <w:r>
        <w:rPr>
          <w:snapToGrid w:val="0"/>
        </w:rPr>
        <w:tab/>
        <w:t>Application of penalties collected</w:t>
      </w:r>
      <w:bookmarkEnd w:id="535"/>
      <w:bookmarkEnd w:id="536"/>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537" w:name="_Toc398890100"/>
      <w:bookmarkStart w:id="538" w:name="_Toc1492100"/>
      <w:r>
        <w:rPr>
          <w:rStyle w:val="CharSectno"/>
        </w:rPr>
        <w:t>130</w:t>
      </w:r>
      <w:r>
        <w:rPr>
          <w:snapToGrid w:val="0"/>
        </w:rPr>
        <w:t>.</w:t>
      </w:r>
      <w:r>
        <w:rPr>
          <w:snapToGrid w:val="0"/>
        </w:rPr>
        <w:tab/>
        <w:t>Authorised persons, appointment of</w:t>
      </w:r>
      <w:bookmarkEnd w:id="537"/>
      <w:bookmarkEnd w:id="538"/>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539" w:name="_Toc398890101"/>
      <w:bookmarkStart w:id="540" w:name="_Toc424284536"/>
      <w:bookmarkStart w:id="541" w:name="_Toc468975428"/>
      <w:bookmarkStart w:id="542" w:name="_Toc468975792"/>
      <w:bookmarkStart w:id="543" w:name="_Toc468978126"/>
      <w:bookmarkStart w:id="544" w:name="_Toc1491737"/>
      <w:bookmarkStart w:id="545" w:name="_Toc1492101"/>
      <w:r>
        <w:rPr>
          <w:rStyle w:val="CharPartNo"/>
        </w:rPr>
        <w:t>Part 10</w:t>
      </w:r>
      <w:r>
        <w:rPr>
          <w:rStyle w:val="CharDivNo"/>
        </w:rPr>
        <w:t xml:space="preserve"> </w:t>
      </w:r>
      <w:r>
        <w:t>—</w:t>
      </w:r>
      <w:r>
        <w:rPr>
          <w:rStyle w:val="CharDivText"/>
        </w:rPr>
        <w:t xml:space="preserve"> </w:t>
      </w:r>
      <w:r>
        <w:rPr>
          <w:rStyle w:val="CharPartText"/>
        </w:rPr>
        <w:t>Miscellaneous</w:t>
      </w:r>
      <w:bookmarkEnd w:id="539"/>
      <w:bookmarkEnd w:id="540"/>
      <w:bookmarkEnd w:id="541"/>
      <w:bookmarkEnd w:id="542"/>
      <w:bookmarkEnd w:id="543"/>
      <w:bookmarkEnd w:id="544"/>
      <w:bookmarkEnd w:id="545"/>
    </w:p>
    <w:p>
      <w:pPr>
        <w:pStyle w:val="Heading5"/>
        <w:rPr>
          <w:snapToGrid w:val="0"/>
        </w:rPr>
      </w:pPr>
      <w:bookmarkStart w:id="546" w:name="_Toc398890102"/>
      <w:bookmarkStart w:id="547" w:name="_Toc1492102"/>
      <w:r>
        <w:rPr>
          <w:rStyle w:val="CharSectno"/>
        </w:rPr>
        <w:t>131</w:t>
      </w:r>
      <w:r>
        <w:rPr>
          <w:snapToGrid w:val="0"/>
        </w:rPr>
        <w:t>.</w:t>
      </w:r>
      <w:r>
        <w:rPr>
          <w:snapToGrid w:val="0"/>
        </w:rPr>
        <w:tab/>
        <w:t>Hindering, offence</w:t>
      </w:r>
      <w:bookmarkEnd w:id="546"/>
      <w:bookmarkEnd w:id="547"/>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obstructs, impedes or interferes with the doing of, a thing required or authorised to be done by or under this Act; or</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r>
      <w:r>
        <w:tab/>
        <w:t>or</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No. 71 of 2003 s. 8.]</w:t>
      </w:r>
    </w:p>
    <w:p>
      <w:pPr>
        <w:pStyle w:val="Heading5"/>
        <w:rPr>
          <w:snapToGrid w:val="0"/>
        </w:rPr>
      </w:pPr>
      <w:bookmarkStart w:id="548" w:name="_Toc398890103"/>
      <w:bookmarkStart w:id="549" w:name="_Toc1492103"/>
      <w:r>
        <w:rPr>
          <w:rStyle w:val="CharSectno"/>
        </w:rPr>
        <w:t>132</w:t>
      </w:r>
      <w:r>
        <w:rPr>
          <w:snapToGrid w:val="0"/>
        </w:rPr>
        <w:t>.</w:t>
      </w:r>
      <w:r>
        <w:rPr>
          <w:snapToGrid w:val="0"/>
        </w:rPr>
        <w:tab/>
        <w:t>Individual port authorities, provisions for (Sch. 6)</w:t>
      </w:r>
      <w:bookmarkEnd w:id="548"/>
      <w:bookmarkEnd w:id="549"/>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550" w:name="_Toc398890104"/>
      <w:bookmarkStart w:id="551" w:name="_Toc1492104"/>
      <w:r>
        <w:rPr>
          <w:rStyle w:val="CharSectno"/>
        </w:rPr>
        <w:t>133</w:t>
      </w:r>
      <w:r>
        <w:rPr>
          <w:snapToGrid w:val="0"/>
        </w:rPr>
        <w:t>.</w:t>
      </w:r>
      <w:r>
        <w:rPr>
          <w:snapToGrid w:val="0"/>
        </w:rPr>
        <w:tab/>
        <w:t>Supplementary provision about laying documents before Parliament</w:t>
      </w:r>
      <w:bookmarkEnd w:id="550"/>
      <w:bookmarkEnd w:id="55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35(5), 41(4), 53(5), 56(4), 62(5), 64(2), 65(4), 68(3), 72(2), </w:t>
      </w:r>
      <w:r>
        <w:t xml:space="preserve">84(9) </w:t>
      </w:r>
      <w:r>
        <w:rPr>
          <w:snapToGrid w:val="0"/>
        </w:rPr>
        <w:t>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No. 8 of 2009 s. 102(4) and (5); No. 9 of 2014 s. 27.]</w:t>
      </w:r>
    </w:p>
    <w:p>
      <w:pPr>
        <w:pStyle w:val="Heading5"/>
        <w:rPr>
          <w:snapToGrid w:val="0"/>
        </w:rPr>
      </w:pPr>
      <w:bookmarkStart w:id="552" w:name="_Toc398890105"/>
      <w:bookmarkStart w:id="553" w:name="_Toc1492105"/>
      <w:r>
        <w:rPr>
          <w:rStyle w:val="CharSectno"/>
        </w:rPr>
        <w:t>134</w:t>
      </w:r>
      <w:r>
        <w:rPr>
          <w:snapToGrid w:val="0"/>
        </w:rPr>
        <w:t>.</w:t>
      </w:r>
      <w:r>
        <w:rPr>
          <w:snapToGrid w:val="0"/>
        </w:rPr>
        <w:tab/>
        <w:t>Execution of documents by port authority</w:t>
      </w:r>
      <w:bookmarkEnd w:id="552"/>
      <w:bookmarkEnd w:id="553"/>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554" w:name="_Toc398890106"/>
      <w:bookmarkStart w:id="555" w:name="_Toc1492106"/>
      <w:r>
        <w:rPr>
          <w:rStyle w:val="CharSectno"/>
        </w:rPr>
        <w:t>135</w:t>
      </w:r>
      <w:r>
        <w:rPr>
          <w:snapToGrid w:val="0"/>
        </w:rPr>
        <w:t>.</w:t>
      </w:r>
      <w:r>
        <w:rPr>
          <w:snapToGrid w:val="0"/>
        </w:rPr>
        <w:tab/>
        <w:t>Contracts with port authority, formalities of</w:t>
      </w:r>
      <w:bookmarkEnd w:id="554"/>
      <w:bookmarkEnd w:id="555"/>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556" w:name="_Toc398890107"/>
      <w:bookmarkStart w:id="557" w:name="_Toc1492107"/>
      <w:r>
        <w:rPr>
          <w:rStyle w:val="CharSectno"/>
        </w:rPr>
        <w:t>136</w:t>
      </w:r>
      <w:r>
        <w:rPr>
          <w:snapToGrid w:val="0"/>
        </w:rPr>
        <w:t>.</w:t>
      </w:r>
      <w:r>
        <w:rPr>
          <w:snapToGrid w:val="0"/>
        </w:rPr>
        <w:tab/>
        <w:t>Overdue amounts, interest on</w:t>
      </w:r>
      <w:bookmarkEnd w:id="556"/>
      <w:bookmarkEnd w:id="557"/>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558" w:name="_Toc398890108"/>
      <w:bookmarkStart w:id="559" w:name="_Toc1492108"/>
      <w:r>
        <w:rPr>
          <w:rStyle w:val="CharSectno"/>
        </w:rPr>
        <w:t>137</w:t>
      </w:r>
      <w:r>
        <w:rPr>
          <w:snapToGrid w:val="0"/>
        </w:rPr>
        <w:t>.</w:t>
      </w:r>
      <w:r>
        <w:rPr>
          <w:snapToGrid w:val="0"/>
        </w:rPr>
        <w:tab/>
        <w:t>Recovery of expenses due to offence</w:t>
      </w:r>
      <w:bookmarkEnd w:id="558"/>
      <w:bookmarkEnd w:id="559"/>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pPr>
      <w:bookmarkStart w:id="560" w:name="_Toc398890109"/>
      <w:bookmarkStart w:id="561" w:name="_Toc1492109"/>
      <w:r>
        <w:rPr>
          <w:rStyle w:val="CharSectno"/>
        </w:rPr>
        <w:t>138</w:t>
      </w:r>
      <w:r>
        <w:t>.</w:t>
      </w:r>
      <w:r>
        <w:tab/>
      </w:r>
      <w:r>
        <w:rPr>
          <w:i/>
        </w:rPr>
        <w:t>Government Agreements Act 1979</w:t>
      </w:r>
      <w:r>
        <w:t xml:space="preserve"> not affected</w:t>
      </w:r>
      <w:bookmarkEnd w:id="560"/>
      <w:bookmarkEnd w:id="561"/>
    </w:p>
    <w:p>
      <w:pPr>
        <w:pStyle w:val="Subsection"/>
      </w:pPr>
      <w:r>
        <w:tab/>
      </w:r>
      <w:r>
        <w:tab/>
        <w:t xml:space="preserve">The operation of the </w:t>
      </w:r>
      <w:r>
        <w:rPr>
          <w:i/>
        </w:rPr>
        <w:t>Government Agreements Act 1979</w:t>
      </w:r>
      <w:r>
        <w:t xml:space="preserve"> in relation to this Act is not limited or otherwise affected by — </w:t>
      </w:r>
    </w:p>
    <w:p>
      <w:pPr>
        <w:pStyle w:val="Indenta"/>
      </w:pPr>
      <w:r>
        <w:tab/>
        <w:t>(a)</w:t>
      </w:r>
      <w:r>
        <w:tab/>
        <w:t>Schedule 6 clause 1.3 or 2.3 or the mention of particular agreements in those clauses; or</w:t>
      </w:r>
    </w:p>
    <w:p>
      <w:pPr>
        <w:pStyle w:val="Indenta"/>
      </w:pPr>
      <w:r>
        <w:tab/>
        <w:t>(b)</w:t>
      </w:r>
      <w:r>
        <w:tab/>
        <w:t>the affecting provisions as defined in Schedule 8 clause 45; or</w:t>
      </w:r>
    </w:p>
    <w:p>
      <w:pPr>
        <w:pStyle w:val="Indenta"/>
      </w:pPr>
      <w:r>
        <w:tab/>
        <w:t>(c)</w:t>
      </w:r>
      <w:r>
        <w:tab/>
        <w:t>Schedule 9 or regulations referred to in Schedule 9.</w:t>
      </w:r>
    </w:p>
    <w:p>
      <w:pPr>
        <w:pStyle w:val="Footnotesection"/>
      </w:pPr>
      <w:r>
        <w:tab/>
        <w:t>[Section 138 inserted: No. 9 of 2014 s. 28(1); amended: No. 9 of 2014 s. 28(2).]</w:t>
      </w:r>
    </w:p>
    <w:p>
      <w:pPr>
        <w:pStyle w:val="Heading5"/>
      </w:pPr>
      <w:bookmarkStart w:id="562" w:name="_Toc398890110"/>
      <w:bookmarkStart w:id="563" w:name="_Toc1492110"/>
      <w:r>
        <w:rPr>
          <w:rStyle w:val="CharSectno"/>
        </w:rPr>
        <w:t>139A</w:t>
      </w:r>
      <w:r>
        <w:t>.</w:t>
      </w:r>
      <w:r>
        <w:tab/>
        <w:t>Transitional provisions</w:t>
      </w:r>
      <w:bookmarkEnd w:id="562"/>
      <w:bookmarkEnd w:id="563"/>
    </w:p>
    <w:p>
      <w:pPr>
        <w:pStyle w:val="Subsection"/>
      </w:pPr>
      <w:r>
        <w:tab/>
      </w:r>
      <w:r>
        <w:tab/>
        <w:t>Schedule 8 sets out transitional provisions.</w:t>
      </w:r>
    </w:p>
    <w:p>
      <w:pPr>
        <w:pStyle w:val="Footnotesection"/>
      </w:pPr>
      <w:r>
        <w:tab/>
        <w:t>[Section 139A inserted: No. 9 of 2014 s. 29.]</w:t>
      </w:r>
    </w:p>
    <w:p>
      <w:pPr>
        <w:pStyle w:val="Heading2"/>
      </w:pPr>
      <w:bookmarkStart w:id="564" w:name="_Toc398890111"/>
      <w:bookmarkStart w:id="565" w:name="_Toc424284546"/>
      <w:bookmarkStart w:id="566" w:name="_Toc468975438"/>
      <w:bookmarkStart w:id="567" w:name="_Toc468975802"/>
      <w:bookmarkStart w:id="568" w:name="_Toc468978136"/>
      <w:bookmarkStart w:id="569" w:name="_Toc1491747"/>
      <w:bookmarkStart w:id="570" w:name="_Toc1492111"/>
      <w:r>
        <w:rPr>
          <w:rStyle w:val="CharPartNo"/>
        </w:rPr>
        <w:t>Part 11</w:t>
      </w:r>
      <w:r>
        <w:rPr>
          <w:rStyle w:val="CharDivNo"/>
        </w:rPr>
        <w:t xml:space="preserve"> </w:t>
      </w:r>
      <w:r>
        <w:t>—</w:t>
      </w:r>
      <w:r>
        <w:rPr>
          <w:rStyle w:val="CharDivText"/>
        </w:rPr>
        <w:t xml:space="preserve"> </w:t>
      </w:r>
      <w:r>
        <w:rPr>
          <w:rStyle w:val="CharPartText"/>
        </w:rPr>
        <w:t>Regulations</w:t>
      </w:r>
      <w:bookmarkEnd w:id="564"/>
      <w:bookmarkEnd w:id="565"/>
      <w:bookmarkEnd w:id="566"/>
      <w:bookmarkEnd w:id="567"/>
      <w:bookmarkEnd w:id="568"/>
      <w:bookmarkEnd w:id="569"/>
      <w:bookmarkEnd w:id="570"/>
    </w:p>
    <w:p>
      <w:pPr>
        <w:pStyle w:val="Heading5"/>
        <w:rPr>
          <w:snapToGrid w:val="0"/>
        </w:rPr>
      </w:pPr>
      <w:bookmarkStart w:id="571" w:name="_Toc398890112"/>
      <w:bookmarkStart w:id="572" w:name="_Toc1492112"/>
      <w:r>
        <w:rPr>
          <w:rStyle w:val="CharSectno"/>
        </w:rPr>
        <w:t>139</w:t>
      </w:r>
      <w:r>
        <w:rPr>
          <w:snapToGrid w:val="0"/>
        </w:rPr>
        <w:t>.</w:t>
      </w:r>
      <w:r>
        <w:rPr>
          <w:snapToGrid w:val="0"/>
        </w:rPr>
        <w:tab/>
        <w:t>General power to make regulations</w:t>
      </w:r>
      <w:bookmarkEnd w:id="571"/>
      <w:bookmarkEnd w:id="57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573" w:name="_Toc398890113"/>
      <w:bookmarkStart w:id="574" w:name="_Toc1492113"/>
      <w:r>
        <w:rPr>
          <w:rStyle w:val="CharSectno"/>
        </w:rPr>
        <w:t>140</w:t>
      </w:r>
      <w:r>
        <w:rPr>
          <w:snapToGrid w:val="0"/>
        </w:rPr>
        <w:t>.</w:t>
      </w:r>
      <w:r>
        <w:rPr>
          <w:snapToGrid w:val="0"/>
        </w:rPr>
        <w:tab/>
        <w:t>Offences against regulations</w:t>
      </w:r>
      <w:bookmarkEnd w:id="573"/>
      <w:bookmarkEnd w:id="574"/>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575" w:name="_Toc398890114"/>
      <w:bookmarkStart w:id="576" w:name="_Toc1492114"/>
      <w:r>
        <w:rPr>
          <w:rStyle w:val="CharSectno"/>
        </w:rPr>
        <w:t>141</w:t>
      </w:r>
      <w:r>
        <w:rPr>
          <w:snapToGrid w:val="0"/>
        </w:rPr>
        <w:t>.</w:t>
      </w:r>
      <w:r>
        <w:rPr>
          <w:snapToGrid w:val="0"/>
        </w:rPr>
        <w:tab/>
        <w:t>Adoption of other laws, codes etc.</w:t>
      </w:r>
      <w:bookmarkEnd w:id="575"/>
      <w:bookmarkEnd w:id="576"/>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No. 74 of 2003 s. 93(4).]</w:t>
      </w:r>
    </w:p>
    <w:p>
      <w:pPr>
        <w:pStyle w:val="Heading5"/>
        <w:rPr>
          <w:snapToGrid w:val="0"/>
        </w:rPr>
      </w:pPr>
      <w:bookmarkStart w:id="577" w:name="_Toc398890115"/>
      <w:bookmarkStart w:id="578" w:name="_Toc1492115"/>
      <w:r>
        <w:rPr>
          <w:rStyle w:val="CharSectno"/>
        </w:rPr>
        <w:t>142</w:t>
      </w:r>
      <w:r>
        <w:rPr>
          <w:snapToGrid w:val="0"/>
        </w:rPr>
        <w:t>.</w:t>
      </w:r>
      <w:r>
        <w:rPr>
          <w:snapToGrid w:val="0"/>
        </w:rPr>
        <w:tab/>
        <w:t>References to other approvals or decisions</w:t>
      </w:r>
      <w:bookmarkEnd w:id="577"/>
      <w:bookmarkEnd w:id="578"/>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579" w:name="_Toc398890116"/>
      <w:bookmarkStart w:id="580" w:name="_Toc1492116"/>
      <w:r>
        <w:rPr>
          <w:rStyle w:val="CharSectno"/>
        </w:rPr>
        <w:t>143</w:t>
      </w:r>
      <w:r>
        <w:rPr>
          <w:snapToGrid w:val="0"/>
        </w:rPr>
        <w:t>.</w:t>
      </w:r>
      <w:r>
        <w:rPr>
          <w:snapToGrid w:val="0"/>
        </w:rPr>
        <w:tab/>
        <w:t>Licensing, provisions as to</w:t>
      </w:r>
      <w:bookmarkEnd w:id="579"/>
      <w:bookmarkEnd w:id="580"/>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581" w:name="_Toc398890117"/>
      <w:bookmarkStart w:id="582" w:name="_Toc424284552"/>
      <w:bookmarkStart w:id="583" w:name="_Toc468975444"/>
      <w:bookmarkStart w:id="584" w:name="_Toc468975808"/>
      <w:bookmarkStart w:id="585" w:name="_Toc468978142"/>
      <w:bookmarkStart w:id="586" w:name="_Toc1491753"/>
      <w:bookmarkStart w:id="587" w:name="_Toc1492117"/>
      <w:r>
        <w:rPr>
          <w:rStyle w:val="CharPartNo"/>
        </w:rPr>
        <w:t>Part 12</w:t>
      </w:r>
      <w:r>
        <w:rPr>
          <w:rStyle w:val="CharDivNo"/>
        </w:rPr>
        <w:t xml:space="preserve"> </w:t>
      </w:r>
      <w:r>
        <w:t>—</w:t>
      </w:r>
      <w:r>
        <w:rPr>
          <w:rStyle w:val="CharDivText"/>
        </w:rPr>
        <w:t xml:space="preserve"> </w:t>
      </w:r>
      <w:r>
        <w:rPr>
          <w:rStyle w:val="CharPartText"/>
        </w:rPr>
        <w:t>Review of Act</w:t>
      </w:r>
      <w:bookmarkEnd w:id="581"/>
      <w:bookmarkEnd w:id="582"/>
      <w:bookmarkEnd w:id="583"/>
      <w:bookmarkEnd w:id="584"/>
      <w:bookmarkEnd w:id="585"/>
      <w:bookmarkEnd w:id="586"/>
      <w:bookmarkEnd w:id="587"/>
    </w:p>
    <w:p>
      <w:pPr>
        <w:pStyle w:val="Heading5"/>
      </w:pPr>
      <w:bookmarkStart w:id="588" w:name="_Toc398890118"/>
      <w:bookmarkStart w:id="589" w:name="_Toc1492118"/>
      <w:r>
        <w:rPr>
          <w:rStyle w:val="CharSectno"/>
        </w:rPr>
        <w:t>144</w:t>
      </w:r>
      <w:r>
        <w:t>.</w:t>
      </w:r>
      <w:r>
        <w:tab/>
        <w:t>Minister to review and report on Act</w:t>
      </w:r>
      <w:bookmarkEnd w:id="588"/>
      <w:bookmarkEnd w:id="589"/>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90" w:name="_Toc398890119"/>
      <w:bookmarkStart w:id="591" w:name="_Toc424284554"/>
      <w:bookmarkStart w:id="592" w:name="_Toc468975446"/>
      <w:bookmarkStart w:id="593" w:name="_Toc468975810"/>
      <w:bookmarkStart w:id="594" w:name="_Toc468978144"/>
      <w:bookmarkStart w:id="595" w:name="_Toc1491755"/>
      <w:bookmarkStart w:id="596" w:name="_Toc1492119"/>
      <w:r>
        <w:rPr>
          <w:rStyle w:val="CharSchNo"/>
        </w:rPr>
        <w:t>Schedule 1</w:t>
      </w:r>
      <w:r>
        <w:t> — </w:t>
      </w:r>
      <w:r>
        <w:rPr>
          <w:rStyle w:val="CharSchText"/>
        </w:rPr>
        <w:t>Port authorities and ports</w:t>
      </w:r>
      <w:bookmarkEnd w:id="590"/>
      <w:bookmarkEnd w:id="591"/>
      <w:bookmarkEnd w:id="592"/>
      <w:bookmarkEnd w:id="593"/>
      <w:bookmarkEnd w:id="594"/>
      <w:bookmarkEnd w:id="595"/>
      <w:bookmarkEnd w:id="596"/>
    </w:p>
    <w:p>
      <w:pPr>
        <w:pStyle w:val="yShoulderClause"/>
      </w:pPr>
      <w:r>
        <w:t>[s. 4]</w:t>
      </w:r>
    </w:p>
    <w:p>
      <w:pPr>
        <w:pStyle w:val="yFootnoteheading"/>
        <w:spacing w:after="120"/>
      </w:pPr>
      <w:r>
        <w:tab/>
        <w:t>[Heading inserted: No. 9 of 2014 s. 30.]</w:t>
      </w:r>
    </w:p>
    <w:tbl>
      <w:tblPr>
        <w:tblpPr w:leftFromText="180" w:rightFromText="180" w:vertAnchor="text" w:tblpX="567" w:tblpY="1"/>
        <w:tblOverlap w:val="never"/>
        <w:tblW w:w="0" w:type="auto"/>
        <w:tblLayout w:type="fixed"/>
        <w:tblCellMar>
          <w:left w:w="141" w:type="dxa"/>
          <w:right w:w="141" w:type="dxa"/>
        </w:tblCellMar>
        <w:tblLook w:val="0000" w:firstRow="0" w:lastRow="0" w:firstColumn="0" w:lastColumn="0" w:noHBand="0" w:noVBand="0"/>
      </w:tblPr>
      <w:tblGrid>
        <w:gridCol w:w="1275"/>
        <w:gridCol w:w="2694"/>
        <w:gridCol w:w="2693"/>
      </w:tblGrid>
      <w:tr>
        <w:tc>
          <w:tcPr>
            <w:tcW w:w="1275" w:type="dxa"/>
            <w:tcBorders>
              <w:top w:val="single" w:sz="4" w:space="0" w:color="auto"/>
              <w:bottom w:val="single" w:sz="4" w:space="0" w:color="auto"/>
            </w:tcBorders>
          </w:tcPr>
          <w:p>
            <w:pPr>
              <w:pStyle w:val="yTableNAm"/>
              <w:rPr>
                <w:b/>
              </w:rPr>
            </w:pPr>
            <w:r>
              <w:rPr>
                <w:b/>
              </w:rPr>
              <w:t>Column 1</w:t>
            </w:r>
          </w:p>
          <w:p>
            <w:pPr>
              <w:pStyle w:val="yTableNAm"/>
              <w:rPr>
                <w:b/>
              </w:rPr>
            </w:pPr>
            <w:r>
              <w:rPr>
                <w:b/>
              </w:rPr>
              <w:t>Item</w:t>
            </w:r>
          </w:p>
        </w:tc>
        <w:tc>
          <w:tcPr>
            <w:tcW w:w="2694" w:type="dxa"/>
            <w:tcBorders>
              <w:top w:val="single" w:sz="4" w:space="0" w:color="auto"/>
              <w:bottom w:val="single" w:sz="4" w:space="0" w:color="auto"/>
            </w:tcBorders>
          </w:tcPr>
          <w:p>
            <w:pPr>
              <w:pStyle w:val="yTableNAm"/>
              <w:rPr>
                <w:b/>
              </w:rPr>
            </w:pPr>
            <w:r>
              <w:rPr>
                <w:b/>
              </w:rPr>
              <w:t>Column 2</w:t>
            </w:r>
          </w:p>
          <w:p>
            <w:pPr>
              <w:pStyle w:val="yTableNAm"/>
              <w:rPr>
                <w:b/>
              </w:rPr>
            </w:pPr>
            <w:r>
              <w:rPr>
                <w:b/>
              </w:rPr>
              <w:t>Name of port authority</w:t>
            </w:r>
          </w:p>
        </w:tc>
        <w:tc>
          <w:tcPr>
            <w:tcW w:w="2693" w:type="dxa"/>
            <w:tcBorders>
              <w:top w:val="single" w:sz="4" w:space="0" w:color="auto"/>
              <w:bottom w:val="single" w:sz="4" w:space="0" w:color="auto"/>
            </w:tcBorders>
          </w:tcPr>
          <w:p>
            <w:pPr>
              <w:pStyle w:val="yTableNAm"/>
              <w:rPr>
                <w:b/>
              </w:rPr>
            </w:pPr>
            <w:r>
              <w:rPr>
                <w:b/>
              </w:rPr>
              <w:t>Column 3</w:t>
            </w:r>
          </w:p>
          <w:p>
            <w:pPr>
              <w:pStyle w:val="yTableNAm"/>
              <w:rPr>
                <w:b/>
              </w:rPr>
            </w:pPr>
            <w:r>
              <w:rPr>
                <w:b/>
              </w:rPr>
              <w:t>Port or ports</w:t>
            </w:r>
          </w:p>
        </w:tc>
      </w:tr>
      <w:tr>
        <w:tc>
          <w:tcPr>
            <w:tcW w:w="1275" w:type="dxa"/>
          </w:tcPr>
          <w:p>
            <w:pPr>
              <w:pStyle w:val="yTableNAm"/>
            </w:pPr>
            <w:r>
              <w:t>1</w:t>
            </w:r>
          </w:p>
        </w:tc>
        <w:tc>
          <w:tcPr>
            <w:tcW w:w="2694" w:type="dxa"/>
          </w:tcPr>
          <w:p>
            <w:pPr>
              <w:pStyle w:val="yTableNAm"/>
            </w:pPr>
            <w:r>
              <w:t>Fremantle Port Authority</w:t>
            </w:r>
          </w:p>
        </w:tc>
        <w:tc>
          <w:tcPr>
            <w:tcW w:w="2693" w:type="dxa"/>
          </w:tcPr>
          <w:p>
            <w:pPr>
              <w:pStyle w:val="yTableNAm"/>
            </w:pPr>
            <w:r>
              <w:t xml:space="preserve">Port of Fremantle </w:t>
            </w:r>
          </w:p>
        </w:tc>
      </w:tr>
      <w:tr>
        <w:tc>
          <w:tcPr>
            <w:tcW w:w="3969" w:type="dxa"/>
            <w:gridSpan w:val="2"/>
          </w:tcPr>
          <w:p>
            <w:pPr>
              <w:pStyle w:val="yTableNAm"/>
            </w:pPr>
            <w:r>
              <w:rPr>
                <w:i/>
              </w:rPr>
              <w:t>[2</w:t>
            </w:r>
            <w:r>
              <w:rPr>
                <w:i/>
              </w:rPr>
              <w:tab/>
              <w:t>deleted]</w:t>
            </w:r>
          </w:p>
        </w:tc>
        <w:tc>
          <w:tcPr>
            <w:tcW w:w="2693" w:type="dxa"/>
          </w:tcPr>
          <w:p>
            <w:pPr>
              <w:pStyle w:val="yTableNAm"/>
            </w:pPr>
          </w:p>
        </w:tc>
      </w:tr>
      <w:tr>
        <w:tc>
          <w:tcPr>
            <w:tcW w:w="1275" w:type="dxa"/>
          </w:tcPr>
          <w:p>
            <w:pPr>
              <w:pStyle w:val="yTableNAm"/>
            </w:pPr>
            <w:r>
              <w:t>3</w:t>
            </w:r>
          </w:p>
        </w:tc>
        <w:tc>
          <w:tcPr>
            <w:tcW w:w="2694" w:type="dxa"/>
          </w:tcPr>
          <w:p>
            <w:pPr>
              <w:pStyle w:val="yTableNAm"/>
            </w:pPr>
            <w:r>
              <w:rPr>
                <w:szCs w:val="22"/>
              </w:rPr>
              <w:t>Southern Ports Authority</w:t>
            </w:r>
          </w:p>
        </w:tc>
        <w:tc>
          <w:tcPr>
            <w:tcW w:w="2693" w:type="dxa"/>
          </w:tcPr>
          <w:p>
            <w:pPr>
              <w:pStyle w:val="yTableNAm"/>
            </w:pPr>
            <w:r>
              <w:rPr>
                <w:szCs w:val="22"/>
              </w:rPr>
              <w:t>Port of Albany</w:t>
            </w:r>
            <w:r>
              <w:br/>
              <w:t>Port of Bunbury</w:t>
            </w:r>
            <w:r>
              <w:br/>
            </w:r>
            <w:r>
              <w:rPr>
                <w:szCs w:val="22"/>
              </w:rPr>
              <w:t>Port of Esperance</w:t>
            </w:r>
          </w:p>
        </w:tc>
      </w:tr>
      <w:tr>
        <w:tc>
          <w:tcPr>
            <w:tcW w:w="3969" w:type="dxa"/>
            <w:gridSpan w:val="2"/>
          </w:tcPr>
          <w:p>
            <w:pPr>
              <w:pStyle w:val="yTableNAm"/>
            </w:pPr>
            <w:r>
              <w:rPr>
                <w:i/>
              </w:rPr>
              <w:t>[4</w:t>
            </w:r>
            <w:r>
              <w:rPr>
                <w:i/>
              </w:rPr>
              <w:tab/>
              <w:t>deleted]</w:t>
            </w:r>
          </w:p>
        </w:tc>
        <w:tc>
          <w:tcPr>
            <w:tcW w:w="2693" w:type="dxa"/>
          </w:tcPr>
          <w:p>
            <w:pPr>
              <w:pStyle w:val="yTableNAm"/>
            </w:pPr>
          </w:p>
        </w:tc>
      </w:tr>
      <w:tr>
        <w:tc>
          <w:tcPr>
            <w:tcW w:w="1275" w:type="dxa"/>
          </w:tcPr>
          <w:p>
            <w:pPr>
              <w:pStyle w:val="yTableNAm"/>
            </w:pPr>
            <w:r>
              <w:t>5</w:t>
            </w:r>
          </w:p>
        </w:tc>
        <w:tc>
          <w:tcPr>
            <w:tcW w:w="2694" w:type="dxa"/>
          </w:tcPr>
          <w:p>
            <w:pPr>
              <w:pStyle w:val="yTableNAm"/>
            </w:pPr>
            <w:r>
              <w:rPr>
                <w:szCs w:val="22"/>
              </w:rPr>
              <w:t>Mid West Ports Authority</w:t>
            </w:r>
          </w:p>
        </w:tc>
        <w:tc>
          <w:tcPr>
            <w:tcW w:w="2693" w:type="dxa"/>
          </w:tcPr>
          <w:p>
            <w:pPr>
              <w:pStyle w:val="yTableNAm"/>
            </w:pPr>
            <w:r>
              <w:t>Port of Geraldton</w:t>
            </w:r>
          </w:p>
        </w:tc>
      </w:tr>
      <w:tr>
        <w:tc>
          <w:tcPr>
            <w:tcW w:w="3969" w:type="dxa"/>
            <w:gridSpan w:val="2"/>
          </w:tcPr>
          <w:p>
            <w:pPr>
              <w:pStyle w:val="yTableNAm"/>
            </w:pPr>
            <w:r>
              <w:rPr>
                <w:i/>
              </w:rPr>
              <w:t xml:space="preserve">[6 </w:t>
            </w:r>
            <w:r>
              <w:rPr>
                <w:i/>
              </w:rPr>
              <w:tab/>
              <w:t>deleted]</w:t>
            </w:r>
            <w:r>
              <w:t xml:space="preserve"> </w:t>
            </w:r>
          </w:p>
        </w:tc>
        <w:tc>
          <w:tcPr>
            <w:tcW w:w="2693" w:type="dxa"/>
          </w:tcPr>
          <w:p>
            <w:pPr>
              <w:pStyle w:val="yTableNAm"/>
            </w:pPr>
          </w:p>
        </w:tc>
      </w:tr>
      <w:tr>
        <w:tc>
          <w:tcPr>
            <w:tcW w:w="1275" w:type="dxa"/>
          </w:tcPr>
          <w:p>
            <w:pPr>
              <w:pStyle w:val="yTableNAm"/>
            </w:pPr>
            <w:r>
              <w:t>7</w:t>
            </w:r>
          </w:p>
        </w:tc>
        <w:tc>
          <w:tcPr>
            <w:tcW w:w="2694" w:type="dxa"/>
          </w:tcPr>
          <w:p>
            <w:pPr>
              <w:pStyle w:val="yTableNAm"/>
            </w:pPr>
            <w:r>
              <w:rPr>
                <w:szCs w:val="22"/>
              </w:rPr>
              <w:t>Pilbara Ports Authority</w:t>
            </w:r>
          </w:p>
        </w:tc>
        <w:tc>
          <w:tcPr>
            <w:tcW w:w="2693" w:type="dxa"/>
          </w:tcPr>
          <w:p>
            <w:pPr>
              <w:pStyle w:val="yTableNAm"/>
            </w:pPr>
            <w:r>
              <w:rPr>
                <w:szCs w:val="22"/>
              </w:rPr>
              <w:t>Port of Ashburton</w:t>
            </w:r>
            <w:r>
              <w:rPr>
                <w:szCs w:val="22"/>
              </w:rPr>
              <w:br/>
              <w:t>Port of Dampier</w:t>
            </w:r>
            <w:r>
              <w:t xml:space="preserve"> </w:t>
            </w:r>
            <w:r>
              <w:br/>
              <w:t>Port of Port Hedland</w:t>
            </w:r>
          </w:p>
        </w:tc>
      </w:tr>
      <w:tr>
        <w:tc>
          <w:tcPr>
            <w:tcW w:w="1275" w:type="dxa"/>
            <w:tcBorders>
              <w:bottom w:val="single" w:sz="4" w:space="0" w:color="auto"/>
            </w:tcBorders>
          </w:tcPr>
          <w:p>
            <w:pPr>
              <w:pStyle w:val="yTableNAm"/>
            </w:pPr>
            <w:r>
              <w:t>8</w:t>
            </w:r>
          </w:p>
        </w:tc>
        <w:tc>
          <w:tcPr>
            <w:tcW w:w="2694" w:type="dxa"/>
            <w:tcBorders>
              <w:bottom w:val="single" w:sz="4" w:space="0" w:color="auto"/>
            </w:tcBorders>
          </w:tcPr>
          <w:p>
            <w:pPr>
              <w:pStyle w:val="yTableNAm"/>
            </w:pPr>
            <w:r>
              <w:rPr>
                <w:szCs w:val="22"/>
              </w:rPr>
              <w:t xml:space="preserve">Kimberley Ports Authority  </w:t>
            </w:r>
          </w:p>
        </w:tc>
        <w:tc>
          <w:tcPr>
            <w:tcW w:w="2693" w:type="dxa"/>
            <w:tcBorders>
              <w:bottom w:val="single" w:sz="4" w:space="0" w:color="auto"/>
            </w:tcBorders>
          </w:tcPr>
          <w:p>
            <w:pPr>
              <w:pStyle w:val="yTableNAm"/>
            </w:pPr>
            <w:r>
              <w:t xml:space="preserve">Port of Broome </w:t>
            </w:r>
          </w:p>
        </w:tc>
      </w:tr>
    </w:tbl>
    <w:p>
      <w:pPr>
        <w:pStyle w:val="yFootnotesection"/>
      </w:pPr>
      <w:r>
        <w:tab/>
        <w:t>[Schedule 1 inserted: No. 9 of 2014 s. 30; amended: No. 9 of 2014 s. 31.]</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598" w:name="_Toc398890120"/>
      <w:bookmarkStart w:id="599" w:name="_Toc424284555"/>
      <w:bookmarkStart w:id="600" w:name="_Toc468975447"/>
      <w:bookmarkStart w:id="601" w:name="_Toc468975811"/>
      <w:bookmarkStart w:id="602" w:name="_Toc468978145"/>
      <w:bookmarkStart w:id="603" w:name="_Toc1491756"/>
      <w:bookmarkStart w:id="604" w:name="_Toc1492120"/>
      <w:r>
        <w:rPr>
          <w:rStyle w:val="CharSchNo"/>
        </w:rPr>
        <w:t>Schedule 2</w:t>
      </w:r>
      <w:r>
        <w:t xml:space="preserve"> — </w:t>
      </w:r>
      <w:r>
        <w:rPr>
          <w:rStyle w:val="CharSchText"/>
        </w:rPr>
        <w:t>Provisions about the constitution and proceedings of boards</w:t>
      </w:r>
      <w:bookmarkEnd w:id="598"/>
      <w:bookmarkEnd w:id="599"/>
      <w:bookmarkEnd w:id="600"/>
      <w:bookmarkEnd w:id="601"/>
      <w:bookmarkEnd w:id="602"/>
      <w:bookmarkEnd w:id="603"/>
      <w:bookmarkEnd w:id="604"/>
      <w:r>
        <w:rPr>
          <w:rStyle w:val="CharSchText"/>
        </w:rPr>
        <w:t xml:space="preserve"> </w:t>
      </w:r>
    </w:p>
    <w:p>
      <w:pPr>
        <w:pStyle w:val="yShoulderClause"/>
      </w:pPr>
      <w:r>
        <w:t>[s. 9]</w:t>
      </w:r>
    </w:p>
    <w:p>
      <w:pPr>
        <w:pStyle w:val="yHeading5"/>
        <w:outlineLvl w:val="9"/>
        <w:rPr>
          <w:snapToGrid w:val="0"/>
        </w:rPr>
      </w:pPr>
      <w:bookmarkStart w:id="605" w:name="_Toc398890121"/>
      <w:bookmarkStart w:id="606" w:name="_Toc1492121"/>
      <w:r>
        <w:rPr>
          <w:rStyle w:val="CharSClsNo"/>
        </w:rPr>
        <w:t>1</w:t>
      </w:r>
      <w:r>
        <w:rPr>
          <w:snapToGrid w:val="0"/>
        </w:rPr>
        <w:t>.</w:t>
      </w:r>
      <w:r>
        <w:rPr>
          <w:snapToGrid w:val="0"/>
        </w:rPr>
        <w:tab/>
        <w:t>Term of office</w:t>
      </w:r>
      <w:bookmarkEnd w:id="605"/>
      <w:bookmarkEnd w:id="606"/>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607" w:name="_Toc398890122"/>
      <w:bookmarkStart w:id="608" w:name="_Toc1492122"/>
      <w:r>
        <w:rPr>
          <w:rStyle w:val="CharSClsNo"/>
        </w:rPr>
        <w:t>2</w:t>
      </w:r>
      <w:r>
        <w:rPr>
          <w:snapToGrid w:val="0"/>
        </w:rPr>
        <w:t>.</w:t>
      </w:r>
      <w:r>
        <w:rPr>
          <w:snapToGrid w:val="0"/>
        </w:rPr>
        <w:tab/>
        <w:t>Resignation and removal</w:t>
      </w:r>
      <w:bookmarkEnd w:id="607"/>
      <w:bookmarkEnd w:id="608"/>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609" w:name="_Toc398890123"/>
      <w:bookmarkStart w:id="610" w:name="_Toc1492123"/>
      <w:r>
        <w:rPr>
          <w:rStyle w:val="CharSClsNo"/>
        </w:rPr>
        <w:t>3</w:t>
      </w:r>
      <w:r>
        <w:rPr>
          <w:snapToGrid w:val="0"/>
        </w:rPr>
        <w:t>.</w:t>
      </w:r>
      <w:r>
        <w:rPr>
          <w:snapToGrid w:val="0"/>
        </w:rPr>
        <w:tab/>
        <w:t>Chairperson and deputy chairperson</w:t>
      </w:r>
      <w:bookmarkEnd w:id="609"/>
      <w:bookmarkEnd w:id="610"/>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611" w:name="_Toc398890124"/>
      <w:bookmarkStart w:id="612" w:name="_Toc1492124"/>
      <w:r>
        <w:rPr>
          <w:rStyle w:val="CharSClsNo"/>
        </w:rPr>
        <w:t>4</w:t>
      </w:r>
      <w:r>
        <w:rPr>
          <w:snapToGrid w:val="0"/>
        </w:rPr>
        <w:t>.</w:t>
      </w:r>
      <w:r>
        <w:rPr>
          <w:snapToGrid w:val="0"/>
        </w:rPr>
        <w:tab/>
        <w:t>Alternate directors</w:t>
      </w:r>
      <w:bookmarkEnd w:id="611"/>
      <w:bookmarkEnd w:id="612"/>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613" w:name="_Toc398890125"/>
      <w:bookmarkStart w:id="614" w:name="_Toc1492125"/>
      <w:r>
        <w:rPr>
          <w:rStyle w:val="CharSClsNo"/>
        </w:rPr>
        <w:t>5</w:t>
      </w:r>
      <w:r>
        <w:rPr>
          <w:snapToGrid w:val="0"/>
        </w:rPr>
        <w:t>.</w:t>
      </w:r>
      <w:r>
        <w:rPr>
          <w:snapToGrid w:val="0"/>
        </w:rPr>
        <w:tab/>
        <w:t>Meetings</w:t>
      </w:r>
      <w:bookmarkEnd w:id="613"/>
      <w:bookmarkEnd w:id="614"/>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pPr>
      <w:r>
        <w:tab/>
        <w:t>(a)</w:t>
      </w:r>
      <w:r>
        <w:tab/>
        <w:t>a number of directors equal to at least half the number of directors in office constitutes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5 amended: No. 9 of 2014 s. 32.]</w:t>
      </w:r>
    </w:p>
    <w:p>
      <w:pPr>
        <w:pStyle w:val="yHeading5"/>
        <w:outlineLvl w:val="9"/>
        <w:rPr>
          <w:snapToGrid w:val="0"/>
        </w:rPr>
      </w:pPr>
      <w:bookmarkStart w:id="615" w:name="_Toc398890126"/>
      <w:bookmarkStart w:id="616" w:name="_Toc1492126"/>
      <w:r>
        <w:rPr>
          <w:rStyle w:val="CharSClsNo"/>
        </w:rPr>
        <w:t>6</w:t>
      </w:r>
      <w:r>
        <w:rPr>
          <w:snapToGrid w:val="0"/>
        </w:rPr>
        <w:t>.</w:t>
      </w:r>
      <w:r>
        <w:rPr>
          <w:snapToGrid w:val="0"/>
        </w:rPr>
        <w:tab/>
        <w:t>Telephone and video meetings</w:t>
      </w:r>
      <w:bookmarkEnd w:id="615"/>
      <w:bookmarkEnd w:id="616"/>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617" w:name="_Toc398890127"/>
      <w:bookmarkStart w:id="618" w:name="_Toc1492127"/>
      <w:r>
        <w:rPr>
          <w:rStyle w:val="CharSClsNo"/>
        </w:rPr>
        <w:t>7</w:t>
      </w:r>
      <w:r>
        <w:rPr>
          <w:snapToGrid w:val="0"/>
        </w:rPr>
        <w:t>.</w:t>
      </w:r>
      <w:r>
        <w:rPr>
          <w:snapToGrid w:val="0"/>
        </w:rPr>
        <w:tab/>
        <w:t>Resolution may be passed without meeting</w:t>
      </w:r>
      <w:bookmarkEnd w:id="617"/>
      <w:bookmarkEnd w:id="618"/>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619" w:name="_Toc398890128"/>
      <w:bookmarkStart w:id="620" w:name="_Toc1492128"/>
      <w:r>
        <w:rPr>
          <w:rStyle w:val="CharSClsNo"/>
        </w:rPr>
        <w:t>8</w:t>
      </w:r>
      <w:r>
        <w:rPr>
          <w:snapToGrid w:val="0"/>
        </w:rPr>
        <w:t>.</w:t>
      </w:r>
      <w:r>
        <w:rPr>
          <w:snapToGrid w:val="0"/>
        </w:rPr>
        <w:tab/>
        <w:t>Directors with material personal interests, voting by etc.</w:t>
      </w:r>
      <w:bookmarkEnd w:id="619"/>
      <w:bookmarkEnd w:id="620"/>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621" w:name="_Toc398890129"/>
      <w:bookmarkStart w:id="622" w:name="_Toc1492129"/>
      <w:r>
        <w:rPr>
          <w:rStyle w:val="CharSClsNo"/>
        </w:rPr>
        <w:t>9</w:t>
      </w:r>
      <w:r>
        <w:rPr>
          <w:snapToGrid w:val="0"/>
        </w:rPr>
        <w:t>.</w:t>
      </w:r>
      <w:r>
        <w:rPr>
          <w:snapToGrid w:val="0"/>
        </w:rPr>
        <w:tab/>
        <w:t>Minutes of meetings etc.</w:t>
      </w:r>
      <w:bookmarkEnd w:id="621"/>
      <w:bookmarkEnd w:id="622"/>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623" w:name="_Toc398890130"/>
      <w:bookmarkStart w:id="624" w:name="_Toc1492130"/>
      <w:r>
        <w:rPr>
          <w:rStyle w:val="CharSClsNo"/>
        </w:rPr>
        <w:t>10</w:t>
      </w:r>
      <w:r>
        <w:rPr>
          <w:snapToGrid w:val="0"/>
        </w:rPr>
        <w:t>.</w:t>
      </w:r>
      <w:r>
        <w:rPr>
          <w:snapToGrid w:val="0"/>
        </w:rPr>
        <w:tab/>
        <w:t>Leave of absence</w:t>
      </w:r>
      <w:bookmarkEnd w:id="623"/>
      <w:bookmarkEnd w:id="624"/>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625" w:name="_Toc398890131"/>
      <w:bookmarkStart w:id="626" w:name="_Toc1492131"/>
      <w:r>
        <w:rPr>
          <w:rStyle w:val="CharSClsNo"/>
        </w:rPr>
        <w:t>11</w:t>
      </w:r>
      <w:r>
        <w:rPr>
          <w:snapToGrid w:val="0"/>
        </w:rPr>
        <w:t>.</w:t>
      </w:r>
      <w:r>
        <w:rPr>
          <w:snapToGrid w:val="0"/>
        </w:rPr>
        <w:tab/>
        <w:t>Board to determine own procedures</w:t>
      </w:r>
      <w:bookmarkEnd w:id="625"/>
      <w:bookmarkEnd w:id="626"/>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outlineLvl w:val="0"/>
      </w:pPr>
      <w:bookmarkStart w:id="627" w:name="_Toc398890132"/>
      <w:bookmarkStart w:id="628" w:name="_Toc424284567"/>
      <w:bookmarkStart w:id="629" w:name="_Toc468975459"/>
      <w:bookmarkStart w:id="630" w:name="_Toc468975823"/>
      <w:bookmarkStart w:id="631" w:name="_Toc468978157"/>
      <w:bookmarkStart w:id="632" w:name="_Toc1491768"/>
      <w:bookmarkStart w:id="633" w:name="_Toc1492132"/>
      <w:r>
        <w:rPr>
          <w:rStyle w:val="CharSchNo"/>
        </w:rPr>
        <w:t>Schedule 3</w:t>
      </w:r>
      <w:r>
        <w:t xml:space="preserve"> — </w:t>
      </w:r>
      <w:r>
        <w:rPr>
          <w:rStyle w:val="CharSchText"/>
        </w:rPr>
        <w:t>Provisions about duties of CEO and staff</w:t>
      </w:r>
      <w:bookmarkEnd w:id="627"/>
      <w:bookmarkEnd w:id="628"/>
      <w:bookmarkEnd w:id="629"/>
      <w:bookmarkEnd w:id="630"/>
      <w:bookmarkEnd w:id="631"/>
      <w:bookmarkEnd w:id="632"/>
      <w:bookmarkEnd w:id="633"/>
      <w:r>
        <w:rPr>
          <w:rStyle w:val="CharSchText"/>
        </w:rPr>
        <w:t xml:space="preserve"> </w:t>
      </w:r>
    </w:p>
    <w:p>
      <w:pPr>
        <w:pStyle w:val="yShoulderClause"/>
      </w:pPr>
      <w:r>
        <w:t>[s. 20]</w:t>
      </w:r>
    </w:p>
    <w:p>
      <w:pPr>
        <w:pStyle w:val="yHeading3"/>
        <w:outlineLvl w:val="0"/>
      </w:pPr>
      <w:bookmarkStart w:id="634" w:name="_Toc398890133"/>
      <w:bookmarkStart w:id="635" w:name="_Toc424284568"/>
      <w:bookmarkStart w:id="636" w:name="_Toc468975460"/>
      <w:bookmarkStart w:id="637" w:name="_Toc468975824"/>
      <w:bookmarkStart w:id="638" w:name="_Toc468978158"/>
      <w:bookmarkStart w:id="639" w:name="_Toc1491769"/>
      <w:bookmarkStart w:id="640" w:name="_Toc1492133"/>
      <w:r>
        <w:rPr>
          <w:rStyle w:val="CharSDivNo"/>
        </w:rPr>
        <w:t>Division 1</w:t>
      </w:r>
      <w:r>
        <w:t xml:space="preserve"> — </w:t>
      </w:r>
      <w:r>
        <w:rPr>
          <w:rStyle w:val="CharSDivText"/>
        </w:rPr>
        <w:t>General duties of CEO</w:t>
      </w:r>
      <w:bookmarkEnd w:id="634"/>
      <w:bookmarkEnd w:id="635"/>
      <w:bookmarkEnd w:id="636"/>
      <w:bookmarkEnd w:id="637"/>
      <w:bookmarkEnd w:id="638"/>
      <w:bookmarkEnd w:id="639"/>
      <w:bookmarkEnd w:id="640"/>
    </w:p>
    <w:p>
      <w:pPr>
        <w:pStyle w:val="yHeading5"/>
        <w:outlineLvl w:val="0"/>
        <w:rPr>
          <w:snapToGrid w:val="0"/>
        </w:rPr>
      </w:pPr>
      <w:bookmarkStart w:id="641" w:name="_Toc398890134"/>
      <w:bookmarkStart w:id="642" w:name="_Toc1492134"/>
      <w:r>
        <w:rPr>
          <w:rStyle w:val="CharSClsNo"/>
        </w:rPr>
        <w:t>1</w:t>
      </w:r>
      <w:r>
        <w:rPr>
          <w:snapToGrid w:val="0"/>
        </w:rPr>
        <w:t>.</w:t>
      </w:r>
      <w:r>
        <w:rPr>
          <w:snapToGrid w:val="0"/>
        </w:rPr>
        <w:tab/>
        <w:t>Duties of CEO</w:t>
      </w:r>
      <w:bookmarkEnd w:id="641"/>
      <w:bookmarkEnd w:id="642"/>
      <w:r>
        <w:rPr>
          <w:snapToGrid w:val="0"/>
        </w:rPr>
        <w:t xml:space="preserve"> </w:t>
      </w:r>
    </w:p>
    <w:p>
      <w:pPr>
        <w:pStyle w:val="ySubsection"/>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No. 10 of 2001 s. 160.]</w:t>
      </w:r>
    </w:p>
    <w:p>
      <w:pPr>
        <w:pStyle w:val="yHeading3"/>
        <w:outlineLvl w:val="0"/>
        <w:rPr>
          <w:rStyle w:val="CharDivNo"/>
        </w:rPr>
      </w:pPr>
      <w:bookmarkStart w:id="643" w:name="_Toc398890135"/>
      <w:bookmarkStart w:id="644" w:name="_Toc424284570"/>
      <w:bookmarkStart w:id="645" w:name="_Toc468975462"/>
      <w:bookmarkStart w:id="646" w:name="_Toc468975826"/>
      <w:bookmarkStart w:id="647" w:name="_Toc468978160"/>
      <w:bookmarkStart w:id="648" w:name="_Toc1491771"/>
      <w:bookmarkStart w:id="649" w:name="_Toc1492135"/>
      <w:r>
        <w:rPr>
          <w:rStyle w:val="CharSDivNo"/>
        </w:rPr>
        <w:t>Division 2</w:t>
      </w:r>
      <w:r>
        <w:rPr>
          <w:rStyle w:val="CharDivNo"/>
        </w:rPr>
        <w:t xml:space="preserve"> — </w:t>
      </w:r>
      <w:r>
        <w:rPr>
          <w:rStyle w:val="CharSDivText"/>
        </w:rPr>
        <w:t>Particular duties stated</w:t>
      </w:r>
      <w:bookmarkEnd w:id="643"/>
      <w:bookmarkEnd w:id="644"/>
      <w:bookmarkEnd w:id="645"/>
      <w:bookmarkEnd w:id="646"/>
      <w:bookmarkEnd w:id="647"/>
      <w:bookmarkEnd w:id="648"/>
      <w:bookmarkEnd w:id="649"/>
    </w:p>
    <w:p>
      <w:pPr>
        <w:pStyle w:val="yHeading5"/>
        <w:outlineLvl w:val="0"/>
        <w:rPr>
          <w:snapToGrid w:val="0"/>
        </w:rPr>
      </w:pPr>
      <w:bookmarkStart w:id="650" w:name="_Toc398890136"/>
      <w:bookmarkStart w:id="651" w:name="_Toc1492136"/>
      <w:r>
        <w:rPr>
          <w:rStyle w:val="CharSClsNo"/>
        </w:rPr>
        <w:t>2</w:t>
      </w:r>
      <w:r>
        <w:rPr>
          <w:snapToGrid w:val="0"/>
        </w:rPr>
        <w:t>.</w:t>
      </w:r>
      <w:r>
        <w:rPr>
          <w:snapToGrid w:val="0"/>
        </w:rPr>
        <w:tab/>
        <w:t>Term used: officer and interpretation</w:t>
      </w:r>
      <w:bookmarkEnd w:id="650"/>
      <w:bookmarkEnd w:id="651"/>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No. 4 of 2004 s. 58.]</w:t>
      </w:r>
    </w:p>
    <w:p>
      <w:pPr>
        <w:pStyle w:val="yHeading5"/>
        <w:outlineLvl w:val="0"/>
        <w:rPr>
          <w:snapToGrid w:val="0"/>
        </w:rPr>
      </w:pPr>
      <w:bookmarkStart w:id="652" w:name="_Toc398890137"/>
      <w:bookmarkStart w:id="653" w:name="_Toc1492137"/>
      <w:r>
        <w:rPr>
          <w:rStyle w:val="CharSClsNo"/>
        </w:rPr>
        <w:t>3</w:t>
      </w:r>
      <w:r>
        <w:rPr>
          <w:snapToGrid w:val="0"/>
        </w:rPr>
        <w:t>.</w:t>
      </w:r>
      <w:r>
        <w:rPr>
          <w:snapToGrid w:val="0"/>
        </w:rPr>
        <w:tab/>
        <w:t>Duty to act honestly</w:t>
      </w:r>
      <w:bookmarkEnd w:id="652"/>
      <w:bookmarkEnd w:id="653"/>
      <w:r>
        <w:rPr>
          <w:snapToGrid w:val="0"/>
        </w:rPr>
        <w:t xml:space="preserve"> </w:t>
      </w:r>
    </w:p>
    <w:p>
      <w:pPr>
        <w:pStyle w:val="ySubsection"/>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654" w:name="_Toc398890138"/>
      <w:bookmarkStart w:id="655" w:name="_Toc1492138"/>
      <w:r>
        <w:rPr>
          <w:rStyle w:val="CharSClsNo"/>
        </w:rPr>
        <w:t>4</w:t>
      </w:r>
      <w:r>
        <w:rPr>
          <w:snapToGrid w:val="0"/>
        </w:rPr>
        <w:t>.</w:t>
      </w:r>
      <w:r>
        <w:rPr>
          <w:snapToGrid w:val="0"/>
        </w:rPr>
        <w:tab/>
        <w:t>Duty to exercise reasonable care and diligence</w:t>
      </w:r>
      <w:bookmarkEnd w:id="654"/>
      <w:bookmarkEnd w:id="655"/>
      <w:r>
        <w:rPr>
          <w:snapToGrid w:val="0"/>
        </w:rPr>
        <w:t xml:space="preserve"> </w:t>
      </w:r>
    </w:p>
    <w:p>
      <w:pPr>
        <w:pStyle w:val="ySubsection"/>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656" w:name="_Toc398890139"/>
      <w:bookmarkStart w:id="657" w:name="_Toc1492139"/>
      <w:r>
        <w:rPr>
          <w:rStyle w:val="CharSClsNo"/>
        </w:rPr>
        <w:t>5</w:t>
      </w:r>
      <w:r>
        <w:rPr>
          <w:snapToGrid w:val="0"/>
        </w:rPr>
        <w:t>.</w:t>
      </w:r>
      <w:r>
        <w:rPr>
          <w:snapToGrid w:val="0"/>
        </w:rPr>
        <w:tab/>
        <w:t>Duty not to make improper use of information</w:t>
      </w:r>
      <w:bookmarkEnd w:id="656"/>
      <w:bookmarkEnd w:id="657"/>
      <w:r>
        <w:rPr>
          <w:snapToGrid w:val="0"/>
        </w:rPr>
        <w:t xml:space="preserve"> </w:t>
      </w:r>
    </w:p>
    <w:p>
      <w:pPr>
        <w:pStyle w:val="ySubsection"/>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keepNext/>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658" w:name="_Toc398890140"/>
      <w:bookmarkStart w:id="659" w:name="_Toc1492140"/>
      <w:r>
        <w:rPr>
          <w:rStyle w:val="CharSClsNo"/>
        </w:rPr>
        <w:t>6</w:t>
      </w:r>
      <w:r>
        <w:rPr>
          <w:snapToGrid w:val="0"/>
        </w:rPr>
        <w:t>.</w:t>
      </w:r>
      <w:r>
        <w:rPr>
          <w:snapToGrid w:val="0"/>
        </w:rPr>
        <w:tab/>
        <w:t>Duty not to make improper use of position</w:t>
      </w:r>
      <w:bookmarkEnd w:id="658"/>
      <w:bookmarkEnd w:id="659"/>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660" w:name="_Toc398890141"/>
      <w:bookmarkStart w:id="661" w:name="_Toc424284576"/>
      <w:bookmarkStart w:id="662" w:name="_Toc468975468"/>
      <w:bookmarkStart w:id="663" w:name="_Toc468975832"/>
      <w:bookmarkStart w:id="664" w:name="_Toc468978166"/>
      <w:bookmarkStart w:id="665" w:name="_Toc1491777"/>
      <w:bookmarkStart w:id="666" w:name="_Toc1492141"/>
      <w:r>
        <w:rPr>
          <w:rStyle w:val="CharSDivNo"/>
        </w:rPr>
        <w:t>Division 3</w:t>
      </w:r>
      <w:r>
        <w:rPr>
          <w:rStyle w:val="CharDivNo"/>
        </w:rPr>
        <w:t xml:space="preserve"> — </w:t>
      </w:r>
      <w:r>
        <w:rPr>
          <w:rStyle w:val="CharSDivText"/>
        </w:rPr>
        <w:t>Compensation</w:t>
      </w:r>
      <w:bookmarkEnd w:id="660"/>
      <w:bookmarkEnd w:id="661"/>
      <w:bookmarkEnd w:id="662"/>
      <w:bookmarkEnd w:id="663"/>
      <w:bookmarkEnd w:id="664"/>
      <w:bookmarkEnd w:id="665"/>
      <w:bookmarkEnd w:id="666"/>
    </w:p>
    <w:p>
      <w:pPr>
        <w:pStyle w:val="yHeading5"/>
        <w:spacing w:before="180"/>
        <w:outlineLvl w:val="0"/>
        <w:rPr>
          <w:snapToGrid w:val="0"/>
        </w:rPr>
      </w:pPr>
      <w:bookmarkStart w:id="667" w:name="_Toc398890142"/>
      <w:bookmarkStart w:id="668" w:name="_Toc1492142"/>
      <w:r>
        <w:rPr>
          <w:rStyle w:val="CharSClsNo"/>
        </w:rPr>
        <w:t>7</w:t>
      </w:r>
      <w:r>
        <w:rPr>
          <w:snapToGrid w:val="0"/>
        </w:rPr>
        <w:t>.</w:t>
      </w:r>
      <w:r>
        <w:rPr>
          <w:snapToGrid w:val="0"/>
        </w:rPr>
        <w:tab/>
        <w:t>Compensation may be ordered if cl. 3, 4, 5 or 6 offence</w:t>
      </w:r>
      <w:bookmarkEnd w:id="667"/>
      <w:bookmarkEnd w:id="668"/>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spacing w:before="180"/>
        <w:outlineLvl w:val="0"/>
        <w:rPr>
          <w:snapToGrid w:val="0"/>
        </w:rPr>
      </w:pPr>
      <w:bookmarkStart w:id="669" w:name="_Toc398890143"/>
      <w:bookmarkStart w:id="670" w:name="_Toc1492143"/>
      <w:r>
        <w:rPr>
          <w:rStyle w:val="CharSClsNo"/>
        </w:rPr>
        <w:t>8</w:t>
      </w:r>
      <w:r>
        <w:rPr>
          <w:snapToGrid w:val="0"/>
        </w:rPr>
        <w:t>.</w:t>
      </w:r>
      <w:r>
        <w:rPr>
          <w:snapToGrid w:val="0"/>
        </w:rPr>
        <w:tab/>
        <w:t>Civil recovery if cl. 3, 4, 5 or 6 offence</w:t>
      </w:r>
      <w:bookmarkEnd w:id="669"/>
      <w:bookmarkEnd w:id="670"/>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671" w:name="_Toc398890144"/>
      <w:bookmarkStart w:id="672" w:name="_Toc424284579"/>
      <w:bookmarkStart w:id="673" w:name="_Toc468975471"/>
      <w:bookmarkStart w:id="674" w:name="_Toc468975835"/>
      <w:bookmarkStart w:id="675" w:name="_Toc468978169"/>
      <w:bookmarkStart w:id="676" w:name="_Toc1491780"/>
      <w:bookmarkStart w:id="677" w:name="_Toc1492144"/>
      <w:r>
        <w:rPr>
          <w:rStyle w:val="CharSDivNo"/>
        </w:rPr>
        <w:t>Division 4</w:t>
      </w:r>
      <w:r>
        <w:rPr>
          <w:rStyle w:val="CharDivNo"/>
        </w:rPr>
        <w:t> — </w:t>
      </w:r>
      <w:r>
        <w:rPr>
          <w:rStyle w:val="CharSDivText"/>
        </w:rPr>
        <w:t>Relief from liability</w:t>
      </w:r>
      <w:bookmarkEnd w:id="671"/>
      <w:bookmarkEnd w:id="672"/>
      <w:bookmarkEnd w:id="673"/>
      <w:bookmarkEnd w:id="674"/>
      <w:bookmarkEnd w:id="675"/>
      <w:bookmarkEnd w:id="676"/>
      <w:bookmarkEnd w:id="677"/>
      <w:r>
        <w:rPr>
          <w:rStyle w:val="CharDivNo"/>
        </w:rPr>
        <w:t xml:space="preserve"> </w:t>
      </w:r>
    </w:p>
    <w:p>
      <w:pPr>
        <w:pStyle w:val="yHeading5"/>
        <w:outlineLvl w:val="0"/>
        <w:rPr>
          <w:snapToGrid w:val="0"/>
        </w:rPr>
      </w:pPr>
      <w:bookmarkStart w:id="678" w:name="_Toc398890145"/>
      <w:bookmarkStart w:id="679" w:name="_Toc1492145"/>
      <w:r>
        <w:rPr>
          <w:rStyle w:val="CharSClsNo"/>
        </w:rPr>
        <w:t>9</w:t>
      </w:r>
      <w:r>
        <w:rPr>
          <w:snapToGrid w:val="0"/>
        </w:rPr>
        <w:t>.</w:t>
      </w:r>
      <w:r>
        <w:rPr>
          <w:snapToGrid w:val="0"/>
        </w:rPr>
        <w:tab/>
        <w:t>Relief from liability under cl. 1, 7 and 8</w:t>
      </w:r>
      <w:bookmarkEnd w:id="678"/>
      <w:bookmarkEnd w:id="679"/>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 and</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680" w:name="_Toc398890146"/>
      <w:bookmarkStart w:id="681" w:name="_Toc1492146"/>
      <w:r>
        <w:rPr>
          <w:rStyle w:val="CharSClsNo"/>
        </w:rPr>
        <w:t>10</w:t>
      </w:r>
      <w:r>
        <w:rPr>
          <w:snapToGrid w:val="0"/>
        </w:rPr>
        <w:t>.</w:t>
      </w:r>
      <w:r>
        <w:rPr>
          <w:snapToGrid w:val="0"/>
        </w:rPr>
        <w:tab/>
        <w:t>Application for relief from liability under cl. 1, 7 or 8</w:t>
      </w:r>
      <w:bookmarkEnd w:id="680"/>
      <w:bookmarkEnd w:id="681"/>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682" w:name="_Toc398890147"/>
      <w:bookmarkStart w:id="683" w:name="_Toc1492147"/>
      <w:r>
        <w:rPr>
          <w:rStyle w:val="CharSClsNo"/>
        </w:rPr>
        <w:t>11</w:t>
      </w:r>
      <w:r>
        <w:rPr>
          <w:snapToGrid w:val="0"/>
        </w:rPr>
        <w:t>.</w:t>
      </w:r>
      <w:r>
        <w:rPr>
          <w:snapToGrid w:val="0"/>
        </w:rPr>
        <w:tab/>
        <w:t>Case as to cl. 9 may be withdrawn from jury</w:t>
      </w:r>
      <w:bookmarkEnd w:id="682"/>
      <w:bookmarkEnd w:id="683"/>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684" w:name="_Toc398890148"/>
      <w:bookmarkStart w:id="685" w:name="_Toc1492148"/>
      <w:r>
        <w:rPr>
          <w:rStyle w:val="CharSClsNo"/>
        </w:rPr>
        <w:t>12</w:t>
      </w:r>
      <w:r>
        <w:rPr>
          <w:snapToGrid w:val="0"/>
        </w:rPr>
        <w:t>.</w:t>
      </w:r>
      <w:r>
        <w:rPr>
          <w:snapToGrid w:val="0"/>
        </w:rPr>
        <w:tab/>
        <w:t>Compliance with directions is not contravention of cl. 1, 3 or 4</w:t>
      </w:r>
      <w:bookmarkEnd w:id="684"/>
      <w:bookmarkEnd w:id="685"/>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686" w:name="_Toc398890149"/>
      <w:bookmarkStart w:id="687" w:name="_Toc424284584"/>
      <w:bookmarkStart w:id="688" w:name="_Toc468975476"/>
      <w:bookmarkStart w:id="689" w:name="_Toc468975840"/>
      <w:bookmarkStart w:id="690" w:name="_Toc468978174"/>
      <w:bookmarkStart w:id="691" w:name="_Toc1491785"/>
      <w:bookmarkStart w:id="692" w:name="_Toc1492149"/>
      <w:r>
        <w:rPr>
          <w:rStyle w:val="CharSDivNo"/>
        </w:rPr>
        <w:t>Division 5</w:t>
      </w:r>
      <w:r>
        <w:rPr>
          <w:rStyle w:val="CharDivNo"/>
        </w:rPr>
        <w:t xml:space="preserve"> — </w:t>
      </w:r>
      <w:r>
        <w:rPr>
          <w:rStyle w:val="CharSDivText"/>
        </w:rPr>
        <w:t>Restrictions on indemnities and exemptions</w:t>
      </w:r>
      <w:bookmarkEnd w:id="686"/>
      <w:bookmarkEnd w:id="687"/>
      <w:bookmarkEnd w:id="688"/>
      <w:bookmarkEnd w:id="689"/>
      <w:bookmarkEnd w:id="690"/>
      <w:bookmarkEnd w:id="691"/>
      <w:bookmarkEnd w:id="692"/>
    </w:p>
    <w:p>
      <w:pPr>
        <w:pStyle w:val="yHeading5"/>
        <w:outlineLvl w:val="0"/>
      </w:pPr>
      <w:bookmarkStart w:id="693" w:name="_Toc398890150"/>
      <w:bookmarkStart w:id="694" w:name="_Toc1492150"/>
      <w:r>
        <w:rPr>
          <w:rStyle w:val="CharSClsNo"/>
        </w:rPr>
        <w:t>13</w:t>
      </w:r>
      <w:r>
        <w:t>.</w:t>
      </w:r>
      <w:r>
        <w:tab/>
        <w:t>CEO and executive officers not to be exempted or indemnified for some liability</w:t>
      </w:r>
      <w:bookmarkEnd w:id="693"/>
      <w:bookmarkEnd w:id="694"/>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695" w:name="_Toc398890151"/>
      <w:bookmarkStart w:id="696" w:name="_Toc1492151"/>
      <w:r>
        <w:rPr>
          <w:rStyle w:val="CharSClsNo"/>
        </w:rPr>
        <w:t>14</w:t>
      </w:r>
      <w:r>
        <w:t>.</w:t>
      </w:r>
      <w:r>
        <w:tab/>
        <w:t>Insurance premiums for certain liabilities of CEO and executive officers</w:t>
      </w:r>
      <w:bookmarkEnd w:id="695"/>
      <w:bookmarkEnd w:id="696"/>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697" w:name="_Toc398890152"/>
      <w:bookmarkStart w:id="698" w:name="_Toc1492152"/>
      <w:r>
        <w:rPr>
          <w:rStyle w:val="CharSClsNo"/>
        </w:rPr>
        <w:t>15</w:t>
      </w:r>
      <w:r>
        <w:t>.</w:t>
      </w:r>
      <w:r>
        <w:tab/>
        <w:t>Certain indemnities, exemptions, payments and agreements not authorised and certain documents void</w:t>
      </w:r>
      <w:bookmarkEnd w:id="697"/>
      <w:bookmarkEnd w:id="698"/>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699" w:name="_Toc398890153"/>
      <w:bookmarkStart w:id="700" w:name="_Toc424284588"/>
      <w:bookmarkStart w:id="701" w:name="_Toc468975480"/>
      <w:bookmarkStart w:id="702" w:name="_Toc468975844"/>
      <w:bookmarkStart w:id="703" w:name="_Toc468978178"/>
      <w:bookmarkStart w:id="704" w:name="_Toc1491789"/>
      <w:bookmarkStart w:id="705" w:name="_Toc1492153"/>
      <w:r>
        <w:rPr>
          <w:rStyle w:val="CharSchNo"/>
        </w:rPr>
        <w:t>Schedule 4</w:t>
      </w:r>
      <w:r>
        <w:t xml:space="preserve"> — </w:t>
      </w:r>
      <w:r>
        <w:rPr>
          <w:rStyle w:val="CharSchText"/>
        </w:rPr>
        <w:t>Provisions to be included in articles of association of subsidiaries</w:t>
      </w:r>
      <w:bookmarkEnd w:id="699"/>
      <w:bookmarkEnd w:id="700"/>
      <w:bookmarkEnd w:id="701"/>
      <w:bookmarkEnd w:id="702"/>
      <w:bookmarkEnd w:id="703"/>
      <w:bookmarkEnd w:id="704"/>
      <w:bookmarkEnd w:id="705"/>
      <w:r>
        <w:rPr>
          <w:rStyle w:val="CharSchText"/>
        </w:rPr>
        <w:t xml:space="preserve"> </w:t>
      </w:r>
    </w:p>
    <w:p>
      <w:pPr>
        <w:pStyle w:val="yShoulderClause"/>
      </w:pPr>
      <w:r>
        <w:t>[s. 39]</w:t>
      </w:r>
    </w:p>
    <w:p>
      <w:pPr>
        <w:pStyle w:val="yHeading5"/>
        <w:outlineLvl w:val="0"/>
        <w:rPr>
          <w:snapToGrid w:val="0"/>
        </w:rPr>
      </w:pPr>
      <w:bookmarkStart w:id="706" w:name="_Toc398890154"/>
      <w:bookmarkStart w:id="707" w:name="_Toc1492154"/>
      <w:r>
        <w:rPr>
          <w:rStyle w:val="CharSClsNo"/>
        </w:rPr>
        <w:t>1</w:t>
      </w:r>
      <w:r>
        <w:rPr>
          <w:snapToGrid w:val="0"/>
        </w:rPr>
        <w:t>.</w:t>
      </w:r>
      <w:r>
        <w:rPr>
          <w:snapToGrid w:val="0"/>
        </w:rPr>
        <w:tab/>
        <w:t>Disposal of shares</w:t>
      </w:r>
      <w:bookmarkEnd w:id="706"/>
      <w:bookmarkEnd w:id="707"/>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708" w:name="_Toc398890155"/>
      <w:bookmarkStart w:id="709" w:name="_Toc1492155"/>
      <w:r>
        <w:rPr>
          <w:rStyle w:val="CharSClsNo"/>
        </w:rPr>
        <w:t>2</w:t>
      </w:r>
      <w:r>
        <w:rPr>
          <w:snapToGrid w:val="0"/>
        </w:rPr>
        <w:t>.</w:t>
      </w:r>
      <w:r>
        <w:rPr>
          <w:snapToGrid w:val="0"/>
        </w:rPr>
        <w:tab/>
        <w:t>Directors</w:t>
      </w:r>
      <w:bookmarkEnd w:id="708"/>
      <w:bookmarkEnd w:id="709"/>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710" w:name="_Toc398890156"/>
      <w:bookmarkStart w:id="711" w:name="_Toc1492156"/>
      <w:r>
        <w:rPr>
          <w:rStyle w:val="CharSClsNo"/>
        </w:rPr>
        <w:t>3</w:t>
      </w:r>
      <w:r>
        <w:rPr>
          <w:snapToGrid w:val="0"/>
        </w:rPr>
        <w:t>.</w:t>
      </w:r>
      <w:r>
        <w:rPr>
          <w:snapToGrid w:val="0"/>
        </w:rPr>
        <w:tab/>
        <w:t>Further shares</w:t>
      </w:r>
      <w:bookmarkEnd w:id="710"/>
      <w:bookmarkEnd w:id="711"/>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712" w:name="_Toc398890157"/>
      <w:bookmarkStart w:id="713" w:name="_Toc1492157"/>
      <w:r>
        <w:rPr>
          <w:rStyle w:val="CharSClsNo"/>
        </w:rPr>
        <w:t>4</w:t>
      </w:r>
      <w:r>
        <w:rPr>
          <w:snapToGrid w:val="0"/>
        </w:rPr>
        <w:t>.</w:t>
      </w:r>
      <w:r>
        <w:rPr>
          <w:snapToGrid w:val="0"/>
        </w:rPr>
        <w:tab/>
        <w:t>Subsidiaries of subsidiary</w:t>
      </w:r>
      <w:bookmarkEnd w:id="712"/>
      <w:bookmarkEnd w:id="713"/>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outlineLvl w:val="0"/>
      </w:pPr>
      <w:bookmarkStart w:id="714" w:name="_Toc398890158"/>
      <w:bookmarkStart w:id="715" w:name="_Toc424284593"/>
      <w:bookmarkStart w:id="716" w:name="_Toc468975485"/>
      <w:bookmarkStart w:id="717" w:name="_Toc468975849"/>
      <w:bookmarkStart w:id="718" w:name="_Toc468978183"/>
      <w:bookmarkStart w:id="719" w:name="_Toc1491794"/>
      <w:bookmarkStart w:id="720" w:name="_Toc1492158"/>
      <w:r>
        <w:rPr>
          <w:rStyle w:val="CharSchNo"/>
        </w:rPr>
        <w:t>Schedule 5</w:t>
      </w:r>
      <w:r>
        <w:t xml:space="preserve"> — </w:t>
      </w:r>
      <w:r>
        <w:rPr>
          <w:rStyle w:val="CharSchText"/>
        </w:rPr>
        <w:t>Financial administration and audit</w:t>
      </w:r>
      <w:bookmarkEnd w:id="714"/>
      <w:bookmarkEnd w:id="715"/>
      <w:bookmarkEnd w:id="716"/>
      <w:bookmarkEnd w:id="717"/>
      <w:bookmarkEnd w:id="718"/>
      <w:bookmarkEnd w:id="719"/>
      <w:bookmarkEnd w:id="720"/>
    </w:p>
    <w:p>
      <w:pPr>
        <w:pStyle w:val="yShoulderClause"/>
      </w:pPr>
      <w:r>
        <w:t>[s. 91(1)]</w:t>
      </w:r>
    </w:p>
    <w:p>
      <w:pPr>
        <w:pStyle w:val="yFootnoteheading"/>
      </w:pPr>
      <w:r>
        <w:tab/>
        <w:t>[Heading inserted in Gazette 4 Mar 2003 p. 711.]</w:t>
      </w:r>
    </w:p>
    <w:p>
      <w:pPr>
        <w:pStyle w:val="yHeading3"/>
        <w:outlineLvl w:val="0"/>
      </w:pPr>
      <w:bookmarkStart w:id="721" w:name="_Toc398890159"/>
      <w:bookmarkStart w:id="722" w:name="_Toc424284594"/>
      <w:bookmarkStart w:id="723" w:name="_Toc468975486"/>
      <w:bookmarkStart w:id="724" w:name="_Toc468975850"/>
      <w:bookmarkStart w:id="725" w:name="_Toc468978184"/>
      <w:bookmarkStart w:id="726" w:name="_Toc1491795"/>
      <w:bookmarkStart w:id="727" w:name="_Toc1492159"/>
      <w:r>
        <w:rPr>
          <w:rStyle w:val="CharSDivNo"/>
        </w:rPr>
        <w:t>Division 1</w:t>
      </w:r>
      <w:r>
        <w:t xml:space="preserve"> — </w:t>
      </w:r>
      <w:r>
        <w:rPr>
          <w:rStyle w:val="CharSDivText"/>
        </w:rPr>
        <w:t>Preliminary</w:t>
      </w:r>
      <w:bookmarkEnd w:id="721"/>
      <w:bookmarkEnd w:id="722"/>
      <w:bookmarkEnd w:id="723"/>
      <w:bookmarkEnd w:id="724"/>
      <w:bookmarkEnd w:id="725"/>
      <w:bookmarkEnd w:id="726"/>
      <w:bookmarkEnd w:id="727"/>
    </w:p>
    <w:p>
      <w:pPr>
        <w:pStyle w:val="yFootnoteheading"/>
      </w:pPr>
      <w:r>
        <w:tab/>
        <w:t>[Heading inserted in Gazette 4 Mar 2003 p. 711.]</w:t>
      </w:r>
    </w:p>
    <w:p>
      <w:pPr>
        <w:pStyle w:val="yHeading5"/>
      </w:pPr>
      <w:bookmarkStart w:id="728" w:name="_Toc398890160"/>
      <w:bookmarkStart w:id="729" w:name="_Toc1492160"/>
      <w:r>
        <w:rPr>
          <w:rStyle w:val="CharSClsNo"/>
        </w:rPr>
        <w:t>1</w:t>
      </w:r>
      <w:r>
        <w:t>.</w:t>
      </w:r>
      <w:r>
        <w:tab/>
        <w:t>Terms used</w:t>
      </w:r>
      <w:bookmarkEnd w:id="728"/>
      <w:bookmarkEnd w:id="729"/>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730" w:name="_Toc398890161"/>
      <w:bookmarkStart w:id="731" w:name="_Toc424284596"/>
      <w:bookmarkStart w:id="732" w:name="_Toc468975488"/>
      <w:bookmarkStart w:id="733" w:name="_Toc468975852"/>
      <w:bookmarkStart w:id="734" w:name="_Toc468978186"/>
      <w:bookmarkStart w:id="735" w:name="_Toc1491797"/>
      <w:bookmarkStart w:id="736" w:name="_Toc1492161"/>
      <w:r>
        <w:rPr>
          <w:rStyle w:val="CharSDivNo"/>
        </w:rPr>
        <w:t>Division 2</w:t>
      </w:r>
      <w:r>
        <w:t xml:space="preserve"> — </w:t>
      </w:r>
      <w:r>
        <w:rPr>
          <w:rStyle w:val="CharSDivText"/>
        </w:rPr>
        <w:t>Financial records</w:t>
      </w:r>
      <w:bookmarkEnd w:id="730"/>
      <w:bookmarkEnd w:id="731"/>
      <w:bookmarkEnd w:id="732"/>
      <w:bookmarkEnd w:id="733"/>
      <w:bookmarkEnd w:id="734"/>
      <w:bookmarkEnd w:id="735"/>
      <w:bookmarkEnd w:id="736"/>
    </w:p>
    <w:p>
      <w:pPr>
        <w:pStyle w:val="yFootnoteheading"/>
      </w:pPr>
      <w:r>
        <w:tab/>
        <w:t>[Heading inserted in Gazette 4 Mar 2003 p. 712.]</w:t>
      </w:r>
    </w:p>
    <w:p>
      <w:pPr>
        <w:pStyle w:val="yHeading5"/>
      </w:pPr>
      <w:bookmarkStart w:id="737" w:name="_Toc398890162"/>
      <w:bookmarkStart w:id="738" w:name="_Toc1492162"/>
      <w:r>
        <w:rPr>
          <w:rStyle w:val="CharSClsNo"/>
        </w:rPr>
        <w:t>2</w:t>
      </w:r>
      <w:r>
        <w:t>.</w:t>
      </w:r>
      <w:r>
        <w:tab/>
        <w:t>Obligation to keep financial records</w:t>
      </w:r>
      <w:r>
        <w:br/>
      </w:r>
      <w:r>
        <w:rPr>
          <w:i/>
        </w:rPr>
        <w:t>(cf. Corporations Act s. 286)</w:t>
      </w:r>
      <w:bookmarkEnd w:id="737"/>
      <w:bookmarkEnd w:id="738"/>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739" w:name="_Toc398890163"/>
      <w:bookmarkStart w:id="740" w:name="_Toc1492163"/>
      <w:r>
        <w:rPr>
          <w:rStyle w:val="CharSClsNo"/>
        </w:rPr>
        <w:t>3</w:t>
      </w:r>
      <w:r>
        <w:t>.</w:t>
      </w:r>
      <w:r>
        <w:tab/>
        <w:t>Physical format</w:t>
      </w:r>
      <w:r>
        <w:br/>
      </w:r>
      <w:r>
        <w:rPr>
          <w:i/>
        </w:rPr>
        <w:t>(cf. Corporations Act s. 288)</w:t>
      </w:r>
      <w:bookmarkEnd w:id="739"/>
      <w:bookmarkEnd w:id="740"/>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741" w:name="_Toc398890164"/>
      <w:bookmarkStart w:id="742" w:name="_Toc1492164"/>
      <w:r>
        <w:rPr>
          <w:rStyle w:val="CharSClsNo"/>
        </w:rPr>
        <w:t>4</w:t>
      </w:r>
      <w:r>
        <w:t>.</w:t>
      </w:r>
      <w:r>
        <w:tab/>
        <w:t>Place where records are kept</w:t>
      </w:r>
      <w:r>
        <w:br/>
      </w:r>
      <w:r>
        <w:rPr>
          <w:i/>
        </w:rPr>
        <w:t>(cf. Corporations Act s. 289)</w:t>
      </w:r>
      <w:bookmarkEnd w:id="741"/>
      <w:bookmarkEnd w:id="742"/>
    </w:p>
    <w:p>
      <w:pPr>
        <w:pStyle w:val="ySubsection"/>
      </w:pPr>
      <w:r>
        <w:tab/>
        <w:t>(1)</w:t>
      </w:r>
      <w:r>
        <w:tab/>
        <w:t>A port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 xml:space="preserve">The Minister may direct a port authority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743" w:name="_Toc398890165"/>
      <w:bookmarkStart w:id="744" w:name="_Toc1492165"/>
      <w:r>
        <w:rPr>
          <w:rStyle w:val="CharSClsNo"/>
        </w:rPr>
        <w:t>5</w:t>
      </w:r>
      <w:r>
        <w:t>.</w:t>
      </w:r>
      <w:r>
        <w:tab/>
        <w:t>Director access</w:t>
      </w:r>
      <w:r>
        <w:br/>
      </w:r>
      <w:r>
        <w:rPr>
          <w:i/>
        </w:rPr>
        <w:t>(cf. Corporations Act s. 290)</w:t>
      </w:r>
      <w:bookmarkEnd w:id="743"/>
      <w:bookmarkEnd w:id="744"/>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745" w:name="_Toc398890166"/>
      <w:bookmarkStart w:id="746" w:name="_Toc424284601"/>
      <w:bookmarkStart w:id="747" w:name="_Toc468975493"/>
      <w:bookmarkStart w:id="748" w:name="_Toc468975857"/>
      <w:bookmarkStart w:id="749" w:name="_Toc468978191"/>
      <w:bookmarkStart w:id="750" w:name="_Toc1491802"/>
      <w:bookmarkStart w:id="751" w:name="_Toc1492166"/>
      <w:r>
        <w:rPr>
          <w:rStyle w:val="CharSDivNo"/>
        </w:rPr>
        <w:t>Division 3</w:t>
      </w:r>
      <w:r>
        <w:t xml:space="preserve"> — </w:t>
      </w:r>
      <w:r>
        <w:rPr>
          <w:rStyle w:val="CharSDivText"/>
        </w:rPr>
        <w:t>Financial reporting</w:t>
      </w:r>
      <w:bookmarkEnd w:id="745"/>
      <w:bookmarkEnd w:id="746"/>
      <w:bookmarkEnd w:id="747"/>
      <w:bookmarkEnd w:id="748"/>
      <w:bookmarkEnd w:id="749"/>
      <w:bookmarkEnd w:id="750"/>
      <w:bookmarkEnd w:id="751"/>
    </w:p>
    <w:p>
      <w:pPr>
        <w:pStyle w:val="yFootnoteheading"/>
      </w:pPr>
      <w:r>
        <w:tab/>
        <w:t>[Heading inserted in Gazette 4 Mar 2003 p. 713.]</w:t>
      </w:r>
    </w:p>
    <w:p>
      <w:pPr>
        <w:pStyle w:val="yHeading4"/>
        <w:outlineLvl w:val="0"/>
      </w:pPr>
      <w:bookmarkStart w:id="752" w:name="_Toc398890167"/>
      <w:bookmarkStart w:id="753" w:name="_Toc424284602"/>
      <w:bookmarkStart w:id="754" w:name="_Toc468975494"/>
      <w:bookmarkStart w:id="755" w:name="_Toc468975858"/>
      <w:bookmarkStart w:id="756" w:name="_Toc468978192"/>
      <w:bookmarkStart w:id="757" w:name="_Toc1491803"/>
      <w:bookmarkStart w:id="758" w:name="_Toc1492167"/>
      <w:r>
        <w:t>Subdivision 1 — Annual financial reports and directors’ reports</w:t>
      </w:r>
      <w:bookmarkEnd w:id="752"/>
      <w:bookmarkEnd w:id="753"/>
      <w:bookmarkEnd w:id="754"/>
      <w:bookmarkEnd w:id="755"/>
      <w:bookmarkEnd w:id="756"/>
      <w:bookmarkEnd w:id="757"/>
      <w:bookmarkEnd w:id="758"/>
    </w:p>
    <w:p>
      <w:pPr>
        <w:pStyle w:val="yFootnoteheading"/>
      </w:pPr>
      <w:r>
        <w:tab/>
        <w:t>[Heading inserted in Gazette 4 Mar 2003 p. 713.]</w:t>
      </w:r>
    </w:p>
    <w:p>
      <w:pPr>
        <w:pStyle w:val="yHeading5"/>
      </w:pPr>
      <w:bookmarkStart w:id="759" w:name="_Toc398890168"/>
      <w:bookmarkStart w:id="760" w:name="_Toc1492168"/>
      <w:r>
        <w:rPr>
          <w:rStyle w:val="CharSClsNo"/>
        </w:rPr>
        <w:t>6</w:t>
      </w:r>
      <w:r>
        <w:t>.</w:t>
      </w:r>
      <w:r>
        <w:tab/>
        <w:t>Preparation of annual financial report and directors’ report</w:t>
      </w:r>
      <w:r>
        <w:br/>
      </w:r>
      <w:r>
        <w:rPr>
          <w:i/>
        </w:rPr>
        <w:t>(cf. Corporations Act s. 292)</w:t>
      </w:r>
      <w:bookmarkEnd w:id="759"/>
      <w:bookmarkEnd w:id="760"/>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761" w:name="_Toc398890169"/>
      <w:bookmarkStart w:id="762" w:name="_Toc1492169"/>
      <w:r>
        <w:rPr>
          <w:rStyle w:val="CharSClsNo"/>
        </w:rPr>
        <w:t>7</w:t>
      </w:r>
      <w:r>
        <w:t>.</w:t>
      </w:r>
      <w:r>
        <w:tab/>
        <w:t>Contents of annual financial report</w:t>
      </w:r>
      <w:r>
        <w:br/>
      </w:r>
      <w:r>
        <w:rPr>
          <w:i/>
        </w:rPr>
        <w:t>(cf. Corporations Act s. 295)</w:t>
      </w:r>
      <w:bookmarkEnd w:id="761"/>
      <w:bookmarkEnd w:id="762"/>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spacing w:before="120"/>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spacing w:before="180"/>
      </w:pPr>
      <w:bookmarkStart w:id="763" w:name="_Toc398890170"/>
      <w:bookmarkStart w:id="764" w:name="_Toc1492170"/>
      <w:r>
        <w:rPr>
          <w:rStyle w:val="CharSClsNo"/>
        </w:rPr>
        <w:t>8</w:t>
      </w:r>
      <w:r>
        <w:t>.</w:t>
      </w:r>
      <w:r>
        <w:tab/>
        <w:t>Compliance with accounting standards and regulations</w:t>
      </w:r>
      <w:r>
        <w:br/>
      </w:r>
      <w:r>
        <w:rPr>
          <w:i/>
        </w:rPr>
        <w:t>(cf. Corporations Act s. 296)</w:t>
      </w:r>
      <w:bookmarkEnd w:id="763"/>
      <w:bookmarkEnd w:id="764"/>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spacing w:before="80"/>
      </w:pPr>
      <w:r>
        <w:tab/>
      </w:r>
      <w:r>
        <w:tab/>
        <w:t>[Clause 8 inserted in Gazette 4 Mar 2003 p. 714.]</w:t>
      </w:r>
    </w:p>
    <w:p>
      <w:pPr>
        <w:pStyle w:val="yHeading5"/>
      </w:pPr>
      <w:bookmarkStart w:id="765" w:name="_Toc398890171"/>
      <w:bookmarkStart w:id="766" w:name="_Toc1492171"/>
      <w:r>
        <w:rPr>
          <w:rStyle w:val="CharSClsNo"/>
        </w:rPr>
        <w:t>9</w:t>
      </w:r>
      <w:r>
        <w:t>.</w:t>
      </w:r>
      <w:r>
        <w:tab/>
        <w:t>True and fair view</w:t>
      </w:r>
      <w:r>
        <w:br/>
      </w:r>
      <w:r>
        <w:rPr>
          <w:i/>
        </w:rPr>
        <w:t>(cf. Corporations Act s. 297)</w:t>
      </w:r>
      <w:bookmarkEnd w:id="765"/>
      <w:bookmarkEnd w:id="766"/>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767" w:name="_Toc398890172"/>
      <w:bookmarkStart w:id="768" w:name="_Toc1492172"/>
      <w:r>
        <w:rPr>
          <w:rStyle w:val="CharSClsNo"/>
        </w:rPr>
        <w:t>10</w:t>
      </w:r>
      <w:r>
        <w:t>.</w:t>
      </w:r>
      <w:r>
        <w:tab/>
        <w:t>Annual directors’ report</w:t>
      </w:r>
      <w:r>
        <w:br/>
      </w:r>
      <w:r>
        <w:rPr>
          <w:i/>
        </w:rPr>
        <w:t>(cf. Corporations Act s. 298)</w:t>
      </w:r>
      <w:bookmarkEnd w:id="767"/>
      <w:bookmarkEnd w:id="768"/>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769" w:name="_Toc398890173"/>
      <w:bookmarkStart w:id="770" w:name="_Toc1492173"/>
      <w:r>
        <w:rPr>
          <w:rStyle w:val="CharSClsNo"/>
        </w:rPr>
        <w:t>11</w:t>
      </w:r>
      <w:r>
        <w:t>.</w:t>
      </w:r>
      <w:r>
        <w:tab/>
        <w:t>Annual directors’ report, general information in</w:t>
      </w:r>
      <w:r>
        <w:br/>
      </w:r>
      <w:r>
        <w:rPr>
          <w:i/>
        </w:rPr>
        <w:t>(cf. Corporations Act s. 299)</w:t>
      </w:r>
      <w:bookmarkEnd w:id="769"/>
      <w:bookmarkEnd w:id="770"/>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 and</w:t>
      </w:r>
    </w:p>
    <w:p>
      <w:pPr>
        <w:pStyle w:val="yIndenta"/>
      </w:pPr>
      <w:r>
        <w:tab/>
        <w:t>(b)</w:t>
      </w:r>
      <w:r>
        <w:tab/>
        <w:t>give details of any significant changes in the port authority’s state of affairs during the year; and</w:t>
      </w:r>
    </w:p>
    <w:p>
      <w:pPr>
        <w:pStyle w:val="yIndenta"/>
      </w:pPr>
      <w:r>
        <w:tab/>
        <w:t>(c)</w:t>
      </w:r>
      <w:r>
        <w:tab/>
        <w:t>state the port authority’s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 or</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r>
      <w:r>
        <w:tab/>
        <w:t>and</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771" w:name="_Toc398890174"/>
      <w:bookmarkStart w:id="772" w:name="_Toc1492174"/>
      <w:r>
        <w:rPr>
          <w:rStyle w:val="CharSClsNo"/>
        </w:rPr>
        <w:t>12</w:t>
      </w:r>
      <w:r>
        <w:t>.</w:t>
      </w:r>
      <w:r>
        <w:tab/>
        <w:t>Annual directors’ report, specific information in</w:t>
      </w:r>
      <w:r>
        <w:br/>
      </w:r>
      <w:r>
        <w:rPr>
          <w:i/>
        </w:rPr>
        <w:t>(cf. Corporations Act s. 300)</w:t>
      </w:r>
      <w:bookmarkEnd w:id="771"/>
      <w:bookmarkEnd w:id="772"/>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spacing w:before="180"/>
      </w:pPr>
      <w:bookmarkStart w:id="773" w:name="_Toc398890175"/>
      <w:bookmarkStart w:id="774" w:name="_Toc1492175"/>
      <w:r>
        <w:rPr>
          <w:rStyle w:val="CharSClsNo"/>
        </w:rPr>
        <w:t>13</w:t>
      </w:r>
      <w:r>
        <w:t>.</w:t>
      </w:r>
      <w:r>
        <w:tab/>
        <w:t>Annual directors’ report, other specific information in</w:t>
      </w:r>
      <w:r>
        <w:br/>
      </w:r>
      <w:r>
        <w:rPr>
          <w:i/>
        </w:rPr>
        <w:t>(cf. Corporations Act s. 300A)</w:t>
      </w:r>
      <w:bookmarkEnd w:id="773"/>
      <w:bookmarkEnd w:id="774"/>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 and</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spacing w:before="80"/>
      </w:pPr>
      <w:r>
        <w:tab/>
      </w:r>
      <w:r>
        <w:tab/>
        <w:t>[</w:t>
      </w:r>
      <w:r>
        <w:rPr>
          <w:snapToGrid/>
        </w:rPr>
        <w:t>Clause </w:t>
      </w:r>
      <w:r>
        <w:t>13</w:t>
      </w:r>
      <w:r>
        <w:rPr>
          <w:snapToGrid/>
        </w:rPr>
        <w:t> inserted in Gazette 4 Mar 2003 p. 71</w:t>
      </w:r>
      <w:r>
        <w:t>6</w:t>
      </w:r>
      <w:r>
        <w:rPr>
          <w:snapToGrid/>
        </w:rPr>
        <w:t>.]</w:t>
      </w:r>
    </w:p>
    <w:p>
      <w:pPr>
        <w:pStyle w:val="yHeading5"/>
      </w:pPr>
      <w:bookmarkStart w:id="775" w:name="_Toc398890176"/>
      <w:bookmarkStart w:id="776" w:name="_Toc1492176"/>
      <w:r>
        <w:rPr>
          <w:rStyle w:val="CharSClsNo"/>
        </w:rPr>
        <w:t>14</w:t>
      </w:r>
      <w:r>
        <w:t>.</w:t>
      </w:r>
      <w:r>
        <w:tab/>
        <w:t>Audit of annual financial report</w:t>
      </w:r>
      <w:r>
        <w:br/>
      </w:r>
      <w:r>
        <w:rPr>
          <w:i/>
        </w:rPr>
        <w:t>(cf. Corporations Act s. 301)</w:t>
      </w:r>
      <w:bookmarkEnd w:id="775"/>
      <w:bookmarkEnd w:id="776"/>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777" w:name="_Toc398890177"/>
      <w:bookmarkStart w:id="778" w:name="_Toc424284612"/>
      <w:bookmarkStart w:id="779" w:name="_Toc468975504"/>
      <w:bookmarkStart w:id="780" w:name="_Toc468975868"/>
      <w:bookmarkStart w:id="781" w:name="_Toc468978202"/>
      <w:bookmarkStart w:id="782" w:name="_Toc1491813"/>
      <w:bookmarkStart w:id="783" w:name="_Toc1492177"/>
      <w:r>
        <w:t>Subdivision 2 — Audit and auditor’s report</w:t>
      </w:r>
      <w:bookmarkEnd w:id="777"/>
      <w:bookmarkEnd w:id="778"/>
      <w:bookmarkEnd w:id="779"/>
      <w:bookmarkEnd w:id="780"/>
      <w:bookmarkEnd w:id="781"/>
      <w:bookmarkEnd w:id="782"/>
      <w:bookmarkEnd w:id="783"/>
    </w:p>
    <w:p>
      <w:pPr>
        <w:pStyle w:val="yFootnoteheading"/>
      </w:pPr>
      <w:r>
        <w:tab/>
        <w:t>[</w:t>
      </w:r>
      <w:r>
        <w:rPr>
          <w:snapToGrid w:val="0"/>
        </w:rPr>
        <w:t>Heading</w:t>
      </w:r>
      <w:r>
        <w:t xml:space="preserve"> inserted in Gazette 4 Mar 2003 p. 716.]</w:t>
      </w:r>
    </w:p>
    <w:p>
      <w:pPr>
        <w:pStyle w:val="yHeading5"/>
      </w:pPr>
      <w:bookmarkStart w:id="784" w:name="_Toc398890178"/>
      <w:bookmarkStart w:id="785" w:name="_Toc1492178"/>
      <w:r>
        <w:rPr>
          <w:rStyle w:val="CharSClsNo"/>
        </w:rPr>
        <w:t>15</w:t>
      </w:r>
      <w:r>
        <w:t>.</w:t>
      </w:r>
      <w:r>
        <w:tab/>
        <w:t>Audit opinion</w:t>
      </w:r>
      <w:r>
        <w:br/>
      </w:r>
      <w:r>
        <w:rPr>
          <w:i/>
        </w:rPr>
        <w:t>(cf. Corporations Act s. 307)</w:t>
      </w:r>
      <w:bookmarkEnd w:id="784"/>
      <w:bookmarkEnd w:id="785"/>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786" w:name="_Toc398890179"/>
      <w:bookmarkStart w:id="787" w:name="_Toc1492179"/>
      <w:r>
        <w:rPr>
          <w:rStyle w:val="CharSClsNo"/>
        </w:rPr>
        <w:t>16</w:t>
      </w:r>
      <w:r>
        <w:t>.</w:t>
      </w:r>
      <w:r>
        <w:tab/>
        <w:t>Auditor General’s report on annual financial report</w:t>
      </w:r>
      <w:r>
        <w:br/>
      </w:r>
      <w:r>
        <w:rPr>
          <w:i/>
        </w:rPr>
        <w:t>(cf. Corporations Act s. 308)</w:t>
      </w:r>
      <w:bookmarkEnd w:id="786"/>
      <w:bookmarkEnd w:id="787"/>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788" w:name="_Toc398890180"/>
      <w:bookmarkStart w:id="789" w:name="_Toc1492180"/>
      <w:r>
        <w:rPr>
          <w:rStyle w:val="CharSClsNo"/>
        </w:rPr>
        <w:t>17</w:t>
      </w:r>
      <w:r>
        <w:t>.</w:t>
      </w:r>
      <w:r>
        <w:tab/>
        <w:t>Auditor General’s power to obtain information</w:t>
      </w:r>
      <w:r>
        <w:br/>
      </w:r>
      <w:r>
        <w:rPr>
          <w:i/>
        </w:rPr>
        <w:t>(cf. Corporations Act s. 310)</w:t>
      </w:r>
      <w:bookmarkEnd w:id="788"/>
      <w:bookmarkEnd w:id="789"/>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spacing w:before="240"/>
      </w:pPr>
      <w:bookmarkStart w:id="790" w:name="_Toc398890181"/>
      <w:bookmarkStart w:id="791" w:name="_Toc1492181"/>
      <w:r>
        <w:rPr>
          <w:rStyle w:val="CharSClsNo"/>
        </w:rPr>
        <w:t>18</w:t>
      </w:r>
      <w:r>
        <w:t>.</w:t>
      </w:r>
      <w:r>
        <w:tab/>
        <w:t>Assisting Auditor General</w:t>
      </w:r>
      <w:r>
        <w:br/>
      </w:r>
      <w:r>
        <w:rPr>
          <w:i/>
        </w:rPr>
        <w:t>(cf. Corporations Act s. 312)</w:t>
      </w:r>
      <w:bookmarkEnd w:id="790"/>
      <w:bookmarkEnd w:id="791"/>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792" w:name="_Toc398890182"/>
      <w:bookmarkStart w:id="793" w:name="_Toc424284617"/>
      <w:bookmarkStart w:id="794" w:name="_Toc468975509"/>
      <w:bookmarkStart w:id="795" w:name="_Toc468975873"/>
      <w:bookmarkStart w:id="796" w:name="_Toc468978207"/>
      <w:bookmarkStart w:id="797" w:name="_Toc1491818"/>
      <w:bookmarkStart w:id="798" w:name="_Toc1492182"/>
      <w:r>
        <w:t>Subdivision 3 — Special provisions about consolidated financial statements</w:t>
      </w:r>
      <w:bookmarkEnd w:id="792"/>
      <w:bookmarkEnd w:id="793"/>
      <w:bookmarkEnd w:id="794"/>
      <w:bookmarkEnd w:id="795"/>
      <w:bookmarkEnd w:id="796"/>
      <w:bookmarkEnd w:id="797"/>
      <w:bookmarkEnd w:id="798"/>
    </w:p>
    <w:p>
      <w:pPr>
        <w:pStyle w:val="yFootnoteheading"/>
      </w:pPr>
      <w:r>
        <w:tab/>
        <w:t>[Heading inserted in Gazette 4 Mar 2003 p. 717.]</w:t>
      </w:r>
    </w:p>
    <w:p>
      <w:pPr>
        <w:pStyle w:val="yHeading5"/>
      </w:pPr>
      <w:bookmarkStart w:id="799" w:name="_Toc398890183"/>
      <w:bookmarkStart w:id="800" w:name="_Toc1492183"/>
      <w:r>
        <w:rPr>
          <w:rStyle w:val="CharSClsNo"/>
        </w:rPr>
        <w:t>19</w:t>
      </w:r>
      <w:r>
        <w:t>.</w:t>
      </w:r>
      <w:r>
        <w:tab/>
        <w:t>Directors and officers of controlled entity to give information</w:t>
      </w:r>
      <w:r>
        <w:br/>
      </w:r>
      <w:r>
        <w:rPr>
          <w:i/>
        </w:rPr>
        <w:t>(cf. Corporations Act s. 323)</w:t>
      </w:r>
      <w:bookmarkEnd w:id="799"/>
      <w:bookmarkEnd w:id="800"/>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801" w:name="_Toc398890184"/>
      <w:bookmarkStart w:id="802" w:name="_Toc1492184"/>
      <w:r>
        <w:rPr>
          <w:rStyle w:val="CharSClsNo"/>
        </w:rPr>
        <w:t>20</w:t>
      </w:r>
      <w:r>
        <w:t>.</w:t>
      </w:r>
      <w:r>
        <w:tab/>
        <w:t>Auditor General’s power to obtain information from controlled entity</w:t>
      </w:r>
      <w:r>
        <w:br/>
      </w:r>
      <w:r>
        <w:rPr>
          <w:i/>
        </w:rPr>
        <w:t>(cf. Corporations Act s. 323A)</w:t>
      </w:r>
      <w:bookmarkEnd w:id="801"/>
      <w:bookmarkEnd w:id="802"/>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803" w:name="_Toc398890185"/>
      <w:bookmarkStart w:id="804" w:name="_Toc1492185"/>
      <w:r>
        <w:rPr>
          <w:rStyle w:val="CharSClsNo"/>
        </w:rPr>
        <w:t>21</w:t>
      </w:r>
      <w:r>
        <w:t>.</w:t>
      </w:r>
      <w:r>
        <w:tab/>
        <w:t>Controlled entity to assist the Auditor General</w:t>
      </w:r>
      <w:r>
        <w:br/>
      </w:r>
      <w:r>
        <w:rPr>
          <w:i/>
        </w:rPr>
        <w:t>(cf. Corporations Act s. 323B)</w:t>
      </w:r>
      <w:bookmarkEnd w:id="803"/>
      <w:bookmarkEnd w:id="804"/>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spacing w:before="180"/>
      </w:pPr>
      <w:bookmarkStart w:id="805" w:name="_Toc398890186"/>
      <w:bookmarkStart w:id="806" w:name="_Toc1492186"/>
      <w:r>
        <w:rPr>
          <w:rStyle w:val="CharSClsNo"/>
        </w:rPr>
        <w:t>22</w:t>
      </w:r>
      <w:r>
        <w:t>.</w:t>
      </w:r>
      <w:r>
        <w:tab/>
        <w:t>Application of cl. 19 to 21 to entity that has ceased to be controlled</w:t>
      </w:r>
      <w:r>
        <w:br/>
      </w:r>
      <w:r>
        <w:rPr>
          <w:i/>
        </w:rPr>
        <w:t>(cf. Corporations Act s. 323C)</w:t>
      </w:r>
      <w:bookmarkEnd w:id="805"/>
      <w:bookmarkEnd w:id="806"/>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807" w:name="_Toc398890187"/>
      <w:bookmarkStart w:id="808" w:name="_Toc424284622"/>
      <w:bookmarkStart w:id="809" w:name="_Toc468975514"/>
      <w:bookmarkStart w:id="810" w:name="_Toc468975878"/>
      <w:bookmarkStart w:id="811" w:name="_Toc468978212"/>
      <w:bookmarkStart w:id="812" w:name="_Toc1491823"/>
      <w:bookmarkStart w:id="813" w:name="_Toc1492187"/>
      <w:r>
        <w:t>Subdivision 4 — Financial years of a port authority and the entities it controls</w:t>
      </w:r>
      <w:bookmarkEnd w:id="807"/>
      <w:bookmarkEnd w:id="808"/>
      <w:bookmarkEnd w:id="809"/>
      <w:bookmarkEnd w:id="810"/>
      <w:bookmarkEnd w:id="811"/>
      <w:bookmarkEnd w:id="812"/>
      <w:bookmarkEnd w:id="813"/>
    </w:p>
    <w:p>
      <w:pPr>
        <w:pStyle w:val="yFootnoteheading"/>
        <w:ind w:firstLine="879"/>
      </w:pPr>
      <w:r>
        <w:rPr>
          <w:snapToGrid w:val="0"/>
        </w:rPr>
        <w:t>[</w:t>
      </w:r>
      <w:r>
        <w:t>Heading inserted in Gazette 4 Mar 2003 p. 718.]</w:t>
      </w:r>
    </w:p>
    <w:p>
      <w:pPr>
        <w:pStyle w:val="yHeading5"/>
        <w:spacing w:before="180"/>
      </w:pPr>
      <w:bookmarkStart w:id="814" w:name="_Toc398890188"/>
      <w:bookmarkStart w:id="815" w:name="_Toc1492188"/>
      <w:r>
        <w:rPr>
          <w:rStyle w:val="CharSClsNo"/>
        </w:rPr>
        <w:t>23</w:t>
      </w:r>
      <w:r>
        <w:t>.</w:t>
      </w:r>
      <w:r>
        <w:tab/>
        <w:t>Financial years</w:t>
      </w:r>
      <w:r>
        <w:br/>
      </w:r>
      <w:r>
        <w:rPr>
          <w:i/>
        </w:rPr>
        <w:t>(cf. Corporations Act s. 323D)</w:t>
      </w:r>
      <w:bookmarkEnd w:id="814"/>
      <w:bookmarkEnd w:id="815"/>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816" w:name="_Toc398890189"/>
      <w:bookmarkStart w:id="817" w:name="_Toc424284624"/>
      <w:bookmarkStart w:id="818" w:name="_Toc468975516"/>
      <w:bookmarkStart w:id="819" w:name="_Toc468975880"/>
      <w:bookmarkStart w:id="820" w:name="_Toc468978214"/>
      <w:bookmarkStart w:id="821" w:name="_Toc1491825"/>
      <w:bookmarkStart w:id="822" w:name="_Toc1492189"/>
      <w:r>
        <w:rPr>
          <w:rStyle w:val="CharSDivNo"/>
        </w:rPr>
        <w:t>Division 4</w:t>
      </w:r>
      <w:r>
        <w:t xml:space="preserve"> — </w:t>
      </w:r>
      <w:r>
        <w:rPr>
          <w:rStyle w:val="CharSDivText"/>
        </w:rPr>
        <w:t>Accounting standards</w:t>
      </w:r>
      <w:bookmarkEnd w:id="816"/>
      <w:bookmarkEnd w:id="817"/>
      <w:bookmarkEnd w:id="818"/>
      <w:bookmarkEnd w:id="819"/>
      <w:bookmarkEnd w:id="820"/>
      <w:bookmarkEnd w:id="821"/>
      <w:bookmarkEnd w:id="822"/>
    </w:p>
    <w:p>
      <w:pPr>
        <w:pStyle w:val="yFootnoteheading"/>
      </w:pPr>
      <w:r>
        <w:tab/>
        <w:t>[Heading inserted in Gazette 4 Mar 2003 p. 719.]</w:t>
      </w:r>
    </w:p>
    <w:p>
      <w:pPr>
        <w:pStyle w:val="yHeading5"/>
        <w:spacing w:before="180"/>
      </w:pPr>
      <w:bookmarkStart w:id="823" w:name="_Toc398890190"/>
      <w:bookmarkStart w:id="824" w:name="_Toc1492190"/>
      <w:r>
        <w:rPr>
          <w:rStyle w:val="CharSClsNo"/>
        </w:rPr>
        <w:t>24</w:t>
      </w:r>
      <w:r>
        <w:t>.</w:t>
      </w:r>
      <w:r>
        <w:tab/>
        <w:t>Accounting standards</w:t>
      </w:r>
      <w:r>
        <w:br/>
      </w:r>
      <w:r>
        <w:rPr>
          <w:i/>
        </w:rPr>
        <w:t>(cf. Corporations Act s. 334)</w:t>
      </w:r>
      <w:bookmarkEnd w:id="823"/>
      <w:bookmarkEnd w:id="824"/>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825" w:name="_Toc398890191"/>
      <w:bookmarkStart w:id="826" w:name="_Toc1492191"/>
      <w:r>
        <w:rPr>
          <w:rStyle w:val="CharSClsNo"/>
        </w:rPr>
        <w:t>25</w:t>
      </w:r>
      <w:r>
        <w:t>.</w:t>
      </w:r>
      <w:r>
        <w:tab/>
        <w:t>Equity accounting</w:t>
      </w:r>
      <w:r>
        <w:br/>
      </w:r>
      <w:r>
        <w:rPr>
          <w:i/>
        </w:rPr>
        <w:t>(cf. Corporations Act s. 335)</w:t>
      </w:r>
      <w:bookmarkEnd w:id="825"/>
      <w:bookmarkEnd w:id="826"/>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827" w:name="_Toc398890192"/>
      <w:bookmarkStart w:id="828" w:name="_Toc1492192"/>
      <w:r>
        <w:rPr>
          <w:rStyle w:val="CharSClsNo"/>
        </w:rPr>
        <w:t>26</w:t>
      </w:r>
      <w:r>
        <w:t>.</w:t>
      </w:r>
      <w:r>
        <w:tab/>
        <w:t>Interpretation of accounting standards</w:t>
      </w:r>
      <w:r>
        <w:br/>
      </w:r>
      <w:r>
        <w:rPr>
          <w:i/>
        </w:rPr>
        <w:t>(cf. Corporations Act s. 337)</w:t>
      </w:r>
      <w:bookmarkEnd w:id="827"/>
      <w:bookmarkEnd w:id="828"/>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spacing w:before="180"/>
      </w:pPr>
      <w:bookmarkStart w:id="829" w:name="_Toc398890193"/>
      <w:bookmarkStart w:id="830" w:name="_Toc1492193"/>
      <w:r>
        <w:rPr>
          <w:rStyle w:val="CharSClsNo"/>
        </w:rPr>
        <w:t>27</w:t>
      </w:r>
      <w:r>
        <w:t>.</w:t>
      </w:r>
      <w:r>
        <w:tab/>
        <w:t>Evidence of text of accounting standard</w:t>
      </w:r>
      <w:bookmarkEnd w:id="829"/>
      <w:bookmarkEnd w:id="830"/>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831" w:name="_Toc398890194"/>
      <w:bookmarkStart w:id="832" w:name="_Toc424284629"/>
      <w:bookmarkStart w:id="833" w:name="_Toc468975521"/>
      <w:bookmarkStart w:id="834" w:name="_Toc468975885"/>
      <w:bookmarkStart w:id="835" w:name="_Toc468978219"/>
      <w:bookmarkStart w:id="836" w:name="_Toc1491830"/>
      <w:bookmarkStart w:id="837" w:name="_Toc1492194"/>
      <w:r>
        <w:rPr>
          <w:rStyle w:val="CharSDivNo"/>
        </w:rPr>
        <w:t>Division 5</w:t>
      </w:r>
      <w:r>
        <w:t xml:space="preserve"> — </w:t>
      </w:r>
      <w:r>
        <w:rPr>
          <w:rStyle w:val="CharSDivText"/>
        </w:rPr>
        <w:t>Extension of time</w:t>
      </w:r>
      <w:bookmarkEnd w:id="831"/>
      <w:bookmarkEnd w:id="832"/>
      <w:bookmarkEnd w:id="833"/>
      <w:bookmarkEnd w:id="834"/>
      <w:bookmarkEnd w:id="835"/>
      <w:bookmarkEnd w:id="836"/>
      <w:bookmarkEnd w:id="837"/>
    </w:p>
    <w:p>
      <w:pPr>
        <w:pStyle w:val="yFootnotesection"/>
      </w:pPr>
      <w:r>
        <w:tab/>
        <w:t>[Heading</w:t>
      </w:r>
      <w:r>
        <w:rPr>
          <w:snapToGrid/>
        </w:rPr>
        <w:t> inserted in Gazette 4 Mar 2003 p. 7</w:t>
      </w:r>
      <w:r>
        <w:t>20</w:t>
      </w:r>
      <w:r>
        <w:rPr>
          <w:snapToGrid/>
        </w:rPr>
        <w:t>.]</w:t>
      </w:r>
    </w:p>
    <w:p>
      <w:pPr>
        <w:pStyle w:val="yHeading5"/>
        <w:spacing w:before="180"/>
      </w:pPr>
      <w:bookmarkStart w:id="838" w:name="_Toc398890195"/>
      <w:bookmarkStart w:id="839" w:name="_Toc1492195"/>
      <w:r>
        <w:rPr>
          <w:rStyle w:val="CharSClsNo"/>
        </w:rPr>
        <w:t>28</w:t>
      </w:r>
      <w:r>
        <w:t>.</w:t>
      </w:r>
      <w:r>
        <w:tab/>
        <w:t>Extension of time</w:t>
      </w:r>
      <w:bookmarkEnd w:id="838"/>
      <w:bookmarkEnd w:id="839"/>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33(6), apply to the memorandum evidencing the extension as if it were an order under clause 33(1).</w:t>
      </w:r>
    </w:p>
    <w:p>
      <w:pPr>
        <w:pStyle w:val="yFootnotesection"/>
        <w:spacing w:before="80"/>
      </w:pPr>
      <w:r>
        <w:tab/>
        <w:t>[Clause 28 inserted in Gazette 4 Mar 2003 p. 720.]</w:t>
      </w:r>
    </w:p>
    <w:p>
      <w:pPr>
        <w:pStyle w:val="yHeading3"/>
        <w:keepLines/>
        <w:outlineLvl w:val="0"/>
      </w:pPr>
      <w:bookmarkStart w:id="840" w:name="_Toc398890196"/>
      <w:bookmarkStart w:id="841" w:name="_Toc424284631"/>
      <w:bookmarkStart w:id="842" w:name="_Toc468975523"/>
      <w:bookmarkStart w:id="843" w:name="_Toc468975887"/>
      <w:bookmarkStart w:id="844" w:name="_Toc468978221"/>
      <w:bookmarkStart w:id="845" w:name="_Toc1491832"/>
      <w:bookmarkStart w:id="846" w:name="_Toc1492196"/>
      <w:r>
        <w:rPr>
          <w:rStyle w:val="CharSDivNo"/>
        </w:rPr>
        <w:t>Division 6</w:t>
      </w:r>
      <w:r>
        <w:t xml:space="preserve"> — </w:t>
      </w:r>
      <w:r>
        <w:rPr>
          <w:rStyle w:val="CharSDivText"/>
        </w:rPr>
        <w:t>Sanctions for contraventions of this Schedule</w:t>
      </w:r>
      <w:bookmarkEnd w:id="840"/>
      <w:bookmarkEnd w:id="841"/>
      <w:bookmarkEnd w:id="842"/>
      <w:bookmarkEnd w:id="843"/>
      <w:bookmarkEnd w:id="844"/>
      <w:bookmarkEnd w:id="845"/>
      <w:bookmarkEnd w:id="846"/>
    </w:p>
    <w:p>
      <w:pPr>
        <w:pStyle w:val="yFootnoteheading"/>
        <w:keepNext/>
        <w:keepLines/>
      </w:pPr>
      <w:r>
        <w:tab/>
        <w:t>[Heading inserted in Gazette 4 Mar 2003 p. 720.]</w:t>
      </w:r>
    </w:p>
    <w:p>
      <w:pPr>
        <w:pStyle w:val="yHeading5"/>
      </w:pPr>
      <w:bookmarkStart w:id="847" w:name="_Toc398890197"/>
      <w:bookmarkStart w:id="848" w:name="_Toc1492197"/>
      <w:r>
        <w:rPr>
          <w:rStyle w:val="CharSClsNo"/>
        </w:rPr>
        <w:t>29</w:t>
      </w:r>
      <w:r>
        <w:t>.</w:t>
      </w:r>
      <w:r>
        <w:tab/>
        <w:t>Contravention of Div. 2 and 3</w:t>
      </w:r>
      <w:r>
        <w:br/>
      </w:r>
      <w:r>
        <w:rPr>
          <w:i/>
        </w:rPr>
        <w:t>(cf. Corporations Act s. 344)</w:t>
      </w:r>
      <w:bookmarkEnd w:id="847"/>
      <w:bookmarkEnd w:id="848"/>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849" w:name="_Toc398890198"/>
      <w:bookmarkStart w:id="850" w:name="_Toc424284633"/>
      <w:bookmarkStart w:id="851" w:name="_Toc468975525"/>
      <w:bookmarkStart w:id="852" w:name="_Toc468975889"/>
      <w:bookmarkStart w:id="853" w:name="_Toc468978223"/>
      <w:bookmarkStart w:id="854" w:name="_Toc1491834"/>
      <w:bookmarkStart w:id="855" w:name="_Toc1492198"/>
      <w:r>
        <w:rPr>
          <w:rStyle w:val="CharSDivNo"/>
        </w:rPr>
        <w:t>Division 7</w:t>
      </w:r>
      <w:r>
        <w:t xml:space="preserve"> — </w:t>
      </w:r>
      <w:r>
        <w:rPr>
          <w:rStyle w:val="CharSDivText"/>
        </w:rPr>
        <w:t>Miscellaneous</w:t>
      </w:r>
      <w:bookmarkEnd w:id="849"/>
      <w:bookmarkEnd w:id="850"/>
      <w:bookmarkEnd w:id="851"/>
      <w:bookmarkEnd w:id="852"/>
      <w:bookmarkEnd w:id="853"/>
      <w:bookmarkEnd w:id="854"/>
      <w:bookmarkEnd w:id="855"/>
    </w:p>
    <w:p>
      <w:pPr>
        <w:pStyle w:val="yFootnoteheading"/>
      </w:pPr>
      <w:r>
        <w:tab/>
        <w:t>[Heading inserted in Gazette 4 Mar 2003 p. 720.]</w:t>
      </w:r>
    </w:p>
    <w:p>
      <w:pPr>
        <w:pStyle w:val="yHeading5"/>
        <w:outlineLvl w:val="0"/>
      </w:pPr>
      <w:bookmarkStart w:id="856" w:name="_Toc398890199"/>
      <w:bookmarkStart w:id="857" w:name="_Toc1492199"/>
      <w:r>
        <w:rPr>
          <w:rStyle w:val="CharSClsNo"/>
        </w:rPr>
        <w:t>33</w:t>
      </w:r>
      <w:r>
        <w:t>.</w:t>
      </w:r>
      <w:r>
        <w:tab/>
        <w:t>Treasurer’s power to make specific exemption orders</w:t>
      </w:r>
      <w:r>
        <w:br/>
      </w:r>
      <w:r>
        <w:rPr>
          <w:i/>
        </w:rPr>
        <w:t>(cf. Corporations Act s. 340)</w:t>
      </w:r>
      <w:bookmarkEnd w:id="856"/>
      <w:bookmarkEnd w:id="857"/>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keepNext/>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858" w:name="_Toc398890200"/>
      <w:bookmarkStart w:id="859" w:name="_Toc1492200"/>
      <w:r>
        <w:rPr>
          <w:rStyle w:val="CharSClsNo"/>
        </w:rPr>
        <w:t>33A</w:t>
      </w:r>
      <w:r>
        <w:t>.</w:t>
      </w:r>
      <w:r>
        <w:tab/>
        <w:t xml:space="preserve">Criteria for specific exemption orders and class orders  </w:t>
      </w:r>
      <w:r>
        <w:br/>
      </w:r>
      <w:r>
        <w:rPr>
          <w:i/>
        </w:rPr>
        <w:t>(cf. Corporations Act s. 342)</w:t>
      </w:r>
      <w:bookmarkEnd w:id="858"/>
      <w:bookmarkEnd w:id="859"/>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 or</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860" w:name="_Toc398890201"/>
      <w:bookmarkStart w:id="861" w:name="_Toc1492201"/>
      <w:r>
        <w:rPr>
          <w:rStyle w:val="CharSClsNo"/>
        </w:rPr>
        <w:t>34</w:t>
      </w:r>
      <w:r>
        <w:t>.</w:t>
      </w:r>
      <w:r>
        <w:tab/>
        <w:t>Deadline for reporting to Minister</w:t>
      </w:r>
      <w:r>
        <w:br/>
      </w:r>
      <w:r>
        <w:rPr>
          <w:i/>
        </w:rPr>
        <w:t>(cf. Corporations Act s. 315)</w:t>
      </w:r>
      <w:bookmarkEnd w:id="860"/>
      <w:bookmarkEnd w:id="861"/>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862" w:name="_Toc398890202"/>
      <w:bookmarkStart w:id="863" w:name="_Toc1492202"/>
      <w:r>
        <w:rPr>
          <w:rStyle w:val="CharSClsNo"/>
        </w:rPr>
        <w:t>35</w:t>
      </w:r>
      <w:r>
        <w:t>.</w:t>
      </w:r>
      <w:r>
        <w:tab/>
        <w:t>Annual report to Minister, content of</w:t>
      </w:r>
      <w:r>
        <w:br/>
      </w:r>
      <w:r>
        <w:rPr>
          <w:i/>
        </w:rPr>
        <w:t>(cf. Corporations Act s. 314)</w:t>
      </w:r>
      <w:bookmarkEnd w:id="862"/>
      <w:bookmarkEnd w:id="863"/>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864" w:name="_Toc398890203"/>
      <w:bookmarkStart w:id="865" w:name="_Toc1492203"/>
      <w:r>
        <w:rPr>
          <w:rStyle w:val="CharSClsNo"/>
        </w:rPr>
        <w:t>37</w:t>
      </w:r>
      <w:r>
        <w:t>.</w:t>
      </w:r>
      <w:r>
        <w:tab/>
        <w:t>Audit, deadline for; interim report</w:t>
      </w:r>
      <w:bookmarkEnd w:id="864"/>
      <w:bookmarkEnd w:id="865"/>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No. 77 of 2006 Sch. 1 cl. 131(5)</w:t>
      </w:r>
      <w:r>
        <w:rPr>
          <w:snapToGrid/>
        </w:rPr>
        <w:t>.]</w:t>
      </w:r>
    </w:p>
    <w:p>
      <w:pPr>
        <w:pStyle w:val="yHeading5"/>
        <w:outlineLvl w:val="0"/>
      </w:pPr>
      <w:bookmarkStart w:id="866" w:name="_Toc398890204"/>
      <w:bookmarkStart w:id="867" w:name="_Toc1492204"/>
      <w:r>
        <w:rPr>
          <w:rStyle w:val="CharSClsNo"/>
        </w:rPr>
        <w:t>44</w:t>
      </w:r>
      <w:r>
        <w:t>.</w:t>
      </w:r>
      <w:r>
        <w:tab/>
        <w:t>Auditor General, duties and powers of</w:t>
      </w:r>
      <w:bookmarkEnd w:id="866"/>
      <w:bookmarkEnd w:id="867"/>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No. 77 of 2006 Sch. 1 cl. 131(6).]</w:t>
      </w:r>
    </w:p>
    <w:p>
      <w:pPr>
        <w:pStyle w:val="yScheduleHeading"/>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yScheduleHeading"/>
        <w:outlineLvl w:val="0"/>
      </w:pPr>
      <w:bookmarkStart w:id="868" w:name="_Toc398890205"/>
      <w:bookmarkStart w:id="869" w:name="_Toc424284640"/>
      <w:bookmarkStart w:id="870" w:name="_Toc468975532"/>
      <w:bookmarkStart w:id="871" w:name="_Toc468975896"/>
      <w:bookmarkStart w:id="872" w:name="_Toc468978230"/>
      <w:bookmarkStart w:id="873" w:name="_Toc1491841"/>
      <w:bookmarkStart w:id="874" w:name="_Toc1492205"/>
      <w:r>
        <w:rPr>
          <w:rStyle w:val="CharSchNo"/>
        </w:rPr>
        <w:t>Schedule 6</w:t>
      </w:r>
      <w:r>
        <w:t xml:space="preserve"> — </w:t>
      </w:r>
      <w:r>
        <w:rPr>
          <w:rStyle w:val="CharSchText"/>
        </w:rPr>
        <w:t>Provisions for Pilbara Ports Authority</w:t>
      </w:r>
      <w:bookmarkEnd w:id="868"/>
      <w:bookmarkEnd w:id="869"/>
      <w:bookmarkEnd w:id="870"/>
      <w:bookmarkEnd w:id="871"/>
      <w:bookmarkEnd w:id="872"/>
      <w:bookmarkEnd w:id="873"/>
      <w:bookmarkEnd w:id="874"/>
    </w:p>
    <w:p>
      <w:pPr>
        <w:pStyle w:val="yShoulderClause"/>
      </w:pPr>
      <w:r>
        <w:t>[s. 132]</w:t>
      </w:r>
    </w:p>
    <w:p>
      <w:pPr>
        <w:pStyle w:val="yFootnoteheading"/>
      </w:pPr>
      <w:r>
        <w:tab/>
        <w:t>[Heading amended: No. 9 of 2014 s. 34(1).]</w:t>
      </w:r>
    </w:p>
    <w:p>
      <w:pPr>
        <w:pStyle w:val="yHeading3"/>
        <w:outlineLvl w:val="0"/>
        <w:rPr>
          <w:rStyle w:val="CharSDivText"/>
        </w:rPr>
      </w:pPr>
      <w:bookmarkStart w:id="875" w:name="_Toc398890206"/>
      <w:bookmarkStart w:id="876" w:name="_Toc424284641"/>
      <w:bookmarkStart w:id="877" w:name="_Toc468975533"/>
      <w:bookmarkStart w:id="878" w:name="_Toc468975897"/>
      <w:bookmarkStart w:id="879" w:name="_Toc468978231"/>
      <w:bookmarkStart w:id="880" w:name="_Toc1491842"/>
      <w:bookmarkStart w:id="881" w:name="_Toc1492206"/>
      <w:r>
        <w:rPr>
          <w:rStyle w:val="CharSDivNo"/>
        </w:rPr>
        <w:t>Division 1</w:t>
      </w:r>
      <w:r>
        <w:t xml:space="preserve"> — </w:t>
      </w:r>
      <w:r>
        <w:rPr>
          <w:rStyle w:val="CharSDivText"/>
        </w:rPr>
        <w:t>Port of Dampier</w:t>
      </w:r>
      <w:bookmarkEnd w:id="875"/>
      <w:bookmarkEnd w:id="876"/>
      <w:bookmarkEnd w:id="877"/>
      <w:bookmarkEnd w:id="878"/>
      <w:bookmarkEnd w:id="879"/>
      <w:bookmarkEnd w:id="880"/>
      <w:bookmarkEnd w:id="881"/>
    </w:p>
    <w:p>
      <w:pPr>
        <w:pStyle w:val="yFootnoteheading"/>
      </w:pPr>
      <w:r>
        <w:tab/>
        <w:t>[Heading amended: No. 9 of 2014 s. 34(2).]</w:t>
      </w:r>
    </w:p>
    <w:p>
      <w:pPr>
        <w:pStyle w:val="yHeading5"/>
        <w:outlineLvl w:val="0"/>
        <w:rPr>
          <w:snapToGrid w:val="0"/>
        </w:rPr>
      </w:pPr>
      <w:bookmarkStart w:id="882" w:name="_Toc398890207"/>
      <w:bookmarkStart w:id="883" w:name="_Toc1492207"/>
      <w:r>
        <w:rPr>
          <w:rStyle w:val="CharSClsNo"/>
        </w:rPr>
        <w:t>1.1</w:t>
      </w:r>
      <w:r>
        <w:rPr>
          <w:snapToGrid w:val="0"/>
        </w:rPr>
        <w:t>.</w:t>
      </w:r>
      <w:r>
        <w:rPr>
          <w:snapToGrid w:val="0"/>
        </w:rPr>
        <w:tab/>
        <w:t>Application of Division</w:t>
      </w:r>
      <w:bookmarkEnd w:id="882"/>
      <w:bookmarkEnd w:id="883"/>
    </w:p>
    <w:p>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yFootnotesection"/>
      </w:pPr>
      <w:r>
        <w:tab/>
        <w:t>[Clause 1.1 amended: No. 9 of 2014 s. 34(3).]</w:t>
      </w:r>
    </w:p>
    <w:p>
      <w:pPr>
        <w:pStyle w:val="yHeading5"/>
        <w:outlineLvl w:val="0"/>
        <w:rPr>
          <w:snapToGrid w:val="0"/>
        </w:rPr>
      </w:pPr>
      <w:bookmarkStart w:id="884" w:name="_Toc398890208"/>
      <w:bookmarkStart w:id="885" w:name="_Toc1492208"/>
      <w:r>
        <w:rPr>
          <w:rStyle w:val="CharSClsNo"/>
        </w:rPr>
        <w:t>1.2</w:t>
      </w:r>
      <w:r>
        <w:rPr>
          <w:snapToGrid w:val="0"/>
        </w:rPr>
        <w:t>.</w:t>
      </w:r>
      <w:r>
        <w:rPr>
          <w:snapToGrid w:val="0"/>
        </w:rPr>
        <w:tab/>
        <w:t>Terms used</w:t>
      </w:r>
      <w:bookmarkEnd w:id="884"/>
      <w:bookmarkEnd w:id="885"/>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w:t>
      </w:r>
      <w:r>
        <w:t xml:space="preserve"> has the meaning given by the Iron Ore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r>
        <w:rPr>
          <w:rStyle w:val="CharDefText"/>
        </w:rPr>
        <w:t>) Agreement</w:t>
      </w:r>
      <w:r>
        <w:t xml:space="preserve"> means the agreement a copy of which is set forth in the First Schedule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as that agreement is amended from time to time;</w:t>
      </w:r>
    </w:p>
    <w:p>
      <w:pPr>
        <w:pStyle w:val="yDefstart"/>
      </w:pPr>
      <w:r>
        <w:tab/>
      </w:r>
      <w:r>
        <w:rPr>
          <w:rStyle w:val="CharDefText"/>
        </w:rPr>
        <w:t>Joint Venturers</w:t>
      </w:r>
      <w:r>
        <w:t xml:space="preserve"> has the meaning given by the North West Gas Development (Woodside) Agreement;</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Salt Company</w:t>
      </w:r>
      <w:r>
        <w:t xml:space="preserve"> means the Company within the meaning of the Dampier Solar Salt Industry Agreement.</w:t>
      </w:r>
    </w:p>
    <w:p>
      <w:pPr>
        <w:pStyle w:val="yFootnotesection"/>
      </w:pPr>
      <w:r>
        <w:tab/>
        <w:t>[Clause 1.2 amended: No. 9 of 2014 s. 33(1).]</w:t>
      </w:r>
    </w:p>
    <w:p>
      <w:pPr>
        <w:pStyle w:val="yHeading5"/>
        <w:outlineLvl w:val="0"/>
        <w:rPr>
          <w:snapToGrid w:val="0"/>
        </w:rPr>
      </w:pPr>
      <w:bookmarkStart w:id="886" w:name="_Toc398890209"/>
      <w:bookmarkStart w:id="887" w:name="_Toc1492209"/>
      <w:r>
        <w:rPr>
          <w:rStyle w:val="CharSClsNo"/>
        </w:rPr>
        <w:t>1.3</w:t>
      </w:r>
      <w:r>
        <w:rPr>
          <w:snapToGrid w:val="0"/>
        </w:rPr>
        <w:t>.</w:t>
      </w:r>
      <w:r>
        <w:rPr>
          <w:snapToGrid w:val="0"/>
        </w:rPr>
        <w:tab/>
        <w:t>Act does not affect State agreements</w:t>
      </w:r>
      <w:bookmarkEnd w:id="886"/>
      <w:bookmarkEnd w:id="887"/>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any right or obligation of a party to the Dampier Solar Salt Industry Agreement; or</w:t>
      </w:r>
    </w:p>
    <w:p>
      <w:pPr>
        <w:pStyle w:val="yIndenta"/>
        <w:rPr>
          <w:snapToGrid w:val="0"/>
        </w:rPr>
      </w:pPr>
      <w:r>
        <w:rPr>
          <w:snapToGrid w:val="0"/>
        </w:rPr>
        <w:tab/>
        <w:t>(b)</w:t>
      </w:r>
      <w:r>
        <w:rPr>
          <w:snapToGrid w:val="0"/>
        </w:rPr>
        <w:tab/>
        <w:t>any right or obligation of a party to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Ednotesection"/>
      </w:pPr>
      <w:r>
        <w:t>[</w:t>
      </w:r>
      <w:r>
        <w:rPr>
          <w:b/>
        </w:rPr>
        <w:t>1.4-1.7.</w:t>
      </w:r>
      <w:r>
        <w:tab/>
        <w:t>Deleted: No. 9 of 2014 s. 33(2).]</w:t>
      </w:r>
    </w:p>
    <w:p>
      <w:pPr>
        <w:pStyle w:val="yHeading5"/>
        <w:outlineLvl w:val="0"/>
        <w:rPr>
          <w:snapToGrid w:val="0"/>
        </w:rPr>
      </w:pPr>
      <w:bookmarkStart w:id="888" w:name="_Toc398890210"/>
      <w:bookmarkStart w:id="889" w:name="_Toc1492210"/>
      <w:r>
        <w:rPr>
          <w:rStyle w:val="CharSClsNo"/>
        </w:rPr>
        <w:t>1.8</w:t>
      </w:r>
      <w:r>
        <w:rPr>
          <w:snapToGrid w:val="0"/>
        </w:rPr>
        <w:t>.</w:t>
      </w:r>
      <w:r>
        <w:rPr>
          <w:snapToGrid w:val="0"/>
        </w:rPr>
        <w:tab/>
        <w:t>Some property excepted from s. 26(1)</w:t>
      </w:r>
      <w:bookmarkEnd w:id="888"/>
      <w:bookmarkEnd w:id="889"/>
    </w:p>
    <w:p>
      <w:pPr>
        <w:pStyle w:val="ySubsection"/>
        <w:keepNext/>
        <w:keepLines/>
        <w:spacing w:before="100"/>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 or</w:t>
      </w:r>
    </w:p>
    <w:p>
      <w:pPr>
        <w:pStyle w:val="yIndenta"/>
        <w:rPr>
          <w:snapToGrid w:val="0"/>
        </w:rPr>
      </w:pPr>
      <w:r>
        <w:rPr>
          <w:snapToGrid w:val="0"/>
        </w:rPr>
        <w:tab/>
        <w:t>(b)</w:t>
      </w:r>
      <w:r>
        <w:rPr>
          <w:snapToGrid w:val="0"/>
        </w:rPr>
        <w:tab/>
        <w:t>which has been vested free of cost in the port authority; or</w:t>
      </w:r>
    </w:p>
    <w:p>
      <w:pPr>
        <w:pStyle w:val="yIndenta"/>
        <w:keepNext/>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890" w:name="_Toc398890211"/>
      <w:bookmarkStart w:id="891" w:name="_Toc1492211"/>
      <w:r>
        <w:rPr>
          <w:rStyle w:val="CharSClsNo"/>
        </w:rPr>
        <w:t>1.9</w:t>
      </w:r>
      <w:r>
        <w:rPr>
          <w:snapToGrid w:val="0"/>
        </w:rPr>
        <w:t>.</w:t>
      </w:r>
      <w:r>
        <w:rPr>
          <w:snapToGrid w:val="0"/>
        </w:rPr>
        <w:tab/>
        <w:t>Recovery of costs from users, functions include</w:t>
      </w:r>
      <w:bookmarkEnd w:id="890"/>
      <w:bookmarkEnd w:id="891"/>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892" w:name="_Toc398890212"/>
      <w:bookmarkStart w:id="893" w:name="_Toc1492212"/>
      <w:r>
        <w:rPr>
          <w:rStyle w:val="CharSClsNo"/>
        </w:rPr>
        <w:t>1.10</w:t>
      </w:r>
      <w:r>
        <w:rPr>
          <w:snapToGrid w:val="0"/>
        </w:rPr>
        <w:t>.</w:t>
      </w:r>
      <w:r>
        <w:rPr>
          <w:snapToGrid w:val="0"/>
        </w:rPr>
        <w:tab/>
        <w:t>Companies, Joint Venturers and Salt Company, duties of</w:t>
      </w:r>
      <w:bookmarkEnd w:id="892"/>
      <w:bookmarkEnd w:id="893"/>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and</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894" w:name="_Toc398890213"/>
      <w:bookmarkStart w:id="895" w:name="_Toc1492213"/>
      <w:r>
        <w:rPr>
          <w:rStyle w:val="CharSClsNo"/>
        </w:rPr>
        <w:t>1.11</w:t>
      </w:r>
      <w:r>
        <w:rPr>
          <w:snapToGrid w:val="0"/>
        </w:rPr>
        <w:t>.</w:t>
      </w:r>
      <w:r>
        <w:rPr>
          <w:snapToGrid w:val="0"/>
        </w:rPr>
        <w:tab/>
        <w:t>Pilotage services, agreements with Companies etc. as to</w:t>
      </w:r>
      <w:bookmarkEnd w:id="894"/>
      <w:bookmarkEnd w:id="895"/>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rPr>
          <w:rStyle w:val="CharSDivText"/>
        </w:rPr>
      </w:pPr>
      <w:bookmarkStart w:id="896" w:name="_Toc398890214"/>
      <w:bookmarkStart w:id="897" w:name="_Toc424284649"/>
      <w:bookmarkStart w:id="898" w:name="_Toc468975541"/>
      <w:bookmarkStart w:id="899" w:name="_Toc468975905"/>
      <w:bookmarkStart w:id="900" w:name="_Toc468978239"/>
      <w:bookmarkStart w:id="901" w:name="_Toc1491850"/>
      <w:bookmarkStart w:id="902" w:name="_Toc1492214"/>
      <w:r>
        <w:rPr>
          <w:rStyle w:val="CharSDivNo"/>
        </w:rPr>
        <w:t>Division 2</w:t>
      </w:r>
      <w:r>
        <w:t xml:space="preserve"> — </w:t>
      </w:r>
      <w:r>
        <w:rPr>
          <w:rStyle w:val="CharSDivText"/>
        </w:rPr>
        <w:t>Port of Port Hedland</w:t>
      </w:r>
      <w:bookmarkEnd w:id="896"/>
      <w:bookmarkEnd w:id="897"/>
      <w:bookmarkEnd w:id="898"/>
      <w:bookmarkEnd w:id="899"/>
      <w:bookmarkEnd w:id="900"/>
      <w:bookmarkEnd w:id="901"/>
      <w:bookmarkEnd w:id="902"/>
    </w:p>
    <w:p>
      <w:pPr>
        <w:pStyle w:val="yFootnoteheading"/>
      </w:pPr>
      <w:r>
        <w:tab/>
        <w:t>[Heading amended: No. 9 of 2014 s. 34(4).]</w:t>
      </w:r>
    </w:p>
    <w:p>
      <w:pPr>
        <w:pStyle w:val="yHeading5"/>
        <w:outlineLvl w:val="0"/>
        <w:rPr>
          <w:snapToGrid w:val="0"/>
        </w:rPr>
      </w:pPr>
      <w:bookmarkStart w:id="903" w:name="_Toc398890215"/>
      <w:bookmarkStart w:id="904" w:name="_Toc1492215"/>
      <w:r>
        <w:rPr>
          <w:rStyle w:val="CharSClsNo"/>
        </w:rPr>
        <w:t>2.1</w:t>
      </w:r>
      <w:r>
        <w:rPr>
          <w:snapToGrid w:val="0"/>
        </w:rPr>
        <w:t>.</w:t>
      </w:r>
      <w:r>
        <w:rPr>
          <w:snapToGrid w:val="0"/>
        </w:rPr>
        <w:tab/>
        <w:t>Application of Division</w:t>
      </w:r>
      <w:bookmarkEnd w:id="903"/>
      <w:bookmarkEnd w:id="904"/>
    </w:p>
    <w:p>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Port Hedland</w:t>
          </w:r>
        </w:smartTag>
      </w:smartTag>
      <w:r>
        <w:rPr>
          <w:snapToGrid w:val="0"/>
        </w:rPr>
        <w:t>.</w:t>
      </w:r>
    </w:p>
    <w:p>
      <w:pPr>
        <w:pStyle w:val="yFootnotesection"/>
      </w:pPr>
      <w:r>
        <w:tab/>
        <w:t>[Clause 2.1 amended: No. 9 of 2014 s. 34(5).]</w:t>
      </w:r>
    </w:p>
    <w:p>
      <w:pPr>
        <w:pStyle w:val="yEdnotesection"/>
      </w:pPr>
      <w:r>
        <w:t>[</w:t>
      </w:r>
      <w:r>
        <w:rPr>
          <w:b/>
        </w:rPr>
        <w:t>2.2.</w:t>
      </w:r>
      <w:r>
        <w:tab/>
        <w:t>Deleted: No. 9 of 2014 s. 33(3).]</w:t>
      </w:r>
    </w:p>
    <w:p>
      <w:pPr>
        <w:pStyle w:val="yHeading5"/>
        <w:outlineLvl w:val="0"/>
        <w:rPr>
          <w:snapToGrid w:val="0"/>
        </w:rPr>
      </w:pPr>
      <w:bookmarkStart w:id="905" w:name="_Toc398890216"/>
      <w:bookmarkStart w:id="906" w:name="_Toc1492216"/>
      <w:r>
        <w:rPr>
          <w:rStyle w:val="CharSClsNo"/>
        </w:rPr>
        <w:t>2.3</w:t>
      </w:r>
      <w:r>
        <w:rPr>
          <w:snapToGrid w:val="0"/>
        </w:rPr>
        <w:t>.</w:t>
      </w:r>
      <w:r>
        <w:rPr>
          <w:snapToGrid w:val="0"/>
        </w:rPr>
        <w:tab/>
        <w:t>Act does not affect State agreements</w:t>
      </w:r>
      <w:bookmarkEnd w:id="905"/>
      <w:bookmarkEnd w:id="906"/>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Newman</w:t>
          </w:r>
        </w:smartTag>
      </w:smartTag>
      <w:r>
        <w:rPr>
          <w:i/>
          <w:snapToGrid w:val="0"/>
        </w:rPr>
        <w:t>) Agreement Act 1964</w:t>
      </w:r>
      <w:r>
        <w:rPr>
          <w:snapToGrid w:val="0"/>
        </w:rPr>
        <w:t>, as that agreement is amended from time to time.</w:t>
      </w:r>
    </w:p>
    <w:p>
      <w:pPr>
        <w:pStyle w:val="yEdnotesection"/>
      </w:pPr>
      <w:r>
        <w:t>[</w:t>
      </w:r>
      <w:r>
        <w:rPr>
          <w:b/>
        </w:rPr>
        <w:t>2.4</w:t>
      </w:r>
      <w:r>
        <w:rPr>
          <w:b/>
        </w:rPr>
        <w:noBreakHyphen/>
        <w:t>2.7.</w:t>
      </w:r>
      <w:r>
        <w:tab/>
        <w:t>Deleted: No. 9 of 2014 s. 33(3).]</w:t>
      </w:r>
    </w:p>
    <w:p>
      <w:pPr>
        <w:pStyle w:val="yHeading5"/>
        <w:outlineLvl w:val="0"/>
        <w:rPr>
          <w:snapToGrid w:val="0"/>
        </w:rPr>
      </w:pPr>
      <w:bookmarkStart w:id="907" w:name="_Toc398890217"/>
      <w:bookmarkStart w:id="908" w:name="_Toc1492217"/>
      <w:r>
        <w:rPr>
          <w:rStyle w:val="CharSClsNo"/>
        </w:rPr>
        <w:t>2.8</w:t>
      </w:r>
      <w:r>
        <w:rPr>
          <w:snapToGrid w:val="0"/>
        </w:rPr>
        <w:t>.</w:t>
      </w:r>
      <w:r>
        <w:rPr>
          <w:snapToGrid w:val="0"/>
        </w:rPr>
        <w:tab/>
        <w:t>Port includes pilotage area for some purposes</w:t>
      </w:r>
      <w:bookmarkEnd w:id="907"/>
      <w:bookmarkEnd w:id="908"/>
      <w:r>
        <w:rPr>
          <w:snapToGrid w:val="0"/>
        </w:rPr>
        <w:t xml:space="preserve"> </w:t>
      </w:r>
    </w:p>
    <w:p>
      <w:pPr>
        <w:pStyle w:val="y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 xml:space="preserve">A reference in Part 7, Divisions 2 and 3 and, where appropriate, in section 122(1) </w:t>
      </w:r>
      <w:r>
        <w:t>to the</w:t>
      </w:r>
      <w:r>
        <w:rPr>
          <w:snapToGrid w:val="0"/>
          <w:sz w:val="24"/>
        </w:rPr>
        <w:t xml:space="preserve"> </w:t>
      </w:r>
      <w:r>
        <w:rPr>
          <w:rStyle w:val="CharDefText"/>
        </w:rPr>
        <w:t>port</w:t>
      </w:r>
      <w:r>
        <w:rPr>
          <w:snapToGrid w:val="0"/>
        </w:rPr>
        <w:t xml:space="preserve"> includes a reference to the pilotage area set out below:</w:t>
      </w: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sz w:val="22"/>
                <w:szCs w:val="22"/>
              </w:rPr>
            </w:pPr>
            <w:r>
              <w:rPr>
                <w:snapToGrid w:val="0"/>
                <w:sz w:val="22"/>
                <w:szCs w:val="22"/>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sectPr>
          <w:pgSz w:w="11907" w:h="16840" w:code="9"/>
          <w:pgMar w:top="2376" w:right="2405" w:bottom="3542" w:left="2405" w:header="706" w:footer="3380" w:gutter="0"/>
          <w:cols w:space="720"/>
          <w:noEndnote/>
          <w:docGrid w:linePitch="326"/>
        </w:sectPr>
      </w:pPr>
    </w:p>
    <w:p>
      <w:pPr>
        <w:pStyle w:val="yScheduleHeading"/>
      </w:pPr>
      <w:bookmarkStart w:id="909" w:name="_Toc398890218"/>
      <w:bookmarkStart w:id="910" w:name="_Toc424284653"/>
      <w:bookmarkStart w:id="911" w:name="_Toc468975545"/>
      <w:bookmarkStart w:id="912" w:name="_Toc468975909"/>
      <w:bookmarkStart w:id="913" w:name="_Toc468978243"/>
      <w:bookmarkStart w:id="914" w:name="_Toc1491854"/>
      <w:bookmarkStart w:id="915" w:name="_Toc1492218"/>
      <w:r>
        <w:rPr>
          <w:rStyle w:val="CharSchNo"/>
        </w:rPr>
        <w:t>Schedule 7</w:t>
      </w:r>
      <w:r>
        <w:t xml:space="preserve"> — </w:t>
      </w:r>
      <w:r>
        <w:rPr>
          <w:rStyle w:val="CharSchText"/>
        </w:rPr>
        <w:t>Purposes for which, or matters about which, regulations may be made</w:t>
      </w:r>
      <w:bookmarkEnd w:id="909"/>
      <w:bookmarkEnd w:id="910"/>
      <w:bookmarkEnd w:id="911"/>
      <w:bookmarkEnd w:id="912"/>
      <w:bookmarkEnd w:id="913"/>
      <w:bookmarkEnd w:id="914"/>
      <w:bookmarkEnd w:id="915"/>
    </w:p>
    <w:p>
      <w:pPr>
        <w:pStyle w:val="yShoulderClause"/>
      </w:pPr>
      <w:r>
        <w:t>[s. 139(2)]</w:t>
      </w:r>
    </w:p>
    <w:p>
      <w:pPr>
        <w:pStyle w:val="ySubsection"/>
        <w:spacing w:before="120"/>
        <w:rPr>
          <w:snapToGrid w:val="0"/>
        </w:rPr>
      </w:pPr>
      <w:r>
        <w:rPr>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snapToGrid w:val="0"/>
        </w:rPr>
        <w:t>4.</w:t>
      </w:r>
      <w:r>
        <w:rPr>
          <w:snapToGrid w:val="0"/>
        </w:rPr>
        <w:tab/>
      </w:r>
      <w:r>
        <w:rPr>
          <w:snapToGrid w:val="0"/>
        </w:rPr>
        <w:tab/>
        <w:t>The use of tide signals and other signals in a port.</w:t>
      </w:r>
    </w:p>
    <w:p>
      <w:pPr>
        <w:pStyle w:val="ySubsection"/>
        <w:spacing w:before="120"/>
        <w:rPr>
          <w:snapToGrid w:val="0"/>
        </w:rPr>
      </w:pPr>
      <w:r>
        <w:rPr>
          <w:snapToGrid w:val="0"/>
        </w:rPr>
        <w:t>5.</w:t>
      </w:r>
      <w:r>
        <w:rPr>
          <w:snapToGrid w:val="0"/>
        </w:rPr>
        <w:tab/>
      </w:r>
      <w:r>
        <w:rPr>
          <w:snapToGrid w:val="0"/>
        </w:rPr>
        <w:tab/>
        <w:t>Prevention of overloading or overcrowding of vessels.</w:t>
      </w:r>
    </w:p>
    <w:p>
      <w:pPr>
        <w:pStyle w:val="ySubsection"/>
        <w:spacing w:before="120"/>
        <w:rPr>
          <w:snapToGrid w:val="0"/>
        </w:rPr>
      </w:pPr>
      <w:r>
        <w:rPr>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snapToGrid w:val="0"/>
        </w:rPr>
        <w:t>8.</w:t>
      </w:r>
      <w:r>
        <w:rPr>
          <w:snapToGrid w:val="0"/>
        </w:rPr>
        <w:tab/>
      </w:r>
      <w:r>
        <w:rPr>
          <w:snapToGrid w:val="0"/>
        </w:rPr>
        <w:tab/>
        <w:t>The movement, mooring, loading and unloading of vessels.</w:t>
      </w:r>
    </w:p>
    <w:p>
      <w:pPr>
        <w:pStyle w:val="ySubsection"/>
        <w:keepNext/>
        <w:spacing w:before="120"/>
        <w:rPr>
          <w:snapToGrid w:val="0"/>
        </w:rPr>
      </w:pPr>
      <w:r>
        <w:rPr>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 or</w:t>
      </w:r>
    </w:p>
    <w:p>
      <w:pPr>
        <w:pStyle w:val="yIndenta"/>
        <w:rPr>
          <w:snapToGrid w:val="0"/>
        </w:rPr>
      </w:pPr>
      <w:r>
        <w:rPr>
          <w:snapToGrid w:val="0"/>
        </w:rPr>
        <w:tab/>
        <w:t>(b)</w:t>
      </w:r>
      <w:r>
        <w:rPr>
          <w:snapToGrid w:val="0"/>
        </w:rPr>
        <w:tab/>
        <w:t>towage services; or</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snapToGrid w:val="0"/>
        </w:rPr>
        <w:t>10.</w:t>
      </w:r>
      <w:r>
        <w:rPr>
          <w:snapToGrid w:val="0"/>
        </w:rPr>
        <w:tab/>
      </w:r>
      <w:r>
        <w:rPr>
          <w:snapToGrid w:val="0"/>
        </w:rPr>
        <w:tab/>
        <w:t>The taking on and landing of passengers.</w:t>
      </w:r>
    </w:p>
    <w:p>
      <w:pPr>
        <w:pStyle w:val="ySubsection"/>
        <w:rPr>
          <w:snapToGrid w:val="0"/>
        </w:rPr>
      </w:pPr>
      <w:r>
        <w:rPr>
          <w:snapToGrid w:val="0"/>
        </w:rPr>
        <w:t>11.</w:t>
      </w:r>
      <w:r>
        <w:rPr>
          <w:snapToGrid w:val="0"/>
        </w:rPr>
        <w:tab/>
      </w:r>
      <w:r>
        <w:rPr>
          <w:snapToGrid w:val="0"/>
        </w:rPr>
        <w:tab/>
        <w:t>The taking in, management and discharge or delivery of ballast.</w:t>
      </w:r>
    </w:p>
    <w:p>
      <w:pPr>
        <w:pStyle w:val="ySubsection"/>
        <w:rPr>
          <w:snapToGrid w:val="0"/>
        </w:rPr>
      </w:pPr>
      <w:r>
        <w:rPr>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snapToGrid w:val="0"/>
        </w:rPr>
        <w:t>13.</w:t>
      </w:r>
      <w:r>
        <w:rPr>
          <w:snapToGrid w:val="0"/>
        </w:rPr>
        <w:tab/>
      </w:r>
      <w:r>
        <w:rPr>
          <w:snapToGrid w:val="0"/>
        </w:rPr>
        <w:tab/>
        <w:t>Traffic in a port.</w:t>
      </w:r>
    </w:p>
    <w:p>
      <w:pPr>
        <w:pStyle w:val="ySubsection"/>
        <w:rPr>
          <w:snapToGrid w:val="0"/>
        </w:rPr>
      </w:pPr>
      <w:r>
        <w:rPr>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snapToGrid w:val="0"/>
        </w:rPr>
        <w:t>15.</w:t>
      </w:r>
      <w:r>
        <w:rPr>
          <w:snapToGrid w:val="0"/>
        </w:rPr>
        <w:tab/>
      </w:r>
      <w:r>
        <w:rPr>
          <w:snapToGrid w:val="0"/>
        </w:rPr>
        <w:tab/>
        <w:t>Parking of vehicles in a port.</w:t>
      </w:r>
    </w:p>
    <w:p>
      <w:pPr>
        <w:pStyle w:val="ySubsection"/>
        <w:rPr>
          <w:snapToGrid w:val="0"/>
        </w:rPr>
      </w:pPr>
      <w:r>
        <w:rPr>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snapToGrid w:val="0"/>
        </w:rPr>
        <w:t>17.</w:t>
      </w:r>
      <w:r>
        <w:rPr>
          <w:snapToGrid w:val="0"/>
        </w:rPr>
        <w:tab/>
      </w:r>
      <w:r>
        <w:rPr>
          <w:snapToGrid w:val="0"/>
        </w:rPr>
        <w:tab/>
        <w:t>Regulation of the duties and conduct of persons in a port.</w:t>
      </w:r>
    </w:p>
    <w:p>
      <w:pPr>
        <w:pStyle w:val="ySubsection"/>
        <w:rPr>
          <w:snapToGrid w:val="0"/>
        </w:rPr>
      </w:pPr>
      <w:r>
        <w:rPr>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snapToGrid w:val="0"/>
        </w:rPr>
        <w:t>20.</w:t>
      </w:r>
      <w:r>
        <w:rPr>
          <w:snapToGrid w:val="0"/>
        </w:rPr>
        <w:tab/>
      </w:r>
      <w:r>
        <w:rPr>
          <w:snapToGrid w:val="0"/>
        </w:rPr>
        <w:tab/>
        <w:t>The control of the operation of machinery on jetties and wharf loading areas.</w:t>
      </w:r>
    </w:p>
    <w:p>
      <w:pPr>
        <w:pStyle w:val="ySubsection"/>
        <w:rPr>
          <w:snapToGrid w:val="0"/>
        </w:rPr>
      </w:pPr>
      <w:r>
        <w:rPr>
          <w:snapToGrid w:val="0"/>
        </w:rPr>
        <w:t>21.</w:t>
      </w:r>
      <w:r>
        <w:rPr>
          <w:snapToGrid w:val="0"/>
        </w:rPr>
        <w:tab/>
      </w:r>
      <w:r>
        <w:rPr>
          <w:snapToGrid w:val="0"/>
        </w:rPr>
        <w:tab/>
        <w:t>The conduct of persons operating vessels or machinery referred to in item 19 or 20.</w:t>
      </w:r>
    </w:p>
    <w:p>
      <w:pPr>
        <w:pStyle w:val="ySubsection"/>
        <w:rPr>
          <w:snapToGrid w:val="0"/>
        </w:rPr>
      </w:pPr>
      <w:r>
        <w:rPr>
          <w:snapToGrid w:val="0"/>
        </w:rPr>
        <w:t>22.</w:t>
      </w:r>
      <w:r>
        <w:rPr>
          <w:snapToGrid w:val="0"/>
        </w:rPr>
        <w:tab/>
      </w:r>
      <w:r>
        <w:rPr>
          <w:snapToGrid w:val="0"/>
        </w:rPr>
        <w:tab/>
        <w:t xml:space="preserve">The control of the installation and use of moorings. </w:t>
      </w:r>
    </w:p>
    <w:p>
      <w:pPr>
        <w:pStyle w:val="ySubsection"/>
        <w:rPr>
          <w:snapToGrid w:val="0"/>
        </w:rPr>
      </w:pPr>
      <w:r>
        <w:rPr>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 and</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snapToGrid w:val="0"/>
        </w:rPr>
        <w:t>31.</w:t>
      </w:r>
      <w:r>
        <w:rPr>
          <w:snapToGrid w:val="0"/>
        </w:rPr>
        <w:tab/>
      </w:r>
      <w:r>
        <w:rPr>
          <w:snapToGrid w:val="0"/>
        </w:rPr>
        <w:tab/>
        <w:t>The speed of vessels in a port.</w:t>
      </w:r>
    </w:p>
    <w:p>
      <w:pPr>
        <w:pStyle w:val="ySubsection"/>
        <w:rPr>
          <w:snapToGrid w:val="0"/>
        </w:rPr>
      </w:pPr>
      <w:r>
        <w:rPr>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snapToGrid w:val="0"/>
        </w:rPr>
        <w:t>35.</w:t>
      </w:r>
      <w:r>
        <w:rPr>
          <w:snapToGrid w:val="0"/>
        </w:rPr>
        <w:tab/>
      </w:r>
      <w:r>
        <w:rPr>
          <w:snapToGrid w:val="0"/>
        </w:rPr>
        <w:tab/>
        <w:t>Limitation of the time for making a claim against a port authority for loss or damage.</w:t>
      </w:r>
    </w:p>
    <w:p>
      <w:pPr>
        <w:pStyle w:val="ySubsection"/>
        <w:rPr>
          <w:snapToGrid w:val="0"/>
        </w:rPr>
      </w:pPr>
      <w:r>
        <w:rPr>
          <w:snapToGrid w:val="0"/>
        </w:rPr>
        <w:t>36.</w:t>
      </w:r>
      <w:r>
        <w:rPr>
          <w:snapToGrid w:val="0"/>
        </w:rPr>
        <w:tab/>
      </w:r>
      <w:r>
        <w:rPr>
          <w:snapToGrid w:val="0"/>
        </w:rPr>
        <w:tab/>
        <w:t>Conditions to be inserted in a lease granted under this Act.</w:t>
      </w:r>
    </w:p>
    <w:p>
      <w:pPr>
        <w:pStyle w:val="ySubsection"/>
        <w:rPr>
          <w:snapToGrid w:val="0"/>
        </w:rPr>
      </w:pPr>
      <w:r>
        <w:rPr>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t>39.</w:t>
      </w:r>
      <w:r>
        <w:tab/>
        <w:t>The protection of port facilities or other property of a port authority.</w:t>
      </w:r>
    </w:p>
    <w:p>
      <w:pPr>
        <w:pStyle w:val="ySubsection"/>
        <w:rPr>
          <w:snapToGrid w:val="0"/>
        </w:rPr>
      </w:pPr>
      <w:r>
        <w:rPr>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snapToGrid w:val="0"/>
        </w:rPr>
        <w:t>41.</w:t>
      </w:r>
      <w:r>
        <w:rPr>
          <w:snapToGrid w:val="0"/>
        </w:rPr>
        <w:tab/>
      </w:r>
      <w:r>
        <w:rPr>
          <w:snapToGrid w:val="0"/>
        </w:rPr>
        <w:tab/>
        <w:t>The protection of the environment of a port.</w:t>
      </w:r>
    </w:p>
    <w:p>
      <w:pPr>
        <w:pStyle w:val="ySubsection"/>
        <w:keepNext/>
        <w:rPr>
          <w:snapToGrid w:val="0"/>
        </w:rPr>
      </w:pPr>
      <w:r>
        <w:rPr>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No. 71 of 2003 s. 9; No. 7 of 2004 s. 70.]</w:t>
      </w:r>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yScheduleHeading"/>
      </w:pPr>
      <w:bookmarkStart w:id="916" w:name="_Toc398890219"/>
      <w:bookmarkStart w:id="917" w:name="_Toc424284654"/>
      <w:bookmarkStart w:id="918" w:name="_Toc468975546"/>
      <w:bookmarkStart w:id="919" w:name="_Toc468975910"/>
      <w:bookmarkStart w:id="920" w:name="_Toc468978244"/>
      <w:bookmarkStart w:id="921" w:name="_Toc1491855"/>
      <w:bookmarkStart w:id="922" w:name="_Toc1492219"/>
      <w:r>
        <w:rPr>
          <w:rStyle w:val="CharSchNo"/>
        </w:rPr>
        <w:t>Schedule 8</w:t>
      </w:r>
      <w:r>
        <w:t> — </w:t>
      </w:r>
      <w:r>
        <w:rPr>
          <w:rStyle w:val="CharSchText"/>
        </w:rPr>
        <w:t>Transitional provisions</w:t>
      </w:r>
      <w:bookmarkEnd w:id="916"/>
      <w:bookmarkEnd w:id="917"/>
      <w:bookmarkEnd w:id="918"/>
      <w:bookmarkEnd w:id="919"/>
      <w:bookmarkEnd w:id="920"/>
      <w:bookmarkEnd w:id="921"/>
      <w:bookmarkEnd w:id="922"/>
    </w:p>
    <w:p>
      <w:pPr>
        <w:pStyle w:val="yShoulderClause"/>
      </w:pPr>
      <w:r>
        <w:t>[s. 139A]</w:t>
      </w:r>
    </w:p>
    <w:p>
      <w:pPr>
        <w:pStyle w:val="yFootnoteheading"/>
        <w:spacing w:after="120"/>
      </w:pPr>
      <w:r>
        <w:tab/>
        <w:t>[Heading inserted: No. 9 of 2014 s. 35.]</w:t>
      </w:r>
    </w:p>
    <w:p>
      <w:pPr>
        <w:pStyle w:val="yHeading3"/>
      </w:pPr>
      <w:bookmarkStart w:id="923" w:name="_Toc398890220"/>
      <w:bookmarkStart w:id="924" w:name="_Toc424284655"/>
      <w:bookmarkStart w:id="925" w:name="_Toc468975547"/>
      <w:bookmarkStart w:id="926" w:name="_Toc468975911"/>
      <w:bookmarkStart w:id="927" w:name="_Toc468978245"/>
      <w:bookmarkStart w:id="928" w:name="_Toc1491856"/>
      <w:bookmarkStart w:id="929" w:name="_Toc1492220"/>
      <w:r>
        <w:rPr>
          <w:rStyle w:val="CharSDivNo"/>
        </w:rPr>
        <w:t>Division 1</w:t>
      </w:r>
      <w:r>
        <w:rPr>
          <w:b w:val="0"/>
        </w:rPr>
        <w:t> — </w:t>
      </w:r>
      <w:r>
        <w:rPr>
          <w:rStyle w:val="CharSDivText"/>
        </w:rPr>
        <w:t xml:space="preserve">Provisions for </w:t>
      </w:r>
      <w:r>
        <w:rPr>
          <w:rStyle w:val="CharSDivText"/>
          <w:i/>
        </w:rPr>
        <w:t>Ports Legislation Amendment Act 2014</w:t>
      </w:r>
      <w:bookmarkEnd w:id="923"/>
      <w:bookmarkEnd w:id="924"/>
      <w:bookmarkEnd w:id="925"/>
      <w:bookmarkEnd w:id="926"/>
      <w:bookmarkEnd w:id="927"/>
      <w:bookmarkEnd w:id="928"/>
      <w:bookmarkEnd w:id="929"/>
    </w:p>
    <w:p>
      <w:pPr>
        <w:pStyle w:val="yFootnoteheading"/>
        <w:spacing w:after="120"/>
      </w:pPr>
      <w:r>
        <w:tab/>
        <w:t>[Heading inserted: No. 9 of 2014 s. 35.]</w:t>
      </w:r>
    </w:p>
    <w:p>
      <w:pPr>
        <w:pStyle w:val="yHeading4"/>
      </w:pPr>
      <w:bookmarkStart w:id="930" w:name="_Toc398890221"/>
      <w:bookmarkStart w:id="931" w:name="_Toc424284656"/>
      <w:bookmarkStart w:id="932" w:name="_Toc468975548"/>
      <w:bookmarkStart w:id="933" w:name="_Toc468975912"/>
      <w:bookmarkStart w:id="934" w:name="_Toc468978246"/>
      <w:bookmarkStart w:id="935" w:name="_Toc1491857"/>
      <w:bookmarkStart w:id="936" w:name="_Toc1492221"/>
      <w:r>
        <w:t>Subdivision 1</w:t>
      </w:r>
      <w:r>
        <w:rPr>
          <w:b w:val="0"/>
        </w:rPr>
        <w:t> — </w:t>
      </w:r>
      <w:r>
        <w:t>Preliminary</w:t>
      </w:r>
      <w:bookmarkEnd w:id="930"/>
      <w:bookmarkEnd w:id="931"/>
      <w:bookmarkEnd w:id="932"/>
      <w:bookmarkEnd w:id="933"/>
      <w:bookmarkEnd w:id="934"/>
      <w:bookmarkEnd w:id="935"/>
      <w:bookmarkEnd w:id="936"/>
    </w:p>
    <w:p>
      <w:pPr>
        <w:pStyle w:val="yFootnoteheading"/>
        <w:spacing w:after="120"/>
      </w:pPr>
      <w:r>
        <w:tab/>
        <w:t>[Heading inserted: No. 9 of 2014 s. 35.]</w:t>
      </w:r>
    </w:p>
    <w:p>
      <w:pPr>
        <w:pStyle w:val="yHeading5"/>
      </w:pPr>
      <w:bookmarkStart w:id="937" w:name="_Toc398890222"/>
      <w:bookmarkStart w:id="938" w:name="_Toc1492222"/>
      <w:r>
        <w:rPr>
          <w:rStyle w:val="CharSClsNo"/>
        </w:rPr>
        <w:t>1</w:t>
      </w:r>
      <w:r>
        <w:t>.</w:t>
      </w:r>
      <w:r>
        <w:tab/>
        <w:t>Terms used</w:t>
      </w:r>
      <w:bookmarkEnd w:id="937"/>
      <w:bookmarkEnd w:id="938"/>
    </w:p>
    <w:p>
      <w:pPr>
        <w:pStyle w:val="ySubsection"/>
      </w:pPr>
      <w:r>
        <w:tab/>
      </w:r>
      <w:r>
        <w:tab/>
        <w:t xml:space="preserve">In this Division — </w:t>
      </w:r>
    </w:p>
    <w:p>
      <w:pPr>
        <w:pStyle w:val="yDefstart"/>
      </w:pPr>
      <w:r>
        <w:tab/>
      </w:r>
      <w:r>
        <w:rPr>
          <w:rStyle w:val="CharDefText"/>
        </w:rPr>
        <w:t>agreement</w:t>
      </w:r>
      <w:r>
        <w:t xml:space="preserve"> includes a Government agreement;</w:t>
      </w:r>
    </w:p>
    <w:p>
      <w:pPr>
        <w:pStyle w:val="yDefstart"/>
      </w:pPr>
      <w:r>
        <w:tab/>
      </w:r>
      <w:r>
        <w:rPr>
          <w:rStyle w:val="CharDefText"/>
        </w:rPr>
        <w:t>amending Act</w:t>
      </w:r>
      <w:r>
        <w:t xml:space="preserve"> means the </w:t>
      </w:r>
      <w:r>
        <w:rPr>
          <w:i/>
        </w:rPr>
        <w:t>Ports Legislation Amendment Act 2014</w:t>
      </w:r>
      <w:r>
        <w:t>;</w:t>
      </w:r>
    </w:p>
    <w:p>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prospective or contingent.</w:t>
      </w:r>
    </w:p>
    <w:p>
      <w:pPr>
        <w:pStyle w:val="yFootnotesection"/>
      </w:pPr>
      <w:r>
        <w:tab/>
        <w:t>[Clause 1 inserted: No. 9 of 2014 s. 35.]</w:t>
      </w:r>
    </w:p>
    <w:p>
      <w:pPr>
        <w:pStyle w:val="yHeading4"/>
      </w:pPr>
      <w:bookmarkStart w:id="939" w:name="_Toc398890223"/>
      <w:bookmarkStart w:id="940" w:name="_Toc424284658"/>
      <w:bookmarkStart w:id="941" w:name="_Toc468975550"/>
      <w:bookmarkStart w:id="942" w:name="_Toc468975914"/>
      <w:bookmarkStart w:id="943" w:name="_Toc468978248"/>
      <w:bookmarkStart w:id="944" w:name="_Toc1491859"/>
      <w:bookmarkStart w:id="945" w:name="_Toc1492223"/>
      <w:r>
        <w:t>Subdivision 2</w:t>
      </w:r>
      <w:r>
        <w:rPr>
          <w:b w:val="0"/>
        </w:rPr>
        <w:t> — </w:t>
      </w:r>
      <w:r>
        <w:t>Provisions for the Southern Ports Authority</w:t>
      </w:r>
      <w:bookmarkEnd w:id="939"/>
      <w:bookmarkEnd w:id="940"/>
      <w:bookmarkEnd w:id="941"/>
      <w:bookmarkEnd w:id="942"/>
      <w:bookmarkEnd w:id="943"/>
      <w:bookmarkEnd w:id="944"/>
      <w:bookmarkEnd w:id="945"/>
    </w:p>
    <w:p>
      <w:pPr>
        <w:pStyle w:val="yFootnoteheading"/>
        <w:spacing w:after="120"/>
      </w:pPr>
      <w:r>
        <w:tab/>
        <w:t>[Heading inserted: No. 9 of 2014 s. 35.]</w:t>
      </w:r>
    </w:p>
    <w:p>
      <w:pPr>
        <w:pStyle w:val="yHeading5"/>
      </w:pPr>
      <w:bookmarkStart w:id="946" w:name="_Toc398890224"/>
      <w:bookmarkStart w:id="947" w:name="_Toc1492224"/>
      <w:r>
        <w:rPr>
          <w:rStyle w:val="CharSClsNo"/>
        </w:rPr>
        <w:t>2</w:t>
      </w:r>
      <w:r>
        <w:t>.</w:t>
      </w:r>
      <w:r>
        <w:tab/>
        <w:t>Terms used</w:t>
      </w:r>
      <w:bookmarkEnd w:id="946"/>
      <w:bookmarkEnd w:id="947"/>
    </w:p>
    <w:p>
      <w:pPr>
        <w:pStyle w:val="ySubsection"/>
      </w:pPr>
      <w:r>
        <w:tab/>
      </w:r>
      <w:r>
        <w:tab/>
        <w:t xml:space="preserve">In this Subdivision — </w:t>
      </w:r>
    </w:p>
    <w:p>
      <w:pPr>
        <w:pStyle w:val="yDefstart"/>
      </w:pPr>
      <w:r>
        <w:tab/>
      </w:r>
      <w:r>
        <w:rPr>
          <w:rStyle w:val="CharDefText"/>
        </w:rPr>
        <w:t>continuing authority</w:t>
      </w:r>
      <w:r>
        <w:t xml:space="preserve"> means the Bunbury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31(1) of the amending Act; and</w:t>
      </w:r>
    </w:p>
    <w:p>
      <w:pPr>
        <w:pStyle w:val="yDefpara"/>
      </w:pPr>
      <w:r>
        <w:tab/>
        <w:t>(b)</w:t>
      </w:r>
      <w:r>
        <w:tab/>
        <w:t>the merging of the Albany Port Authority and the Esperance Port Authority into the SPA under clause 3(1);</w:t>
      </w:r>
    </w:p>
    <w:p>
      <w:pPr>
        <w:pStyle w:val="yDefstart"/>
      </w:pPr>
      <w:r>
        <w:tab/>
      </w:r>
      <w:r>
        <w:rPr>
          <w:rStyle w:val="CharDefText"/>
        </w:rPr>
        <w:t>merger time</w:t>
      </w:r>
      <w:r>
        <w:t xml:space="preserve"> means the time at which section 31(1) of the amending Act comes into operation;</w:t>
      </w:r>
    </w:p>
    <w:p>
      <w:pPr>
        <w:pStyle w:val="yDefstart"/>
      </w:pPr>
      <w:r>
        <w:tab/>
      </w:r>
      <w:r>
        <w:rPr>
          <w:rStyle w:val="CharDefText"/>
        </w:rPr>
        <w:t>merging authority</w:t>
      </w:r>
      <w:r>
        <w:t xml:space="preserve"> means the Albany Port Authority or the Esperance Port Authority;</w:t>
      </w:r>
    </w:p>
    <w:p>
      <w:pPr>
        <w:pStyle w:val="yDefstart"/>
      </w:pPr>
      <w:r>
        <w:tab/>
      </w:r>
      <w:r>
        <w:rPr>
          <w:rStyle w:val="CharDefText"/>
        </w:rPr>
        <w:t>new board</w:t>
      </w:r>
      <w:r>
        <w:t xml:space="preserve"> means the board of directors established under clause 4(3);</w:t>
      </w:r>
    </w:p>
    <w:p>
      <w:pPr>
        <w:pStyle w:val="yDefstart"/>
      </w:pPr>
      <w:r>
        <w:tab/>
      </w:r>
      <w:r>
        <w:rPr>
          <w:rStyle w:val="CharDefText"/>
        </w:rPr>
        <w:t>SPA</w:t>
      </w:r>
      <w:r>
        <w:t xml:space="preserve"> means the continuing authority as renamed as the Southern Ports Authority by operation of section 31(1)(a) of the amending Act;</w:t>
      </w:r>
    </w:p>
    <w:p>
      <w:pPr>
        <w:pStyle w:val="yDefstart"/>
      </w:pPr>
      <w:r>
        <w:tab/>
      </w:r>
      <w:r>
        <w:rPr>
          <w:rStyle w:val="CharDefText"/>
        </w:rPr>
        <w:t>transitional regulations</w:t>
      </w:r>
      <w:r>
        <w:t xml:space="preserve"> has the meaning given in clause 15(1).</w:t>
      </w:r>
    </w:p>
    <w:p>
      <w:pPr>
        <w:pStyle w:val="yFootnotesection"/>
      </w:pPr>
      <w:r>
        <w:tab/>
        <w:t>[Clause 2 inserted: No. 9 of 2014 s. 35.]</w:t>
      </w:r>
    </w:p>
    <w:p>
      <w:pPr>
        <w:pStyle w:val="yHeading5"/>
      </w:pPr>
      <w:bookmarkStart w:id="948" w:name="_Toc398890225"/>
      <w:bookmarkStart w:id="949" w:name="_Toc1492225"/>
      <w:r>
        <w:rPr>
          <w:rStyle w:val="CharSClsNo"/>
        </w:rPr>
        <w:t>3</w:t>
      </w:r>
      <w:r>
        <w:t>.</w:t>
      </w:r>
      <w:r>
        <w:tab/>
        <w:t>Merger of Albany Port Authority and Esperance Port Authority into Southern Ports Authority</w:t>
      </w:r>
      <w:bookmarkEnd w:id="948"/>
      <w:bookmarkEnd w:id="949"/>
    </w:p>
    <w:p>
      <w:pPr>
        <w:pStyle w:val="ySubsection"/>
      </w:pPr>
      <w:r>
        <w:tab/>
        <w:t>(1)</w:t>
      </w:r>
      <w:r>
        <w:tab/>
        <w:t>At the merger time the Albany Port Authority and the Esperance Port Authority cease to be port authorities under this Act and merge into the SPA.</w:t>
      </w:r>
    </w:p>
    <w:p>
      <w:pPr>
        <w:pStyle w:val="ySubsection"/>
      </w:pPr>
      <w:r>
        <w:tab/>
        <w:t>(2)</w:t>
      </w:r>
      <w:r>
        <w:tab/>
        <w:t>From the merger time the SPA is a continuation of each of the merging authorities.</w:t>
      </w:r>
    </w:p>
    <w:p>
      <w:pPr>
        <w:pStyle w:val="yFootnotesection"/>
      </w:pPr>
      <w:r>
        <w:tab/>
        <w:t>[Clause 3 inserted: No. 9 of 2014 s. 35.]</w:t>
      </w:r>
    </w:p>
    <w:p>
      <w:pPr>
        <w:pStyle w:val="yHeading5"/>
      </w:pPr>
      <w:bookmarkStart w:id="950" w:name="_Toc398890226"/>
      <w:bookmarkStart w:id="951" w:name="_Toc1492226"/>
      <w:r>
        <w:rPr>
          <w:rStyle w:val="CharSClsNo"/>
        </w:rPr>
        <w:t>4</w:t>
      </w:r>
      <w:r>
        <w:t>.</w:t>
      </w:r>
      <w:r>
        <w:tab/>
        <w:t>Directors and former directors</w:t>
      </w:r>
      <w:bookmarkEnd w:id="950"/>
      <w:bookmarkEnd w:id="951"/>
    </w:p>
    <w:p>
      <w:pPr>
        <w:pStyle w:val="ySubsection"/>
      </w:pPr>
      <w:r>
        <w:tab/>
        <w:t>(1)</w:t>
      </w:r>
      <w:r>
        <w:tab/>
        <w:t>Immediately before the merger time a person then holding office as a director of a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a merging authority is to be taken to be a former director of the SPA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SPA for the purposes of the </w:t>
      </w:r>
      <w:r>
        <w:rPr>
          <w:i/>
        </w:rPr>
        <w:t>Statutory Corporations (Liability of Directors) Act 1996</w:t>
      </w:r>
      <w:r>
        <w:t>.</w:t>
      </w:r>
    </w:p>
    <w:p>
      <w:pPr>
        <w:pStyle w:val="ySubsection"/>
      </w:pPr>
      <w:r>
        <w:tab/>
        <w:t>(3)</w:t>
      </w:r>
      <w:r>
        <w:tab/>
        <w:t>The board of directors of the SPA may be established by the appointment of directors before the merger time.</w:t>
      </w:r>
    </w:p>
    <w:p>
      <w:pPr>
        <w:pStyle w:val="ySubsection"/>
      </w:pPr>
      <w:r>
        <w:tab/>
        <w:t>(4)</w:t>
      </w:r>
      <w:r>
        <w:tab/>
        <w:t xml:space="preserve">For the purposes of Schedule 2 clause 1 the term of office of a director appointed under subclause (3) does not begin until the merger time. </w:t>
      </w:r>
    </w:p>
    <w:p>
      <w:pPr>
        <w:pStyle w:val="ySubsection"/>
      </w:pPr>
      <w:r>
        <w:tab/>
        <w:t>(5)</w:t>
      </w:r>
      <w:r>
        <w:tab/>
        <w:t>Nothing in this Schedule prevents a person who is a director of an existing port authority from being appointed under subclause (3).</w:t>
      </w:r>
    </w:p>
    <w:p>
      <w:pPr>
        <w:pStyle w:val="yFootnotesection"/>
      </w:pPr>
      <w:r>
        <w:tab/>
        <w:t>[Clause 4 inserted: No. 9 of 2014 s. 35.]</w:t>
      </w:r>
    </w:p>
    <w:p>
      <w:pPr>
        <w:pStyle w:val="yHeading5"/>
      </w:pPr>
      <w:bookmarkStart w:id="952" w:name="_Toc398890227"/>
      <w:bookmarkStart w:id="953" w:name="_Toc1492227"/>
      <w:r>
        <w:rPr>
          <w:rStyle w:val="CharSClsNo"/>
        </w:rPr>
        <w:t>5</w:t>
      </w:r>
      <w:r>
        <w:t>.</w:t>
      </w:r>
      <w:r>
        <w:tab/>
        <w:t>Powers of new board in anticipation of merger</w:t>
      </w:r>
      <w:bookmarkEnd w:id="952"/>
      <w:bookmarkEnd w:id="953"/>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pPr>
      <w:r>
        <w:tab/>
        <w:t>(3)</w:t>
      </w:r>
      <w:r>
        <w:tab/>
        <w:t>For the purposes of subclause (1) the new board may incur costs for which the continuing authority is liable.</w:t>
      </w:r>
    </w:p>
    <w:p>
      <w:pPr>
        <w:pStyle w:val="yFootnotesection"/>
      </w:pPr>
      <w:r>
        <w:tab/>
        <w:t>[Clause 5 inserted: No. 9 of 2014 s. 35.]</w:t>
      </w:r>
    </w:p>
    <w:p>
      <w:pPr>
        <w:pStyle w:val="yHeading5"/>
      </w:pPr>
      <w:bookmarkStart w:id="954" w:name="_Toc398890228"/>
      <w:bookmarkStart w:id="955" w:name="_Toc1492228"/>
      <w:r>
        <w:rPr>
          <w:rStyle w:val="CharSClsNo"/>
        </w:rPr>
        <w:t>6</w:t>
      </w:r>
      <w:r>
        <w:t>.</w:t>
      </w:r>
      <w:r>
        <w:tab/>
        <w:t>CEOs and members of staff</w:t>
      </w:r>
      <w:bookmarkEnd w:id="954"/>
      <w:bookmarkEnd w:id="955"/>
      <w:r>
        <w:t xml:space="preserve"> </w:t>
      </w:r>
    </w:p>
    <w:p>
      <w:pPr>
        <w:pStyle w:val="ySubsection"/>
      </w:pPr>
      <w:r>
        <w:tab/>
        <w:t>(1)</w:t>
      </w:r>
      <w:r>
        <w:tab/>
        <w:t>Immediately before the merger time a person then holding office as the CEO of the continuing authority or a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a merging authority,</w:t>
      </w:r>
    </w:p>
    <w:p>
      <w:pPr>
        <w:pStyle w:val="ySubsection"/>
      </w:pPr>
      <w:r>
        <w:tab/>
      </w:r>
      <w:r>
        <w:tab/>
        <w:t>immediately before the merger time becomes a member of staff of the SPA.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a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5 include the power to appoint a person as the CEO of the SPA before the merger time.</w:t>
      </w:r>
    </w:p>
    <w:p>
      <w:pPr>
        <w:pStyle w:val="ySubsection"/>
      </w:pPr>
      <w:r>
        <w:tab/>
        <w:t>(6)</w:t>
      </w:r>
      <w:r>
        <w:tab/>
        <w:t>Until the merger time a person appointed under subclause (5) may, as CEO of the SPA, perform any function of a CEO of a port authority for the purpose of providing for, implementing or facilitating the merger.</w:t>
      </w:r>
    </w:p>
    <w:p>
      <w:pPr>
        <w:pStyle w:val="yFootnotesection"/>
      </w:pPr>
      <w:r>
        <w:tab/>
        <w:t>[Clause 6 inserted: No. 9 of 2014 s. 35.]</w:t>
      </w:r>
    </w:p>
    <w:p>
      <w:pPr>
        <w:pStyle w:val="yHeading5"/>
      </w:pPr>
      <w:bookmarkStart w:id="956" w:name="_Toc398890229"/>
      <w:bookmarkStart w:id="957" w:name="_Toc1492229"/>
      <w:r>
        <w:rPr>
          <w:rStyle w:val="CharSClsNo"/>
        </w:rPr>
        <w:t>7</w:t>
      </w:r>
      <w:r>
        <w:t>.</w:t>
      </w:r>
      <w:r>
        <w:tab/>
        <w:t>Preservation of rights</w:t>
      </w:r>
      <w:bookmarkEnd w:id="956"/>
      <w:bookmarkEnd w:id="957"/>
    </w:p>
    <w:p>
      <w:pPr>
        <w:pStyle w:val="ySubsection"/>
      </w:pPr>
      <w:r>
        <w:tab/>
        <w:t>(1)</w:t>
      </w:r>
      <w:r>
        <w:tab/>
        <w:t>Except as otherwise agreed by the relevant CEO or member of staff, the operation of clause 6(1)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a merging authority is to be taken to have been with the SPA.</w:t>
      </w:r>
    </w:p>
    <w:p>
      <w:pPr>
        <w:pStyle w:val="ySubsection"/>
        <w:keepNext/>
      </w:pPr>
      <w:r>
        <w:tab/>
        <w:t>(3)</w:t>
      </w:r>
      <w:r>
        <w:tab/>
        <w:t>If a person who is the CEO or a member of staff of the continuing authority or a merging authority is appointed under clause 6(5),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a merging authority, his or her service with the merging authority is to be taken, for the purposes of paragraph (c), to have been with the SPA.</w:t>
      </w:r>
    </w:p>
    <w:p>
      <w:pPr>
        <w:pStyle w:val="ySubsection"/>
      </w:pPr>
      <w:r>
        <w:tab/>
        <w:t>(4)</w:t>
      </w:r>
      <w:r>
        <w:tab/>
        <w:t>Nothing in clause 6 or this clause prevents the exercise by the SPA of its powers in relation to the management of members of staff.</w:t>
      </w:r>
    </w:p>
    <w:p>
      <w:pPr>
        <w:pStyle w:val="yFootnotesection"/>
      </w:pPr>
      <w:r>
        <w:tab/>
        <w:t>[Clause 7 inserted: No. 9 of 2014 s. 35.]</w:t>
      </w:r>
    </w:p>
    <w:p>
      <w:pPr>
        <w:pStyle w:val="yHeading5"/>
      </w:pPr>
      <w:bookmarkStart w:id="958" w:name="_Toc398890230"/>
      <w:bookmarkStart w:id="959" w:name="_Toc1492230"/>
      <w:r>
        <w:rPr>
          <w:rStyle w:val="CharSClsNo"/>
        </w:rPr>
        <w:t>8</w:t>
      </w:r>
      <w:r>
        <w:t>.</w:t>
      </w:r>
      <w:r>
        <w:tab/>
        <w:t>Devolution of assets, liabilities, proceedings, remedies and immunities</w:t>
      </w:r>
      <w:bookmarkEnd w:id="958"/>
      <w:bookmarkEnd w:id="959"/>
    </w:p>
    <w:p>
      <w:pPr>
        <w:pStyle w:val="ySubsection"/>
      </w:pPr>
      <w:r>
        <w:tab/>
        <w:t>(1)</w:t>
      </w:r>
      <w:r>
        <w:tab/>
        <w:t xml:space="preserve">At the merger time — </w:t>
      </w:r>
    </w:p>
    <w:p>
      <w:pPr>
        <w:pStyle w:val="yIndenta"/>
      </w:pPr>
      <w:r>
        <w:tab/>
        <w:t>(a)</w:t>
      </w:r>
      <w:r>
        <w:tab/>
        <w:t>the assets and rights of a merging authority that were immediately before that time vested in or the property of the merging authority vest in or become the property of the SPA by force of this clause; and</w:t>
      </w:r>
    </w:p>
    <w:p>
      <w:pPr>
        <w:pStyle w:val="yIndenta"/>
      </w:pPr>
      <w:r>
        <w:tab/>
        <w:t>(b)</w:t>
      </w:r>
      <w:r>
        <w:tab/>
        <w:t>the liabilities of a merging authority immediately before that time become, by force of this clause, the liabilities of the SPA.</w:t>
      </w:r>
    </w:p>
    <w:p>
      <w:pPr>
        <w:pStyle w:val="ySubsection"/>
      </w:pPr>
      <w:r>
        <w:tab/>
        <w:t>(2)</w:t>
      </w:r>
      <w:r>
        <w:tab/>
        <w:t xml:space="preserve">For the purposes of section 26, </w:t>
      </w:r>
      <w:r>
        <w:rPr>
          <w:snapToGrid w:val="0"/>
        </w:rPr>
        <w:t xml:space="preserve">property referred to in section 25(2)(a) that becomes the property of the SPA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SPA for the purposes of section 84, assets </w:t>
      </w:r>
      <w:r>
        <w:rPr>
          <w:snapToGrid w:val="0"/>
        </w:rPr>
        <w:t xml:space="preserve">that become the property of the SPA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a merging authority may be brought or continued by, and are or is available against or to, the SPA.</w:t>
      </w:r>
    </w:p>
    <w:p>
      <w:pPr>
        <w:pStyle w:val="ySubsection"/>
      </w:pPr>
      <w:r>
        <w:tab/>
        <w:t>(5)</w:t>
      </w:r>
      <w:r>
        <w:tab/>
        <w:t>Where a merging authority had the benefit of any immunity in respect of an act, matter or thing done or omitted before the merger time, that immunity continues in that respect for the benefit of the SPA.</w:t>
      </w:r>
    </w:p>
    <w:p>
      <w:pPr>
        <w:pStyle w:val="ySubsection"/>
      </w:pPr>
      <w:r>
        <w:tab/>
        <w:t>(6)</w:t>
      </w:r>
      <w:r>
        <w:tab/>
        <w:t>As soon as is practicable after the merger time, all papers, documents, minutes, books of account and other records (however compiled, recorded or stored) relating to the operations of a merging authority are to be delivered to the SPA.</w:t>
      </w:r>
    </w:p>
    <w:p>
      <w:pPr>
        <w:pStyle w:val="yFootnotesection"/>
      </w:pPr>
      <w:r>
        <w:tab/>
        <w:t>[Clause 8 inserted: No. 9 of 2014 s. 35.]</w:t>
      </w:r>
    </w:p>
    <w:p>
      <w:pPr>
        <w:pStyle w:val="yHeading5"/>
      </w:pPr>
      <w:bookmarkStart w:id="960" w:name="_Toc398890231"/>
      <w:bookmarkStart w:id="961" w:name="_Toc1492231"/>
      <w:r>
        <w:rPr>
          <w:rStyle w:val="CharSClsNo"/>
        </w:rPr>
        <w:t>9</w:t>
      </w:r>
      <w:r>
        <w:t>.</w:t>
      </w:r>
      <w:r>
        <w:tab/>
        <w:t>Completion of things commenced</w:t>
      </w:r>
      <w:bookmarkEnd w:id="960"/>
      <w:bookmarkEnd w:id="961"/>
    </w:p>
    <w:p>
      <w:pPr>
        <w:pStyle w:val="ySubsection"/>
      </w:pPr>
      <w:r>
        <w:tab/>
      </w:r>
      <w:r>
        <w:tab/>
        <w:t>Anything commenced to be done by a merging authority before the merger time may be continued by the SPA.</w:t>
      </w:r>
    </w:p>
    <w:p>
      <w:pPr>
        <w:pStyle w:val="yFootnotesection"/>
      </w:pPr>
      <w:r>
        <w:tab/>
        <w:t>[Clause 9 inserted: No. 9 of 2014 s. 35.]</w:t>
      </w:r>
    </w:p>
    <w:p>
      <w:pPr>
        <w:pStyle w:val="yHeading5"/>
      </w:pPr>
      <w:bookmarkStart w:id="962" w:name="_Toc398890232"/>
      <w:bookmarkStart w:id="963" w:name="_Toc1492232"/>
      <w:r>
        <w:rPr>
          <w:rStyle w:val="CharSClsNo"/>
        </w:rPr>
        <w:t>10</w:t>
      </w:r>
      <w:r>
        <w:t>.</w:t>
      </w:r>
      <w:r>
        <w:tab/>
        <w:t>Continuing effect of things done</w:t>
      </w:r>
      <w:bookmarkEnd w:id="962"/>
      <w:bookmarkEnd w:id="963"/>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a merging authority.</w:t>
      </w:r>
    </w:p>
    <w:p>
      <w:pPr>
        <w:pStyle w:val="ySubsection"/>
      </w:pPr>
      <w:r>
        <w:tab/>
        <w:t>(2)</w:t>
      </w:r>
      <w:r>
        <w:tab/>
        <w:t>To the extent that a relevant act has force or significance at the merger time it is to be taken, from the merger time, to have been done or omitted by, to or in respect of the SPA so far as the act, matter or thing is relevant to the SPA.</w:t>
      </w:r>
    </w:p>
    <w:p>
      <w:pPr>
        <w:pStyle w:val="ySubsection"/>
      </w:pPr>
      <w:r>
        <w:tab/>
        <w:t>(3)</w:t>
      </w:r>
      <w:r>
        <w:tab/>
        <w:t>This clause does not affect the operation of any other provision of this Schedule.</w:t>
      </w:r>
    </w:p>
    <w:p>
      <w:pPr>
        <w:pStyle w:val="yFootnotesection"/>
      </w:pPr>
      <w:r>
        <w:tab/>
        <w:t>[Clause 10 inserted: No. 9 of 2014 s. 35.]</w:t>
      </w:r>
    </w:p>
    <w:p>
      <w:pPr>
        <w:pStyle w:val="yHeading5"/>
      </w:pPr>
      <w:bookmarkStart w:id="964" w:name="_Toc398890233"/>
      <w:bookmarkStart w:id="965" w:name="_Toc1492233"/>
      <w:r>
        <w:rPr>
          <w:rStyle w:val="CharSClsNo"/>
        </w:rPr>
        <w:t>11</w:t>
      </w:r>
      <w:r>
        <w:t>.</w:t>
      </w:r>
      <w:r>
        <w:tab/>
        <w:t>Agreements, instruments and documents</w:t>
      </w:r>
      <w:bookmarkEnd w:id="964"/>
      <w:bookmarkEnd w:id="965"/>
    </w:p>
    <w:p>
      <w:pPr>
        <w:pStyle w:val="ySubsection"/>
      </w:pPr>
      <w:r>
        <w:tab/>
        <w:t>(1)</w:t>
      </w:r>
      <w:r>
        <w:tab/>
        <w:t xml:space="preserve">In this clause — </w:t>
      </w:r>
    </w:p>
    <w:p>
      <w:pPr>
        <w:pStyle w:val="yDefstart"/>
      </w:pPr>
      <w:r>
        <w:tab/>
      </w:r>
      <w:r>
        <w:rPr>
          <w:rStyle w:val="CharDefText"/>
        </w:rPr>
        <w:t>former name</w:t>
      </w:r>
      <w:r>
        <w:t xml:space="preserve"> means “Bunbury Port Authority”;</w:t>
      </w:r>
    </w:p>
    <w:p>
      <w:pPr>
        <w:pStyle w:val="yDefstart"/>
      </w:pPr>
      <w:r>
        <w:tab/>
      </w:r>
      <w:r>
        <w:rPr>
          <w:rStyle w:val="CharDefText"/>
        </w:rPr>
        <w:t>new name</w:t>
      </w:r>
      <w:r>
        <w:t xml:space="preserve"> means “Southern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SPA by its former name has effect from the merger time as if that reference were amended to be a reference to the SPA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SPA is a party to the agreement or instrument under its new name; and</w:t>
      </w:r>
    </w:p>
    <w:p>
      <w:pPr>
        <w:pStyle w:val="yIndenta"/>
      </w:pPr>
      <w:r>
        <w:tab/>
        <w:t>(b)</w:t>
      </w:r>
      <w:r>
        <w:tab/>
        <w:t>the agreement or instrument has effect as if a reference in it to the SPA by its former name were amended to be a reference to the SPA by its new name.</w:t>
      </w:r>
    </w:p>
    <w:p>
      <w:pPr>
        <w:pStyle w:val="ySubsection"/>
      </w:pPr>
      <w:r>
        <w:tab/>
        <w:t>(5)</w:t>
      </w:r>
      <w:r>
        <w:tab/>
        <w:t>A subsisting agreement, instrument or document that contains a reference to a merging authority has effect from the merger time as if that reference were amended to be or include a reference to the SPA.</w:t>
      </w:r>
    </w:p>
    <w:p>
      <w:pPr>
        <w:pStyle w:val="ySubsection"/>
      </w:pPr>
      <w:r>
        <w:tab/>
        <w:t>(6)</w:t>
      </w:r>
      <w:r>
        <w:tab/>
        <w:t>Subclause (5) does not apply to an agreement or instrument to which a merging authority was a party.</w:t>
      </w:r>
    </w:p>
    <w:p>
      <w:pPr>
        <w:pStyle w:val="ySubsection"/>
      </w:pPr>
      <w:r>
        <w:tab/>
        <w:t>(7)</w:t>
      </w:r>
      <w:r>
        <w:tab/>
        <w:t xml:space="preserve">A subsisting agreement or instrument to which a merging authority was a party has effect from the merger time as if — </w:t>
      </w:r>
    </w:p>
    <w:p>
      <w:pPr>
        <w:pStyle w:val="yIndenta"/>
      </w:pPr>
      <w:r>
        <w:tab/>
        <w:t>(a)</w:t>
      </w:r>
      <w:r>
        <w:tab/>
        <w:t>the SPA were substituted for the merging authority as a party to the agreement or instrument; and</w:t>
      </w:r>
    </w:p>
    <w:p>
      <w:pPr>
        <w:pStyle w:val="yIndenta"/>
      </w:pPr>
      <w:r>
        <w:tab/>
        <w:t>(b)</w:t>
      </w:r>
      <w:r>
        <w:tab/>
        <w:t>a reference to the merging authority in the agreement or instrument were amended to be a reference to the SPA.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11 inserted: No. 9 of 2014 s. 35.]</w:t>
      </w:r>
    </w:p>
    <w:p>
      <w:pPr>
        <w:pStyle w:val="yHeading5"/>
      </w:pPr>
      <w:bookmarkStart w:id="966" w:name="_Toc398890234"/>
      <w:bookmarkStart w:id="967" w:name="_Toc1492234"/>
      <w:r>
        <w:rPr>
          <w:rStyle w:val="CharSClsNo"/>
        </w:rPr>
        <w:t>12</w:t>
      </w:r>
      <w:r>
        <w:t>.</w:t>
      </w:r>
      <w:r>
        <w:tab/>
        <w:t>Port authorities to implement or facilitate merger and share costs</w:t>
      </w:r>
      <w:bookmarkEnd w:id="966"/>
      <w:bookmarkEnd w:id="967"/>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keepNext/>
      </w:pPr>
      <w:r>
        <w:tab/>
        <w:t>(2)</w:t>
      </w:r>
      <w:r>
        <w:tab/>
        <w:t xml:space="preserve">Subclause (1) applies — </w:t>
      </w:r>
    </w:p>
    <w:p>
      <w:pPr>
        <w:pStyle w:val="yIndenta"/>
      </w:pPr>
      <w:r>
        <w:tab/>
        <w:t>(a)</w:t>
      </w:r>
      <w:r>
        <w:tab/>
        <w:t>before the merger time — to the merging authorities and the continuing authority; and</w:t>
      </w:r>
    </w:p>
    <w:p>
      <w:pPr>
        <w:pStyle w:val="yIndenta"/>
      </w:pPr>
      <w:r>
        <w:tab/>
        <w:t>(b)</w:t>
      </w:r>
      <w:r>
        <w:tab/>
        <w:t>after the merger time — to the SPA.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4(3);</w:t>
      </w:r>
    </w:p>
    <w:p>
      <w:pPr>
        <w:pStyle w:val="yIndenta"/>
      </w:pPr>
      <w:r>
        <w:tab/>
        <w:t>(b)</w:t>
      </w:r>
      <w:r>
        <w:tab/>
        <w:t>any remuneration payable to a person appointed under clause 6(5);</w:t>
      </w:r>
    </w:p>
    <w:p>
      <w:pPr>
        <w:pStyle w:val="yIndenta"/>
      </w:pPr>
      <w:r>
        <w:tab/>
        <w:t>(c)</w:t>
      </w:r>
      <w:r>
        <w:tab/>
        <w:t>the costs of the appointment process under clause 6(5);</w:t>
      </w:r>
    </w:p>
    <w:p>
      <w:pPr>
        <w:pStyle w:val="yIndenta"/>
      </w:pPr>
      <w:r>
        <w:tab/>
        <w:t>(d)</w:t>
      </w:r>
      <w:r>
        <w:tab/>
        <w:t>any other costs incurred by the new board under clause 5.</w:t>
      </w:r>
    </w:p>
    <w:p>
      <w:pPr>
        <w:pStyle w:val="ySubsection"/>
      </w:pPr>
      <w:r>
        <w:tab/>
        <w:t>(5)</w:t>
      </w:r>
      <w:r>
        <w:tab/>
        <w:t>Each of the merging authorities is to make a contribution to the continuing authority of one</w:t>
      </w:r>
      <w:r>
        <w:noBreakHyphen/>
        <w:t xml:space="preserve">third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authorities are to have regard and give effect to the determination.</w:t>
      </w:r>
    </w:p>
    <w:p>
      <w:pPr>
        <w:pStyle w:val="yFootnotesection"/>
      </w:pPr>
      <w:r>
        <w:tab/>
        <w:t>[Clause 12 inserted: No. 9 of 2014 s. 35.]</w:t>
      </w:r>
    </w:p>
    <w:p>
      <w:pPr>
        <w:pStyle w:val="yHeading5"/>
      </w:pPr>
      <w:bookmarkStart w:id="968" w:name="_Toc398890235"/>
      <w:bookmarkStart w:id="969" w:name="_Toc1492235"/>
      <w:r>
        <w:rPr>
          <w:rStyle w:val="CharSClsNo"/>
        </w:rPr>
        <w:t>13</w:t>
      </w:r>
      <w:r>
        <w:t>.</w:t>
      </w:r>
      <w:r>
        <w:tab/>
        <w:t>Financial reporting</w:t>
      </w:r>
      <w:bookmarkEnd w:id="968"/>
      <w:bookmarkEnd w:id="969"/>
    </w:p>
    <w:p>
      <w:pPr>
        <w:pStyle w:val="ySubsection"/>
        <w:keepNext/>
      </w:pPr>
      <w:r>
        <w:tab/>
        <w:t>(1)</w:t>
      </w:r>
      <w:r>
        <w:tab/>
        <w:t xml:space="preserve">In this clause — </w:t>
      </w:r>
    </w:p>
    <w:p>
      <w:pPr>
        <w:pStyle w:val="yDefstart"/>
      </w:pPr>
      <w:r>
        <w:rPr>
          <w:i/>
          <w:iCs/>
        </w:rPr>
        <w:tab/>
      </w:r>
      <w:r>
        <w:rPr>
          <w:rStyle w:val="CharDefText"/>
          <w:iCs/>
        </w:rPr>
        <w:t>former directors</w:t>
      </w:r>
      <w:r>
        <w:t xml:space="preserve"> of a merging authority means the persons holding office as directors of the merging authority immediately before the merger time;</w:t>
      </w:r>
    </w:p>
    <w:p>
      <w:pPr>
        <w:pStyle w:val="yDefstart"/>
      </w:pPr>
      <w:r>
        <w:rPr>
          <w:i/>
          <w:iCs/>
        </w:rPr>
        <w:tab/>
      </w:r>
      <w:r>
        <w:rPr>
          <w:rStyle w:val="CharDefText"/>
          <w:iCs/>
        </w:rPr>
        <w:t>reporting board</w:t>
      </w:r>
      <w:r>
        <w:rPr>
          <w:rStyle w:val="CharDefText"/>
          <w:b w:val="0"/>
          <w:i w:val="0"/>
          <w:iCs/>
        </w:rPr>
        <w:t>,</w:t>
      </w:r>
      <w:r>
        <w:t xml:space="preserve"> in relation to a merging authority,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a </w:t>
      </w:r>
      <w:r>
        <w:t>merging</w:t>
      </w:r>
      <w:r>
        <w:rPr>
          <w:bCs/>
        </w:rPr>
        <w:t xml:space="preserve"> authority.</w:t>
      </w:r>
    </w:p>
    <w:p>
      <w:pPr>
        <w:pStyle w:val="ySubsection"/>
      </w:pPr>
      <w:r>
        <w:tab/>
        <w:t>(3)</w:t>
      </w:r>
      <w:r>
        <w:tab/>
        <w:t>The constitution of a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a merging authority, the reporting board for the merging authority is to comply with the reporting provisions in respect of the merging authority for that financial year.</w:t>
      </w:r>
    </w:p>
    <w:p>
      <w:pPr>
        <w:pStyle w:val="ySubsection"/>
      </w:pPr>
      <w:r>
        <w:tab/>
        <w:t>(5)</w:t>
      </w:r>
      <w:r>
        <w:tab/>
        <w:t xml:space="preserve">If the merger time is after the end of a financial year of a merging authority (the </w:t>
      </w:r>
      <w:r>
        <w:rPr>
          <w:rStyle w:val="CharDefText"/>
        </w:rPr>
        <w:t>last financial year</w:t>
      </w:r>
      <w:r>
        <w:t xml:space="preserve">), the reporting board for the merging authority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A reporting board must comply with any written directions given to it by the Minister as to the performance of its duties under this clause.</w:t>
      </w:r>
    </w:p>
    <w:p>
      <w:pPr>
        <w:pStyle w:val="ySubsection"/>
      </w:pPr>
      <w:r>
        <w:tab/>
        <w:t>(7)</w:t>
      </w:r>
      <w:r>
        <w:tab/>
        <w:t xml:space="preserve">In order to enable a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a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a reporting board and its members.</w:t>
      </w:r>
    </w:p>
    <w:p>
      <w:pPr>
        <w:pStyle w:val="ySubsection"/>
      </w:pPr>
      <w:r>
        <w:tab/>
        <w:t>(11)</w:t>
      </w:r>
      <w:r>
        <w:tab/>
        <w:t>The former directors of a merging authority are to hold office as members of the reporting board of the merging authority for as long as the reporting board remains constituted under subclause (2).</w:t>
      </w:r>
    </w:p>
    <w:p>
      <w:pPr>
        <w:pStyle w:val="ySubsection"/>
      </w:pPr>
      <w:r>
        <w:tab/>
        <w:t>(12)</w:t>
      </w:r>
      <w:r>
        <w:tab/>
        <w:t>If the office of a member of a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a reporting board are to be paid from the funds of the SPA.</w:t>
      </w:r>
    </w:p>
    <w:p>
      <w:pPr>
        <w:pStyle w:val="ySubsection"/>
      </w:pPr>
      <w:r>
        <w:tab/>
        <w:t>(14)</w:t>
      </w:r>
      <w:r>
        <w:tab/>
        <w:t xml:space="preserve">A member of a reporting board is to be taken to be a director of the SPA for the purposes of the </w:t>
      </w:r>
      <w:r>
        <w:rPr>
          <w:i/>
        </w:rPr>
        <w:t>Statutory Corporations (Liability of Directors) Act 1996</w:t>
      </w:r>
      <w:r>
        <w:t>.</w:t>
      </w:r>
    </w:p>
    <w:p>
      <w:pPr>
        <w:pStyle w:val="yFootnotesection"/>
      </w:pPr>
      <w:r>
        <w:tab/>
        <w:t>[Clause 13 inserted: No. 9 of 2014 s. 35.]</w:t>
      </w:r>
    </w:p>
    <w:p>
      <w:pPr>
        <w:pStyle w:val="yHeading5"/>
      </w:pPr>
      <w:bookmarkStart w:id="970" w:name="_Toc398890236"/>
      <w:bookmarkStart w:id="971" w:name="_Toc1492236"/>
      <w:r>
        <w:rPr>
          <w:rStyle w:val="CharSClsNo"/>
        </w:rPr>
        <w:t>14</w:t>
      </w:r>
      <w:r>
        <w:t>.</w:t>
      </w:r>
      <w:r>
        <w:tab/>
        <w:t>Dividends</w:t>
      </w:r>
      <w:bookmarkEnd w:id="970"/>
      <w:bookmarkEnd w:id="971"/>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a merging authority or its board, the SPA or its board is to perform the function after the merger time as if the SPA were the merging authority.</w:t>
      </w:r>
    </w:p>
    <w:p>
      <w:pPr>
        <w:pStyle w:val="ySubsection"/>
      </w:pPr>
      <w:r>
        <w:tab/>
        <w:t>(3)</w:t>
      </w:r>
      <w:r>
        <w:tab/>
        <w:t>If the merger time coincides with the end of a financial year of a merging authority, the SPA or its board is to perform the dividend functions in relation to that financial year as if the SPA were the merging authority.</w:t>
      </w:r>
    </w:p>
    <w:p>
      <w:pPr>
        <w:pStyle w:val="ySubsection"/>
      </w:pPr>
      <w:r>
        <w:tab/>
        <w:t>(4)</w:t>
      </w:r>
      <w:r>
        <w:tab/>
        <w:t>Any amount that has to be paid to the Treasurer in accordance with subclause (2) or (3) is to be paid from the funds of the SPA.</w:t>
      </w:r>
    </w:p>
    <w:p>
      <w:pPr>
        <w:pStyle w:val="yFootnotesection"/>
      </w:pPr>
      <w:r>
        <w:tab/>
        <w:t>[Clause 14 inserted: No. 9 of 2014 s. 35.]</w:t>
      </w:r>
    </w:p>
    <w:p>
      <w:pPr>
        <w:pStyle w:val="yHeading5"/>
      </w:pPr>
      <w:bookmarkStart w:id="972" w:name="_Toc398890237"/>
      <w:bookmarkStart w:id="973" w:name="_Toc1492237"/>
      <w:r>
        <w:rPr>
          <w:rStyle w:val="CharSClsNo"/>
        </w:rPr>
        <w:t>15</w:t>
      </w:r>
      <w:r>
        <w:t>.</w:t>
      </w:r>
      <w:r>
        <w:tab/>
        <w:t>Transitional regulations</w:t>
      </w:r>
      <w:bookmarkEnd w:id="972"/>
      <w:bookmarkEnd w:id="973"/>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15 inserted: No. 9 of 2014 s. 35.]</w:t>
      </w:r>
    </w:p>
    <w:p>
      <w:pPr>
        <w:pStyle w:val="yHeading4"/>
      </w:pPr>
      <w:bookmarkStart w:id="974" w:name="_Toc398890238"/>
      <w:bookmarkStart w:id="975" w:name="_Toc424284673"/>
      <w:bookmarkStart w:id="976" w:name="_Toc468975565"/>
      <w:bookmarkStart w:id="977" w:name="_Toc468975929"/>
      <w:bookmarkStart w:id="978" w:name="_Toc468978263"/>
      <w:bookmarkStart w:id="979" w:name="_Toc1491874"/>
      <w:bookmarkStart w:id="980" w:name="_Toc1492238"/>
      <w:r>
        <w:t>Subdivision 3</w:t>
      </w:r>
      <w:r>
        <w:rPr>
          <w:b w:val="0"/>
        </w:rPr>
        <w:t> — </w:t>
      </w:r>
      <w:r>
        <w:t>Provisions for the Mid West Ports Authority</w:t>
      </w:r>
      <w:bookmarkEnd w:id="974"/>
      <w:bookmarkEnd w:id="975"/>
      <w:bookmarkEnd w:id="976"/>
      <w:bookmarkEnd w:id="977"/>
      <w:bookmarkEnd w:id="978"/>
      <w:bookmarkEnd w:id="979"/>
      <w:bookmarkEnd w:id="980"/>
    </w:p>
    <w:p>
      <w:pPr>
        <w:pStyle w:val="yFootnoteheading"/>
        <w:spacing w:after="120"/>
      </w:pPr>
      <w:r>
        <w:tab/>
        <w:t>[Heading inserted: No. 9 of 2014 s. 35.]</w:t>
      </w:r>
    </w:p>
    <w:p>
      <w:pPr>
        <w:pStyle w:val="yHeading5"/>
      </w:pPr>
      <w:bookmarkStart w:id="981" w:name="_Toc398890239"/>
      <w:bookmarkStart w:id="982" w:name="_Toc1492239"/>
      <w:r>
        <w:rPr>
          <w:rStyle w:val="CharSClsNo"/>
        </w:rPr>
        <w:t>16</w:t>
      </w:r>
      <w:r>
        <w:t>.</w:t>
      </w:r>
      <w:r>
        <w:tab/>
        <w:t>Terms used</w:t>
      </w:r>
      <w:bookmarkEnd w:id="981"/>
      <w:bookmarkEnd w:id="982"/>
    </w:p>
    <w:p>
      <w:pPr>
        <w:pStyle w:val="ySubsection"/>
      </w:pPr>
      <w:r>
        <w:tab/>
      </w:r>
      <w:r>
        <w:tab/>
        <w:t xml:space="preserve">In this Subdivision, unless the contrary intention appears — </w:t>
      </w:r>
    </w:p>
    <w:p>
      <w:pPr>
        <w:pStyle w:val="yDefstart"/>
      </w:pPr>
      <w:r>
        <w:tab/>
      </w:r>
      <w:r>
        <w:rPr>
          <w:rStyle w:val="CharDefText"/>
        </w:rPr>
        <w:t>MWPA</w:t>
      </w:r>
      <w:r>
        <w:t xml:space="preserve"> means the port authority as renamed as the </w:t>
      </w:r>
      <w:r>
        <w:rPr>
          <w:szCs w:val="22"/>
        </w:rPr>
        <w:t xml:space="preserve">Mid West </w:t>
      </w:r>
      <w:r>
        <w:t>Ports Authority by operation of section 31(2) of the amending Act;</w:t>
      </w:r>
    </w:p>
    <w:p>
      <w:pPr>
        <w:pStyle w:val="yDefstart"/>
      </w:pPr>
      <w:r>
        <w:tab/>
      </w:r>
      <w:r>
        <w:rPr>
          <w:rStyle w:val="CharDefText"/>
        </w:rPr>
        <w:t>new board</w:t>
      </w:r>
      <w:r>
        <w:t xml:space="preserve"> means the board of directors established under clause 17(3);</w:t>
      </w:r>
    </w:p>
    <w:p>
      <w:pPr>
        <w:pStyle w:val="yDefstart"/>
      </w:pPr>
      <w:r>
        <w:tab/>
      </w:r>
      <w:r>
        <w:rPr>
          <w:rStyle w:val="CharDefText"/>
        </w:rPr>
        <w:t>port authority</w:t>
      </w:r>
      <w:r>
        <w:t xml:space="preserve"> means the Geraldton Port Authority;</w:t>
      </w:r>
    </w:p>
    <w:p>
      <w:pPr>
        <w:pStyle w:val="yDefstart"/>
      </w:pPr>
      <w:r>
        <w:tab/>
      </w:r>
      <w:r>
        <w:rPr>
          <w:rStyle w:val="CharDefText"/>
        </w:rPr>
        <w:t>renaming</w:t>
      </w:r>
      <w:r>
        <w:t xml:space="preserve"> means the action effected by the coming into operation of section 31(2) of the amending Act;</w:t>
      </w:r>
    </w:p>
    <w:p>
      <w:pPr>
        <w:pStyle w:val="yDefstart"/>
      </w:pPr>
      <w:r>
        <w:tab/>
      </w:r>
      <w:r>
        <w:rPr>
          <w:rStyle w:val="CharDefText"/>
        </w:rPr>
        <w:t>renaming time</w:t>
      </w:r>
      <w:r>
        <w:t xml:space="preserve"> means the time at which section 31(2) of the amending Act comes into operation;</w:t>
      </w:r>
    </w:p>
    <w:p>
      <w:pPr>
        <w:pStyle w:val="yDefstart"/>
      </w:pPr>
      <w:r>
        <w:tab/>
      </w:r>
      <w:r>
        <w:rPr>
          <w:rStyle w:val="CharDefText"/>
        </w:rPr>
        <w:t>transitional regulations</w:t>
      </w:r>
      <w:r>
        <w:t xml:space="preserve"> has the meaning given in clause 22(1).</w:t>
      </w:r>
    </w:p>
    <w:p>
      <w:pPr>
        <w:pStyle w:val="yFootnotesection"/>
      </w:pPr>
      <w:r>
        <w:tab/>
        <w:t>[Clause 16 inserted: No. 9 of 2014 s. 35.]</w:t>
      </w:r>
    </w:p>
    <w:p>
      <w:pPr>
        <w:pStyle w:val="yHeading5"/>
      </w:pPr>
      <w:bookmarkStart w:id="983" w:name="_Toc398890240"/>
      <w:bookmarkStart w:id="984" w:name="_Toc1492240"/>
      <w:r>
        <w:rPr>
          <w:rStyle w:val="CharSClsNo"/>
        </w:rPr>
        <w:t>17</w:t>
      </w:r>
      <w:r>
        <w:t>.</w:t>
      </w:r>
      <w:r>
        <w:tab/>
        <w:t>Directors and former directors</w:t>
      </w:r>
      <w:bookmarkEnd w:id="983"/>
      <w:bookmarkEnd w:id="984"/>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MWPA for the purposes of the </w:t>
      </w:r>
      <w:r>
        <w:rPr>
          <w:i/>
        </w:rPr>
        <w:t>Statutory Corporations (Liability of Directors) Act 1996</w:t>
      </w:r>
      <w:r>
        <w:t>.</w:t>
      </w:r>
    </w:p>
    <w:p>
      <w:pPr>
        <w:pStyle w:val="ySubsection"/>
      </w:pPr>
      <w:r>
        <w:tab/>
        <w:t>(3)</w:t>
      </w:r>
      <w:r>
        <w:tab/>
        <w:t>The board of directors of the MWPA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17 inserted: No. 9 of 2014 s. 35.]</w:t>
      </w:r>
    </w:p>
    <w:p>
      <w:pPr>
        <w:pStyle w:val="yHeading5"/>
      </w:pPr>
      <w:bookmarkStart w:id="985" w:name="_Toc398890241"/>
      <w:bookmarkStart w:id="986" w:name="_Toc1492241"/>
      <w:r>
        <w:rPr>
          <w:rStyle w:val="CharSClsNo"/>
        </w:rPr>
        <w:t>18</w:t>
      </w:r>
      <w:r>
        <w:t>.</w:t>
      </w:r>
      <w:r>
        <w:tab/>
        <w:t>Powers of new board in anticipation of renaming</w:t>
      </w:r>
      <w:bookmarkEnd w:id="985"/>
      <w:bookmarkEnd w:id="986"/>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18 inserted: No. 9 of 2014 s. 35.]</w:t>
      </w:r>
    </w:p>
    <w:p>
      <w:pPr>
        <w:pStyle w:val="yHeading5"/>
      </w:pPr>
      <w:bookmarkStart w:id="987" w:name="_Toc398890242"/>
      <w:bookmarkStart w:id="988" w:name="_Toc1492242"/>
      <w:r>
        <w:rPr>
          <w:rStyle w:val="CharSClsNo"/>
        </w:rPr>
        <w:t>19</w:t>
      </w:r>
      <w:r>
        <w:t>.</w:t>
      </w:r>
      <w:r>
        <w:tab/>
        <w:t>CEO and staff</w:t>
      </w:r>
      <w:bookmarkEnd w:id="987"/>
      <w:bookmarkEnd w:id="988"/>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MWPA.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keepNext/>
      </w:pPr>
      <w:r>
        <w:tab/>
        <w:t>(5)</w:t>
      </w:r>
      <w:r>
        <w:tab/>
        <w:t>The powers of the new board under clause 18 include the power to appoint a person as the CEO of the MWPA before the renaming time.</w:t>
      </w:r>
    </w:p>
    <w:p>
      <w:pPr>
        <w:pStyle w:val="ySubsection"/>
      </w:pPr>
      <w:r>
        <w:tab/>
        <w:t>(6)</w:t>
      </w:r>
      <w:r>
        <w:tab/>
        <w:t>Until the renaming time a person appointed under subclause (5) may, as CEO of the MWPA,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19 inserted: No. 9 of 2014 s. 35.]</w:t>
      </w:r>
    </w:p>
    <w:p>
      <w:pPr>
        <w:pStyle w:val="yHeading5"/>
      </w:pPr>
      <w:bookmarkStart w:id="989" w:name="_Toc398890243"/>
      <w:bookmarkStart w:id="990" w:name="_Toc1492243"/>
      <w:r>
        <w:rPr>
          <w:rStyle w:val="CharSClsNo"/>
        </w:rPr>
        <w:t>20</w:t>
      </w:r>
      <w:r>
        <w:t>.</w:t>
      </w:r>
      <w:r>
        <w:tab/>
        <w:t>Agreements, instruments and documents</w:t>
      </w:r>
      <w:bookmarkEnd w:id="989"/>
      <w:bookmarkEnd w:id="990"/>
    </w:p>
    <w:p>
      <w:pPr>
        <w:pStyle w:val="ySubsection"/>
      </w:pPr>
      <w:r>
        <w:tab/>
        <w:t>(1)</w:t>
      </w:r>
      <w:r>
        <w:tab/>
        <w:t xml:space="preserve">In this clause — </w:t>
      </w:r>
    </w:p>
    <w:p>
      <w:pPr>
        <w:pStyle w:val="yDefstart"/>
      </w:pPr>
      <w:r>
        <w:tab/>
      </w:r>
      <w:r>
        <w:rPr>
          <w:rStyle w:val="CharDefText"/>
        </w:rPr>
        <w:t>former name</w:t>
      </w:r>
      <w:r>
        <w:t xml:space="preserve"> means “Geraldton Port Authority”;</w:t>
      </w:r>
    </w:p>
    <w:p>
      <w:pPr>
        <w:pStyle w:val="yDefstart"/>
      </w:pPr>
      <w:r>
        <w:tab/>
      </w:r>
      <w:r>
        <w:rPr>
          <w:rStyle w:val="CharDefText"/>
        </w:rPr>
        <w:t>new name</w:t>
      </w:r>
      <w:r>
        <w:t xml:space="preserve"> means “</w:t>
      </w:r>
      <w:r>
        <w:rPr>
          <w:szCs w:val="22"/>
        </w:rPr>
        <w:t>Mid West</w:t>
      </w:r>
      <w:r>
        <w:t xml:space="preserve"> Ports Authority”.</w:t>
      </w:r>
    </w:p>
    <w:p>
      <w:pPr>
        <w:pStyle w:val="ySubsection"/>
      </w:pPr>
      <w:r>
        <w:rPr>
          <w:b/>
        </w:rPr>
        <w:tab/>
      </w:r>
      <w:r>
        <w:t>(2)</w:t>
      </w:r>
      <w:r>
        <w:rPr>
          <w:b/>
        </w:rPr>
        <w:tab/>
      </w:r>
      <w:r>
        <w:t>A subsisting agreement, instrument or document that contains a reference to the MWPA by its former name has effect from the renaming time as if that reference were amended to be a reference to the MWPA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MWPA is a party to the agreement or instrument under its new name; and</w:t>
      </w:r>
    </w:p>
    <w:p>
      <w:pPr>
        <w:pStyle w:val="yIndenta"/>
      </w:pPr>
      <w:r>
        <w:tab/>
        <w:t>(b)</w:t>
      </w:r>
      <w:r>
        <w:tab/>
        <w:t>the agreement or instrument has effect as if a reference in it to the MWPA by its former name were amended to be a reference to the MWPA by its new name.</w:t>
      </w:r>
    </w:p>
    <w:p>
      <w:pPr>
        <w:pStyle w:val="ySubsection"/>
        <w:keepNext/>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20 inserted: No. 9 of 2014 s. 35.]</w:t>
      </w:r>
    </w:p>
    <w:p>
      <w:pPr>
        <w:pStyle w:val="yHeading5"/>
      </w:pPr>
      <w:bookmarkStart w:id="991" w:name="_Toc398890244"/>
      <w:bookmarkStart w:id="992" w:name="_Toc1492244"/>
      <w:r>
        <w:rPr>
          <w:rStyle w:val="CharSClsNo"/>
        </w:rPr>
        <w:t>21</w:t>
      </w:r>
      <w:r>
        <w:t>.</w:t>
      </w:r>
      <w:r>
        <w:tab/>
        <w:t>Port authority to implement or facilitate renaming</w:t>
      </w:r>
      <w:bookmarkEnd w:id="991"/>
      <w:bookmarkEnd w:id="992"/>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MWPA.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17(3);</w:t>
      </w:r>
    </w:p>
    <w:p>
      <w:pPr>
        <w:pStyle w:val="yIndenta"/>
      </w:pPr>
      <w:r>
        <w:tab/>
        <w:t>(b)</w:t>
      </w:r>
      <w:r>
        <w:tab/>
        <w:t>any remuneration payable to a person appointed under clause 19(5);</w:t>
      </w:r>
    </w:p>
    <w:p>
      <w:pPr>
        <w:pStyle w:val="yIndenta"/>
      </w:pPr>
      <w:r>
        <w:tab/>
        <w:t>(c)</w:t>
      </w:r>
      <w:r>
        <w:tab/>
        <w:t>the costs of the appointment process under clause 19(5);</w:t>
      </w:r>
    </w:p>
    <w:p>
      <w:pPr>
        <w:pStyle w:val="yIndenta"/>
      </w:pPr>
      <w:r>
        <w:tab/>
        <w:t>(d)</w:t>
      </w:r>
      <w:r>
        <w:tab/>
        <w:t>any other costs incurred by the new board under clause 18.</w:t>
      </w:r>
    </w:p>
    <w:p>
      <w:pPr>
        <w:pStyle w:val="yFootnotesection"/>
      </w:pPr>
      <w:r>
        <w:tab/>
        <w:t>[Clause 21 inserted: No. 9 of 2014 s. 35.]</w:t>
      </w:r>
    </w:p>
    <w:p>
      <w:pPr>
        <w:pStyle w:val="yHeading5"/>
      </w:pPr>
      <w:bookmarkStart w:id="993" w:name="_Toc398890245"/>
      <w:bookmarkStart w:id="994" w:name="_Toc1492245"/>
      <w:r>
        <w:rPr>
          <w:rStyle w:val="CharSClsNo"/>
        </w:rPr>
        <w:t>22</w:t>
      </w:r>
      <w:r>
        <w:t>.</w:t>
      </w:r>
      <w:r>
        <w:tab/>
        <w:t>Transitional regulations</w:t>
      </w:r>
      <w:bookmarkEnd w:id="993"/>
      <w:bookmarkEnd w:id="994"/>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the port authority, the new board or the MWPA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keepNext/>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22 inserted: No. 9 of 2014 s. 35.]</w:t>
      </w:r>
    </w:p>
    <w:p>
      <w:pPr>
        <w:pStyle w:val="yHeading4"/>
      </w:pPr>
      <w:bookmarkStart w:id="995" w:name="_Toc398890246"/>
      <w:bookmarkStart w:id="996" w:name="_Toc424284681"/>
      <w:bookmarkStart w:id="997" w:name="_Toc468975573"/>
      <w:bookmarkStart w:id="998" w:name="_Toc468975937"/>
      <w:bookmarkStart w:id="999" w:name="_Toc468978271"/>
      <w:bookmarkStart w:id="1000" w:name="_Toc1491882"/>
      <w:bookmarkStart w:id="1001" w:name="_Toc1492246"/>
      <w:r>
        <w:t>Subdivision 4</w:t>
      </w:r>
      <w:r>
        <w:rPr>
          <w:b w:val="0"/>
        </w:rPr>
        <w:t> — </w:t>
      </w:r>
      <w:r>
        <w:t>Provisions for the Pilbara Ports Authority</w:t>
      </w:r>
      <w:bookmarkEnd w:id="995"/>
      <w:bookmarkEnd w:id="996"/>
      <w:bookmarkEnd w:id="997"/>
      <w:bookmarkEnd w:id="998"/>
      <w:bookmarkEnd w:id="999"/>
      <w:bookmarkEnd w:id="1000"/>
      <w:bookmarkEnd w:id="1001"/>
    </w:p>
    <w:p>
      <w:pPr>
        <w:pStyle w:val="yFootnoteheading"/>
        <w:spacing w:after="120"/>
      </w:pPr>
      <w:r>
        <w:tab/>
        <w:t>[Heading inserted: No. 9 of 2014 s. 35.]</w:t>
      </w:r>
    </w:p>
    <w:p>
      <w:pPr>
        <w:pStyle w:val="yHeading5"/>
      </w:pPr>
      <w:bookmarkStart w:id="1002" w:name="_Toc398890247"/>
      <w:bookmarkStart w:id="1003" w:name="_Toc1492247"/>
      <w:r>
        <w:rPr>
          <w:rStyle w:val="CharSClsNo"/>
        </w:rPr>
        <w:t>23</w:t>
      </w:r>
      <w:r>
        <w:t>.</w:t>
      </w:r>
      <w:r>
        <w:tab/>
        <w:t>Terms used</w:t>
      </w:r>
      <w:bookmarkEnd w:id="1002"/>
      <w:bookmarkEnd w:id="1003"/>
    </w:p>
    <w:p>
      <w:pPr>
        <w:pStyle w:val="ySubsection"/>
      </w:pPr>
      <w:r>
        <w:tab/>
      </w:r>
      <w:r>
        <w:tab/>
        <w:t xml:space="preserve">In this Subdivision — </w:t>
      </w:r>
    </w:p>
    <w:p>
      <w:pPr>
        <w:pStyle w:val="yDefstart"/>
      </w:pPr>
      <w:r>
        <w:tab/>
      </w:r>
      <w:r>
        <w:rPr>
          <w:rStyle w:val="CharDefText"/>
        </w:rPr>
        <w:t>continuing authority</w:t>
      </w:r>
      <w:r>
        <w:t xml:space="preserve"> means the Port Hedland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31(3) of the amending Act; and</w:t>
      </w:r>
    </w:p>
    <w:p>
      <w:pPr>
        <w:pStyle w:val="yDefpara"/>
      </w:pPr>
      <w:r>
        <w:tab/>
        <w:t>(b)</w:t>
      </w:r>
      <w:r>
        <w:tab/>
        <w:t>the merging of the Dampier Port Authority into the PPA under clause 24(1);</w:t>
      </w:r>
    </w:p>
    <w:p>
      <w:pPr>
        <w:pStyle w:val="yDefstart"/>
      </w:pPr>
      <w:r>
        <w:tab/>
      </w:r>
      <w:r>
        <w:rPr>
          <w:rStyle w:val="CharDefText"/>
        </w:rPr>
        <w:t>merger time</w:t>
      </w:r>
      <w:r>
        <w:t xml:space="preserve"> means the time at which section 31(3) of the amending Act comes into operation;</w:t>
      </w:r>
    </w:p>
    <w:p>
      <w:pPr>
        <w:pStyle w:val="yDefstart"/>
      </w:pPr>
      <w:r>
        <w:tab/>
      </w:r>
      <w:r>
        <w:rPr>
          <w:rStyle w:val="CharDefText"/>
        </w:rPr>
        <w:t>merging authority</w:t>
      </w:r>
      <w:r>
        <w:t xml:space="preserve"> means the Dampier Port Authority;</w:t>
      </w:r>
    </w:p>
    <w:p>
      <w:pPr>
        <w:pStyle w:val="yDefstart"/>
      </w:pPr>
      <w:r>
        <w:tab/>
      </w:r>
      <w:r>
        <w:rPr>
          <w:rStyle w:val="CharDefText"/>
        </w:rPr>
        <w:t>new board</w:t>
      </w:r>
      <w:r>
        <w:t xml:space="preserve"> means the board of directors established under clause 25(3);</w:t>
      </w:r>
    </w:p>
    <w:p>
      <w:pPr>
        <w:pStyle w:val="yDefstart"/>
      </w:pPr>
      <w:r>
        <w:tab/>
      </w:r>
      <w:r>
        <w:rPr>
          <w:rStyle w:val="CharDefText"/>
        </w:rPr>
        <w:t>PPA</w:t>
      </w:r>
      <w:r>
        <w:t xml:space="preserve"> means the continuing authority as renamed as the Pilbara Ports Authority by operation of section 31(3)(b) of the amending Act;</w:t>
      </w:r>
    </w:p>
    <w:p>
      <w:pPr>
        <w:pStyle w:val="yDefstart"/>
      </w:pPr>
      <w:r>
        <w:tab/>
      </w:r>
      <w:r>
        <w:rPr>
          <w:rStyle w:val="CharDefText"/>
        </w:rPr>
        <w:t>transitional regulations</w:t>
      </w:r>
      <w:r>
        <w:t xml:space="preserve"> has the meaning given in clause 36(1).</w:t>
      </w:r>
    </w:p>
    <w:p>
      <w:pPr>
        <w:pStyle w:val="yFootnotesection"/>
      </w:pPr>
      <w:r>
        <w:tab/>
        <w:t>[Clause 23 inserted: No. 9 of 2014 s. 35.]</w:t>
      </w:r>
    </w:p>
    <w:p>
      <w:pPr>
        <w:pStyle w:val="yHeading5"/>
      </w:pPr>
      <w:bookmarkStart w:id="1004" w:name="_Toc398890248"/>
      <w:bookmarkStart w:id="1005" w:name="_Toc1492248"/>
      <w:r>
        <w:rPr>
          <w:rStyle w:val="CharSClsNo"/>
        </w:rPr>
        <w:t>24</w:t>
      </w:r>
      <w:r>
        <w:t>.</w:t>
      </w:r>
      <w:r>
        <w:tab/>
        <w:t>Merger of Dampier Port Authority into Pilbara Ports Authority</w:t>
      </w:r>
      <w:bookmarkEnd w:id="1004"/>
      <w:bookmarkEnd w:id="1005"/>
    </w:p>
    <w:p>
      <w:pPr>
        <w:pStyle w:val="ySubsection"/>
      </w:pPr>
      <w:r>
        <w:tab/>
        <w:t>(1)</w:t>
      </w:r>
      <w:r>
        <w:tab/>
        <w:t>At the merger time the Dampier Port Authority ceases to be a port authority under this Act and merges into the PPA.</w:t>
      </w:r>
    </w:p>
    <w:p>
      <w:pPr>
        <w:pStyle w:val="ySubsection"/>
      </w:pPr>
      <w:r>
        <w:tab/>
        <w:t>(2)</w:t>
      </w:r>
      <w:r>
        <w:tab/>
        <w:t>From the merger time the PPA is a continuation of the merging authority.</w:t>
      </w:r>
    </w:p>
    <w:p>
      <w:pPr>
        <w:pStyle w:val="yFootnotesection"/>
      </w:pPr>
      <w:r>
        <w:tab/>
        <w:t>[Clause 24 inserted: No. 9 of 2014 s. 35.]</w:t>
      </w:r>
    </w:p>
    <w:p>
      <w:pPr>
        <w:pStyle w:val="yHeading5"/>
      </w:pPr>
      <w:bookmarkStart w:id="1006" w:name="_Toc398890249"/>
      <w:bookmarkStart w:id="1007" w:name="_Toc1492249"/>
      <w:r>
        <w:rPr>
          <w:rStyle w:val="CharSClsNo"/>
        </w:rPr>
        <w:t>25</w:t>
      </w:r>
      <w:r>
        <w:t>.</w:t>
      </w:r>
      <w:r>
        <w:tab/>
        <w:t>Directors and former directors</w:t>
      </w:r>
      <w:bookmarkEnd w:id="1006"/>
      <w:bookmarkEnd w:id="1007"/>
    </w:p>
    <w:p>
      <w:pPr>
        <w:pStyle w:val="ySubsection"/>
      </w:pPr>
      <w:r>
        <w:tab/>
        <w:t>(1)</w:t>
      </w:r>
      <w:r>
        <w:tab/>
        <w:t>Immediately before the merger time a person then holding office as a director of the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the merging authority is to be taken to be a former director of the PPA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PPA for the purposes of the </w:t>
      </w:r>
      <w:r>
        <w:rPr>
          <w:i/>
        </w:rPr>
        <w:t>Statutory Corporations (Liability of Directors) Act 1996</w:t>
      </w:r>
      <w:r>
        <w:t>.</w:t>
      </w:r>
    </w:p>
    <w:p>
      <w:pPr>
        <w:pStyle w:val="ySubsection"/>
      </w:pPr>
      <w:r>
        <w:tab/>
        <w:t>(3)</w:t>
      </w:r>
      <w:r>
        <w:tab/>
        <w:t>The board of directors of the PPA may be established by the appointment of directors before the merger time.</w:t>
      </w:r>
    </w:p>
    <w:p>
      <w:pPr>
        <w:pStyle w:val="ySubsection"/>
      </w:pPr>
      <w:r>
        <w:tab/>
        <w:t>(4)</w:t>
      </w:r>
      <w:r>
        <w:tab/>
        <w:t>For the purposes of Schedule 2 clause 1, the term of office of a director appointed under subclause (3) does not begin until the merger time.</w:t>
      </w:r>
    </w:p>
    <w:p>
      <w:pPr>
        <w:pStyle w:val="ySubsection"/>
      </w:pPr>
      <w:r>
        <w:tab/>
        <w:t>(5)</w:t>
      </w:r>
      <w:r>
        <w:tab/>
        <w:t>Nothing in this Schedule prevents a person who is a director of an existing port authority from being appointed under subclause (3).</w:t>
      </w:r>
    </w:p>
    <w:p>
      <w:pPr>
        <w:pStyle w:val="yFootnotesection"/>
      </w:pPr>
      <w:r>
        <w:tab/>
        <w:t>[Clause 25 inserted: No. 9 of 2014 s. 35.]</w:t>
      </w:r>
    </w:p>
    <w:p>
      <w:pPr>
        <w:pStyle w:val="yHeading5"/>
      </w:pPr>
      <w:bookmarkStart w:id="1008" w:name="_Toc398890250"/>
      <w:bookmarkStart w:id="1009" w:name="_Toc1492250"/>
      <w:r>
        <w:rPr>
          <w:rStyle w:val="CharSClsNo"/>
        </w:rPr>
        <w:t>26</w:t>
      </w:r>
      <w:r>
        <w:t>.</w:t>
      </w:r>
      <w:r>
        <w:tab/>
        <w:t>Powers of new board in anticipation of merger</w:t>
      </w:r>
      <w:bookmarkEnd w:id="1008"/>
      <w:bookmarkEnd w:id="1009"/>
      <w:r>
        <w:t xml:space="preserve"> </w:t>
      </w:r>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keepNext/>
      </w:pPr>
      <w:r>
        <w:tab/>
        <w:t>(3)</w:t>
      </w:r>
      <w:r>
        <w:tab/>
        <w:t>For the purposes of subclause (1) the new board may incur costs for which the continuing authority is liable.</w:t>
      </w:r>
    </w:p>
    <w:p>
      <w:pPr>
        <w:pStyle w:val="yFootnotesection"/>
      </w:pPr>
      <w:r>
        <w:tab/>
        <w:t>[Clause 26 inserted: No. 9 of 2014 s. 35.]</w:t>
      </w:r>
    </w:p>
    <w:p>
      <w:pPr>
        <w:pStyle w:val="yHeading5"/>
      </w:pPr>
      <w:bookmarkStart w:id="1010" w:name="_Toc398890251"/>
      <w:bookmarkStart w:id="1011" w:name="_Toc1492251"/>
      <w:r>
        <w:rPr>
          <w:rStyle w:val="CharSClsNo"/>
        </w:rPr>
        <w:t>27</w:t>
      </w:r>
      <w:r>
        <w:t>.</w:t>
      </w:r>
      <w:r>
        <w:tab/>
        <w:t>CEOs and members of staff</w:t>
      </w:r>
      <w:bookmarkEnd w:id="1010"/>
      <w:bookmarkEnd w:id="1011"/>
      <w:r>
        <w:t xml:space="preserve"> </w:t>
      </w:r>
    </w:p>
    <w:p>
      <w:pPr>
        <w:pStyle w:val="ySubsection"/>
      </w:pPr>
      <w:r>
        <w:tab/>
        <w:t>(1)</w:t>
      </w:r>
      <w:r>
        <w:tab/>
        <w:t>Immediately before the merger time a person then holding office as the CEO of the continuing authority or the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the merging authority,</w:t>
      </w:r>
    </w:p>
    <w:p>
      <w:pPr>
        <w:pStyle w:val="ySubsection"/>
      </w:pPr>
      <w:r>
        <w:tab/>
      </w:r>
      <w:r>
        <w:tab/>
        <w:t>immediately before the merger time becomes a member of staff of the PPA.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the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26 include the power to appoint a person as the CEO of the PPA before the merger time.</w:t>
      </w:r>
    </w:p>
    <w:p>
      <w:pPr>
        <w:pStyle w:val="ySubsection"/>
      </w:pPr>
      <w:r>
        <w:tab/>
        <w:t>(6)</w:t>
      </w:r>
      <w:r>
        <w:tab/>
        <w:t>Until the merger time a person appointed under subclause (5) may, as CEO of the PPA, perform any function of a CEO of a port authority for the purpose of providing for, implementing or facilitating the merger.</w:t>
      </w:r>
    </w:p>
    <w:p>
      <w:pPr>
        <w:pStyle w:val="yFootnotesection"/>
      </w:pPr>
      <w:r>
        <w:tab/>
        <w:t>[Clause 27 inserted: No. 9 of 2014 s. 35.]</w:t>
      </w:r>
    </w:p>
    <w:p>
      <w:pPr>
        <w:pStyle w:val="yHeading5"/>
      </w:pPr>
      <w:bookmarkStart w:id="1012" w:name="_Toc398890252"/>
      <w:bookmarkStart w:id="1013" w:name="_Toc1492252"/>
      <w:r>
        <w:rPr>
          <w:rStyle w:val="CharSClsNo"/>
        </w:rPr>
        <w:t>28</w:t>
      </w:r>
      <w:r>
        <w:t>.</w:t>
      </w:r>
      <w:r>
        <w:tab/>
        <w:t>Preservation of rights</w:t>
      </w:r>
      <w:bookmarkEnd w:id="1012"/>
      <w:bookmarkEnd w:id="1013"/>
    </w:p>
    <w:p>
      <w:pPr>
        <w:pStyle w:val="ySubsection"/>
      </w:pPr>
      <w:r>
        <w:tab/>
        <w:t>(1)</w:t>
      </w:r>
      <w:r>
        <w:tab/>
        <w:t>Except as otherwise agreed by the relevant CEO or member of staff, the operation of clause 27(1)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the merging authority is to be taken to have been with the PPA.</w:t>
      </w:r>
    </w:p>
    <w:p>
      <w:pPr>
        <w:pStyle w:val="ySubsection"/>
      </w:pPr>
      <w:r>
        <w:tab/>
        <w:t>(3)</w:t>
      </w:r>
      <w:r>
        <w:tab/>
        <w:t>If a person who is the CEO or a member of staff of the continuing authority or the merging authority is appointed under clause 27(5),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the merging authority, his or her service with the merging authority is to be taken, for the purposes of paragraph (c), to have been with the PPA.</w:t>
      </w:r>
    </w:p>
    <w:p>
      <w:pPr>
        <w:pStyle w:val="ySubsection"/>
      </w:pPr>
      <w:r>
        <w:tab/>
        <w:t>(4)</w:t>
      </w:r>
      <w:r>
        <w:tab/>
        <w:t>Nothing in clause 27 or this clause prevents the exercise by the PPA of its powers in relation to the management of members of staff.</w:t>
      </w:r>
    </w:p>
    <w:p>
      <w:pPr>
        <w:pStyle w:val="yFootnotesection"/>
      </w:pPr>
      <w:r>
        <w:tab/>
        <w:t>[Clause 28 inserted: No. 9 of 2014 s. 35.]</w:t>
      </w:r>
    </w:p>
    <w:p>
      <w:pPr>
        <w:pStyle w:val="yHeading5"/>
      </w:pPr>
      <w:bookmarkStart w:id="1014" w:name="_Toc398890253"/>
      <w:bookmarkStart w:id="1015" w:name="_Toc1492253"/>
      <w:r>
        <w:rPr>
          <w:rStyle w:val="CharSClsNo"/>
        </w:rPr>
        <w:t>29</w:t>
      </w:r>
      <w:r>
        <w:t>.</w:t>
      </w:r>
      <w:r>
        <w:tab/>
        <w:t>Devolution of assets, liabilities, proceedings, remedies and immunities</w:t>
      </w:r>
      <w:bookmarkEnd w:id="1014"/>
      <w:bookmarkEnd w:id="1015"/>
    </w:p>
    <w:p>
      <w:pPr>
        <w:pStyle w:val="ySubsection"/>
      </w:pPr>
      <w:r>
        <w:tab/>
        <w:t>(1)</w:t>
      </w:r>
      <w:r>
        <w:tab/>
        <w:t xml:space="preserve">At the merger time — </w:t>
      </w:r>
    </w:p>
    <w:p>
      <w:pPr>
        <w:pStyle w:val="yIndenta"/>
      </w:pPr>
      <w:r>
        <w:tab/>
        <w:t>(a)</w:t>
      </w:r>
      <w:r>
        <w:tab/>
        <w:t>the assets and rights of the merging authority that were immediately before that time vested in or the property of the merging authority vest in or become the property of the PPA by force of this clause; and</w:t>
      </w:r>
    </w:p>
    <w:p>
      <w:pPr>
        <w:pStyle w:val="yIndenta"/>
      </w:pPr>
      <w:r>
        <w:tab/>
        <w:t>(b)</w:t>
      </w:r>
      <w:r>
        <w:tab/>
        <w:t>the liabilities of the merging authority immediately before that time become, by force of this clause, the liabilities of the PPA.</w:t>
      </w:r>
    </w:p>
    <w:p>
      <w:pPr>
        <w:pStyle w:val="ySubsection"/>
      </w:pPr>
      <w:r>
        <w:tab/>
        <w:t>(2)</w:t>
      </w:r>
      <w:r>
        <w:tab/>
        <w:t xml:space="preserve">For the purposes of section 26, </w:t>
      </w:r>
      <w:r>
        <w:rPr>
          <w:snapToGrid w:val="0"/>
        </w:rPr>
        <w:t xml:space="preserve">property referred to in section 25(2)(a) that becomes the property of the PPA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PPA for the purposes of section 84, assets </w:t>
      </w:r>
      <w:r>
        <w:rPr>
          <w:snapToGrid w:val="0"/>
        </w:rPr>
        <w:t xml:space="preserve">that become the property of the PPA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the merging authority may be brought or continued by, and are or is available against or to, the PPA.</w:t>
      </w:r>
    </w:p>
    <w:p>
      <w:pPr>
        <w:pStyle w:val="ySubsection"/>
      </w:pPr>
      <w:r>
        <w:tab/>
        <w:t>(5)</w:t>
      </w:r>
      <w:r>
        <w:tab/>
        <w:t>Where the merging authority had the benefit of any immunity in respect of an act, matter or thing done or omitted before the merger time, that immunity continues in that respect for the benefit of the PPA.</w:t>
      </w:r>
    </w:p>
    <w:p>
      <w:pPr>
        <w:pStyle w:val="ySubsection"/>
      </w:pPr>
      <w:r>
        <w:tab/>
        <w:t>(6)</w:t>
      </w:r>
      <w:r>
        <w:tab/>
        <w:t>As soon as is practicable after the merger time, all papers, documents, minutes, books of account and other records (however compiled, recorded or stored) relating to the operations of the merging authority are to be delivered to the PPA.</w:t>
      </w:r>
    </w:p>
    <w:p>
      <w:pPr>
        <w:pStyle w:val="yFootnotesection"/>
      </w:pPr>
      <w:r>
        <w:tab/>
        <w:t>[Clause 29 inserted: No. 9 of 2014 s. 35.]</w:t>
      </w:r>
    </w:p>
    <w:p>
      <w:pPr>
        <w:pStyle w:val="yHeading5"/>
      </w:pPr>
      <w:bookmarkStart w:id="1016" w:name="_Toc398890254"/>
      <w:bookmarkStart w:id="1017" w:name="_Toc1492254"/>
      <w:r>
        <w:rPr>
          <w:rStyle w:val="CharSClsNo"/>
        </w:rPr>
        <w:t>30</w:t>
      </w:r>
      <w:r>
        <w:t>.</w:t>
      </w:r>
      <w:r>
        <w:tab/>
        <w:t>Completion of things commenced</w:t>
      </w:r>
      <w:bookmarkEnd w:id="1016"/>
      <w:bookmarkEnd w:id="1017"/>
    </w:p>
    <w:p>
      <w:pPr>
        <w:pStyle w:val="ySubsection"/>
      </w:pPr>
      <w:r>
        <w:tab/>
      </w:r>
      <w:r>
        <w:tab/>
        <w:t>Anything commenced to be done by the merging authority before the merger time may be continued by the PPA.</w:t>
      </w:r>
    </w:p>
    <w:p>
      <w:pPr>
        <w:pStyle w:val="yFootnotesection"/>
      </w:pPr>
      <w:r>
        <w:tab/>
        <w:t>[Clause 30 inserted: No. 9 of 2014 s. 35.]</w:t>
      </w:r>
    </w:p>
    <w:p>
      <w:pPr>
        <w:pStyle w:val="yHeading5"/>
      </w:pPr>
      <w:bookmarkStart w:id="1018" w:name="_Toc398890255"/>
      <w:bookmarkStart w:id="1019" w:name="_Toc1492255"/>
      <w:r>
        <w:rPr>
          <w:rStyle w:val="CharSClsNo"/>
        </w:rPr>
        <w:t>31</w:t>
      </w:r>
      <w:r>
        <w:t>.</w:t>
      </w:r>
      <w:r>
        <w:tab/>
        <w:t>Continuing effect of things done</w:t>
      </w:r>
      <w:bookmarkEnd w:id="1018"/>
      <w:bookmarkEnd w:id="1019"/>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the merging authority.</w:t>
      </w:r>
    </w:p>
    <w:p>
      <w:pPr>
        <w:pStyle w:val="ySubsection"/>
      </w:pPr>
      <w:r>
        <w:tab/>
        <w:t>(2)</w:t>
      </w:r>
      <w:r>
        <w:tab/>
        <w:t>To the extent that a relevant act has force or significance at the merger time it is to be taken, from the merger time, to have been done or omitted by, to or in respect of the PPA so far as the act, matter or thing is relevant to the PPA.</w:t>
      </w:r>
    </w:p>
    <w:p>
      <w:pPr>
        <w:pStyle w:val="ySubsection"/>
      </w:pPr>
      <w:r>
        <w:tab/>
        <w:t>(3)</w:t>
      </w:r>
      <w:r>
        <w:tab/>
        <w:t>This clause does not affect the operation of any other provision of this Schedule.</w:t>
      </w:r>
    </w:p>
    <w:p>
      <w:pPr>
        <w:pStyle w:val="yFootnotesection"/>
      </w:pPr>
      <w:r>
        <w:tab/>
        <w:t>[Clause 31 inserted: No. 9 of 2014 s. 35.]</w:t>
      </w:r>
    </w:p>
    <w:p>
      <w:pPr>
        <w:pStyle w:val="yHeading5"/>
      </w:pPr>
      <w:bookmarkStart w:id="1020" w:name="_Toc398890256"/>
      <w:bookmarkStart w:id="1021" w:name="_Toc1492256"/>
      <w:r>
        <w:rPr>
          <w:rStyle w:val="CharSClsNo"/>
        </w:rPr>
        <w:t>32</w:t>
      </w:r>
      <w:r>
        <w:t>.</w:t>
      </w:r>
      <w:r>
        <w:tab/>
        <w:t>Agreements, instruments and documents</w:t>
      </w:r>
      <w:bookmarkEnd w:id="1020"/>
      <w:bookmarkEnd w:id="1021"/>
    </w:p>
    <w:p>
      <w:pPr>
        <w:pStyle w:val="ySubsection"/>
      </w:pPr>
      <w:r>
        <w:tab/>
        <w:t>(1)</w:t>
      </w:r>
      <w:r>
        <w:tab/>
        <w:t xml:space="preserve">In this clause — </w:t>
      </w:r>
    </w:p>
    <w:p>
      <w:pPr>
        <w:pStyle w:val="yDefstart"/>
      </w:pPr>
      <w:r>
        <w:tab/>
      </w:r>
      <w:r>
        <w:rPr>
          <w:rStyle w:val="CharDefText"/>
        </w:rPr>
        <w:t>former name</w:t>
      </w:r>
      <w:r>
        <w:t xml:space="preserve"> means “Port Hedland Port Authority”;</w:t>
      </w:r>
    </w:p>
    <w:p>
      <w:pPr>
        <w:pStyle w:val="yDefstart"/>
      </w:pPr>
      <w:r>
        <w:tab/>
      </w:r>
      <w:r>
        <w:rPr>
          <w:rStyle w:val="CharDefText"/>
        </w:rPr>
        <w:t>new name</w:t>
      </w:r>
      <w:r>
        <w:t xml:space="preserve"> means “Pilbara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PPA by its former name has effect from the merger time as if that reference were amended to be a reference to the PPA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PPA is a party to the agreement or instrument under its new name; and</w:t>
      </w:r>
    </w:p>
    <w:p>
      <w:pPr>
        <w:pStyle w:val="yIndenta"/>
      </w:pPr>
      <w:r>
        <w:tab/>
        <w:t>(b)</w:t>
      </w:r>
      <w:r>
        <w:tab/>
        <w:t>the agreement or instrument has effect as if a reference in it to the PPA by its former name were amended to be a reference to the PPA by its new name.</w:t>
      </w:r>
    </w:p>
    <w:p>
      <w:pPr>
        <w:pStyle w:val="ySubsection"/>
      </w:pPr>
      <w:r>
        <w:tab/>
        <w:t>(5)</w:t>
      </w:r>
      <w:r>
        <w:tab/>
        <w:t>A subsisting agreement, instrument or document that contains a reference to the merging authority has effect from the merger time as if that reference were amended to be or include a reference to the PPA.</w:t>
      </w:r>
    </w:p>
    <w:p>
      <w:pPr>
        <w:pStyle w:val="ySubsection"/>
      </w:pPr>
      <w:r>
        <w:tab/>
        <w:t>(6)</w:t>
      </w:r>
      <w:r>
        <w:tab/>
        <w:t>Subclause (5) does not apply to an agreement or instrument to which the merging authority was a party.</w:t>
      </w:r>
    </w:p>
    <w:p>
      <w:pPr>
        <w:pStyle w:val="ySubsection"/>
      </w:pPr>
      <w:r>
        <w:tab/>
        <w:t>(7)</w:t>
      </w:r>
      <w:r>
        <w:tab/>
        <w:t xml:space="preserve">A subsisting agreement or instrument to which the merging authority was a party has effect from the merger time as if — </w:t>
      </w:r>
    </w:p>
    <w:p>
      <w:pPr>
        <w:pStyle w:val="yIndenta"/>
      </w:pPr>
      <w:r>
        <w:tab/>
        <w:t>(a)</w:t>
      </w:r>
      <w:r>
        <w:tab/>
        <w:t>the PPA were substituted for the merging authority as a party to the agreement or instrument; and</w:t>
      </w:r>
    </w:p>
    <w:p>
      <w:pPr>
        <w:pStyle w:val="yIndenta"/>
      </w:pPr>
      <w:r>
        <w:tab/>
        <w:t>(b)</w:t>
      </w:r>
      <w:r>
        <w:tab/>
        <w:t>a reference to the merging authority in the agreement or instrument were amended to be a reference to the PPA.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32 inserted: No. 9 of 2014 s. 35.]</w:t>
      </w:r>
    </w:p>
    <w:p>
      <w:pPr>
        <w:pStyle w:val="yHeading5"/>
      </w:pPr>
      <w:bookmarkStart w:id="1022" w:name="_Toc398890257"/>
      <w:bookmarkStart w:id="1023" w:name="_Toc1492257"/>
      <w:r>
        <w:rPr>
          <w:rStyle w:val="CharSClsNo"/>
        </w:rPr>
        <w:t>33</w:t>
      </w:r>
      <w:r>
        <w:t>.</w:t>
      </w:r>
      <w:r>
        <w:tab/>
        <w:t>Port authorities to implement or facilitate merger and share costs</w:t>
      </w:r>
      <w:bookmarkEnd w:id="1022"/>
      <w:bookmarkEnd w:id="1023"/>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pPr>
      <w:r>
        <w:tab/>
        <w:t>(2)</w:t>
      </w:r>
      <w:r>
        <w:tab/>
        <w:t xml:space="preserve">Subclause (1) applies — </w:t>
      </w:r>
    </w:p>
    <w:p>
      <w:pPr>
        <w:pStyle w:val="yIndenta"/>
      </w:pPr>
      <w:r>
        <w:tab/>
        <w:t>(a)</w:t>
      </w:r>
      <w:r>
        <w:tab/>
        <w:t>before the merger time — to the merging authority and the continuing authority; and</w:t>
      </w:r>
    </w:p>
    <w:p>
      <w:pPr>
        <w:pStyle w:val="yIndenta"/>
      </w:pPr>
      <w:r>
        <w:tab/>
        <w:t>(b)</w:t>
      </w:r>
      <w:r>
        <w:tab/>
        <w:t>after the merger time — to the PPA.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25(3);</w:t>
      </w:r>
    </w:p>
    <w:p>
      <w:pPr>
        <w:pStyle w:val="yIndenta"/>
      </w:pPr>
      <w:r>
        <w:tab/>
        <w:t>(b)</w:t>
      </w:r>
      <w:r>
        <w:tab/>
        <w:t>any remuneration payable to a person appointed under clause 27(5);</w:t>
      </w:r>
    </w:p>
    <w:p>
      <w:pPr>
        <w:pStyle w:val="yIndenta"/>
      </w:pPr>
      <w:r>
        <w:tab/>
        <w:t>(c)</w:t>
      </w:r>
      <w:r>
        <w:tab/>
        <w:t>the costs of the appointment process under clause 27(5);</w:t>
      </w:r>
    </w:p>
    <w:p>
      <w:pPr>
        <w:pStyle w:val="yIndenta"/>
      </w:pPr>
      <w:r>
        <w:tab/>
        <w:t>(d)</w:t>
      </w:r>
      <w:r>
        <w:tab/>
        <w:t>any other costs incurred by the new board under clause 26.</w:t>
      </w:r>
    </w:p>
    <w:p>
      <w:pPr>
        <w:pStyle w:val="ySubsection"/>
      </w:pPr>
      <w:r>
        <w:tab/>
        <w:t>(5)</w:t>
      </w:r>
      <w:r>
        <w:tab/>
        <w:t>The merging authority is to make a contribution to the continuing authority of one</w:t>
      </w:r>
      <w:r>
        <w:noBreakHyphen/>
        <w:t xml:space="preserve">half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authority are to have regard and give effect to the determination.</w:t>
      </w:r>
    </w:p>
    <w:p>
      <w:pPr>
        <w:pStyle w:val="yFootnotesection"/>
      </w:pPr>
      <w:r>
        <w:tab/>
        <w:t>[Clause 33 inserted: No. 9 of 2014 s. 35.]</w:t>
      </w:r>
    </w:p>
    <w:p>
      <w:pPr>
        <w:pStyle w:val="yHeading5"/>
      </w:pPr>
      <w:bookmarkStart w:id="1024" w:name="_Toc398890258"/>
      <w:bookmarkStart w:id="1025" w:name="_Toc1492258"/>
      <w:r>
        <w:rPr>
          <w:rStyle w:val="CharSClsNo"/>
        </w:rPr>
        <w:t>34</w:t>
      </w:r>
      <w:r>
        <w:t>.</w:t>
      </w:r>
      <w:r>
        <w:tab/>
        <w:t>Financial reporting</w:t>
      </w:r>
      <w:bookmarkEnd w:id="1024"/>
      <w:bookmarkEnd w:id="1025"/>
    </w:p>
    <w:p>
      <w:pPr>
        <w:pStyle w:val="ySubsection"/>
      </w:pPr>
      <w:r>
        <w:tab/>
        <w:t>(1)</w:t>
      </w:r>
      <w:r>
        <w:tab/>
        <w:t xml:space="preserve">In this clause — </w:t>
      </w:r>
    </w:p>
    <w:p>
      <w:pPr>
        <w:pStyle w:val="yDefstart"/>
      </w:pPr>
      <w:r>
        <w:rPr>
          <w:i/>
          <w:iCs/>
        </w:rPr>
        <w:tab/>
      </w:r>
      <w:r>
        <w:rPr>
          <w:rStyle w:val="CharDefText"/>
          <w:iCs/>
        </w:rPr>
        <w:t>former directors</w:t>
      </w:r>
      <w:r>
        <w:t xml:space="preserve"> of the merging authority means the persons holding office as directors of the merging authority immediately before the merger time;</w:t>
      </w:r>
    </w:p>
    <w:p>
      <w:pPr>
        <w:pStyle w:val="yDefstart"/>
      </w:pPr>
      <w:r>
        <w:rPr>
          <w:i/>
          <w:iCs/>
        </w:rPr>
        <w:tab/>
      </w:r>
      <w:r>
        <w:rPr>
          <w:rStyle w:val="CharDefText"/>
          <w:iCs/>
        </w:rPr>
        <w:t>reporting board</w:t>
      </w:r>
      <w:r>
        <w:t xml:space="preserve">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the </w:t>
      </w:r>
      <w:r>
        <w:t>merging</w:t>
      </w:r>
      <w:r>
        <w:rPr>
          <w:bCs/>
        </w:rPr>
        <w:t xml:space="preserve"> authority.</w:t>
      </w:r>
    </w:p>
    <w:p>
      <w:pPr>
        <w:pStyle w:val="ySubsection"/>
      </w:pPr>
      <w:r>
        <w:tab/>
        <w:t>(3)</w:t>
      </w:r>
      <w:r>
        <w:tab/>
        <w:t>The constitution of the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the merging authority, the reporting board is to comply with the reporting provisions in respect of the merging authority for that financial year.</w:t>
      </w:r>
    </w:p>
    <w:p>
      <w:pPr>
        <w:pStyle w:val="ySubsection"/>
      </w:pPr>
      <w:r>
        <w:tab/>
        <w:t>(5)</w:t>
      </w:r>
      <w:r>
        <w:tab/>
        <w:t xml:space="preserve">If the merger time is after the end of a financial year of the merging authority (the </w:t>
      </w:r>
      <w:r>
        <w:rPr>
          <w:rStyle w:val="CharDefText"/>
        </w:rPr>
        <w:t>last financial year</w:t>
      </w:r>
      <w:r>
        <w:t xml:space="preserve">), the reporting board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The reporting board must comply with any written directions given to it by the Minister as to the performance of its duties under this clause.</w:t>
      </w:r>
    </w:p>
    <w:p>
      <w:pPr>
        <w:pStyle w:val="ySubsection"/>
      </w:pPr>
      <w:r>
        <w:tab/>
        <w:t>(7)</w:t>
      </w:r>
      <w:r>
        <w:tab/>
        <w:t xml:space="preserve">In order to enable the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the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keepNext/>
        <w:keepLines/>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the reporting board and its members.</w:t>
      </w:r>
    </w:p>
    <w:p>
      <w:pPr>
        <w:pStyle w:val="ySubsection"/>
      </w:pPr>
      <w:r>
        <w:tab/>
        <w:t>(11)</w:t>
      </w:r>
      <w:r>
        <w:tab/>
        <w:t>The former directors of the merging authority are to hold office as members of the reporting board for as long as the reporting board remains constituted under subclause (2).</w:t>
      </w:r>
    </w:p>
    <w:p>
      <w:pPr>
        <w:pStyle w:val="ySubsection"/>
      </w:pPr>
      <w:r>
        <w:tab/>
        <w:t>(12)</w:t>
      </w:r>
      <w:r>
        <w:tab/>
        <w:t>If the office of a member of the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the reporting board are to be paid from the funds of the PPA.</w:t>
      </w:r>
    </w:p>
    <w:p>
      <w:pPr>
        <w:pStyle w:val="ySubsection"/>
      </w:pPr>
      <w:r>
        <w:tab/>
        <w:t>(14)</w:t>
      </w:r>
      <w:r>
        <w:tab/>
        <w:t xml:space="preserve">A member of the reporting board is to be taken to be a director of the PPA for the purposes of the </w:t>
      </w:r>
      <w:r>
        <w:rPr>
          <w:i/>
        </w:rPr>
        <w:t>Statutory Corporations (Liability of Directors) Act 1996</w:t>
      </w:r>
      <w:r>
        <w:t>.</w:t>
      </w:r>
    </w:p>
    <w:p>
      <w:pPr>
        <w:pStyle w:val="yFootnotesection"/>
      </w:pPr>
      <w:r>
        <w:tab/>
        <w:t>[Clause 34 inserted: No. 9 of 2014 s. 35.]</w:t>
      </w:r>
    </w:p>
    <w:p>
      <w:pPr>
        <w:pStyle w:val="yHeading5"/>
      </w:pPr>
      <w:bookmarkStart w:id="1026" w:name="_Toc398890259"/>
      <w:bookmarkStart w:id="1027" w:name="_Toc1492259"/>
      <w:r>
        <w:rPr>
          <w:rStyle w:val="CharSClsNo"/>
        </w:rPr>
        <w:t>35</w:t>
      </w:r>
      <w:r>
        <w:t>.</w:t>
      </w:r>
      <w:r>
        <w:tab/>
        <w:t>Dividends</w:t>
      </w:r>
      <w:bookmarkEnd w:id="1026"/>
      <w:bookmarkEnd w:id="1027"/>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the merging authority or its board, the PPA or its board is to perform the function after the merger time as if the PPA were the merging authority.</w:t>
      </w:r>
    </w:p>
    <w:p>
      <w:pPr>
        <w:pStyle w:val="ySubsection"/>
      </w:pPr>
      <w:r>
        <w:tab/>
        <w:t>(3)</w:t>
      </w:r>
      <w:r>
        <w:tab/>
        <w:t>If the merger time coincides with the end of a financial year of the merging authority, the PPA or its board is to perform the dividend functions in relation to that financial year as if the PPA were the merging authority.</w:t>
      </w:r>
    </w:p>
    <w:p>
      <w:pPr>
        <w:pStyle w:val="ySubsection"/>
      </w:pPr>
      <w:r>
        <w:tab/>
        <w:t>(4)</w:t>
      </w:r>
      <w:r>
        <w:tab/>
        <w:t>Any amount that has to be paid to the Treasurer in accordance with subclause (2) or (3) is to be paid from the funds of the PPA.</w:t>
      </w:r>
    </w:p>
    <w:p>
      <w:pPr>
        <w:pStyle w:val="yFootnotesection"/>
      </w:pPr>
      <w:r>
        <w:tab/>
        <w:t>[Clause 35 inserted: No. 9 of 2014 s. 35.]</w:t>
      </w:r>
    </w:p>
    <w:p>
      <w:pPr>
        <w:pStyle w:val="yHeading5"/>
      </w:pPr>
      <w:bookmarkStart w:id="1028" w:name="_Toc398890260"/>
      <w:bookmarkStart w:id="1029" w:name="_Toc1492260"/>
      <w:r>
        <w:rPr>
          <w:rStyle w:val="CharSClsNo"/>
        </w:rPr>
        <w:t>36</w:t>
      </w:r>
      <w:r>
        <w:t>.</w:t>
      </w:r>
      <w:r>
        <w:tab/>
        <w:t>Transitional regulations</w:t>
      </w:r>
      <w:bookmarkEnd w:id="1028"/>
      <w:bookmarkEnd w:id="1029"/>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36 inserted: No. 9 of 2014 s. 35.]</w:t>
      </w:r>
    </w:p>
    <w:p>
      <w:pPr>
        <w:pStyle w:val="yHeading4"/>
      </w:pPr>
      <w:bookmarkStart w:id="1030" w:name="_Toc398890261"/>
      <w:bookmarkStart w:id="1031" w:name="_Toc424284696"/>
      <w:bookmarkStart w:id="1032" w:name="_Toc468975588"/>
      <w:bookmarkStart w:id="1033" w:name="_Toc468975952"/>
      <w:bookmarkStart w:id="1034" w:name="_Toc468978286"/>
      <w:bookmarkStart w:id="1035" w:name="_Toc1491897"/>
      <w:bookmarkStart w:id="1036" w:name="_Toc1492261"/>
      <w:r>
        <w:t>Subdivision 5</w:t>
      </w:r>
      <w:r>
        <w:rPr>
          <w:b w:val="0"/>
        </w:rPr>
        <w:t> — </w:t>
      </w:r>
      <w:r>
        <w:t>Provisions for the Kimberley Ports Authority</w:t>
      </w:r>
      <w:bookmarkEnd w:id="1030"/>
      <w:bookmarkEnd w:id="1031"/>
      <w:bookmarkEnd w:id="1032"/>
      <w:bookmarkEnd w:id="1033"/>
      <w:bookmarkEnd w:id="1034"/>
      <w:bookmarkEnd w:id="1035"/>
      <w:bookmarkEnd w:id="1036"/>
    </w:p>
    <w:p>
      <w:pPr>
        <w:pStyle w:val="yFootnoteheading"/>
        <w:spacing w:after="120"/>
      </w:pPr>
      <w:r>
        <w:tab/>
        <w:t>[Heading inserted: No. 9 of 2014 s. 35.]</w:t>
      </w:r>
    </w:p>
    <w:p>
      <w:pPr>
        <w:pStyle w:val="yHeading5"/>
      </w:pPr>
      <w:bookmarkStart w:id="1037" w:name="_Toc398890262"/>
      <w:bookmarkStart w:id="1038" w:name="_Toc1492262"/>
      <w:r>
        <w:rPr>
          <w:rStyle w:val="CharSClsNo"/>
        </w:rPr>
        <w:t>37</w:t>
      </w:r>
      <w:r>
        <w:t>.</w:t>
      </w:r>
      <w:r>
        <w:tab/>
        <w:t>Terms used</w:t>
      </w:r>
      <w:bookmarkEnd w:id="1037"/>
      <w:bookmarkEnd w:id="1038"/>
    </w:p>
    <w:p>
      <w:pPr>
        <w:pStyle w:val="ySubsection"/>
      </w:pPr>
      <w:r>
        <w:tab/>
      </w:r>
      <w:r>
        <w:tab/>
        <w:t xml:space="preserve">In this Subdivision — </w:t>
      </w:r>
    </w:p>
    <w:p>
      <w:pPr>
        <w:pStyle w:val="yDefstart"/>
      </w:pPr>
      <w:r>
        <w:tab/>
      </w:r>
      <w:r>
        <w:rPr>
          <w:rStyle w:val="CharDefText"/>
        </w:rPr>
        <w:t>KPA</w:t>
      </w:r>
      <w:r>
        <w:t xml:space="preserve"> means the port authority as renamed as the </w:t>
      </w:r>
      <w:r>
        <w:rPr>
          <w:szCs w:val="22"/>
        </w:rPr>
        <w:t xml:space="preserve">Kimberley </w:t>
      </w:r>
      <w:r>
        <w:t>Ports Authority by operation of section 31(4) of the amending Act;</w:t>
      </w:r>
    </w:p>
    <w:p>
      <w:pPr>
        <w:pStyle w:val="yDefstart"/>
      </w:pPr>
      <w:r>
        <w:tab/>
      </w:r>
      <w:r>
        <w:rPr>
          <w:rStyle w:val="CharDefText"/>
        </w:rPr>
        <w:t>new board</w:t>
      </w:r>
      <w:r>
        <w:t xml:space="preserve"> means the board of directors established under clause 38(3);</w:t>
      </w:r>
    </w:p>
    <w:p>
      <w:pPr>
        <w:pStyle w:val="yDefstart"/>
      </w:pPr>
      <w:r>
        <w:tab/>
      </w:r>
      <w:r>
        <w:rPr>
          <w:rStyle w:val="CharDefText"/>
        </w:rPr>
        <w:t>port authority</w:t>
      </w:r>
      <w:r>
        <w:t xml:space="preserve"> means the Broome Port Authority;</w:t>
      </w:r>
    </w:p>
    <w:p>
      <w:pPr>
        <w:pStyle w:val="yDefstart"/>
      </w:pPr>
      <w:r>
        <w:tab/>
      </w:r>
      <w:r>
        <w:rPr>
          <w:rStyle w:val="CharDefText"/>
        </w:rPr>
        <w:t>renaming</w:t>
      </w:r>
      <w:r>
        <w:t xml:space="preserve"> means the action effected by the coming into operation of section 31(4) of the amending Act;</w:t>
      </w:r>
    </w:p>
    <w:p>
      <w:pPr>
        <w:pStyle w:val="yDefstart"/>
      </w:pPr>
      <w:r>
        <w:tab/>
      </w:r>
      <w:r>
        <w:rPr>
          <w:rStyle w:val="CharDefText"/>
        </w:rPr>
        <w:t>renaming time</w:t>
      </w:r>
      <w:r>
        <w:t xml:space="preserve"> means the time at which section 31(4) of the amending Act comes into operation;</w:t>
      </w:r>
    </w:p>
    <w:p>
      <w:pPr>
        <w:pStyle w:val="yDefstart"/>
        <w:keepNext/>
      </w:pPr>
      <w:r>
        <w:tab/>
      </w:r>
      <w:r>
        <w:rPr>
          <w:rStyle w:val="CharDefText"/>
        </w:rPr>
        <w:t>transitional regulations</w:t>
      </w:r>
      <w:r>
        <w:t xml:space="preserve"> has the meaning given in clause 43(1).</w:t>
      </w:r>
    </w:p>
    <w:p>
      <w:pPr>
        <w:pStyle w:val="yFootnotesection"/>
      </w:pPr>
      <w:r>
        <w:tab/>
        <w:t>[Clause 37 inserted: No. 9 of 2014 s. 35.]</w:t>
      </w:r>
    </w:p>
    <w:p>
      <w:pPr>
        <w:pStyle w:val="yHeading5"/>
      </w:pPr>
      <w:bookmarkStart w:id="1039" w:name="_Toc398890263"/>
      <w:bookmarkStart w:id="1040" w:name="_Toc1492263"/>
      <w:r>
        <w:rPr>
          <w:rStyle w:val="CharSClsNo"/>
        </w:rPr>
        <w:t>38</w:t>
      </w:r>
      <w:r>
        <w:t>.</w:t>
      </w:r>
      <w:r>
        <w:tab/>
        <w:t>Directors and former directors</w:t>
      </w:r>
      <w:bookmarkEnd w:id="1039"/>
      <w:bookmarkEnd w:id="1040"/>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KPA for the purposes of the </w:t>
      </w:r>
      <w:r>
        <w:rPr>
          <w:i/>
        </w:rPr>
        <w:t>Statutory Corporations (Liability of Directors) Act 1996</w:t>
      </w:r>
      <w:r>
        <w:t>.</w:t>
      </w:r>
    </w:p>
    <w:p>
      <w:pPr>
        <w:pStyle w:val="ySubsection"/>
      </w:pPr>
      <w:r>
        <w:tab/>
        <w:t>(3)</w:t>
      </w:r>
      <w:r>
        <w:tab/>
        <w:t>The board of directors of the KPA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38 inserted: No. 9 of 2014 s. 35.]</w:t>
      </w:r>
    </w:p>
    <w:p>
      <w:pPr>
        <w:pStyle w:val="yHeading5"/>
      </w:pPr>
      <w:bookmarkStart w:id="1041" w:name="_Toc398890264"/>
      <w:bookmarkStart w:id="1042" w:name="_Toc1492264"/>
      <w:r>
        <w:rPr>
          <w:rStyle w:val="CharSClsNo"/>
        </w:rPr>
        <w:t>39</w:t>
      </w:r>
      <w:r>
        <w:t>.</w:t>
      </w:r>
      <w:r>
        <w:tab/>
        <w:t>Powers of new board in anticipation of renaming</w:t>
      </w:r>
      <w:bookmarkEnd w:id="1041"/>
      <w:bookmarkEnd w:id="1042"/>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39 inserted: No. 9 of 2014 s. 35.]</w:t>
      </w:r>
    </w:p>
    <w:p>
      <w:pPr>
        <w:pStyle w:val="yHeading5"/>
      </w:pPr>
      <w:bookmarkStart w:id="1043" w:name="_Toc398890265"/>
      <w:bookmarkStart w:id="1044" w:name="_Toc1492265"/>
      <w:r>
        <w:rPr>
          <w:rStyle w:val="CharSClsNo"/>
        </w:rPr>
        <w:t>40</w:t>
      </w:r>
      <w:r>
        <w:t>.</w:t>
      </w:r>
      <w:r>
        <w:tab/>
        <w:t>CEO and staff</w:t>
      </w:r>
      <w:bookmarkEnd w:id="1043"/>
      <w:bookmarkEnd w:id="1044"/>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KPA.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39 include the power to appoint a person as the CEO of the KPA before the renaming time.</w:t>
      </w:r>
    </w:p>
    <w:p>
      <w:pPr>
        <w:pStyle w:val="ySubsection"/>
      </w:pPr>
      <w:r>
        <w:tab/>
        <w:t>(6)</w:t>
      </w:r>
      <w:r>
        <w:tab/>
        <w:t>Until the renaming time a person appointed under subclause (5) may, as CEO of the KPA,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40 inserted: No. 9 of 2014 s. 35.]</w:t>
      </w:r>
    </w:p>
    <w:p>
      <w:pPr>
        <w:pStyle w:val="yHeading5"/>
      </w:pPr>
      <w:bookmarkStart w:id="1045" w:name="_Toc398890266"/>
      <w:bookmarkStart w:id="1046" w:name="_Toc1492266"/>
      <w:r>
        <w:rPr>
          <w:rStyle w:val="CharSClsNo"/>
        </w:rPr>
        <w:t>41</w:t>
      </w:r>
      <w:r>
        <w:t>.</w:t>
      </w:r>
      <w:r>
        <w:tab/>
        <w:t>Agreements, instruments and documents</w:t>
      </w:r>
      <w:bookmarkEnd w:id="1045"/>
      <w:bookmarkEnd w:id="1046"/>
    </w:p>
    <w:p>
      <w:pPr>
        <w:pStyle w:val="ySubsection"/>
      </w:pPr>
      <w:r>
        <w:tab/>
        <w:t>(1)</w:t>
      </w:r>
      <w:r>
        <w:tab/>
        <w:t xml:space="preserve">In this clause — </w:t>
      </w:r>
    </w:p>
    <w:p>
      <w:pPr>
        <w:pStyle w:val="yDefstart"/>
      </w:pPr>
      <w:r>
        <w:tab/>
      </w:r>
      <w:r>
        <w:rPr>
          <w:rStyle w:val="CharDefText"/>
        </w:rPr>
        <w:t>former name</w:t>
      </w:r>
      <w:r>
        <w:t xml:space="preserve"> means “Broome Port Authority”;</w:t>
      </w:r>
    </w:p>
    <w:p>
      <w:pPr>
        <w:pStyle w:val="yDefstart"/>
      </w:pPr>
      <w:r>
        <w:tab/>
      </w:r>
      <w:r>
        <w:rPr>
          <w:rStyle w:val="CharDefText"/>
        </w:rPr>
        <w:t>new name</w:t>
      </w:r>
      <w:r>
        <w:t xml:space="preserve"> means “Kimberley Ports Authority”.</w:t>
      </w:r>
    </w:p>
    <w:p>
      <w:pPr>
        <w:pStyle w:val="ySubsection"/>
      </w:pPr>
      <w:r>
        <w:rPr>
          <w:b/>
        </w:rPr>
        <w:tab/>
      </w:r>
      <w:r>
        <w:t>(2)</w:t>
      </w:r>
      <w:r>
        <w:rPr>
          <w:b/>
        </w:rPr>
        <w:tab/>
      </w:r>
      <w:r>
        <w:t>A subsisting agreement, instrument or document that contains a reference to the KPA by its former name has effect from the renaming time as if that reference were amended to be a reference to the KPA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KPA is a party to the agreement or instrument under its new name; and</w:t>
      </w:r>
    </w:p>
    <w:p>
      <w:pPr>
        <w:pStyle w:val="yIndenta"/>
      </w:pPr>
      <w:r>
        <w:tab/>
        <w:t>(b)</w:t>
      </w:r>
      <w:r>
        <w:tab/>
        <w:t>the agreement or instrument has effect as if a reference in it to the KPA by its former name were amended to be a reference to the KPA by its new name.</w:t>
      </w:r>
    </w:p>
    <w:p>
      <w:pPr>
        <w:pStyle w:val="ySubsection"/>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41 inserted: No. 9 of 2014 s. 35.]</w:t>
      </w:r>
    </w:p>
    <w:p>
      <w:pPr>
        <w:pStyle w:val="yHeading5"/>
      </w:pPr>
      <w:bookmarkStart w:id="1047" w:name="_Toc398890267"/>
      <w:bookmarkStart w:id="1048" w:name="_Toc1492267"/>
      <w:r>
        <w:rPr>
          <w:rStyle w:val="CharSClsNo"/>
        </w:rPr>
        <w:t>42</w:t>
      </w:r>
      <w:r>
        <w:t>.</w:t>
      </w:r>
      <w:r>
        <w:tab/>
        <w:t>Port authority to implement or facilitate renaming</w:t>
      </w:r>
      <w:bookmarkEnd w:id="1047"/>
      <w:bookmarkEnd w:id="1048"/>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KPA.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38(3);</w:t>
      </w:r>
    </w:p>
    <w:p>
      <w:pPr>
        <w:pStyle w:val="yIndenta"/>
      </w:pPr>
      <w:r>
        <w:tab/>
        <w:t>(b)</w:t>
      </w:r>
      <w:r>
        <w:tab/>
        <w:t>any remuneration payable to a person appointed under clause 40(5);</w:t>
      </w:r>
    </w:p>
    <w:p>
      <w:pPr>
        <w:pStyle w:val="yIndenta"/>
      </w:pPr>
      <w:r>
        <w:tab/>
        <w:t>(c)</w:t>
      </w:r>
      <w:r>
        <w:tab/>
        <w:t>the costs of the appointment process under clause 40(5);</w:t>
      </w:r>
    </w:p>
    <w:p>
      <w:pPr>
        <w:pStyle w:val="yIndenta"/>
      </w:pPr>
      <w:r>
        <w:tab/>
        <w:t>(d)</w:t>
      </w:r>
      <w:r>
        <w:tab/>
        <w:t>any other costs incurred by the new board under clause 39.</w:t>
      </w:r>
    </w:p>
    <w:p>
      <w:pPr>
        <w:pStyle w:val="yFootnotesection"/>
      </w:pPr>
      <w:r>
        <w:tab/>
        <w:t>[Clause 42 inserted: No. 9 of 2014 s. 35.]</w:t>
      </w:r>
    </w:p>
    <w:p>
      <w:pPr>
        <w:pStyle w:val="yHeading5"/>
      </w:pPr>
      <w:bookmarkStart w:id="1049" w:name="_Toc398890268"/>
      <w:bookmarkStart w:id="1050" w:name="_Toc1492268"/>
      <w:r>
        <w:rPr>
          <w:rStyle w:val="CharSClsNo"/>
        </w:rPr>
        <w:t>43</w:t>
      </w:r>
      <w:r>
        <w:t>.</w:t>
      </w:r>
      <w:r>
        <w:tab/>
        <w:t>Transitional regulations</w:t>
      </w:r>
      <w:bookmarkEnd w:id="1049"/>
      <w:bookmarkEnd w:id="1050"/>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the port authority, the new board or the KPA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43 inserted: No. 9 of 2014 s. 35.]</w:t>
      </w:r>
    </w:p>
    <w:p>
      <w:pPr>
        <w:pStyle w:val="yHeading4"/>
      </w:pPr>
      <w:bookmarkStart w:id="1051" w:name="_Toc398890269"/>
      <w:bookmarkStart w:id="1052" w:name="_Toc424284704"/>
      <w:bookmarkStart w:id="1053" w:name="_Toc468975596"/>
      <w:bookmarkStart w:id="1054" w:name="_Toc468975960"/>
      <w:bookmarkStart w:id="1055" w:name="_Toc468978294"/>
      <w:bookmarkStart w:id="1056" w:name="_Toc1491905"/>
      <w:bookmarkStart w:id="1057" w:name="_Toc1492269"/>
      <w:r>
        <w:t>Subdivision 6</w:t>
      </w:r>
      <w:r>
        <w:rPr>
          <w:b w:val="0"/>
        </w:rPr>
        <w:t> — </w:t>
      </w:r>
      <w:r>
        <w:t>Provisions for certain directors</w:t>
      </w:r>
      <w:bookmarkEnd w:id="1051"/>
      <w:bookmarkEnd w:id="1052"/>
      <w:bookmarkEnd w:id="1053"/>
      <w:bookmarkEnd w:id="1054"/>
      <w:bookmarkEnd w:id="1055"/>
      <w:bookmarkEnd w:id="1056"/>
      <w:bookmarkEnd w:id="1057"/>
    </w:p>
    <w:p>
      <w:pPr>
        <w:pStyle w:val="yFootnoteheading"/>
        <w:spacing w:after="120"/>
      </w:pPr>
      <w:r>
        <w:tab/>
        <w:t>[Heading inserted: No. 9 of 2014 s. 35.]</w:t>
      </w:r>
    </w:p>
    <w:p>
      <w:pPr>
        <w:pStyle w:val="yHeading5"/>
      </w:pPr>
      <w:bookmarkStart w:id="1058" w:name="_Toc398890270"/>
      <w:bookmarkStart w:id="1059" w:name="_Toc1492270"/>
      <w:r>
        <w:rPr>
          <w:rStyle w:val="CharSClsNo"/>
        </w:rPr>
        <w:t>44</w:t>
      </w:r>
      <w:r>
        <w:t>.</w:t>
      </w:r>
      <w:r>
        <w:tab/>
        <w:t>Certain directors to cease to hold office</w:t>
      </w:r>
      <w:bookmarkEnd w:id="1058"/>
      <w:bookmarkEnd w:id="1059"/>
    </w:p>
    <w:p>
      <w:pPr>
        <w:pStyle w:val="ySubsection"/>
      </w:pPr>
      <w:r>
        <w:tab/>
        <w:t>(1)</w:t>
      </w:r>
      <w:r>
        <w:tab/>
        <w:t xml:space="preserve">In this clause — </w:t>
      </w:r>
    </w:p>
    <w:p>
      <w:pPr>
        <w:pStyle w:val="yDefstart"/>
      </w:pPr>
      <w:r>
        <w:tab/>
      </w:r>
      <w:r>
        <w:rPr>
          <w:rStyle w:val="CharDefText"/>
        </w:rPr>
        <w:t>commencement</w:t>
      </w:r>
      <w:r>
        <w:t xml:space="preserve"> means the coming into operation of section 33 of the amending Act.</w:t>
      </w:r>
    </w:p>
    <w:p>
      <w:pPr>
        <w:pStyle w:val="ySubsection"/>
        <w:keepNext/>
      </w:pPr>
      <w:r>
        <w:tab/>
        <w:t>(2)</w:t>
      </w:r>
      <w:r>
        <w:tab/>
        <w:t xml:space="preserve">On commencement — </w:t>
      </w:r>
    </w:p>
    <w:p>
      <w:pPr>
        <w:pStyle w:val="yIndenta"/>
      </w:pPr>
      <w:r>
        <w:tab/>
        <w:t>(a)</w:t>
      </w:r>
      <w:r>
        <w:tab/>
        <w:t>the Company appointee and the Joint Venturers appointee, as defined in Schedule 6 clause 1.2 as enacted before commencement, cease to be directors of the Dampier Port Authority; and</w:t>
      </w:r>
    </w:p>
    <w:p>
      <w:pPr>
        <w:pStyle w:val="yIndenta"/>
      </w:pPr>
      <w:r>
        <w:tab/>
        <w:t>(b)</w:t>
      </w:r>
      <w:r>
        <w:tab/>
        <w:t>the first lessee appointee and the second lessee appointee, as defined in Schedule 6 clause 2.2 as enacted before commencement, cease to be directors of the Port Hedland Port Authority.</w:t>
      </w:r>
    </w:p>
    <w:p>
      <w:pPr>
        <w:pStyle w:val="yFootnotesection"/>
      </w:pPr>
      <w:r>
        <w:tab/>
        <w:t>[Clause 44 inserted: No. 9 of 2014 s. 35.]</w:t>
      </w:r>
    </w:p>
    <w:p>
      <w:pPr>
        <w:pStyle w:val="yHeading4"/>
      </w:pPr>
      <w:bookmarkStart w:id="1060" w:name="_Toc398890271"/>
      <w:bookmarkStart w:id="1061" w:name="_Toc424284706"/>
      <w:bookmarkStart w:id="1062" w:name="_Toc468975598"/>
      <w:bookmarkStart w:id="1063" w:name="_Toc468975962"/>
      <w:bookmarkStart w:id="1064" w:name="_Toc468978296"/>
      <w:bookmarkStart w:id="1065" w:name="_Toc1491907"/>
      <w:bookmarkStart w:id="1066" w:name="_Toc1492271"/>
      <w:r>
        <w:t>Subdivision 7</w:t>
      </w:r>
      <w:r>
        <w:rPr>
          <w:b w:val="0"/>
        </w:rPr>
        <w:t> — </w:t>
      </w:r>
      <w:r>
        <w:t>General provisions</w:t>
      </w:r>
      <w:bookmarkEnd w:id="1060"/>
      <w:bookmarkEnd w:id="1061"/>
      <w:bookmarkEnd w:id="1062"/>
      <w:bookmarkEnd w:id="1063"/>
      <w:bookmarkEnd w:id="1064"/>
      <w:bookmarkEnd w:id="1065"/>
      <w:bookmarkEnd w:id="1066"/>
    </w:p>
    <w:p>
      <w:pPr>
        <w:pStyle w:val="yFootnoteheading"/>
        <w:spacing w:after="120"/>
      </w:pPr>
      <w:r>
        <w:tab/>
        <w:t>[Heading inserted: No. 9 of 2014 s. 35.]</w:t>
      </w:r>
    </w:p>
    <w:p>
      <w:pPr>
        <w:pStyle w:val="yHeading5"/>
      </w:pPr>
      <w:bookmarkStart w:id="1067" w:name="_Toc398890272"/>
      <w:bookmarkStart w:id="1068" w:name="_Toc1492272"/>
      <w:r>
        <w:rPr>
          <w:rStyle w:val="CharSClsNo"/>
        </w:rPr>
        <w:t>45</w:t>
      </w:r>
      <w:r>
        <w:t>.</w:t>
      </w:r>
      <w:r>
        <w:tab/>
        <w:t>Terms used</w:t>
      </w:r>
      <w:bookmarkEnd w:id="1067"/>
      <w:bookmarkEnd w:id="1068"/>
    </w:p>
    <w:p>
      <w:pPr>
        <w:pStyle w:val="ySubsection"/>
      </w:pPr>
      <w:r>
        <w:tab/>
      </w:r>
      <w:r>
        <w:tab/>
        <w:t xml:space="preserve">In this Subdivision — </w:t>
      </w:r>
    </w:p>
    <w:p>
      <w:pPr>
        <w:pStyle w:val="yDefstart"/>
      </w:pPr>
      <w:r>
        <w:tab/>
      </w:r>
      <w:r>
        <w:rPr>
          <w:rStyle w:val="CharDefText"/>
        </w:rPr>
        <w:t>affecting provisions</w:t>
      </w:r>
      <w:r>
        <w:t xml:space="preserve"> means — </w:t>
      </w:r>
    </w:p>
    <w:p>
      <w:pPr>
        <w:pStyle w:val="yDefpara"/>
      </w:pPr>
      <w:r>
        <w:tab/>
        <w:t>(a)</w:t>
      </w:r>
      <w:r>
        <w:tab/>
        <w:t>section 31 of the amending Act; and</w:t>
      </w:r>
    </w:p>
    <w:p>
      <w:pPr>
        <w:pStyle w:val="yDefpara"/>
      </w:pPr>
      <w:r>
        <w:tab/>
        <w:t>(b)</w:t>
      </w:r>
      <w:r>
        <w:tab/>
        <w:t>this Division and transitional regulations;</w:t>
      </w:r>
    </w:p>
    <w:p>
      <w:pPr>
        <w:pStyle w:val="yDefstart"/>
      </w:pPr>
      <w:r>
        <w:tab/>
      </w:r>
      <w:r>
        <w:rPr>
          <w:rStyle w:val="CharDefText"/>
        </w:rPr>
        <w:t>new board</w:t>
      </w:r>
      <w:r>
        <w:t xml:space="preserve"> has the meaning given in clause 2, 16, 23 or 37;</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Defstart"/>
      </w:pPr>
      <w:r>
        <w:tab/>
      </w:r>
      <w:r>
        <w:rPr>
          <w:rStyle w:val="CharDefText"/>
        </w:rPr>
        <w:t>State tax</w:t>
      </w:r>
      <w:r>
        <w:t xml:space="preserve"> includes duty under the </w:t>
      </w:r>
      <w:r>
        <w:rPr>
          <w:i/>
        </w:rPr>
        <w:t>Duties Act 2008</w:t>
      </w:r>
      <w:r>
        <w:t xml:space="preserve"> and any other tax under a written law;</w:t>
      </w:r>
    </w:p>
    <w:p>
      <w:pPr>
        <w:pStyle w:val="yDefstart"/>
        <w:keepNext/>
      </w:pPr>
      <w:r>
        <w:tab/>
      </w:r>
      <w:r>
        <w:rPr>
          <w:rStyle w:val="CharDefText"/>
        </w:rPr>
        <w:t>transitional regulations</w:t>
      </w:r>
      <w:r>
        <w:t xml:space="preserve"> has the meaning given in clause 15(1), 22(1), 36(1) or 43(1).</w:t>
      </w:r>
    </w:p>
    <w:p>
      <w:pPr>
        <w:pStyle w:val="yFootnotesection"/>
      </w:pPr>
      <w:r>
        <w:tab/>
        <w:t>[Clause 45 inserted: No. 9 of 2014 s. 35.]</w:t>
      </w:r>
    </w:p>
    <w:p>
      <w:pPr>
        <w:pStyle w:val="yHeading5"/>
      </w:pPr>
      <w:bookmarkStart w:id="1069" w:name="_Toc398890273"/>
      <w:bookmarkStart w:id="1070" w:name="_Toc1492273"/>
      <w:r>
        <w:rPr>
          <w:rStyle w:val="CharSClsNo"/>
        </w:rPr>
        <w:t>46</w:t>
      </w:r>
      <w:r>
        <w:t>.</w:t>
      </w:r>
      <w:r>
        <w:tab/>
        <w:t>Exemption from State taxes</w:t>
      </w:r>
      <w:bookmarkEnd w:id="1069"/>
      <w:bookmarkEnd w:id="1070"/>
    </w:p>
    <w:p>
      <w:pPr>
        <w:pStyle w:val="ySubsection"/>
      </w:pPr>
      <w:r>
        <w:tab/>
      </w:r>
      <w:r>
        <w:tab/>
        <w:t xml:space="preserve">State tax is not payable in relation to — </w:t>
      </w:r>
    </w:p>
    <w:p>
      <w:pPr>
        <w:pStyle w:val="yIndenta"/>
      </w:pPr>
      <w:r>
        <w:tab/>
        <w:t>(a)</w:t>
      </w:r>
      <w:r>
        <w:tab/>
        <w:t>anything that occurs by the operation of the affecting provisions; or</w:t>
      </w:r>
    </w:p>
    <w:p>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pPr>
        <w:pStyle w:val="yFootnotesection"/>
      </w:pPr>
      <w:r>
        <w:tab/>
        <w:t>[Clause 46 inserted: No. 9 of 2014 s. 35.]</w:t>
      </w:r>
    </w:p>
    <w:p>
      <w:pPr>
        <w:pStyle w:val="yHeading5"/>
      </w:pPr>
      <w:bookmarkStart w:id="1071" w:name="_Toc398890274"/>
      <w:bookmarkStart w:id="1072" w:name="_Toc1492274"/>
      <w:r>
        <w:rPr>
          <w:rStyle w:val="CharSClsNo"/>
        </w:rPr>
        <w:t>47</w:t>
      </w:r>
      <w:r>
        <w:t>.</w:t>
      </w:r>
      <w:r>
        <w:tab/>
        <w:t>Registration of documents</w:t>
      </w:r>
      <w:bookmarkEnd w:id="1071"/>
      <w:bookmarkEnd w:id="1072"/>
    </w:p>
    <w:p>
      <w:pPr>
        <w:pStyle w:val="ySubsection"/>
      </w:pPr>
      <w:r>
        <w:tab/>
      </w:r>
      <w:r>
        <w:tab/>
        <w:t>The relevant officials are to take notice of the affecting provisions and are to record and register in the appropriate manner the documents necessary to show the effect of the affecting provisions.</w:t>
      </w:r>
    </w:p>
    <w:p>
      <w:pPr>
        <w:pStyle w:val="yFootnotesection"/>
      </w:pPr>
      <w:r>
        <w:tab/>
        <w:t>[Clause 47 inserted: No. 9 of 2014 s. 35.]</w:t>
      </w:r>
    </w:p>
    <w:p>
      <w:pPr>
        <w:pStyle w:val="yHeading5"/>
      </w:pPr>
      <w:bookmarkStart w:id="1073" w:name="_Toc398890275"/>
      <w:bookmarkStart w:id="1074" w:name="_Toc1492275"/>
      <w:r>
        <w:rPr>
          <w:rStyle w:val="CharSClsNo"/>
        </w:rPr>
        <w:t>48</w:t>
      </w:r>
      <w:r>
        <w:t>.</w:t>
      </w:r>
      <w:r>
        <w:tab/>
        <w:t>Matters that a new board can deal with</w:t>
      </w:r>
      <w:bookmarkEnd w:id="1073"/>
      <w:bookmarkEnd w:id="1074"/>
    </w:p>
    <w:p>
      <w:pPr>
        <w:pStyle w:val="ySubsection"/>
      </w:pPr>
      <w:r>
        <w:tab/>
      </w:r>
      <w:r>
        <w:tab/>
        <w:t xml:space="preserve">The matters referred to in clauses 5(2), 18(2), 26(2) and 39(2) are — </w:t>
      </w:r>
    </w:p>
    <w:p>
      <w:pPr>
        <w:pStyle w:val="yIndenta"/>
      </w:pPr>
      <w:r>
        <w:tab/>
        <w:t>(a)</w:t>
      </w:r>
      <w:r>
        <w:tab/>
        <w:t>staff issues including organisational structure, reporting accountabilities and employee roles and responsibilities;</w:t>
      </w:r>
    </w:p>
    <w:p>
      <w:pPr>
        <w:pStyle w:val="yIndenta"/>
      </w:pPr>
      <w:r>
        <w:tab/>
        <w:t>(b)</w:t>
      </w:r>
      <w:r>
        <w:tab/>
        <w:t>preparation for staff transfer including confirmation of employee details and entitlements;</w:t>
      </w:r>
    </w:p>
    <w:p>
      <w:pPr>
        <w:pStyle w:val="yIndenta"/>
      </w:pPr>
      <w:r>
        <w:tab/>
        <w:t>(c)</w:t>
      </w:r>
      <w:r>
        <w:tab/>
        <w:t>recruitment of staff if necessary;</w:t>
      </w:r>
    </w:p>
    <w:p>
      <w:pPr>
        <w:pStyle w:val="yIndenta"/>
      </w:pPr>
      <w:r>
        <w:tab/>
        <w:t>(d)</w:t>
      </w:r>
      <w:r>
        <w:tab/>
        <w:t xml:space="preserve">identification and assessment of issues relating to — </w:t>
      </w:r>
    </w:p>
    <w:p>
      <w:pPr>
        <w:pStyle w:val="yIndenti0"/>
      </w:pPr>
      <w:r>
        <w:tab/>
        <w:t>(i)</w:t>
      </w:r>
      <w:r>
        <w:tab/>
        <w:t>port boundaries;</w:t>
      </w:r>
    </w:p>
    <w:p>
      <w:pPr>
        <w:pStyle w:val="yIndenti0"/>
      </w:pPr>
      <w:r>
        <w:tab/>
        <w:t>(ii)</w:t>
      </w:r>
      <w:r>
        <w:tab/>
        <w:t xml:space="preserve">agreements affecting the port; </w:t>
      </w:r>
    </w:p>
    <w:p>
      <w:pPr>
        <w:pStyle w:val="yIndenti0"/>
      </w:pPr>
      <w:r>
        <w:tab/>
        <w:t>(iii)</w:t>
      </w:r>
      <w:r>
        <w:tab/>
        <w:t>mining tenements over port areas;</w:t>
      </w:r>
    </w:p>
    <w:p>
      <w:pPr>
        <w:pStyle w:val="yIndenti0"/>
      </w:pPr>
      <w:r>
        <w:tab/>
        <w:t>(iv)</w:t>
      </w:r>
      <w:r>
        <w:tab/>
        <w:t>contaminated sites;</w:t>
      </w:r>
    </w:p>
    <w:p>
      <w:pPr>
        <w:pStyle w:val="yIndenti0"/>
      </w:pPr>
      <w:r>
        <w:tab/>
        <w:t>(v)</w:t>
      </w:r>
      <w:r>
        <w:tab/>
        <w:t xml:space="preserve">waters in the port reserved under the </w:t>
      </w:r>
      <w:r>
        <w:rPr>
          <w:i/>
        </w:rPr>
        <w:t>Conservation and Land Management Act 1984</w:t>
      </w:r>
      <w:r>
        <w:t xml:space="preserve"> Part II Division 3;</w:t>
      </w:r>
    </w:p>
    <w:p>
      <w:pPr>
        <w:pStyle w:val="yIndenti0"/>
      </w:pPr>
      <w:r>
        <w:tab/>
        <w:t>(vi)</w:t>
      </w:r>
      <w:r>
        <w:tab/>
        <w:t>native title issues;</w:t>
      </w:r>
    </w:p>
    <w:p>
      <w:pPr>
        <w:pStyle w:val="yIndenti0"/>
      </w:pPr>
      <w:r>
        <w:tab/>
        <w:t>(vii)</w:t>
      </w:r>
      <w:r>
        <w:tab/>
        <w:t>operating and maintenance costs;</w:t>
      </w:r>
    </w:p>
    <w:p>
      <w:pPr>
        <w:pStyle w:val="yIndenti0"/>
      </w:pPr>
      <w:r>
        <w:tab/>
        <w:t>(viii)</w:t>
      </w:r>
      <w:r>
        <w:tab/>
        <w:t>community service obligations;</w:t>
      </w:r>
    </w:p>
    <w:p>
      <w:pPr>
        <w:pStyle w:val="yIndenti0"/>
      </w:pPr>
      <w:r>
        <w:tab/>
        <w:t>(ix)</w:t>
      </w:r>
      <w:r>
        <w:tab/>
        <w:t xml:space="preserve">leases, licences and permits; </w:t>
      </w:r>
    </w:p>
    <w:p>
      <w:pPr>
        <w:pStyle w:val="yIndenti0"/>
      </w:pPr>
      <w:r>
        <w:tab/>
        <w:t>(x)</w:t>
      </w:r>
      <w:r>
        <w:tab/>
        <w:t xml:space="preserve">port fees and charges; </w:t>
      </w:r>
    </w:p>
    <w:p>
      <w:pPr>
        <w:pStyle w:val="yIndenti0"/>
      </w:pPr>
      <w:r>
        <w:tab/>
        <w:t>(xi)</w:t>
      </w:r>
      <w:r>
        <w:tab/>
        <w:t>existing legal and commercial disputes and contingent liabilities;</w:t>
      </w:r>
    </w:p>
    <w:p>
      <w:pPr>
        <w:pStyle w:val="yIndenti0"/>
      </w:pPr>
      <w:r>
        <w:tab/>
        <w:t>(xii)</w:t>
      </w:r>
      <w:r>
        <w:tab/>
        <w:t>long term commitments,</w:t>
      </w:r>
    </w:p>
    <w:p>
      <w:pPr>
        <w:pStyle w:val="yIndenta"/>
      </w:pPr>
      <w:r>
        <w:tab/>
      </w:r>
      <w:r>
        <w:tab/>
        <w:t>and resolution of those issues so far as that is within the new board’s powers;</w:t>
      </w:r>
    </w:p>
    <w:p>
      <w:pPr>
        <w:pStyle w:val="yIndenta"/>
      </w:pPr>
      <w:r>
        <w:tab/>
        <w:t>(e)</w:t>
      </w:r>
      <w:r>
        <w:tab/>
        <w:t>review, and if necessary modification, of the existing port operating model;</w:t>
      </w:r>
    </w:p>
    <w:p>
      <w:pPr>
        <w:pStyle w:val="yIndenta"/>
      </w:pPr>
      <w:r>
        <w:tab/>
        <w:t>(f)</w:t>
      </w:r>
      <w:r>
        <w:tab/>
        <w:t xml:space="preserve">harmonisation of internal policies, standards, procedures, processes and reporting requirements on services and systems including — </w:t>
      </w:r>
    </w:p>
    <w:p>
      <w:pPr>
        <w:pStyle w:val="yIndenti0"/>
      </w:pPr>
      <w:r>
        <w:tab/>
        <w:t>(i)</w:t>
      </w:r>
      <w:r>
        <w:tab/>
        <w:t>operating activities;</w:t>
      </w:r>
    </w:p>
    <w:p>
      <w:pPr>
        <w:pStyle w:val="yIndenti0"/>
      </w:pPr>
      <w:r>
        <w:tab/>
        <w:t>(ii)</w:t>
      </w:r>
      <w:r>
        <w:tab/>
        <w:t>administrative functions;</w:t>
      </w:r>
    </w:p>
    <w:p>
      <w:pPr>
        <w:pStyle w:val="yIndenti0"/>
      </w:pPr>
      <w:r>
        <w:tab/>
        <w:t>(iii)</w:t>
      </w:r>
      <w:r>
        <w:tab/>
        <w:t>pricing and marketing principles and practices;</w:t>
      </w:r>
    </w:p>
    <w:p>
      <w:pPr>
        <w:pStyle w:val="yIndenti0"/>
      </w:pPr>
      <w:r>
        <w:tab/>
        <w:t>(iv)</w:t>
      </w:r>
      <w:r>
        <w:tab/>
        <w:t>financial and accounting systems, including the chart of accounts;</w:t>
      </w:r>
    </w:p>
    <w:p>
      <w:pPr>
        <w:pStyle w:val="yIndenti0"/>
      </w:pPr>
      <w:r>
        <w:tab/>
        <w:t>(v)</w:t>
      </w:r>
      <w:r>
        <w:tab/>
        <w:t>human resource services;</w:t>
      </w:r>
    </w:p>
    <w:p>
      <w:pPr>
        <w:pStyle w:val="yIndenti0"/>
      </w:pPr>
      <w:r>
        <w:tab/>
        <w:t>(vi)</w:t>
      </w:r>
      <w:r>
        <w:tab/>
        <w:t>information and communication activities;</w:t>
      </w:r>
    </w:p>
    <w:p>
      <w:pPr>
        <w:pStyle w:val="yIndenta"/>
      </w:pPr>
      <w:r>
        <w:tab/>
        <w:t>(g)</w:t>
      </w:r>
      <w:r>
        <w:tab/>
        <w:t>development of a draft strategic development plan, a draft statement of corporate intent, a draft income and cash flow statement and a draft statement of financial position;</w:t>
      </w:r>
    </w:p>
    <w:p>
      <w:pPr>
        <w:pStyle w:val="yIndenta"/>
      </w:pPr>
      <w:r>
        <w:tab/>
        <w:t>(h)</w:t>
      </w:r>
      <w:r>
        <w:tab/>
        <w:t>development of any other plans that a port authority is required to have under any written law;</w:t>
      </w:r>
    </w:p>
    <w:p>
      <w:pPr>
        <w:pStyle w:val="yIndenta"/>
      </w:pPr>
      <w:r>
        <w:tab/>
        <w:t>(i)</w:t>
      </w:r>
      <w:r>
        <w:tab/>
        <w:t>budgetary matters;</w:t>
      </w:r>
    </w:p>
    <w:p>
      <w:pPr>
        <w:pStyle w:val="yIndenta"/>
      </w:pPr>
      <w:r>
        <w:tab/>
        <w:t>(j)</w:t>
      </w:r>
      <w:r>
        <w:tab/>
        <w:t xml:space="preserve">matters relating to the transfer of assets and liabilities including — </w:t>
      </w:r>
    </w:p>
    <w:p>
      <w:pPr>
        <w:pStyle w:val="yIndenti0"/>
      </w:pPr>
      <w:r>
        <w:tab/>
        <w:t>(i)</w:t>
      </w:r>
      <w:r>
        <w:tab/>
        <w:t>asset and liability inventories;</w:t>
      </w:r>
    </w:p>
    <w:p>
      <w:pPr>
        <w:pStyle w:val="yIndenti0"/>
      </w:pPr>
      <w:r>
        <w:tab/>
        <w:t>(ii)</w:t>
      </w:r>
      <w:r>
        <w:tab/>
        <w:t>valuation of assets and liabilities;</w:t>
      </w:r>
    </w:p>
    <w:p>
      <w:pPr>
        <w:pStyle w:val="yIndenti0"/>
      </w:pPr>
      <w:r>
        <w:tab/>
        <w:t>(iii)</w:t>
      </w:r>
      <w:r>
        <w:tab/>
        <w:t>processes for transfer;</w:t>
      </w:r>
    </w:p>
    <w:p>
      <w:pPr>
        <w:pStyle w:val="yIndenta"/>
      </w:pPr>
      <w:r>
        <w:tab/>
        <w:t>(k)</w:t>
      </w:r>
      <w:r>
        <w:tab/>
        <w:t>employment or engagement of persons to provide management, financial, legal or other services or advice.</w:t>
      </w:r>
    </w:p>
    <w:p>
      <w:pPr>
        <w:pStyle w:val="yFootnotesection"/>
      </w:pPr>
      <w:r>
        <w:tab/>
        <w:t>[Clause 48 inserted: No. 9 of 2014 s. 35.]</w:t>
      </w:r>
    </w:p>
    <w:p>
      <w:pPr>
        <w:pStyle w:val="yHeading5"/>
      </w:pPr>
      <w:bookmarkStart w:id="1075" w:name="_Toc398890276"/>
      <w:bookmarkStart w:id="1076" w:name="_Toc1492276"/>
      <w:r>
        <w:rPr>
          <w:rStyle w:val="CharSClsNo"/>
        </w:rPr>
        <w:t>49</w:t>
      </w:r>
      <w:r>
        <w:t>.</w:t>
      </w:r>
      <w:r>
        <w:tab/>
        <w:t>Operation of transitional regulations</w:t>
      </w:r>
      <w:bookmarkEnd w:id="1075"/>
      <w:bookmarkEnd w:id="1076"/>
    </w:p>
    <w:p>
      <w:pPr>
        <w:pStyle w:val="ySubsection"/>
      </w:pPr>
      <w:r>
        <w:tab/>
      </w:r>
      <w:r>
        <w:tab/>
        <w:t xml:space="preserve">If transitional regulations contain a provision referred to in clause 15(3), 22(3), 36(3) or 43(3),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49 inserted: No. 9 of 2014 s. 35.]</w:t>
      </w:r>
    </w:p>
    <w:p>
      <w:pPr>
        <w:pStyle w:val="yHeading5"/>
      </w:pPr>
      <w:bookmarkStart w:id="1077" w:name="_Toc398890277"/>
      <w:bookmarkStart w:id="1078" w:name="_Toc1492277"/>
      <w:r>
        <w:rPr>
          <w:rStyle w:val="CharSClsNo"/>
        </w:rPr>
        <w:t>50</w:t>
      </w:r>
      <w:r>
        <w:t>.</w:t>
      </w:r>
      <w:r>
        <w:tab/>
        <w:t>Saving</w:t>
      </w:r>
      <w:bookmarkEnd w:id="1077"/>
      <w:bookmarkEnd w:id="1078"/>
    </w:p>
    <w:p>
      <w:pPr>
        <w:pStyle w:val="ySubsection"/>
      </w:pPr>
      <w:r>
        <w:tab/>
        <w:t>(1)</w:t>
      </w:r>
      <w:r>
        <w:tab/>
        <w:t xml:space="preserve">The operation of any of the affecting provisions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 xml:space="preserve">as </w:t>
      </w:r>
      <w:r>
        <w:rPr>
          <w:snapToGrid w:val="0"/>
        </w:rPr>
        <w:t>giving rise to any right to damages or compensation; or</w:t>
      </w:r>
    </w:p>
    <w:p>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pPr>
        <w:pStyle w:val="yIndenta"/>
      </w:pPr>
      <w:r>
        <w:tab/>
        <w:t>(e)</w:t>
      </w:r>
      <w:r>
        <w:tab/>
        <w:t>as causing any contract or instrument to be void or otherwise unenforceable; or</w:t>
      </w:r>
    </w:p>
    <w:p>
      <w:pPr>
        <w:pStyle w:val="yIndenta"/>
      </w:pPr>
      <w:r>
        <w:tab/>
        <w:t>(f)</w:t>
      </w:r>
      <w:r>
        <w:tab/>
        <w:t>as releasing or allowing the release of any surety.</w:t>
      </w:r>
    </w:p>
    <w:p>
      <w:pPr>
        <w:pStyle w:val="ySubsection"/>
        <w:keepNext/>
      </w:pPr>
      <w:r>
        <w:tab/>
        <w:t>(2)</w:t>
      </w:r>
      <w:r>
        <w:tab/>
        <w:t xml:space="preserve">This Division and transitional regulations are additional to any relevant provisions of the </w:t>
      </w:r>
      <w:r>
        <w:rPr>
          <w:i/>
        </w:rPr>
        <w:t>Interpretation Act 1984</w:t>
      </w:r>
      <w:r>
        <w:t>.</w:t>
      </w:r>
    </w:p>
    <w:p>
      <w:pPr>
        <w:pStyle w:val="yFootnotesection"/>
      </w:pPr>
      <w:r>
        <w:tab/>
        <w:t>[Clause 50 inserted: No. 9 of 2014 s. 35.]</w:t>
      </w:r>
    </w:p>
    <w:p>
      <w:pPr>
        <w:pStyle w:val="yHeading5"/>
      </w:pPr>
      <w:bookmarkStart w:id="1079" w:name="_Toc398890278"/>
      <w:bookmarkStart w:id="1080" w:name="_Toc1492278"/>
      <w:r>
        <w:rPr>
          <w:rStyle w:val="CharSClsNo"/>
        </w:rPr>
        <w:t>51</w:t>
      </w:r>
      <w:r>
        <w:t>.</w:t>
      </w:r>
      <w:r>
        <w:tab/>
        <w:t>Government agreements not affected</w:t>
      </w:r>
      <w:bookmarkEnd w:id="1079"/>
      <w:bookmarkEnd w:id="1080"/>
    </w:p>
    <w:p>
      <w:pPr>
        <w:pStyle w:val="ySubsection"/>
      </w:pPr>
      <w:r>
        <w:tab/>
        <w:t>(1)</w:t>
      </w:r>
      <w:r>
        <w:tab/>
        <w:t>The affecting provisions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51 inserted: No. 9 of 2014 s. 35.]</w:t>
      </w:r>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yScheduleHeading"/>
      </w:pPr>
      <w:bookmarkStart w:id="1081" w:name="_Toc398890279"/>
      <w:bookmarkStart w:id="1082" w:name="_Toc424284714"/>
      <w:bookmarkStart w:id="1083" w:name="_Toc468975606"/>
      <w:bookmarkStart w:id="1084" w:name="_Toc468975970"/>
      <w:bookmarkStart w:id="1085" w:name="_Toc468978304"/>
      <w:bookmarkStart w:id="1086" w:name="_Toc1491915"/>
      <w:bookmarkStart w:id="1087" w:name="_Toc1492279"/>
      <w:r>
        <w:rPr>
          <w:rStyle w:val="CharSchNo"/>
        </w:rPr>
        <w:t>Schedule 9</w:t>
      </w:r>
      <w:r>
        <w:t> — </w:t>
      </w:r>
      <w:r>
        <w:rPr>
          <w:rStyle w:val="CharSchText"/>
        </w:rPr>
        <w:t>Placing additional ports under a port authority’s control and management</w:t>
      </w:r>
      <w:bookmarkEnd w:id="1081"/>
      <w:bookmarkEnd w:id="1082"/>
      <w:bookmarkEnd w:id="1083"/>
      <w:bookmarkEnd w:id="1084"/>
      <w:bookmarkEnd w:id="1085"/>
      <w:bookmarkEnd w:id="1086"/>
      <w:bookmarkEnd w:id="1087"/>
      <w:r>
        <w:t xml:space="preserve"> </w:t>
      </w:r>
    </w:p>
    <w:p>
      <w:pPr>
        <w:pStyle w:val="yShoulderClause"/>
      </w:pPr>
      <w:r>
        <w:t>[s. 4(2A)(b)]</w:t>
      </w:r>
    </w:p>
    <w:p>
      <w:pPr>
        <w:pStyle w:val="yFootnoteheading"/>
      </w:pPr>
      <w:r>
        <w:tab/>
        <w:t>[Heading inserted: No. 9 of 2014 s. 36.]</w:t>
      </w:r>
    </w:p>
    <w:p>
      <w:pPr>
        <w:pStyle w:val="yHeading5"/>
      </w:pPr>
      <w:bookmarkStart w:id="1088" w:name="_Toc398890280"/>
      <w:bookmarkStart w:id="1089" w:name="_Toc1492280"/>
      <w:r>
        <w:rPr>
          <w:rStyle w:val="CharSClsNo"/>
        </w:rPr>
        <w:t>1</w:t>
      </w:r>
      <w:r>
        <w:t>.</w:t>
      </w:r>
      <w:r>
        <w:tab/>
        <w:t>Terms used</w:t>
      </w:r>
      <w:bookmarkEnd w:id="1088"/>
      <w:bookmarkEnd w:id="1089"/>
    </w:p>
    <w:p>
      <w:pPr>
        <w:pStyle w:val="ySubsection"/>
      </w:pPr>
      <w:r>
        <w:tab/>
      </w:r>
      <w:r>
        <w:tab/>
        <w:t xml:space="preserve">In this Schedule — </w:t>
      </w:r>
    </w:p>
    <w:p>
      <w:pPr>
        <w:pStyle w:val="yDefstart"/>
      </w:pPr>
      <w:r>
        <w:tab/>
      </w:r>
      <w:r>
        <w:rPr>
          <w:rStyle w:val="CharDefText"/>
        </w:rPr>
        <w:t>Government agreement</w:t>
      </w:r>
      <w:r>
        <w:t xml:space="preserve"> has the meaning given in Schedule 8 clause 1;</w:t>
      </w:r>
    </w:p>
    <w:p>
      <w:pPr>
        <w:pStyle w:val="yDefstart"/>
      </w:pPr>
      <w:r>
        <w:tab/>
      </w:r>
      <w:r>
        <w:rPr>
          <w:rStyle w:val="CharDefText"/>
        </w:rPr>
        <w:t>port</w:t>
      </w:r>
      <w:r>
        <w:rPr>
          <w:b/>
          <w:i/>
        </w:rPr>
        <w:t xml:space="preserve"> </w:t>
      </w:r>
      <w:r>
        <w:t>means a port other than a port named in regulations referred to in the</w:t>
      </w:r>
      <w:r>
        <w:rPr>
          <w:i/>
        </w:rPr>
        <w:t xml:space="preserve"> Shipping and Pilotage Act 1967 </w:t>
      </w:r>
      <w:r>
        <w:t>section 10(1a);</w:t>
      </w:r>
    </w:p>
    <w:p>
      <w:pPr>
        <w:pStyle w:val="yDefstart"/>
      </w:pPr>
      <w:r>
        <w:rPr>
          <w:i/>
        </w:rPr>
        <w:tab/>
      </w:r>
      <w:r>
        <w:rPr>
          <w:rStyle w:val="CharDefText"/>
        </w:rPr>
        <w:t>port addition</w:t>
      </w:r>
      <w:r>
        <w:rPr>
          <w:b/>
          <w:i/>
        </w:rPr>
        <w:t xml:space="preserve"> </w:t>
      </w:r>
      <w:r>
        <w:t>means the placing of a port under the control and management of a port authority by regulations referred to in clause 2(1), whether or not those regulations have come into operation.</w:t>
      </w:r>
    </w:p>
    <w:p>
      <w:pPr>
        <w:pStyle w:val="yFootnotesection"/>
        <w:rPr>
          <w:i w:val="0"/>
        </w:rPr>
      </w:pPr>
      <w:r>
        <w:tab/>
        <w:t>[Clause 1 inserted: No. 9 of 2014 s. 36.]</w:t>
      </w:r>
    </w:p>
    <w:p>
      <w:pPr>
        <w:pStyle w:val="yHeading5"/>
      </w:pPr>
      <w:bookmarkStart w:id="1090" w:name="_Toc398890281"/>
      <w:bookmarkStart w:id="1091" w:name="_Toc1492281"/>
      <w:r>
        <w:rPr>
          <w:rStyle w:val="CharSClsNo"/>
        </w:rPr>
        <w:t>2</w:t>
      </w:r>
      <w:r>
        <w:t>.</w:t>
      </w:r>
      <w:r>
        <w:tab/>
        <w:t>Regulations may place a port under the control and management of a port authority</w:t>
      </w:r>
      <w:bookmarkEnd w:id="1090"/>
      <w:bookmarkEnd w:id="1091"/>
    </w:p>
    <w:p>
      <w:pPr>
        <w:pStyle w:val="ySubsection"/>
      </w:pPr>
      <w:r>
        <w:tab/>
        <w:t>(1)</w:t>
      </w:r>
      <w:r>
        <w:tab/>
        <w:t>Regulations may place a port specified in the regulations under the control and management of a port authority specified in the regulations.</w:t>
      </w:r>
    </w:p>
    <w:p>
      <w:pPr>
        <w:pStyle w:val="ySubsection"/>
      </w:pPr>
      <w:r>
        <w:tab/>
        <w:t>(2)</w:t>
      </w:r>
      <w:r>
        <w:tab/>
        <w:t>Regulations may prescribe any matter that may be necessary or expedient to provide for, implement or facilitate a port addition.</w:t>
      </w:r>
    </w:p>
    <w:p>
      <w:pPr>
        <w:pStyle w:val="yFootnotesection"/>
      </w:pPr>
      <w:r>
        <w:tab/>
        <w:t>[Clause 2 inserted: No. 9 of 2014 s. 36.]</w:t>
      </w:r>
    </w:p>
    <w:p>
      <w:pPr>
        <w:pStyle w:val="yHeading5"/>
      </w:pPr>
      <w:bookmarkStart w:id="1092" w:name="_Toc398890282"/>
      <w:bookmarkStart w:id="1093" w:name="_Toc1492282"/>
      <w:r>
        <w:rPr>
          <w:rStyle w:val="CharSClsNo"/>
        </w:rPr>
        <w:t>3</w:t>
      </w:r>
      <w:r>
        <w:t>.</w:t>
      </w:r>
      <w:r>
        <w:tab/>
        <w:t>Port authority to implement or facilitate port addition</w:t>
      </w:r>
      <w:bookmarkEnd w:id="1092"/>
      <w:bookmarkEnd w:id="1093"/>
    </w:p>
    <w:p>
      <w:pPr>
        <w:pStyle w:val="ySubsection"/>
      </w:pPr>
      <w:r>
        <w:tab/>
        <w:t>(1)</w:t>
      </w:r>
      <w:r>
        <w:tab/>
        <w:t>If a port addition places, or will place, a port under the control and management of a port authority, the port authority is to do anything that is prescribed by regulations referred to in clause 2 and anything else that may be necessary or expedient to provide for, implement or facilitate the port addition.</w:t>
      </w:r>
    </w:p>
    <w:p>
      <w:pPr>
        <w:pStyle w:val="ySubsection"/>
        <w:keepNext/>
      </w:pPr>
      <w:r>
        <w:tab/>
        <w:t>(2)</w:t>
      </w:r>
      <w:r>
        <w:tab/>
        <w:t>The function conferred on a port authority by subclause (1) is in addition to any other function that it has.</w:t>
      </w:r>
    </w:p>
    <w:p>
      <w:pPr>
        <w:pStyle w:val="yFootnotesection"/>
      </w:pPr>
      <w:r>
        <w:tab/>
        <w:t>[Clause 3 inserted: No. 9 of 2014 s. 36.]</w:t>
      </w:r>
    </w:p>
    <w:p>
      <w:pPr>
        <w:pStyle w:val="yHeading5"/>
      </w:pPr>
      <w:bookmarkStart w:id="1094" w:name="_Toc398890283"/>
      <w:bookmarkStart w:id="1095" w:name="_Toc1492283"/>
      <w:r>
        <w:rPr>
          <w:rStyle w:val="CharSClsNo"/>
        </w:rPr>
        <w:t>4</w:t>
      </w:r>
      <w:r>
        <w:t>.</w:t>
      </w:r>
      <w:r>
        <w:tab/>
        <w:t>Government agreements not affected</w:t>
      </w:r>
      <w:bookmarkEnd w:id="1094"/>
      <w:bookmarkEnd w:id="1095"/>
    </w:p>
    <w:p>
      <w:pPr>
        <w:pStyle w:val="ySubsection"/>
      </w:pPr>
      <w:r>
        <w:tab/>
        <w:t>(1)</w:t>
      </w:r>
      <w:r>
        <w:tab/>
        <w:t>The provisions of this Schedule or regulations referred to in this Schedule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4 inserted: No. 9 of 2014 s. 36.]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nHeading2"/>
        <w:outlineLvl w:val="0"/>
      </w:pPr>
      <w:bookmarkStart w:id="1096" w:name="_Toc398890284"/>
      <w:bookmarkStart w:id="1097" w:name="_Toc424284719"/>
      <w:bookmarkStart w:id="1098" w:name="_Toc468975611"/>
      <w:bookmarkStart w:id="1099" w:name="_Toc468975975"/>
      <w:bookmarkStart w:id="1100" w:name="_Toc468978309"/>
      <w:bookmarkStart w:id="1101" w:name="_Toc1491920"/>
      <w:bookmarkStart w:id="1102" w:name="_Toc1492284"/>
      <w:r>
        <w:t>Notes</w:t>
      </w:r>
      <w:bookmarkEnd w:id="1096"/>
      <w:bookmarkEnd w:id="1097"/>
      <w:bookmarkEnd w:id="1098"/>
      <w:bookmarkEnd w:id="1099"/>
      <w:bookmarkEnd w:id="1100"/>
      <w:bookmarkEnd w:id="1101"/>
      <w:bookmarkEnd w:id="1102"/>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 </w:t>
      </w:r>
      <w:r>
        <w:rPr>
          <w:snapToGrid w:val="0"/>
          <w:vertAlign w:val="superscript"/>
        </w:rPr>
        <w:t>4, 6</w:t>
      </w:r>
      <w:r>
        <w:rPr>
          <w:snapToGrid w:val="0"/>
        </w:rPr>
        <w:t>.  The table also contains information about any reprint.</w:t>
      </w:r>
    </w:p>
    <w:p>
      <w:pPr>
        <w:pStyle w:val="nHeading3"/>
        <w:rPr>
          <w:snapToGrid w:val="0"/>
        </w:rPr>
      </w:pPr>
      <w:bookmarkStart w:id="1103" w:name="_Toc1492285"/>
      <w:r>
        <w:rPr>
          <w:snapToGrid w:val="0"/>
        </w:rPr>
        <w:t>Compilation table</w:t>
      </w:r>
      <w:bookmarkEnd w:id="110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cantSplit/>
        </w:trPr>
        <w:tc>
          <w:tcPr>
            <w:tcW w:w="2268" w:type="dxa"/>
            <w:tcBorders>
              <w:top w:val="single" w:sz="8" w:space="0" w:color="auto"/>
              <w:bottom w:val="nil"/>
            </w:tcBorders>
          </w:tcPr>
          <w:p>
            <w:pPr>
              <w:pStyle w:val="nTable"/>
              <w:spacing w:after="40"/>
              <w:ind w:right="113"/>
              <w:rPr>
                <w:rFonts w:ascii="Times New Roman" w:hAnsi="Times New Roman"/>
                <w:i/>
              </w:rPr>
            </w:pPr>
            <w:r>
              <w:rPr>
                <w:rFonts w:ascii="Times New Roman" w:hAnsi="Times New Roman"/>
                <w:i/>
              </w:rPr>
              <w:t>Port Authorities Act 1999</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22 of 1999</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29 Jun 1999</w:t>
            </w:r>
          </w:p>
        </w:tc>
        <w:tc>
          <w:tcPr>
            <w:tcW w:w="2551" w:type="dxa"/>
            <w:tcBorders>
              <w:top w:val="single" w:sz="8" w:space="0" w:color="auto"/>
              <w:bottom w:val="nil"/>
            </w:tcBorders>
          </w:tcPr>
          <w:p>
            <w:pPr>
              <w:pStyle w:val="nTable"/>
              <w:spacing w:after="40"/>
              <w:rPr>
                <w:rFonts w:ascii="Times New Roman" w:hAnsi="Times New Roman"/>
              </w:rPr>
            </w:pPr>
            <w:r>
              <w:rPr>
                <w:rFonts w:ascii="Times New Roman" w:hAnsi="Times New Roman"/>
                <w:color w:val="000000"/>
              </w:rPr>
              <w:t>s. 1 and 2: 29 Jun 1999;</w:t>
            </w:r>
            <w:r>
              <w:rPr>
                <w:rFonts w:ascii="Times New Roman" w:hAnsi="Times New Roman"/>
                <w:color w:val="000000"/>
              </w:rPr>
              <w:br/>
            </w:r>
            <w:r>
              <w:rPr>
                <w:rFonts w:ascii="Times New Roman" w:hAnsi="Times New Roman"/>
              </w:rPr>
              <w:t xml:space="preserve">Act other than s. 1 and 2 and Sch. 1 it. 2: 14 Aug 1999 (see s. 2 and </w:t>
            </w:r>
            <w:r>
              <w:rPr>
                <w:rFonts w:ascii="Times New Roman" w:hAnsi="Times New Roman"/>
                <w:i/>
              </w:rPr>
              <w:t>Gazette</w:t>
            </w:r>
            <w:r>
              <w:rPr>
                <w:rFonts w:ascii="Times New Roman" w:hAnsi="Times New Roman"/>
              </w:rPr>
              <w:t xml:space="preserve"> 13 Aug 1999 p. 3823);</w:t>
            </w:r>
            <w:r>
              <w:rPr>
                <w:rFonts w:ascii="Times New Roman" w:hAnsi="Times New Roman"/>
              </w:rPr>
              <w:br/>
              <w:t xml:space="preserve">Sch. 1 it. 2: 1 Jan 2000 (see s. 2 and </w:t>
            </w:r>
            <w:r>
              <w:rPr>
                <w:rFonts w:ascii="Times New Roman" w:hAnsi="Times New Roman"/>
                <w:i/>
              </w:rPr>
              <w:t>Gazette</w:t>
            </w:r>
            <w:r>
              <w:rPr>
                <w:rFonts w:ascii="Times New Roman" w:hAnsi="Times New Roman"/>
              </w:rPr>
              <w:t xml:space="preserve"> 24 Dec 1999 p. 6871)</w:t>
            </w:r>
          </w:p>
        </w:tc>
      </w:tr>
      <w:tr>
        <w:trPr>
          <w:cantSplit/>
        </w:trPr>
        <w:tc>
          <w:tcPr>
            <w:tcW w:w="2268" w:type="dxa"/>
            <w:tcBorders>
              <w:top w:val="nil"/>
              <w:bottom w:val="nil"/>
            </w:tcBorders>
          </w:tcPr>
          <w:p>
            <w:pPr>
              <w:pStyle w:val="nTable"/>
              <w:spacing w:after="40"/>
              <w:ind w:right="113"/>
              <w:rPr>
                <w:rFonts w:ascii="Times New Roman" w:hAnsi="Times New Roman"/>
                <w:i/>
              </w:rPr>
            </w:pPr>
            <w:r>
              <w:rPr>
                <w:rFonts w:ascii="Times New Roman" w:hAnsi="Times New Roman"/>
                <w:i/>
              </w:rPr>
              <w:t>State Superannuation (Transitional and Consequential Provisions) Act 2000</w:t>
            </w:r>
            <w:r>
              <w:rPr>
                <w:rFonts w:ascii="Times New Roman" w:hAnsi="Times New Roman"/>
              </w:rPr>
              <w:t xml:space="preserve"> s. 58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43 of 2000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 Nov 2000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17 Feb 2001 (see s. 2(1) and </w:t>
            </w:r>
            <w:r>
              <w:rPr>
                <w:rFonts w:ascii="Times New Roman" w:hAnsi="Times New Roman"/>
                <w:i/>
              </w:rPr>
              <w:t>Gazette</w:t>
            </w:r>
            <w:r>
              <w:rPr>
                <w:rFonts w:ascii="Times New Roman" w:hAnsi="Times New Roman"/>
              </w:rPr>
              <w:t xml:space="preserve"> 16 Feb 2001 p. 903)</w:t>
            </w:r>
          </w:p>
        </w:tc>
      </w:tr>
      <w:tr>
        <w:trPr>
          <w:cantSplit/>
        </w:trPr>
        <w:tc>
          <w:tcPr>
            <w:tcW w:w="2268" w:type="dxa"/>
            <w:tcBorders>
              <w:top w:val="nil"/>
              <w:bottom w:val="nil"/>
            </w:tcBorders>
          </w:tcPr>
          <w:p>
            <w:pPr>
              <w:pStyle w:val="nTable"/>
              <w:spacing w:after="40"/>
              <w:ind w:right="113"/>
              <w:rPr>
                <w:rFonts w:ascii="Times New Roman" w:hAnsi="Times New Roman"/>
                <w:i/>
              </w:rPr>
            </w:pPr>
            <w:r>
              <w:rPr>
                <w:rFonts w:ascii="Times New Roman" w:hAnsi="Times New Roman"/>
                <w:i/>
              </w:rPr>
              <w:t>Corporations (Consequential Amendments) Act 2001</w:t>
            </w:r>
            <w:r>
              <w:rPr>
                <w:rFonts w:ascii="Times New Roman" w:hAnsi="Times New Roman"/>
              </w:rPr>
              <w:t xml:space="preserve"> Pt. 45</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10 of 2001</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28 Jun 2001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15 Jul 2001 (see s. 2 and </w:t>
            </w:r>
            <w:r>
              <w:rPr>
                <w:rFonts w:ascii="Times New Roman" w:hAnsi="Times New Roman"/>
                <w:i/>
              </w:rPr>
              <w:t>Gazette</w:t>
            </w:r>
            <w:r>
              <w:rPr>
                <w:rFonts w:ascii="Times New Roman" w:hAnsi="Times New Roman"/>
              </w:rPr>
              <w:t xml:space="preserve"> 29 Jun 2001 p. 3257 and Cwlth. </w:t>
            </w:r>
            <w:r>
              <w:rPr>
                <w:rFonts w:ascii="Times New Roman" w:hAnsi="Times New Roman"/>
                <w:i/>
              </w:rPr>
              <w:t>Gazette</w:t>
            </w:r>
            <w:r>
              <w:rPr>
                <w:rFonts w:ascii="Times New Roman" w:hAnsi="Times New Roman"/>
              </w:rPr>
              <w:t xml:space="preserve"> 13 Jul 2001 No. S285)</w:t>
            </w:r>
          </w:p>
        </w:tc>
      </w:tr>
      <w:tr>
        <w:trPr>
          <w:cantSplit/>
        </w:trPr>
        <w:tc>
          <w:tcPr>
            <w:tcW w:w="2268" w:type="dxa"/>
            <w:tcBorders>
              <w:top w:val="nil"/>
              <w:bottom w:val="nil"/>
            </w:tcBorders>
          </w:tcPr>
          <w:p>
            <w:pPr>
              <w:pStyle w:val="nTable"/>
              <w:spacing w:after="40"/>
              <w:ind w:right="113"/>
              <w:rPr>
                <w:rFonts w:ascii="Times New Roman" w:hAnsi="Times New Roman"/>
              </w:rPr>
            </w:pPr>
            <w:r>
              <w:rPr>
                <w:rFonts w:ascii="Times New Roman" w:hAnsi="Times New Roman"/>
                <w:i/>
              </w:rPr>
              <w:t>Labour Relations Reform Act 2002</w:t>
            </w:r>
            <w:r>
              <w:rPr>
                <w:rFonts w:ascii="Times New Roman" w:hAnsi="Times New Roman"/>
              </w:rPr>
              <w:t xml:space="preserve"> s. 23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20 of 2002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8 Jul 2002</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15 Sep 2002 (see s. 2(1) and </w:t>
            </w:r>
            <w:r>
              <w:rPr>
                <w:rFonts w:ascii="Times New Roman" w:hAnsi="Times New Roman"/>
                <w:i/>
              </w:rPr>
              <w:t>Gazette</w:t>
            </w:r>
            <w:r>
              <w:rPr>
                <w:rFonts w:ascii="Times New Roman" w:hAnsi="Times New Roman"/>
              </w:rPr>
              <w:t xml:space="preserve"> 6 Sep 2002 p. 4487)</w:t>
            </w:r>
          </w:p>
        </w:tc>
      </w:tr>
      <w:tr>
        <w:trPr>
          <w:cantSplit/>
        </w:trPr>
        <w:tc>
          <w:tcPr>
            <w:tcW w:w="4535" w:type="dxa"/>
            <w:gridSpan w:val="3"/>
            <w:tcBorders>
              <w:top w:val="nil"/>
              <w:bottom w:val="nil"/>
            </w:tcBorders>
          </w:tcPr>
          <w:p>
            <w:pPr>
              <w:pStyle w:val="nTable"/>
              <w:spacing w:after="40"/>
              <w:rPr>
                <w:rFonts w:ascii="Times New Roman" w:hAnsi="Times New Roman"/>
              </w:rPr>
            </w:pPr>
            <w:r>
              <w:rPr>
                <w:rFonts w:ascii="Times New Roman" w:hAnsi="Times New Roman"/>
                <w:i/>
              </w:rPr>
              <w:t>Port Authorities (Act Amendment) Regulations 2003</w:t>
            </w:r>
            <w:r>
              <w:rPr>
                <w:rFonts w:ascii="Times New Roman" w:hAnsi="Times New Roman"/>
              </w:rPr>
              <w:t xml:space="preserve"> published in </w:t>
            </w:r>
            <w:r>
              <w:rPr>
                <w:rFonts w:ascii="Times New Roman" w:hAnsi="Times New Roman"/>
                <w:i/>
              </w:rPr>
              <w:t>Gazette</w:t>
            </w:r>
            <w:r>
              <w:rPr>
                <w:rFonts w:ascii="Times New Roman" w:hAnsi="Times New Roman"/>
              </w:rPr>
              <w:t xml:space="preserve"> 4 Mar 2003 p. 711</w:t>
            </w:r>
            <w:r>
              <w:rPr>
                <w:rFonts w:ascii="Times New Roman" w:hAnsi="Times New Roman"/>
              </w:rPr>
              <w:noBreakHyphen/>
              <w:t>22</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4 Mar 2003</w:t>
            </w:r>
          </w:p>
        </w:tc>
      </w:tr>
      <w:tr>
        <w:trPr>
          <w:cantSplit/>
        </w:trPr>
        <w:tc>
          <w:tcPr>
            <w:tcW w:w="2268" w:type="dxa"/>
            <w:tcBorders>
              <w:top w:val="nil"/>
              <w:bottom w:val="nil"/>
            </w:tcBorders>
          </w:tcPr>
          <w:p>
            <w:pPr>
              <w:pStyle w:val="nTable"/>
              <w:spacing w:after="40"/>
              <w:ind w:right="113"/>
              <w:rPr>
                <w:rFonts w:ascii="Times New Roman" w:hAnsi="Times New Roman"/>
              </w:rPr>
            </w:pPr>
            <w:r>
              <w:rPr>
                <w:rFonts w:ascii="Times New Roman" w:hAnsi="Times New Roman"/>
                <w:i/>
              </w:rPr>
              <w:t>Corporations (Consequential Amendments) Act (No. 3) 2003 </w:t>
            </w:r>
            <w:r>
              <w:rPr>
                <w:rFonts w:ascii="Times New Roman" w:hAnsi="Times New Roman"/>
              </w:rPr>
              <w:t>Pt. 11</w:t>
            </w:r>
            <w:r>
              <w:rPr>
                <w:rFonts w:ascii="Times New Roman" w:hAnsi="Times New Roman"/>
                <w:vertAlign w:val="superscript"/>
              </w:rPr>
              <w:t> 7</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21 of 2003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23 Apr 2003</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11 Mar 2002 (see s. 2 and Cwlth. </w:t>
            </w:r>
            <w:r>
              <w:rPr>
                <w:rFonts w:ascii="Times New Roman" w:hAnsi="Times New Roman"/>
                <w:i/>
              </w:rPr>
              <w:t>Gazette</w:t>
            </w:r>
            <w:r>
              <w:rPr>
                <w:rFonts w:ascii="Times New Roman" w:hAnsi="Times New Roman"/>
              </w:rPr>
              <w:t xml:space="preserve"> 24 Oct 2001 No. GN42)</w:t>
            </w:r>
          </w:p>
        </w:tc>
      </w:tr>
      <w:tr>
        <w:tblPrEx>
          <w:tblBorders>
            <w:top w:val="none" w:sz="0" w:space="0" w:color="auto"/>
            <w:bottom w:val="none" w:sz="0" w:space="0" w:color="auto"/>
            <w:insideH w:val="none" w:sz="0" w:space="0" w:color="auto"/>
          </w:tblBorders>
        </w:tblPrEx>
        <w:trPr>
          <w:cantSplit/>
        </w:trPr>
        <w:tc>
          <w:tcPr>
            <w:tcW w:w="4535" w:type="dxa"/>
            <w:gridSpan w:val="3"/>
          </w:tcPr>
          <w:p>
            <w:pPr>
              <w:pStyle w:val="nTable"/>
              <w:spacing w:after="40"/>
              <w:rPr>
                <w:rFonts w:ascii="Times New Roman" w:hAnsi="Times New Roman"/>
              </w:rPr>
            </w:pPr>
            <w:r>
              <w:rPr>
                <w:rFonts w:ascii="Times New Roman" w:hAnsi="Times New Roman"/>
                <w:i/>
                <w:spacing w:val="-2"/>
              </w:rPr>
              <w:t>Labour Relations Reform (Consequential Amendments) Regulations 2003</w:t>
            </w:r>
            <w:r>
              <w:rPr>
                <w:rFonts w:ascii="Times New Roman" w:hAnsi="Times New Roman"/>
                <w:spacing w:val="-2"/>
              </w:rPr>
              <w:t xml:space="preserve"> r. 12 published in </w:t>
            </w:r>
            <w:r>
              <w:rPr>
                <w:rFonts w:ascii="Times New Roman" w:hAnsi="Times New Roman"/>
                <w:i/>
                <w:spacing w:val="-2"/>
              </w:rPr>
              <w:t xml:space="preserve">Gazette </w:t>
            </w:r>
            <w:r>
              <w:rPr>
                <w:rFonts w:ascii="Times New Roman" w:hAnsi="Times New Roman"/>
              </w:rPr>
              <w:t>15 Aug 2003 p. 3685</w:t>
            </w:r>
            <w:r>
              <w:rPr>
                <w:rFonts w:ascii="Times New Roman" w:hAnsi="Times New Roman"/>
              </w:rPr>
              <w:noBreakHyphen/>
              <w:t>92</w:t>
            </w:r>
          </w:p>
        </w:tc>
        <w:tc>
          <w:tcPr>
            <w:tcW w:w="2551" w:type="dxa"/>
          </w:tcPr>
          <w:p>
            <w:pPr>
              <w:pStyle w:val="nTable"/>
              <w:spacing w:after="40"/>
              <w:rPr>
                <w:rFonts w:ascii="Times New Roman" w:hAnsi="Times New Roman"/>
              </w:rPr>
            </w:pPr>
            <w:r>
              <w:rPr>
                <w:rFonts w:ascii="Times New Roman" w:hAnsi="Times New Roman"/>
                <w:spacing w:val="-2"/>
              </w:rPr>
              <w:t>15 Sep 2003 (see r. 2)</w:t>
            </w:r>
          </w:p>
        </w:tc>
      </w:tr>
      <w:tr>
        <w:trPr>
          <w:cantSplit/>
        </w:trPr>
        <w:tc>
          <w:tcPr>
            <w:tcW w:w="2268" w:type="dxa"/>
            <w:tcBorders>
              <w:top w:val="nil"/>
              <w:bottom w:val="nil"/>
            </w:tcBorders>
          </w:tcPr>
          <w:p>
            <w:pPr>
              <w:pStyle w:val="nTable"/>
              <w:spacing w:after="40"/>
              <w:ind w:right="113"/>
              <w:rPr>
                <w:rFonts w:ascii="Times New Roman" w:hAnsi="Times New Roman"/>
              </w:rPr>
            </w:pPr>
            <w:r>
              <w:rPr>
                <w:rFonts w:ascii="Times New Roman" w:hAnsi="Times New Roman"/>
                <w:i/>
              </w:rPr>
              <w:t>Ports and Marine Legislation Amendment Act 2003</w:t>
            </w:r>
            <w:r>
              <w:rPr>
                <w:rFonts w:ascii="Times New Roman" w:hAnsi="Times New Roman"/>
              </w:rPr>
              <w:t xml:space="preserve"> Pt. 2 </w:t>
            </w:r>
            <w:r>
              <w:rPr>
                <w:rFonts w:ascii="Times New Roman" w:hAnsi="Times New Roman"/>
                <w:vertAlign w:val="superscript"/>
              </w:rPr>
              <w:t>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71 of 2003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15 Dec 2003</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s. 5 and 6: 14 Aug 1999 (see s. 2(2));</w:t>
            </w:r>
            <w:r>
              <w:rPr>
                <w:rFonts w:ascii="Times New Roman" w:hAnsi="Times New Roman"/>
              </w:rPr>
              <w:br/>
              <w:t>s. 4, 8 and 9: 15 Dec 2003 (see s. 2(1));</w:t>
            </w:r>
            <w:r>
              <w:rPr>
                <w:rFonts w:ascii="Times New Roman" w:hAnsi="Times New Roman"/>
              </w:rPr>
              <w:br/>
              <w:t xml:space="preserve">s. 7: 14 Feb 2004 (see s. 2(3) and </w:t>
            </w:r>
            <w:r>
              <w:rPr>
                <w:rFonts w:ascii="Times New Roman" w:hAnsi="Times New Roman"/>
                <w:i/>
              </w:rPr>
              <w:t>Gazette</w:t>
            </w:r>
            <w:r>
              <w:rPr>
                <w:rFonts w:ascii="Times New Roman" w:hAnsi="Times New Roman"/>
              </w:rPr>
              <w:t xml:space="preserve"> 13 Feb 2004 p. 537)</w:t>
            </w:r>
          </w:p>
        </w:tc>
      </w:tr>
      <w:tr>
        <w:trPr>
          <w:cantSplit/>
        </w:trPr>
        <w:tc>
          <w:tcPr>
            <w:tcW w:w="2268" w:type="dxa"/>
            <w:tcBorders>
              <w:top w:val="nil"/>
              <w:bottom w:val="nil"/>
            </w:tcBorders>
          </w:tcPr>
          <w:p>
            <w:pPr>
              <w:pStyle w:val="nTable"/>
              <w:spacing w:after="40"/>
              <w:ind w:right="113"/>
              <w:rPr>
                <w:rFonts w:ascii="Times New Roman" w:hAnsi="Times New Roman"/>
              </w:rPr>
            </w:pPr>
            <w:r>
              <w:rPr>
                <w:rFonts w:ascii="Times New Roman" w:hAnsi="Times New Roman"/>
                <w:i/>
              </w:rPr>
              <w:t>Statutes (Repeals and Minor Amendments) Act 2003</w:t>
            </w:r>
            <w:r>
              <w:rPr>
                <w:rFonts w:ascii="Times New Roman" w:hAnsi="Times New Roman"/>
              </w:rPr>
              <w:t xml:space="preserve"> s. 93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74 of 2003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15 Dec 2003</w:t>
            </w:r>
          </w:p>
        </w:tc>
        <w:tc>
          <w:tcPr>
            <w:tcW w:w="2551" w:type="dxa"/>
            <w:tcBorders>
              <w:top w:val="nil"/>
              <w:bottom w:val="nil"/>
            </w:tcBorders>
          </w:tcPr>
          <w:p>
            <w:pPr>
              <w:pStyle w:val="nTable"/>
              <w:spacing w:after="40"/>
              <w:rPr>
                <w:rFonts w:ascii="Times New Roman" w:hAnsi="Times New Roman"/>
              </w:rPr>
            </w:pPr>
            <w:r>
              <w:rPr>
                <w:rFonts w:ascii="Times New Roman" w:hAnsi="Times New Roman"/>
                <w:spacing w:val="-2"/>
              </w:rPr>
              <w:t>15 Dec 2003 (see s. 2)</w:t>
            </w:r>
          </w:p>
        </w:tc>
      </w:tr>
      <w:tr>
        <w:trPr>
          <w:cantSplit/>
        </w:trPr>
        <w:tc>
          <w:tcPr>
            <w:tcW w:w="2268" w:type="dxa"/>
            <w:tcBorders>
              <w:top w:val="nil"/>
              <w:bottom w:val="nil"/>
            </w:tcBorders>
          </w:tcPr>
          <w:p>
            <w:pPr>
              <w:pStyle w:val="nTable"/>
              <w:spacing w:after="40"/>
              <w:ind w:right="113"/>
              <w:rPr>
                <w:rFonts w:ascii="Times New Roman" w:hAnsi="Times New Roman"/>
                <w:i/>
              </w:rPr>
            </w:pPr>
            <w:r>
              <w:rPr>
                <w:rFonts w:ascii="Times New Roman" w:hAnsi="Times New Roman"/>
                <w:i/>
              </w:rPr>
              <w:t xml:space="preserve">Criminal Code Amendment Act 2004 </w:t>
            </w:r>
            <w:r>
              <w:rPr>
                <w:rFonts w:ascii="Times New Roman" w:hAnsi="Times New Roman"/>
              </w:rPr>
              <w:t>s. 58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4 of 2004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23 Apr 2004</w:t>
            </w:r>
          </w:p>
        </w:tc>
        <w:tc>
          <w:tcPr>
            <w:tcW w:w="2551" w:type="dxa"/>
            <w:tcBorders>
              <w:top w:val="nil"/>
              <w:bottom w:val="nil"/>
            </w:tcBorders>
          </w:tcPr>
          <w:p>
            <w:pPr>
              <w:pStyle w:val="nTable"/>
              <w:spacing w:after="40"/>
              <w:rPr>
                <w:rFonts w:ascii="Times New Roman" w:hAnsi="Times New Roman"/>
                <w:spacing w:val="-2"/>
              </w:rPr>
            </w:pPr>
            <w:r>
              <w:rPr>
                <w:rFonts w:ascii="Times New Roman" w:hAnsi="Times New Roman"/>
                <w:spacing w:val="-2"/>
              </w:rPr>
              <w:t>21 May 2004 (see s. 2)</w:t>
            </w:r>
          </w:p>
        </w:tc>
      </w:tr>
      <w:tr>
        <w:trPr>
          <w:cantSplit/>
        </w:trPr>
        <w:tc>
          <w:tcPr>
            <w:tcW w:w="2268" w:type="dxa"/>
            <w:tcBorders>
              <w:top w:val="nil"/>
              <w:bottom w:val="nil"/>
            </w:tcBorders>
          </w:tcPr>
          <w:p>
            <w:pPr>
              <w:pStyle w:val="nTable"/>
              <w:spacing w:after="40"/>
              <w:ind w:right="113"/>
              <w:rPr>
                <w:rFonts w:ascii="Times New Roman" w:hAnsi="Times New Roman"/>
                <w:i/>
              </w:rPr>
            </w:pPr>
            <w:r>
              <w:rPr>
                <w:rFonts w:ascii="Times New Roman" w:hAnsi="Times New Roman"/>
                <w:bCs/>
                <w:i/>
                <w:iCs/>
                <w:snapToGrid w:val="0"/>
              </w:rPr>
              <w:t>Dangerous Goods Safety Act 2004</w:t>
            </w:r>
            <w:r>
              <w:rPr>
                <w:rFonts w:ascii="Times New Roman" w:hAnsi="Times New Roman"/>
                <w:bCs/>
                <w:i/>
                <w:snapToGrid w:val="0"/>
              </w:rPr>
              <w:t xml:space="preserve"> </w:t>
            </w:r>
            <w:r>
              <w:rPr>
                <w:rFonts w:ascii="Times New Roman" w:hAnsi="Times New Roman"/>
                <w:bCs/>
                <w:iCs/>
                <w:snapToGrid w:val="0"/>
              </w:rPr>
              <w:t>s. 70</w:t>
            </w:r>
          </w:p>
        </w:tc>
        <w:tc>
          <w:tcPr>
            <w:tcW w:w="1134" w:type="dxa"/>
            <w:tcBorders>
              <w:top w:val="nil"/>
              <w:bottom w:val="nil"/>
            </w:tcBorders>
          </w:tcPr>
          <w:p>
            <w:pPr>
              <w:pStyle w:val="nTable"/>
              <w:spacing w:after="40"/>
              <w:rPr>
                <w:rFonts w:ascii="Times New Roman" w:hAnsi="Times New Roman"/>
              </w:rPr>
            </w:pPr>
            <w:r>
              <w:rPr>
                <w:rFonts w:ascii="Times New Roman" w:hAnsi="Times New Roman"/>
                <w:bCs/>
                <w:snapToGrid w:val="0"/>
              </w:rPr>
              <w:t>7 of 2004</w:t>
            </w:r>
          </w:p>
        </w:tc>
        <w:tc>
          <w:tcPr>
            <w:tcW w:w="1134" w:type="dxa"/>
            <w:tcBorders>
              <w:top w:val="nil"/>
              <w:bottom w:val="nil"/>
            </w:tcBorders>
          </w:tcPr>
          <w:p>
            <w:pPr>
              <w:pStyle w:val="nTable"/>
              <w:spacing w:after="40"/>
              <w:rPr>
                <w:rFonts w:ascii="Times New Roman" w:hAnsi="Times New Roman"/>
              </w:rPr>
            </w:pPr>
            <w:r>
              <w:rPr>
                <w:rFonts w:ascii="Times New Roman" w:hAnsi="Times New Roman"/>
                <w:bCs/>
              </w:rPr>
              <w:t>10 Jun 2004</w:t>
            </w:r>
          </w:p>
        </w:tc>
        <w:tc>
          <w:tcPr>
            <w:tcW w:w="2551" w:type="dxa"/>
            <w:tcBorders>
              <w:top w:val="nil"/>
              <w:bottom w:val="nil"/>
            </w:tcBorders>
          </w:tcPr>
          <w:p>
            <w:pPr>
              <w:pStyle w:val="nTable"/>
              <w:spacing w:after="40"/>
              <w:rPr>
                <w:rFonts w:ascii="Times New Roman" w:hAnsi="Times New Roman"/>
                <w:spacing w:val="-2"/>
              </w:rPr>
            </w:pPr>
            <w:r>
              <w:rPr>
                <w:rFonts w:ascii="Times New Roman" w:hAnsi="Times New Roman"/>
                <w:bCs/>
                <w:snapToGrid w:val="0"/>
              </w:rPr>
              <w:t xml:space="preserve">1 Mar 2008 (see s. 2 and </w:t>
            </w:r>
            <w:r>
              <w:rPr>
                <w:rFonts w:ascii="Times New Roman" w:hAnsi="Times New Roman"/>
                <w:bCs/>
                <w:i/>
                <w:iCs/>
                <w:snapToGrid w:val="0"/>
              </w:rPr>
              <w:t>Gazette</w:t>
            </w:r>
            <w:r>
              <w:rPr>
                <w:rFonts w:ascii="Times New Roman" w:hAnsi="Times New Roman"/>
                <w:bCs/>
                <w:snapToGrid w:val="0"/>
              </w:rPr>
              <w:t xml:space="preserve"> 29 Feb 2008 p. 669)</w:t>
            </w:r>
          </w:p>
        </w:tc>
      </w:tr>
      <w:tr>
        <w:trPr>
          <w:cantSplit/>
        </w:trPr>
        <w:tc>
          <w:tcPr>
            <w:tcW w:w="7087" w:type="dxa"/>
            <w:gridSpan w:val="4"/>
            <w:tcBorders>
              <w:top w:val="nil"/>
              <w:bottom w:val="nil"/>
            </w:tcBorders>
          </w:tcPr>
          <w:p>
            <w:pPr>
              <w:pStyle w:val="nTable"/>
              <w:spacing w:after="40"/>
              <w:rPr>
                <w:rFonts w:ascii="Times New Roman" w:hAnsi="Times New Roman"/>
                <w:spacing w:val="-2"/>
              </w:rPr>
            </w:pPr>
            <w:r>
              <w:rPr>
                <w:rFonts w:ascii="Times New Roman" w:hAnsi="Times New Roman"/>
                <w:b/>
                <w:spacing w:val="-2"/>
              </w:rPr>
              <w:t xml:space="preserve">Reprint 1: The </w:t>
            </w:r>
            <w:r>
              <w:rPr>
                <w:rFonts w:ascii="Times New Roman" w:hAnsi="Times New Roman"/>
                <w:b/>
                <w:i/>
                <w:spacing w:val="-2"/>
              </w:rPr>
              <w:t>Port Authorities Act 1999</w:t>
            </w:r>
            <w:r>
              <w:rPr>
                <w:rFonts w:ascii="Times New Roman" w:hAnsi="Times New Roman"/>
                <w:b/>
                <w:spacing w:val="-2"/>
              </w:rPr>
              <w:t xml:space="preserve"> as at 1 Oct 2004</w:t>
            </w:r>
            <w:r>
              <w:rPr>
                <w:rFonts w:ascii="Times New Roman" w:hAnsi="Times New Roman"/>
                <w:spacing w:val="-2"/>
              </w:rPr>
              <w:t xml:space="preserve">  (includes amendments listed above except those in the </w:t>
            </w:r>
            <w:r>
              <w:rPr>
                <w:rFonts w:ascii="Times New Roman" w:hAnsi="Times New Roman"/>
                <w:bCs/>
                <w:i/>
                <w:iCs/>
                <w:snapToGrid w:val="0"/>
              </w:rPr>
              <w:t>Dangerous Goods Safety Act 2004</w:t>
            </w:r>
            <w:r>
              <w:rPr>
                <w:rFonts w:ascii="Times New Roman" w:hAnsi="Times New Roman"/>
                <w:spacing w:val="-2"/>
              </w:rPr>
              <w:t>)</w:t>
            </w:r>
          </w:p>
        </w:tc>
      </w:tr>
      <w:tr>
        <w:trPr>
          <w:cantSplit/>
        </w:trPr>
        <w:tc>
          <w:tcPr>
            <w:tcW w:w="2268" w:type="dxa"/>
            <w:tcBorders>
              <w:top w:val="nil"/>
              <w:bottom w:val="nil"/>
            </w:tcBorders>
          </w:tcPr>
          <w:p>
            <w:pPr>
              <w:pStyle w:val="nTable"/>
              <w:spacing w:after="40"/>
              <w:ind w:right="113"/>
              <w:rPr>
                <w:rFonts w:ascii="Times New Roman" w:hAnsi="Times New Roman"/>
                <w:i/>
              </w:rPr>
            </w:pPr>
            <w:r>
              <w:rPr>
                <w:rFonts w:ascii="Times New Roman" w:hAnsi="Times New Roman"/>
                <w:i/>
                <w:snapToGrid w:val="0"/>
              </w:rPr>
              <w:t>Criminal Procedure and Appeals (Consequential and Other Provisions) Act 2004</w:t>
            </w:r>
            <w:r>
              <w:rPr>
                <w:rFonts w:ascii="Times New Roman" w:hAnsi="Times New Roman"/>
                <w:snapToGrid w:val="0"/>
              </w:rPr>
              <w:t xml:space="preserve"> s. 80</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84 of 2004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16 Dec 2004</w:t>
            </w:r>
          </w:p>
        </w:tc>
        <w:tc>
          <w:tcPr>
            <w:tcW w:w="2551" w:type="dxa"/>
            <w:tcBorders>
              <w:top w:val="nil"/>
              <w:bottom w:val="nil"/>
            </w:tcBorders>
          </w:tcPr>
          <w:p>
            <w:pPr>
              <w:pStyle w:val="nTable"/>
              <w:spacing w:after="40"/>
              <w:rPr>
                <w:rFonts w:ascii="Times New Roman" w:hAnsi="Times New Roman"/>
                <w:spacing w:val="-2"/>
              </w:rPr>
            </w:pPr>
            <w:r>
              <w:rPr>
                <w:rFonts w:ascii="Times New Roman" w:hAnsi="Times New Roman"/>
                <w:snapToGrid w:val="0"/>
              </w:rPr>
              <w:t xml:space="preserve">2 May 2005 (see s. 2 and </w:t>
            </w:r>
            <w:r>
              <w:rPr>
                <w:rFonts w:ascii="Times New Roman" w:hAnsi="Times New Roman"/>
                <w:i/>
                <w:snapToGrid w:val="0"/>
              </w:rPr>
              <w:t>Gazette</w:t>
            </w:r>
            <w:r>
              <w:rPr>
                <w:rFonts w:ascii="Times New Roman" w:hAnsi="Times New Roman"/>
                <w:snapToGrid w:val="0"/>
              </w:rPr>
              <w:t xml:space="preserve"> 31 Dec 2004 p. 7129 (correction in </w:t>
            </w:r>
            <w:r>
              <w:rPr>
                <w:rFonts w:ascii="Times New Roman" w:hAnsi="Times New Roman"/>
                <w:i/>
                <w:snapToGrid w:val="0"/>
              </w:rPr>
              <w:t>Gazette</w:t>
            </w:r>
            <w:r>
              <w:rPr>
                <w:rFonts w:ascii="Times New Roman" w:hAnsi="Times New Roman"/>
                <w:snapToGrid w:val="0"/>
              </w:rPr>
              <w:t xml:space="preserve"> 7 Jan 2005 p. 53))</w:t>
            </w:r>
          </w:p>
        </w:tc>
      </w:tr>
      <w:tr>
        <w:trPr>
          <w:cantSplit/>
        </w:trPr>
        <w:tc>
          <w:tcPr>
            <w:tcW w:w="2268" w:type="dxa"/>
            <w:tcBorders>
              <w:top w:val="nil"/>
              <w:bottom w:val="nil"/>
            </w:tcBorders>
          </w:tcPr>
          <w:p>
            <w:pPr>
              <w:pStyle w:val="nTable"/>
              <w:spacing w:after="40"/>
              <w:ind w:right="113"/>
              <w:rPr>
                <w:rFonts w:ascii="Times New Roman" w:hAnsi="Times New Roman"/>
                <w:i/>
                <w:snapToGrid w:val="0"/>
              </w:rPr>
            </w:pPr>
            <w:r>
              <w:rPr>
                <w:rFonts w:ascii="Times New Roman" w:hAnsi="Times New Roman"/>
                <w:i/>
                <w:snapToGrid w:val="0"/>
              </w:rPr>
              <w:t>Planning and Development (Consequential and Transitional Provisions) Act 2005</w:t>
            </w:r>
            <w:r>
              <w:rPr>
                <w:rFonts w:ascii="Times New Roman" w:hAnsi="Times New Roman"/>
                <w:snapToGrid w:val="0"/>
              </w:rPr>
              <w:t xml:space="preserve"> s. 15</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38 of 2005</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12 Dec 2005</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9 Apr 2006 (see s. 2 and </w:t>
            </w:r>
            <w:r>
              <w:rPr>
                <w:rFonts w:ascii="Times New Roman" w:hAnsi="Times New Roman"/>
                <w:i/>
                <w:snapToGrid w:val="0"/>
              </w:rPr>
              <w:t>Gazette</w:t>
            </w:r>
            <w:r>
              <w:rPr>
                <w:rFonts w:ascii="Times New Roman" w:hAnsi="Times New Roman"/>
                <w:snapToGrid w:val="0"/>
              </w:rPr>
              <w:t xml:space="preserve"> 21 Mar 2006 p. 1078)</w:t>
            </w:r>
          </w:p>
        </w:tc>
      </w:tr>
      <w:tr>
        <w:trPr>
          <w:cantSplit/>
        </w:trPr>
        <w:tc>
          <w:tcPr>
            <w:tcW w:w="2268" w:type="dxa"/>
            <w:tcBorders>
              <w:top w:val="nil"/>
              <w:bottom w:val="nil"/>
            </w:tcBorders>
          </w:tcPr>
          <w:p>
            <w:pPr>
              <w:pStyle w:val="nTable"/>
              <w:spacing w:after="40"/>
              <w:ind w:right="113"/>
              <w:rPr>
                <w:rFonts w:ascii="Times New Roman" w:hAnsi="Times New Roman"/>
                <w:i/>
                <w:snapToGrid w:val="0"/>
              </w:rPr>
            </w:pPr>
            <w:r>
              <w:rPr>
                <w:rFonts w:ascii="Times New Roman" w:hAnsi="Times New Roman"/>
                <w:i/>
                <w:snapToGrid w:val="0"/>
              </w:rPr>
              <w:t xml:space="preserve">Financial Legislation Amendment and Repeal Act 2006 </w:t>
            </w:r>
            <w:r>
              <w:rPr>
                <w:rFonts w:ascii="Times New Roman" w:hAnsi="Times New Roman"/>
                <w:snapToGrid w:val="0"/>
              </w:rPr>
              <w:t>s. 4, 5(1), 11 and Sch. 1 cl. 131</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77 of 2006 </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21 Dec 2006</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Feb 2007 (see s. 2(1) and </w:t>
            </w:r>
            <w:r>
              <w:rPr>
                <w:rFonts w:ascii="Times New Roman" w:hAnsi="Times New Roman"/>
                <w:i/>
                <w:snapToGrid w:val="0"/>
              </w:rPr>
              <w:t>Gazette</w:t>
            </w:r>
            <w:r>
              <w:rPr>
                <w:rFonts w:ascii="Times New Roman" w:hAnsi="Times New Roman"/>
                <w:snapToGrid w:val="0"/>
              </w:rPr>
              <w:t xml:space="preserve"> 19 Jan 2007 p. 137)</w:t>
            </w:r>
          </w:p>
        </w:tc>
      </w:tr>
      <w:tr>
        <w:trPr>
          <w:cantSplit/>
        </w:trPr>
        <w:tc>
          <w:tcPr>
            <w:tcW w:w="7087" w:type="dxa"/>
            <w:gridSpan w:val="4"/>
            <w:tcBorders>
              <w:top w:val="nil"/>
              <w:bottom w:val="nil"/>
            </w:tcBorders>
          </w:tcPr>
          <w:p>
            <w:pPr>
              <w:pStyle w:val="nTable"/>
              <w:spacing w:after="40"/>
              <w:rPr>
                <w:rFonts w:ascii="Times New Roman" w:hAnsi="Times New Roman"/>
                <w:snapToGrid w:val="0"/>
              </w:rPr>
            </w:pPr>
            <w:r>
              <w:rPr>
                <w:rFonts w:ascii="Times New Roman" w:hAnsi="Times New Roman"/>
                <w:b/>
                <w:spacing w:val="-2"/>
              </w:rPr>
              <w:t xml:space="preserve">Reprint 2: The </w:t>
            </w:r>
            <w:r>
              <w:rPr>
                <w:rFonts w:ascii="Times New Roman" w:hAnsi="Times New Roman"/>
                <w:b/>
                <w:i/>
                <w:spacing w:val="-2"/>
              </w:rPr>
              <w:t>Port Authorities Act 1999</w:t>
            </w:r>
            <w:r>
              <w:rPr>
                <w:rFonts w:ascii="Times New Roman" w:hAnsi="Times New Roman"/>
                <w:b/>
                <w:spacing w:val="-2"/>
              </w:rPr>
              <w:t xml:space="preserve"> as at 4 Jul 2008</w:t>
            </w:r>
            <w:r>
              <w:rPr>
                <w:rFonts w:ascii="Times New Roman" w:hAnsi="Times New Roman"/>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102</w:t>
            </w:r>
          </w:p>
        </w:tc>
        <w:tc>
          <w:tcPr>
            <w:tcW w:w="1134" w:type="dxa"/>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New Roman" w:hAnsi="Times New Roman"/>
                <w:i/>
              </w:rPr>
            </w:pPr>
            <w:r>
              <w:rPr>
                <w:rFonts w:ascii="Times New Roman" w:hAnsi="Times New Roman"/>
                <w:i/>
              </w:rPr>
              <w:t>Statutes (Repeals and Minor Amendments) Act 2009</w:t>
            </w:r>
            <w:r>
              <w:rPr>
                <w:rFonts w:ascii="Times New Roman" w:hAnsi="Times New Roman"/>
                <w:iCs/>
              </w:rPr>
              <w:t xml:space="preserve"> s. 17</w:t>
            </w:r>
          </w:p>
        </w:tc>
        <w:tc>
          <w:tcPr>
            <w:tcW w:w="1134" w:type="dxa"/>
          </w:tcPr>
          <w:p>
            <w:pPr>
              <w:pStyle w:val="nTable"/>
              <w:spacing w:after="40"/>
              <w:rPr>
                <w:rFonts w:ascii="Times New Roman" w:hAnsi="Times New Roman"/>
              </w:rPr>
            </w:pPr>
            <w:r>
              <w:rPr>
                <w:rFonts w:ascii="Times New Roman" w:hAnsi="Times New Roman"/>
              </w:rPr>
              <w:t>46 of 2009</w:t>
            </w:r>
          </w:p>
        </w:tc>
        <w:tc>
          <w:tcPr>
            <w:tcW w:w="1134" w:type="dxa"/>
          </w:tcPr>
          <w:p>
            <w:pPr>
              <w:pStyle w:val="nTable"/>
              <w:spacing w:after="40"/>
              <w:rPr>
                <w:rFonts w:ascii="Times New Roman" w:hAnsi="Times New Roman"/>
              </w:rPr>
            </w:pPr>
            <w:r>
              <w:rPr>
                <w:rFonts w:ascii="Times New Roman" w:hAnsi="Times New Roman"/>
              </w:rPr>
              <w:t>3 Dec 2009</w:t>
            </w:r>
          </w:p>
        </w:tc>
        <w:tc>
          <w:tcPr>
            <w:tcW w:w="2551" w:type="dxa"/>
          </w:tcPr>
          <w:p>
            <w:pPr>
              <w:pStyle w:val="nTable"/>
              <w:spacing w:after="40"/>
              <w:rPr>
                <w:rFonts w:ascii="Times New Roman" w:hAnsi="Times New Roman"/>
              </w:rPr>
            </w:pPr>
            <w:r>
              <w:rPr>
                <w:rFonts w:ascii="Times New Roman" w:hAnsi="Times New Roman"/>
              </w:rP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New Roman" w:hAnsi="Times New Roman"/>
                <w:i/>
              </w:rPr>
            </w:pPr>
            <w:r>
              <w:rPr>
                <w:rFonts w:ascii="Times New Roman" w:hAnsi="Times New Roman"/>
                <w:i/>
                <w:snapToGrid w:val="0"/>
              </w:rPr>
              <w:t>Public Sector Reform Act 2010</w:t>
            </w:r>
            <w:r>
              <w:rPr>
                <w:rFonts w:ascii="Times New Roman" w:hAnsi="Times New Roman"/>
                <w:i/>
                <w:iCs/>
                <w:snapToGrid w:val="0"/>
              </w:rPr>
              <w:t xml:space="preserve"> </w:t>
            </w:r>
            <w:r>
              <w:rPr>
                <w:rFonts w:ascii="Times New Roman" w:hAnsi="Times New Roman"/>
                <w:snapToGrid w:val="0"/>
              </w:rPr>
              <w:t>s. 81 and 89</w:t>
            </w:r>
          </w:p>
        </w:tc>
        <w:tc>
          <w:tcPr>
            <w:tcW w:w="1134" w:type="dxa"/>
          </w:tcPr>
          <w:p>
            <w:pPr>
              <w:pStyle w:val="nTable"/>
              <w:spacing w:after="40"/>
              <w:rPr>
                <w:rFonts w:ascii="Times New Roman" w:hAnsi="Times New Roman"/>
              </w:rPr>
            </w:pPr>
            <w:r>
              <w:rPr>
                <w:rFonts w:ascii="Times New Roman" w:hAnsi="Times New Roman"/>
                <w:snapToGrid w:val="0"/>
              </w:rPr>
              <w:t>39 of 2010</w:t>
            </w:r>
          </w:p>
        </w:tc>
        <w:tc>
          <w:tcPr>
            <w:tcW w:w="1134" w:type="dxa"/>
          </w:tcPr>
          <w:p>
            <w:pPr>
              <w:pStyle w:val="nTable"/>
              <w:spacing w:after="40"/>
              <w:rPr>
                <w:rFonts w:ascii="Times New Roman" w:hAnsi="Times New Roman"/>
              </w:rPr>
            </w:pPr>
            <w:r>
              <w:rPr>
                <w:rFonts w:ascii="Times New Roman" w:hAnsi="Times New Roman"/>
                <w:snapToGrid w:val="0"/>
              </w:rPr>
              <w:t>1 Oct 2010</w:t>
            </w:r>
          </w:p>
        </w:tc>
        <w:tc>
          <w:tcPr>
            <w:tcW w:w="2551" w:type="dxa"/>
          </w:tcPr>
          <w:p>
            <w:pPr>
              <w:pStyle w:val="nTable"/>
              <w:spacing w:after="40"/>
              <w:rPr>
                <w:rFonts w:ascii="Times New Roman" w:hAnsi="Times New Roman"/>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cantSplit/>
        </w:trPr>
        <w:tc>
          <w:tcPr>
            <w:tcW w:w="2268" w:type="dxa"/>
            <w:tcBorders>
              <w:top w:val="nil"/>
              <w:bottom w:val="nil"/>
            </w:tcBorders>
            <w:shd w:val="clear" w:color="auto" w:fill="auto"/>
          </w:tcPr>
          <w:p>
            <w:pPr>
              <w:pStyle w:val="nTable"/>
              <w:spacing w:after="40"/>
              <w:ind w:right="113"/>
              <w:rPr>
                <w:rFonts w:ascii="Times New Roman" w:hAnsi="Times New Roman"/>
                <w:i/>
                <w:snapToGrid w:val="0"/>
              </w:rPr>
            </w:pPr>
            <w:r>
              <w:rPr>
                <w:rFonts w:ascii="Times New Roman" w:hAnsi="Times New Roman"/>
                <w:i/>
                <w:snapToGrid w:val="0"/>
              </w:rPr>
              <w:t>Building Act 2011</w:t>
            </w:r>
            <w:r>
              <w:rPr>
                <w:rFonts w:ascii="Times New Roman" w:hAnsi="Times New Roman"/>
                <w:snapToGrid w:val="0"/>
              </w:rPr>
              <w:t xml:space="preserve"> s. 169</w:t>
            </w:r>
          </w:p>
        </w:tc>
        <w:tc>
          <w:tcPr>
            <w:tcW w:w="1134"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24 of 2011</w:t>
            </w:r>
          </w:p>
        </w:tc>
        <w:tc>
          <w:tcPr>
            <w:tcW w:w="1134"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11 Jul 2011</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2 Apr 2012 (see s. 2(b) and </w:t>
            </w:r>
            <w:r>
              <w:rPr>
                <w:rFonts w:ascii="Times New Roman" w:hAnsi="Times New Roman"/>
                <w:i/>
                <w:snapToGrid w:val="0"/>
              </w:rPr>
              <w:t>Gazette</w:t>
            </w:r>
            <w:r>
              <w:rPr>
                <w:rFonts w:ascii="Times New Roman" w:hAnsi="Times New Roman"/>
                <w:snapToGrid w:val="0"/>
              </w:rPr>
              <w:t xml:space="preserve"> 13 Mar 2012 p. 1033)</w:t>
            </w:r>
          </w:p>
        </w:tc>
      </w:tr>
      <w:tr>
        <w:trPr>
          <w:cantSplit/>
        </w:trPr>
        <w:tc>
          <w:tcPr>
            <w:tcW w:w="7087"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pacing w:val="-2"/>
              </w:rPr>
              <w:t xml:space="preserve">Reprint 3: The </w:t>
            </w:r>
            <w:r>
              <w:rPr>
                <w:rFonts w:ascii="Times New Roman" w:hAnsi="Times New Roman"/>
                <w:b/>
                <w:i/>
                <w:spacing w:val="-2"/>
              </w:rPr>
              <w:t>Port Authorities Act 1999</w:t>
            </w:r>
            <w:r>
              <w:rPr>
                <w:rFonts w:ascii="Times New Roman" w:hAnsi="Times New Roman"/>
                <w:b/>
                <w:spacing w:val="-2"/>
              </w:rPr>
              <w:t xml:space="preserve"> as at 7 Sep 2012</w:t>
            </w:r>
            <w:r>
              <w:rPr>
                <w:rFonts w:ascii="Times New Roman" w:hAnsi="Times New Roman"/>
                <w:spacing w:val="-2"/>
              </w:rPr>
              <w:t xml:space="preserve"> (includes amendments listed above)</w:t>
            </w:r>
          </w:p>
        </w:tc>
      </w:tr>
      <w:tr>
        <w:trPr>
          <w:cantSplit/>
        </w:trPr>
        <w:tc>
          <w:tcPr>
            <w:tcW w:w="2268" w:type="dxa"/>
            <w:tcBorders>
              <w:top w:val="nil"/>
              <w:bottom w:val="nil"/>
            </w:tcBorders>
            <w:shd w:val="clear" w:color="auto" w:fill="auto"/>
          </w:tcPr>
          <w:p>
            <w:pPr>
              <w:pStyle w:val="nTable"/>
              <w:spacing w:after="40"/>
              <w:ind w:right="113"/>
              <w:rPr>
                <w:rFonts w:ascii="Times New Roman" w:hAnsi="Times New Roman"/>
                <w:i/>
                <w:snapToGrid w:val="0"/>
              </w:rPr>
            </w:pPr>
            <w:r>
              <w:rPr>
                <w:rFonts w:ascii="Times New Roman" w:hAnsi="Times New Roman"/>
                <w:i/>
                <w:snapToGrid w:val="0"/>
              </w:rPr>
              <w:t>Ports Legislation Amendment Act 2014</w:t>
            </w:r>
          </w:p>
        </w:tc>
        <w:tc>
          <w:tcPr>
            <w:tcW w:w="1134"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9 of 2014</w:t>
            </w:r>
          </w:p>
        </w:tc>
        <w:tc>
          <w:tcPr>
            <w:tcW w:w="1134"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20 May 2014</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Heading to Pt. 2, s. 3, 4(3), 5(1), 7(1), 10, 28(1), 29, 30, 32 and 35: 21 May 2014 (see s. 2(1)(b));</w:t>
            </w:r>
            <w:r>
              <w:rPr>
                <w:rFonts w:ascii="Times New Roman" w:hAnsi="Times New Roman"/>
                <w:snapToGrid w:val="0"/>
              </w:rPr>
              <w:br/>
              <w:t>s. 4(1) and (2), 6, 7(2), 8, 9, 11</w:t>
            </w:r>
            <w:r>
              <w:rPr>
                <w:rFonts w:ascii="Times New Roman" w:hAnsi="Times New Roman"/>
                <w:snapToGrid w:val="0"/>
              </w:rPr>
              <w:noBreakHyphen/>
              <w:t xml:space="preserve">27 and 33: 31 May 2014 (see s. 2(1)(c) and </w:t>
            </w:r>
            <w:r>
              <w:rPr>
                <w:rFonts w:ascii="Times New Roman" w:hAnsi="Times New Roman"/>
                <w:i/>
                <w:snapToGrid w:val="0"/>
              </w:rPr>
              <w:t>Gazette</w:t>
            </w:r>
            <w:r>
              <w:rPr>
                <w:rFonts w:ascii="Times New Roman" w:hAnsi="Times New Roman"/>
                <w:snapToGrid w:val="0"/>
              </w:rPr>
              <w:t xml:space="preserve"> 30 May 2014 p. 1680):</w:t>
            </w:r>
            <w:r>
              <w:rPr>
                <w:rFonts w:ascii="Times New Roman" w:hAnsi="Times New Roman"/>
                <w:snapToGrid w:val="0"/>
              </w:rPr>
              <w:br/>
              <w:t>s. 4(4), 5(2), 28(2), 31(2)</w:t>
            </w:r>
            <w:r>
              <w:rPr>
                <w:rFonts w:ascii="Times New Roman" w:hAnsi="Times New Roman"/>
                <w:snapToGrid w:val="0"/>
              </w:rPr>
              <w:noBreakHyphen/>
              <w:t xml:space="preserve">(4), 34 and 36: 1 July 2014 (see s. 2(1)(c) and (2) and </w:t>
            </w:r>
            <w:r>
              <w:rPr>
                <w:rFonts w:ascii="Times New Roman" w:hAnsi="Times New Roman"/>
                <w:i/>
                <w:snapToGrid w:val="0"/>
              </w:rPr>
              <w:t xml:space="preserve">Gazette </w:t>
            </w:r>
            <w:r>
              <w:rPr>
                <w:rFonts w:ascii="Times New Roman" w:hAnsi="Times New Roman"/>
                <w:snapToGrid w:val="0"/>
              </w:rPr>
              <w:t>20 Jun 2014</w:t>
            </w:r>
            <w:r>
              <w:rPr>
                <w:rFonts w:ascii="Times New Roman" w:hAnsi="Times New Roman"/>
                <w:i/>
                <w:snapToGrid w:val="0"/>
              </w:rPr>
              <w:t xml:space="preserve"> </w:t>
            </w:r>
            <w:r>
              <w:rPr>
                <w:rFonts w:ascii="Times New Roman" w:hAnsi="Times New Roman"/>
                <w:snapToGrid w:val="0"/>
              </w:rPr>
              <w:t>p. 2023);</w:t>
            </w:r>
            <w:r>
              <w:rPr>
                <w:rFonts w:ascii="Times New Roman" w:hAnsi="Times New Roman"/>
                <w:snapToGrid w:val="0"/>
              </w:rPr>
              <w:br/>
              <w:t xml:space="preserve">s. 31(1): 1 Oct 2014 (see s. 2(1)(c) and </w:t>
            </w:r>
            <w:r>
              <w:rPr>
                <w:rFonts w:ascii="Times New Roman" w:hAnsi="Times New Roman"/>
                <w:i/>
                <w:snapToGrid w:val="0"/>
              </w:rPr>
              <w:t>Gazette</w:t>
            </w:r>
            <w:r>
              <w:rPr>
                <w:rFonts w:ascii="Times New Roman" w:hAnsi="Times New Roman"/>
                <w:snapToGrid w:val="0"/>
              </w:rPr>
              <w:t xml:space="preserve"> 19 Sep 2014 p. 3329)</w:t>
            </w:r>
          </w:p>
        </w:tc>
      </w:tr>
      <w:tr>
        <w:trPr>
          <w:cantSplit/>
        </w:trPr>
        <w:tc>
          <w:tcPr>
            <w:tcW w:w="2268" w:type="dxa"/>
            <w:tcBorders>
              <w:top w:val="nil"/>
              <w:bottom w:val="single" w:sz="8" w:space="0" w:color="auto"/>
            </w:tcBorders>
            <w:shd w:val="clear" w:color="auto" w:fill="auto"/>
          </w:tcPr>
          <w:p>
            <w:pPr>
              <w:pStyle w:val="nTable"/>
              <w:spacing w:after="40"/>
              <w:ind w:right="113"/>
              <w:rPr>
                <w:rFonts w:ascii="Times New Roman" w:hAnsi="Times New Roman"/>
                <w:i/>
                <w:snapToGrid w:val="0"/>
              </w:rPr>
            </w:pPr>
            <w:r>
              <w:rPr>
                <w:rFonts w:ascii="Times New Roman" w:hAnsi="Times New Roman"/>
                <w:i/>
                <w:snapToGrid w:val="0"/>
              </w:rPr>
              <w:t>Executive Officer Remuneration (Government Entities) Legislation Amendment Act 2016</w:t>
            </w:r>
            <w:r>
              <w:rPr>
                <w:rFonts w:ascii="Times New Roman" w:hAnsi="Times New Roman"/>
                <w:snapToGrid w:val="0"/>
              </w:rPr>
              <w:t xml:space="preserve"> Pt. 3 Div. 4</w:t>
            </w:r>
          </w:p>
        </w:tc>
        <w:tc>
          <w:tcPr>
            <w:tcW w:w="1134" w:type="dxa"/>
            <w:tcBorders>
              <w:top w:val="nil"/>
              <w:bottom w:val="single" w:sz="8"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46 of 2016</w:t>
            </w:r>
          </w:p>
        </w:tc>
        <w:tc>
          <w:tcPr>
            <w:tcW w:w="1134" w:type="dxa"/>
            <w:tcBorders>
              <w:top w:val="nil"/>
              <w:bottom w:val="single" w:sz="8"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7 Dec 2016</w:t>
            </w:r>
          </w:p>
        </w:tc>
        <w:tc>
          <w:tcPr>
            <w:tcW w:w="2551" w:type="dxa"/>
            <w:tcBorders>
              <w:top w:val="nil"/>
              <w:bottom w:val="single" w:sz="8"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8 Dec 2016 (see s. 2(b))</w:t>
            </w:r>
          </w:p>
        </w:tc>
      </w:tr>
    </w:tbl>
    <w:p>
      <w:pPr>
        <w:pStyle w:val="nSubsection"/>
        <w:keepNext/>
        <w:spacing w:before="120"/>
      </w:pPr>
      <w:r>
        <w:rPr>
          <w:vertAlign w:val="superscript"/>
        </w:rPr>
        <w:t>2</w:t>
      </w:r>
      <w:r>
        <w:tab/>
        <w:t xml:space="preserve">The </w:t>
      </w:r>
      <w:r>
        <w:rPr>
          <w:i/>
        </w:rPr>
        <w:t>Ports and Marine Legislation Amendment Act 2003</w:t>
      </w:r>
      <w:r>
        <w:t xml:space="preserve"> s. 4(2) reads as follows:</w:t>
      </w:r>
    </w:p>
    <w:p>
      <w:pPr>
        <w:pStyle w:val="BlankOpen"/>
      </w:pPr>
    </w:p>
    <w:p>
      <w:pPr>
        <w:pStyle w:val="nzSubsection"/>
        <w:rPr>
          <w:snapToGrid w:val="0"/>
        </w:rPr>
      </w:pPr>
      <w:r>
        <w:tab/>
      </w:r>
      <w:r>
        <w:rPr>
          <w:snapToGrid w:val="0"/>
        </w:rPr>
        <w:t>(2)</w:t>
      </w:r>
      <w:r>
        <w:rPr>
          <w:snapToGrid w:val="0"/>
        </w:rPr>
        <w:tab/>
        <w:t xml:space="preserve">The amendment made by subsection (1) does not affect the operation of the </w:t>
      </w:r>
      <w:r>
        <w:rPr>
          <w:i/>
          <w:snapToGrid w:val="0"/>
        </w:rPr>
        <w:t>Port Authorities (Withdrawal and Revesting of Property) Order 2000</w:t>
      </w:r>
      <w:r>
        <w:rPr>
          <w:snapToGrid w:val="0"/>
        </w:rPr>
        <w:t xml:space="preserve"> published in the </w:t>
      </w:r>
      <w:r>
        <w:rPr>
          <w:i/>
          <w:snapToGrid w:val="0"/>
        </w:rPr>
        <w:t>Gazette</w:t>
      </w:r>
      <w:r>
        <w:rPr>
          <w:snapToGrid w:val="0"/>
        </w:rPr>
        <w:t xml:space="preserve"> on 2 June 2000.</w:t>
      </w:r>
    </w:p>
    <w:p>
      <w:pPr>
        <w:pStyle w:val="BlankClose"/>
      </w:pPr>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6</w:t>
      </w:r>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pPr>
      <w:r>
        <w:rPr>
          <w:vertAlign w:val="superscript"/>
        </w:rPr>
        <w:t>7</w:t>
      </w:r>
      <w:r>
        <w:tab/>
        <w:t xml:space="preserve">The </w:t>
      </w:r>
      <w:r>
        <w:rPr>
          <w:i/>
        </w:rPr>
        <w:t>Corporations (Consequential Amendments) Act (No. 3) 2003</w:t>
      </w:r>
      <w:r>
        <w:t xml:space="preserve"> s. 2</w:t>
      </w:r>
      <w:r>
        <w:noBreakHyphen/>
        <w:t>4 contain validation provisions.</w:t>
      </w:r>
    </w:p>
    <w:p>
      <w:pPr>
        <w:rPr>
          <w:sz w:val="20"/>
        </w:rPr>
      </w:pPr>
    </w:p>
    <w:p>
      <w:pPr>
        <w:rPr>
          <w:sz w:val="20"/>
        </w:rPr>
        <w:sectPr>
          <w:headerReference w:type="even" r:id="rId43"/>
          <w:headerReference w:type="default" r:id="rId44"/>
          <w:pgSz w:w="11907" w:h="16840" w:code="9"/>
          <w:pgMar w:top="2376" w:right="2404" w:bottom="3544" w:left="2404" w:header="720" w:footer="3380" w:gutter="0"/>
          <w:cols w:space="720"/>
          <w:noEndnote/>
          <w:docGrid w:linePitch="326"/>
        </w:sectPr>
      </w:pPr>
    </w:p>
    <w:p>
      <w:pPr>
        <w:pStyle w:val="nHeading2"/>
        <w:rPr>
          <w:sz w:val="28"/>
        </w:rPr>
      </w:pPr>
      <w:bookmarkStart w:id="1105" w:name="_Toc468975613"/>
      <w:bookmarkStart w:id="1106" w:name="_Toc468975977"/>
      <w:bookmarkStart w:id="1107" w:name="_Toc468978311"/>
      <w:bookmarkStart w:id="1108" w:name="_Toc1491922"/>
      <w:bookmarkStart w:id="1109" w:name="_Toc1492286"/>
      <w:r>
        <w:rPr>
          <w:sz w:val="28"/>
        </w:rPr>
        <w:t>Defined terms</w:t>
      </w:r>
      <w:bookmarkEnd w:id="1105"/>
      <w:bookmarkEnd w:id="1106"/>
      <w:bookmarkEnd w:id="1107"/>
      <w:bookmarkEnd w:id="1108"/>
      <w:bookmarkEnd w:id="1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79(1)</w:t>
      </w:r>
    </w:p>
    <w:p>
      <w:pPr>
        <w:pStyle w:val="DefinedTerms"/>
      </w:pPr>
      <w:r>
        <w:t>accounting standard</w:t>
      </w:r>
      <w:r>
        <w:tab/>
        <w:t>Sch. 5 cl. 1(2)</w:t>
      </w:r>
    </w:p>
    <w:p>
      <w:pPr>
        <w:pStyle w:val="DefinedTerms"/>
      </w:pPr>
      <w:r>
        <w:t>affecting provisions</w:t>
      </w:r>
      <w:r>
        <w:tab/>
        <w:t>Sch. 8 cl. 45</w:t>
      </w:r>
    </w:p>
    <w:p>
      <w:pPr>
        <w:pStyle w:val="DefinedTerms"/>
      </w:pPr>
      <w:r>
        <w:t>agreement</w:t>
      </w:r>
      <w:r>
        <w:tab/>
        <w:t>Sch. 8 cl. 1</w:t>
      </w:r>
    </w:p>
    <w:p>
      <w:pPr>
        <w:pStyle w:val="DefinedTerms"/>
      </w:pPr>
      <w:r>
        <w:t>amending Act</w:t>
      </w:r>
      <w:r>
        <w:tab/>
        <w:t>Sch. 8 cl. 1</w:t>
      </w:r>
    </w:p>
    <w:p>
      <w:pPr>
        <w:pStyle w:val="DefinedTerms"/>
      </w:pPr>
      <w:r>
        <w:t>approved</w:t>
      </w:r>
      <w:r>
        <w:tab/>
        <w:t>34A(1), 95(1)</w:t>
      </w:r>
    </w:p>
    <w:p>
      <w:pPr>
        <w:pStyle w:val="DefinedTerms"/>
      </w:pPr>
      <w:r>
        <w:t>area</w:t>
      </w:r>
      <w:r>
        <w:tab/>
        <w:t>24(3)</w:t>
      </w:r>
    </w:p>
    <w:p>
      <w:pPr>
        <w:pStyle w:val="DefinedTerms"/>
      </w:pPr>
      <w:r>
        <w:t>asset</w:t>
      </w:r>
      <w:r>
        <w:tab/>
        <w:t>Sch. 8 cl. 1</w:t>
      </w:r>
    </w:p>
    <w:p>
      <w:pPr>
        <w:pStyle w:val="DefinedTerms"/>
      </w:pPr>
      <w:r>
        <w:t>authorised officer</w:t>
      </w:r>
      <w:r>
        <w:tab/>
        <w:t>114A(2)</w:t>
      </w:r>
    </w:p>
    <w:p>
      <w:pPr>
        <w:pStyle w:val="DefinedTerms"/>
      </w:pPr>
      <w:r>
        <w:t>authorised person</w:t>
      </w:r>
      <w:r>
        <w:tab/>
        <w:t>123</w:t>
      </w:r>
    </w:p>
    <w:p>
      <w:pPr>
        <w:pStyle w:val="DefinedTerms"/>
      </w:pPr>
      <w:r>
        <w:t>board</w:t>
      </w:r>
      <w:r>
        <w:tab/>
        <w:t>3(1)</w:t>
      </w:r>
    </w:p>
    <w:p>
      <w:pPr>
        <w:pStyle w:val="DefinedTerms"/>
      </w:pPr>
      <w:r>
        <w:t>business arrangement</w:t>
      </w:r>
      <w:r>
        <w:tab/>
        <w:t>35(9)</w:t>
      </w:r>
    </w:p>
    <w:p>
      <w:pPr>
        <w:pStyle w:val="DefinedTerms"/>
      </w:pPr>
      <w:r>
        <w:t>CEO</w:t>
      </w:r>
      <w:r>
        <w:tab/>
        <w:t>3(1)</w:t>
      </w:r>
    </w:p>
    <w:p>
      <w:pPr>
        <w:pStyle w:val="DefinedTerms"/>
      </w:pPr>
      <w:r>
        <w:t>channel</w:t>
      </w:r>
      <w:r>
        <w:tab/>
        <w:t>3(1)</w:t>
      </w:r>
    </w:p>
    <w:p>
      <w:pPr>
        <w:pStyle w:val="DefinedTerms"/>
      </w:pPr>
      <w:r>
        <w:t>commencement</w:t>
      </w:r>
      <w:r>
        <w:tab/>
        <w:t>Sch. 8 cl. 44(1)</w:t>
      </w:r>
    </w:p>
    <w:p>
      <w:pPr>
        <w:pStyle w:val="DefinedTerms"/>
      </w:pPr>
      <w:r>
        <w:t>company</w:t>
      </w:r>
      <w:r>
        <w:tab/>
        <w:t>Sch. 5 cl. 1(2)</w:t>
      </w:r>
    </w:p>
    <w:p>
      <w:pPr>
        <w:pStyle w:val="DefinedTerms"/>
      </w:pPr>
      <w:r>
        <w:t>Company</w:t>
      </w:r>
      <w:r>
        <w:tab/>
        <w:t>Sch. 6 cl. 1</w:t>
      </w:r>
    </w:p>
    <w:p>
      <w:pPr>
        <w:pStyle w:val="DefinedTerms"/>
      </w:pPr>
      <w:r>
        <w:t>consultation committee</w:t>
      </w:r>
      <w:r>
        <w:tab/>
        <w:t>14A(1)</w:t>
      </w:r>
    </w:p>
    <w:p>
      <w:pPr>
        <w:pStyle w:val="DefinedTerms"/>
      </w:pPr>
      <w:r>
        <w:t>continuing authority</w:t>
      </w:r>
      <w:r>
        <w:tab/>
        <w:t>Sch. 8 cl. 2, Sch. 8 cl. 23</w:t>
      </w:r>
    </w:p>
    <w:p>
      <w:pPr>
        <w:pStyle w:val="DefinedTerms"/>
      </w:pPr>
      <w:r>
        <w:t>control</w:t>
      </w:r>
      <w:r>
        <w:tab/>
        <w:t>3(1)</w:t>
      </w:r>
    </w:p>
    <w:p>
      <w:pPr>
        <w:pStyle w:val="DefinedTerms"/>
      </w:pPr>
      <w:r>
        <w:t>Corporations Act</w:t>
      </w:r>
      <w:r>
        <w:tab/>
        <w:t>3(1)</w:t>
      </w:r>
    </w:p>
    <w:p>
      <w:pPr>
        <w:pStyle w:val="DefinedTerms"/>
      </w:pPr>
      <w:r>
        <w:t>Crown land</w:t>
      </w:r>
      <w:r>
        <w:tab/>
        <w:t>3(1)</w:t>
      </w:r>
    </w:p>
    <w:p>
      <w:pPr>
        <w:pStyle w:val="DefinedTerms"/>
      </w:pPr>
      <w:r>
        <w:t>damage</w:t>
      </w:r>
      <w:r>
        <w:tab/>
        <w:t>3(1)</w:t>
      </w:r>
    </w:p>
    <w:p>
      <w:pPr>
        <w:pStyle w:val="DefinedTerms"/>
      </w:pPr>
      <w:r>
        <w:t>Dampier Solar Salt Industry Agreement</w:t>
      </w:r>
      <w:r>
        <w:tab/>
        <w:t>Sch. 6 cl. 1</w:t>
      </w:r>
    </w:p>
    <w:p>
      <w:pPr>
        <w:pStyle w:val="DefinedTerms"/>
      </w:pPr>
      <w:r>
        <w:t>dangerous thing</w:t>
      </w:r>
      <w:r>
        <w:tab/>
        <w:t>3(1)</w:t>
      </w:r>
    </w:p>
    <w:p>
      <w:pPr>
        <w:pStyle w:val="DefinedTerms"/>
      </w:pPr>
      <w:r>
        <w:t>debt paper</w:t>
      </w:r>
      <w:r>
        <w:tab/>
        <w:t>85(4)</w:t>
      </w:r>
    </w:p>
    <w:p>
      <w:pPr>
        <w:pStyle w:val="DefinedTerms"/>
      </w:pPr>
      <w:r>
        <w:t>director</w:t>
      </w:r>
      <w:r>
        <w:tab/>
        <w:t>3(1)</w:t>
      </w:r>
    </w:p>
    <w:p>
      <w:pPr>
        <w:pStyle w:val="DefinedTerms"/>
      </w:pPr>
      <w:r>
        <w:t>dividend function</w:t>
      </w:r>
      <w:r>
        <w:tab/>
        <w:t>Sch. 8 cl. 14(1), Sch. 8 cl. 35(1)</w:t>
      </w:r>
    </w:p>
    <w:p>
      <w:pPr>
        <w:pStyle w:val="DefinedTerms"/>
      </w:pPr>
      <w:r>
        <w:t>document</w:t>
      </w:r>
      <w:r>
        <w:tab/>
        <w:t>75(5)</w:t>
      </w:r>
    </w:p>
    <w:p>
      <w:pPr>
        <w:pStyle w:val="DefinedTerms"/>
      </w:pPr>
      <w:r>
        <w:t>eligible person</w:t>
      </w:r>
      <w:r>
        <w:tab/>
        <w:t>102(1)</w:t>
      </w:r>
    </w:p>
    <w:p>
      <w:pPr>
        <w:pStyle w:val="DefinedTerms"/>
      </w:pPr>
      <w:r>
        <w:t>executive officer</w:t>
      </w:r>
      <w:r>
        <w:tab/>
        <w:t>3(1)</w:t>
      </w:r>
    </w:p>
    <w:p>
      <w:pPr>
        <w:pStyle w:val="DefinedTerms"/>
      </w:pPr>
      <w:r>
        <w:t>financial records</w:t>
      </w:r>
      <w:r>
        <w:tab/>
        <w:t>Sch. 5 cl. 1(2)</w:t>
      </w:r>
    </w:p>
    <w:p>
      <w:pPr>
        <w:pStyle w:val="DefinedTerms"/>
      </w:pPr>
      <w:r>
        <w:t>financial year</w:t>
      </w:r>
      <w:r>
        <w:tab/>
        <w:t>Sch. 5 cl. 1(1)</w:t>
      </w:r>
    </w:p>
    <w:p>
      <w:pPr>
        <w:pStyle w:val="DefinedTerms"/>
      </w:pPr>
      <w:r>
        <w:t>former directors</w:t>
      </w:r>
      <w:r>
        <w:tab/>
        <w:t>Sch. 8 cl. 13(1), Sch. 8 cl. 34(1)</w:t>
      </w:r>
    </w:p>
    <w:p>
      <w:pPr>
        <w:pStyle w:val="DefinedTerms"/>
      </w:pPr>
      <w:r>
        <w:t>former name</w:t>
      </w:r>
      <w:r>
        <w:tab/>
        <w:t xml:space="preserve">Sch. 8 cl. 11(1), Sch. 8 cl. 20(1), Sch. 8 cl. 32(1), </w:t>
      </w:r>
      <w:r>
        <w:br/>
      </w:r>
      <w:r>
        <w:tab/>
        <w:t>Sch. 8 cl. 41(1)</w:t>
      </w:r>
    </w:p>
    <w:p>
      <w:pPr>
        <w:pStyle w:val="DefinedTerms"/>
      </w:pPr>
      <w:r>
        <w:t>goods</w:t>
      </w:r>
      <w:r>
        <w:tab/>
        <w:t>3(1)</w:t>
      </w:r>
    </w:p>
    <w:p>
      <w:pPr>
        <w:pStyle w:val="DefinedTerms"/>
      </w:pPr>
      <w:r>
        <w:t>Government</w:t>
      </w:r>
      <w:r>
        <w:tab/>
        <w:t>34A(1)</w:t>
      </w:r>
    </w:p>
    <w:p>
      <w:pPr>
        <w:pStyle w:val="DefinedTerms"/>
      </w:pPr>
      <w:r>
        <w:t>Government agreement</w:t>
      </w:r>
      <w:r>
        <w:tab/>
        <w:t>Sch. 8 cl. 1, Sch. 9 cl. 1</w:t>
      </w:r>
    </w:p>
    <w:p>
      <w:pPr>
        <w:pStyle w:val="DefinedTerms"/>
      </w:pPr>
      <w:r>
        <w:t>harbour master</w:t>
      </w:r>
      <w:r>
        <w:tab/>
        <w:t>3(1)</w:t>
      </w:r>
    </w:p>
    <w:p>
      <w:pPr>
        <w:pStyle w:val="DefinedTerms"/>
      </w:pPr>
      <w:r>
        <w:t xml:space="preserve">hedging arrangement </w:t>
      </w:r>
      <w:r>
        <w:tab/>
        <w:t>87(3)</w:t>
      </w:r>
    </w:p>
    <w:p>
      <w:pPr>
        <w:pStyle w:val="DefinedTerms"/>
      </w:pPr>
      <w:r>
        <w:t>information</w:t>
      </w:r>
      <w:r>
        <w:tab/>
        <w:t>75(5)</w:t>
      </w:r>
    </w:p>
    <w:p>
      <w:pPr>
        <w:pStyle w:val="DefinedTerms"/>
      </w:pPr>
      <w:r>
        <w:t>interest rate</w:t>
      </w:r>
      <w:r>
        <w:tab/>
        <w:t>87(3)</w:t>
      </w:r>
    </w:p>
    <w:p>
      <w:pPr>
        <w:pStyle w:val="DefinedTerms"/>
      </w:pPr>
      <w:r>
        <w:t>Iron Ore (Hamersley Range) Agreement</w:t>
      </w:r>
      <w:r>
        <w:tab/>
        <w:t>Sch. 6 cl. 1</w:t>
      </w:r>
    </w:p>
    <w:p>
      <w:pPr>
        <w:pStyle w:val="DefinedTerms"/>
      </w:pPr>
      <w:r>
        <w:t>jetty</w:t>
      </w:r>
      <w:r>
        <w:tab/>
        <w:t>3(1)</w:t>
      </w:r>
    </w:p>
    <w:p>
      <w:pPr>
        <w:pStyle w:val="DefinedTerms"/>
      </w:pPr>
      <w:r>
        <w:t>Joint Venturers</w:t>
      </w:r>
      <w:r>
        <w:tab/>
        <w:t>Sch. 6 cl. 1</w:t>
      </w:r>
    </w:p>
    <w:p>
      <w:pPr>
        <w:pStyle w:val="DefinedTerms"/>
      </w:pPr>
      <w:r>
        <w:t>KPA</w:t>
      </w:r>
      <w:r>
        <w:tab/>
        <w:t>Sch. 8 cl. 37</w:t>
      </w:r>
    </w:p>
    <w:p>
      <w:pPr>
        <w:pStyle w:val="DefinedTerms"/>
      </w:pPr>
      <w:r>
        <w:t>last financial year</w:t>
      </w:r>
      <w:r>
        <w:tab/>
        <w:t>Sch. 8 cl. 13(5), Sch. 8 cl. 34(5)</w:t>
      </w:r>
    </w:p>
    <w:p>
      <w:pPr>
        <w:pStyle w:val="DefinedTerms"/>
      </w:pPr>
      <w:r>
        <w:t>latest draft plan</w:t>
      </w:r>
      <w:r>
        <w:tab/>
        <w:t>54(2)</w:t>
      </w:r>
    </w:p>
    <w:p>
      <w:pPr>
        <w:pStyle w:val="DefinedTerms"/>
      </w:pPr>
      <w:r>
        <w:t>latest draft statement</w:t>
      </w:r>
      <w:r>
        <w:tab/>
        <w:t>63(2)</w:t>
      </w:r>
    </w:p>
    <w:p>
      <w:pPr>
        <w:pStyle w:val="DefinedTerms"/>
      </w:pPr>
      <w:r>
        <w:t>liability</w:t>
      </w:r>
      <w:r>
        <w:tab/>
        <w:t>Sch. 8 cl. 1</w:t>
      </w:r>
    </w:p>
    <w:p>
      <w:pPr>
        <w:pStyle w:val="DefinedTerms"/>
      </w:pPr>
      <w:r>
        <w:t>management</w:t>
      </w:r>
      <w:r>
        <w:tab/>
        <w:t>3(1)</w:t>
      </w:r>
    </w:p>
    <w:p>
      <w:pPr>
        <w:pStyle w:val="DefinedTerms"/>
      </w:pPr>
      <w:r>
        <w:t>marine safety plan</w:t>
      </w:r>
      <w:r>
        <w:tab/>
        <w:t>114(1)</w:t>
      </w:r>
    </w:p>
    <w:p>
      <w:pPr>
        <w:pStyle w:val="DefinedTerms"/>
      </w:pPr>
      <w:r>
        <w:t>maritime structure</w:t>
      </w:r>
      <w:r>
        <w:tab/>
        <w:t>3(1)</w:t>
      </w:r>
    </w:p>
    <w:p>
      <w:pPr>
        <w:pStyle w:val="DefinedTerms"/>
      </w:pPr>
      <w:r>
        <w:t>master</w:t>
      </w:r>
      <w:r>
        <w:tab/>
        <w:t>3(1)</w:t>
      </w:r>
    </w:p>
    <w:p>
      <w:pPr>
        <w:pStyle w:val="DefinedTerms"/>
      </w:pPr>
      <w:r>
        <w:t>member of staff</w:t>
      </w:r>
      <w:r>
        <w:tab/>
        <w:t>3(1)</w:t>
      </w:r>
    </w:p>
    <w:p>
      <w:pPr>
        <w:pStyle w:val="DefinedTerms"/>
      </w:pPr>
      <w:r>
        <w:t>members of staff</w:t>
      </w:r>
      <w:r>
        <w:tab/>
        <w:t>19(3), 21(4)</w:t>
      </w:r>
    </w:p>
    <w:p>
      <w:pPr>
        <w:pStyle w:val="DefinedTerms"/>
      </w:pPr>
      <w:r>
        <w:t>merger</w:t>
      </w:r>
      <w:r>
        <w:tab/>
        <w:t>Sch. 8 cl. 2, Sch. 8 cl. 23</w:t>
      </w:r>
    </w:p>
    <w:p>
      <w:pPr>
        <w:pStyle w:val="DefinedTerms"/>
      </w:pPr>
      <w:r>
        <w:t>merger time</w:t>
      </w:r>
      <w:r>
        <w:tab/>
        <w:t>Sch. 8 cl. 2, Sch. 8 cl. 23</w:t>
      </w:r>
    </w:p>
    <w:p>
      <w:pPr>
        <w:pStyle w:val="DefinedTerms"/>
      </w:pPr>
      <w:r>
        <w:t>merging authority</w:t>
      </w:r>
      <w:r>
        <w:tab/>
        <w:t>Sch. 8 cl. 2, Sch. 8 cl. 23</w:t>
      </w:r>
    </w:p>
    <w:p>
      <w:pPr>
        <w:pStyle w:val="DefinedTerms"/>
      </w:pPr>
      <w:r>
        <w:t>mooring</w:t>
      </w:r>
      <w:r>
        <w:tab/>
        <w:t>3(1)</w:t>
      </w:r>
    </w:p>
    <w:p>
      <w:pPr>
        <w:pStyle w:val="DefinedTerms"/>
      </w:pPr>
      <w:r>
        <w:t>movement</w:t>
      </w:r>
      <w:r>
        <w:tab/>
        <w:t>3(1)</w:t>
      </w:r>
    </w:p>
    <w:p>
      <w:pPr>
        <w:pStyle w:val="DefinedTerms"/>
      </w:pPr>
      <w:r>
        <w:t>MWPA</w:t>
      </w:r>
      <w:r>
        <w:tab/>
        <w:t>Sch. 8 cl. 16</w:t>
      </w:r>
    </w:p>
    <w:p>
      <w:pPr>
        <w:pStyle w:val="DefinedTerms"/>
      </w:pPr>
      <w:r>
        <w:t>navigational aid</w:t>
      </w:r>
      <w:r>
        <w:tab/>
        <w:t>3(1)</w:t>
      </w:r>
    </w:p>
    <w:p>
      <w:pPr>
        <w:pStyle w:val="DefinedTerms"/>
      </w:pPr>
      <w:r>
        <w:t>new board</w:t>
      </w:r>
      <w:r>
        <w:tab/>
        <w:t>Sch. 8 cl. 2, Sch. 8 cl. 16, Sch. 8 cl. 23, Sch. 8 cl. 37, Sch. 8 cl. 45</w:t>
      </w:r>
    </w:p>
    <w:p>
      <w:pPr>
        <w:pStyle w:val="DefinedTerms"/>
      </w:pPr>
      <w:r>
        <w:t>new name</w:t>
      </w:r>
      <w:r>
        <w:tab/>
        <w:t>Sch. 8 cl. 11(1), Sch. 8 cl. 20(1), Sch. 8 cl. 32(1), Sch. 8 cl. 41(1)</w:t>
      </w:r>
    </w:p>
    <w:p>
      <w:pPr>
        <w:pStyle w:val="DefinedTerms"/>
      </w:pPr>
      <w:r>
        <w:t>new owner</w:t>
      </w:r>
      <w:r>
        <w:tab/>
        <w:t>46(1)</w:t>
      </w:r>
    </w:p>
    <w:p>
      <w:pPr>
        <w:pStyle w:val="DefinedTerms"/>
      </w:pPr>
      <w:r>
        <w:t>North West Gas Development (Woodside) Agreement</w:t>
      </w:r>
      <w:r>
        <w:tab/>
        <w:t>Sch. 6 cl. 1</w:t>
      </w:r>
    </w:p>
    <w:p>
      <w:pPr>
        <w:pStyle w:val="DefinedTerms"/>
      </w:pPr>
      <w:r>
        <w:t>notifiable interest</w:t>
      </w:r>
      <w:r>
        <w:tab/>
        <w:t>12(3)</w:t>
      </w:r>
    </w:p>
    <w:p>
      <w:pPr>
        <w:pStyle w:val="DefinedTerms"/>
      </w:pPr>
      <w:r>
        <w:t>officer</w:t>
      </w:r>
      <w:r>
        <w:tab/>
        <w:t>Sch. 3 cl. 2(1)</w:t>
      </w:r>
    </w:p>
    <w:p>
      <w:pPr>
        <w:pStyle w:val="DefinedTerms"/>
      </w:pPr>
      <w:r>
        <w:t>owner</w:t>
      </w:r>
      <w:r>
        <w:tab/>
        <w:t>3(1), 105(1)</w:t>
      </w:r>
    </w:p>
    <w:p>
      <w:pPr>
        <w:pStyle w:val="DefinedTerms"/>
      </w:pPr>
      <w:r>
        <w:t>participate</w:t>
      </w:r>
      <w:r>
        <w:tab/>
        <w:t>35(9)</w:t>
      </w:r>
    </w:p>
    <w:p>
      <w:pPr>
        <w:pStyle w:val="DefinedTerms"/>
      </w:pPr>
      <w:r>
        <w:t>port</w:t>
      </w:r>
      <w:r>
        <w:tab/>
        <w:t>3(1), 3(1), 3(1), Sch. 6 cl. 2, Sch. 9 cl. 1</w:t>
      </w:r>
    </w:p>
    <w:p>
      <w:pPr>
        <w:pStyle w:val="DefinedTerms"/>
      </w:pPr>
      <w:r>
        <w:t>port activities</w:t>
      </w:r>
      <w:r>
        <w:tab/>
        <w:t>3(1), 35(9)</w:t>
      </w:r>
    </w:p>
    <w:p>
      <w:pPr>
        <w:pStyle w:val="DefinedTerms"/>
      </w:pPr>
      <w:r>
        <w:t>port addition</w:t>
      </w:r>
      <w:r>
        <w:tab/>
        <w:t>Sch. 9 cl. 1</w:t>
      </w:r>
    </w:p>
    <w:p>
      <w:pPr>
        <w:pStyle w:val="DefinedTerms"/>
      </w:pPr>
      <w:r>
        <w:t>port authority</w:t>
      </w:r>
      <w:r>
        <w:tab/>
        <w:t>3(1), 38(1), 123, Sch. 8 cl. 16, Sch. 8 cl. 37</w:t>
      </w:r>
    </w:p>
    <w:p>
      <w:pPr>
        <w:pStyle w:val="DefinedTerms"/>
      </w:pPr>
      <w:r>
        <w:t>port charges</w:t>
      </w:r>
      <w:r>
        <w:tab/>
        <w:t>3(1), 115(1)</w:t>
      </w:r>
    </w:p>
    <w:p>
      <w:pPr>
        <w:pStyle w:val="DefinedTerms"/>
      </w:pPr>
      <w:r>
        <w:t>port facilities</w:t>
      </w:r>
      <w:r>
        <w:tab/>
        <w:t>3(1)</w:t>
      </w:r>
    </w:p>
    <w:p>
      <w:pPr>
        <w:pStyle w:val="DefinedTerms"/>
      </w:pPr>
      <w:r>
        <w:t>port land</w:t>
      </w:r>
      <w:r>
        <w:tab/>
        <w:t>3(1)</w:t>
      </w:r>
    </w:p>
    <w:p>
      <w:pPr>
        <w:pStyle w:val="DefinedTerms"/>
      </w:pPr>
      <w:r>
        <w:t>port operations</w:t>
      </w:r>
      <w:r>
        <w:tab/>
        <w:t>3(1)</w:t>
      </w:r>
    </w:p>
    <w:p>
      <w:pPr>
        <w:pStyle w:val="DefinedTerms"/>
      </w:pPr>
      <w:r>
        <w:t>port property</w:t>
      </w:r>
      <w:r>
        <w:tab/>
        <w:t>3(1)</w:t>
      </w:r>
    </w:p>
    <w:p>
      <w:pPr>
        <w:pStyle w:val="DefinedTerms"/>
      </w:pPr>
      <w:r>
        <w:t>port security</w:t>
      </w:r>
      <w:r>
        <w:tab/>
        <w:t>3(1)</w:t>
      </w:r>
    </w:p>
    <w:p>
      <w:pPr>
        <w:pStyle w:val="DefinedTerms"/>
      </w:pPr>
      <w:r>
        <w:t>port services</w:t>
      </w:r>
      <w:r>
        <w:tab/>
        <w:t>3(1), 35(9)</w:t>
      </w:r>
    </w:p>
    <w:p>
      <w:pPr>
        <w:pStyle w:val="DefinedTerms"/>
      </w:pPr>
      <w:r>
        <w:t>port works</w:t>
      </w:r>
      <w:r>
        <w:tab/>
        <w:t>3(1), 35(9)</w:t>
      </w:r>
    </w:p>
    <w:p>
      <w:pPr>
        <w:pStyle w:val="DefinedTerms"/>
      </w:pPr>
      <w:r>
        <w:t>potential supplier</w:t>
      </w:r>
      <w:r>
        <w:tab/>
        <w:t>3(1)</w:t>
      </w:r>
    </w:p>
    <w:p>
      <w:pPr>
        <w:pStyle w:val="DefinedTerms"/>
      </w:pPr>
      <w:r>
        <w:t>PPA</w:t>
      </w:r>
      <w:r>
        <w:tab/>
        <w:t>Sch. 8 cl. 23</w:t>
      </w:r>
    </w:p>
    <w:p>
      <w:pPr>
        <w:pStyle w:val="DefinedTerms"/>
      </w:pPr>
      <w:r>
        <w:t>prescribed day</w:t>
      </w:r>
      <w:r>
        <w:tab/>
        <w:t>Sch. 5 cl. 34(1)</w:t>
      </w:r>
    </w:p>
    <w:p>
      <w:pPr>
        <w:pStyle w:val="DefinedTerms"/>
      </w:pPr>
      <w:r>
        <w:t>prescribed thing</w:t>
      </w:r>
      <w:r>
        <w:tab/>
        <w:t>113(1A)</w:t>
      </w:r>
    </w:p>
    <w:p>
      <w:pPr>
        <w:pStyle w:val="DefinedTerms"/>
      </w:pPr>
      <w:r>
        <w:t>Public Bank Account</w:t>
      </w:r>
      <w:r>
        <w:tab/>
        <w:t>79(1)</w:t>
      </w:r>
    </w:p>
    <w:p>
      <w:pPr>
        <w:pStyle w:val="DefinedTerms"/>
      </w:pPr>
      <w:r>
        <w:t>public service officer</w:t>
      </w:r>
      <w:r>
        <w:tab/>
        <w:t>11(2)</w:t>
      </w:r>
    </w:p>
    <w:p>
      <w:pPr>
        <w:pStyle w:val="DefinedTerms"/>
      </w:pPr>
      <w:r>
        <w:t>regulations</w:t>
      </w:r>
      <w:r>
        <w:tab/>
        <w:t>Sch. 5 cl. 1(1)</w:t>
      </w:r>
    </w:p>
    <w:p>
      <w:pPr>
        <w:pStyle w:val="DefinedTerms"/>
      </w:pPr>
      <w:r>
        <w:t>relevant act</w:t>
      </w:r>
      <w:r>
        <w:tab/>
        <w:t>Sch. 8 cl. 10(1), Sch. 8 cl. 31(1)</w:t>
      </w:r>
    </w:p>
    <w:p>
      <w:pPr>
        <w:pStyle w:val="DefinedTerms"/>
      </w:pPr>
      <w:r>
        <w:t>relevant officials</w:t>
      </w:r>
      <w:r>
        <w:tab/>
        <w:t>Sch. 8 cl. 45</w:t>
      </w:r>
    </w:p>
    <w:p>
      <w:pPr>
        <w:pStyle w:val="DefinedTerms"/>
      </w:pPr>
      <w:r>
        <w:t>renaming</w:t>
      </w:r>
      <w:r>
        <w:tab/>
        <w:t>Sch. 8 cl. 16, Sch. 8 cl. 37</w:t>
      </w:r>
    </w:p>
    <w:p>
      <w:pPr>
        <w:pStyle w:val="DefinedTerms"/>
      </w:pPr>
      <w:r>
        <w:t>renaming time</w:t>
      </w:r>
      <w:r>
        <w:tab/>
        <w:t>Sch. 8 cl. 16, Sch. 8 cl. 37</w:t>
      </w:r>
    </w:p>
    <w:p>
      <w:pPr>
        <w:pStyle w:val="DefinedTerms"/>
      </w:pPr>
      <w:r>
        <w:t>reporting board</w:t>
      </w:r>
      <w:r>
        <w:tab/>
        <w:t>Sch. 8 cl. 34(1)</w:t>
      </w:r>
    </w:p>
    <w:p>
      <w:pPr>
        <w:pStyle w:val="DefinedTerms"/>
      </w:pPr>
      <w:r>
        <w:t>reporting board,</w:t>
      </w:r>
      <w:r>
        <w:tab/>
        <w:t>Sch. 8 cl. 13(1)</w:t>
      </w:r>
    </w:p>
    <w:p>
      <w:pPr>
        <w:pStyle w:val="DefinedTerms"/>
      </w:pPr>
      <w:r>
        <w:t>reporting provisions</w:t>
      </w:r>
      <w:r>
        <w:tab/>
        <w:t>Sch. 8 cl. 13(1), Sch. 8 cl. 34(1)</w:t>
      </w:r>
    </w:p>
    <w:p>
      <w:pPr>
        <w:pStyle w:val="DefinedTerms"/>
      </w:pPr>
      <w:r>
        <w:t>right</w:t>
      </w:r>
      <w:r>
        <w:tab/>
        <w:t>Sch. 8 cl. 1</w:t>
      </w:r>
    </w:p>
    <w:p>
      <w:pPr>
        <w:pStyle w:val="DefinedTerms"/>
      </w:pPr>
      <w:r>
        <w:t>Salt Company</w:t>
      </w:r>
      <w:r>
        <w:tab/>
        <w:t>Sch. 6 cl. 1</w:t>
      </w:r>
    </w:p>
    <w:p>
      <w:pPr>
        <w:pStyle w:val="DefinedTerms"/>
      </w:pPr>
      <w:r>
        <w:t>sell</w:t>
      </w:r>
      <w:r>
        <w:tab/>
        <w:t>27(3)</w:t>
      </w:r>
    </w:p>
    <w:p>
      <w:pPr>
        <w:pStyle w:val="DefinedTerms"/>
      </w:pPr>
      <w:r>
        <w:t>SPA</w:t>
      </w:r>
      <w:r>
        <w:tab/>
        <w:t>Sch. 8 cl. 2</w:t>
      </w:r>
    </w:p>
    <w:p>
      <w:pPr>
        <w:pStyle w:val="DefinedTerms"/>
      </w:pPr>
      <w:r>
        <w:t>State tax</w:t>
      </w:r>
      <w:r>
        <w:tab/>
        <w:t>Sch. 8 cl. 45</w:t>
      </w:r>
    </w:p>
    <w:p>
      <w:pPr>
        <w:pStyle w:val="DefinedTerms"/>
      </w:pPr>
      <w:r>
        <w:t>subsidiary</w:t>
      </w:r>
      <w:r>
        <w:tab/>
        <w:t>3(1)</w:t>
      </w:r>
    </w:p>
    <w:p>
      <w:pPr>
        <w:pStyle w:val="DefinedTerms"/>
      </w:pPr>
      <w:r>
        <w:t>subsisting</w:t>
      </w:r>
      <w:r>
        <w:tab/>
        <w:t>Sch. 8 cl. 11(1), Sch. 8 cl. 32(1)</w:t>
      </w:r>
    </w:p>
    <w:p>
      <w:pPr>
        <w:pStyle w:val="DefinedTerms"/>
      </w:pPr>
      <w:r>
        <w:t xml:space="preserve"> third party</w:t>
      </w:r>
      <w:r>
        <w:tab/>
        <w:t>46(1)</w:t>
      </w:r>
    </w:p>
    <w:p>
      <w:pPr>
        <w:pStyle w:val="DefinedTerms"/>
      </w:pPr>
      <w:r>
        <w:t>transaction</w:t>
      </w:r>
      <w:r>
        <w:tab/>
        <w:t>42</w:t>
      </w:r>
    </w:p>
    <w:p>
      <w:pPr>
        <w:pStyle w:val="DefinedTerms"/>
      </w:pPr>
      <w:r>
        <w:t>transitional regulations</w:t>
      </w:r>
      <w:r>
        <w:tab/>
        <w:t xml:space="preserve">Sch. 8 cl. 2, Sch. 8 cl. 15(1), Sch. 8 cl. 16, </w:t>
      </w:r>
      <w:r>
        <w:br/>
      </w:r>
      <w:r>
        <w:tab/>
        <w:t xml:space="preserve">Sch. 8 cl. 22(1), Sch. 8 cl. 23, Sch. 8 cl. 36(1), </w:t>
      </w:r>
      <w:r>
        <w:br/>
      </w:r>
      <w:r>
        <w:tab/>
        <w:t>Sch. 8 cl. 37, Sch. 8 cl. 43(1), Sch. 8 cl. 45</w:t>
      </w:r>
    </w:p>
    <w:p>
      <w:pPr>
        <w:pStyle w:val="DefinedTerms"/>
      </w:pPr>
      <w:r>
        <w:t>Treasurer</w:t>
      </w:r>
      <w:r>
        <w:tab/>
        <w:t>3(1)</w:t>
      </w:r>
    </w:p>
    <w:p>
      <w:pPr>
        <w:pStyle w:val="DefinedTerms"/>
      </w:pPr>
      <w:r>
        <w:t>Treasury Corporation</w:t>
      </w:r>
      <w:r>
        <w:tab/>
        <w:t>87(3)</w:t>
      </w:r>
    </w:p>
    <w:p>
      <w:pPr>
        <w:pStyle w:val="DefinedTerms"/>
      </w:pPr>
      <w:r>
        <w:t>under compulsory pilotage</w:t>
      </w:r>
      <w:r>
        <w:tab/>
        <w:t>95(1)</w:t>
      </w:r>
    </w:p>
    <w:p>
      <w:pPr>
        <w:pStyle w:val="DefinedTerms"/>
      </w:pPr>
      <w:r>
        <w:t>vessel</w:t>
      </w:r>
      <w:r>
        <w:tab/>
        <w:t>3(1)</w:t>
      </w:r>
    </w:p>
    <w:p>
      <w:pPr>
        <w:pStyle w:val="DefinedTerms"/>
      </w:pPr>
      <w:r>
        <w:t>vested</w:t>
      </w:r>
      <w:r>
        <w:tab/>
        <w:t>3(1)</w:t>
      </w:r>
    </w:p>
    <w:p>
      <w:pPr>
        <w:pStyle w:val="DefinedTerms"/>
        <w:sectPr>
          <w:headerReference w:type="even" r:id="rId45"/>
          <w:headerReference w:type="default" r:id="rId46"/>
          <w:pgSz w:w="11907" w:h="16840" w:code="9"/>
          <w:pgMar w:top="2381" w:right="2409" w:bottom="3543" w:left="2409" w:header="720" w:footer="3380" w:gutter="0"/>
          <w:cols w:space="720"/>
          <w:noEndnote/>
          <w:docGrid w:linePitch="326"/>
        </w:sectPr>
      </w:pPr>
    </w:p>
    <w:p>
      <w:pPr>
        <w:rPr>
          <w:sz w:val="20"/>
        </w:rPr>
      </w:pPr>
    </w:p>
    <w:sectPr>
      <w:headerReference w:type="even" r:id="rId47"/>
      <w:headerReference w:type="default" r:id="rId48"/>
      <w:footerReference w:type="even" r:id="rId49"/>
      <w:footerReference w:type="default" r:id="rId50"/>
      <w:headerReference w:type="first" r:id="rId51"/>
      <w:footerReference w:type="first" r:id="rId5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7" w:name="Schedule"/>
    <w:bookmarkEnd w:id="5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Port authorities and ports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authorities and 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the constitution and proceedings of boards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constitution and proceedings of boards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duties of CEO and staff</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duties of CEO and staff</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Financial administration and audit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styleref CharSDivText</w:instrText>
          </w:r>
          <w:r>
            <w:fldChar w:fldCharType="separate"/>
          </w:r>
          <w:r>
            <w:t>Miscellaneous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44</w:instrText>
          </w:r>
          <w:r>
            <w:rPr>
              <w:b/>
            </w:rPr>
            <w:fldChar w:fldCharType="end"/>
          </w:r>
          <w:r>
            <w:rPr>
              <w:b/>
            </w:rPr>
            <w:instrText xml:space="preserve"> </w:instrText>
          </w:r>
          <w:r>
            <w:rPr>
              <w:b/>
            </w:rPr>
            <w:fldChar w:fldCharType="separate"/>
          </w:r>
          <w:r>
            <w:rPr>
              <w:b/>
            </w:rPr>
            <w:t>44</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Financial administration and audit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44</w:instrText>
          </w:r>
          <w:r>
            <w:rPr>
              <w:b/>
            </w:rPr>
            <w:fldChar w:fldCharType="end"/>
          </w:r>
          <w:r>
            <w:rPr>
              <w:b/>
            </w:rPr>
            <w:instrText xml:space="preserve"> </w:instrText>
          </w:r>
          <w:r>
            <w:rPr>
              <w:b/>
            </w:rPr>
            <w:fldChar w:fldCharType="separate"/>
          </w:r>
          <w:r>
            <w:rPr>
              <w:b/>
            </w:rPr>
            <w:t>44</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Provisions for Pilbara Ports Authority</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for Pilbara Ports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Purposes for which, or matters about which, regulations may be made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Port of Port Hedland</w:t>
          </w:r>
          <w:r>
            <w:cr/>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Purposes for which, or matters about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Port of Port Hedland</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8</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51</w:instrText>
          </w:r>
          <w:r>
            <w:rPr>
              <w:b/>
            </w:rPr>
            <w:fldChar w:fldCharType="end"/>
          </w:r>
          <w:r>
            <w:rPr>
              <w:b/>
            </w:rPr>
            <w:instrText xml:space="preserve"> </w:instrText>
          </w:r>
          <w:r>
            <w:rPr>
              <w:b/>
            </w:rPr>
            <w:fldChar w:fldCharType="separate"/>
          </w:r>
          <w:r>
            <w:rPr>
              <w:b/>
            </w:rPr>
            <w:t>51</w:t>
          </w:r>
          <w:r>
            <w:rPr>
              <w:b/>
            </w:rPr>
            <w:fldChar w:fldCharType="end"/>
          </w: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8</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51</w:instrText>
          </w:r>
          <w:r>
            <w:rPr>
              <w:b/>
            </w:rPr>
            <w:fldChar w:fldCharType="end"/>
          </w:r>
          <w:r>
            <w:rPr>
              <w:b/>
            </w:rPr>
            <w:instrText xml:space="preserve"> </w:instrText>
          </w:r>
          <w:r>
            <w:rPr>
              <w:b/>
            </w:rPr>
            <w:fldChar w:fldCharType="separate"/>
          </w:r>
          <w:r>
            <w:rPr>
              <w:b/>
            </w:rPr>
            <w:t>51</w:t>
          </w:r>
          <w:r>
            <w:rPr>
              <w:b/>
            </w:rP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Pr>
    <w:bookmarkStart w:id="1104" w:name="Compilation"/>
    <w:bookmarkEnd w:id="1104"/>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10" w:name="DefinedTerms"/>
    <w:bookmarkEnd w:id="1110"/>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11" w:name="Coversheet"/>
    <w:bookmarkEnd w:id="11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326AFE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0"/>
  </w:num>
  <w:num w:numId="15">
    <w:abstractNumId w:val="11"/>
  </w:num>
  <w:num w:numId="16">
    <w:abstractNumId w:val="14"/>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807"/>
    <w:docVar w:name="WAFER_20140113155439" w:val="RemoveTocBookmarks,RemoveUnusedBookmarks,RemoveLanguageTags,UsedStyles,ResetPageSize,UpdateArrangement"/>
    <w:docVar w:name="WAFER_20140113155439_GUID" w:val="fafd51d0-e31a-4527-89cd-4107a6272883"/>
    <w:docVar w:name="WAFER_20140113155455" w:val="RemoveTocBookmarks,RunningHeaders"/>
    <w:docVar w:name="WAFER_20140113155455_GUID" w:val="e22b6bf9-6331-4026-af3e-780275491c2c"/>
    <w:docVar w:name="WAFER_20140522104547" w:val="RemoveTocBookmarks,RemoveUnusedBookmarks,RemoveLanguageTags,UsedStyles,ResetPageSize"/>
    <w:docVar w:name="WAFER_20140522104547_GUID" w:val="d63a9e04-c65e-4db4-88bc-287a0cab3ca2"/>
    <w:docVar w:name="WAFER_20140529155200" w:val="RemoveTocBookmarks,RunningHeaders"/>
    <w:docVar w:name="WAFER_20140529155200_GUID" w:val="719f0b41-0a6c-4198-ad95-83afb068ebfe"/>
    <w:docVar w:name="WAFER_20140603173813" w:val="RemoveTocBookmarks,RunningHeaders"/>
    <w:docVar w:name="WAFER_20140603173813_GUID" w:val="896ecf3a-ac73-4285-a925-6a04a36bbdc4"/>
    <w:docVar w:name="WAFER_20140606094752" w:val="RemoveTocBookmarks,RemoveUnusedBookmarks,RemoveLanguageTags,UsedStyles,ResetPageSize,UpdateArrangement"/>
    <w:docVar w:name="WAFER_20140606094752_GUID" w:val="416ac43c-e106-44d2-8761-6f47bf533fa5"/>
    <w:docVar w:name="WAFER_20140606094810" w:val="RemoveTocBookmarks,RunningHeaders"/>
    <w:docVar w:name="WAFER_20140606094810_GUID" w:val="f3ae3d72-7dfc-4fed-88d3-15f4db374df6"/>
    <w:docVar w:name="WAFER_20140619140300" w:val="RemoveTocBookmarks,RemoveUnusedBookmarks,RemoveLanguageTags,UsedStyles,ResetPageSize,UpdateArrangement"/>
    <w:docVar w:name="WAFER_20140619140300_GUID" w:val="0f63522f-108f-440c-9e01-c5650111a4f5"/>
    <w:docVar w:name="WAFER_20140919113541" w:val="RemoveTocBookmarks,RunningHeaders"/>
    <w:docVar w:name="WAFER_20140919113541_GUID" w:val="029a89ca-44cd-4835-9816-4ef3ebf051ae"/>
    <w:docVar w:name="WAFER_20150710092504" w:val="ResetPageSize,UpdateArrangement,UpdateNTable"/>
    <w:docVar w:name="WAFER_20150710092504_GUID" w:val="67b60cd0-6cd1-42b7-9b91-f5294360343b"/>
    <w:docVar w:name="WAFER_20151109112807" w:val="UpdateStyles,UsedStyles"/>
    <w:docVar w:name="WAFER_20151109112807_GUID" w:val="dc1d1d1f-d2e9-4dcf-9289-6a745ba395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645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8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4.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image" Target="media/image2.png"/><Relationship Id="rId45" Type="http://schemas.openxmlformats.org/officeDocument/2006/relationships/header" Target="header29.xm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header" Target="header32.xml"/><Relationship Id="rId8" Type="http://schemas.openxmlformats.org/officeDocument/2006/relationships/endnotes" Target="endnotes.xml"/><Relationship Id="rId51" Type="http://schemas.openxmlformats.org/officeDocument/2006/relationships/header" Target="header3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9963B5-0827-4A9A-9662-E9DA85D7A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191</Pages>
  <Words>47424</Words>
  <Characters>224794</Characters>
  <Application>Microsoft Office Word</Application>
  <DocSecurity>0</DocSecurity>
  <Lines>5915</Lines>
  <Paragraphs>3834</Paragraphs>
  <ScaleCrop>false</ScaleCrop>
  <HeadingPairs>
    <vt:vector size="2" baseType="variant">
      <vt:variant>
        <vt:lpstr>Title</vt:lpstr>
      </vt:variant>
      <vt:variant>
        <vt:i4>1</vt:i4>
      </vt:variant>
    </vt:vector>
  </HeadingPairs>
  <TitlesOfParts>
    <vt:vector size="1" baseType="lpstr">
      <vt:lpstr>Port Authorities Act 1999</vt:lpstr>
    </vt:vector>
  </TitlesOfParts>
  <Manager/>
  <Company/>
  <LinksUpToDate>false</LinksUpToDate>
  <CharactersWithSpaces>268384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1999 - 03-f0-02</dc:title>
  <dc:subject/>
  <dc:creator/>
  <cp:keywords/>
  <dc:description/>
  <cp:lastModifiedBy>svcMRProcess</cp:lastModifiedBy>
  <cp:revision>4</cp:revision>
  <cp:lastPrinted>2012-09-11T05:57:00Z</cp:lastPrinted>
  <dcterms:created xsi:type="dcterms:W3CDTF">2019-02-19T10:06:00Z</dcterms:created>
  <dcterms:modified xsi:type="dcterms:W3CDTF">2019-02-19T10:07:00Z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DocumentType">
    <vt:lpwstr>Act</vt:lpwstr>
  </property>
  <property fmtid="{D5CDD505-2E9C-101B-9397-08002B2CF9AE}" pid="4" name="OwlsUID">
    <vt:i4>1946</vt:i4>
  </property>
  <property fmtid="{D5CDD505-2E9C-101B-9397-08002B2CF9AE}" pid="5" name="ReprintNo">
    <vt:lpwstr>3</vt:lpwstr>
  </property>
  <property fmtid="{D5CDD505-2E9C-101B-9397-08002B2CF9AE}" pid="6" name="ReprintedAsAt">
    <vt:filetime>2012-09-06T16:00:00Z</vt:filetime>
  </property>
  <property fmtid="{D5CDD505-2E9C-101B-9397-08002B2CF9AE}" pid="7" name="CommencementDate">
    <vt:lpwstr>20161208</vt:lpwstr>
  </property>
  <property fmtid="{D5CDD505-2E9C-101B-9397-08002B2CF9AE}" pid="8" name="AsAtDate">
    <vt:lpwstr>08 Dec 2016</vt:lpwstr>
  </property>
  <property fmtid="{D5CDD505-2E9C-101B-9397-08002B2CF9AE}" pid="9" name="Suffix">
    <vt:lpwstr>03-f0-02</vt:lpwstr>
  </property>
</Properties>
</file>