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(Customer Contracts)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_Toc469991236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_Toc469991237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_Toc469991238 \h </w:instrText>
      </w:r>
      <w:r>
        <w:fldChar w:fldCharType="separate"/>
      </w:r>
      <w:r>
        <w:t>1</w:t>
      </w:r>
      <w:r>
        <w:fldChar w:fldCharType="end"/>
      </w:r>
    </w:p>
    <w:p>
      <w:pPr>
        <w:pStyle w:val="TOC8"/>
        <w:rPr>
          <w:rFonts w:asciiTheme="minorHAnsi" w:eastAsiaTheme="minorEastAsia" w:hAnsiTheme="minorHAnsi" w:cstheme="minorBidi"/>
          <w:szCs w:val="22"/>
        </w:rPr>
      </w:pPr>
      <w:r>
        <w:t>4.</w:t>
      </w:r>
      <w:r>
        <w:tab/>
        <w:t>Parts 2 and 4 not to apply to certain contracts</w:t>
      </w:r>
      <w:r>
        <w:tab/>
      </w:r>
      <w:r>
        <w:fldChar w:fldCharType="begin"/>
      </w:r>
      <w:r>
        <w:instrText xml:space="preserve"> PAGEREF _Toc469991239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requirements for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_Toc469991241 \h </w:instrText>
      </w:r>
      <w:r>
        <w:fldChar w:fldCharType="separate"/>
      </w:r>
      <w:r>
        <w:t>3</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_Toc469991242 \h </w:instrText>
      </w:r>
      <w:r>
        <w:fldChar w:fldCharType="separate"/>
      </w:r>
      <w:r>
        <w:t>3</w:t>
      </w:r>
      <w:r>
        <w:fldChar w:fldCharType="end"/>
      </w:r>
    </w:p>
    <w:p>
      <w:pPr>
        <w:pStyle w:val="TOC8"/>
        <w:rPr>
          <w:rFonts w:asciiTheme="minorHAnsi" w:eastAsiaTheme="minorEastAsia" w:hAnsiTheme="minorHAnsi" w:cstheme="minorBidi"/>
          <w:szCs w:val="22"/>
        </w:rPr>
      </w:pPr>
      <w:r>
        <w:t>7.</w:t>
      </w:r>
      <w:r>
        <w:tab/>
        <w:t>Details of retailer</w:t>
      </w:r>
      <w:r>
        <w:tab/>
      </w:r>
      <w:r>
        <w:fldChar w:fldCharType="begin"/>
      </w:r>
      <w:r>
        <w:instrText xml:space="preserve"> PAGEREF _Toc469991243 \h </w:instrText>
      </w:r>
      <w:r>
        <w:fldChar w:fldCharType="separate"/>
      </w:r>
      <w:r>
        <w:t>3</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_Toc469991244 \h </w:instrText>
      </w:r>
      <w:r>
        <w:fldChar w:fldCharType="separate"/>
      </w:r>
      <w:r>
        <w:t>3</w:t>
      </w:r>
      <w:r>
        <w:fldChar w:fldCharType="end"/>
      </w:r>
    </w:p>
    <w:p>
      <w:pPr>
        <w:pStyle w:val="TOC8"/>
        <w:rPr>
          <w:rFonts w:asciiTheme="minorHAnsi" w:eastAsiaTheme="minorEastAsia" w:hAnsiTheme="minorHAnsi" w:cstheme="minorBidi"/>
          <w:szCs w:val="22"/>
        </w:rPr>
      </w:pPr>
      <w:r>
        <w:t>9.</w:t>
      </w:r>
      <w:r>
        <w:tab/>
        <w:t>Customer’s obligation to pay for electricity</w:t>
      </w:r>
      <w:r>
        <w:tab/>
      </w:r>
      <w:r>
        <w:fldChar w:fldCharType="begin"/>
      </w:r>
      <w:r>
        <w:instrText xml:space="preserve"> PAGEREF _Toc469991245 \h </w:instrText>
      </w:r>
      <w:r>
        <w:fldChar w:fldCharType="separate"/>
      </w:r>
      <w:r>
        <w:t>3</w:t>
      </w:r>
      <w:r>
        <w:fldChar w:fldCharType="end"/>
      </w:r>
    </w:p>
    <w:p>
      <w:pPr>
        <w:pStyle w:val="TOC8"/>
        <w:rPr>
          <w:rFonts w:asciiTheme="minorHAnsi" w:eastAsiaTheme="minorEastAsia" w:hAnsiTheme="minorHAnsi" w:cstheme="minorBidi"/>
          <w:szCs w:val="22"/>
        </w:rPr>
      </w:pPr>
      <w:r>
        <w:t>10.</w:t>
      </w:r>
      <w:r>
        <w:tab/>
        <w:t>Interference with network equipment</w:t>
      </w:r>
      <w:r>
        <w:tab/>
      </w:r>
      <w:r>
        <w:fldChar w:fldCharType="begin"/>
      </w:r>
      <w:r>
        <w:instrText xml:space="preserve"> PAGEREF _Toc469991246 \h </w:instrText>
      </w:r>
      <w:r>
        <w:fldChar w:fldCharType="separate"/>
      </w:r>
      <w:r>
        <w:t>4</w:t>
      </w:r>
      <w:r>
        <w:fldChar w:fldCharType="end"/>
      </w:r>
    </w:p>
    <w:p>
      <w:pPr>
        <w:pStyle w:val="TOC8"/>
        <w:rPr>
          <w:rFonts w:asciiTheme="minorHAnsi" w:eastAsiaTheme="minorEastAsia" w:hAnsiTheme="minorHAnsi" w:cstheme="minorBidi"/>
          <w:szCs w:val="22"/>
        </w:rPr>
      </w:pPr>
      <w:r>
        <w:t>11.</w:t>
      </w:r>
      <w:r>
        <w:tab/>
        <w:t>Disconnection and reconnection</w:t>
      </w:r>
      <w:r>
        <w:tab/>
      </w:r>
      <w:r>
        <w:fldChar w:fldCharType="begin"/>
      </w:r>
      <w:r>
        <w:instrText xml:space="preserve"> PAGEREF _Toc469991247 \h </w:instrText>
      </w:r>
      <w:r>
        <w:fldChar w:fldCharType="separate"/>
      </w:r>
      <w:r>
        <w:t>4</w:t>
      </w:r>
      <w:r>
        <w:fldChar w:fldCharType="end"/>
      </w:r>
    </w:p>
    <w:p>
      <w:pPr>
        <w:pStyle w:val="TOC8"/>
        <w:rPr>
          <w:rFonts w:asciiTheme="minorHAnsi" w:eastAsiaTheme="minorEastAsia" w:hAnsiTheme="minorHAnsi" w:cstheme="minorBidi"/>
          <w:szCs w:val="22"/>
        </w:rPr>
      </w:pPr>
      <w:r>
        <w:t>12.</w:t>
      </w:r>
      <w:r>
        <w:tab/>
        <w:t>Security deposits</w:t>
      </w:r>
      <w:r>
        <w:tab/>
      </w:r>
      <w:r>
        <w:fldChar w:fldCharType="begin"/>
      </w:r>
      <w:r>
        <w:instrText xml:space="preserve"> PAGEREF _Toc469991248 \h </w:instrText>
      </w:r>
      <w:r>
        <w:fldChar w:fldCharType="separate"/>
      </w:r>
      <w:r>
        <w:t>4</w:t>
      </w:r>
      <w:r>
        <w:fldChar w:fldCharType="end"/>
      </w:r>
    </w:p>
    <w:p>
      <w:pPr>
        <w:pStyle w:val="TOC8"/>
        <w:rPr>
          <w:rFonts w:asciiTheme="minorHAnsi" w:eastAsiaTheme="minorEastAsia" w:hAnsiTheme="minorHAnsi" w:cstheme="minorBidi"/>
          <w:szCs w:val="22"/>
        </w:rPr>
      </w:pPr>
      <w:r>
        <w:t>13.</w:t>
      </w:r>
      <w:r>
        <w:tab/>
        <w:t>Prices</w:t>
      </w:r>
      <w:r>
        <w:tab/>
      </w:r>
      <w:r>
        <w:fldChar w:fldCharType="begin"/>
      </w:r>
      <w:r>
        <w:instrText xml:space="preserve"> PAGEREF _Toc469991249 \h </w:instrText>
      </w:r>
      <w:r>
        <w:fldChar w:fldCharType="separate"/>
      </w:r>
      <w:r>
        <w:t>5</w:t>
      </w:r>
      <w:r>
        <w:fldChar w:fldCharType="end"/>
      </w:r>
    </w:p>
    <w:p>
      <w:pPr>
        <w:pStyle w:val="TOC8"/>
        <w:rPr>
          <w:rFonts w:asciiTheme="minorHAnsi" w:eastAsiaTheme="minorEastAsia" w:hAnsiTheme="minorHAnsi" w:cstheme="minorBidi"/>
          <w:szCs w:val="22"/>
        </w:rPr>
      </w:pPr>
      <w:r>
        <w:t>14.</w:t>
      </w:r>
      <w:r>
        <w:tab/>
        <w:t>Billing</w:t>
      </w:r>
      <w:r>
        <w:tab/>
      </w:r>
      <w:r>
        <w:fldChar w:fldCharType="begin"/>
      </w:r>
      <w:r>
        <w:instrText xml:space="preserve"> PAGEREF _Toc469991250 \h </w:instrText>
      </w:r>
      <w:r>
        <w:fldChar w:fldCharType="separate"/>
      </w:r>
      <w:r>
        <w:t>5</w:t>
      </w:r>
      <w:r>
        <w:fldChar w:fldCharType="end"/>
      </w:r>
    </w:p>
    <w:p>
      <w:pPr>
        <w:pStyle w:val="TOC8"/>
        <w:rPr>
          <w:rFonts w:asciiTheme="minorHAnsi" w:eastAsiaTheme="minorEastAsia" w:hAnsiTheme="minorHAnsi" w:cstheme="minorBidi"/>
          <w:szCs w:val="22"/>
        </w:rPr>
      </w:pPr>
      <w:r>
        <w:t>15.</w:t>
      </w:r>
      <w:r>
        <w:tab/>
        <w:t>Termination</w:t>
      </w:r>
      <w:r>
        <w:tab/>
      </w:r>
      <w:r>
        <w:fldChar w:fldCharType="begin"/>
      </w:r>
      <w:r>
        <w:instrText xml:space="preserve"> PAGEREF _Toc469991251 \h </w:instrText>
      </w:r>
      <w:r>
        <w:fldChar w:fldCharType="separate"/>
      </w:r>
      <w:r>
        <w:t>5</w:t>
      </w:r>
      <w:r>
        <w:fldChar w:fldCharType="end"/>
      </w:r>
    </w:p>
    <w:p>
      <w:pPr>
        <w:pStyle w:val="TOC8"/>
        <w:rPr>
          <w:rFonts w:asciiTheme="minorHAnsi" w:eastAsiaTheme="minorEastAsia" w:hAnsiTheme="minorHAnsi" w:cstheme="minorBidi"/>
          <w:szCs w:val="22"/>
        </w:rPr>
      </w:pPr>
      <w:r>
        <w:t>16.</w:t>
      </w:r>
      <w:r>
        <w:tab/>
        <w:t>Amendment of contract</w:t>
      </w:r>
      <w:r>
        <w:tab/>
      </w:r>
      <w:r>
        <w:fldChar w:fldCharType="begin"/>
      </w:r>
      <w:r>
        <w:instrText xml:space="preserve"> PAGEREF _Toc469991252 \h </w:instrText>
      </w:r>
      <w:r>
        <w:fldChar w:fldCharType="separate"/>
      </w:r>
      <w:r>
        <w:t>7</w:t>
      </w:r>
      <w:r>
        <w:fldChar w:fldCharType="end"/>
      </w:r>
    </w:p>
    <w:p>
      <w:pPr>
        <w:pStyle w:val="TOC8"/>
        <w:rPr>
          <w:rFonts w:asciiTheme="minorHAnsi" w:eastAsiaTheme="minorEastAsia" w:hAnsiTheme="minorHAnsi" w:cstheme="minorBidi"/>
          <w:szCs w:val="22"/>
        </w:rPr>
      </w:pPr>
      <w:r>
        <w:t>17.</w:t>
      </w:r>
      <w:r>
        <w:tab/>
        <w:t>Assignment</w:t>
      </w:r>
      <w:r>
        <w:tab/>
      </w:r>
      <w:r>
        <w:fldChar w:fldCharType="begin"/>
      </w:r>
      <w:r>
        <w:instrText xml:space="preserve"> PAGEREF _Toc469991253 \h </w:instrText>
      </w:r>
      <w:r>
        <w:fldChar w:fldCharType="separate"/>
      </w:r>
      <w:r>
        <w:t>7</w:t>
      </w:r>
      <w:r>
        <w:fldChar w:fldCharType="end"/>
      </w:r>
    </w:p>
    <w:p>
      <w:pPr>
        <w:pStyle w:val="TOC8"/>
        <w:rPr>
          <w:rFonts w:asciiTheme="minorHAnsi" w:eastAsiaTheme="minorEastAsia" w:hAnsiTheme="minorHAnsi" w:cstheme="minorBidi"/>
          <w:szCs w:val="22"/>
        </w:rPr>
      </w:pPr>
      <w:r>
        <w:t>18.</w:t>
      </w:r>
      <w:r>
        <w:tab/>
        <w:t>Complaints</w:t>
      </w:r>
      <w:r>
        <w:tab/>
      </w:r>
      <w:r>
        <w:fldChar w:fldCharType="begin"/>
      </w:r>
      <w:r>
        <w:instrText xml:space="preserve"> PAGEREF _Toc469991254 \h </w:instrText>
      </w:r>
      <w:r>
        <w:fldChar w:fldCharType="separate"/>
      </w:r>
      <w:r>
        <w:t>7</w:t>
      </w:r>
      <w:r>
        <w:fldChar w:fldCharType="end"/>
      </w:r>
    </w:p>
    <w:p>
      <w:pPr>
        <w:pStyle w:val="TOC8"/>
        <w:rPr>
          <w:rFonts w:asciiTheme="minorHAnsi" w:eastAsiaTheme="minorEastAsia" w:hAnsiTheme="minorHAnsi" w:cstheme="minorBidi"/>
          <w:szCs w:val="22"/>
        </w:rPr>
      </w:pPr>
      <w:r>
        <w:t>19.</w:t>
      </w:r>
      <w:r>
        <w:tab/>
        <w:t>Confidentiality</w:t>
      </w:r>
      <w:r>
        <w:tab/>
      </w:r>
      <w:r>
        <w:fldChar w:fldCharType="begin"/>
      </w:r>
      <w:r>
        <w:instrText xml:space="preserve"> PAGEREF _Toc469991255 \h </w:instrText>
      </w:r>
      <w:r>
        <w:fldChar w:fldCharType="separate"/>
      </w:r>
      <w:r>
        <w:t>8</w:t>
      </w:r>
      <w:r>
        <w:fldChar w:fldCharType="end"/>
      </w:r>
    </w:p>
    <w:p>
      <w:pPr>
        <w:pStyle w:val="TOC8"/>
        <w:rPr>
          <w:rFonts w:asciiTheme="minorHAnsi" w:eastAsiaTheme="minorEastAsia" w:hAnsiTheme="minorHAnsi" w:cstheme="minorBidi"/>
          <w:szCs w:val="22"/>
        </w:rPr>
      </w:pPr>
      <w:r>
        <w:t>20.</w:t>
      </w:r>
      <w:r>
        <w:tab/>
        <w:t>Miscellaneous provisions</w:t>
      </w:r>
      <w:r>
        <w:tab/>
      </w:r>
      <w:r>
        <w:fldChar w:fldCharType="begin"/>
      </w:r>
      <w:r>
        <w:instrText xml:space="preserve"> PAGEREF _Toc469991256 \h </w:instrText>
      </w:r>
      <w:r>
        <w:fldChar w:fldCharType="separate"/>
      </w:r>
      <w:r>
        <w:t>8</w:t>
      </w:r>
      <w:r>
        <w:fldChar w:fldCharType="end"/>
      </w:r>
    </w:p>
    <w:p>
      <w:pPr>
        <w:pStyle w:val="TOC8"/>
        <w:rPr>
          <w:rFonts w:asciiTheme="minorHAnsi" w:eastAsiaTheme="minorEastAsia" w:hAnsiTheme="minorHAnsi" w:cstheme="minorBidi"/>
          <w:szCs w:val="22"/>
        </w:rPr>
      </w:pPr>
      <w:r>
        <w:t>21.</w:t>
      </w:r>
      <w:r>
        <w:tab/>
        <w:t>No contracting out of code of conduct</w:t>
      </w:r>
      <w:r>
        <w:tab/>
      </w:r>
      <w:r>
        <w:fldChar w:fldCharType="begin"/>
      </w:r>
      <w:r>
        <w:instrText xml:space="preserve"> PAGEREF _Toc469991257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Requirements for standard form contracts</w:t>
      </w:r>
    </w:p>
    <w:p>
      <w:pPr>
        <w:pStyle w:val="TOC8"/>
        <w:rPr>
          <w:rFonts w:asciiTheme="minorHAnsi" w:eastAsiaTheme="minorEastAsia" w:hAnsiTheme="minorHAnsi" w:cstheme="minorBidi"/>
          <w:szCs w:val="22"/>
        </w:rPr>
      </w:pPr>
      <w:r>
        <w:t>22.</w:t>
      </w:r>
      <w:r>
        <w:tab/>
        <w:t>Cooling</w:t>
      </w:r>
      <w:r>
        <w:noBreakHyphen/>
        <w:t>off period for door to door contracts</w:t>
      </w:r>
      <w:r>
        <w:tab/>
      </w:r>
      <w:r>
        <w:fldChar w:fldCharType="begin"/>
      </w:r>
      <w:r>
        <w:instrText xml:space="preserve"> PAGEREF _Toc469991259 \h </w:instrText>
      </w:r>
      <w:r>
        <w:fldChar w:fldCharType="separate"/>
      </w:r>
      <w:r>
        <w:t>9</w:t>
      </w:r>
      <w:r>
        <w:fldChar w:fldCharType="end"/>
      </w:r>
    </w:p>
    <w:p>
      <w:pPr>
        <w:pStyle w:val="TOC8"/>
        <w:rPr>
          <w:rFonts w:asciiTheme="minorHAnsi" w:eastAsiaTheme="minorEastAsia" w:hAnsiTheme="minorHAnsi" w:cstheme="minorBidi"/>
          <w:szCs w:val="22"/>
        </w:rPr>
      </w:pPr>
      <w:r>
        <w:t>23.</w:t>
      </w:r>
      <w:r>
        <w:tab/>
        <w:t>Termination of contract by customer</w:t>
      </w:r>
      <w:r>
        <w:tab/>
      </w:r>
      <w:r>
        <w:fldChar w:fldCharType="begin"/>
      </w:r>
      <w:r>
        <w:instrText xml:space="preserve"> PAGEREF _Toc469991260 \h </w:instrText>
      </w:r>
      <w:r>
        <w:fldChar w:fldCharType="separate"/>
      </w:r>
      <w:r>
        <w:t>9</w:t>
      </w:r>
      <w:r>
        <w:fldChar w:fldCharType="end"/>
      </w:r>
    </w:p>
    <w:p>
      <w:pPr>
        <w:pStyle w:val="TOC8"/>
        <w:rPr>
          <w:rFonts w:asciiTheme="minorHAnsi" w:eastAsiaTheme="minorEastAsia" w:hAnsiTheme="minorHAnsi" w:cstheme="minorBidi"/>
          <w:szCs w:val="22"/>
        </w:rPr>
      </w:pPr>
      <w:r>
        <w:t>24.</w:t>
      </w:r>
      <w:r>
        <w:tab/>
        <w:t>Equipment ownership and responsibility</w:t>
      </w:r>
      <w:r>
        <w:tab/>
      </w:r>
      <w:r>
        <w:fldChar w:fldCharType="begin"/>
      </w:r>
      <w:r>
        <w:instrText xml:space="preserve"> PAGEREF _Toc469991261 \h </w:instrText>
      </w:r>
      <w:r>
        <w:fldChar w:fldCharType="separate"/>
      </w:r>
      <w:r>
        <w:t>10</w:t>
      </w:r>
      <w:r>
        <w:fldChar w:fldCharType="end"/>
      </w:r>
    </w:p>
    <w:p>
      <w:pPr>
        <w:pStyle w:val="TOC8"/>
        <w:rPr>
          <w:rFonts w:asciiTheme="minorHAnsi" w:eastAsiaTheme="minorEastAsia" w:hAnsiTheme="minorHAnsi" w:cstheme="minorBidi"/>
          <w:szCs w:val="22"/>
        </w:rPr>
      </w:pPr>
      <w:r>
        <w:t>25.</w:t>
      </w:r>
      <w:r>
        <w:tab/>
        <w:t>Meter testing</w:t>
      </w:r>
      <w:r>
        <w:tab/>
      </w:r>
      <w:r>
        <w:fldChar w:fldCharType="begin"/>
      </w:r>
      <w:r>
        <w:instrText xml:space="preserve"> PAGEREF _Toc469991262 \h </w:instrText>
      </w:r>
      <w:r>
        <w:fldChar w:fldCharType="separate"/>
      </w:r>
      <w:r>
        <w:t>10</w:t>
      </w:r>
      <w:r>
        <w:fldChar w:fldCharType="end"/>
      </w:r>
    </w:p>
    <w:p>
      <w:pPr>
        <w:pStyle w:val="TOC8"/>
        <w:rPr>
          <w:rFonts w:asciiTheme="minorHAnsi" w:eastAsiaTheme="minorEastAsia" w:hAnsiTheme="minorHAnsi" w:cstheme="minorBidi"/>
          <w:szCs w:val="22"/>
        </w:rPr>
      </w:pPr>
      <w:r>
        <w:t>26.</w:t>
      </w:r>
      <w:r>
        <w:tab/>
        <w:t>Access to supply premises</w:t>
      </w:r>
      <w:r>
        <w:tab/>
      </w:r>
      <w:r>
        <w:fldChar w:fldCharType="begin"/>
      </w:r>
      <w:r>
        <w:instrText xml:space="preserve"> PAGEREF _Toc469991263 \h </w:instrText>
      </w:r>
      <w:r>
        <w:fldChar w:fldCharType="separate"/>
      </w:r>
      <w:r>
        <w:t>10</w:t>
      </w:r>
      <w:r>
        <w:fldChar w:fldCharType="end"/>
      </w:r>
    </w:p>
    <w:p>
      <w:pPr>
        <w:pStyle w:val="TOC8"/>
        <w:rPr>
          <w:rFonts w:asciiTheme="minorHAnsi" w:eastAsiaTheme="minorEastAsia" w:hAnsiTheme="minorHAnsi" w:cstheme="minorBidi"/>
          <w:szCs w:val="22"/>
        </w:rPr>
      </w:pPr>
      <w:r>
        <w:t>27.</w:t>
      </w:r>
      <w:r>
        <w:tab/>
        <w:t>Customer entering supply premises — existing connection</w:t>
      </w:r>
      <w:r>
        <w:tab/>
      </w:r>
      <w:r>
        <w:fldChar w:fldCharType="begin"/>
      </w:r>
      <w:r>
        <w:instrText xml:space="preserve"> PAGEREF _Toc469991264 \h </w:instrText>
      </w:r>
      <w:r>
        <w:fldChar w:fldCharType="separate"/>
      </w:r>
      <w:r>
        <w:t>10</w:t>
      </w:r>
      <w:r>
        <w:fldChar w:fldCharType="end"/>
      </w:r>
    </w:p>
    <w:p>
      <w:pPr>
        <w:pStyle w:val="TOC8"/>
        <w:rPr>
          <w:rFonts w:asciiTheme="minorHAnsi" w:eastAsiaTheme="minorEastAsia" w:hAnsiTheme="minorHAnsi" w:cstheme="minorBidi"/>
          <w:szCs w:val="22"/>
        </w:rPr>
      </w:pPr>
      <w:r>
        <w:t>28.</w:t>
      </w:r>
      <w:r>
        <w:tab/>
        <w:t>Customer leaving supply premises</w:t>
      </w:r>
      <w:r>
        <w:tab/>
      </w:r>
      <w:r>
        <w:fldChar w:fldCharType="begin"/>
      </w:r>
      <w:r>
        <w:instrText xml:space="preserve"> PAGEREF _Toc469991265 \h </w:instrText>
      </w:r>
      <w:r>
        <w:fldChar w:fldCharType="separate"/>
      </w:r>
      <w:r>
        <w:t>11</w:t>
      </w:r>
      <w:r>
        <w:fldChar w:fldCharType="end"/>
      </w:r>
    </w:p>
    <w:p>
      <w:pPr>
        <w:pStyle w:val="TOC8"/>
        <w:rPr>
          <w:rFonts w:asciiTheme="minorHAnsi" w:eastAsiaTheme="minorEastAsia" w:hAnsiTheme="minorHAnsi" w:cstheme="minorBidi"/>
          <w:szCs w:val="22"/>
        </w:rPr>
      </w:pPr>
      <w:r>
        <w:t>29.</w:t>
      </w:r>
      <w:r>
        <w:tab/>
        <w:t>Matters beyond the control of customer or retailer</w:t>
      </w:r>
      <w:r>
        <w:tab/>
      </w:r>
      <w:r>
        <w:fldChar w:fldCharType="begin"/>
      </w:r>
      <w:r>
        <w:instrText xml:space="preserve"> PAGEREF _Toc469991266 \h </w:instrText>
      </w:r>
      <w:r>
        <w:fldChar w:fldCharType="separate"/>
      </w:r>
      <w:r>
        <w:t>11</w:t>
      </w:r>
      <w:r>
        <w:fldChar w:fldCharType="end"/>
      </w:r>
    </w:p>
    <w:p>
      <w:pPr>
        <w:pStyle w:val="TOC8"/>
        <w:rPr>
          <w:rFonts w:asciiTheme="minorHAnsi" w:eastAsiaTheme="minorEastAsia" w:hAnsiTheme="minorHAnsi" w:cstheme="minorBidi"/>
          <w:szCs w:val="22"/>
        </w:rPr>
      </w:pPr>
      <w:r>
        <w:t>30.</w:t>
      </w:r>
      <w:r>
        <w:tab/>
        <w:t>Security deposits</w:t>
      </w:r>
      <w:r>
        <w:tab/>
      </w:r>
      <w:r>
        <w:fldChar w:fldCharType="begin"/>
      </w:r>
      <w:r>
        <w:instrText xml:space="preserve"> PAGEREF _Toc469991267 \h </w:instrText>
      </w:r>
      <w:r>
        <w:fldChar w:fldCharType="separate"/>
      </w:r>
      <w:r>
        <w:t>11</w:t>
      </w:r>
      <w:r>
        <w:fldChar w:fldCharType="end"/>
      </w:r>
    </w:p>
    <w:p>
      <w:pPr>
        <w:pStyle w:val="TOC8"/>
        <w:rPr>
          <w:rFonts w:asciiTheme="minorHAnsi" w:eastAsiaTheme="minorEastAsia" w:hAnsiTheme="minorHAnsi" w:cstheme="minorBidi"/>
          <w:szCs w:val="22"/>
        </w:rPr>
      </w:pPr>
      <w:r>
        <w:t>31.</w:t>
      </w:r>
      <w:r>
        <w:tab/>
        <w:t>Payment difficulties and debt recovery</w:t>
      </w:r>
      <w:r>
        <w:tab/>
      </w:r>
      <w:r>
        <w:fldChar w:fldCharType="begin"/>
      </w:r>
      <w:r>
        <w:instrText xml:space="preserve"> PAGEREF _Toc469991268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non</w:t>
      </w:r>
      <w:r>
        <w:noBreakHyphen/>
        <w:t>standard contracts</w:t>
      </w:r>
    </w:p>
    <w:p>
      <w:pPr>
        <w:pStyle w:val="TOC8"/>
        <w:rPr>
          <w:rFonts w:asciiTheme="minorHAnsi" w:eastAsiaTheme="minorEastAsia" w:hAnsiTheme="minorHAnsi" w:cstheme="minorBidi"/>
          <w:szCs w:val="22"/>
        </w:rPr>
      </w:pPr>
      <w:r>
        <w:t>32.</w:t>
      </w:r>
      <w:r>
        <w:tab/>
        <w:t>Cooling</w:t>
      </w:r>
      <w:r>
        <w:noBreakHyphen/>
        <w:t>off period for non</w:t>
      </w:r>
      <w:r>
        <w:noBreakHyphen/>
        <w:t>standard contracts</w:t>
      </w:r>
      <w:r>
        <w:tab/>
      </w:r>
      <w:r>
        <w:fldChar w:fldCharType="begin"/>
      </w:r>
      <w:r>
        <w:instrText xml:space="preserve"> PAGEREF _Toc469991270 \h </w:instrText>
      </w:r>
      <w:r>
        <w:fldChar w:fldCharType="separate"/>
      </w:r>
      <w:r>
        <w:t>13</w:t>
      </w:r>
      <w:r>
        <w:fldChar w:fldCharType="end"/>
      </w:r>
    </w:p>
    <w:p>
      <w:pPr>
        <w:pStyle w:val="TOC8"/>
        <w:rPr>
          <w:rFonts w:asciiTheme="minorHAnsi" w:eastAsiaTheme="minorEastAsia" w:hAnsiTheme="minorHAnsi" w:cstheme="minorBidi"/>
          <w:szCs w:val="22"/>
        </w:rPr>
      </w:pPr>
      <w:r>
        <w:t>33.</w:t>
      </w:r>
      <w:r>
        <w:tab/>
        <w:t>Termination of contract by customer</w:t>
      </w:r>
      <w:r>
        <w:tab/>
      </w:r>
      <w:r>
        <w:fldChar w:fldCharType="begin"/>
      </w:r>
      <w:r>
        <w:instrText xml:space="preserve"> PAGEREF _Toc469991271 \h </w:instrText>
      </w:r>
      <w:r>
        <w:fldChar w:fldCharType="separate"/>
      </w:r>
      <w:r>
        <w:t>13</w:t>
      </w:r>
      <w:r>
        <w:fldChar w:fldCharType="end"/>
      </w:r>
    </w:p>
    <w:p>
      <w:pPr>
        <w:pStyle w:val="TOC8"/>
        <w:rPr>
          <w:rFonts w:asciiTheme="minorHAnsi" w:eastAsiaTheme="minorEastAsia" w:hAnsiTheme="minorHAnsi" w:cstheme="minorBidi"/>
          <w:szCs w:val="22"/>
        </w:rPr>
      </w:pPr>
      <w:r>
        <w:t>34.</w:t>
      </w:r>
      <w:r>
        <w:tab/>
        <w:t>Amendment of contract</w:t>
      </w:r>
      <w:r>
        <w:tab/>
      </w:r>
      <w:r>
        <w:fldChar w:fldCharType="begin"/>
      </w:r>
      <w:r>
        <w:instrText xml:space="preserve"> PAGEREF _Toc469991272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Deemed contracts with default supplier</w:t>
      </w:r>
    </w:p>
    <w:p>
      <w:pPr>
        <w:pStyle w:val="TOC8"/>
        <w:rPr>
          <w:rFonts w:asciiTheme="minorHAnsi" w:eastAsiaTheme="minorEastAsia" w:hAnsiTheme="minorHAnsi" w:cstheme="minorBidi"/>
          <w:szCs w:val="22"/>
        </w:rPr>
      </w:pPr>
      <w:r>
        <w:t>35.</w:t>
      </w:r>
      <w:r>
        <w:tab/>
        <w:t>Meaning of terms used in this Part</w:t>
      </w:r>
      <w:r>
        <w:tab/>
      </w:r>
      <w:r>
        <w:fldChar w:fldCharType="begin"/>
      </w:r>
      <w:r>
        <w:instrText xml:space="preserve"> PAGEREF _Toc469991274 \h </w:instrText>
      </w:r>
      <w:r>
        <w:fldChar w:fldCharType="separate"/>
      </w:r>
      <w:r>
        <w:t>15</w:t>
      </w:r>
      <w:r>
        <w:fldChar w:fldCharType="end"/>
      </w:r>
    </w:p>
    <w:p>
      <w:pPr>
        <w:pStyle w:val="TOC8"/>
        <w:rPr>
          <w:rFonts w:asciiTheme="minorHAnsi" w:eastAsiaTheme="minorEastAsia" w:hAnsiTheme="minorHAnsi" w:cstheme="minorBidi"/>
          <w:szCs w:val="22"/>
        </w:rPr>
      </w:pPr>
      <w:r>
        <w:t>36.</w:t>
      </w:r>
      <w:r>
        <w:tab/>
        <w:t>Determination of default supplier</w:t>
      </w:r>
      <w:r>
        <w:tab/>
      </w:r>
      <w:r>
        <w:fldChar w:fldCharType="begin"/>
      </w:r>
      <w:r>
        <w:instrText xml:space="preserve"> PAGEREF _Toc469991275 \h </w:instrText>
      </w:r>
      <w:r>
        <w:fldChar w:fldCharType="separate"/>
      </w:r>
      <w:r>
        <w:t>15</w:t>
      </w:r>
      <w:r>
        <w:fldChar w:fldCharType="end"/>
      </w:r>
    </w:p>
    <w:p>
      <w:pPr>
        <w:pStyle w:val="TOC8"/>
        <w:rPr>
          <w:rFonts w:asciiTheme="minorHAnsi" w:eastAsiaTheme="minorEastAsia" w:hAnsiTheme="minorHAnsi" w:cstheme="minorBidi"/>
          <w:szCs w:val="22"/>
        </w:rPr>
      </w:pPr>
      <w:r>
        <w:t>37.</w:t>
      </w:r>
      <w:r>
        <w:tab/>
        <w:t>Supply under deemed contract with default supplier</w:t>
      </w:r>
      <w:r>
        <w:tab/>
      </w:r>
      <w:r>
        <w:fldChar w:fldCharType="begin"/>
      </w:r>
      <w:r>
        <w:instrText xml:space="preserve"> PAGEREF _Toc469991276 \h </w:instrText>
      </w:r>
      <w:r>
        <w:fldChar w:fldCharType="separate"/>
      </w:r>
      <w:r>
        <w:t>15</w:t>
      </w:r>
      <w:r>
        <w:fldChar w:fldCharType="end"/>
      </w:r>
    </w:p>
    <w:p>
      <w:pPr>
        <w:pStyle w:val="TOC8"/>
        <w:rPr>
          <w:rFonts w:asciiTheme="minorHAnsi" w:eastAsiaTheme="minorEastAsia" w:hAnsiTheme="minorHAnsi" w:cstheme="minorBidi"/>
          <w:szCs w:val="22"/>
        </w:rPr>
      </w:pPr>
      <w:r>
        <w:t>38.</w:t>
      </w:r>
      <w:r>
        <w:tab/>
        <w:t>Default supplier to notify customer</w:t>
      </w:r>
      <w:r>
        <w:tab/>
      </w:r>
      <w:r>
        <w:fldChar w:fldCharType="begin"/>
      </w:r>
      <w:r>
        <w:instrText xml:space="preserve"> PAGEREF _Toc469991277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39.</w:t>
      </w:r>
      <w:r>
        <w:tab/>
        <w:t>Exception for section 54(1)</w:t>
      </w:r>
      <w:r>
        <w:tab/>
      </w:r>
      <w:r>
        <w:fldChar w:fldCharType="begin"/>
      </w:r>
      <w:r>
        <w:instrText xml:space="preserve"> PAGEREF _Toc469991279 \h </w:instrText>
      </w:r>
      <w:r>
        <w:fldChar w:fldCharType="separate"/>
      </w:r>
      <w:r>
        <w:t>17</w:t>
      </w:r>
      <w:r>
        <w:fldChar w:fldCharType="end"/>
      </w:r>
    </w:p>
    <w:p>
      <w:pPr>
        <w:pStyle w:val="TOC8"/>
        <w:rPr>
          <w:rFonts w:asciiTheme="minorHAnsi" w:eastAsiaTheme="minorEastAsia" w:hAnsiTheme="minorHAnsi" w:cstheme="minorBidi"/>
          <w:szCs w:val="22"/>
        </w:rPr>
      </w:pPr>
      <w:r>
        <w:t>40.</w:t>
      </w:r>
      <w:r>
        <w:tab/>
        <w:t>Requirement to offer to supply electricity under standard form contract</w:t>
      </w:r>
      <w:r>
        <w:tab/>
      </w:r>
      <w:r>
        <w:fldChar w:fldCharType="begin"/>
      </w:r>
      <w:r>
        <w:instrText xml:space="preserve"> PAGEREF _Toc469991280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_Toc469991282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3" w:name="_Toc378231711"/>
      <w:bookmarkStart w:id="4" w:name="_Toc416794823"/>
      <w:bookmarkStart w:id="5" w:name="_Toc416794871"/>
      <w:bookmarkStart w:id="6" w:name="_Toc469991028"/>
      <w:bookmarkStart w:id="7" w:name="_Toc469991186"/>
      <w:bookmarkStart w:id="8" w:name="_Toc4699912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8231712"/>
      <w:bookmarkStart w:id="10" w:name="_Toc469991236"/>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1" w:name="_Toc378231713"/>
      <w:bookmarkStart w:id="12" w:name="_Toc46999123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1 January 2006.</w:t>
      </w:r>
    </w:p>
    <w:p>
      <w:pPr>
        <w:pStyle w:val="Heading5"/>
      </w:pPr>
      <w:bookmarkStart w:id="13" w:name="_Toc378231714"/>
      <w:bookmarkStart w:id="14" w:name="_Toc469991238"/>
      <w:r>
        <w:rPr>
          <w:rStyle w:val="CharSectno"/>
        </w:rPr>
        <w:t>3</w:t>
      </w:r>
      <w:r>
        <w:t>.</w:t>
      </w:r>
      <w:r>
        <w:tab/>
        <w:t>Terms used in these regulations</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Gazette 31 Mar 2006 p. 1344; 27 Dec 2013 p. 6474.]</w:t>
      </w:r>
    </w:p>
    <w:p>
      <w:pPr>
        <w:pStyle w:val="Heading5"/>
      </w:pPr>
      <w:bookmarkStart w:id="15" w:name="_Toc378231715"/>
      <w:bookmarkStart w:id="16" w:name="_Toc469991239"/>
      <w:r>
        <w:rPr>
          <w:rStyle w:val="CharSectno"/>
        </w:rPr>
        <w:t>4</w:t>
      </w:r>
      <w:r>
        <w:t>.</w:t>
      </w:r>
      <w:r>
        <w:tab/>
        <w:t>Parts 2 and 4 not to apply to certain contracts</w:t>
      </w:r>
      <w:bookmarkEnd w:id="15"/>
      <w:bookmarkEnd w:id="16"/>
    </w:p>
    <w:p>
      <w:pPr>
        <w:pStyle w:val="Subsection"/>
      </w:pPr>
      <w:r>
        <w:tab/>
      </w:r>
      <w:r>
        <w:tab/>
        <w:t>Parts 2 and 4 do not apply to a non</w:t>
      </w:r>
      <w:r>
        <w:noBreakHyphen/>
        <w:t>standard contract entered into before 31 March 2006.</w:t>
      </w:r>
    </w:p>
    <w:p>
      <w:pPr>
        <w:pStyle w:val="Heading2"/>
      </w:pPr>
      <w:bookmarkStart w:id="17" w:name="_Toc378231716"/>
      <w:bookmarkStart w:id="18" w:name="_Toc416794828"/>
      <w:bookmarkStart w:id="19" w:name="_Toc416794876"/>
      <w:bookmarkStart w:id="20" w:name="_Toc469991033"/>
      <w:bookmarkStart w:id="21" w:name="_Toc469991191"/>
      <w:bookmarkStart w:id="22" w:name="_Toc469991240"/>
      <w:r>
        <w:rPr>
          <w:rStyle w:val="CharPartNo"/>
        </w:rPr>
        <w:t>Part 2</w:t>
      </w:r>
      <w:r>
        <w:rPr>
          <w:rStyle w:val="CharDivNo"/>
        </w:rPr>
        <w:t> </w:t>
      </w:r>
      <w:r>
        <w:t>—</w:t>
      </w:r>
      <w:r>
        <w:rPr>
          <w:rStyle w:val="CharDivText"/>
        </w:rPr>
        <w:t> </w:t>
      </w:r>
      <w:r>
        <w:rPr>
          <w:rStyle w:val="CharPartText"/>
        </w:rPr>
        <w:t>General requirements for customer contracts</w:t>
      </w:r>
      <w:bookmarkEnd w:id="17"/>
      <w:bookmarkEnd w:id="18"/>
      <w:bookmarkEnd w:id="19"/>
      <w:bookmarkEnd w:id="20"/>
      <w:bookmarkEnd w:id="21"/>
      <w:bookmarkEnd w:id="22"/>
    </w:p>
    <w:p>
      <w:pPr>
        <w:pStyle w:val="Heading5"/>
      </w:pPr>
      <w:bookmarkStart w:id="23" w:name="_Toc378231717"/>
      <w:bookmarkStart w:id="24" w:name="_Toc469991241"/>
      <w:r>
        <w:rPr>
          <w:rStyle w:val="CharSectno"/>
        </w:rPr>
        <w:t>5</w:t>
      </w:r>
      <w:r>
        <w:t>.</w:t>
      </w:r>
      <w:r>
        <w:tab/>
        <w:t>Format and expression</w:t>
      </w:r>
      <w:bookmarkEnd w:id="23"/>
      <w:bookmarkEnd w:id="24"/>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25" w:name="_Toc378231718"/>
      <w:bookmarkStart w:id="26" w:name="_Toc469991242"/>
      <w:r>
        <w:rPr>
          <w:rStyle w:val="CharSectno"/>
        </w:rPr>
        <w:t>6</w:t>
      </w:r>
      <w:r>
        <w:t>.</w:t>
      </w:r>
      <w:r>
        <w:tab/>
        <w:t>Duration of contract</w:t>
      </w:r>
      <w:bookmarkEnd w:id="25"/>
      <w:bookmarkEnd w:id="26"/>
    </w:p>
    <w:p>
      <w:pPr>
        <w:pStyle w:val="Subsection"/>
      </w:pPr>
      <w:r>
        <w:tab/>
      </w:r>
      <w:r>
        <w:tab/>
        <w:t>A customer contract must specify the day on which the contract comes into effect and the period for which it has effect.</w:t>
      </w:r>
    </w:p>
    <w:p>
      <w:pPr>
        <w:pStyle w:val="Heading5"/>
      </w:pPr>
      <w:bookmarkStart w:id="27" w:name="_Toc378231719"/>
      <w:bookmarkStart w:id="28" w:name="_Toc469991243"/>
      <w:r>
        <w:rPr>
          <w:rStyle w:val="CharSectno"/>
        </w:rPr>
        <w:t>7</w:t>
      </w:r>
      <w:r>
        <w:t>.</w:t>
      </w:r>
      <w:r>
        <w:tab/>
        <w:t>Details of retailer</w:t>
      </w:r>
      <w:bookmarkEnd w:id="27"/>
      <w:bookmarkEnd w:id="28"/>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29" w:name="_Toc378231720"/>
      <w:bookmarkStart w:id="30" w:name="_Toc469991244"/>
      <w:r>
        <w:rPr>
          <w:rStyle w:val="CharSectno"/>
        </w:rPr>
        <w:t>8</w:t>
      </w:r>
      <w:r>
        <w:t>.</w:t>
      </w:r>
      <w:r>
        <w:tab/>
        <w:t>Description of goods and services</w:t>
      </w:r>
      <w:bookmarkEnd w:id="29"/>
      <w:bookmarkEnd w:id="30"/>
    </w:p>
    <w:p>
      <w:pPr>
        <w:pStyle w:val="Subsection"/>
      </w:pPr>
      <w:r>
        <w:tab/>
      </w:r>
      <w:r>
        <w:tab/>
        <w:t>A customer contract must give an exact description of the goods and services that the retailer will provide under the contract.</w:t>
      </w:r>
    </w:p>
    <w:p>
      <w:pPr>
        <w:pStyle w:val="Heading5"/>
      </w:pPr>
      <w:bookmarkStart w:id="31" w:name="_Toc378231721"/>
      <w:bookmarkStart w:id="32" w:name="_Toc469991245"/>
      <w:r>
        <w:rPr>
          <w:rStyle w:val="CharSectno"/>
        </w:rPr>
        <w:t>9</w:t>
      </w:r>
      <w:r>
        <w:t>.</w:t>
      </w:r>
      <w:r>
        <w:tab/>
        <w:t>Customer’s obligation to pay for electricity</w:t>
      </w:r>
      <w:bookmarkEnd w:id="31"/>
      <w:bookmarkEnd w:id="32"/>
    </w:p>
    <w:p>
      <w:pPr>
        <w:pStyle w:val="Subsection"/>
      </w:pPr>
      <w:r>
        <w:tab/>
      </w:r>
      <w:r>
        <w:tab/>
        <w:t>A customer contract must require the customer to pay for electricity supplied under the contract.</w:t>
      </w:r>
    </w:p>
    <w:p>
      <w:pPr>
        <w:pStyle w:val="Heading5"/>
      </w:pPr>
      <w:bookmarkStart w:id="33" w:name="_Toc378231722"/>
      <w:bookmarkStart w:id="34" w:name="_Toc469991246"/>
      <w:r>
        <w:rPr>
          <w:rStyle w:val="CharSectno"/>
        </w:rPr>
        <w:t>10</w:t>
      </w:r>
      <w:r>
        <w:t>.</w:t>
      </w:r>
      <w:r>
        <w:tab/>
        <w:t>Interference with network equipment</w:t>
      </w:r>
      <w:bookmarkEnd w:id="33"/>
      <w:bookmarkEnd w:id="34"/>
    </w:p>
    <w:p>
      <w:pPr>
        <w:pStyle w:val="Subsection"/>
      </w:pPr>
      <w:r>
        <w:tab/>
      </w:r>
      <w:r>
        <w:tab/>
        <w:t>A customer contract must prohibit the customer from tampering with or bypassing network equipment or allowing any other person to do so.</w:t>
      </w:r>
    </w:p>
    <w:p>
      <w:pPr>
        <w:pStyle w:val="Heading5"/>
      </w:pPr>
      <w:bookmarkStart w:id="35" w:name="_Toc378231723"/>
      <w:bookmarkStart w:id="36" w:name="_Toc469991247"/>
      <w:r>
        <w:rPr>
          <w:rStyle w:val="CharSectno"/>
        </w:rPr>
        <w:t>11</w:t>
      </w:r>
      <w:r>
        <w:t>.</w:t>
      </w:r>
      <w:r>
        <w:tab/>
        <w:t>Disconnection and reconnection</w:t>
      </w:r>
      <w:bookmarkEnd w:id="35"/>
      <w:bookmarkEnd w:id="36"/>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7" w:name="_Toc378231724"/>
      <w:bookmarkStart w:id="38" w:name="_Toc469991248"/>
      <w:r>
        <w:rPr>
          <w:rStyle w:val="CharSectno"/>
        </w:rPr>
        <w:t>12</w:t>
      </w:r>
      <w:r>
        <w:t>.</w:t>
      </w:r>
      <w:r>
        <w:tab/>
        <w:t>Security deposits</w:t>
      </w:r>
      <w:bookmarkEnd w:id="37"/>
      <w:bookmarkEnd w:id="38"/>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9" w:name="_Toc378231725"/>
      <w:bookmarkStart w:id="40" w:name="_Toc469991249"/>
      <w:r>
        <w:rPr>
          <w:rStyle w:val="CharSectno"/>
        </w:rPr>
        <w:t>13</w:t>
      </w:r>
      <w:r>
        <w:t>.</w:t>
      </w:r>
      <w:r>
        <w:tab/>
        <w:t>Prices</w:t>
      </w:r>
      <w:bookmarkEnd w:id="39"/>
      <w:bookmarkEnd w:id="40"/>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41" w:name="_Toc378231726"/>
      <w:bookmarkStart w:id="42" w:name="_Toc469991250"/>
      <w:r>
        <w:rPr>
          <w:rStyle w:val="CharSectno"/>
        </w:rPr>
        <w:t>14</w:t>
      </w:r>
      <w:r>
        <w:t>.</w:t>
      </w:r>
      <w:r>
        <w:tab/>
        <w:t>Billing</w:t>
      </w:r>
      <w:bookmarkEnd w:id="41"/>
      <w:bookmarkEnd w:id="42"/>
    </w:p>
    <w:p>
      <w:pPr>
        <w:pStyle w:val="Subsection"/>
      </w:pPr>
      <w:r>
        <w:tab/>
      </w:r>
      <w:r>
        <w:tab/>
        <w:t>A customer contract must describe the procedures to be followed by the retailer in relation to the preparation, issue and review of the customer’s bills.</w:t>
      </w:r>
    </w:p>
    <w:p>
      <w:pPr>
        <w:pStyle w:val="Heading5"/>
      </w:pPr>
      <w:bookmarkStart w:id="43" w:name="_Toc378231727"/>
      <w:bookmarkStart w:id="44" w:name="_Toc469991251"/>
      <w:r>
        <w:rPr>
          <w:rStyle w:val="CharSectno"/>
        </w:rPr>
        <w:t>15</w:t>
      </w:r>
      <w:r>
        <w:t>.</w:t>
      </w:r>
      <w:r>
        <w:tab/>
        <w:t>Termination</w:t>
      </w:r>
      <w:bookmarkEnd w:id="43"/>
      <w:bookmarkEnd w:id="44"/>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 or</w:t>
      </w:r>
    </w:p>
    <w:p>
      <w:pPr>
        <w:pStyle w:val="Indenta"/>
      </w:pPr>
      <w:r>
        <w:tab/>
        <w:t>(b)</w:t>
      </w:r>
      <w:r>
        <w:tab/>
        <w:t>goes into liquidation; or</w:t>
      </w:r>
    </w:p>
    <w:p>
      <w:pPr>
        <w:pStyle w:val="Indenta"/>
      </w:pPr>
      <w:r>
        <w:tab/>
        <w:t>(c)</w:t>
      </w:r>
      <w:r>
        <w:tab/>
        <w:t>becomes bankrupt; or</w:t>
      </w:r>
    </w:p>
    <w:p>
      <w:pPr>
        <w:pStyle w:val="Indenta"/>
      </w:pPr>
      <w:r>
        <w:tab/>
        <w:t>(ca)</w:t>
      </w:r>
      <w:r>
        <w:tab/>
        <w:t>consumes more than 160 MWh of electricity in any period of 12 months;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Footnotesection"/>
        <w:rPr>
          <w:i w:val="0"/>
        </w:rPr>
      </w:pPr>
      <w:r>
        <w:tab/>
        <w:t>[Regulation 15 amended: Gazette 20 Sep 2016 p. 3966.]</w:t>
      </w:r>
    </w:p>
    <w:p>
      <w:pPr>
        <w:pStyle w:val="Heading5"/>
      </w:pPr>
      <w:bookmarkStart w:id="45" w:name="_Toc378231728"/>
      <w:bookmarkStart w:id="46" w:name="_Toc469991252"/>
      <w:r>
        <w:rPr>
          <w:rStyle w:val="CharSectno"/>
        </w:rPr>
        <w:t>16</w:t>
      </w:r>
      <w:r>
        <w:t>.</w:t>
      </w:r>
      <w:r>
        <w:tab/>
        <w:t>Amendment of contract</w:t>
      </w:r>
      <w:bookmarkEnd w:id="45"/>
      <w:bookmarkEnd w:id="46"/>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47" w:name="_Toc378231729"/>
      <w:bookmarkStart w:id="48" w:name="_Toc469991253"/>
      <w:r>
        <w:rPr>
          <w:rStyle w:val="CharSectno"/>
        </w:rPr>
        <w:t>17</w:t>
      </w:r>
      <w:r>
        <w:t>.</w:t>
      </w:r>
      <w:r>
        <w:tab/>
        <w:t>Assignment</w:t>
      </w:r>
      <w:bookmarkEnd w:id="47"/>
      <w:bookmarkEnd w:id="48"/>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9" w:name="_Toc378231730"/>
      <w:bookmarkStart w:id="50" w:name="_Toc469991254"/>
      <w:r>
        <w:rPr>
          <w:rStyle w:val="CharSectno"/>
        </w:rPr>
        <w:t>18</w:t>
      </w:r>
      <w:r>
        <w:t>.</w:t>
      </w:r>
      <w:r>
        <w:tab/>
        <w:t>Complaints</w:t>
      </w:r>
      <w:bookmarkEnd w:id="49"/>
      <w:bookmarkEnd w:id="50"/>
    </w:p>
    <w:p>
      <w:pPr>
        <w:pStyle w:val="Subsection"/>
      </w:pPr>
      <w:r>
        <w:tab/>
      </w:r>
      <w:r>
        <w:tab/>
        <w:t>A customer contract must describe the procedures to be followed by the retailer in responding to a complaint made by the customer.</w:t>
      </w:r>
    </w:p>
    <w:p>
      <w:pPr>
        <w:pStyle w:val="Heading5"/>
      </w:pPr>
      <w:bookmarkStart w:id="51" w:name="_Toc378231731"/>
      <w:bookmarkStart w:id="52" w:name="_Toc469991255"/>
      <w:r>
        <w:rPr>
          <w:rStyle w:val="CharSectno"/>
        </w:rPr>
        <w:t>19</w:t>
      </w:r>
      <w:r>
        <w:t>.</w:t>
      </w:r>
      <w:r>
        <w:tab/>
        <w:t>Confidentiality</w:t>
      </w:r>
      <w:bookmarkEnd w:id="51"/>
      <w:bookmarkEnd w:id="52"/>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53" w:name="_Toc378231732"/>
      <w:bookmarkStart w:id="54" w:name="_Toc469991256"/>
      <w:r>
        <w:rPr>
          <w:rStyle w:val="CharSectno"/>
        </w:rPr>
        <w:t>20</w:t>
      </w:r>
      <w:r>
        <w:t>.</w:t>
      </w:r>
      <w:r>
        <w:tab/>
        <w:t>Miscellaneous provisions</w:t>
      </w:r>
      <w:bookmarkEnd w:id="53"/>
      <w:bookmarkEnd w:id="54"/>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55" w:name="_Toc378231733"/>
      <w:bookmarkStart w:id="56" w:name="_Toc469991257"/>
      <w:r>
        <w:rPr>
          <w:rStyle w:val="CharSectno"/>
        </w:rPr>
        <w:t>21</w:t>
      </w:r>
      <w:r>
        <w:t>.</w:t>
      </w:r>
      <w:r>
        <w:tab/>
        <w:t>No contracting out of code of conduct</w:t>
      </w:r>
      <w:bookmarkEnd w:id="55"/>
      <w:bookmarkEnd w:id="56"/>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57" w:name="_Toc378231734"/>
      <w:bookmarkStart w:id="58" w:name="_Toc416794846"/>
      <w:bookmarkStart w:id="59" w:name="_Toc416794894"/>
      <w:bookmarkStart w:id="60" w:name="_Toc469991051"/>
      <w:bookmarkStart w:id="61" w:name="_Toc469991209"/>
      <w:bookmarkStart w:id="62" w:name="_Toc469991258"/>
      <w:r>
        <w:rPr>
          <w:rStyle w:val="CharPartNo"/>
        </w:rPr>
        <w:t>Part 3</w:t>
      </w:r>
      <w:r>
        <w:rPr>
          <w:rStyle w:val="CharDivNo"/>
        </w:rPr>
        <w:t> </w:t>
      </w:r>
      <w:r>
        <w:t>—</w:t>
      </w:r>
      <w:r>
        <w:rPr>
          <w:rStyle w:val="CharDivText"/>
        </w:rPr>
        <w:t> </w:t>
      </w:r>
      <w:r>
        <w:rPr>
          <w:rStyle w:val="CharPartText"/>
        </w:rPr>
        <w:t>Requirements for standard form contracts</w:t>
      </w:r>
      <w:bookmarkEnd w:id="57"/>
      <w:bookmarkEnd w:id="58"/>
      <w:bookmarkEnd w:id="59"/>
      <w:bookmarkEnd w:id="60"/>
      <w:bookmarkEnd w:id="61"/>
      <w:bookmarkEnd w:id="62"/>
    </w:p>
    <w:p>
      <w:pPr>
        <w:pStyle w:val="Heading5"/>
      </w:pPr>
      <w:bookmarkStart w:id="63" w:name="_Toc378231735"/>
      <w:bookmarkStart w:id="64" w:name="_Toc469991259"/>
      <w:r>
        <w:rPr>
          <w:rStyle w:val="CharSectno"/>
        </w:rPr>
        <w:t>22</w:t>
      </w:r>
      <w:r>
        <w:t>.</w:t>
      </w:r>
      <w:r>
        <w:tab/>
        <w:t>Cooling</w:t>
      </w:r>
      <w:r>
        <w:noBreakHyphen/>
        <w:t>off period for door to door contracts</w:t>
      </w:r>
      <w:bookmarkEnd w:id="63"/>
      <w:bookmarkEnd w:id="64"/>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65" w:name="_Toc378231736"/>
      <w:bookmarkStart w:id="66" w:name="_Toc469991260"/>
      <w:r>
        <w:rPr>
          <w:rStyle w:val="CharSectno"/>
        </w:rPr>
        <w:t>23</w:t>
      </w:r>
      <w:r>
        <w:t>.</w:t>
      </w:r>
      <w:r>
        <w:tab/>
        <w:t>Termination of contract by customer</w:t>
      </w:r>
      <w:bookmarkEnd w:id="65"/>
      <w:bookmarkEnd w:id="66"/>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67" w:name="_Toc378231737"/>
      <w:bookmarkStart w:id="68" w:name="_Toc469991261"/>
      <w:r>
        <w:rPr>
          <w:rStyle w:val="CharSectno"/>
        </w:rPr>
        <w:t>24</w:t>
      </w:r>
      <w:r>
        <w:t>.</w:t>
      </w:r>
      <w:r>
        <w:tab/>
        <w:t>Equipment ownership and responsibility</w:t>
      </w:r>
      <w:bookmarkEnd w:id="67"/>
      <w:bookmarkEnd w:id="68"/>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69" w:name="_Toc378231738"/>
      <w:bookmarkStart w:id="70" w:name="_Toc469991262"/>
      <w:r>
        <w:rPr>
          <w:rStyle w:val="CharSectno"/>
        </w:rPr>
        <w:t>25</w:t>
      </w:r>
      <w:r>
        <w:t>.</w:t>
      </w:r>
      <w:r>
        <w:tab/>
        <w:t>Meter testing</w:t>
      </w:r>
      <w:bookmarkEnd w:id="69"/>
      <w:bookmarkEnd w:id="70"/>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71" w:name="_Toc378231739"/>
      <w:bookmarkStart w:id="72" w:name="_Toc469991263"/>
      <w:r>
        <w:rPr>
          <w:rStyle w:val="CharSectno"/>
        </w:rPr>
        <w:t>26</w:t>
      </w:r>
      <w:r>
        <w:t>.</w:t>
      </w:r>
      <w:r>
        <w:tab/>
        <w:t>Access to supply premises</w:t>
      </w:r>
      <w:bookmarkEnd w:id="71"/>
      <w:bookmarkEnd w:id="72"/>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73" w:name="_Toc378231740"/>
      <w:bookmarkStart w:id="74" w:name="_Toc469991264"/>
      <w:r>
        <w:rPr>
          <w:rStyle w:val="CharSectno"/>
        </w:rPr>
        <w:t>27</w:t>
      </w:r>
      <w:r>
        <w:t>.</w:t>
      </w:r>
      <w:r>
        <w:tab/>
        <w:t>Customer entering supply premises — existing connection</w:t>
      </w:r>
      <w:bookmarkEnd w:id="73"/>
      <w:bookmarkEnd w:id="74"/>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75" w:name="_Toc378231741"/>
      <w:bookmarkStart w:id="76" w:name="_Toc469991265"/>
      <w:r>
        <w:rPr>
          <w:rStyle w:val="CharSectno"/>
        </w:rPr>
        <w:t>28</w:t>
      </w:r>
      <w:r>
        <w:t>.</w:t>
      </w:r>
      <w:r>
        <w:tab/>
        <w:t>Customer leaving supply premises</w:t>
      </w:r>
      <w:bookmarkEnd w:id="75"/>
      <w:bookmarkEnd w:id="76"/>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77" w:name="_Toc378231742"/>
      <w:bookmarkStart w:id="78" w:name="_Toc469991266"/>
      <w:r>
        <w:rPr>
          <w:rStyle w:val="CharSectno"/>
        </w:rPr>
        <w:t>29</w:t>
      </w:r>
      <w:r>
        <w:t>.</w:t>
      </w:r>
      <w:r>
        <w:tab/>
        <w:t>Matters beyond the control of customer or retailer</w:t>
      </w:r>
      <w:bookmarkEnd w:id="77"/>
      <w:bookmarkEnd w:id="78"/>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79" w:name="_Toc378231743"/>
      <w:bookmarkStart w:id="80" w:name="_Toc469991267"/>
      <w:r>
        <w:rPr>
          <w:rStyle w:val="CharSectno"/>
        </w:rPr>
        <w:t>30</w:t>
      </w:r>
      <w:r>
        <w:t>.</w:t>
      </w:r>
      <w:r>
        <w:tab/>
        <w:t>Security deposits</w:t>
      </w:r>
      <w:bookmarkEnd w:id="79"/>
      <w:bookmarkEnd w:id="80"/>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81" w:name="_Toc378231744"/>
      <w:bookmarkStart w:id="82" w:name="_Toc469991268"/>
      <w:r>
        <w:rPr>
          <w:rStyle w:val="CharSectno"/>
        </w:rPr>
        <w:t>31</w:t>
      </w:r>
      <w:r>
        <w:t>.</w:t>
      </w:r>
      <w:r>
        <w:tab/>
        <w:t>Payment difficulties and debt recovery</w:t>
      </w:r>
      <w:bookmarkEnd w:id="81"/>
      <w:bookmarkEnd w:id="82"/>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83" w:name="_Toc378231745"/>
      <w:bookmarkStart w:id="84" w:name="_Toc416794857"/>
      <w:bookmarkStart w:id="85" w:name="_Toc416794905"/>
      <w:bookmarkStart w:id="86" w:name="_Toc469991062"/>
      <w:bookmarkStart w:id="87" w:name="_Toc469991220"/>
      <w:bookmarkStart w:id="88" w:name="_Toc469991269"/>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83"/>
      <w:bookmarkEnd w:id="84"/>
      <w:bookmarkEnd w:id="85"/>
      <w:bookmarkEnd w:id="86"/>
      <w:bookmarkEnd w:id="87"/>
      <w:bookmarkEnd w:id="88"/>
    </w:p>
    <w:p>
      <w:pPr>
        <w:pStyle w:val="Heading5"/>
      </w:pPr>
      <w:bookmarkStart w:id="89" w:name="_Toc378231746"/>
      <w:bookmarkStart w:id="90" w:name="_Toc469991270"/>
      <w:r>
        <w:rPr>
          <w:rStyle w:val="CharSectno"/>
        </w:rPr>
        <w:t>32</w:t>
      </w:r>
      <w:r>
        <w:t>.</w:t>
      </w:r>
      <w:r>
        <w:tab/>
        <w:t>Cooling</w:t>
      </w:r>
      <w:r>
        <w:noBreakHyphen/>
        <w:t>off period for non</w:t>
      </w:r>
      <w:r>
        <w:noBreakHyphen/>
        <w:t>standard contracts</w:t>
      </w:r>
      <w:bookmarkEnd w:id="89"/>
      <w:bookmarkEnd w:id="90"/>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91" w:name="_Toc378231747"/>
      <w:bookmarkStart w:id="92" w:name="_Toc469991271"/>
      <w:r>
        <w:rPr>
          <w:rStyle w:val="CharSectno"/>
        </w:rPr>
        <w:t>33</w:t>
      </w:r>
      <w:r>
        <w:t>.</w:t>
      </w:r>
      <w:r>
        <w:tab/>
        <w:t>Termination of contract by customer</w:t>
      </w:r>
      <w:bookmarkEnd w:id="91"/>
      <w:bookmarkEnd w:id="92"/>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93" w:name="_Toc378231748"/>
      <w:bookmarkStart w:id="94" w:name="_Toc469991272"/>
      <w:r>
        <w:rPr>
          <w:rStyle w:val="CharSectno"/>
        </w:rPr>
        <w:t>34</w:t>
      </w:r>
      <w:r>
        <w:t>.</w:t>
      </w:r>
      <w:r>
        <w:tab/>
        <w:t>Amendment of contract</w:t>
      </w:r>
      <w:bookmarkEnd w:id="93"/>
      <w:bookmarkEnd w:id="94"/>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95" w:name="_Toc378231749"/>
      <w:bookmarkStart w:id="96" w:name="_Toc416794861"/>
      <w:bookmarkStart w:id="97" w:name="_Toc416794909"/>
      <w:bookmarkStart w:id="98" w:name="_Toc469991066"/>
      <w:bookmarkStart w:id="99" w:name="_Toc469991224"/>
      <w:bookmarkStart w:id="100" w:name="_Toc469991273"/>
      <w:r>
        <w:rPr>
          <w:rStyle w:val="CharPartNo"/>
        </w:rPr>
        <w:t>Part 5</w:t>
      </w:r>
      <w:r>
        <w:rPr>
          <w:rStyle w:val="CharDivNo"/>
        </w:rPr>
        <w:t> </w:t>
      </w:r>
      <w:r>
        <w:t>—</w:t>
      </w:r>
      <w:r>
        <w:rPr>
          <w:rStyle w:val="CharDivText"/>
        </w:rPr>
        <w:t> </w:t>
      </w:r>
      <w:r>
        <w:rPr>
          <w:rStyle w:val="CharPartText"/>
        </w:rPr>
        <w:t>Deemed contracts with default supplier</w:t>
      </w:r>
      <w:bookmarkEnd w:id="95"/>
      <w:bookmarkEnd w:id="96"/>
      <w:bookmarkEnd w:id="97"/>
      <w:bookmarkEnd w:id="98"/>
      <w:bookmarkEnd w:id="99"/>
      <w:bookmarkEnd w:id="100"/>
    </w:p>
    <w:p>
      <w:pPr>
        <w:pStyle w:val="Heading5"/>
      </w:pPr>
      <w:bookmarkStart w:id="101" w:name="_Toc378231750"/>
      <w:bookmarkStart w:id="102" w:name="_Toc469991274"/>
      <w:r>
        <w:rPr>
          <w:rStyle w:val="CharSectno"/>
        </w:rPr>
        <w:t>35</w:t>
      </w:r>
      <w:r>
        <w:t>.</w:t>
      </w:r>
      <w:r>
        <w:tab/>
        <w:t>Meaning of terms used in this Part</w:t>
      </w:r>
      <w:bookmarkEnd w:id="101"/>
      <w:bookmarkEnd w:id="102"/>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103" w:name="_Toc378231751"/>
      <w:bookmarkStart w:id="104" w:name="_Toc469991275"/>
      <w:r>
        <w:rPr>
          <w:rStyle w:val="CharSectno"/>
        </w:rPr>
        <w:t>36</w:t>
      </w:r>
      <w:r>
        <w:t>.</w:t>
      </w:r>
      <w:r>
        <w:tab/>
        <w:t>Determination of default supplier</w:t>
      </w:r>
      <w:bookmarkEnd w:id="103"/>
      <w:bookmarkEnd w:id="104"/>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105" w:name="_Toc378231752"/>
      <w:bookmarkStart w:id="106" w:name="_Toc469991276"/>
      <w:r>
        <w:rPr>
          <w:rStyle w:val="CharSectno"/>
        </w:rPr>
        <w:t>37</w:t>
      </w:r>
      <w:r>
        <w:t>.</w:t>
      </w:r>
      <w:r>
        <w:tab/>
        <w:t>Supply under deemed contract with default supplier</w:t>
      </w:r>
      <w:bookmarkEnd w:id="105"/>
      <w:bookmarkEnd w:id="106"/>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107" w:name="_Toc378231753"/>
      <w:bookmarkStart w:id="108" w:name="_Toc469991277"/>
      <w:r>
        <w:rPr>
          <w:rStyle w:val="CharSectno"/>
        </w:rPr>
        <w:t>38</w:t>
      </w:r>
      <w:r>
        <w:t>.</w:t>
      </w:r>
      <w:r>
        <w:tab/>
        <w:t>Default supplier to notify customer</w:t>
      </w:r>
      <w:bookmarkEnd w:id="107"/>
      <w:bookmarkEnd w:id="108"/>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109" w:name="_Toc378231754"/>
      <w:bookmarkStart w:id="110" w:name="_Toc416794866"/>
      <w:bookmarkStart w:id="111" w:name="_Toc416794914"/>
      <w:bookmarkStart w:id="112" w:name="_Toc469991071"/>
      <w:bookmarkStart w:id="113" w:name="_Toc469991229"/>
      <w:bookmarkStart w:id="114" w:name="_Toc469991278"/>
      <w:r>
        <w:rPr>
          <w:rStyle w:val="CharPartNo"/>
        </w:rPr>
        <w:t>Part 6</w:t>
      </w:r>
      <w:r>
        <w:rPr>
          <w:rStyle w:val="CharDivNo"/>
        </w:rPr>
        <w:t> </w:t>
      </w:r>
      <w:r>
        <w:t>—</w:t>
      </w:r>
      <w:r>
        <w:rPr>
          <w:rStyle w:val="CharDivText"/>
        </w:rPr>
        <w:t> </w:t>
      </w:r>
      <w:r>
        <w:rPr>
          <w:rStyle w:val="CharPartText"/>
        </w:rPr>
        <w:t>Miscellaneous</w:t>
      </w:r>
      <w:bookmarkEnd w:id="109"/>
      <w:bookmarkEnd w:id="110"/>
      <w:bookmarkEnd w:id="111"/>
      <w:bookmarkEnd w:id="112"/>
      <w:bookmarkEnd w:id="113"/>
      <w:bookmarkEnd w:id="114"/>
    </w:p>
    <w:p>
      <w:pPr>
        <w:pStyle w:val="Heading5"/>
      </w:pPr>
      <w:bookmarkStart w:id="115" w:name="_Toc378231755"/>
      <w:bookmarkStart w:id="116" w:name="_Toc469991279"/>
      <w:r>
        <w:rPr>
          <w:rStyle w:val="CharSectno"/>
        </w:rPr>
        <w:t>39</w:t>
      </w:r>
      <w:r>
        <w:t>.</w:t>
      </w:r>
      <w:r>
        <w:tab/>
        <w:t>Exception for section 54(1)</w:t>
      </w:r>
      <w:bookmarkEnd w:id="115"/>
      <w:bookmarkEnd w:id="116"/>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117" w:name="_Toc378231756"/>
      <w:bookmarkStart w:id="118" w:name="_Toc469991280"/>
      <w:r>
        <w:rPr>
          <w:rStyle w:val="CharSectno"/>
        </w:rPr>
        <w:t>40</w:t>
      </w:r>
      <w:r>
        <w:t>.</w:t>
      </w:r>
      <w:r>
        <w:tab/>
        <w:t>Requirement to offer to supply electricity under standard form contract</w:t>
      </w:r>
      <w:bookmarkEnd w:id="117"/>
      <w:bookmarkEnd w:id="118"/>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 Gazette 31 Mar 2006 p. 1344.]</w:t>
      </w:r>
    </w:p>
    <w:p>
      <w:pPr>
        <w:pStyle w:val="Defpara"/>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9" w:name="_Toc378231757"/>
      <w:bookmarkStart w:id="120" w:name="_Toc416794869"/>
      <w:bookmarkStart w:id="121" w:name="_Toc416794917"/>
      <w:bookmarkStart w:id="122" w:name="_Toc469991074"/>
      <w:bookmarkStart w:id="123" w:name="_Toc469991232"/>
      <w:bookmarkStart w:id="124" w:name="_Toc469991281"/>
      <w:r>
        <w:t>Notes</w:t>
      </w:r>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w:t>
      </w:r>
    </w:p>
    <w:p>
      <w:pPr>
        <w:pStyle w:val="nHeading3"/>
      </w:pPr>
      <w:bookmarkStart w:id="125" w:name="_Toc378231758"/>
      <w:bookmarkStart w:id="126" w:name="_Toc469991282"/>
      <w:r>
        <w:t>Compilation table</w:t>
      </w:r>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c>
          <w:tcPr>
            <w:tcW w:w="3118" w:type="dxa"/>
          </w:tcPr>
          <w:p>
            <w:pPr>
              <w:pStyle w:val="nTable"/>
              <w:rPr>
                <w:i/>
              </w:rPr>
            </w:pPr>
            <w:r>
              <w:rPr>
                <w:i/>
              </w:rPr>
              <w:t>Electricity Corporations (Consequential Amendments) Regulations 2013</w:t>
            </w:r>
            <w:r>
              <w:t xml:space="preserve"> r. 8</w:t>
            </w:r>
          </w:p>
        </w:tc>
        <w:tc>
          <w:tcPr>
            <w:tcW w:w="1276" w:type="dxa"/>
          </w:tcPr>
          <w:p>
            <w:pPr>
              <w:pStyle w:val="nTable"/>
            </w:pPr>
            <w:r>
              <w:t>27 Dec 2013 p. 6469-79</w:t>
            </w:r>
          </w:p>
        </w:tc>
        <w:tc>
          <w:tcPr>
            <w:tcW w:w="2693" w:type="dxa"/>
          </w:tcPr>
          <w:p>
            <w:pPr>
              <w:pStyle w:val="nTable"/>
            </w:pPr>
            <w:r>
              <w:t xml:space="preserve">1 Jan 2014 (see r. 2(c) and </w:t>
            </w:r>
            <w:r>
              <w:rPr>
                <w:i/>
              </w:rPr>
              <w:t>Gazette</w:t>
            </w:r>
            <w:r>
              <w:t xml:space="preserve"> 27 Dec 2013 p. 6465)</w:t>
            </w:r>
          </w:p>
        </w:tc>
      </w:tr>
      <w:tr>
        <w:tc>
          <w:tcPr>
            <w:tcW w:w="3118" w:type="dxa"/>
            <w:tcBorders>
              <w:bottom w:val="single" w:sz="4" w:space="0" w:color="auto"/>
            </w:tcBorders>
          </w:tcPr>
          <w:p>
            <w:pPr>
              <w:pStyle w:val="nTable"/>
            </w:pPr>
            <w:r>
              <w:rPr>
                <w:i/>
              </w:rPr>
              <w:t>Electricity Industry (Customer Contracts) Amendment Regulations 2016</w:t>
            </w:r>
          </w:p>
        </w:tc>
        <w:tc>
          <w:tcPr>
            <w:tcW w:w="1276" w:type="dxa"/>
            <w:tcBorders>
              <w:bottom w:val="single" w:sz="4" w:space="0" w:color="auto"/>
            </w:tcBorders>
          </w:tcPr>
          <w:p>
            <w:pPr>
              <w:pStyle w:val="nTable"/>
              <w:rPr>
                <w:b/>
              </w:rPr>
            </w:pPr>
            <w:r>
              <w:t>20 Sep 2016 p. 3966</w:t>
            </w:r>
          </w:p>
        </w:tc>
        <w:tc>
          <w:tcPr>
            <w:tcW w:w="2693" w:type="dxa"/>
            <w:tcBorders>
              <w:bottom w:val="single" w:sz="4" w:space="0" w:color="auto"/>
            </w:tcBorders>
          </w:tcPr>
          <w:p>
            <w:pPr>
              <w:pStyle w:val="nTable"/>
            </w:pPr>
            <w:r>
              <w:t>r. 1 and 2: 20 Sep 2016 (see r. 2(a));</w:t>
            </w:r>
            <w:r>
              <w:br/>
              <w:t>Regulations other than r. 1 and 2: 20 Dec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8" w:name="_Toc416794919"/>
      <w:bookmarkStart w:id="129" w:name="_Toc469991076"/>
      <w:bookmarkStart w:id="130" w:name="_Toc469991234"/>
      <w:bookmarkStart w:id="131" w:name="_Toc469991283"/>
      <w:r>
        <w:rPr>
          <w:sz w:val="28"/>
        </w:rPr>
        <w:t>Defined terms</w:t>
      </w:r>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 bill rate</w:t>
      </w:r>
      <w:r>
        <w:tab/>
        <w:t>12(4)</w:t>
      </w:r>
    </w:p>
    <w:p>
      <w:pPr>
        <w:pStyle w:val="DefinedTerms"/>
      </w:pPr>
      <w:r>
        <w:t>code of conduct</w:t>
      </w:r>
      <w:r>
        <w:tab/>
        <w:t>3</w:t>
      </w:r>
    </w:p>
    <w:p>
      <w:pPr>
        <w:pStyle w:val="DefinedTerms"/>
      </w:pPr>
      <w:r>
        <w:t>connection point</w:t>
      </w:r>
      <w:r>
        <w:tab/>
        <w:t>35</w:t>
      </w:r>
    </w:p>
    <w:p>
      <w:pPr>
        <w:pStyle w:val="DefinedTerms"/>
      </w:pPr>
      <w:r>
        <w:t>cooling</w:t>
      </w:r>
      <w:r>
        <w:noBreakHyphen/>
        <w:t>off period</w:t>
      </w:r>
      <w:r>
        <w:tab/>
        <w:t>15(5), 22(1), 32(1)</w:t>
      </w:r>
    </w:p>
    <w:p>
      <w:pPr>
        <w:pStyle w:val="DefinedTerms"/>
      </w:pPr>
      <w:r>
        <w:t>customer</w:t>
      </w:r>
      <w:r>
        <w:tab/>
        <w:t>3</w:t>
      </w:r>
    </w:p>
    <w:p>
      <w:pPr>
        <w:pStyle w:val="DefinedTerms"/>
      </w:pPr>
      <w:r>
        <w:t>customer contract</w:t>
      </w:r>
      <w:r>
        <w:tab/>
        <w:t>3</w:t>
      </w:r>
    </w:p>
    <w:p>
      <w:pPr>
        <w:pStyle w:val="DefinedTerms"/>
      </w:pPr>
      <w:r>
        <w:t>default supplier</w:t>
      </w:r>
      <w:r>
        <w:tab/>
        <w:t>35</w:t>
      </w:r>
    </w:p>
    <w:p>
      <w:pPr>
        <w:pStyle w:val="DefinedTerms"/>
      </w:pPr>
      <w:r>
        <w:t>distributor</w:t>
      </w:r>
      <w:r>
        <w:tab/>
        <w:t>3, 35</w:t>
      </w:r>
    </w:p>
    <w:p>
      <w:pPr>
        <w:pStyle w:val="DefinedTerms"/>
      </w:pPr>
      <w:r>
        <w:t>door to door contract</w:t>
      </w:r>
      <w:r>
        <w:tab/>
        <w:t>22(1)</w:t>
      </w:r>
    </w:p>
    <w:p>
      <w:pPr>
        <w:pStyle w:val="DefinedTerms"/>
      </w:pPr>
      <w:r>
        <w:t>first contract</w:t>
      </w:r>
      <w:r>
        <w:tab/>
        <w:t>15(4), 15(6)</w:t>
      </w:r>
    </w:p>
    <w:p>
      <w:pPr>
        <w:pStyle w:val="DefinedTerms"/>
      </w:pPr>
      <w:r>
        <w:t>fixed term contract</w:t>
      </w:r>
      <w:r>
        <w:tab/>
        <w:t>33(1)</w:t>
      </w:r>
    </w:p>
    <w:p>
      <w:pPr>
        <w:pStyle w:val="DefinedTerms"/>
      </w:pPr>
      <w:r>
        <w:t>form of identification</w:t>
      </w:r>
      <w:r>
        <w:tab/>
        <w:t>26(3)</w:t>
      </w:r>
    </w:p>
    <w:p>
      <w:pPr>
        <w:pStyle w:val="DefinedTerms"/>
      </w:pPr>
      <w:r>
        <w:t>meter</w:t>
      </w:r>
      <w:r>
        <w:tab/>
        <w:t>3</w:t>
      </w:r>
    </w:p>
    <w:p>
      <w:pPr>
        <w:pStyle w:val="DefinedTerms"/>
      </w:pPr>
      <w:r>
        <w:t>network equipment</w:t>
      </w:r>
      <w:r>
        <w:tab/>
        <w:t>3</w:t>
      </w:r>
    </w:p>
    <w:p>
      <w:pPr>
        <w:pStyle w:val="DefinedTerms"/>
      </w:pPr>
      <w:r>
        <w:t>non</w:t>
      </w:r>
      <w:r>
        <w:noBreakHyphen/>
        <w:t>standard contract</w:t>
      </w:r>
      <w:r>
        <w:tab/>
        <w:t>3</w:t>
      </w:r>
    </w:p>
    <w:p>
      <w:pPr>
        <w:pStyle w:val="DefinedTerms"/>
      </w:pPr>
      <w:r>
        <w:t>price</w:t>
      </w:r>
      <w:r>
        <w:tab/>
        <w:t>3</w:t>
      </w:r>
    </w:p>
    <w:p>
      <w:pPr>
        <w:pStyle w:val="DefinedTerms"/>
      </w:pPr>
      <w:r>
        <w:t>provision</w:t>
      </w:r>
      <w:r>
        <w:tab/>
        <w:t>3</w:t>
      </w:r>
    </w:p>
    <w:p>
      <w:pPr>
        <w:pStyle w:val="DefinedTerms"/>
      </w:pPr>
      <w:r>
        <w:t>relevant corporation</w:t>
      </w:r>
      <w:r>
        <w:tab/>
        <w:t>3</w:t>
      </w:r>
    </w:p>
    <w:p>
      <w:pPr>
        <w:pStyle w:val="DefinedTerms"/>
      </w:pPr>
      <w:r>
        <w:t>retail licensee</w:t>
      </w:r>
      <w:r>
        <w:tab/>
        <w:t>3</w:t>
      </w:r>
    </w:p>
    <w:p>
      <w:pPr>
        <w:pStyle w:val="DefinedTerms"/>
      </w:pPr>
      <w:r>
        <w:t>retailer</w:t>
      </w:r>
      <w:r>
        <w:tab/>
        <w:t>3</w:t>
      </w:r>
    </w:p>
    <w:p>
      <w:pPr>
        <w:pStyle w:val="DefinedTerms"/>
      </w:pPr>
      <w:r>
        <w:t>section</w:t>
      </w:r>
      <w:r>
        <w:tab/>
        <w:t>3</w:t>
      </w:r>
    </w:p>
    <w:p>
      <w:pPr>
        <w:pStyle w:val="DefinedTerms"/>
      </w:pPr>
      <w:r>
        <w:t>security deposit</w:t>
      </w:r>
      <w:r>
        <w:tab/>
        <w:t>3</w:t>
      </w:r>
    </w:p>
    <w:p>
      <w:pPr>
        <w:pStyle w:val="DefinedTerms"/>
      </w:pPr>
      <w:r>
        <w:t>standard form contract</w:t>
      </w:r>
      <w:r>
        <w:tab/>
        <w:t>3</w:t>
      </w:r>
    </w:p>
    <w:p>
      <w:pPr>
        <w:pStyle w:val="DefinedTerms"/>
      </w:pPr>
      <w:r>
        <w:t>supply</w:t>
      </w:r>
      <w:r>
        <w:tab/>
        <w:t>3</w:t>
      </w:r>
    </w:p>
    <w:p>
      <w:pPr>
        <w:pStyle w:val="DefinedTerms"/>
      </w:pPr>
      <w:r>
        <w:t>supply premises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965D82"/>
    <w:lvl w:ilvl="0">
      <w:start w:val="1"/>
      <w:numFmt w:val="decimal"/>
      <w:lvlText w:val="%1."/>
      <w:lvlJc w:val="left"/>
      <w:pPr>
        <w:tabs>
          <w:tab w:val="num" w:pos="1492"/>
        </w:tabs>
        <w:ind w:left="1492" w:hanging="360"/>
      </w:pPr>
    </w:lvl>
  </w:abstractNum>
  <w:abstractNum w:abstractNumId="1">
    <w:nsid w:val="FFFFFF7D"/>
    <w:multiLevelType w:val="singleLevel"/>
    <w:tmpl w:val="756060E2"/>
    <w:lvl w:ilvl="0">
      <w:start w:val="1"/>
      <w:numFmt w:val="decimal"/>
      <w:lvlText w:val="%1."/>
      <w:lvlJc w:val="left"/>
      <w:pPr>
        <w:tabs>
          <w:tab w:val="num" w:pos="1209"/>
        </w:tabs>
        <w:ind w:left="1209" w:hanging="360"/>
      </w:pPr>
    </w:lvl>
  </w:abstractNum>
  <w:abstractNum w:abstractNumId="2">
    <w:nsid w:val="FFFFFF7E"/>
    <w:multiLevelType w:val="singleLevel"/>
    <w:tmpl w:val="36280252"/>
    <w:lvl w:ilvl="0">
      <w:start w:val="1"/>
      <w:numFmt w:val="decimal"/>
      <w:lvlText w:val="%1."/>
      <w:lvlJc w:val="left"/>
      <w:pPr>
        <w:tabs>
          <w:tab w:val="num" w:pos="926"/>
        </w:tabs>
        <w:ind w:left="926" w:hanging="360"/>
      </w:pPr>
    </w:lvl>
  </w:abstractNum>
  <w:abstractNum w:abstractNumId="3">
    <w:nsid w:val="FFFFFF7F"/>
    <w:multiLevelType w:val="singleLevel"/>
    <w:tmpl w:val="75D850C0"/>
    <w:lvl w:ilvl="0">
      <w:start w:val="1"/>
      <w:numFmt w:val="decimal"/>
      <w:lvlText w:val="%1."/>
      <w:lvlJc w:val="left"/>
      <w:pPr>
        <w:tabs>
          <w:tab w:val="num" w:pos="643"/>
        </w:tabs>
        <w:ind w:left="643" w:hanging="360"/>
      </w:pPr>
    </w:lvl>
  </w:abstractNum>
  <w:abstractNum w:abstractNumId="4">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C42F8C"/>
    <w:lvl w:ilvl="0">
      <w:start w:val="1"/>
      <w:numFmt w:val="decimal"/>
      <w:lvlText w:val="%1."/>
      <w:lvlJc w:val="left"/>
      <w:pPr>
        <w:tabs>
          <w:tab w:val="num" w:pos="360"/>
        </w:tabs>
        <w:ind w:left="360" w:hanging="360"/>
      </w:pPr>
    </w:lvl>
  </w:abstractNum>
  <w:abstractNum w:abstractNumId="9">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44"/>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4152</Words>
  <Characters>21305</Characters>
  <Application>Microsoft Office Word</Application>
  <DocSecurity>0</DocSecurity>
  <Lines>626</Lines>
  <Paragraphs>404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2005 - 00-e0-01</dc:title>
  <dc:subject/>
  <dc:creator/>
  <cp:keywords/>
  <dc:description/>
  <cp:lastModifiedBy>svcMRProcess</cp:lastModifiedBy>
  <cp:revision>4</cp:revision>
  <cp:lastPrinted>2005-12-07T09:53:00Z</cp:lastPrinted>
  <dcterms:created xsi:type="dcterms:W3CDTF">2019-01-16T03:49:00Z</dcterms:created>
  <dcterms:modified xsi:type="dcterms:W3CDTF">2019-01-16T03:49:00Z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CommencementDate">
    <vt:lpwstr>20161220</vt:lpwstr>
  </property>
  <property fmtid="{D5CDD505-2E9C-101B-9397-08002B2CF9AE}" pid="6" name="AsAtDate">
    <vt:lpwstr>20 Dec 2016</vt:lpwstr>
  </property>
  <property fmtid="{D5CDD505-2E9C-101B-9397-08002B2CF9AE}" pid="7" name="Suffix">
    <vt:lpwstr>00-e0-01</vt:lpwstr>
  </property>
</Properties>
</file>