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ind w:left="426" w:right="576"/>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Government Railways (Parking Stations) By-law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w:t>
      </w:r>
      <w:r>
        <w:tab/>
        <w:t>Citation</w:t>
      </w:r>
      <w:r>
        <w:tab/>
      </w:r>
      <w:r>
        <w:fldChar w:fldCharType="begin"/>
      </w:r>
      <w:r>
        <w:instrText xml:space="preserve"> PAGEREF _Toc470187242 \h </w:instrText>
      </w:r>
      <w:r>
        <w:fldChar w:fldCharType="separate"/>
      </w:r>
      <w:r>
        <w:t>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_Toc470187243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_Toc470187244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of parking stations</w:t>
      </w:r>
      <w:r>
        <w:tab/>
      </w:r>
      <w:r>
        <w:fldChar w:fldCharType="begin"/>
      </w:r>
      <w:r>
        <w:instrText xml:space="preserve"> PAGEREF _Toc470187245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in specified areas</w:t>
      </w:r>
      <w:r>
        <w:tab/>
      </w:r>
      <w:r>
        <w:fldChar w:fldCharType="begin"/>
      </w:r>
      <w:r>
        <w:instrText xml:space="preserve"> PAGEREF _Toc470187246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Parking within parking space</w:t>
      </w:r>
      <w:r>
        <w:tab/>
      </w:r>
      <w:r>
        <w:fldChar w:fldCharType="begin"/>
      </w:r>
      <w:r>
        <w:instrText xml:space="preserve"> PAGEREF _Toc470187247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Obstruction</w:t>
      </w:r>
      <w:r>
        <w:tab/>
      </w:r>
      <w:r>
        <w:fldChar w:fldCharType="begin"/>
      </w:r>
      <w:r>
        <w:instrText xml:space="preserve"> PAGEREF _Toc470187248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standing area</w:t>
      </w:r>
      <w:r>
        <w:tab/>
      </w:r>
      <w:r>
        <w:fldChar w:fldCharType="begin"/>
      </w:r>
      <w:r>
        <w:instrText xml:space="preserve"> PAGEREF _Toc470187249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 not to park in area</w:t>
      </w:r>
      <w:r>
        <w:tab/>
      </w:r>
      <w:r>
        <w:fldChar w:fldCharType="begin"/>
      </w:r>
      <w:r>
        <w:instrText xml:space="preserve"> PAGEREF _Toc470187250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One vehicle only in parking space</w:t>
      </w:r>
      <w:r>
        <w:tab/>
      </w:r>
      <w:r>
        <w:fldChar w:fldCharType="begin"/>
      </w:r>
      <w:r>
        <w:instrText xml:space="preserve"> PAGEREF _Toc470187251 \h </w:instrText>
      </w:r>
      <w:r>
        <w:fldChar w:fldCharType="separate"/>
      </w:r>
      <w:r>
        <w:t>5</w:t>
      </w:r>
      <w:r>
        <w:fldChar w:fldCharType="end"/>
      </w:r>
    </w:p>
    <w:p>
      <w:pPr>
        <w:pStyle w:val="TOC8"/>
        <w:rPr>
          <w:rFonts w:asciiTheme="minorHAnsi" w:eastAsiaTheme="minorEastAsia" w:hAnsiTheme="minorHAnsi" w:cstheme="minorBidi"/>
          <w:szCs w:val="22"/>
        </w:rPr>
      </w:pPr>
      <w:r>
        <w:t>10.</w:t>
      </w:r>
      <w:r>
        <w:tab/>
        <w:t>Loading zone</w:t>
      </w:r>
      <w:r>
        <w:tab/>
      </w:r>
      <w:r>
        <w:fldChar w:fldCharType="begin"/>
      </w:r>
      <w:r>
        <w:instrText xml:space="preserve"> PAGEREF _Toc470187252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Designation of parking spaces for vehicles of persons with disability</w:t>
      </w:r>
      <w:r>
        <w:tab/>
      </w:r>
      <w:r>
        <w:fldChar w:fldCharType="begin"/>
      </w:r>
      <w:r>
        <w:instrText xml:space="preserve"> PAGEREF _Toc470187253 \h </w:instrText>
      </w:r>
      <w:r>
        <w:fldChar w:fldCharType="separate"/>
      </w:r>
      <w:r>
        <w:t>6</w:t>
      </w:r>
      <w:r>
        <w:fldChar w:fldCharType="end"/>
      </w:r>
    </w:p>
    <w:p>
      <w:pPr>
        <w:pStyle w:val="TOC8"/>
        <w:rPr>
          <w:rFonts w:asciiTheme="minorHAnsi" w:eastAsiaTheme="minorEastAsia" w:hAnsiTheme="minorHAnsi" w:cstheme="minorBidi"/>
          <w:szCs w:val="22"/>
        </w:rPr>
      </w:pPr>
      <w:r>
        <w:t>12.</w:t>
      </w:r>
      <w:r>
        <w:tab/>
        <w:t>Disabled parking</w:t>
      </w:r>
      <w:r>
        <w:tab/>
      </w:r>
      <w:r>
        <w:fldChar w:fldCharType="begin"/>
      </w:r>
      <w:r>
        <w:instrText xml:space="preserve"> PAGEREF _Toc470187254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w:t>
      </w:r>
      <w:r>
        <w:tab/>
      </w:r>
      <w:r>
        <w:fldChar w:fldCharType="begin"/>
      </w:r>
      <w:r>
        <w:instrText xml:space="preserve"> PAGEREF _Toc470187255 \h </w:instrText>
      </w:r>
      <w:r>
        <w:fldChar w:fldCharType="separate"/>
      </w:r>
      <w:r>
        <w:t>7</w:t>
      </w:r>
      <w:r>
        <w:fldChar w:fldCharType="end"/>
      </w:r>
    </w:p>
    <w:p>
      <w:pPr>
        <w:pStyle w:val="TOC8"/>
        <w:rPr>
          <w:rFonts w:asciiTheme="minorHAnsi" w:eastAsiaTheme="minorEastAsia" w:hAnsiTheme="minorHAnsi" w:cstheme="minorBidi"/>
          <w:szCs w:val="22"/>
        </w:rPr>
      </w:pPr>
      <w:r>
        <w:t>14.</w:t>
      </w:r>
      <w:r>
        <w:tab/>
        <w:t>Parking charges</w:t>
      </w:r>
      <w:r>
        <w:tab/>
      </w:r>
      <w:r>
        <w:fldChar w:fldCharType="begin"/>
      </w:r>
      <w:r>
        <w:instrText xml:space="preserve"> PAGEREF _Toc470187256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charge</w:t>
      </w:r>
      <w:r>
        <w:tab/>
      </w:r>
      <w:r>
        <w:fldChar w:fldCharType="begin"/>
      </w:r>
      <w:r>
        <w:instrText xml:space="preserve"> PAGEREF _Toc470187257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w:t>
      </w:r>
      <w:r>
        <w:tab/>
      </w:r>
      <w:r>
        <w:fldChar w:fldCharType="begin"/>
      </w:r>
      <w:r>
        <w:instrText xml:space="preserve"> PAGEREF _Toc470187258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Production of receipt</w:t>
      </w:r>
      <w:r>
        <w:tab/>
      </w:r>
      <w:r>
        <w:fldChar w:fldCharType="begin"/>
      </w:r>
      <w:r>
        <w:instrText xml:space="preserve"> PAGEREF _Toc470187259 \h </w:instrText>
      </w:r>
      <w:r>
        <w:fldChar w:fldCharType="separate"/>
      </w:r>
      <w:r>
        <w:t>8</w:t>
      </w:r>
      <w:r>
        <w:fldChar w:fldCharType="end"/>
      </w:r>
    </w:p>
    <w:p>
      <w:pPr>
        <w:pStyle w:val="TOC8"/>
        <w:rPr>
          <w:rFonts w:asciiTheme="minorHAnsi" w:eastAsiaTheme="minorEastAsia" w:hAnsiTheme="minorHAnsi" w:cstheme="minorBidi"/>
          <w:szCs w:val="22"/>
        </w:rPr>
      </w:pPr>
      <w:r>
        <w:t>18A.</w:t>
      </w:r>
      <w:r>
        <w:tab/>
        <w:t>Removing vehicle from secured parking station between designated hours</w:t>
      </w:r>
      <w:r>
        <w:tab/>
      </w:r>
      <w:r>
        <w:fldChar w:fldCharType="begin"/>
      </w:r>
      <w:r>
        <w:instrText xml:space="preserve"> PAGEREF _Toc470187260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Removal of vehicles from parking station by Authority</w:t>
      </w:r>
      <w:r>
        <w:tab/>
      </w:r>
      <w:r>
        <w:fldChar w:fldCharType="begin"/>
      </w:r>
      <w:r>
        <w:instrText xml:space="preserve"> PAGEREF _Toc470187261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Appointment of authorised persons</w:t>
      </w:r>
      <w:r>
        <w:tab/>
      </w:r>
      <w:r>
        <w:fldChar w:fldCharType="begin"/>
      </w:r>
      <w:r>
        <w:instrText xml:space="preserve"> PAGEREF _Toc470187262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Personation of authorised person</w:t>
      </w:r>
      <w:r>
        <w:tab/>
      </w:r>
      <w:r>
        <w:fldChar w:fldCharType="begin"/>
      </w:r>
      <w:r>
        <w:instrText xml:space="preserve"> PAGEREF _Toc470187263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Obstruction of authorised person</w:t>
      </w:r>
      <w:r>
        <w:tab/>
      </w:r>
      <w:r>
        <w:fldChar w:fldCharType="begin"/>
      </w:r>
      <w:r>
        <w:instrText xml:space="preserve"> PAGEREF _Toc470187264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authorised person</w:t>
      </w:r>
      <w:r>
        <w:tab/>
      </w:r>
      <w:r>
        <w:fldChar w:fldCharType="begin"/>
      </w:r>
      <w:r>
        <w:instrText xml:space="preserve"> PAGEREF _Toc470187265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Responsible person to reveal identity of driver</w:t>
      </w:r>
      <w:r>
        <w:tab/>
      </w:r>
      <w:r>
        <w:fldChar w:fldCharType="begin"/>
      </w:r>
      <w:r>
        <w:instrText xml:space="preserve"> PAGEREF _Toc470187266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Erection of signs</w:t>
      </w:r>
      <w:r>
        <w:tab/>
      </w:r>
      <w:r>
        <w:fldChar w:fldCharType="begin"/>
      </w:r>
      <w:r>
        <w:instrText xml:space="preserve"> PAGEREF _Toc470187267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Damage to parking station and removal of tickets</w:t>
      </w:r>
      <w:r>
        <w:tab/>
      </w:r>
      <w:r>
        <w:fldChar w:fldCharType="begin"/>
      </w:r>
      <w:r>
        <w:instrText xml:space="preserve"> PAGEREF _Toc470187268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_Toc470187269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w:t>
      </w:r>
      <w:r>
        <w:tab/>
      </w:r>
      <w:r>
        <w:fldChar w:fldCharType="begin"/>
      </w:r>
      <w:r>
        <w:instrText xml:space="preserve"> PAGEREF _Toc470187270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Responsible person deemed to be driver</w:t>
      </w:r>
      <w:r>
        <w:tab/>
      </w:r>
      <w:r>
        <w:fldChar w:fldCharType="begin"/>
      </w:r>
      <w:r>
        <w:instrText xml:space="preserve"> PAGEREF _Toc470187271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infringement notices to be kept</w:t>
      </w:r>
      <w:r>
        <w:tab/>
      </w:r>
      <w:r>
        <w:fldChar w:fldCharType="begin"/>
      </w:r>
      <w:r>
        <w:instrText xml:space="preserve"> PAGEREF _Toc470187272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Recovery of penalty</w:t>
      </w:r>
      <w:r>
        <w:tab/>
      </w:r>
      <w:r>
        <w:fldChar w:fldCharType="begin"/>
      </w:r>
      <w:r>
        <w:instrText xml:space="preserve"> PAGEREF _Toc470187273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Service of notices</w:t>
      </w:r>
      <w:r>
        <w:tab/>
      </w:r>
      <w:r>
        <w:fldChar w:fldCharType="begin"/>
      </w:r>
      <w:r>
        <w:instrText xml:space="preserve"> PAGEREF _Toc470187274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Parking charges</w:t>
      </w:r>
    </w:p>
    <w:p>
      <w:pPr>
        <w:pStyle w:val="TOC8"/>
        <w:rPr>
          <w:rFonts w:asciiTheme="minorHAnsi" w:eastAsiaTheme="minorEastAsia" w:hAnsiTheme="minorHAnsi" w:cstheme="minorBidi"/>
          <w:szCs w:val="22"/>
        </w:rPr>
      </w:pPr>
      <w:r>
        <w:tab/>
        <w:t>1.</w:t>
      </w:r>
      <w:r>
        <w:tab/>
      </w:r>
      <w:r>
        <w:fldChar w:fldCharType="begin"/>
      </w:r>
      <w:r>
        <w:instrText xml:space="preserve"> PAGEREF _Toc470187277 \h </w:instrText>
      </w:r>
      <w:r>
        <w:fldChar w:fldCharType="separate"/>
      </w:r>
      <w:r>
        <w:t>15</w:t>
      </w:r>
      <w:r>
        <w:fldChar w:fldCharType="end"/>
      </w:r>
    </w:p>
    <w:p>
      <w:pPr>
        <w:pStyle w:val="TOC8"/>
        <w:rPr>
          <w:rFonts w:asciiTheme="minorHAnsi" w:eastAsiaTheme="minorEastAsia" w:hAnsiTheme="minorHAnsi" w:cstheme="minorBidi"/>
          <w:szCs w:val="22"/>
        </w:rPr>
      </w:pPr>
      <w:r>
        <w:tab/>
        <w:t>2A.</w:t>
      </w:r>
      <w:r>
        <w:tab/>
      </w:r>
      <w:r>
        <w:fldChar w:fldCharType="begin"/>
      </w:r>
      <w:r>
        <w:instrText xml:space="preserve"> PAGEREF _Toc470187278 \h </w:instrText>
      </w:r>
      <w:r>
        <w:fldChar w:fldCharType="separate"/>
      </w:r>
      <w:r>
        <w:t>15</w:t>
      </w:r>
      <w:r>
        <w:fldChar w:fldCharType="end"/>
      </w:r>
    </w:p>
    <w:p>
      <w:pPr>
        <w:pStyle w:val="TOC8"/>
        <w:rPr>
          <w:rFonts w:asciiTheme="minorHAnsi" w:eastAsiaTheme="minorEastAsia" w:hAnsiTheme="minorHAnsi" w:cstheme="minorBidi"/>
          <w:szCs w:val="22"/>
        </w:rPr>
      </w:pPr>
      <w:r>
        <w:tab/>
        <w:t>2.</w:t>
      </w:r>
      <w:r>
        <w:tab/>
      </w:r>
      <w:r>
        <w:fldChar w:fldCharType="begin"/>
      </w:r>
      <w:r>
        <w:instrText xml:space="preserve"> PAGEREF _Toc470187279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_Toc470187282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3" w:name="_Toc470187242"/>
      <w:r>
        <w:rPr>
          <w:rStyle w:val="CharSectno"/>
        </w:rPr>
        <w:t>1A</w:t>
      </w:r>
      <w:r>
        <w:t>.</w:t>
      </w:r>
      <w:r>
        <w:tab/>
        <w:t>Citation</w:t>
      </w:r>
      <w:bookmarkEnd w:id="3"/>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Gazette 12 Dec 2003 p. 5042.]</w:t>
      </w:r>
    </w:p>
    <w:p>
      <w:pPr>
        <w:pStyle w:val="Heading5"/>
        <w:rPr>
          <w:snapToGrid w:val="0"/>
        </w:rPr>
      </w:pPr>
      <w:bookmarkStart w:id="4" w:name="_Toc470187243"/>
      <w:r>
        <w:rPr>
          <w:rStyle w:val="CharSectno"/>
        </w:rPr>
        <w:t>1</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 cycle space</w:t>
      </w:r>
      <w:r>
        <w:t xml:space="preserve"> means a defined area marked for parking a motor cycle without a side</w:t>
      </w:r>
      <w:r>
        <w:noBreakHyphen/>
        <w:t>car, a motorised scooter or a bicycle;</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tab/>
      </w:r>
      <w:r>
        <w:rPr>
          <w:rStyle w:val="CharDefText"/>
        </w:rPr>
        <w:t>parking space</w:t>
      </w:r>
      <w:r>
        <w:t xml:space="preserve"> means a section or part of a parking station, that is designated as a place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w:t>
      </w:r>
      <w:r>
        <w:rPr>
          <w:i/>
        </w:rPr>
        <w:t xml:space="preserve"> Road Traffic (Administration) Act 2008</w:t>
      </w:r>
      <w:r>
        <w:t xml:space="preserve"> section 4.</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Gazette 12 Dec 2003 p. 5042</w:t>
      </w:r>
      <w:r>
        <w:noBreakHyphen/>
        <w:t>3, 5044 and 5045; 5 Nov 2013 p. 4943-4; 8 Jan 2015 p. 143</w:t>
      </w:r>
      <w:r>
        <w:noBreakHyphen/>
        <w:t>4; 23 Dec 2016 p. 5910.]</w:t>
      </w:r>
    </w:p>
    <w:p>
      <w:pPr>
        <w:pStyle w:val="Heading5"/>
        <w:rPr>
          <w:snapToGrid w:val="0"/>
        </w:rPr>
      </w:pPr>
      <w:bookmarkStart w:id="5" w:name="_Toc470187244"/>
      <w:r>
        <w:rPr>
          <w:rStyle w:val="CharSectno"/>
        </w:rPr>
        <w:t>2</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Gazette 12 Dec 2003 p. 5043 and 5044; 5 Nov 2013 p. 4944.] </w:t>
      </w:r>
    </w:p>
    <w:p>
      <w:pPr>
        <w:pStyle w:val="Heading5"/>
        <w:rPr>
          <w:snapToGrid w:val="0"/>
        </w:rPr>
      </w:pPr>
      <w:bookmarkStart w:id="6" w:name="_Toc470187245"/>
      <w:r>
        <w:rPr>
          <w:rStyle w:val="CharSectno"/>
        </w:rPr>
        <w:t>3</w:t>
      </w:r>
      <w:r>
        <w:rPr>
          <w:snapToGrid w:val="0"/>
        </w:rPr>
        <w:t>.</w:t>
      </w:r>
      <w:r>
        <w:rPr>
          <w:snapToGrid w:val="0"/>
        </w:rPr>
        <w:tab/>
        <w:t>Constitution of parking stations</w:t>
      </w:r>
      <w:bookmarkEnd w:id="6"/>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Gazette 12 Dec 2003 p. 5043 and 5044.] </w:t>
      </w:r>
    </w:p>
    <w:p>
      <w:pPr>
        <w:pStyle w:val="Heading5"/>
        <w:rPr>
          <w:snapToGrid w:val="0"/>
        </w:rPr>
      </w:pPr>
      <w:bookmarkStart w:id="7" w:name="_Toc470187246"/>
      <w:r>
        <w:rPr>
          <w:rStyle w:val="CharSectno"/>
        </w:rPr>
        <w:t>4</w:t>
      </w:r>
      <w:r>
        <w:rPr>
          <w:snapToGrid w:val="0"/>
        </w:rPr>
        <w:t>.</w:t>
      </w:r>
      <w:r>
        <w:rPr>
          <w:snapToGrid w:val="0"/>
        </w:rPr>
        <w:tab/>
        <w:t>Parking in specified areas</w:t>
      </w:r>
      <w:bookmarkEnd w:id="7"/>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or condition</w:t>
      </w:r>
      <w:r>
        <w:rPr>
          <w:snapToGrid w:val="0"/>
        </w:rPr>
        <w:t xml:space="preserve"> indicated by the inscription on the sign or signs associated with the parking station; or</w:t>
      </w:r>
    </w:p>
    <w:p>
      <w:pPr>
        <w:pStyle w:val="Indenta"/>
      </w:pPr>
      <w:r>
        <w:tab/>
        <w:t>(d)</w:t>
      </w:r>
      <w:r>
        <w:tab/>
        <w:t>in a motor cycle space unless the vehicle is a motor cycle without a side</w:t>
      </w:r>
      <w:r>
        <w:noBreakHyphen/>
        <w:t>car, a motorised scooter or a bicycle.</w:t>
      </w:r>
    </w:p>
    <w:p>
      <w:pPr>
        <w:pStyle w:val="Subsection"/>
      </w:pPr>
      <w:r>
        <w:tab/>
        <w:t>(3)</w:t>
      </w:r>
      <w:r>
        <w:tab/>
        <w:t>A person must not stand a motor cycle without a side</w:t>
      </w:r>
      <w:r>
        <w:noBreakHyphen/>
        <w:t>car, a motorised scooter or a bicycle in a parking space unless the parking space is a motor cycle space.</w:t>
      </w:r>
    </w:p>
    <w:p>
      <w:pPr>
        <w:pStyle w:val="Footnotesection"/>
      </w:pPr>
      <w:r>
        <w:tab/>
        <w:t>[Rule 4 amended: Gazette 5 Nov 2013 p. 4944-5; 23 Dec 2016 p. 5910</w:t>
      </w:r>
      <w:r>
        <w:noBreakHyphen/>
        <w:t>11.]</w:t>
      </w:r>
    </w:p>
    <w:p>
      <w:pPr>
        <w:pStyle w:val="Heading5"/>
        <w:rPr>
          <w:snapToGrid w:val="0"/>
        </w:rPr>
      </w:pPr>
      <w:bookmarkStart w:id="8" w:name="_Toc470187247"/>
      <w:r>
        <w:rPr>
          <w:rStyle w:val="CharSectno"/>
        </w:rPr>
        <w:t>5</w:t>
      </w:r>
      <w:r>
        <w:rPr>
          <w:snapToGrid w:val="0"/>
        </w:rPr>
        <w:t>.</w:t>
      </w:r>
      <w:r>
        <w:rPr>
          <w:snapToGrid w:val="0"/>
        </w:rPr>
        <w:tab/>
        <w:t>Parking within parking space</w:t>
      </w:r>
      <w:bookmarkEnd w:id="8"/>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9" w:name="_Toc470187248"/>
      <w:r>
        <w:rPr>
          <w:rStyle w:val="CharSectno"/>
        </w:rPr>
        <w:t>6</w:t>
      </w:r>
      <w:r>
        <w:rPr>
          <w:snapToGrid w:val="0"/>
        </w:rPr>
        <w:t>.</w:t>
      </w:r>
      <w:r>
        <w:rPr>
          <w:snapToGrid w:val="0"/>
        </w:rPr>
        <w:tab/>
        <w:t>Obstruction</w:t>
      </w:r>
      <w:bookmarkEnd w:id="9"/>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10" w:name="_Toc470187249"/>
      <w:r>
        <w:rPr>
          <w:rStyle w:val="CharSectno"/>
        </w:rPr>
        <w:t>7</w:t>
      </w:r>
      <w:r>
        <w:rPr>
          <w:snapToGrid w:val="0"/>
        </w:rPr>
        <w:t>.</w:t>
      </w:r>
      <w:r>
        <w:rPr>
          <w:snapToGrid w:val="0"/>
        </w:rPr>
        <w:tab/>
        <w:t>No standing area</w:t>
      </w:r>
      <w:bookmarkEnd w:id="10"/>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Gazette 12 Dec 2003 p. 5044.]</w:t>
      </w:r>
    </w:p>
    <w:p>
      <w:pPr>
        <w:pStyle w:val="Heading5"/>
        <w:spacing w:before="180"/>
        <w:rPr>
          <w:snapToGrid w:val="0"/>
        </w:rPr>
      </w:pPr>
      <w:bookmarkStart w:id="11" w:name="_Toc470187250"/>
      <w:r>
        <w:rPr>
          <w:rStyle w:val="CharSectno"/>
        </w:rPr>
        <w:t>8</w:t>
      </w:r>
      <w:r>
        <w:rPr>
          <w:snapToGrid w:val="0"/>
        </w:rPr>
        <w:t>.</w:t>
      </w:r>
      <w:r>
        <w:rPr>
          <w:snapToGrid w:val="0"/>
        </w:rPr>
        <w:tab/>
        <w:t>Direction not to park in area</w:t>
      </w:r>
      <w:bookmarkEnd w:id="11"/>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12" w:name="_Toc470187251"/>
      <w:r>
        <w:rPr>
          <w:rStyle w:val="CharSectno"/>
        </w:rPr>
        <w:t>9</w:t>
      </w:r>
      <w:r>
        <w:rPr>
          <w:snapToGrid w:val="0"/>
        </w:rPr>
        <w:t>.</w:t>
      </w:r>
      <w:r>
        <w:rPr>
          <w:snapToGrid w:val="0"/>
        </w:rPr>
        <w:tab/>
        <w:t>One vehicle only in parking space</w:t>
      </w:r>
      <w:bookmarkEnd w:id="12"/>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w:t>
      </w:r>
      <w:r>
        <w:t>motor cycle space</w:t>
      </w:r>
      <w:r>
        <w:rPr>
          <w:snapToGrid w:val="0"/>
        </w:rPr>
        <w:t xml:space="preserve"> if the </w:t>
      </w:r>
      <w:r>
        <w:t xml:space="preserve">motor cycle or motorised scooter and bicycle are </w:t>
      </w:r>
      <w:r>
        <w:rPr>
          <w:snapToGrid w:val="0"/>
        </w:rPr>
        <w:t>parked in accordance with rule 4(3).</w:t>
      </w:r>
    </w:p>
    <w:p>
      <w:pPr>
        <w:pStyle w:val="Footnotesection"/>
      </w:pPr>
      <w:r>
        <w:tab/>
        <w:t>[Rule 9 amended: Gazette 12 Dec 2003 p. 5045; 5 Nov 2013 p. 4945; 23 Dec 2016 p. 5911.]</w:t>
      </w:r>
    </w:p>
    <w:p>
      <w:pPr>
        <w:pStyle w:val="Heading5"/>
        <w:spacing w:before="180"/>
      </w:pPr>
      <w:bookmarkStart w:id="13" w:name="_Toc470187252"/>
      <w:r>
        <w:rPr>
          <w:rStyle w:val="CharSectno"/>
        </w:rPr>
        <w:t>10</w:t>
      </w:r>
      <w:r>
        <w:t>.</w:t>
      </w:r>
      <w:r>
        <w:tab/>
        <w:t>Loading zone</w:t>
      </w:r>
      <w:bookmarkEnd w:id="13"/>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Gazette 12 Dec 2003 p. 5043.]</w:t>
      </w:r>
    </w:p>
    <w:p>
      <w:pPr>
        <w:pStyle w:val="Heading5"/>
        <w:rPr>
          <w:snapToGrid w:val="0"/>
        </w:rPr>
      </w:pPr>
      <w:bookmarkStart w:id="14" w:name="_Toc470187253"/>
      <w:r>
        <w:rPr>
          <w:rStyle w:val="CharSectno"/>
        </w:rPr>
        <w:t>11</w:t>
      </w:r>
      <w:r>
        <w:rPr>
          <w:snapToGrid w:val="0"/>
        </w:rPr>
        <w:t>.</w:t>
      </w:r>
      <w:r>
        <w:rPr>
          <w:snapToGrid w:val="0"/>
        </w:rPr>
        <w:tab/>
        <w:t>Designation of parking spaces for vehicles of persons with disability</w:t>
      </w:r>
      <w:bookmarkEnd w:id="14"/>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Gazette 5 Nov 2013 p. 4945.]</w:t>
      </w:r>
    </w:p>
    <w:p>
      <w:pPr>
        <w:pStyle w:val="Heading5"/>
      </w:pPr>
      <w:bookmarkStart w:id="15" w:name="_Toc470187254"/>
      <w:r>
        <w:rPr>
          <w:rStyle w:val="CharSectno"/>
        </w:rPr>
        <w:t>12</w:t>
      </w:r>
      <w:r>
        <w:t>.</w:t>
      </w:r>
      <w:r>
        <w:tab/>
        <w:t>Disabled parking</w:t>
      </w:r>
      <w:bookmarkEnd w:id="15"/>
    </w:p>
    <w:p>
      <w:pPr>
        <w:pStyle w:val="Subsection"/>
      </w:pPr>
      <w:r>
        <w:tab/>
        <w:t>(1)</w:t>
      </w:r>
      <w:r>
        <w:tab/>
        <w:t xml:space="preserve">A person must not park or stand a vehicle in an area designated for the parking or standing of vehicles of disabled persons unless — </w:t>
      </w:r>
    </w:p>
    <w:p>
      <w:pPr>
        <w:pStyle w:val="Indenta"/>
      </w:pPr>
      <w:r>
        <w:tab/>
        <w:t>(a)</w:t>
      </w:r>
      <w:r>
        <w:tab/>
        <w:t>a disabled person is the driver of, or a passenger in, the vehicle; and</w:t>
      </w:r>
    </w:p>
    <w:p>
      <w:pPr>
        <w:pStyle w:val="Indenta"/>
      </w:pPr>
      <w:r>
        <w:tab/>
        <w:t>(b)</w:t>
      </w:r>
      <w:r>
        <w:tab/>
        <w:t>the vehicle is identified in accordance with rule 11(2).</w:t>
      </w:r>
    </w:p>
    <w:p>
      <w:pPr>
        <w:pStyle w:val="Subsection"/>
      </w:pPr>
      <w:r>
        <w:tab/>
        <w:t>(2)</w:t>
      </w:r>
      <w:r>
        <w:tab/>
        <w:t>If a person parks or stands a vehicle of a disabled person in a paid parking station, other than in an area designated for the parking or standing of vehicles of disabled persons, the person must pay any applicable charge in accordance with rule 14.</w:t>
      </w:r>
    </w:p>
    <w:p>
      <w:pPr>
        <w:pStyle w:val="Footnotesection"/>
      </w:pPr>
      <w:r>
        <w:tab/>
        <w:t>[Rule 12 inserted: Gazette 23 Dec 2016 p. 5911.]</w:t>
      </w:r>
    </w:p>
    <w:p>
      <w:pPr>
        <w:pStyle w:val="Heading5"/>
        <w:rPr>
          <w:snapToGrid w:val="0"/>
        </w:rPr>
      </w:pPr>
      <w:bookmarkStart w:id="16" w:name="_Toc470187255"/>
      <w:r>
        <w:rPr>
          <w:rStyle w:val="CharSectno"/>
        </w:rPr>
        <w:t>13</w:t>
      </w:r>
      <w:r>
        <w:rPr>
          <w:snapToGrid w:val="0"/>
        </w:rPr>
        <w:t>.</w:t>
      </w:r>
      <w:r>
        <w:rPr>
          <w:snapToGrid w:val="0"/>
        </w:rPr>
        <w:tab/>
        <w:t>Offence</w:t>
      </w:r>
      <w:bookmarkEnd w:id="16"/>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Gazette 12 Dec 2003 p. 5045.]</w:t>
      </w:r>
    </w:p>
    <w:p>
      <w:pPr>
        <w:pStyle w:val="Heading5"/>
      </w:pPr>
      <w:bookmarkStart w:id="17" w:name="_Toc470187256"/>
      <w:r>
        <w:rPr>
          <w:rStyle w:val="CharSectno"/>
        </w:rPr>
        <w:t>14</w:t>
      </w:r>
      <w:r>
        <w:t>.</w:t>
      </w:r>
      <w:r>
        <w:tab/>
        <w:t>Parking charges</w:t>
      </w:r>
      <w:bookmarkEnd w:id="17"/>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set out in Schedule 1 item 1(1) 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 Gazette 5 Nov 2013 p. 4945-6; amended: Gazette 23 Dec 2016 p. 5911.]</w:t>
      </w:r>
    </w:p>
    <w:p>
      <w:pPr>
        <w:pStyle w:val="Heading5"/>
        <w:rPr>
          <w:snapToGrid w:val="0"/>
        </w:rPr>
      </w:pPr>
      <w:bookmarkStart w:id="18" w:name="_Toc470187257"/>
      <w:r>
        <w:rPr>
          <w:rStyle w:val="CharSectno"/>
        </w:rPr>
        <w:t>15</w:t>
      </w:r>
      <w:r>
        <w:rPr>
          <w:snapToGrid w:val="0"/>
        </w:rPr>
        <w:t>.</w:t>
      </w:r>
      <w:r>
        <w:rPr>
          <w:snapToGrid w:val="0"/>
        </w:rPr>
        <w:tab/>
        <w:t>Payment of charge</w:t>
      </w:r>
      <w:bookmarkEnd w:id="18"/>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Gazette 5 Nov 2013 p. 4946.]</w:t>
      </w:r>
    </w:p>
    <w:p>
      <w:pPr>
        <w:pStyle w:val="Heading5"/>
        <w:rPr>
          <w:snapToGrid w:val="0"/>
        </w:rPr>
      </w:pPr>
      <w:bookmarkStart w:id="19" w:name="_Toc470187258"/>
      <w:r>
        <w:rPr>
          <w:rStyle w:val="CharSectno"/>
        </w:rPr>
        <w:t>16</w:t>
      </w:r>
      <w:r>
        <w:rPr>
          <w:snapToGrid w:val="0"/>
        </w:rPr>
        <w:t>.</w:t>
      </w:r>
      <w:r>
        <w:rPr>
          <w:snapToGrid w:val="0"/>
        </w:rPr>
        <w:tab/>
        <w:t>Receipt</w:t>
      </w:r>
      <w:bookmarkEnd w:id="19"/>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Gazette 5 Nov 2013 p. 4946.]</w:t>
      </w:r>
    </w:p>
    <w:p>
      <w:pPr>
        <w:pStyle w:val="Heading5"/>
        <w:rPr>
          <w:snapToGrid w:val="0"/>
        </w:rPr>
      </w:pPr>
      <w:bookmarkStart w:id="20" w:name="_Toc470187259"/>
      <w:r>
        <w:rPr>
          <w:rStyle w:val="CharSectno"/>
        </w:rPr>
        <w:t>17</w:t>
      </w:r>
      <w:r>
        <w:rPr>
          <w:snapToGrid w:val="0"/>
        </w:rPr>
        <w:t>.</w:t>
      </w:r>
      <w:r>
        <w:rPr>
          <w:snapToGrid w:val="0"/>
        </w:rPr>
        <w:tab/>
        <w:t>Production of receipt</w:t>
      </w:r>
      <w:bookmarkEnd w:id="20"/>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 Gazette 5 Nov 2013 p. 4946.]</w:t>
      </w:r>
    </w:p>
    <w:p>
      <w:pPr>
        <w:pStyle w:val="Heading5"/>
      </w:pPr>
      <w:bookmarkStart w:id="21" w:name="_Toc470187260"/>
      <w:r>
        <w:rPr>
          <w:rStyle w:val="CharSectno"/>
        </w:rPr>
        <w:t>18A</w:t>
      </w:r>
      <w:r>
        <w:t>.</w:t>
      </w:r>
      <w:r>
        <w:tab/>
        <w:t>Removing vehicle from secured parking station between designated hours</w:t>
      </w:r>
      <w:bookmarkEnd w:id="21"/>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Gazette 5 Nov 2013 p. 4947.]</w:t>
      </w:r>
    </w:p>
    <w:p>
      <w:pPr>
        <w:pStyle w:val="Heading5"/>
        <w:rPr>
          <w:snapToGrid w:val="0"/>
        </w:rPr>
      </w:pPr>
      <w:bookmarkStart w:id="22" w:name="_Toc470187261"/>
      <w:r>
        <w:rPr>
          <w:rStyle w:val="CharSectno"/>
        </w:rPr>
        <w:t>18</w:t>
      </w:r>
      <w:r>
        <w:rPr>
          <w:snapToGrid w:val="0"/>
        </w:rPr>
        <w:t>.</w:t>
      </w:r>
      <w:r>
        <w:rPr>
          <w:snapToGrid w:val="0"/>
        </w:rPr>
        <w:tab/>
        <w:t>Removal of vehicles from parking station by Authority</w:t>
      </w:r>
      <w:bookmarkEnd w:id="22"/>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Gazette 12 Dec 2003 p. 5044 and 5045; 5 Nov 2013 p. 4947.] </w:t>
      </w:r>
    </w:p>
    <w:p>
      <w:pPr>
        <w:pStyle w:val="Heading5"/>
        <w:rPr>
          <w:snapToGrid w:val="0"/>
        </w:rPr>
      </w:pPr>
      <w:bookmarkStart w:id="23" w:name="_Toc470187262"/>
      <w:r>
        <w:rPr>
          <w:rStyle w:val="CharSectno"/>
        </w:rPr>
        <w:t>19</w:t>
      </w:r>
      <w:r>
        <w:rPr>
          <w:snapToGrid w:val="0"/>
        </w:rPr>
        <w:t>.</w:t>
      </w:r>
      <w:r>
        <w:rPr>
          <w:snapToGrid w:val="0"/>
        </w:rPr>
        <w:tab/>
        <w:t>Appointment of authorised persons</w:t>
      </w:r>
      <w:bookmarkEnd w:id="23"/>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Gazette 12 Dec 2003 p. 5044.]</w:t>
      </w:r>
    </w:p>
    <w:p>
      <w:pPr>
        <w:pStyle w:val="Heading5"/>
        <w:rPr>
          <w:snapToGrid w:val="0"/>
        </w:rPr>
      </w:pPr>
      <w:bookmarkStart w:id="24" w:name="_Toc470187263"/>
      <w:r>
        <w:rPr>
          <w:rStyle w:val="CharSectno"/>
        </w:rPr>
        <w:t>20</w:t>
      </w:r>
      <w:r>
        <w:rPr>
          <w:snapToGrid w:val="0"/>
        </w:rPr>
        <w:t>.</w:t>
      </w:r>
      <w:r>
        <w:rPr>
          <w:snapToGrid w:val="0"/>
        </w:rPr>
        <w:tab/>
        <w:t>Personation of authorised person</w:t>
      </w:r>
      <w:bookmarkEnd w:id="24"/>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25" w:name="_Toc470187264"/>
      <w:r>
        <w:rPr>
          <w:rStyle w:val="CharSectno"/>
        </w:rPr>
        <w:t>21</w:t>
      </w:r>
      <w:r>
        <w:rPr>
          <w:snapToGrid w:val="0"/>
        </w:rPr>
        <w:t>.</w:t>
      </w:r>
      <w:r>
        <w:rPr>
          <w:snapToGrid w:val="0"/>
        </w:rPr>
        <w:tab/>
        <w:t>Obstruction of authorised person</w:t>
      </w:r>
      <w:bookmarkEnd w:id="25"/>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Gazette 5 Nov 2013 p. 4947.]</w:t>
      </w:r>
    </w:p>
    <w:p>
      <w:pPr>
        <w:pStyle w:val="Heading5"/>
        <w:rPr>
          <w:snapToGrid w:val="0"/>
        </w:rPr>
      </w:pPr>
      <w:bookmarkStart w:id="26" w:name="_Toc470187265"/>
      <w:r>
        <w:rPr>
          <w:rStyle w:val="CharSectno"/>
        </w:rPr>
        <w:t>22</w:t>
      </w:r>
      <w:r>
        <w:rPr>
          <w:snapToGrid w:val="0"/>
        </w:rPr>
        <w:t>.</w:t>
      </w:r>
      <w:r>
        <w:rPr>
          <w:snapToGrid w:val="0"/>
        </w:rPr>
        <w:tab/>
        <w:t>Powers of authorised person</w:t>
      </w:r>
      <w:bookmarkEnd w:id="26"/>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Gazette 12 Dec 2003 p. 5044.] </w:t>
      </w:r>
    </w:p>
    <w:p>
      <w:pPr>
        <w:pStyle w:val="Heading5"/>
        <w:rPr>
          <w:snapToGrid w:val="0"/>
        </w:rPr>
      </w:pPr>
      <w:bookmarkStart w:id="27" w:name="_Toc470187266"/>
      <w:r>
        <w:rPr>
          <w:rStyle w:val="CharSectno"/>
        </w:rPr>
        <w:t>23</w:t>
      </w:r>
      <w:r>
        <w:rPr>
          <w:snapToGrid w:val="0"/>
        </w:rPr>
        <w:t>.</w:t>
      </w:r>
      <w:r>
        <w:rPr>
          <w:snapToGrid w:val="0"/>
        </w:rPr>
        <w:tab/>
        <w:t>Responsible person to reveal identity of driver</w:t>
      </w:r>
      <w:bookmarkEnd w:id="27"/>
    </w:p>
    <w:p>
      <w:pPr>
        <w:pStyle w:val="Subsection"/>
        <w:rPr>
          <w:snapToGrid w:val="0"/>
        </w:rPr>
      </w:pPr>
      <w:r>
        <w:rPr>
          <w:snapToGrid w:val="0"/>
        </w:rPr>
        <w:tab/>
        <w:t>(1)</w:t>
      </w:r>
      <w:r>
        <w:rPr>
          <w:snapToGrid w:val="0"/>
        </w:rPr>
        <w:tab/>
        <w:t xml:space="preserve">The </w:t>
      </w:r>
      <w:r>
        <w:t>responsible person for</w:t>
      </w:r>
      <w:r>
        <w:rPr>
          <w:snapToGrid w:val="0"/>
        </w:rPr>
        <w:t xml:space="preserve">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 xml:space="preserve">the </w:t>
      </w:r>
      <w:r>
        <w:t>responsible person is</w:t>
      </w:r>
      <w:r>
        <w:rPr>
          <w:snapToGrid w:val="0"/>
        </w:rPr>
        <w:t>, in the absence of proof to the contrary, deemed to be the driver of the vehicle.</w:t>
      </w:r>
    </w:p>
    <w:p>
      <w:pPr>
        <w:pStyle w:val="Footnotesection"/>
      </w:pPr>
      <w:r>
        <w:tab/>
        <w:t xml:space="preserve">[Rule 23 amended: Gazette 12 Dec 2003 p. 5045; 8 Jan 2015 p. 144.] </w:t>
      </w:r>
    </w:p>
    <w:p>
      <w:pPr>
        <w:pStyle w:val="Heading5"/>
        <w:rPr>
          <w:snapToGrid w:val="0"/>
        </w:rPr>
      </w:pPr>
      <w:bookmarkStart w:id="28" w:name="_Toc470187267"/>
      <w:r>
        <w:rPr>
          <w:rStyle w:val="CharSectno"/>
        </w:rPr>
        <w:t>24</w:t>
      </w:r>
      <w:r>
        <w:rPr>
          <w:snapToGrid w:val="0"/>
        </w:rPr>
        <w:t>.</w:t>
      </w:r>
      <w:r>
        <w:rPr>
          <w:snapToGrid w:val="0"/>
        </w:rPr>
        <w:tab/>
        <w:t>Erection of signs</w:t>
      </w:r>
      <w:bookmarkEnd w:id="28"/>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Gazette 12 Dec 2003 p. 5044; 5 Nov 2013 p. 4947.] </w:t>
      </w:r>
    </w:p>
    <w:p>
      <w:pPr>
        <w:pStyle w:val="Heading5"/>
        <w:rPr>
          <w:snapToGrid w:val="0"/>
        </w:rPr>
      </w:pPr>
      <w:bookmarkStart w:id="29" w:name="_Toc470187268"/>
      <w:r>
        <w:rPr>
          <w:rStyle w:val="CharSectno"/>
        </w:rPr>
        <w:t>25</w:t>
      </w:r>
      <w:r>
        <w:rPr>
          <w:snapToGrid w:val="0"/>
        </w:rPr>
        <w:t>.</w:t>
      </w:r>
      <w:r>
        <w:rPr>
          <w:snapToGrid w:val="0"/>
        </w:rPr>
        <w:tab/>
        <w:t>Damage to parking station and removal of tickets</w:t>
      </w:r>
      <w:bookmarkEnd w:id="29"/>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30" w:name="_Toc470187269"/>
      <w:r>
        <w:rPr>
          <w:rStyle w:val="CharSectno"/>
        </w:rPr>
        <w:t>26</w:t>
      </w:r>
      <w:r>
        <w:rPr>
          <w:snapToGrid w:val="0"/>
        </w:rPr>
        <w:t>.</w:t>
      </w:r>
      <w:r>
        <w:rPr>
          <w:snapToGrid w:val="0"/>
        </w:rPr>
        <w:tab/>
        <w:t>Offences and penalties</w:t>
      </w:r>
      <w:bookmarkEnd w:id="30"/>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Gazette 12 Dec 2003 p. 5044 and 5045.]</w:t>
      </w:r>
    </w:p>
    <w:p>
      <w:pPr>
        <w:pStyle w:val="Heading5"/>
        <w:rPr>
          <w:snapToGrid w:val="0"/>
        </w:rPr>
      </w:pPr>
      <w:bookmarkStart w:id="31" w:name="_Toc470187270"/>
      <w:r>
        <w:rPr>
          <w:rStyle w:val="CharSectno"/>
        </w:rPr>
        <w:t>27</w:t>
      </w:r>
      <w:r>
        <w:rPr>
          <w:snapToGrid w:val="0"/>
        </w:rPr>
        <w:t>.</w:t>
      </w:r>
      <w:r>
        <w:rPr>
          <w:snapToGrid w:val="0"/>
        </w:rPr>
        <w:tab/>
        <w:t>Infringement notices</w:t>
      </w:r>
      <w:bookmarkEnd w:id="31"/>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Gazette 12 Dec 2003 p. 5044.]</w:t>
      </w:r>
    </w:p>
    <w:p>
      <w:pPr>
        <w:pStyle w:val="Heading5"/>
        <w:rPr>
          <w:snapToGrid w:val="0"/>
        </w:rPr>
      </w:pPr>
      <w:bookmarkStart w:id="32" w:name="_Toc470187271"/>
      <w:r>
        <w:rPr>
          <w:rStyle w:val="CharSectno"/>
        </w:rPr>
        <w:t>28</w:t>
      </w:r>
      <w:r>
        <w:rPr>
          <w:snapToGrid w:val="0"/>
        </w:rPr>
        <w:t>.</w:t>
      </w:r>
      <w:r>
        <w:rPr>
          <w:snapToGrid w:val="0"/>
        </w:rPr>
        <w:tab/>
        <w:t>Responsible person deemed to be driver</w:t>
      </w:r>
      <w:bookmarkEnd w:id="32"/>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w:t>
      </w:r>
      <w:r>
        <w:t>responsible person for</w:t>
      </w:r>
      <w:r>
        <w:rPr>
          <w:snapToGrid w:val="0"/>
        </w:rPr>
        <w:t xml:space="preserve"> the vehicle at the relevant time to be served on the </w:t>
      </w:r>
      <w:r>
        <w:t>responsible person or</w:t>
      </w:r>
      <w:r>
        <w:rPr>
          <w:snapToGrid w:val="0"/>
        </w:rPr>
        <w:t xml:space="preserve">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 xml:space="preserve">the </w:t>
      </w:r>
      <w:r>
        <w:t>responsible person informs</w:t>
      </w:r>
      <w:r>
        <w:rPr>
          <w:snapToGrid w:val="0"/>
        </w:rPr>
        <w:t xml:space="preserve">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 xml:space="preserve">the </w:t>
      </w:r>
      <w:r>
        <w:t>responsible person is</w:t>
      </w:r>
      <w:r>
        <w:rPr>
          <w:snapToGrid w:val="0"/>
        </w:rPr>
        <w:t xml:space="preserve"> deemed to be the person who committed the offence and is liable to pay the penalty prescribed for the offence.</w:t>
      </w:r>
    </w:p>
    <w:p>
      <w:pPr>
        <w:pStyle w:val="Footnotesection"/>
      </w:pPr>
      <w:r>
        <w:tab/>
        <w:t xml:space="preserve">[Rule 28 amended: Gazette 12 Dec 2003 p. 5044 and 5045; 8 Jan 2015 p. 145.] </w:t>
      </w:r>
    </w:p>
    <w:p>
      <w:pPr>
        <w:pStyle w:val="Heading5"/>
        <w:rPr>
          <w:snapToGrid w:val="0"/>
        </w:rPr>
      </w:pPr>
      <w:bookmarkStart w:id="33" w:name="_Toc470187272"/>
      <w:r>
        <w:rPr>
          <w:rStyle w:val="CharSectno"/>
        </w:rPr>
        <w:t>29</w:t>
      </w:r>
      <w:r>
        <w:rPr>
          <w:snapToGrid w:val="0"/>
        </w:rPr>
        <w:t>.</w:t>
      </w:r>
      <w:r>
        <w:rPr>
          <w:snapToGrid w:val="0"/>
        </w:rPr>
        <w:tab/>
        <w:t>Record of infringement notices to be kept</w:t>
      </w:r>
      <w:bookmarkEnd w:id="33"/>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Gazette 12 Dec 2003 p. 5044.]</w:t>
      </w:r>
    </w:p>
    <w:p>
      <w:pPr>
        <w:pStyle w:val="Heading5"/>
        <w:rPr>
          <w:snapToGrid w:val="0"/>
        </w:rPr>
      </w:pPr>
      <w:bookmarkStart w:id="34" w:name="_Toc470187273"/>
      <w:r>
        <w:rPr>
          <w:rStyle w:val="CharSectno"/>
        </w:rPr>
        <w:t>30</w:t>
      </w:r>
      <w:r>
        <w:rPr>
          <w:snapToGrid w:val="0"/>
        </w:rPr>
        <w:t>.</w:t>
      </w:r>
      <w:r>
        <w:rPr>
          <w:snapToGrid w:val="0"/>
        </w:rPr>
        <w:tab/>
        <w:t>Recovery of penalty</w:t>
      </w:r>
      <w:bookmarkEnd w:id="34"/>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Gazette 12 Dec 2003 p. 5044.]</w:t>
      </w:r>
    </w:p>
    <w:p>
      <w:pPr>
        <w:pStyle w:val="Heading5"/>
        <w:rPr>
          <w:snapToGrid w:val="0"/>
        </w:rPr>
      </w:pPr>
      <w:bookmarkStart w:id="35" w:name="_Toc470187274"/>
      <w:r>
        <w:rPr>
          <w:rStyle w:val="CharSectno"/>
        </w:rPr>
        <w:t>31</w:t>
      </w:r>
      <w:r>
        <w:rPr>
          <w:snapToGrid w:val="0"/>
        </w:rPr>
        <w:t>.</w:t>
      </w:r>
      <w:r>
        <w:rPr>
          <w:snapToGrid w:val="0"/>
        </w:rPr>
        <w:tab/>
        <w:t>Service of notices</w:t>
      </w:r>
      <w:bookmarkEnd w:id="35"/>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6" w:name="_Toc470187275"/>
      <w:r>
        <w:rPr>
          <w:rStyle w:val="CharSchNo"/>
        </w:rPr>
        <w:t>Schedule 1</w:t>
      </w:r>
      <w:bookmarkEnd w:id="36"/>
    </w:p>
    <w:p>
      <w:pPr>
        <w:pStyle w:val="yHeading2"/>
      </w:pPr>
      <w:bookmarkStart w:id="37" w:name="_Toc470187276"/>
      <w:r>
        <w:rPr>
          <w:rStyle w:val="CharSchText"/>
        </w:rPr>
        <w:t>Parking charges</w:t>
      </w:r>
      <w:bookmarkEnd w:id="37"/>
    </w:p>
    <w:p>
      <w:pPr>
        <w:pStyle w:val="yHeading5"/>
        <w:outlineLvl w:val="9"/>
      </w:pPr>
      <w:bookmarkStart w:id="38" w:name="_Toc470187277"/>
      <w:r>
        <w:t>1.</w:t>
      </w:r>
      <w:bookmarkEnd w:id="38"/>
    </w:p>
    <w:p>
      <w:pPr>
        <w:pStyle w:val="ySubsection"/>
      </w:pPr>
      <w:r>
        <w:tab/>
        <w:t>(1)</w:t>
      </w:r>
      <w:r>
        <w:tab/>
        <w:t>The charge to be paid for parking a vehicle in a paid parking station on a weekday for any 24 hour period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Gazette 12 Dec 2003 p. 5044; amended: Gazette 26 Jun 2007 p. 3060; 5 Nov 2013 p. 4948; 23 Dec 2016 p. 5911.]</w:t>
      </w:r>
    </w:p>
    <w:p>
      <w:pPr>
        <w:pStyle w:val="yHeading5"/>
      </w:pPr>
      <w:bookmarkStart w:id="39" w:name="_Toc470187278"/>
      <w:r>
        <w:t>2A.</w:t>
      </w:r>
      <w:bookmarkEnd w:id="39"/>
    </w:p>
    <w:p>
      <w:pPr>
        <w:pStyle w:val="ySubsection"/>
      </w:pPr>
      <w:r>
        <w:tab/>
      </w:r>
      <w:r>
        <w:tab/>
        <w:t>The charge to be paid under rule 18A(1) is $10.00.</w:t>
      </w:r>
    </w:p>
    <w:p>
      <w:pPr>
        <w:pStyle w:val="yFootnotesection"/>
      </w:pPr>
      <w:r>
        <w:tab/>
        <w:t>[Item 2A inserted: Gazette 5 Nov 2013 p. 4948.]</w:t>
      </w:r>
    </w:p>
    <w:p>
      <w:pPr>
        <w:pStyle w:val="yHeading5"/>
        <w:outlineLvl w:val="9"/>
      </w:pPr>
      <w:bookmarkStart w:id="40" w:name="_Toc470187279"/>
      <w:r>
        <w:t>2.</w:t>
      </w:r>
      <w:bookmarkEnd w:id="40"/>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Gazette 12 Dec 2003 p. 5045.]</w:t>
      </w:r>
    </w:p>
    <w:p>
      <w:pPr>
        <w:pStyle w:val="yScheduleHeading"/>
      </w:pPr>
      <w:bookmarkStart w:id="41" w:name="_Toc470187280"/>
      <w:r>
        <w:rPr>
          <w:rStyle w:val="CharSchNo"/>
        </w:rPr>
        <w:t>Schedule 2</w:t>
      </w:r>
      <w:bookmarkEnd w:id="41"/>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yMiscellaneousBody"/>
        <w:tabs>
          <w:tab w:val="left" w:pos="1418"/>
        </w:tabs>
        <w:ind w:left="1418" w:hanging="851"/>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 xml:space="preserve">NOTICE REQUIRING </w:t>
      </w:r>
      <w:r>
        <w:rPr>
          <w:snapToGrid w:val="0"/>
          <w:szCs w:val="22"/>
        </w:rPr>
        <w:t>RESPONSIBLE PERSON FOR</w:t>
      </w:r>
      <w:r>
        <w:rPr>
          <w:snapToGrid w:val="0"/>
        </w:rPr>
        <w:t xml:space="preserve">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zCs w:val="22"/>
        </w:rPr>
        <w:t>the responsible person for</w:t>
      </w:r>
      <w:r>
        <w:rPr>
          <w:snapToGrid w:val="0"/>
        </w:rPr>
        <w:t xml:space="preserve">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r>
      <w:r>
        <w:rPr>
          <w:szCs w:val="22"/>
        </w:rPr>
        <w:t>(Responsible person for</w:t>
      </w:r>
      <w:r>
        <w:rPr>
          <w:snapToGrid w:val="0"/>
        </w:rPr>
        <w:t xml:space="preserve"> vehicle)</w:t>
      </w:r>
    </w:p>
    <w:p>
      <w:pPr>
        <w:pStyle w:val="yMiscellaneousBody"/>
        <w:rPr>
          <w:snapToGrid w:val="0"/>
        </w:rPr>
      </w:pPr>
      <w:r>
        <w:rPr>
          <w:snapToGrid w:val="0"/>
        </w:rPr>
        <w:t>.....................</w:t>
      </w:r>
      <w:r>
        <w:rPr>
          <w:snapToGrid w:val="0"/>
        </w:rPr>
        <w:br/>
        <w:t>(Date)</w:t>
      </w:r>
    </w:p>
    <w:p>
      <w:pPr>
        <w:pStyle w:val="yFootnotesection"/>
      </w:pPr>
      <w:r>
        <w:tab/>
        <w:t>[Form 2 amended: Gazette 12 Dec 2003 p. 5044 and 5045; 8 Jan 2015 p. 145</w:t>
      </w:r>
      <w:r>
        <w:noBreakHyphen/>
        <w:t>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3" w:name="_Toc470187281"/>
      <w:r>
        <w:t>Notes</w:t>
      </w:r>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470187282"/>
      <w:r>
        <w:rPr>
          <w:snapToGrid w:val="0"/>
        </w:rP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rFonts w:ascii="Times" w:hAnsi="Times"/>
                <w:snapToGrid w:val="0"/>
                <w:vertAlign w:val="superscript"/>
              </w:rPr>
              <w:t>2</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c>
          <w:tcPr>
            <w:tcW w:w="3118"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r. 1 and 2: 26 Jun 2007 (see r. 2(a));</w:t>
            </w:r>
          </w:p>
          <w:p>
            <w:pPr>
              <w:pStyle w:val="nTable"/>
              <w:spacing w:before="0" w:after="40"/>
            </w:pPr>
            <w:r>
              <w:t>By-law other than r. 1 and 2: 1 Jul 2007 (see r.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r. 2(a));</w:t>
            </w:r>
            <w:r>
              <w:br/>
              <w:t>By-law other than r. 1 and 2: 6 Nov 2013 (see r.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Pr>
          <w:p>
            <w:pPr>
              <w:pStyle w:val="nTable"/>
              <w:spacing w:after="40"/>
            </w:pPr>
            <w:r>
              <w:t>13 Jun 2014 p. 1899</w:t>
            </w:r>
            <w:r>
              <w:noBreakHyphen/>
              <w:t>900</w:t>
            </w:r>
          </w:p>
        </w:tc>
        <w:tc>
          <w:tcPr>
            <w:tcW w:w="2693" w:type="dxa"/>
          </w:tcPr>
          <w:p>
            <w:pPr>
              <w:pStyle w:val="nTable"/>
            </w:pPr>
            <w:r>
              <w:t>r</w:t>
            </w:r>
            <w:r>
              <w:rPr>
                <w:rFonts w:ascii="Times" w:hAnsi="Times"/>
                <w:bCs/>
                <w:snapToGrid w:val="0"/>
                <w:spacing w:val="-2"/>
              </w:rPr>
              <w:t>. 1 and 2: 13 Jun 2014 (see r. 2(a));</w:t>
            </w:r>
            <w:r>
              <w:rPr>
                <w:rFonts w:ascii="Times" w:hAnsi="Times"/>
                <w:bCs/>
                <w:snapToGrid w:val="0"/>
                <w:spacing w:val="-2"/>
              </w:rPr>
              <w:br/>
              <w:t xml:space="preserve">By-law other than </w:t>
            </w:r>
            <w:r>
              <w:t>r</w:t>
            </w:r>
            <w:r>
              <w:rPr>
                <w:rFonts w:ascii="Times" w:hAnsi="Times"/>
                <w:bCs/>
                <w:snapToGrid w:val="0"/>
                <w:spacing w:val="-2"/>
              </w:rPr>
              <w:t>. 1 and 2: 14 Jun 2014 (see r. 2(b))</w:t>
            </w:r>
          </w:p>
        </w:tc>
      </w:tr>
      <w:tr>
        <w:tc>
          <w:tcPr>
            <w:tcW w:w="3118" w:type="dxa"/>
          </w:tcPr>
          <w:p>
            <w:pPr>
              <w:pStyle w:val="nTable"/>
              <w:spacing w:after="40"/>
              <w:rPr>
                <w:i/>
                <w:snapToGrid w:val="0"/>
              </w:rPr>
            </w:pPr>
            <w:r>
              <w:rPr>
                <w:i/>
              </w:rPr>
              <w:t>Government Railways (Parking Stations) Amendment By</w:t>
            </w:r>
            <w:r>
              <w:rPr>
                <w:i/>
              </w:rPr>
              <w:noBreakHyphen/>
              <w:t>law (No. 2) 2014</w:t>
            </w:r>
          </w:p>
        </w:tc>
        <w:tc>
          <w:tcPr>
            <w:tcW w:w="1276" w:type="dxa"/>
          </w:tcPr>
          <w:p>
            <w:pPr>
              <w:pStyle w:val="nTable"/>
              <w:spacing w:after="40"/>
            </w:pPr>
            <w:r>
              <w:t>8 Jan 2015 p. 143</w:t>
            </w:r>
            <w:r>
              <w:noBreakHyphen/>
              <w:t>6</w:t>
            </w:r>
          </w:p>
        </w:tc>
        <w:tc>
          <w:tcPr>
            <w:tcW w:w="2693" w:type="dxa"/>
          </w:tcPr>
          <w:p>
            <w:pPr>
              <w:pStyle w:val="nTable"/>
              <w:rPr>
                <w:rFonts w:ascii="Times" w:hAnsi="Times"/>
                <w:bCs/>
                <w:snapToGrid w:val="0"/>
                <w:spacing w:val="-2"/>
              </w:rPr>
            </w:pPr>
            <w:r>
              <w:t>r</w:t>
            </w:r>
            <w:r>
              <w:rPr>
                <w:rFonts w:ascii="Times" w:hAnsi="Times"/>
                <w:bCs/>
                <w:snapToGrid w:val="0"/>
                <w:spacing w:val="-2"/>
              </w:rPr>
              <w:t>. 1 and 2: 8 Jan 2015 (see r. 2(a));</w:t>
            </w:r>
            <w:r>
              <w:rPr>
                <w:rFonts w:ascii="Times" w:hAnsi="Times"/>
                <w:bCs/>
                <w:snapToGrid w:val="0"/>
                <w:spacing w:val="-2"/>
              </w:rPr>
              <w:br/>
              <w:t xml:space="preserve">By-law other than </w:t>
            </w:r>
            <w:r>
              <w:t>r</w:t>
            </w:r>
            <w:r>
              <w:rPr>
                <w:rFonts w:ascii="Times" w:hAnsi="Times"/>
                <w:bCs/>
                <w:snapToGrid w:val="0"/>
                <w:spacing w:val="-2"/>
              </w:rPr>
              <w:t xml:space="preserve">.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tcBorders>
              <w:bottom w:val="single" w:sz="4" w:space="0" w:color="auto"/>
            </w:tcBorders>
          </w:tcPr>
          <w:p>
            <w:pPr>
              <w:pStyle w:val="nTable"/>
              <w:spacing w:after="40"/>
            </w:pPr>
            <w:r>
              <w:rPr>
                <w:i/>
              </w:rPr>
              <w:t>Government Railways (Parking Stations) Amendment By law 2016</w:t>
            </w:r>
          </w:p>
        </w:tc>
        <w:tc>
          <w:tcPr>
            <w:tcW w:w="1276" w:type="dxa"/>
            <w:tcBorders>
              <w:bottom w:val="single" w:sz="4" w:space="0" w:color="auto"/>
            </w:tcBorders>
          </w:tcPr>
          <w:p>
            <w:pPr>
              <w:pStyle w:val="nTable"/>
              <w:spacing w:after="40"/>
            </w:pPr>
            <w:r>
              <w:t>23 Dec 2016 p. 5910</w:t>
            </w:r>
            <w:r>
              <w:noBreakHyphen/>
              <w:t>11</w:t>
            </w:r>
          </w:p>
        </w:tc>
        <w:tc>
          <w:tcPr>
            <w:tcW w:w="2693" w:type="dxa"/>
            <w:tcBorders>
              <w:bottom w:val="single" w:sz="4" w:space="0" w:color="auto"/>
            </w:tcBorders>
          </w:tcPr>
          <w:p>
            <w:pPr>
              <w:pStyle w:val="nTable"/>
              <w:rPr>
                <w:rFonts w:ascii="Times" w:hAnsi="Times"/>
                <w:bCs/>
                <w:snapToGrid w:val="0"/>
                <w:spacing w:val="-2"/>
              </w:rPr>
            </w:pPr>
            <w:r>
              <w:t>r</w:t>
            </w:r>
            <w:r>
              <w:rPr>
                <w:rFonts w:ascii="Times" w:hAnsi="Times"/>
                <w:bCs/>
                <w:snapToGrid w:val="0"/>
                <w:spacing w:val="-2"/>
              </w:rPr>
              <w:t>. 1 and 2: 23 Dec 2016 (see r. 2(a));</w:t>
            </w:r>
            <w:r>
              <w:rPr>
                <w:rFonts w:ascii="Times" w:hAnsi="Times"/>
                <w:bCs/>
                <w:snapToGrid w:val="0"/>
                <w:spacing w:val="-2"/>
              </w:rPr>
              <w:br/>
              <w:t xml:space="preserve">By-law other than </w:t>
            </w:r>
            <w:r>
              <w:t>r</w:t>
            </w:r>
            <w:r>
              <w:rPr>
                <w:rFonts w:ascii="Times" w:hAnsi="Times"/>
                <w:bCs/>
                <w:snapToGrid w:val="0"/>
                <w:spacing w:val="-2"/>
              </w:rPr>
              <w:t>. 1 and 2: 24 Dec 2016 (see r. 2(b))</w:t>
            </w:r>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6" w:name="_Toc470187283"/>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1(1)</w:t>
      </w:r>
    </w:p>
    <w:p>
      <w:pPr>
        <w:pStyle w:val="DefinedTerms"/>
      </w:pPr>
      <w:r>
        <w:t>authorised person</w:t>
      </w:r>
      <w:r>
        <w:tab/>
        <w:t>1(1)</w:t>
      </w:r>
    </w:p>
    <w:p>
      <w:pPr>
        <w:pStyle w:val="DefinedTerms"/>
      </w:pPr>
      <w:r>
        <w:t>bicycle</w:t>
      </w:r>
      <w:r>
        <w:tab/>
        <w:t>1(1)</w:t>
      </w:r>
    </w:p>
    <w:p>
      <w:pPr>
        <w:pStyle w:val="DefinedTerms"/>
      </w:pPr>
      <w:r>
        <w:t>designated</w:t>
      </w:r>
      <w:r>
        <w:tab/>
        <w:t>1(1)</w:t>
      </w:r>
    </w:p>
    <w:p>
      <w:pPr>
        <w:pStyle w:val="DefinedTerms"/>
      </w:pPr>
      <w:r>
        <w:t>driver</w:t>
      </w:r>
      <w:r>
        <w:tab/>
        <w:t>1(1)</w:t>
      </w:r>
    </w:p>
    <w:p>
      <w:pPr>
        <w:pStyle w:val="DefinedTerms"/>
      </w:pPr>
      <w:r>
        <w:t>goods</w:t>
      </w:r>
      <w:r>
        <w:tab/>
        <w:t>10(2)</w:t>
      </w:r>
    </w:p>
    <w:p>
      <w:pPr>
        <w:pStyle w:val="DefinedTerms"/>
      </w:pPr>
      <w:r>
        <w:t>motor cycle</w:t>
      </w:r>
      <w:r>
        <w:tab/>
        <w:t>1(1)</w:t>
      </w:r>
    </w:p>
    <w:p>
      <w:pPr>
        <w:pStyle w:val="DefinedTerms"/>
      </w:pPr>
      <w:r>
        <w:t>motorised scooter</w:t>
      </w:r>
      <w:r>
        <w:tab/>
        <w:t>1(1)</w:t>
      </w:r>
    </w:p>
    <w:p>
      <w:pPr>
        <w:pStyle w:val="DefinedTerms"/>
      </w:pPr>
      <w:r>
        <w:t>owner</w:t>
      </w:r>
      <w:r>
        <w:tab/>
        <w:t>1(1)</w:t>
      </w:r>
    </w:p>
    <w:p>
      <w:pPr>
        <w:pStyle w:val="DefinedTerms"/>
      </w:pPr>
      <w:r>
        <w:t>paid parking station</w:t>
      </w:r>
      <w:r>
        <w:tab/>
        <w:t>1(1)</w:t>
      </w:r>
    </w:p>
    <w:p>
      <w:pPr>
        <w:pStyle w:val="DefinedTerms"/>
      </w:pPr>
      <w:r>
        <w:t>park</w:t>
      </w:r>
      <w:r>
        <w:tab/>
        <w:t>1(1)</w:t>
      </w:r>
    </w:p>
    <w:p>
      <w:pPr>
        <w:pStyle w:val="DefinedTerms"/>
      </w:pPr>
      <w:r>
        <w:t>parking</w:t>
      </w:r>
      <w:r>
        <w:tab/>
        <w:t>1(1)</w:t>
      </w:r>
    </w:p>
    <w:p>
      <w:pPr>
        <w:pStyle w:val="DefinedTerms"/>
      </w:pPr>
      <w:r>
        <w:t>parking space</w:t>
      </w:r>
      <w:r>
        <w:tab/>
        <w:t>1(1)</w:t>
      </w:r>
    </w:p>
    <w:p>
      <w:pPr>
        <w:pStyle w:val="DefinedTerms"/>
      </w:pPr>
      <w:r>
        <w:t>parking station</w:t>
      </w:r>
      <w:r>
        <w:tab/>
        <w:t>1(1)</w:t>
      </w:r>
    </w:p>
    <w:p>
      <w:pPr>
        <w:pStyle w:val="DefinedTerms"/>
      </w:pPr>
      <w:r>
        <w:t>responsible person</w:t>
      </w:r>
      <w:r>
        <w:tab/>
        <w:t>1(1)</w:t>
      </w:r>
    </w:p>
    <w:p>
      <w:pPr>
        <w:pStyle w:val="DefinedTerms"/>
      </w:pPr>
      <w:r>
        <w:t>secured parking station</w:t>
      </w:r>
      <w:r>
        <w:tab/>
        <w:t>1(1)</w:t>
      </w:r>
    </w:p>
    <w:p>
      <w:pPr>
        <w:pStyle w:val="DefinedTerms"/>
      </w:pPr>
      <w:r>
        <w:t>sign</w:t>
      </w:r>
      <w:r>
        <w:tab/>
        <w:t>1(1)</w:t>
      </w:r>
    </w:p>
    <w:p>
      <w:pPr>
        <w:pStyle w:val="DefinedTerms"/>
      </w:pPr>
      <w:r>
        <w:t>stand</w:t>
      </w:r>
      <w:r>
        <w:tab/>
        <w:t>1(1)</w:t>
      </w:r>
    </w:p>
    <w:p>
      <w:pPr>
        <w:pStyle w:val="DefinedTerms"/>
      </w:pPr>
      <w:r>
        <w:t>standing</w:t>
      </w:r>
      <w:r>
        <w:tab/>
        <w:t>1(1)</w:t>
      </w:r>
    </w:p>
    <w:p>
      <w:pPr>
        <w:pStyle w:val="DefinedTerms"/>
      </w:pPr>
      <w:r>
        <w:t>the relevant time</w:t>
      </w:r>
      <w:r>
        <w:tab/>
        <w:t>23(1)</w:t>
      </w:r>
    </w:p>
    <w:p>
      <w:pPr>
        <w:pStyle w:val="DefinedTerms"/>
      </w:pPr>
      <w:r>
        <w:t>ticket vending machine</w:t>
      </w:r>
      <w:r>
        <w:tab/>
        <w:t>14(1)</w:t>
      </w:r>
    </w:p>
    <w:p>
      <w:pPr>
        <w:pStyle w:val="DefinedTerms"/>
      </w:pPr>
      <w:r>
        <w:t>vehicle</w:t>
      </w:r>
      <w:r>
        <w:tab/>
        <w:t>1(1)</w:t>
      </w:r>
    </w:p>
    <w:p>
      <w:pPr>
        <w:pStyle w:val="DefinedTerms"/>
      </w:pPr>
      <w:r>
        <w:t>weekday</w:t>
      </w:r>
      <w:r>
        <w:tab/>
        <w:t>Sch. 1 cl. 1(2)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680F1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542"/>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 w:name="WAFER_20151127084757" w:val="UpdateStyles"/>
    <w:docVar w:name="WAFER_20151127084757_GUID" w:val="84ccf035-5d46-4588-9800-e9555761d57d"/>
    <w:docVar w:name="WAFER_20151127090345" w:val="UsedStyles"/>
    <w:docVar w:name="WAFER_20151127090345_GUID" w:val="6abe8a84-a9c4-4faa-9be3-540b1aca3c9b"/>
    <w:docVar w:name="WAFER_20161222153542" w:val="RemoveTocBookmarks,RemoveUnusedBookmarks,RemoveLanguageTags,UsedStyles,ResetPageSize"/>
    <w:docVar w:name="WAFER_20161222153542_GUID" w:val="d7a4ce7f-6160-4f01-8a90-cd6a62797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81644-F3B1-42D3-970D-92094185E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5356</Words>
  <Characters>27907</Characters>
  <Application>Microsoft Office Word</Application>
  <DocSecurity>0</DocSecurity>
  <Lines>797</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1997 - 01-g0-03</dc:title>
  <dc:subject/>
  <dc:creator/>
  <cp:keywords/>
  <dc:description/>
  <cp:lastModifiedBy>svcMRProcess</cp:lastModifiedBy>
  <cp:revision>4</cp:revision>
  <cp:lastPrinted>2014-06-18T02:05:00Z</cp:lastPrinted>
  <dcterms:created xsi:type="dcterms:W3CDTF">2019-01-16T04:49:00Z</dcterms:created>
  <dcterms:modified xsi:type="dcterms:W3CDTF">2019-01-16T04:49:00Z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OWLSUId">
    <vt:i4>330</vt:i4>
  </property>
  <property fmtid="{D5CDD505-2E9C-101B-9397-08002B2CF9AE}" pid="4" name="DocumentType">
    <vt:lpwstr>Reg</vt:lpwstr>
  </property>
  <property fmtid="{D5CDD505-2E9C-101B-9397-08002B2CF9AE}" pid="5" name="CommencementDate">
    <vt:lpwstr>20161224</vt:lpwstr>
  </property>
  <property fmtid="{D5CDD505-2E9C-101B-9397-08002B2CF9AE}" pid="6" name="AsAtDate">
    <vt:lpwstr>24 Dec 2016</vt:lpwstr>
  </property>
  <property fmtid="{D5CDD505-2E9C-101B-9397-08002B2CF9AE}" pid="7" name="Suffix">
    <vt:lpwstr>01-g0-03</vt:lpwstr>
  </property>
</Properties>
</file>