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Gaming and Wagering Commission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_Toc524513923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_Toc524513924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 compliance with forms</w:t>
      </w:r>
      <w:r>
        <w:tab/>
      </w:r>
      <w:r>
        <w:fldChar w:fldCharType="begin"/>
      </w:r>
      <w:r>
        <w:instrText xml:space="preserve"> PAGEREF _Toc524513925 \h </w:instrText>
      </w:r>
      <w:r>
        <w:fldChar w:fldCharType="separate"/>
      </w:r>
      <w:r>
        <w:t>1</w:t>
      </w:r>
      <w:r>
        <w:fldChar w:fldCharType="end"/>
      </w:r>
    </w:p>
    <w:p>
      <w:pPr>
        <w:pStyle w:val="TOC8"/>
        <w:rPr>
          <w:rFonts w:asciiTheme="minorHAnsi" w:eastAsiaTheme="minorEastAsia" w:hAnsiTheme="minorHAnsi" w:cstheme="minorBidi"/>
          <w:szCs w:val="22"/>
        </w:rPr>
      </w:pPr>
      <w:r>
        <w:t>4A.</w:t>
      </w:r>
      <w:r>
        <w:tab/>
        <w:t>Notes in the text</w:t>
      </w:r>
      <w:r>
        <w:tab/>
      </w:r>
      <w:r>
        <w:fldChar w:fldCharType="begin"/>
      </w:r>
      <w:r>
        <w:instrText xml:space="preserve"> PAGEREF _Toc524513926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Prescribed fees</w:t>
      </w:r>
      <w:r>
        <w:tab/>
      </w:r>
      <w:r>
        <w:fldChar w:fldCharType="begin"/>
      </w:r>
      <w:r>
        <w:instrText xml:space="preserve"> PAGEREF _Toc524513927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Enforcement</w:t>
      </w:r>
    </w:p>
    <w:p>
      <w:pPr>
        <w:pStyle w:val="TOC8"/>
        <w:rPr>
          <w:rFonts w:asciiTheme="minorHAnsi" w:eastAsiaTheme="minorEastAsia" w:hAnsiTheme="minorHAnsi" w:cstheme="minorBidi"/>
          <w:szCs w:val="22"/>
        </w:rPr>
      </w:pPr>
      <w:r>
        <w:t>5</w:t>
      </w:r>
      <w:r>
        <w:rPr>
          <w:snapToGrid w:val="0"/>
        </w:rPr>
        <w:t>.</w:t>
      </w:r>
      <w:r>
        <w:rPr>
          <w:snapToGrid w:val="0"/>
        </w:rPr>
        <w:tab/>
        <w:t>Forfeiture, offences prescribed (Act s. 32(2))</w:t>
      </w:r>
      <w:r>
        <w:tab/>
      </w:r>
      <w:r>
        <w:fldChar w:fldCharType="begin"/>
      </w:r>
      <w:r>
        <w:instrText xml:space="preserve"> PAGEREF _Toc524513929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Modified penalties and infringement notices (Act s. 36(1))</w:t>
      </w:r>
      <w:r>
        <w:tab/>
      </w:r>
      <w:r>
        <w:fldChar w:fldCharType="begin"/>
      </w:r>
      <w:r>
        <w:instrText xml:space="preserve"> PAGEREF _Toc524513930 \h </w:instrText>
      </w:r>
      <w:r>
        <w:fldChar w:fldCharType="separate"/>
      </w:r>
      <w:r>
        <w:t>3</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Warrant, form of (Act s. 25)</w:t>
      </w:r>
      <w:r>
        <w:tab/>
      </w:r>
      <w:r>
        <w:fldChar w:fldCharType="begin"/>
      </w:r>
      <w:r>
        <w:instrText xml:space="preserve"> PAGEREF _Toc524513931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The register</w:t>
      </w:r>
    </w:p>
    <w:p>
      <w:pPr>
        <w:pStyle w:val="TOC8"/>
        <w:rPr>
          <w:rFonts w:asciiTheme="minorHAnsi" w:eastAsiaTheme="minorEastAsia" w:hAnsiTheme="minorHAnsi" w:cstheme="minorBidi"/>
          <w:szCs w:val="22"/>
        </w:rPr>
      </w:pPr>
      <w:r>
        <w:t>7</w:t>
      </w:r>
      <w:r>
        <w:rPr>
          <w:snapToGrid w:val="0"/>
        </w:rPr>
        <w:t>.</w:t>
      </w:r>
      <w:r>
        <w:rPr>
          <w:snapToGrid w:val="0"/>
        </w:rPr>
        <w:tab/>
        <w:t>Manner of recording and search fees prescribed (Act s. 50)</w:t>
      </w:r>
      <w:r>
        <w:tab/>
      </w:r>
      <w:r>
        <w:fldChar w:fldCharType="begin"/>
      </w:r>
      <w:r>
        <w:instrText xml:space="preserve"> PAGEREF _Toc524513933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4 — Permitted gaming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Gaming generally</w:t>
      </w:r>
    </w:p>
    <w:p>
      <w:pPr>
        <w:pStyle w:val="TOC8"/>
        <w:rPr>
          <w:rFonts w:asciiTheme="minorHAnsi" w:eastAsiaTheme="minorEastAsia" w:hAnsiTheme="minorHAnsi" w:cstheme="minorBidi"/>
          <w:szCs w:val="22"/>
        </w:rPr>
      </w:pPr>
      <w:r>
        <w:t>8A.</w:t>
      </w:r>
      <w:r>
        <w:tab/>
        <w:t>Gaming on cruise ships</w:t>
      </w:r>
      <w:r>
        <w:tab/>
      </w:r>
      <w:r>
        <w:fldChar w:fldCharType="begin"/>
      </w:r>
      <w:r>
        <w:instrText xml:space="preserve"> PAGEREF _Toc524513936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Gaming permits, form and conditions of (Act s. 47(1)(a) or (b))</w:t>
      </w:r>
      <w:r>
        <w:tab/>
      </w:r>
      <w:r>
        <w:fldChar w:fldCharType="begin"/>
      </w:r>
      <w:r>
        <w:instrText xml:space="preserve"> PAGEREF _Toc524513937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Gaming permits, application for</w:t>
      </w:r>
      <w:r>
        <w:tab/>
      </w:r>
      <w:r>
        <w:fldChar w:fldCharType="begin"/>
      </w:r>
      <w:r>
        <w:instrText xml:space="preserve"> PAGEREF _Toc524513938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Approval to use premises, application for (Act s. 55)</w:t>
      </w:r>
      <w:r>
        <w:tab/>
      </w:r>
      <w:r>
        <w:fldChar w:fldCharType="begin"/>
      </w:r>
      <w:r>
        <w:instrText xml:space="preserve"> PAGEREF _Toc524513939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Renewals etc., applications for (Act s. 56)</w:t>
      </w:r>
      <w:r>
        <w:tab/>
      </w:r>
      <w:r>
        <w:fldChar w:fldCharType="begin"/>
      </w:r>
      <w:r>
        <w:instrText xml:space="preserve"> PAGEREF _Toc524513940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Financial statements, permit holders to provide etc.</w:t>
      </w:r>
      <w:r>
        <w:tab/>
      </w:r>
      <w:r>
        <w:fldChar w:fldCharType="begin"/>
      </w:r>
      <w:r>
        <w:instrText xml:space="preserve"> PAGEREF _Toc524513941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No permit required if gaming etc. deemed permitted</w:t>
      </w:r>
      <w:r>
        <w:tab/>
      </w:r>
      <w:r>
        <w:fldChar w:fldCharType="begin"/>
      </w:r>
      <w:r>
        <w:instrText xml:space="preserve"> PAGEREF _Toc524513942 \h </w:instrText>
      </w:r>
      <w:r>
        <w:fldChar w:fldCharType="separate"/>
      </w:r>
      <w:r>
        <w:t>11</w:t>
      </w:r>
      <w:r>
        <w:fldChar w:fldCharType="end"/>
      </w:r>
    </w:p>
    <w:p>
      <w:pPr>
        <w:pStyle w:val="TOC8"/>
        <w:rPr>
          <w:rFonts w:asciiTheme="minorHAnsi" w:eastAsiaTheme="minorEastAsia" w:hAnsiTheme="minorHAnsi" w:cstheme="minorBidi"/>
          <w:szCs w:val="22"/>
        </w:rPr>
      </w:pPr>
      <w:r>
        <w:t>13A.</w:t>
      </w:r>
      <w:r>
        <w:tab/>
        <w:t>Conviction of license holder etc., holders to notify Commission</w:t>
      </w:r>
      <w:r>
        <w:tab/>
      </w:r>
      <w:r>
        <w:fldChar w:fldCharType="begin"/>
      </w:r>
      <w:r>
        <w:instrText xml:space="preserve"> PAGEREF _Toc524513943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Continuing lotteries</w:t>
      </w:r>
    </w:p>
    <w:p>
      <w:pPr>
        <w:pStyle w:val="TOC8"/>
        <w:rPr>
          <w:rFonts w:asciiTheme="minorHAnsi" w:eastAsiaTheme="minorEastAsia" w:hAnsiTheme="minorHAnsi" w:cstheme="minorBidi"/>
          <w:szCs w:val="22"/>
        </w:rPr>
      </w:pPr>
      <w:r>
        <w:t>14.</w:t>
      </w:r>
      <w:r>
        <w:tab/>
        <w:t>Maximum number of tickets prescribed (Act s. 104L(1))</w:t>
      </w:r>
      <w:r>
        <w:tab/>
      </w:r>
      <w:r>
        <w:fldChar w:fldCharType="begin"/>
      </w:r>
      <w:r>
        <w:instrText xml:space="preserve"> PAGEREF _Toc524513945 \h </w:instrText>
      </w:r>
      <w:r>
        <w:fldChar w:fldCharType="separate"/>
      </w:r>
      <w:r>
        <w:t>11</w:t>
      </w:r>
      <w:r>
        <w:fldChar w:fldCharType="end"/>
      </w:r>
    </w:p>
    <w:p>
      <w:pPr>
        <w:pStyle w:val="TOC8"/>
        <w:rPr>
          <w:rFonts w:asciiTheme="minorHAnsi" w:eastAsiaTheme="minorEastAsia" w:hAnsiTheme="minorHAnsi" w:cstheme="minorBidi"/>
          <w:szCs w:val="22"/>
        </w:rPr>
      </w:pPr>
      <w:r>
        <w:t>15.</w:t>
      </w:r>
      <w:r>
        <w:tab/>
        <w:t>Records to be kept by licensed suppliers for Act Part V Div. 7</w:t>
      </w:r>
      <w:r>
        <w:tab/>
      </w:r>
      <w:r>
        <w:fldChar w:fldCharType="begin"/>
      </w:r>
      <w:r>
        <w:instrText xml:space="preserve"> PAGEREF _Toc524513946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Permitted two</w:t>
      </w:r>
      <w:r>
        <w:noBreakHyphen/>
        <w:t>up</w:t>
      </w:r>
    </w:p>
    <w:p>
      <w:pPr>
        <w:pStyle w:val="TOC8"/>
        <w:rPr>
          <w:rFonts w:asciiTheme="minorHAnsi" w:eastAsiaTheme="minorEastAsia" w:hAnsiTheme="minorHAnsi" w:cstheme="minorBidi"/>
          <w:szCs w:val="22"/>
        </w:rPr>
      </w:pPr>
      <w:r>
        <w:t>16</w:t>
      </w:r>
      <w:r>
        <w:rPr>
          <w:snapToGrid w:val="0"/>
        </w:rPr>
        <w:t>.</w:t>
      </w:r>
      <w:r>
        <w:rPr>
          <w:snapToGrid w:val="0"/>
        </w:rPr>
        <w:tab/>
        <w:t>Financial information to be provided about games</w:t>
      </w:r>
      <w:r>
        <w:tab/>
      </w:r>
      <w:r>
        <w:fldChar w:fldCharType="begin"/>
      </w:r>
      <w:r>
        <w:instrText xml:space="preserve"> PAGEREF _Toc524513948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Suspending permit for game</w:t>
      </w:r>
      <w:r>
        <w:tab/>
      </w:r>
      <w:r>
        <w:fldChar w:fldCharType="begin"/>
      </w:r>
      <w:r>
        <w:instrText xml:space="preserve"> PAGEREF _Toc524513949 \h </w:instrText>
      </w:r>
      <w:r>
        <w:fldChar w:fldCharType="separate"/>
      </w:r>
      <w:r>
        <w:t>14</w:t>
      </w:r>
      <w:r>
        <w:fldChar w:fldCharType="end"/>
      </w:r>
    </w:p>
    <w:p>
      <w:pPr>
        <w:pStyle w:val="TOC8"/>
        <w:rPr>
          <w:rFonts w:asciiTheme="minorHAnsi" w:eastAsiaTheme="minorEastAsia" w:hAnsiTheme="minorHAnsi" w:cstheme="minorBidi"/>
          <w:szCs w:val="22"/>
        </w:rPr>
      </w:pPr>
      <w:r>
        <w:t>17A.</w:t>
      </w:r>
      <w:r>
        <w:tab/>
        <w:t>Prescribed gaming equipment (Act s. 84(1))</w:t>
      </w:r>
      <w:r>
        <w:tab/>
      </w:r>
      <w:r>
        <w:fldChar w:fldCharType="begin"/>
      </w:r>
      <w:r>
        <w:instrText xml:space="preserve"> PAGEREF _Toc524513950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Gaming machines and other equipment</w:t>
      </w:r>
    </w:p>
    <w:p>
      <w:pPr>
        <w:pStyle w:val="TOC8"/>
        <w:rPr>
          <w:rFonts w:asciiTheme="minorHAnsi" w:eastAsiaTheme="minorEastAsia" w:hAnsiTheme="minorHAnsi" w:cstheme="minorBidi"/>
          <w:szCs w:val="22"/>
        </w:rPr>
      </w:pPr>
      <w:r>
        <w:t>18</w:t>
      </w:r>
      <w:r>
        <w:rPr>
          <w:snapToGrid w:val="0"/>
        </w:rPr>
        <w:t>.</w:t>
      </w:r>
      <w:r>
        <w:rPr>
          <w:snapToGrid w:val="0"/>
        </w:rPr>
        <w:tab/>
        <w:t>Records etc. to be kept etc. by persons renting equipment from others</w:t>
      </w:r>
      <w:r>
        <w:tab/>
      </w:r>
      <w:r>
        <w:fldChar w:fldCharType="begin"/>
      </w:r>
      <w:r>
        <w:instrText xml:space="preserve"> PAGEREF _Toc524513952 \h </w:instrText>
      </w:r>
      <w:r>
        <w:fldChar w:fldCharType="separate"/>
      </w:r>
      <w:r>
        <w:t>15</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Skilltester, Merchandiser and similar machines, possession etc. of</w:t>
      </w:r>
      <w:r>
        <w:tab/>
      </w:r>
      <w:r>
        <w:fldChar w:fldCharType="begin"/>
      </w:r>
      <w:r>
        <w:instrText xml:space="preserve"> PAGEREF _Toc524513953 \h </w:instrText>
      </w:r>
      <w:r>
        <w:fldChar w:fldCharType="separate"/>
      </w:r>
      <w:r>
        <w:t>16</w:t>
      </w:r>
      <w:r>
        <w:fldChar w:fldCharType="end"/>
      </w:r>
    </w:p>
    <w:p>
      <w:pPr>
        <w:pStyle w:val="TOC8"/>
        <w:rPr>
          <w:rFonts w:asciiTheme="minorHAnsi" w:eastAsiaTheme="minorEastAsia" w:hAnsiTheme="minorHAnsi" w:cstheme="minorBidi"/>
          <w:szCs w:val="22"/>
        </w:rPr>
      </w:pPr>
      <w:r>
        <w:t>18AA</w:t>
      </w:r>
      <w:r>
        <w:rPr>
          <w:snapToGrid w:val="0"/>
        </w:rPr>
        <w:t>.</w:t>
      </w:r>
      <w:r>
        <w:rPr>
          <w:snapToGrid w:val="0"/>
        </w:rPr>
        <w:tab/>
        <w:t>Video lottery terminals, possession etc. of</w:t>
      </w:r>
      <w:r>
        <w:tab/>
      </w:r>
      <w:r>
        <w:fldChar w:fldCharType="begin"/>
      </w:r>
      <w:r>
        <w:instrText xml:space="preserve"> PAGEREF _Toc524513954 \h </w:instrText>
      </w:r>
      <w:r>
        <w:fldChar w:fldCharType="separate"/>
      </w:r>
      <w:r>
        <w:t>17</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Machines that dispense vouchers, possession etc. of</w:t>
      </w:r>
      <w:r>
        <w:tab/>
      </w:r>
      <w:r>
        <w:fldChar w:fldCharType="begin"/>
      </w:r>
      <w:r>
        <w:instrText xml:space="preserve"> PAGEREF _Toc524513955 \h </w:instrText>
      </w:r>
      <w:r>
        <w:fldChar w:fldCharType="separate"/>
      </w:r>
      <w:r>
        <w:t>18</w:t>
      </w:r>
      <w:r>
        <w:fldChar w:fldCharType="end"/>
      </w:r>
    </w:p>
    <w:p>
      <w:pPr>
        <w:pStyle w:val="TOC8"/>
        <w:rPr>
          <w:rFonts w:asciiTheme="minorHAnsi" w:eastAsiaTheme="minorEastAsia" w:hAnsiTheme="minorHAnsi" w:cstheme="minorBidi"/>
          <w:szCs w:val="22"/>
        </w:rPr>
      </w:pPr>
      <w:r>
        <w:t>18C.</w:t>
      </w:r>
      <w:r>
        <w:tab/>
        <w:t>Possession of certain gaming machines on cruise ships</w:t>
      </w:r>
      <w:r>
        <w:tab/>
      </w:r>
      <w:r>
        <w:fldChar w:fldCharType="begin"/>
      </w:r>
      <w:r>
        <w:instrText xml:space="preserve"> PAGEREF _Toc524513956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Permitted bingo</w:t>
      </w:r>
    </w:p>
    <w:p>
      <w:pPr>
        <w:pStyle w:val="TOC8"/>
        <w:rPr>
          <w:rFonts w:asciiTheme="minorHAnsi" w:eastAsiaTheme="minorEastAsia" w:hAnsiTheme="minorHAnsi" w:cstheme="minorBidi"/>
          <w:szCs w:val="22"/>
        </w:rPr>
      </w:pPr>
      <w:r>
        <w:t>19</w:t>
      </w:r>
      <w:r>
        <w:rPr>
          <w:snapToGrid w:val="0"/>
        </w:rPr>
        <w:t>.</w:t>
      </w:r>
      <w:r>
        <w:rPr>
          <w:snapToGrid w:val="0"/>
        </w:rPr>
        <w:tab/>
        <w:t>Rules for conducting bingo; rules to be displayed</w:t>
      </w:r>
      <w:r>
        <w:tab/>
      </w:r>
      <w:r>
        <w:fldChar w:fldCharType="begin"/>
      </w:r>
      <w:r>
        <w:instrText xml:space="preserve"> PAGEREF _Toc524513958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Bingo for senior citizens’ clubs, no fees payable for</w:t>
      </w:r>
      <w:r>
        <w:tab/>
      </w:r>
      <w:r>
        <w:fldChar w:fldCharType="begin"/>
      </w:r>
      <w:r>
        <w:instrText xml:space="preserve"> PAGEREF _Toc524513959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Percentage of receipts to be paid to Commission</w:t>
      </w:r>
      <w:r>
        <w:tab/>
      </w:r>
      <w:r>
        <w:fldChar w:fldCharType="begin"/>
      </w:r>
      <w:r>
        <w:instrText xml:space="preserve"> PAGEREF _Toc524513960 \h </w:instrText>
      </w:r>
      <w:r>
        <w:fldChar w:fldCharType="separate"/>
      </w:r>
      <w:r>
        <w:t>20</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Times and number of sessions</w:t>
      </w:r>
      <w:r>
        <w:tab/>
      </w:r>
      <w:r>
        <w:fldChar w:fldCharType="begin"/>
      </w:r>
      <w:r>
        <w:instrText xml:space="preserve"> PAGEREF _Toc524513961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Sessions of bingo</w:t>
      </w:r>
      <w:r>
        <w:tab/>
      </w:r>
      <w:r>
        <w:fldChar w:fldCharType="begin"/>
      </w:r>
      <w:r>
        <w:instrText xml:space="preserve"> PAGEREF _Toc524513962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Controllers of sessions, appointment and duties of</w:t>
      </w:r>
      <w:r>
        <w:tab/>
      </w:r>
      <w:r>
        <w:fldChar w:fldCharType="begin"/>
      </w:r>
      <w:r>
        <w:instrText xml:space="preserve"> PAGEREF _Toc524513963 \h </w:instrText>
      </w:r>
      <w:r>
        <w:fldChar w:fldCharType="separate"/>
      </w:r>
      <w:r>
        <w:t>21</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Advertising value of prizes prohibited</w:t>
      </w:r>
      <w:r>
        <w:tab/>
      </w:r>
      <w:r>
        <w:fldChar w:fldCharType="begin"/>
      </w:r>
      <w:r>
        <w:instrText xml:space="preserve"> PAGEREF _Toc524513964 \h </w:instrText>
      </w:r>
      <w:r>
        <w:fldChar w:fldCharType="separate"/>
      </w:r>
      <w:r>
        <w:t>22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Prizes, permitted value of</w:t>
      </w:r>
      <w:r>
        <w:tab/>
      </w:r>
      <w:r>
        <w:fldChar w:fldCharType="begin"/>
      </w:r>
      <w:r>
        <w:instrText xml:space="preserve"> PAGEREF _Toc524513965 \h </w:instrText>
      </w:r>
      <w:r>
        <w:fldChar w:fldCharType="separate"/>
      </w:r>
      <w:r>
        <w:t>23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Expenses, maximum and calculation of</w:t>
      </w:r>
      <w:r>
        <w:tab/>
      </w:r>
      <w:r>
        <w:fldChar w:fldCharType="begin"/>
      </w:r>
      <w:r>
        <w:instrText xml:space="preserve"> PAGEREF _Toc524513966 \h </w:instrText>
      </w:r>
      <w:r>
        <w:fldChar w:fldCharType="separate"/>
      </w:r>
      <w:r>
        <w:t>23</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Playing other games of chance at bingo premises</w:t>
      </w:r>
      <w:r>
        <w:tab/>
      </w:r>
      <w:r>
        <w:fldChar w:fldCharType="begin"/>
      </w:r>
      <w:r>
        <w:instrText xml:space="preserve"> PAGEREF _Toc524513967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Lotteries, etc.</w:t>
      </w:r>
    </w:p>
    <w:p>
      <w:pPr>
        <w:pStyle w:val="TOC6"/>
        <w:tabs>
          <w:tab w:val="right" w:leader="dot" w:pos="7077"/>
        </w:tabs>
        <w:rPr>
          <w:rFonts w:asciiTheme="minorHAnsi" w:eastAsiaTheme="minorEastAsia" w:hAnsiTheme="minorHAnsi" w:cstheme="minorBidi"/>
          <w:b w:val="0"/>
          <w:sz w:val="22"/>
          <w:szCs w:val="22"/>
        </w:rPr>
      </w:pPr>
      <w:r>
        <w:rPr>
          <w:snapToGrid w:val="0"/>
        </w:rPr>
        <w:t>Subdivision 1 — Standard lotteries</w:t>
      </w:r>
    </w:p>
    <w:p>
      <w:pPr>
        <w:pStyle w:val="TOC8"/>
        <w:rPr>
          <w:rFonts w:asciiTheme="minorHAnsi" w:eastAsiaTheme="minorEastAsia" w:hAnsiTheme="minorHAnsi" w:cstheme="minorBidi"/>
          <w:szCs w:val="22"/>
        </w:rPr>
      </w:pPr>
      <w:r>
        <w:t>27</w:t>
      </w:r>
      <w:r>
        <w:rPr>
          <w:snapToGrid w:val="0"/>
        </w:rPr>
        <w:t>.</w:t>
      </w:r>
      <w:r>
        <w:rPr>
          <w:snapToGrid w:val="0"/>
        </w:rPr>
        <w:tab/>
        <w:t>Rules for conducting standard lottery</w:t>
      </w:r>
      <w:r>
        <w:tab/>
      </w:r>
      <w:r>
        <w:fldChar w:fldCharType="begin"/>
      </w:r>
      <w:r>
        <w:instrText xml:space="preserve"> PAGEREF _Toc524513970 \h </w:instrText>
      </w:r>
      <w:r>
        <w:fldChar w:fldCharType="separate"/>
      </w:r>
      <w:r>
        <w:t>25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Conditions relating to standard lottery</w:t>
      </w:r>
      <w:r>
        <w:tab/>
      </w:r>
      <w:r>
        <w:fldChar w:fldCharType="begin"/>
      </w:r>
      <w:r>
        <w:instrText xml:space="preserve"> PAGEREF _Toc524513971 \h </w:instrText>
      </w:r>
      <w:r>
        <w:fldChar w:fldCharType="separate"/>
      </w:r>
      <w:r>
        <w:t>25</w:t>
      </w:r>
      <w:r>
        <w:fldChar w:fldCharType="end"/>
      </w:r>
    </w:p>
    <w:p>
      <w:pPr>
        <w:pStyle w:val="TOC8"/>
        <w:rPr>
          <w:rFonts w:asciiTheme="minorHAnsi" w:eastAsiaTheme="minorEastAsia" w:hAnsiTheme="minorHAnsi" w:cstheme="minorBidi"/>
          <w:szCs w:val="22"/>
        </w:rPr>
      </w:pPr>
      <w:r>
        <w:t>28C</w:t>
      </w:r>
      <w:r>
        <w:rPr>
          <w:snapToGrid w:val="0"/>
        </w:rPr>
        <w:t>.</w:t>
      </w:r>
      <w:r>
        <w:rPr>
          <w:snapToGrid w:val="0"/>
        </w:rPr>
        <w:tab/>
        <w:t>Lottery tickets etc. not to be sent etc. to persons for sale etc. without their consent</w:t>
      </w:r>
      <w:r>
        <w:tab/>
      </w:r>
      <w:r>
        <w:fldChar w:fldCharType="begin"/>
      </w:r>
      <w:r>
        <w:instrText xml:space="preserve"> PAGEREF _Toc524513972 \h </w:instrText>
      </w:r>
      <w:r>
        <w:fldChar w:fldCharType="separate"/>
      </w:r>
      <w:r>
        <w:t>26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When standard lottery must be drawn</w:t>
      </w:r>
      <w:r>
        <w:tab/>
      </w:r>
      <w:r>
        <w:fldChar w:fldCharType="begin"/>
      </w:r>
      <w:r>
        <w:instrText xml:space="preserve"> PAGEREF _Toc524513973 \h </w:instrText>
      </w:r>
      <w:r>
        <w:fldChar w:fldCharType="separate"/>
      </w:r>
      <w:r>
        <w:t>26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Unclaimed prizes in standard lotteries</w:t>
      </w:r>
      <w:r>
        <w:tab/>
      </w:r>
      <w:r>
        <w:fldChar w:fldCharType="begin"/>
      </w:r>
      <w:r>
        <w:instrText xml:space="preserve"> PAGEREF _Toc524513974 \h </w:instrText>
      </w:r>
      <w:r>
        <w:fldChar w:fldCharType="separate"/>
      </w:r>
      <w:r>
        <w:t>27</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Prizes from donor organizations</w:t>
      </w:r>
      <w:r>
        <w:tab/>
      </w:r>
      <w:r>
        <w:fldChar w:fldCharType="begin"/>
      </w:r>
      <w:r>
        <w:instrText xml:space="preserve"> PAGEREF _Toc524513975 \h </w:instrText>
      </w:r>
      <w:r>
        <w:fldChar w:fldCharType="separate"/>
      </w:r>
      <w:r>
        <w:t>27</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Body not to buy ticket etc. in its own lottery</w:t>
      </w:r>
      <w:r>
        <w:tab/>
      </w:r>
      <w:r>
        <w:fldChar w:fldCharType="begin"/>
      </w:r>
      <w:r>
        <w:instrText xml:space="preserve"> PAGEREF _Toc524513976 \h </w:instrText>
      </w:r>
      <w:r>
        <w:fldChar w:fldCharType="separate"/>
      </w:r>
      <w:r>
        <w:t>28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Small private lotteries (Act s. 103)</w:t>
      </w:r>
      <w:r>
        <w:tab/>
      </w:r>
      <w:r>
        <w:fldChar w:fldCharType="begin"/>
      </w:r>
      <w:r>
        <w:instrText xml:space="preserve"> PAGEREF _Toc524513977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Continuing lotteries</w:t>
      </w:r>
    </w:p>
    <w:p>
      <w:pPr>
        <w:pStyle w:val="TOC8"/>
        <w:rPr>
          <w:rFonts w:asciiTheme="minorHAnsi" w:eastAsiaTheme="minorEastAsia" w:hAnsiTheme="minorHAnsi" w:cstheme="minorBidi"/>
          <w:szCs w:val="22"/>
        </w:rPr>
      </w:pPr>
      <w:r>
        <w:t>32</w:t>
      </w:r>
      <w:r>
        <w:rPr>
          <w:snapToGrid w:val="0"/>
        </w:rPr>
        <w:t>.</w:t>
      </w:r>
      <w:r>
        <w:rPr>
          <w:snapToGrid w:val="0"/>
        </w:rPr>
        <w:tab/>
        <w:t>Rules for conducting continuing lotteries</w:t>
      </w:r>
      <w:r>
        <w:tab/>
      </w:r>
      <w:r>
        <w:fldChar w:fldCharType="begin"/>
      </w:r>
      <w:r>
        <w:instrText xml:space="preserve"> PAGEREF _Toc524513979 \h </w:instrText>
      </w:r>
      <w:r>
        <w:fldChar w:fldCharType="separate"/>
      </w:r>
      <w:r>
        <w:t>29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Conditions relating to continuing lottery</w:t>
      </w:r>
      <w:r>
        <w:tab/>
      </w:r>
      <w:r>
        <w:fldChar w:fldCharType="begin"/>
      </w:r>
      <w:r>
        <w:instrText xml:space="preserve"> PAGEREF _Toc524513980 \h </w:instrText>
      </w:r>
      <w:r>
        <w:fldChar w:fldCharType="separate"/>
      </w:r>
      <w:r>
        <w:t>29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Vending machines for continuing lotteries, location of and conditions as to (Act s. 105(2))</w:t>
      </w:r>
      <w:r>
        <w:tab/>
      </w:r>
      <w:r>
        <w:fldChar w:fldCharType="begin"/>
      </w:r>
      <w:r>
        <w:instrText xml:space="preserve"> PAGEREF _Toc524513981 \h </w:instrText>
      </w:r>
      <w:r>
        <w:fldChar w:fldCharType="separate"/>
      </w:r>
      <w:r>
        <w:t>29</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Accounts etc. of continuing lottery to be available for inspection</w:t>
      </w:r>
      <w:r>
        <w:tab/>
      </w:r>
      <w:r>
        <w:fldChar w:fldCharType="begin"/>
      </w:r>
      <w:r>
        <w:instrText xml:space="preserve"> PAGEREF _Toc524513982 \h </w:instrText>
      </w:r>
      <w:r>
        <w:fldChar w:fldCharType="separate"/>
      </w:r>
      <w:r>
        <w:t>30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Distribution of benefit</w:t>
      </w:r>
      <w:r>
        <w:tab/>
      </w:r>
      <w:r>
        <w:fldChar w:fldCharType="begin"/>
      </w:r>
      <w:r>
        <w:instrText xml:space="preserve"> PAGEREF _Toc524513983 \h </w:instrText>
      </w:r>
      <w:r>
        <w:fldChar w:fldCharType="separate"/>
      </w:r>
      <w:r>
        <w:t>31</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Trade promotion lotteries</w:t>
      </w:r>
    </w:p>
    <w:p>
      <w:pPr>
        <w:pStyle w:val="TOC8"/>
        <w:rPr>
          <w:rFonts w:asciiTheme="minorHAnsi" w:eastAsiaTheme="minorEastAsia" w:hAnsiTheme="minorHAnsi" w:cstheme="minorBidi"/>
          <w:szCs w:val="22"/>
        </w:rPr>
      </w:pPr>
      <w:r>
        <w:t>36A.</w:t>
      </w:r>
      <w:r>
        <w:tab/>
        <w:t>Prescribed conditions for trade promotion lottery (Act s. 102)</w:t>
      </w:r>
      <w:r>
        <w:tab/>
      </w:r>
      <w:r>
        <w:fldChar w:fldCharType="begin"/>
      </w:r>
      <w:r>
        <w:instrText xml:space="preserve"> PAGEREF _Toc524513985 \h </w:instrText>
      </w:r>
      <w:r>
        <w:fldChar w:fldCharType="separate"/>
      </w:r>
      <w:r>
        <w:t>31</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4 — Lotteries generally</w:t>
      </w:r>
    </w:p>
    <w:p>
      <w:pPr>
        <w:pStyle w:val="TOC8"/>
        <w:rPr>
          <w:rFonts w:asciiTheme="minorHAnsi" w:eastAsiaTheme="minorEastAsia" w:hAnsiTheme="minorHAnsi" w:cstheme="minorBidi"/>
          <w:szCs w:val="22"/>
        </w:rPr>
      </w:pPr>
      <w:r>
        <w:t>37</w:t>
      </w:r>
      <w:r>
        <w:rPr>
          <w:snapToGrid w:val="0"/>
        </w:rPr>
        <w:t>.</w:t>
      </w:r>
      <w:r>
        <w:rPr>
          <w:snapToGrid w:val="0"/>
        </w:rPr>
        <w:tab/>
        <w:t>Account book, form of (Act s. 104(3)(a))</w:t>
      </w:r>
      <w:r>
        <w:tab/>
      </w:r>
      <w:r>
        <w:fldChar w:fldCharType="begin"/>
      </w:r>
      <w:r>
        <w:instrText xml:space="preserve"> PAGEREF _Toc524513987 \h </w:instrText>
      </w:r>
      <w:r>
        <w:fldChar w:fldCharType="separate"/>
      </w:r>
      <w:r>
        <w:t>31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Prohibition as to private gain etc.</w:t>
      </w:r>
      <w:r>
        <w:tab/>
      </w:r>
      <w:r>
        <w:fldChar w:fldCharType="begin"/>
      </w:r>
      <w:r>
        <w:instrText xml:space="preserve"> PAGEREF _Toc524513988 \h </w:instrText>
      </w:r>
      <w:r>
        <w:fldChar w:fldCharType="separate"/>
      </w:r>
      <w:r>
        <w:t>32</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Offences related to permitted lotteries</w:t>
      </w:r>
      <w:r>
        <w:tab/>
      </w:r>
      <w:r>
        <w:fldChar w:fldCharType="begin"/>
      </w:r>
      <w:r>
        <w:instrText xml:space="preserve"> PAGEREF _Toc524513989 \h </w:instrText>
      </w:r>
      <w:r>
        <w:fldChar w:fldCharType="separate"/>
      </w:r>
      <w:r>
        <w:t>32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5 — Amusements, etc.</w:t>
      </w:r>
    </w:p>
    <w:p>
      <w:pPr>
        <w:pStyle w:val="TOC8"/>
        <w:rPr>
          <w:rFonts w:asciiTheme="minorHAnsi" w:eastAsiaTheme="minorEastAsia" w:hAnsiTheme="minorHAnsi" w:cstheme="minorBidi"/>
          <w:szCs w:val="22"/>
        </w:rPr>
      </w:pPr>
      <w:r>
        <w:t>39</w:t>
      </w:r>
      <w:r>
        <w:rPr>
          <w:snapToGrid w:val="0"/>
        </w:rPr>
        <w:t>.</w:t>
      </w:r>
      <w:r>
        <w:rPr>
          <w:snapToGrid w:val="0"/>
        </w:rPr>
        <w:tab/>
        <w:t>Amusements with prizes at agricultural shows etc., matters prescribed for (Act s. 107(4))</w:t>
      </w:r>
      <w:r>
        <w:tab/>
      </w:r>
      <w:r>
        <w:fldChar w:fldCharType="begin"/>
      </w:r>
      <w:r>
        <w:instrText xml:space="preserve"> PAGEREF _Toc524513991 \h </w:instrText>
      </w:r>
      <w:r>
        <w:fldChar w:fldCharType="separate"/>
      </w:r>
      <w:r>
        <w:t>33</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Amusements with prizes at sporting events etc., matters prescribed for (Act s. 107(1))</w:t>
      </w:r>
      <w:r>
        <w:tab/>
      </w:r>
      <w:r>
        <w:fldChar w:fldCharType="begin"/>
      </w:r>
      <w:r>
        <w:instrText xml:space="preserve"> PAGEREF _Toc524513992 \h </w:instrText>
      </w:r>
      <w:r>
        <w:fldChar w:fldCharType="separate"/>
      </w:r>
      <w:r>
        <w:t>33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Minor fund raising activities (Act s. 108)</w:t>
      </w:r>
      <w:r>
        <w:tab/>
      </w:r>
      <w:r>
        <w:fldChar w:fldCharType="begin"/>
      </w:r>
      <w:r>
        <w:instrText xml:space="preserve"> PAGEREF _Toc524513993 \h </w:instrText>
      </w:r>
      <w:r>
        <w:fldChar w:fldCharType="separate"/>
      </w:r>
      <w:r>
        <w:t>34</w:t>
      </w:r>
      <w:r>
        <w:fldChar w:fldCharType="end"/>
      </w:r>
    </w:p>
    <w:p>
      <w:pPr>
        <w:pStyle w:val="TOC8"/>
        <w:rPr>
          <w:rFonts w:asciiTheme="minorHAnsi" w:eastAsiaTheme="minorEastAsia" w:hAnsiTheme="minorHAnsi" w:cstheme="minorBidi"/>
          <w:szCs w:val="22"/>
        </w:rPr>
      </w:pPr>
      <w:r>
        <w:t>40A.</w:t>
      </w:r>
      <w:r>
        <w:tab/>
        <w:t>Football tipping competitions (Act s. 108)</w:t>
      </w:r>
      <w:r>
        <w:tab/>
      </w:r>
      <w:r>
        <w:fldChar w:fldCharType="begin"/>
      </w:r>
      <w:r>
        <w:instrText xml:space="preserve"> PAGEREF _Toc524513994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41.</w:t>
      </w:r>
      <w:r>
        <w:tab/>
        <w:t>Premises where amusement machines are permitted (Act s. 39(2)(e))</w:t>
      </w:r>
      <w:r>
        <w:tab/>
      </w:r>
      <w:r>
        <w:fldChar w:fldCharType="begin"/>
      </w:r>
      <w:r>
        <w:instrText xml:space="preserve"> PAGEREF _Toc524513996 \h </w:instrText>
      </w:r>
      <w:r>
        <w:fldChar w:fldCharType="separate"/>
      </w:r>
      <w:r>
        <w:t>35</w:t>
      </w:r>
      <w:r>
        <w:fldChar w:fldCharType="end"/>
      </w:r>
    </w:p>
    <w:p>
      <w:pPr>
        <w:pStyle w:val="TOC8"/>
        <w:rPr>
          <w:rFonts w:asciiTheme="minorHAnsi" w:eastAsiaTheme="minorEastAsia" w:hAnsiTheme="minorHAnsi" w:cstheme="minorBidi"/>
          <w:szCs w:val="22"/>
        </w:rPr>
      </w:pPr>
      <w:r>
        <w:t>42.</w:t>
      </w:r>
      <w:r>
        <w:tab/>
        <w:t>Unclaimed winnings (Act s. 109B(1))</w:t>
      </w:r>
      <w:r>
        <w:tab/>
      </w:r>
      <w:r>
        <w:fldChar w:fldCharType="begin"/>
      </w:r>
      <w:r>
        <w:instrText xml:space="preserve"> PAGEREF _Toc524513997 \h </w:instrText>
      </w:r>
      <w:r>
        <w:fldChar w:fldCharType="separate"/>
      </w:r>
      <w:r>
        <w:t>35</w:t>
      </w:r>
      <w:r>
        <w:fldChar w:fldCharType="end"/>
      </w:r>
    </w:p>
    <w:p>
      <w:pPr>
        <w:pStyle w:val="TOC8"/>
        <w:rPr>
          <w:rFonts w:asciiTheme="minorHAnsi" w:eastAsiaTheme="minorEastAsia" w:hAnsiTheme="minorHAnsi" w:cstheme="minorBidi"/>
          <w:szCs w:val="22"/>
        </w:rPr>
      </w:pPr>
      <w:r>
        <w:t>43.</w:t>
      </w:r>
      <w:r>
        <w:tab/>
        <w:t>Certain advertising prohibited</w:t>
      </w:r>
      <w:r>
        <w:tab/>
      </w:r>
      <w:r>
        <w:fldChar w:fldCharType="begin"/>
      </w:r>
      <w:r>
        <w:instrText xml:space="preserve"> PAGEREF _Toc524513998 \h </w:instrText>
      </w:r>
      <w:r>
        <w:fldChar w:fldCharType="separate"/>
      </w:r>
      <w:r>
        <w:t>35</w:t>
      </w:r>
      <w:r>
        <w:fldChar w:fldCharType="end"/>
      </w:r>
    </w:p>
    <w:p>
      <w:pPr>
        <w:pStyle w:val="TOC8"/>
        <w:rPr>
          <w:rFonts w:asciiTheme="minorHAnsi" w:eastAsiaTheme="minorEastAsia" w:hAnsiTheme="minorHAnsi" w:cstheme="minorBidi"/>
          <w:szCs w:val="22"/>
        </w:rPr>
      </w:pPr>
      <w:r>
        <w:t>44.</w:t>
      </w:r>
      <w:r>
        <w:tab/>
        <w:t>Prescribed interval (Act s. 110B(4)(b))</w:t>
      </w:r>
      <w:r>
        <w:tab/>
      </w:r>
      <w:r>
        <w:fldChar w:fldCharType="begin"/>
      </w:r>
      <w:r>
        <w:instrText xml:space="preserve"> PAGEREF _Toc524513999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fees</w:t>
      </w:r>
    </w:p>
    <w:p>
      <w:pPr>
        <w:pStyle w:val="TOC2"/>
        <w:tabs>
          <w:tab w:val="right" w:leader="dot" w:pos="7077"/>
        </w:tabs>
        <w:rPr>
          <w:rFonts w:asciiTheme="minorHAnsi" w:eastAsiaTheme="minorEastAsia" w:hAnsiTheme="minorHAnsi" w:cstheme="minorBidi"/>
          <w:b w:val="0"/>
          <w:sz w:val="22"/>
          <w:szCs w:val="22"/>
        </w:rPr>
      </w:pPr>
      <w:r>
        <w:t>Schedule 2 — Prescribed penalties under section 36(1)</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4</w:t>
      </w:r>
    </w:p>
    <w:p>
      <w:pPr>
        <w:pStyle w:val="TOC2"/>
        <w:tabs>
          <w:tab w:val="right" w:leader="dot" w:pos="7077"/>
        </w:tabs>
        <w:rPr>
          <w:rFonts w:asciiTheme="minorHAnsi" w:eastAsiaTheme="minorEastAsia" w:hAnsiTheme="minorHAnsi" w:cstheme="minorBidi"/>
          <w:b w:val="0"/>
          <w:sz w:val="22"/>
          <w:szCs w:val="22"/>
        </w:rPr>
      </w:pPr>
      <w:r>
        <w:t>Rules for the conduct of permitted games</w:t>
      </w:r>
    </w:p>
    <w:p>
      <w:pPr>
        <w:pStyle w:val="TOC4"/>
        <w:tabs>
          <w:tab w:val="right" w:leader="dot" w:pos="7077"/>
        </w:tabs>
        <w:rPr>
          <w:rFonts w:asciiTheme="minorHAnsi" w:eastAsiaTheme="minorEastAsia" w:hAnsiTheme="minorHAnsi" w:cstheme="minorBidi"/>
          <w:b w:val="0"/>
          <w:szCs w:val="22"/>
        </w:rPr>
      </w:pPr>
      <w:r>
        <w:t>Part 1 — Permitted bingo</w:t>
      </w:r>
    </w:p>
    <w:p>
      <w:pPr>
        <w:pStyle w:val="TOC8"/>
        <w:rPr>
          <w:rFonts w:asciiTheme="minorHAnsi" w:eastAsiaTheme="minorEastAsia" w:hAnsiTheme="minorHAnsi" w:cstheme="minorBidi"/>
          <w:szCs w:val="22"/>
        </w:rPr>
      </w:pPr>
      <w:r>
        <w:t>1</w:t>
      </w:r>
      <w:r>
        <w:rPr>
          <w:snapToGrid w:val="0"/>
        </w:rPr>
        <w:t>.</w:t>
      </w:r>
      <w:r>
        <w:rPr>
          <w:snapToGrid w:val="0"/>
        </w:rPr>
        <w:tab/>
        <w:t>Children cannot play</w:t>
      </w:r>
      <w:r>
        <w:tab/>
      </w:r>
      <w:r>
        <w:fldChar w:fldCharType="begin"/>
      </w:r>
      <w:r>
        <w:instrText xml:space="preserve"> PAGEREF _Toc524514007 \h </w:instrText>
      </w:r>
      <w:r>
        <w:fldChar w:fldCharType="separate"/>
      </w:r>
      <w:r>
        <w:t>48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Spotters cannot play</w:t>
      </w:r>
      <w:r>
        <w:tab/>
      </w:r>
      <w:r>
        <w:fldChar w:fldCharType="begin"/>
      </w:r>
      <w:r>
        <w:instrText xml:space="preserve"> PAGEREF _Toc524514008 \h </w:instrText>
      </w:r>
      <w:r>
        <w:fldChar w:fldCharType="separate"/>
      </w:r>
      <w:r>
        <w:t>48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Call backs, who can take part in</w:t>
      </w:r>
      <w:r>
        <w:tab/>
      </w:r>
      <w:r>
        <w:fldChar w:fldCharType="begin"/>
      </w:r>
      <w:r>
        <w:instrText xml:space="preserve"> PAGEREF _Toc524514009 \h </w:instrText>
      </w:r>
      <w:r>
        <w:fldChar w:fldCharType="separate"/>
      </w:r>
      <w:r>
        <w:t>48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Bingo cards</w:t>
      </w:r>
      <w:r>
        <w:tab/>
      </w:r>
      <w:r>
        <w:fldChar w:fldCharType="begin"/>
      </w:r>
      <w:r>
        <w:instrText xml:space="preserve"> PAGEREF _Toc524514010 \h </w:instrText>
      </w:r>
      <w:r>
        <w:fldChar w:fldCharType="separate"/>
      </w:r>
      <w:r>
        <w:t>48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Split games</w:t>
      </w:r>
      <w:r>
        <w:tab/>
      </w:r>
      <w:r>
        <w:fldChar w:fldCharType="begin"/>
      </w:r>
      <w:r>
        <w:instrText xml:space="preserve"> PAGEREF _Toc524514011 \h </w:instrText>
      </w:r>
      <w:r>
        <w:fldChar w:fldCharType="separate"/>
      </w:r>
      <w:r>
        <w:t>48</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Prizes, who is eligible for</w:t>
      </w:r>
      <w:r>
        <w:tab/>
      </w:r>
      <w:r>
        <w:fldChar w:fldCharType="begin"/>
      </w:r>
      <w:r>
        <w:instrText xml:space="preserve"> PAGEREF _Toc524514012 \h </w:instrText>
      </w:r>
      <w:r>
        <w:fldChar w:fldCharType="separate"/>
      </w:r>
      <w:r>
        <w:t>49</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When games conclude</w:t>
      </w:r>
      <w:r>
        <w:tab/>
      </w:r>
      <w:r>
        <w:fldChar w:fldCharType="begin"/>
      </w:r>
      <w:r>
        <w:instrText xml:space="preserve"> PAGEREF _Toc524514013 \h </w:instrText>
      </w:r>
      <w:r>
        <w:fldChar w:fldCharType="separate"/>
      </w:r>
      <w:r>
        <w:t>49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Miscellaneous rules</w:t>
      </w:r>
      <w:r>
        <w:tab/>
      </w:r>
      <w:r>
        <w:fldChar w:fldCharType="begin"/>
      </w:r>
      <w:r>
        <w:instrText xml:space="preserve"> PAGEREF _Toc524514014 \h </w:instrText>
      </w:r>
      <w:r>
        <w:fldChar w:fldCharType="separate"/>
      </w:r>
      <w:r>
        <w:t>49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Prizes, announcement of etc.</w:t>
      </w:r>
      <w:r>
        <w:tab/>
      </w:r>
      <w:r>
        <w:fldChar w:fldCharType="begin"/>
      </w:r>
      <w:r>
        <w:instrText xml:space="preserve"> PAGEREF _Toc524514015 \h </w:instrText>
      </w:r>
      <w:r>
        <w:fldChar w:fldCharType="separate"/>
      </w:r>
      <w:r>
        <w:t>50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Prize shared if more than one winner</w:t>
      </w:r>
      <w:r>
        <w:tab/>
      </w:r>
      <w:r>
        <w:fldChar w:fldCharType="begin"/>
      </w:r>
      <w:r>
        <w:instrText xml:space="preserve"> PAGEREF _Toc524514016 \h </w:instrText>
      </w:r>
      <w:r>
        <w:fldChar w:fldCharType="separate"/>
      </w:r>
      <w:r>
        <w:t>51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Prizes paid as soon as practicable</w:t>
      </w:r>
      <w:r>
        <w:tab/>
      </w:r>
      <w:r>
        <w:fldChar w:fldCharType="begin"/>
      </w:r>
      <w:r>
        <w:instrText xml:space="preserve"> PAGEREF _Toc524514017 \h </w:instrText>
      </w:r>
      <w:r>
        <w:fldChar w:fldCharType="separate"/>
      </w:r>
      <w:r>
        <w:t>51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Player who makes incorrect call allowed to continue play</w:t>
      </w:r>
      <w:r>
        <w:tab/>
      </w:r>
      <w:r>
        <w:fldChar w:fldCharType="begin"/>
      </w:r>
      <w:r>
        <w:instrText xml:space="preserve"> PAGEREF _Toc524514018 \h </w:instrText>
      </w:r>
      <w:r>
        <w:fldChar w:fldCharType="separate"/>
      </w:r>
      <w:r>
        <w:t>51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Late calls by players</w:t>
      </w:r>
      <w:r>
        <w:tab/>
      </w:r>
      <w:r>
        <w:fldChar w:fldCharType="begin"/>
      </w:r>
      <w:r>
        <w:instrText xml:space="preserve"> PAGEREF _Toc524514019 \h </w:instrText>
      </w:r>
      <w:r>
        <w:fldChar w:fldCharType="separate"/>
      </w:r>
      <w:r>
        <w:t>51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Calls must be acknowledged</w:t>
      </w:r>
      <w:r>
        <w:tab/>
      </w:r>
      <w:r>
        <w:fldChar w:fldCharType="begin"/>
      </w:r>
      <w:r>
        <w:instrText xml:space="preserve"> PAGEREF _Toc524514020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Part 2 — Permitted lotteries</w:t>
      </w:r>
    </w:p>
    <w:p>
      <w:pPr>
        <w:pStyle w:val="TOC6"/>
        <w:tabs>
          <w:tab w:val="right" w:leader="dot" w:pos="7077"/>
        </w:tabs>
        <w:rPr>
          <w:rFonts w:asciiTheme="minorHAnsi" w:eastAsiaTheme="minorEastAsia" w:hAnsiTheme="minorHAnsi" w:cstheme="minorBidi"/>
          <w:b w:val="0"/>
          <w:sz w:val="22"/>
          <w:szCs w:val="22"/>
        </w:rPr>
      </w:pPr>
      <w:r>
        <w:rPr>
          <w:snapToGrid w:val="0"/>
        </w:rPr>
        <w:t>Division 1 — Rules for the conduct of a standard lottery</w:t>
      </w:r>
    </w:p>
    <w:p>
      <w:pPr>
        <w:pStyle w:val="TOC8"/>
        <w:rPr>
          <w:rFonts w:asciiTheme="minorHAnsi" w:eastAsiaTheme="minorEastAsia" w:hAnsiTheme="minorHAnsi" w:cstheme="minorBidi"/>
          <w:szCs w:val="22"/>
        </w:rPr>
      </w:pPr>
      <w:r>
        <w:t>1</w:t>
      </w:r>
      <w:r>
        <w:rPr>
          <w:snapToGrid w:val="0"/>
        </w:rPr>
        <w:t>.</w:t>
      </w:r>
      <w:r>
        <w:rPr>
          <w:snapToGrid w:val="0"/>
        </w:rPr>
        <w:tab/>
        <w:t>Chances, number of etc.</w:t>
      </w:r>
      <w:r>
        <w:tab/>
      </w:r>
      <w:r>
        <w:fldChar w:fldCharType="begin"/>
      </w:r>
      <w:r>
        <w:instrText xml:space="preserve"> PAGEREF _Toc524514023 \h </w:instrText>
      </w:r>
      <w:r>
        <w:fldChar w:fldCharType="separate"/>
      </w:r>
      <w:r>
        <w:t>52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Chances, information on</w:t>
      </w:r>
      <w:r>
        <w:tab/>
      </w:r>
      <w:r>
        <w:fldChar w:fldCharType="begin"/>
      </w:r>
      <w:r>
        <w:instrText xml:space="preserve"> PAGEREF _Toc524514024 \h </w:instrText>
      </w:r>
      <w:r>
        <w:fldChar w:fldCharType="separate"/>
      </w:r>
      <w:r>
        <w:t>52</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Chance holders, identification of</w:t>
      </w:r>
      <w:r>
        <w:tab/>
      </w:r>
      <w:r>
        <w:fldChar w:fldCharType="begin"/>
      </w:r>
      <w:r>
        <w:instrText xml:space="preserve"> PAGEREF _Toc524514025 \h </w:instrText>
      </w:r>
      <w:r>
        <w:fldChar w:fldCharType="separate"/>
      </w:r>
      <w:r>
        <w:t>53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Results of draw</w:t>
      </w:r>
      <w:r>
        <w:tab/>
      </w:r>
      <w:r>
        <w:fldChar w:fldCharType="begin"/>
      </w:r>
      <w:r>
        <w:instrText xml:space="preserve"> PAGEREF _Toc524514026 \h </w:instrText>
      </w:r>
      <w:r>
        <w:fldChar w:fldCharType="separate"/>
      </w:r>
      <w:r>
        <w:t>53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Order in which prizes are to be drawn</w:t>
      </w:r>
      <w:r>
        <w:tab/>
      </w:r>
      <w:r>
        <w:fldChar w:fldCharType="begin"/>
      </w:r>
      <w:r>
        <w:instrText xml:space="preserve"> PAGEREF _Toc524514027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Division 2 — Rules for the conduct of a continuing lottery</w:t>
      </w:r>
    </w:p>
    <w:p>
      <w:pPr>
        <w:pStyle w:val="TOC8"/>
        <w:rPr>
          <w:rFonts w:asciiTheme="minorHAnsi" w:eastAsiaTheme="minorEastAsia" w:hAnsiTheme="minorHAnsi" w:cstheme="minorBidi"/>
          <w:szCs w:val="22"/>
        </w:rPr>
      </w:pPr>
      <w:r>
        <w:t>1</w:t>
      </w:r>
      <w:r>
        <w:rPr>
          <w:snapToGrid w:val="0"/>
        </w:rPr>
        <w:t>.</w:t>
      </w:r>
      <w:r>
        <w:rPr>
          <w:snapToGrid w:val="0"/>
        </w:rPr>
        <w:tab/>
        <w:t>Information on each ticket</w:t>
      </w:r>
      <w:r>
        <w:tab/>
      </w:r>
      <w:r>
        <w:fldChar w:fldCharType="begin"/>
      </w:r>
      <w:r>
        <w:instrText xml:space="preserve"> PAGEREF _Toc524514029 \h </w:instrText>
      </w:r>
      <w:r>
        <w:fldChar w:fldCharType="separate"/>
      </w:r>
      <w:r>
        <w:t>54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Where tickets may be sold</w:t>
      </w:r>
      <w:r>
        <w:tab/>
      </w:r>
      <w:r>
        <w:fldChar w:fldCharType="begin"/>
      </w:r>
      <w:r>
        <w:instrText xml:space="preserve"> PAGEREF _Toc524514030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5 — Conditions for trade promotion lottery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_Toc524514033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3" w:name="_Toc524513922"/>
      <w:r>
        <w:rPr>
          <w:rStyle w:val="CharPartNo"/>
        </w:rPr>
        <w:t>Part 1</w:t>
      </w:r>
      <w:r>
        <w:rPr>
          <w:rStyle w:val="CharDivNo"/>
        </w:rPr>
        <w:t> </w:t>
      </w:r>
      <w:r>
        <w:t>—</w:t>
      </w:r>
      <w:r>
        <w:rPr>
          <w:rStyle w:val="CharDivText"/>
        </w:rPr>
        <w:t> </w:t>
      </w:r>
      <w:r>
        <w:rPr>
          <w:rStyle w:val="CharPartText"/>
        </w:rPr>
        <w:t>Preliminary</w:t>
      </w:r>
      <w:bookmarkEnd w:id="3"/>
    </w:p>
    <w:p>
      <w:pPr>
        <w:pStyle w:val="Heading5"/>
        <w:rPr>
          <w:snapToGrid w:val="0"/>
        </w:rPr>
      </w:pPr>
      <w:bookmarkStart w:id="4" w:name="_Toc524513923"/>
      <w:r>
        <w:rPr>
          <w:rStyle w:val="CharSectno"/>
        </w:rPr>
        <w:t>1</w:t>
      </w:r>
      <w:r>
        <w:rPr>
          <w:snapToGrid w:val="0"/>
        </w:rPr>
        <w:t>.</w:t>
      </w:r>
      <w:r>
        <w:rPr>
          <w:snapToGrid w:val="0"/>
        </w:rPr>
        <w:tab/>
        <w:t>Citation</w:t>
      </w:r>
      <w:bookmarkEnd w:id="4"/>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5" w:name="_Toc524513924"/>
      <w:r>
        <w:rPr>
          <w:rStyle w:val="CharSectno"/>
        </w:rPr>
        <w:t>2</w:t>
      </w:r>
      <w:r>
        <w:rPr>
          <w:snapToGrid w:val="0"/>
        </w:rPr>
        <w:t>.</w:t>
      </w:r>
      <w:r>
        <w:rPr>
          <w:snapToGrid w:val="0"/>
        </w:rPr>
        <w:tab/>
        <w:t>Commencement</w:t>
      </w:r>
      <w:bookmarkEnd w:id="5"/>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6" w:name="_Toc524513925"/>
      <w:r>
        <w:rPr>
          <w:rStyle w:val="CharSectno"/>
        </w:rPr>
        <w:t>3</w:t>
      </w:r>
      <w:r>
        <w:rPr>
          <w:snapToGrid w:val="0"/>
        </w:rPr>
        <w:t>.</w:t>
      </w:r>
      <w:r>
        <w:rPr>
          <w:snapToGrid w:val="0"/>
        </w:rPr>
        <w:tab/>
        <w:t>Interpretation; compliance with forms</w:t>
      </w:r>
      <w:bookmarkEnd w:id="6"/>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pPr>
      <w:bookmarkStart w:id="7" w:name="_Toc524513926"/>
      <w:r>
        <w:rPr>
          <w:rStyle w:val="CharSectno"/>
        </w:rPr>
        <w:t>4A</w:t>
      </w:r>
      <w:r>
        <w:t>.</w:t>
      </w:r>
      <w:r>
        <w:tab/>
        <w:t>Notes in the text</w:t>
      </w:r>
      <w:bookmarkEnd w:id="7"/>
    </w:p>
    <w:p>
      <w:pPr>
        <w:pStyle w:val="Subsection"/>
      </w:pPr>
      <w:r>
        <w:tab/>
      </w:r>
      <w:r>
        <w:tab/>
        <w:t>A note included in these regulations (other than in a form in Schedule 3) is explanatory and is not part of these regulations.</w:t>
      </w:r>
    </w:p>
    <w:p>
      <w:pPr>
        <w:pStyle w:val="Footnotesection"/>
      </w:pPr>
      <w:r>
        <w:tab/>
        <w:t>[Regulation 4A inserted in Gazette 12 Aug 2011 p. 3249.]</w:t>
      </w:r>
    </w:p>
    <w:p>
      <w:pPr>
        <w:pStyle w:val="Heading5"/>
        <w:rPr>
          <w:snapToGrid w:val="0"/>
        </w:rPr>
      </w:pPr>
      <w:bookmarkStart w:id="8" w:name="_Toc524513927"/>
      <w:r>
        <w:rPr>
          <w:rStyle w:val="CharSectno"/>
        </w:rPr>
        <w:t>4</w:t>
      </w:r>
      <w:r>
        <w:rPr>
          <w:snapToGrid w:val="0"/>
        </w:rPr>
        <w:t>.</w:t>
      </w:r>
      <w:r>
        <w:rPr>
          <w:snapToGrid w:val="0"/>
        </w:rPr>
        <w:tab/>
        <w:t>Prescribed fees</w:t>
      </w:r>
      <w:bookmarkEnd w:id="8"/>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 30 Oct 2009 p. 4316.]</w:t>
      </w:r>
    </w:p>
    <w:p>
      <w:pPr>
        <w:pStyle w:val="Heading2"/>
      </w:pPr>
      <w:bookmarkStart w:id="9" w:name="_Toc524513928"/>
      <w:r>
        <w:rPr>
          <w:rStyle w:val="CharPartNo"/>
        </w:rPr>
        <w:t>Part 2</w:t>
      </w:r>
      <w:r>
        <w:rPr>
          <w:rStyle w:val="CharDivNo"/>
        </w:rPr>
        <w:t> </w:t>
      </w:r>
      <w:r>
        <w:t>—</w:t>
      </w:r>
      <w:r>
        <w:rPr>
          <w:rStyle w:val="CharDivText"/>
        </w:rPr>
        <w:t> </w:t>
      </w:r>
      <w:r>
        <w:rPr>
          <w:rStyle w:val="CharPartText"/>
        </w:rPr>
        <w:t>Enforcement</w:t>
      </w:r>
      <w:bookmarkEnd w:id="9"/>
    </w:p>
    <w:p>
      <w:pPr>
        <w:pStyle w:val="Heading5"/>
        <w:rPr>
          <w:snapToGrid w:val="0"/>
        </w:rPr>
      </w:pPr>
      <w:bookmarkStart w:id="10" w:name="_Toc524513929"/>
      <w:r>
        <w:rPr>
          <w:rStyle w:val="CharSectno"/>
        </w:rPr>
        <w:t>5</w:t>
      </w:r>
      <w:r>
        <w:rPr>
          <w:snapToGrid w:val="0"/>
        </w:rPr>
        <w:t>.</w:t>
      </w:r>
      <w:r>
        <w:rPr>
          <w:snapToGrid w:val="0"/>
        </w:rPr>
        <w:tab/>
        <w:t>Forfeiture, offences prescribed (Act s. 32(2))</w:t>
      </w:r>
      <w:bookmarkEnd w:id="10"/>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11" w:name="_Toc524513930"/>
      <w:r>
        <w:rPr>
          <w:rStyle w:val="CharSectno"/>
        </w:rPr>
        <w:t>6</w:t>
      </w:r>
      <w:r>
        <w:rPr>
          <w:snapToGrid w:val="0"/>
        </w:rPr>
        <w:t>.</w:t>
      </w:r>
      <w:r>
        <w:rPr>
          <w:snapToGrid w:val="0"/>
        </w:rPr>
        <w:tab/>
        <w:t>Modified penalties and infringement notices (Act s. 36(1))</w:t>
      </w:r>
      <w:bookmarkEnd w:id="11"/>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2" w:name="_Toc524513931"/>
      <w:r>
        <w:rPr>
          <w:rStyle w:val="CharSectno"/>
        </w:rPr>
        <w:t>6A</w:t>
      </w:r>
      <w:r>
        <w:rPr>
          <w:snapToGrid w:val="0"/>
        </w:rPr>
        <w:t>.</w:t>
      </w:r>
      <w:r>
        <w:rPr>
          <w:snapToGrid w:val="0"/>
        </w:rPr>
        <w:tab/>
        <w:t>Warrant, form of (Act s. 25)</w:t>
      </w:r>
      <w:bookmarkEnd w:id="12"/>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13" w:name="_Toc524513932"/>
      <w:r>
        <w:rPr>
          <w:rStyle w:val="CharPartNo"/>
        </w:rPr>
        <w:t>Part 3</w:t>
      </w:r>
      <w:r>
        <w:rPr>
          <w:rStyle w:val="CharDivNo"/>
        </w:rPr>
        <w:t> </w:t>
      </w:r>
      <w:r>
        <w:t>—</w:t>
      </w:r>
      <w:r>
        <w:rPr>
          <w:rStyle w:val="CharDivText"/>
        </w:rPr>
        <w:t> </w:t>
      </w:r>
      <w:r>
        <w:rPr>
          <w:rStyle w:val="CharPartText"/>
        </w:rPr>
        <w:t>The register</w:t>
      </w:r>
      <w:bookmarkEnd w:id="13"/>
    </w:p>
    <w:p>
      <w:pPr>
        <w:pStyle w:val="Heading5"/>
        <w:rPr>
          <w:snapToGrid w:val="0"/>
        </w:rPr>
      </w:pPr>
      <w:bookmarkStart w:id="14" w:name="_Toc524513933"/>
      <w:r>
        <w:rPr>
          <w:rStyle w:val="CharSectno"/>
        </w:rPr>
        <w:t>7</w:t>
      </w:r>
      <w:r>
        <w:rPr>
          <w:snapToGrid w:val="0"/>
        </w:rPr>
        <w:t>.</w:t>
      </w:r>
      <w:r>
        <w:rPr>
          <w:snapToGrid w:val="0"/>
        </w:rPr>
        <w:tab/>
        <w:t>Manner of recording and search fees prescribed (Act s. 50)</w:t>
      </w:r>
      <w:bookmarkEnd w:id="14"/>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15" w:name="_Toc524513934"/>
      <w:r>
        <w:rPr>
          <w:rStyle w:val="CharPartNo"/>
        </w:rPr>
        <w:t>Part 4</w:t>
      </w:r>
      <w:r>
        <w:t> — </w:t>
      </w:r>
      <w:r>
        <w:rPr>
          <w:rStyle w:val="CharPartText"/>
        </w:rPr>
        <w:t>Permitted gaming</w:t>
      </w:r>
      <w:bookmarkEnd w:id="15"/>
    </w:p>
    <w:p>
      <w:pPr>
        <w:pStyle w:val="Heading3"/>
        <w:spacing w:before="220"/>
      </w:pPr>
      <w:bookmarkStart w:id="16" w:name="_Toc524513935"/>
      <w:r>
        <w:rPr>
          <w:rStyle w:val="CharDivNo"/>
        </w:rPr>
        <w:t>Division 1</w:t>
      </w:r>
      <w:r>
        <w:rPr>
          <w:snapToGrid w:val="0"/>
        </w:rPr>
        <w:t> — </w:t>
      </w:r>
      <w:r>
        <w:rPr>
          <w:rStyle w:val="CharDivText"/>
        </w:rPr>
        <w:t>Gaming generally</w:t>
      </w:r>
      <w:bookmarkEnd w:id="16"/>
    </w:p>
    <w:p>
      <w:pPr>
        <w:pStyle w:val="Heading5"/>
      </w:pPr>
      <w:bookmarkStart w:id="17" w:name="_Toc524513936"/>
      <w:r>
        <w:rPr>
          <w:rStyle w:val="CharSectno"/>
        </w:rPr>
        <w:t>8A</w:t>
      </w:r>
      <w:r>
        <w:t>.</w:t>
      </w:r>
      <w:r>
        <w:tab/>
        <w:t>Gaming on cruise ships</w:t>
      </w:r>
      <w:bookmarkEnd w:id="17"/>
    </w:p>
    <w:p>
      <w:pPr>
        <w:pStyle w:val="Subsection"/>
      </w:pPr>
      <w:r>
        <w:tab/>
        <w:t>(1)</w:t>
      </w:r>
      <w:r>
        <w:tab/>
        <w:t xml:space="preserve">In this regulation — </w:t>
      </w:r>
    </w:p>
    <w:p>
      <w:pPr>
        <w:pStyle w:val="Defstart"/>
      </w:pPr>
      <w:r>
        <w:tab/>
      </w:r>
      <w:r>
        <w:rPr>
          <w:rStyle w:val="CharDefText"/>
        </w:rPr>
        <w:t>baseline</w:t>
      </w:r>
      <w:r>
        <w:t xml:space="preserve"> has the meaning given in the </w:t>
      </w:r>
      <w:r>
        <w:rPr>
          <w:i/>
        </w:rPr>
        <w:t>Crimes at Sea Act 2000</w:t>
      </w:r>
      <w:r>
        <w:t xml:space="preserve"> Schedule 1 clause 1(1);</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 and</w:t>
      </w:r>
    </w:p>
    <w:p>
      <w:pPr>
        <w:pStyle w:val="Defpara"/>
      </w:pPr>
      <w:r>
        <w:tab/>
        <w:t>(c)</w:t>
      </w:r>
      <w:r>
        <w:tab/>
        <w:t>is transiting through Western Australian ports from and to locations overseas or interstate.</w:t>
      </w:r>
    </w:p>
    <w:p>
      <w:pPr>
        <w:pStyle w:val="Subsection"/>
      </w:pPr>
      <w:r>
        <w:tab/>
        <w:t>(2)</w:t>
      </w:r>
      <w:r>
        <w:tab/>
        <w:t>For the purposes of section 46(2A), gaming on a cruise ship outside a distance of 12 nautical miles from the Western Australian baseline is prescribed.</w:t>
      </w:r>
    </w:p>
    <w:p>
      <w:pPr>
        <w:pStyle w:val="Footnotesection"/>
      </w:pPr>
      <w:r>
        <w:tab/>
        <w:t>[Regulation 8A inserted in Gazette 12 Aug 2011 p. 3249.]</w:t>
      </w:r>
    </w:p>
    <w:p>
      <w:pPr>
        <w:pStyle w:val="Heading5"/>
        <w:rPr>
          <w:snapToGrid w:val="0"/>
        </w:rPr>
      </w:pPr>
      <w:bookmarkStart w:id="18" w:name="_Toc524513937"/>
      <w:r>
        <w:rPr>
          <w:rStyle w:val="CharSectno"/>
        </w:rPr>
        <w:t>8</w:t>
      </w:r>
      <w:r>
        <w:rPr>
          <w:snapToGrid w:val="0"/>
        </w:rPr>
        <w:t>.</w:t>
      </w:r>
      <w:r>
        <w:rPr>
          <w:snapToGrid w:val="0"/>
        </w:rPr>
        <w:tab/>
        <w:t>Gaming permits, form and conditions of (Act s. 47(1)(a) or (b))</w:t>
      </w:r>
      <w:bookmarkEnd w:id="18"/>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19" w:name="_Toc524513938"/>
      <w:r>
        <w:rPr>
          <w:rStyle w:val="CharSectno"/>
        </w:rPr>
        <w:t>9</w:t>
      </w:r>
      <w:r>
        <w:rPr>
          <w:snapToGrid w:val="0"/>
        </w:rPr>
        <w:t>.</w:t>
      </w:r>
      <w:r>
        <w:rPr>
          <w:snapToGrid w:val="0"/>
        </w:rPr>
        <w:tab/>
        <w:t>Gaming permits, application for</w:t>
      </w:r>
      <w:bookmarkEnd w:id="19"/>
    </w:p>
    <w:p>
      <w:pPr>
        <w:pStyle w:val="Subsection"/>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spacing w:before="100"/>
        <w:rPr>
          <w:snapToGrid w:val="0"/>
        </w:rPr>
      </w:pPr>
      <w:r>
        <w:rPr>
          <w:snapToGrid w:val="0"/>
        </w:rPr>
        <w:tab/>
        <w:t>(a)</w:t>
      </w:r>
      <w:r>
        <w:rPr>
          <w:snapToGrid w:val="0"/>
        </w:rPr>
        <w:tab/>
        <w:t>details of relevant experience in the conduct of gaming;</w:t>
      </w:r>
    </w:p>
    <w:p>
      <w:pPr>
        <w:pStyle w:val="Indenta"/>
        <w:spacing w:before="100"/>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10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spacing w:before="100"/>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spacing w:before="100"/>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spacing w:before="100"/>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4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4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spacing w:before="100"/>
      </w:pPr>
      <w:r>
        <w:tab/>
        <w:t>[Regulation 9 amended in Gazette 30 Jan 2004 p. 415; 18 May 2004 p. 1572.]</w:t>
      </w:r>
    </w:p>
    <w:p>
      <w:pPr>
        <w:pStyle w:val="Heading5"/>
        <w:rPr>
          <w:snapToGrid w:val="0"/>
        </w:rPr>
      </w:pPr>
      <w:bookmarkStart w:id="20" w:name="_Toc524513939"/>
      <w:r>
        <w:rPr>
          <w:rStyle w:val="CharSectno"/>
        </w:rPr>
        <w:t>10</w:t>
      </w:r>
      <w:r>
        <w:rPr>
          <w:snapToGrid w:val="0"/>
        </w:rPr>
        <w:t>.</w:t>
      </w:r>
      <w:r>
        <w:rPr>
          <w:snapToGrid w:val="0"/>
        </w:rPr>
        <w:tab/>
        <w:t>Approval to use premises, application for (Act s. 55)</w:t>
      </w:r>
      <w:bookmarkEnd w:id="20"/>
    </w:p>
    <w:p>
      <w:pPr>
        <w:pStyle w:val="Subsection"/>
        <w:spacing w:before="140"/>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spacing w:before="60"/>
        <w:rPr>
          <w:snapToGrid w:val="0"/>
        </w:rPr>
      </w:pPr>
      <w:r>
        <w:rPr>
          <w:snapToGrid w:val="0"/>
        </w:rPr>
        <w:tab/>
        <w:t>(a)</w:t>
      </w:r>
      <w:r>
        <w:rPr>
          <w:snapToGrid w:val="0"/>
        </w:rPr>
        <w:tab/>
        <w:t>disclose the nature and extent of the interest in the premises held by the applicant; and</w:t>
      </w:r>
    </w:p>
    <w:p>
      <w:pPr>
        <w:pStyle w:val="Indenta"/>
        <w:spacing w:before="60"/>
        <w:rPr>
          <w:snapToGrid w:val="0"/>
        </w:rPr>
      </w:pPr>
      <w:r>
        <w:rPr>
          <w:snapToGrid w:val="0"/>
        </w:rPr>
        <w:tab/>
        <w:t>(b)</w:t>
      </w:r>
      <w:r>
        <w:rPr>
          <w:snapToGrid w:val="0"/>
        </w:rPr>
        <w:tab/>
        <w:t>describe, and give details of the title to, the premises; and</w:t>
      </w:r>
    </w:p>
    <w:p>
      <w:pPr>
        <w:pStyle w:val="Indenta"/>
        <w:spacing w:before="60"/>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spacing w:before="60"/>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pPr>
      <w:r>
        <w:tab/>
        <w:t>[Regulation 10 amended in Gazette 30 Jan 2004 p. 415.]</w:t>
      </w:r>
    </w:p>
    <w:p>
      <w:pPr>
        <w:pStyle w:val="Heading5"/>
        <w:rPr>
          <w:snapToGrid w:val="0"/>
        </w:rPr>
      </w:pPr>
      <w:bookmarkStart w:id="21" w:name="_Toc524513940"/>
      <w:r>
        <w:rPr>
          <w:rStyle w:val="CharSectno"/>
        </w:rPr>
        <w:t>11</w:t>
      </w:r>
      <w:r>
        <w:rPr>
          <w:snapToGrid w:val="0"/>
        </w:rPr>
        <w:t>.</w:t>
      </w:r>
      <w:r>
        <w:rPr>
          <w:snapToGrid w:val="0"/>
        </w:rPr>
        <w:tab/>
        <w:t>Renewals etc., applications for (Act s. 56)</w:t>
      </w:r>
      <w:bookmarkEnd w:id="21"/>
    </w:p>
    <w:p>
      <w:pPr>
        <w:pStyle w:val="Subsection"/>
        <w:keepNext/>
        <w:keepLines/>
        <w:rPr>
          <w:snapToGrid w:val="0"/>
        </w:rPr>
      </w:pPr>
      <w:r>
        <w:rPr>
          <w:snapToGrid w:val="0"/>
        </w:rPr>
        <w:tab/>
        <w:t>(1)</w:t>
      </w:r>
      <w:r>
        <w:rPr>
          <w:snapToGrid w:val="0"/>
        </w:rPr>
        <w:tab/>
        <w:t>An application under section 56 for the renewal or re</w:t>
      </w:r>
      <w:r>
        <w:rPr>
          <w:snapToGrid w:val="0"/>
        </w:rPr>
        <w:noBreakHyphen/>
        <w:t>instatement 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22" w:name="_Toc524513941"/>
      <w:r>
        <w:rPr>
          <w:rStyle w:val="CharSectno"/>
        </w:rPr>
        <w:t>12</w:t>
      </w:r>
      <w:r>
        <w:rPr>
          <w:snapToGrid w:val="0"/>
        </w:rPr>
        <w:t>.</w:t>
      </w:r>
      <w:r>
        <w:rPr>
          <w:snapToGrid w:val="0"/>
        </w:rPr>
        <w:tab/>
        <w:t>Financial statements, permit holders to provide etc.</w:t>
      </w:r>
      <w:bookmarkEnd w:id="22"/>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pPr>
      <w:r>
        <w:tab/>
        <w:t>[Regulation 12 amended in Gazette 28 Jun 1996 p. 3099; 16 May 1997 p. 2393.]</w:t>
      </w:r>
    </w:p>
    <w:p>
      <w:pPr>
        <w:pStyle w:val="Heading5"/>
        <w:rPr>
          <w:snapToGrid w:val="0"/>
        </w:rPr>
      </w:pPr>
      <w:bookmarkStart w:id="23" w:name="_Toc524513942"/>
      <w:r>
        <w:rPr>
          <w:rStyle w:val="CharSectno"/>
        </w:rPr>
        <w:t>13</w:t>
      </w:r>
      <w:r>
        <w:rPr>
          <w:snapToGrid w:val="0"/>
        </w:rPr>
        <w:t>.</w:t>
      </w:r>
      <w:r>
        <w:rPr>
          <w:snapToGrid w:val="0"/>
        </w:rPr>
        <w:tab/>
        <w:t>No permit required if gaming etc. deemed permitted</w:t>
      </w:r>
      <w:bookmarkEnd w:id="23"/>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24" w:name="_Toc524513943"/>
      <w:r>
        <w:rPr>
          <w:rStyle w:val="CharSectno"/>
        </w:rPr>
        <w:t>13A</w:t>
      </w:r>
      <w:r>
        <w:t>.</w:t>
      </w:r>
      <w:r>
        <w:tab/>
        <w:t>Conviction of license holder etc., holders to notify Commission</w:t>
      </w:r>
      <w:bookmarkEnd w:id="24"/>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spacing w:before="200"/>
      </w:pPr>
      <w:bookmarkStart w:id="25" w:name="_Toc524513944"/>
      <w:r>
        <w:rPr>
          <w:rStyle w:val="CharDivNo"/>
        </w:rPr>
        <w:t>Division 2</w:t>
      </w:r>
      <w:r>
        <w:t> — </w:t>
      </w:r>
      <w:r>
        <w:rPr>
          <w:rStyle w:val="CharDivText"/>
        </w:rPr>
        <w:t>Continuing lotteries</w:t>
      </w:r>
      <w:bookmarkEnd w:id="25"/>
    </w:p>
    <w:p>
      <w:pPr>
        <w:pStyle w:val="Footnoteheading"/>
      </w:pPr>
      <w:r>
        <w:tab/>
        <w:t>[Heading inserted in Gazette 23 Jun 2000 p. 3206]</w:t>
      </w:r>
    </w:p>
    <w:p>
      <w:pPr>
        <w:pStyle w:val="Heading5"/>
        <w:keepLines w:val="0"/>
        <w:spacing w:before="240"/>
      </w:pPr>
      <w:bookmarkStart w:id="26" w:name="_Toc524513945"/>
      <w:r>
        <w:rPr>
          <w:rStyle w:val="CharSectno"/>
        </w:rPr>
        <w:t>14</w:t>
      </w:r>
      <w:r>
        <w:t>.</w:t>
      </w:r>
      <w:r>
        <w:tab/>
        <w:t>Maximum number of tickets prescribed (Act s. 104L(1))</w:t>
      </w:r>
      <w:bookmarkEnd w:id="26"/>
    </w:p>
    <w:p>
      <w:pPr>
        <w:pStyle w:val="Subsection"/>
        <w:spacing w:before="180"/>
      </w:pPr>
      <w:r>
        <w:tab/>
      </w:r>
      <w:r>
        <w:tab/>
        <w:t>For the purposes of section 104L(1) of the Act the maximum number of tickets that may be in one batch shall be 5 000.</w:t>
      </w:r>
    </w:p>
    <w:p>
      <w:pPr>
        <w:pStyle w:val="Footnotesection"/>
      </w:pPr>
      <w:r>
        <w:tab/>
        <w:t>[Regulation 14 inserted in Gazette 23 Jun 2000 p. 3206.]</w:t>
      </w:r>
    </w:p>
    <w:p>
      <w:pPr>
        <w:pStyle w:val="Heading5"/>
        <w:spacing w:before="240"/>
      </w:pPr>
      <w:bookmarkStart w:id="27" w:name="_Toc524513946"/>
      <w:r>
        <w:rPr>
          <w:rStyle w:val="CharSectno"/>
        </w:rPr>
        <w:t>15</w:t>
      </w:r>
      <w:r>
        <w:t>.</w:t>
      </w:r>
      <w:r>
        <w:tab/>
        <w:t>Records to be kept by licensed suppliers for Act Part V Div. 7</w:t>
      </w:r>
      <w:bookmarkEnd w:id="27"/>
    </w:p>
    <w:p>
      <w:pPr>
        <w:pStyle w:val="Subsection"/>
        <w:spacing w:before="180"/>
      </w:pPr>
      <w:r>
        <w:tab/>
        <w:t>(1)</w:t>
      </w:r>
      <w:r>
        <w:tab/>
        <w:t>A person who is a licensed supplier under Part V, Division 7 of the Act shall maintain —</w:t>
      </w:r>
    </w:p>
    <w:p>
      <w:pPr>
        <w:pStyle w:val="Indenta"/>
      </w:pPr>
      <w:r>
        <w:tab/>
        <w:t>(a)</w:t>
      </w:r>
      <w:r>
        <w:tab/>
        <w:t>a record in which there shall be recorded in respect of all tickets obtained by the licensed supplier —</w:t>
      </w:r>
    </w:p>
    <w:p>
      <w:pPr>
        <w:pStyle w:val="Indenti"/>
      </w:pPr>
      <w:r>
        <w:tab/>
        <w:t>(i)</w:t>
      </w:r>
      <w:r>
        <w:tab/>
        <w:t>the name of the person from whom the tickets were obtained; and</w:t>
      </w:r>
    </w:p>
    <w:p>
      <w:pPr>
        <w:pStyle w:val="Indenti"/>
      </w:pPr>
      <w:r>
        <w:tab/>
        <w:t>(ii)</w:t>
      </w:r>
      <w:r>
        <w:tab/>
        <w:t>the day on which the tickets were obtained; and</w:t>
      </w:r>
    </w:p>
    <w:p>
      <w:pPr>
        <w:pStyle w:val="Indenti"/>
      </w:pPr>
      <w:r>
        <w:tab/>
        <w:t>(iii)</w:t>
      </w:r>
      <w:r>
        <w:tab/>
        <w:t>the number of batches obtained; and</w:t>
      </w:r>
    </w:p>
    <w:p>
      <w:pPr>
        <w:pStyle w:val="Indenti"/>
      </w:pPr>
      <w:r>
        <w:tab/>
        <w:t>(iv)</w:t>
      </w:r>
      <w:r>
        <w:tab/>
        <w:t>the number of tickets in each batch; and</w:t>
      </w:r>
    </w:p>
    <w:p>
      <w:pPr>
        <w:pStyle w:val="Indenti"/>
      </w:pPr>
      <w:r>
        <w:tab/>
        <w:t>(v)</w:t>
      </w:r>
      <w:r>
        <w:tab/>
        <w:t>the face value of the tickets in each batch; and</w:t>
      </w:r>
    </w:p>
    <w:p>
      <w:pPr>
        <w:pStyle w:val="Indenti"/>
      </w:pPr>
      <w:r>
        <w:tab/>
        <w:t>(vi)</w:t>
      </w:r>
      <w:r>
        <w:tab/>
        <w:t>the series number of the tickets in each batch;</w:t>
      </w:r>
    </w:p>
    <w:p>
      <w:pPr>
        <w:pStyle w:val="Indenta"/>
      </w:pPr>
      <w:r>
        <w:tab/>
      </w:r>
      <w:r>
        <w:tab/>
        <w:t>and</w:t>
      </w:r>
    </w:p>
    <w:p>
      <w:pPr>
        <w:pStyle w:val="Indenta"/>
      </w:pPr>
      <w:r>
        <w:tab/>
        <w:t>(b)</w:t>
      </w:r>
      <w:r>
        <w:tab/>
        <w:t>a record in which there shall be recorded in respect of all tickets supplied by the licensed supplier —</w:t>
      </w:r>
    </w:p>
    <w:p>
      <w:pPr>
        <w:pStyle w:val="Indenti"/>
      </w:pPr>
      <w:r>
        <w:tab/>
        <w:t>(i)</w:t>
      </w:r>
      <w:r>
        <w:tab/>
        <w:t>the name of the person to whom the tickets were supplied; and</w:t>
      </w:r>
    </w:p>
    <w:p>
      <w:pPr>
        <w:pStyle w:val="Indenti"/>
      </w:pPr>
      <w:r>
        <w:tab/>
        <w:t>(ii)</w:t>
      </w:r>
      <w:r>
        <w:tab/>
        <w:t>the day on which the tickets were supplied; and</w:t>
      </w:r>
    </w:p>
    <w:p>
      <w:pPr>
        <w:pStyle w:val="Indenti"/>
      </w:pPr>
      <w:r>
        <w:tab/>
        <w:t>(iii)</w:t>
      </w:r>
      <w:r>
        <w:tab/>
        <w:t>the number of batches supplied; and</w:t>
      </w:r>
    </w:p>
    <w:p>
      <w:pPr>
        <w:pStyle w:val="Indenti"/>
      </w:pPr>
      <w:r>
        <w:tab/>
        <w:t>(iv)</w:t>
      </w:r>
      <w:r>
        <w:tab/>
        <w:t>the number of tickets in each batch; and</w:t>
      </w:r>
    </w:p>
    <w:p>
      <w:pPr>
        <w:pStyle w:val="Indenti"/>
        <w:keepNext/>
      </w:pPr>
      <w:r>
        <w:tab/>
        <w:t>(v)</w:t>
      </w:r>
      <w:r>
        <w:tab/>
        <w:t>the face value of the tickets in each batch; and</w:t>
      </w:r>
    </w:p>
    <w:p>
      <w:pPr>
        <w:pStyle w:val="Indenti"/>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keepNext/>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28" w:name="_Toc524513947"/>
      <w:r>
        <w:rPr>
          <w:rStyle w:val="CharDivNo"/>
        </w:rPr>
        <w:t>Division 3</w:t>
      </w:r>
      <w:r>
        <w:rPr>
          <w:snapToGrid w:val="0"/>
        </w:rPr>
        <w:t> — </w:t>
      </w:r>
      <w:r>
        <w:rPr>
          <w:rStyle w:val="CharDivText"/>
        </w:rPr>
        <w:t>Permitted two</w:t>
      </w:r>
      <w:r>
        <w:rPr>
          <w:rStyle w:val="CharDivText"/>
        </w:rPr>
        <w:noBreakHyphen/>
        <w:t>up</w:t>
      </w:r>
      <w:bookmarkEnd w:id="28"/>
    </w:p>
    <w:p>
      <w:pPr>
        <w:pStyle w:val="Heading5"/>
        <w:spacing w:before="240"/>
        <w:rPr>
          <w:snapToGrid w:val="0"/>
        </w:rPr>
      </w:pPr>
      <w:bookmarkStart w:id="29" w:name="_Toc524513948"/>
      <w:r>
        <w:rPr>
          <w:rStyle w:val="CharSectno"/>
        </w:rPr>
        <w:t>16</w:t>
      </w:r>
      <w:r>
        <w:rPr>
          <w:snapToGrid w:val="0"/>
        </w:rPr>
        <w:t>.</w:t>
      </w:r>
      <w:r>
        <w:rPr>
          <w:snapToGrid w:val="0"/>
        </w:rPr>
        <w:tab/>
        <w:t>Financial information to be provided about games</w:t>
      </w:r>
      <w:bookmarkEnd w:id="29"/>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such further information as to the conduct of the game and the moneys involved as is requested.</w:t>
      </w:r>
    </w:p>
    <w:p>
      <w:pPr>
        <w:pStyle w:val="Subsection"/>
        <w:spacing w:before="180"/>
        <w:rPr>
          <w:snapToGrid w:val="0"/>
        </w:rPr>
      </w:pPr>
      <w:r>
        <w:rPr>
          <w:snapToGrid w:val="0"/>
        </w:rPr>
        <w:tab/>
        <w:t>(2)</w:t>
      </w:r>
      <w:r>
        <w:rPr>
          <w:snapToGrid w:val="0"/>
        </w:rPr>
        <w:tab/>
        <w:t>Within 14 days of conduct of a game to which section 80 applies, the committee of the club on behalf of which the permit relating to that game was issued</w:t>
      </w:r>
      <w:r>
        <w:t xml:space="preserve"> must give to the Commission a financial statement —</w:t>
      </w:r>
    </w:p>
    <w:p>
      <w:pPr>
        <w:pStyle w:val="Indenta"/>
      </w:pPr>
      <w:r>
        <w:tab/>
        <w:t>(a)</w:t>
      </w:r>
      <w:r>
        <w:tab/>
        <w:t>in the form, or substantially in the form, that is annexed to the permit; and</w:t>
      </w:r>
    </w:p>
    <w:p>
      <w:pPr>
        <w:pStyle w:val="Indenta"/>
      </w:pPr>
      <w:r>
        <w:tab/>
        <w:t>(b)</w:t>
      </w:r>
      <w:r>
        <w:tab/>
        <w:t>in accordance with any directions of the Commission which relate to that form.</w:t>
      </w:r>
    </w:p>
    <w:p>
      <w:pPr>
        <w:pStyle w:val="Subsection"/>
        <w:spacing w:before="180"/>
        <w:rPr>
          <w:snapToGrid w:val="0"/>
        </w:rPr>
      </w:pPr>
      <w:r>
        <w:rPr>
          <w:snapToGrid w:val="0"/>
        </w:rPr>
        <w:tab/>
        <w:t>(2a)</w:t>
      </w:r>
      <w:r>
        <w:rPr>
          <w:snapToGrid w:val="0"/>
        </w:rPr>
        <w:tab/>
        <w:t xml:space="preserve">Where a person to whom subregulation (1) applies fails to give the committee the information required to enable the committee to comply with subregulation (2), the committee </w:t>
      </w:r>
      <w:r>
        <w:t>must give</w:t>
      </w:r>
      <w:r>
        <w:rPr>
          <w:snapToGrid w:val="0"/>
        </w:rPr>
        <w:t xml:space="preserve">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as that officer or member of the Police Force may by notice in writing require.</w:t>
      </w:r>
    </w:p>
    <w:p>
      <w:pPr>
        <w:pStyle w:val="Footnotesection"/>
      </w:pPr>
      <w:r>
        <w:tab/>
        <w:t>[Regulation 16 amended in Gazette 28 Jun 1996 p. 3099; 16 May 1997 p. 2393; 1 Dec 2015 p. 4824.]</w:t>
      </w:r>
    </w:p>
    <w:p>
      <w:pPr>
        <w:pStyle w:val="Heading5"/>
        <w:rPr>
          <w:snapToGrid w:val="0"/>
        </w:rPr>
      </w:pPr>
      <w:bookmarkStart w:id="30" w:name="_Toc524513949"/>
      <w:r>
        <w:rPr>
          <w:rStyle w:val="CharSectno"/>
        </w:rPr>
        <w:t>17</w:t>
      </w:r>
      <w:r>
        <w:rPr>
          <w:snapToGrid w:val="0"/>
        </w:rPr>
        <w:t>.</w:t>
      </w:r>
      <w:r>
        <w:rPr>
          <w:snapToGrid w:val="0"/>
        </w:rPr>
        <w:tab/>
        <w:t>Suspending permit for game</w:t>
      </w:r>
      <w:bookmarkEnd w:id="30"/>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31" w:name="_Toc524513950"/>
      <w:r>
        <w:rPr>
          <w:rStyle w:val="CharSectno"/>
        </w:rPr>
        <w:t>17A</w:t>
      </w:r>
      <w:r>
        <w:t>.</w:t>
      </w:r>
      <w:r>
        <w:tab/>
        <w:t>Prescribed gaming equipment (Act s. 84(1))</w:t>
      </w:r>
      <w:bookmarkEnd w:id="31"/>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pPr>
      <w:r>
        <w:tab/>
        <w:t>[Regulation 17A inserted in Gazette 30 Jan 2004 p. 402.]</w:t>
      </w:r>
    </w:p>
    <w:p>
      <w:pPr>
        <w:pStyle w:val="Heading3"/>
        <w:keepLines/>
      </w:pPr>
      <w:bookmarkStart w:id="32" w:name="_Toc524513951"/>
      <w:r>
        <w:rPr>
          <w:rStyle w:val="CharDivNo"/>
        </w:rPr>
        <w:t>Division 4</w:t>
      </w:r>
      <w:r>
        <w:rPr>
          <w:snapToGrid w:val="0"/>
        </w:rPr>
        <w:t> — </w:t>
      </w:r>
      <w:r>
        <w:rPr>
          <w:rStyle w:val="CharDivText"/>
        </w:rPr>
        <w:t>Gaming machines and other equipment</w:t>
      </w:r>
      <w:bookmarkEnd w:id="32"/>
    </w:p>
    <w:p>
      <w:pPr>
        <w:pStyle w:val="Heading5"/>
        <w:rPr>
          <w:snapToGrid w:val="0"/>
        </w:rPr>
      </w:pPr>
      <w:bookmarkStart w:id="33" w:name="_Toc524513952"/>
      <w:r>
        <w:rPr>
          <w:rStyle w:val="CharSectno"/>
        </w:rPr>
        <w:t>18</w:t>
      </w:r>
      <w:r>
        <w:rPr>
          <w:snapToGrid w:val="0"/>
        </w:rPr>
        <w:t>.</w:t>
      </w:r>
      <w:r>
        <w:rPr>
          <w:snapToGrid w:val="0"/>
        </w:rPr>
        <w:tab/>
        <w:t>Records etc. to be kept etc. by persons renting equipment from others</w:t>
      </w:r>
      <w:bookmarkEnd w:id="33"/>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34" w:name="_Toc524513953"/>
      <w:r>
        <w:rPr>
          <w:rStyle w:val="CharSectno"/>
        </w:rPr>
        <w:t>18A</w:t>
      </w:r>
      <w:r>
        <w:rPr>
          <w:snapToGrid w:val="0"/>
        </w:rPr>
        <w:t>.</w:t>
      </w:r>
      <w:r>
        <w:rPr>
          <w:snapToGrid w:val="0"/>
        </w:rPr>
        <w:tab/>
        <w:t>Skilltester, Merchandiser and similar machines, possession etc. of</w:t>
      </w:r>
      <w:bookmarkEnd w:id="34"/>
    </w:p>
    <w:p>
      <w:pPr>
        <w:pStyle w:val="Subsection"/>
        <w:spacing w:before="120"/>
        <w:rPr>
          <w:snapToGrid w:val="0"/>
        </w:rPr>
      </w:pPr>
      <w:r>
        <w:rPr>
          <w:snapToGrid w:val="0"/>
        </w:rPr>
        <w:tab/>
        <w:t>(1)</w:t>
      </w:r>
      <w:r>
        <w:rPr>
          <w:snapToGrid w:val="0"/>
        </w:rPr>
        <w:tab/>
        <w:t>The possession or use of a gaming machine that is —</w:t>
      </w:r>
    </w:p>
    <w:p>
      <w:pPr>
        <w:pStyle w:val="Indenta"/>
        <w:spacing w:before="60"/>
        <w:rPr>
          <w:snapToGrid w:val="0"/>
        </w:rPr>
      </w:pPr>
      <w:r>
        <w:rPr>
          <w:snapToGrid w:val="0"/>
        </w:rPr>
        <w:tab/>
        <w:t>(a)</w:t>
      </w:r>
      <w:r>
        <w:rPr>
          <w:snapToGrid w:val="0"/>
        </w:rPr>
        <w:tab/>
        <w:t>a machine of the kind generally known or described as a “Skilltester” or “Merchandiser” machine; or</w:t>
      </w:r>
    </w:p>
    <w:p>
      <w:pPr>
        <w:pStyle w:val="Indenta"/>
        <w:spacing w:before="60"/>
        <w:rPr>
          <w:snapToGrid w:val="0"/>
        </w:rPr>
      </w:pPr>
      <w:r>
        <w:rPr>
          <w:snapToGrid w:val="0"/>
        </w:rPr>
        <w:tab/>
        <w:t>(b)</w:t>
      </w:r>
      <w:r>
        <w:rPr>
          <w:snapToGrid w:val="0"/>
        </w:rPr>
        <w:tab/>
        <w:t>a display case machine containing prizes that is in the nature of, or similar to a machine referred to in paragraph (a); or</w:t>
      </w:r>
    </w:p>
    <w:p>
      <w:pPr>
        <w:pStyle w:val="Indenta"/>
        <w:spacing w:before="60"/>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spacing w:before="120"/>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spacing w:before="60"/>
        <w:rPr>
          <w:snapToGrid w:val="0"/>
        </w:rPr>
      </w:pPr>
      <w:r>
        <w:rPr>
          <w:snapToGrid w:val="0"/>
        </w:rPr>
        <w:tab/>
        <w:t>(a)</w:t>
      </w:r>
      <w:r>
        <w:rPr>
          <w:snapToGrid w:val="0"/>
        </w:rPr>
        <w:tab/>
        <w:t>an amusement centre; or</w:t>
      </w:r>
    </w:p>
    <w:p>
      <w:pPr>
        <w:pStyle w:val="Indenta"/>
        <w:spacing w:before="60"/>
        <w:rPr>
          <w:snapToGrid w:val="0"/>
        </w:rPr>
      </w:pPr>
      <w:r>
        <w:rPr>
          <w:snapToGrid w:val="0"/>
        </w:rPr>
        <w:tab/>
        <w:t>(b)</w:t>
      </w:r>
      <w:r>
        <w:rPr>
          <w:snapToGrid w:val="0"/>
        </w:rPr>
        <w:tab/>
        <w:t>an arcade; or</w:t>
      </w:r>
    </w:p>
    <w:p>
      <w:pPr>
        <w:pStyle w:val="Indenta"/>
        <w:spacing w:before="60"/>
        <w:rPr>
          <w:snapToGrid w:val="0"/>
        </w:rPr>
      </w:pPr>
      <w:r>
        <w:rPr>
          <w:snapToGrid w:val="0"/>
        </w:rPr>
        <w:tab/>
        <w:t>(c)</w:t>
      </w:r>
      <w:r>
        <w:rPr>
          <w:snapToGrid w:val="0"/>
        </w:rPr>
        <w:tab/>
        <w:t>a shopping centre; or</w:t>
      </w:r>
    </w:p>
    <w:p>
      <w:pPr>
        <w:pStyle w:val="Indenta"/>
        <w:spacing w:before="60"/>
        <w:rPr>
          <w:snapToGrid w:val="0"/>
        </w:rPr>
      </w:pPr>
      <w:r>
        <w:rPr>
          <w:snapToGrid w:val="0"/>
        </w:rPr>
        <w:tab/>
        <w:t>(d)</w:t>
      </w:r>
      <w:r>
        <w:rPr>
          <w:snapToGrid w:val="0"/>
        </w:rPr>
        <w:tab/>
        <w:t>a mall; or</w:t>
      </w:r>
    </w:p>
    <w:p>
      <w:pPr>
        <w:pStyle w:val="Indenta"/>
        <w:spacing w:before="60"/>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pPr>
      <w:r>
        <w:tab/>
        <w:t>[Regulation 18A inserted in Gazette 22 Oct 1993 p. 5805</w:t>
      </w:r>
      <w:r>
        <w:noBreakHyphen/>
        <w:t>6; amended in Gazette 22 Apr 1994 p. 1710; 30 Jan 2004 p. 415.]</w:t>
      </w:r>
    </w:p>
    <w:p>
      <w:pPr>
        <w:pStyle w:val="Heading5"/>
        <w:rPr>
          <w:snapToGrid w:val="0"/>
        </w:rPr>
      </w:pPr>
      <w:bookmarkStart w:id="35" w:name="_Toc524513954"/>
      <w:r>
        <w:rPr>
          <w:rStyle w:val="CharSectno"/>
        </w:rPr>
        <w:t>18AA</w:t>
      </w:r>
      <w:r>
        <w:rPr>
          <w:snapToGrid w:val="0"/>
        </w:rPr>
        <w:t>.</w:t>
      </w:r>
      <w:r>
        <w:rPr>
          <w:snapToGrid w:val="0"/>
        </w:rPr>
        <w:tab/>
        <w:t>Video lottery terminals, possession etc. of</w:t>
      </w:r>
      <w:bookmarkEnd w:id="35"/>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36" w:name="_Toc524513955"/>
      <w:r>
        <w:rPr>
          <w:rStyle w:val="CharSectno"/>
        </w:rPr>
        <w:t>18B</w:t>
      </w:r>
      <w:r>
        <w:rPr>
          <w:snapToGrid w:val="0"/>
        </w:rPr>
        <w:t>.</w:t>
      </w:r>
      <w:r>
        <w:rPr>
          <w:snapToGrid w:val="0"/>
        </w:rPr>
        <w:tab/>
        <w:t>Machines that dispense vouchers, possession etc. of</w:t>
      </w:r>
      <w:bookmarkEnd w:id="36"/>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5"/>
      </w:pPr>
      <w:bookmarkStart w:id="37" w:name="_Toc524513956"/>
      <w:r>
        <w:rPr>
          <w:rStyle w:val="CharSectno"/>
        </w:rPr>
        <w:t>18C</w:t>
      </w:r>
      <w:r>
        <w:t>.</w:t>
      </w:r>
      <w:r>
        <w:tab/>
        <w:t>Possession of certain gaming machines on cruise ships</w:t>
      </w:r>
      <w:bookmarkEnd w:id="37"/>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PermNoteHeading"/>
      </w:pPr>
      <w:r>
        <w:tab/>
        <w:t>Note:</w:t>
      </w:r>
    </w:p>
    <w:p>
      <w:pPr>
        <w:pStyle w:val="PermNoteText"/>
      </w:pPr>
      <w:r>
        <w:tab/>
      </w:r>
      <w:r>
        <w:tab/>
        <w:t xml:space="preserve">The substantive criminal law of the State applies throughout the inner adjacent area for the State under the </w:t>
      </w:r>
      <w:r>
        <w:rPr>
          <w:i/>
        </w:rPr>
        <w:t>Crimes at Sea Act 2000</w:t>
      </w:r>
      <w:r>
        <w:t xml:space="preserve"> (</w:t>
      </w:r>
      <w:smartTag w:uri="urn:schemas-microsoft-com:office:smarttags" w:element="place">
        <w:smartTag w:uri="urn:schemas-microsoft-com:office:smarttags" w:element="State">
          <w:r>
            <w:t>Western Australia</w:t>
          </w:r>
        </w:smartTag>
      </w:smartTag>
      <w:r>
        <w:t xml:space="preserve">) and throughout the outer adjacent area for the State under the </w:t>
      </w:r>
      <w:r>
        <w:rPr>
          <w:i/>
        </w:rPr>
        <w:t>Crimes at Sea Act 2000</w:t>
      </w:r>
      <w:r>
        <w:t xml:space="preserve"> (Commonwealth).</w:t>
      </w:r>
    </w:p>
    <w:p>
      <w:pPr>
        <w:pStyle w:val="Footnotesection"/>
      </w:pPr>
      <w:r>
        <w:tab/>
        <w:t>[Regulation 18C inserted in Gazette 12 Aug 2011 p. 3249-50.]</w:t>
      </w:r>
    </w:p>
    <w:p>
      <w:pPr>
        <w:pStyle w:val="Heading3"/>
      </w:pPr>
      <w:bookmarkStart w:id="38" w:name="_Toc524513957"/>
      <w:r>
        <w:rPr>
          <w:rStyle w:val="CharDivNo"/>
        </w:rPr>
        <w:t>Division 5</w:t>
      </w:r>
      <w:r>
        <w:rPr>
          <w:snapToGrid w:val="0"/>
        </w:rPr>
        <w:t> — </w:t>
      </w:r>
      <w:r>
        <w:rPr>
          <w:rStyle w:val="CharDivText"/>
        </w:rPr>
        <w:t>Permitted bingo</w:t>
      </w:r>
      <w:bookmarkEnd w:id="38"/>
    </w:p>
    <w:p>
      <w:pPr>
        <w:pStyle w:val="Heading5"/>
        <w:rPr>
          <w:snapToGrid w:val="0"/>
        </w:rPr>
      </w:pPr>
      <w:bookmarkStart w:id="39" w:name="_Toc524513958"/>
      <w:r>
        <w:rPr>
          <w:rStyle w:val="CharSectno"/>
        </w:rPr>
        <w:t>19</w:t>
      </w:r>
      <w:r>
        <w:rPr>
          <w:snapToGrid w:val="0"/>
        </w:rPr>
        <w:t>.</w:t>
      </w:r>
      <w:r>
        <w:rPr>
          <w:snapToGrid w:val="0"/>
        </w:rPr>
        <w:tab/>
        <w:t>Rules for conducting bingo; rules to be displayed</w:t>
      </w:r>
      <w:bookmarkEnd w:id="39"/>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40" w:name="_Toc524513959"/>
      <w:r>
        <w:rPr>
          <w:rStyle w:val="CharSectno"/>
        </w:rPr>
        <w:t>20</w:t>
      </w:r>
      <w:r>
        <w:rPr>
          <w:snapToGrid w:val="0"/>
        </w:rPr>
        <w:t>.</w:t>
      </w:r>
      <w:r>
        <w:rPr>
          <w:snapToGrid w:val="0"/>
        </w:rPr>
        <w:tab/>
        <w:t>Bingo for senior citizens’ clubs, no fees payable for</w:t>
      </w:r>
      <w:bookmarkEnd w:id="40"/>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41" w:name="_Toc524513960"/>
      <w:r>
        <w:rPr>
          <w:rStyle w:val="CharSectno"/>
        </w:rPr>
        <w:t>21</w:t>
      </w:r>
      <w:r>
        <w:rPr>
          <w:snapToGrid w:val="0"/>
        </w:rPr>
        <w:t>.</w:t>
      </w:r>
      <w:r>
        <w:rPr>
          <w:snapToGrid w:val="0"/>
        </w:rPr>
        <w:tab/>
        <w:t>Percentage of receipts to be paid to Commission</w:t>
      </w:r>
      <w:bookmarkEnd w:id="41"/>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42" w:name="_Toc524513961"/>
      <w:r>
        <w:rPr>
          <w:rStyle w:val="CharSectno"/>
        </w:rPr>
        <w:t>21A</w:t>
      </w:r>
      <w:r>
        <w:rPr>
          <w:snapToGrid w:val="0"/>
        </w:rPr>
        <w:t>.</w:t>
      </w:r>
      <w:r>
        <w:rPr>
          <w:snapToGrid w:val="0"/>
        </w:rPr>
        <w:tab/>
        <w:t>Times and number of sessions</w:t>
      </w:r>
      <w:bookmarkEnd w:id="42"/>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43" w:name="_Toc524513962"/>
      <w:r>
        <w:rPr>
          <w:rStyle w:val="CharSectno"/>
        </w:rPr>
        <w:t>22</w:t>
      </w:r>
      <w:r>
        <w:rPr>
          <w:snapToGrid w:val="0"/>
        </w:rPr>
        <w:t>.</w:t>
      </w:r>
      <w:r>
        <w:rPr>
          <w:snapToGrid w:val="0"/>
        </w:rPr>
        <w:tab/>
        <w:t>Sessions of bingo</w:t>
      </w:r>
      <w:bookmarkEnd w:id="43"/>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44" w:name="_Toc524513963"/>
      <w:r>
        <w:rPr>
          <w:rStyle w:val="CharSectno"/>
        </w:rPr>
        <w:t>23</w:t>
      </w:r>
      <w:r>
        <w:rPr>
          <w:snapToGrid w:val="0"/>
        </w:rPr>
        <w:t>.</w:t>
      </w:r>
      <w:r>
        <w:rPr>
          <w:snapToGrid w:val="0"/>
        </w:rPr>
        <w:tab/>
        <w:t>Controllers of sessions, appointment and duties of</w:t>
      </w:r>
      <w:bookmarkEnd w:id="44"/>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45" w:name="_Toc524513964"/>
      <w:r>
        <w:rPr>
          <w:rStyle w:val="CharSectno"/>
        </w:rPr>
        <w:t>23A</w:t>
      </w:r>
      <w:r>
        <w:rPr>
          <w:snapToGrid w:val="0"/>
        </w:rPr>
        <w:t>.</w:t>
      </w:r>
      <w:r>
        <w:rPr>
          <w:snapToGrid w:val="0"/>
        </w:rPr>
        <w:tab/>
        <w:t>Advertising value of prizes prohibited</w:t>
      </w:r>
      <w:bookmarkEnd w:id="45"/>
    </w:p>
    <w:p>
      <w:pPr>
        <w:pStyle w:val="Subsection"/>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rPr>
          <w:snapToGrid w:val="0"/>
        </w:rPr>
      </w:pPr>
      <w:r>
        <w:rPr>
          <w:snapToGrid w:val="0"/>
        </w:rPr>
        <w:tab/>
        <w:t>(a)</w:t>
      </w:r>
      <w:r>
        <w:rPr>
          <w:snapToGrid w:val="0"/>
        </w:rPr>
        <w:tab/>
        <w:t>advertise or cause to be advertised; or</w:t>
      </w:r>
    </w:p>
    <w:p>
      <w:pPr>
        <w:pStyle w:val="Indenta"/>
        <w:rPr>
          <w:snapToGrid w:val="0"/>
        </w:rPr>
      </w:pPr>
      <w:r>
        <w:rPr>
          <w:snapToGrid w:val="0"/>
        </w:rPr>
        <w:tab/>
        <w:t>(b)</w:t>
      </w:r>
      <w:r>
        <w:rPr>
          <w:snapToGrid w:val="0"/>
        </w:rPr>
        <w:tab/>
        <w:t>announce or cause to be announced,</w:t>
      </w:r>
    </w:p>
    <w:p>
      <w:pPr>
        <w:pStyle w:val="Subsection"/>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pPr>
      <w:r>
        <w:tab/>
        <w:t>(2)</w:t>
      </w:r>
      <w:r>
        <w:tab/>
        <w:t>In this regulation —</w:t>
      </w:r>
    </w:p>
    <w:p>
      <w:pPr>
        <w:pStyle w:val="Defstart"/>
      </w:pPr>
      <w:r>
        <w:rPr>
          <w:b/>
        </w:rPr>
        <w:tab/>
      </w:r>
      <w:r>
        <w:rPr>
          <w:rStyle w:val="CharDefText"/>
        </w:rPr>
        <w:t>prize</w:t>
      </w:r>
      <w:r>
        <w:t xml:space="preserve"> includes a jackpot prize;</w:t>
      </w:r>
    </w:p>
    <w:p>
      <w:pPr>
        <w:pStyle w:val="Defstart"/>
      </w:pPr>
      <w:r>
        <w:rPr>
          <w:b/>
        </w:rPr>
        <w:tab/>
      </w:r>
      <w:r>
        <w:rPr>
          <w:rStyle w:val="CharDefText"/>
        </w:rPr>
        <w:t>value</w:t>
      </w:r>
      <w:r>
        <w:rPr>
          <w:bCs/>
        </w:rPr>
        <w:t>,</w:t>
      </w:r>
      <w:r>
        <w:t xml:space="preserve"> in relation to a prize, includes any projected value, estimated value or potential value of the prize.</w:t>
      </w:r>
    </w:p>
    <w:p>
      <w:pPr>
        <w:pStyle w:val="Footnotesection"/>
      </w:pPr>
      <w:r>
        <w:tab/>
        <w:t>[Regulation 23A inserted in Gazette 27 Feb 1991 p. 5068; amended in Gazette 22 Aug 2006 p. 3465</w:t>
      </w:r>
      <w:r>
        <w:noBreakHyphen/>
        <w:t>6.]</w:t>
      </w:r>
    </w:p>
    <w:p>
      <w:pPr>
        <w:pStyle w:val="Heading5"/>
        <w:rPr>
          <w:snapToGrid w:val="0"/>
        </w:rPr>
      </w:pPr>
      <w:bookmarkStart w:id="46" w:name="_Toc524513965"/>
      <w:r>
        <w:rPr>
          <w:rStyle w:val="CharSectno"/>
        </w:rPr>
        <w:t>24</w:t>
      </w:r>
      <w:r>
        <w:rPr>
          <w:snapToGrid w:val="0"/>
        </w:rPr>
        <w:t>.</w:t>
      </w:r>
      <w:r>
        <w:rPr>
          <w:snapToGrid w:val="0"/>
        </w:rPr>
        <w:tab/>
        <w:t>Prizes, permitted value of</w:t>
      </w:r>
      <w:bookmarkEnd w:id="46"/>
    </w:p>
    <w:p>
      <w:pPr>
        <w:pStyle w:val="Subsection"/>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NAm"/>
              <w:rPr>
                <w:b/>
                <w:bCs/>
                <w:sz w:val="22"/>
              </w:rPr>
            </w:pPr>
            <w:r>
              <w:rPr>
                <w:b/>
                <w:bCs/>
                <w:sz w:val="22"/>
              </w:rPr>
              <w:t>Gross receipts</w:t>
            </w:r>
          </w:p>
        </w:tc>
        <w:tc>
          <w:tcPr>
            <w:tcW w:w="2040" w:type="dxa"/>
            <w:tcBorders>
              <w:top w:val="single" w:sz="4" w:space="0" w:color="auto"/>
              <w:bottom w:val="single" w:sz="4" w:space="0" w:color="auto"/>
            </w:tcBorders>
          </w:tcPr>
          <w:p>
            <w:pPr>
              <w:pStyle w:val="TableNAm"/>
              <w:rPr>
                <w:b/>
                <w:bCs/>
                <w:sz w:val="22"/>
              </w:rPr>
            </w:pPr>
            <w:r>
              <w:rPr>
                <w:b/>
                <w:bCs/>
                <w:sz w:val="22"/>
              </w:rPr>
              <w:t>Total of prizes</w:t>
            </w:r>
          </w:p>
        </w:tc>
        <w:tc>
          <w:tcPr>
            <w:tcW w:w="1680" w:type="dxa"/>
            <w:tcBorders>
              <w:top w:val="single" w:sz="4" w:space="0" w:color="auto"/>
              <w:bottom w:val="single" w:sz="4" w:space="0" w:color="auto"/>
            </w:tcBorders>
          </w:tcPr>
          <w:p>
            <w:pPr>
              <w:pStyle w:val="TableNAm"/>
              <w:rPr>
                <w:b/>
                <w:bCs/>
                <w:sz w:val="22"/>
              </w:rPr>
            </w:pPr>
            <w:r>
              <w:rPr>
                <w:b/>
                <w:bCs/>
                <w:sz w:val="22"/>
              </w:rPr>
              <w:t>Permitted variation</w:t>
            </w:r>
          </w:p>
        </w:tc>
      </w:tr>
      <w:tr>
        <w:tc>
          <w:tcPr>
            <w:tcW w:w="2400" w:type="dxa"/>
            <w:tcBorders>
              <w:top w:val="single" w:sz="4" w:space="0" w:color="auto"/>
            </w:tcBorders>
          </w:tcPr>
          <w:p>
            <w:pPr>
              <w:pStyle w:val="TableNAm"/>
              <w:rPr>
                <w:sz w:val="22"/>
              </w:rPr>
            </w:pPr>
            <w:r>
              <w:rPr>
                <w:sz w:val="22"/>
              </w:rPr>
              <w:t>$3 000 and under</w:t>
            </w:r>
          </w:p>
        </w:tc>
        <w:tc>
          <w:tcPr>
            <w:tcW w:w="2040" w:type="dxa"/>
            <w:tcBorders>
              <w:top w:val="single" w:sz="4" w:space="0" w:color="auto"/>
            </w:tcBorders>
          </w:tcPr>
          <w:p>
            <w:pPr>
              <w:pStyle w:val="TableNAm"/>
              <w:rPr>
                <w:sz w:val="22"/>
              </w:rPr>
            </w:pPr>
            <w:r>
              <w:rPr>
                <w:sz w:val="22"/>
              </w:rPr>
              <w:t>no limit</w:t>
            </w:r>
          </w:p>
        </w:tc>
        <w:tc>
          <w:tcPr>
            <w:tcW w:w="1680" w:type="dxa"/>
            <w:tcBorders>
              <w:top w:val="single" w:sz="4" w:space="0" w:color="auto"/>
            </w:tcBorders>
          </w:tcPr>
          <w:p>
            <w:pPr>
              <w:pStyle w:val="TableNAm"/>
              <w:rPr>
                <w:sz w:val="22"/>
              </w:rPr>
            </w:pPr>
            <w:r>
              <w:rPr>
                <w:sz w:val="22"/>
              </w:rPr>
              <w:t>—</w:t>
            </w:r>
          </w:p>
        </w:tc>
      </w:tr>
      <w:tr>
        <w:tc>
          <w:tcPr>
            <w:tcW w:w="2400" w:type="dxa"/>
            <w:tcBorders>
              <w:bottom w:val="single" w:sz="4" w:space="0" w:color="auto"/>
            </w:tcBorders>
          </w:tcPr>
          <w:p>
            <w:pPr>
              <w:pStyle w:val="TableNAm"/>
              <w:rPr>
                <w:sz w:val="22"/>
              </w:rPr>
            </w:pPr>
            <w:r>
              <w:rPr>
                <w:sz w:val="22"/>
              </w:rPr>
              <w:t>$3 001 and above</w:t>
            </w:r>
          </w:p>
        </w:tc>
        <w:tc>
          <w:tcPr>
            <w:tcW w:w="2040" w:type="dxa"/>
            <w:tcBorders>
              <w:bottom w:val="single" w:sz="4" w:space="0" w:color="auto"/>
            </w:tcBorders>
          </w:tcPr>
          <w:p>
            <w:pPr>
              <w:pStyle w:val="TableNAm"/>
              <w:rPr>
                <w:sz w:val="22"/>
              </w:rPr>
            </w:pPr>
            <w:r>
              <w:rPr>
                <w:sz w:val="22"/>
              </w:rPr>
              <w:t>60%</w:t>
            </w:r>
          </w:p>
        </w:tc>
        <w:tc>
          <w:tcPr>
            <w:tcW w:w="1680" w:type="dxa"/>
            <w:tcBorders>
              <w:bottom w:val="single" w:sz="4" w:space="0" w:color="auto"/>
            </w:tcBorders>
          </w:tcPr>
          <w:p>
            <w:pPr>
              <w:pStyle w:val="TableNAm"/>
              <w:rPr>
                <w:sz w:val="22"/>
              </w:rPr>
            </w:pPr>
            <w:r>
              <w:rPr>
                <w:sz w:val="22"/>
              </w:rPr>
              <w:t>5%</w:t>
            </w:r>
          </w:p>
        </w:tc>
      </w:tr>
    </w:tbl>
    <w:p>
      <w:pPr>
        <w:pStyle w:val="Subsection"/>
        <w:keepNext/>
      </w:pPr>
      <w:r>
        <w:tab/>
        <w:t>(2)</w:t>
      </w:r>
      <w:r>
        <w:tab/>
        <w:t>If —</w:t>
      </w:r>
    </w:p>
    <w:p>
      <w:pPr>
        <w:pStyle w:val="Indenta"/>
      </w:pPr>
      <w:r>
        <w:tab/>
        <w:t>(a)</w:t>
      </w:r>
      <w:r>
        <w:tab/>
        <w:t>a jackpot prize is offered at a session of bingo; and</w:t>
      </w:r>
    </w:p>
    <w:p>
      <w:pPr>
        <w:pStyle w:val="Indenta"/>
        <w:keepNext/>
        <w:keepLines/>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47" w:name="_Toc524513966"/>
      <w:r>
        <w:rPr>
          <w:rStyle w:val="CharSectno"/>
        </w:rPr>
        <w:t>25</w:t>
      </w:r>
      <w:r>
        <w:rPr>
          <w:snapToGrid w:val="0"/>
        </w:rPr>
        <w:t>.</w:t>
      </w:r>
      <w:r>
        <w:rPr>
          <w:snapToGrid w:val="0"/>
        </w:rPr>
        <w:tab/>
        <w:t>Expenses, maximum and calculation of</w:t>
      </w:r>
      <w:bookmarkEnd w:id="47"/>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keepNext/>
      </w:pPr>
      <w:r>
        <w:tab/>
        <w:t>(2a)</w:t>
      </w:r>
      <w:r>
        <w:tab/>
        <w:t>If —</w:t>
      </w:r>
    </w:p>
    <w:p>
      <w:pPr>
        <w:pStyle w:val="Indenta"/>
        <w:spacing w:before="60"/>
      </w:pPr>
      <w:r>
        <w:tab/>
        <w:t>(a)</w:t>
      </w:r>
      <w:r>
        <w:tab/>
        <w:t>a jackpot prize is offered at a session of bingo; and</w:t>
      </w:r>
    </w:p>
    <w:p>
      <w:pPr>
        <w:pStyle w:val="Indenta"/>
        <w:spacing w:before="6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spacing w:before="60"/>
      </w:pPr>
      <w:r>
        <w:tab/>
        <w:t>(c)</w:t>
      </w:r>
      <w:r>
        <w:tab/>
        <w:t>in the total retail value of incentives; or</w:t>
      </w:r>
    </w:p>
    <w:p>
      <w:pPr>
        <w:pStyle w:val="Indenta"/>
        <w:spacing w:before="60"/>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spacing w:before="60"/>
      </w:pPr>
      <w:r>
        <w:tab/>
        <w:t>(a)</w:t>
      </w:r>
      <w:r>
        <w:tab/>
        <w:t>receipts from bingo;</w:t>
      </w:r>
    </w:p>
    <w:p>
      <w:pPr>
        <w:pStyle w:val="Indenta"/>
        <w:keepNext/>
        <w:keepLines/>
        <w:spacing w:before="60"/>
      </w:pPr>
      <w:r>
        <w:tab/>
        <w:t>(b)</w:t>
      </w:r>
      <w:r>
        <w:tab/>
        <w:t>receipts from any —</w:t>
      </w:r>
    </w:p>
    <w:p>
      <w:pPr>
        <w:pStyle w:val="Indenti"/>
        <w:spacing w:before="60"/>
      </w:pPr>
      <w:r>
        <w:tab/>
        <w:t>(i)</w:t>
      </w:r>
      <w:r>
        <w:tab/>
        <w:t>continuing lottery; or</w:t>
      </w:r>
    </w:p>
    <w:p>
      <w:pPr>
        <w:pStyle w:val="Indenti"/>
        <w:spacing w:before="60"/>
      </w:pPr>
      <w:r>
        <w:tab/>
        <w:t>(ii)</w:t>
      </w:r>
      <w:r>
        <w:tab/>
        <w:t>lottery deemed to be permitted under section 103,</w:t>
      </w:r>
    </w:p>
    <w:p>
      <w:pPr>
        <w:pStyle w:val="Indenta"/>
        <w:spacing w:before="60"/>
      </w:pPr>
      <w:r>
        <w:tab/>
      </w:r>
      <w:r>
        <w:tab/>
        <w:t>that is conducted at or in connection with a session of bingo.</w:t>
      </w:r>
    </w:p>
    <w:p>
      <w:pPr>
        <w:pStyle w:val="Footnotesection"/>
      </w:pPr>
      <w:r>
        <w:tab/>
        <w:t>[Regulation 25 inserted in Gazette 6 Apr 1990 p. 1768; amended in Gazette 22 Aug 2006 p. 3466</w:t>
      </w:r>
      <w:r>
        <w:noBreakHyphen/>
        <w:t>7.]</w:t>
      </w:r>
    </w:p>
    <w:p>
      <w:pPr>
        <w:pStyle w:val="Heading5"/>
        <w:rPr>
          <w:snapToGrid w:val="0"/>
        </w:rPr>
      </w:pPr>
      <w:bookmarkStart w:id="48" w:name="_Toc524513967"/>
      <w:r>
        <w:rPr>
          <w:rStyle w:val="CharSectno"/>
        </w:rPr>
        <w:t>26</w:t>
      </w:r>
      <w:r>
        <w:rPr>
          <w:snapToGrid w:val="0"/>
        </w:rPr>
        <w:t>.</w:t>
      </w:r>
      <w:r>
        <w:rPr>
          <w:snapToGrid w:val="0"/>
        </w:rPr>
        <w:tab/>
        <w:t>Playing other games of chance at bingo premises</w:t>
      </w:r>
      <w:bookmarkEnd w:id="48"/>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spacing w:before="60"/>
        <w:rPr>
          <w:snapToGrid w:val="0"/>
        </w:rPr>
      </w:pPr>
      <w:r>
        <w:rPr>
          <w:snapToGrid w:val="0"/>
        </w:rPr>
        <w:tab/>
        <w:t>(a)</w:t>
      </w:r>
      <w:r>
        <w:rPr>
          <w:snapToGrid w:val="0"/>
        </w:rPr>
        <w:tab/>
      </w:r>
      <w:r>
        <w:t xml:space="preserve">a </w:t>
      </w:r>
      <w:r>
        <w:rPr>
          <w:snapToGrid w:val="0"/>
        </w:rPr>
        <w:t>continuing lottery;</w:t>
      </w:r>
    </w:p>
    <w:p>
      <w:pPr>
        <w:pStyle w:val="Indenta"/>
        <w:spacing w:before="60"/>
        <w:rPr>
          <w:snapToGrid w:val="0"/>
        </w:rPr>
      </w:pPr>
      <w:r>
        <w:rPr>
          <w:snapToGrid w:val="0"/>
        </w:rPr>
        <w:tab/>
        <w:t>(b)</w:t>
      </w:r>
      <w:r>
        <w:rPr>
          <w:snapToGrid w:val="0"/>
        </w:rPr>
        <w:tab/>
        <w:t>a lottery deemed to be permitted under section 103;</w:t>
      </w:r>
    </w:p>
    <w:p>
      <w:pPr>
        <w:pStyle w:val="Indenta"/>
        <w:spacing w:before="60"/>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spacing w:before="140"/>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spacing w:before="60"/>
        <w:rPr>
          <w:snapToGrid w:val="0"/>
        </w:rPr>
      </w:pPr>
      <w:r>
        <w:rPr>
          <w:snapToGrid w:val="0"/>
        </w:rPr>
        <w:tab/>
        <w:t>(a)</w:t>
      </w:r>
      <w:r>
        <w:rPr>
          <w:snapToGrid w:val="0"/>
        </w:rPr>
        <w:tab/>
        <w:t>the gross receipts for each such lottery; and</w:t>
      </w:r>
    </w:p>
    <w:p>
      <w:pPr>
        <w:pStyle w:val="Indenta"/>
        <w:keepNext/>
        <w:spacing w:before="60"/>
        <w:rPr>
          <w:snapToGrid w:val="0"/>
        </w:rPr>
      </w:pPr>
      <w:r>
        <w:rPr>
          <w:snapToGrid w:val="0"/>
        </w:rPr>
        <w:tab/>
        <w:t>(b)</w:t>
      </w:r>
      <w:r>
        <w:rPr>
          <w:snapToGrid w:val="0"/>
        </w:rPr>
        <w:tab/>
        <w:t>the amount of prizes awarded for each such lottery.</w:t>
      </w:r>
    </w:p>
    <w:p>
      <w:pPr>
        <w:pStyle w:val="Footnotesection"/>
        <w:spacing w:before="100"/>
      </w:pPr>
      <w:r>
        <w:tab/>
        <w:t>[Regulation 26 inserted in Gazette 6 Apr 1990 p. 1768</w:t>
      </w:r>
      <w:r>
        <w:noBreakHyphen/>
        <w:t>9; amended in Gazette 22 Aug 2006 p. 3467.]</w:t>
      </w:r>
    </w:p>
    <w:p>
      <w:pPr>
        <w:pStyle w:val="Heading3"/>
      </w:pPr>
      <w:bookmarkStart w:id="49" w:name="_Toc524513968"/>
      <w:r>
        <w:rPr>
          <w:rStyle w:val="CharDivNo"/>
        </w:rPr>
        <w:t>Division 6</w:t>
      </w:r>
      <w:r>
        <w:rPr>
          <w:snapToGrid w:val="0"/>
        </w:rPr>
        <w:t> — </w:t>
      </w:r>
      <w:r>
        <w:rPr>
          <w:rStyle w:val="CharDivText"/>
        </w:rPr>
        <w:t>Lotteries, etc.</w:t>
      </w:r>
      <w:bookmarkEnd w:id="49"/>
    </w:p>
    <w:p>
      <w:pPr>
        <w:pStyle w:val="Heading4"/>
        <w:spacing w:before="220"/>
        <w:rPr>
          <w:snapToGrid w:val="0"/>
        </w:rPr>
      </w:pPr>
      <w:bookmarkStart w:id="50" w:name="_Toc524513969"/>
      <w:r>
        <w:rPr>
          <w:snapToGrid w:val="0"/>
        </w:rPr>
        <w:t>Subdivision 1 — Standard lotteries</w:t>
      </w:r>
      <w:bookmarkEnd w:id="50"/>
    </w:p>
    <w:p>
      <w:pPr>
        <w:pStyle w:val="Footnoteheading"/>
      </w:pPr>
      <w:r>
        <w:tab/>
        <w:t>[Heading amended in Gazette 6 Sep 2016 p. 3833.]</w:t>
      </w:r>
    </w:p>
    <w:p>
      <w:pPr>
        <w:pStyle w:val="Heading5"/>
        <w:rPr>
          <w:snapToGrid w:val="0"/>
        </w:rPr>
      </w:pPr>
      <w:bookmarkStart w:id="51" w:name="_Toc524513970"/>
      <w:r>
        <w:rPr>
          <w:rStyle w:val="CharSectno"/>
        </w:rPr>
        <w:t>27</w:t>
      </w:r>
      <w:r>
        <w:rPr>
          <w:snapToGrid w:val="0"/>
        </w:rPr>
        <w:t>.</w:t>
      </w:r>
      <w:r>
        <w:rPr>
          <w:snapToGrid w:val="0"/>
        </w:rPr>
        <w:tab/>
        <w:t>Rules for conducting standard lottery</w:t>
      </w:r>
      <w:bookmarkEnd w:id="51"/>
    </w:p>
    <w:p>
      <w:pPr>
        <w:pStyle w:val="Subsection"/>
        <w:spacing w:before="14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52" w:name="_Toc524513971"/>
      <w:r>
        <w:rPr>
          <w:rStyle w:val="CharSectno"/>
        </w:rPr>
        <w:t>28</w:t>
      </w:r>
      <w:r>
        <w:rPr>
          <w:snapToGrid w:val="0"/>
        </w:rPr>
        <w:t>.</w:t>
      </w:r>
      <w:r>
        <w:rPr>
          <w:snapToGrid w:val="0"/>
        </w:rPr>
        <w:tab/>
        <w:t>Conditions relating to standard lottery</w:t>
      </w:r>
      <w:bookmarkEnd w:id="52"/>
    </w:p>
    <w:p>
      <w:pPr>
        <w:pStyle w:val="Subsection"/>
        <w:spacing w:before="140"/>
        <w:rPr>
          <w:snapToGrid w:val="0"/>
        </w:rPr>
      </w:pPr>
      <w:r>
        <w:rPr>
          <w:snapToGrid w:val="0"/>
        </w:rPr>
        <w:tab/>
      </w:r>
      <w:r>
        <w:rPr>
          <w:snapToGrid w:val="0"/>
        </w:rPr>
        <w:tab/>
        <w:t>A permit for a standard lottery shall contain conditions limiting —</w:t>
      </w:r>
    </w:p>
    <w:p>
      <w:pPr>
        <w:pStyle w:val="Indenta"/>
        <w:spacing w:before="60"/>
        <w:rPr>
          <w:snapToGrid w:val="0"/>
        </w:rPr>
      </w:pPr>
      <w:r>
        <w:rPr>
          <w:snapToGrid w:val="0"/>
        </w:rPr>
        <w:tab/>
        <w:t>(a)</w:t>
      </w:r>
      <w:r>
        <w:rPr>
          <w:snapToGrid w:val="0"/>
        </w:rPr>
        <w:tab/>
        <w:t>the total number of —</w:t>
      </w:r>
    </w:p>
    <w:p>
      <w:pPr>
        <w:pStyle w:val="Indenti"/>
        <w:spacing w:before="60"/>
        <w:rPr>
          <w:snapToGrid w:val="0"/>
        </w:rPr>
      </w:pPr>
      <w:r>
        <w:rPr>
          <w:snapToGrid w:val="0"/>
        </w:rPr>
        <w:tab/>
        <w:t>(i)</w:t>
      </w:r>
      <w:r>
        <w:rPr>
          <w:snapToGrid w:val="0"/>
        </w:rPr>
        <w:tab/>
        <w:t>chances which may be offered for sale; or</w:t>
      </w:r>
    </w:p>
    <w:p>
      <w:pPr>
        <w:pStyle w:val="Indenti"/>
        <w:spacing w:before="60"/>
        <w:rPr>
          <w:snapToGrid w:val="0"/>
        </w:rPr>
      </w:pPr>
      <w:r>
        <w:rPr>
          <w:snapToGrid w:val="0"/>
        </w:rPr>
        <w:tab/>
        <w:t>(ii)</w:t>
      </w:r>
      <w:r>
        <w:rPr>
          <w:snapToGrid w:val="0"/>
        </w:rPr>
        <w:tab/>
        <w:t>subscriptions which may be received;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price of each chance or subscription; and</w:t>
      </w:r>
    </w:p>
    <w:p>
      <w:pPr>
        <w:pStyle w:val="Indenta"/>
        <w:spacing w:before="60"/>
        <w:rPr>
          <w:snapToGrid w:val="0"/>
        </w:rPr>
      </w:pPr>
      <w:r>
        <w:rPr>
          <w:snapToGrid w:val="0"/>
        </w:rPr>
        <w:tab/>
        <w:t>(c)</w:t>
      </w:r>
      <w:r>
        <w:rPr>
          <w:snapToGrid w:val="0"/>
        </w:rPr>
        <w:tab/>
        <w:t>the dates between which chances may be sold or subscriptions called; and</w:t>
      </w:r>
    </w:p>
    <w:p>
      <w:pPr>
        <w:pStyle w:val="Indenta"/>
        <w:spacing w:before="60"/>
        <w:rPr>
          <w:snapToGrid w:val="0"/>
        </w:rPr>
      </w:pPr>
      <w:r>
        <w:rPr>
          <w:snapToGrid w:val="0"/>
        </w:rPr>
        <w:tab/>
        <w:t>(d)</w:t>
      </w:r>
      <w:r>
        <w:rPr>
          <w:snapToGrid w:val="0"/>
        </w:rPr>
        <w:tab/>
        <w:t>the maximum retail value of prizes or amount of prize money which may be distributed and offered.</w:t>
      </w:r>
    </w:p>
    <w:p>
      <w:pPr>
        <w:pStyle w:val="Footnotesection"/>
        <w:spacing w:before="100"/>
      </w:pPr>
      <w:r>
        <w:tab/>
        <w:t>[Regulation 28 amended in Gazette 11 May 1993 p. 2397.]</w:t>
      </w:r>
    </w:p>
    <w:p>
      <w:pPr>
        <w:pStyle w:val="Ednotesection"/>
      </w:pPr>
      <w:r>
        <w:t>[</w:t>
      </w:r>
      <w:r>
        <w:rPr>
          <w:b/>
        </w:rPr>
        <w:t>28A, 28B.</w:t>
      </w:r>
      <w:r>
        <w:tab/>
        <w:t>Deleted in Gazette 6 Jul 1993 p. 3312.]</w:t>
      </w:r>
    </w:p>
    <w:p>
      <w:pPr>
        <w:pStyle w:val="Heading5"/>
        <w:rPr>
          <w:snapToGrid w:val="0"/>
        </w:rPr>
      </w:pPr>
      <w:bookmarkStart w:id="53" w:name="_Toc524513972"/>
      <w:r>
        <w:rPr>
          <w:rStyle w:val="CharSectno"/>
        </w:rPr>
        <w:t>28C</w:t>
      </w:r>
      <w:r>
        <w:rPr>
          <w:snapToGrid w:val="0"/>
        </w:rPr>
        <w:t>.</w:t>
      </w:r>
      <w:r>
        <w:rPr>
          <w:snapToGrid w:val="0"/>
        </w:rPr>
        <w:tab/>
        <w:t>Lottery tickets etc. not to be sent etc. to persons for sale etc. without their consent</w:t>
      </w:r>
      <w:bookmarkEnd w:id="53"/>
      <w:r>
        <w:rPr>
          <w:snapToGrid w:val="0"/>
        </w:rPr>
        <w:t xml:space="preserve"> </w:t>
      </w:r>
    </w:p>
    <w:p>
      <w:pPr>
        <w:pStyle w:val="Subsection"/>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rPr>
          <w:snapToGrid w:val="0"/>
        </w:rPr>
      </w:pPr>
      <w:bookmarkStart w:id="54" w:name="_Toc524513973"/>
      <w:r>
        <w:rPr>
          <w:rStyle w:val="CharSectno"/>
        </w:rPr>
        <w:t>29</w:t>
      </w:r>
      <w:r>
        <w:rPr>
          <w:snapToGrid w:val="0"/>
        </w:rPr>
        <w:t>.</w:t>
      </w:r>
      <w:r>
        <w:rPr>
          <w:snapToGrid w:val="0"/>
        </w:rPr>
        <w:tab/>
        <w:t>When standard lottery must be drawn</w:t>
      </w:r>
      <w:bookmarkEnd w:id="54"/>
    </w:p>
    <w:p>
      <w:pPr>
        <w:pStyle w:val="Subsection"/>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spacing w:before="100"/>
      </w:pPr>
      <w:r>
        <w:tab/>
        <w:t>[Regulation 29 inserted in Gazette 11 May 1993 p. 2398; amended in Gazette 23 Feb 1996 p. 674.]</w:t>
      </w:r>
    </w:p>
    <w:p>
      <w:pPr>
        <w:pStyle w:val="Heading5"/>
        <w:rPr>
          <w:snapToGrid w:val="0"/>
        </w:rPr>
      </w:pPr>
      <w:bookmarkStart w:id="55" w:name="_Toc524513974"/>
      <w:r>
        <w:rPr>
          <w:rStyle w:val="CharSectno"/>
        </w:rPr>
        <w:t>30</w:t>
      </w:r>
      <w:r>
        <w:rPr>
          <w:snapToGrid w:val="0"/>
        </w:rPr>
        <w:t>.</w:t>
      </w:r>
      <w:r>
        <w:rPr>
          <w:snapToGrid w:val="0"/>
        </w:rPr>
        <w:tab/>
        <w:t>Unclaimed prizes in standard lotteries</w:t>
      </w:r>
      <w:bookmarkEnd w:id="55"/>
    </w:p>
    <w:p>
      <w:pPr>
        <w:pStyle w:val="Subsection"/>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56" w:name="_Toc524513975"/>
      <w:r>
        <w:rPr>
          <w:rStyle w:val="CharSectno"/>
        </w:rPr>
        <w:t>30A</w:t>
      </w:r>
      <w:r>
        <w:rPr>
          <w:snapToGrid w:val="0"/>
        </w:rPr>
        <w:t>.</w:t>
      </w:r>
      <w:r>
        <w:rPr>
          <w:snapToGrid w:val="0"/>
        </w:rPr>
        <w:tab/>
        <w:t>Prizes from donor organizations</w:t>
      </w:r>
      <w:bookmarkEnd w:id="56"/>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57" w:name="_Toc524513976"/>
      <w:r>
        <w:rPr>
          <w:rStyle w:val="CharSectno"/>
        </w:rPr>
        <w:t>30B</w:t>
      </w:r>
      <w:r>
        <w:rPr>
          <w:snapToGrid w:val="0"/>
        </w:rPr>
        <w:t>.</w:t>
      </w:r>
      <w:r>
        <w:rPr>
          <w:snapToGrid w:val="0"/>
        </w:rPr>
        <w:tab/>
        <w:t>Body not to buy ticket etc. in its own lottery</w:t>
      </w:r>
      <w:bookmarkEnd w:id="57"/>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58" w:name="_Toc524513977"/>
      <w:r>
        <w:rPr>
          <w:rStyle w:val="CharSectno"/>
        </w:rPr>
        <w:t>31</w:t>
      </w:r>
      <w:r>
        <w:rPr>
          <w:snapToGrid w:val="0"/>
        </w:rPr>
        <w:t>.</w:t>
      </w:r>
      <w:r>
        <w:rPr>
          <w:snapToGrid w:val="0"/>
        </w:rPr>
        <w:tab/>
        <w:t>Small private lotteries (Act s. 103)</w:t>
      </w:r>
      <w:bookmarkEnd w:id="58"/>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w:t>
      </w:r>
      <w:r>
        <w:noBreakHyphen/>
        <w:t>8.]</w:t>
      </w:r>
    </w:p>
    <w:p>
      <w:pPr>
        <w:pStyle w:val="Heading4"/>
        <w:rPr>
          <w:snapToGrid w:val="0"/>
        </w:rPr>
      </w:pPr>
      <w:bookmarkStart w:id="59" w:name="_Toc524513978"/>
      <w:r>
        <w:rPr>
          <w:snapToGrid w:val="0"/>
        </w:rPr>
        <w:t>Subdivision 2 — Continuing lotteries</w:t>
      </w:r>
      <w:bookmarkEnd w:id="59"/>
    </w:p>
    <w:p>
      <w:pPr>
        <w:pStyle w:val="Footnoteheading"/>
      </w:pPr>
      <w:r>
        <w:tab/>
        <w:t>[Heading amended in Gazette 6 Sep 2016 p. 3833.]</w:t>
      </w:r>
    </w:p>
    <w:p>
      <w:pPr>
        <w:pStyle w:val="Heading5"/>
        <w:rPr>
          <w:snapToGrid w:val="0"/>
        </w:rPr>
      </w:pPr>
      <w:bookmarkStart w:id="60" w:name="_Toc524513979"/>
      <w:r>
        <w:rPr>
          <w:rStyle w:val="CharSectno"/>
        </w:rPr>
        <w:t>32</w:t>
      </w:r>
      <w:r>
        <w:rPr>
          <w:snapToGrid w:val="0"/>
        </w:rPr>
        <w:t>.</w:t>
      </w:r>
      <w:r>
        <w:rPr>
          <w:snapToGrid w:val="0"/>
        </w:rPr>
        <w:tab/>
        <w:t>Rules for conducting continuing lotteries</w:t>
      </w:r>
      <w:bookmarkEnd w:id="60"/>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61" w:name="_Toc524513980"/>
      <w:r>
        <w:rPr>
          <w:rStyle w:val="CharSectno"/>
        </w:rPr>
        <w:t>33</w:t>
      </w:r>
      <w:r>
        <w:rPr>
          <w:snapToGrid w:val="0"/>
        </w:rPr>
        <w:t>.</w:t>
      </w:r>
      <w:r>
        <w:rPr>
          <w:snapToGrid w:val="0"/>
        </w:rPr>
        <w:tab/>
        <w:t>Conditions relating to continuing lottery</w:t>
      </w:r>
      <w:bookmarkEnd w:id="61"/>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that all tickets offered for sale in that lottery are obtained from a person who is a licensed</w:t>
      </w:r>
      <w:r>
        <w:t xml:space="preserve"> supplier;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Footnotesection"/>
      </w:pPr>
      <w:r>
        <w:tab/>
        <w:t>[Regulation 33 amended in Gazette 1 Dec 2015 p. 4824.]</w:t>
      </w:r>
    </w:p>
    <w:p>
      <w:pPr>
        <w:pStyle w:val="Heading5"/>
        <w:rPr>
          <w:snapToGrid w:val="0"/>
        </w:rPr>
      </w:pPr>
      <w:bookmarkStart w:id="62" w:name="_Toc524513981"/>
      <w:r>
        <w:rPr>
          <w:rStyle w:val="CharSectno"/>
        </w:rPr>
        <w:t>34</w:t>
      </w:r>
      <w:r>
        <w:rPr>
          <w:snapToGrid w:val="0"/>
        </w:rPr>
        <w:t>.</w:t>
      </w:r>
      <w:r>
        <w:rPr>
          <w:snapToGrid w:val="0"/>
        </w:rPr>
        <w:tab/>
        <w:t>Vending machines for continuing lotteries, location of and conditions as to (Act s. 105(2))</w:t>
      </w:r>
      <w:bookmarkEnd w:id="62"/>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63" w:name="_Toc524513982"/>
      <w:r>
        <w:rPr>
          <w:rStyle w:val="CharSectno"/>
        </w:rPr>
        <w:t>35</w:t>
      </w:r>
      <w:r>
        <w:rPr>
          <w:snapToGrid w:val="0"/>
        </w:rPr>
        <w:t>.</w:t>
      </w:r>
      <w:r>
        <w:rPr>
          <w:snapToGrid w:val="0"/>
        </w:rPr>
        <w:tab/>
        <w:t>Accounts etc. of continuing lottery to be available for inspection</w:t>
      </w:r>
      <w:bookmarkEnd w:id="63"/>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64" w:name="_Toc524513983"/>
      <w:r>
        <w:rPr>
          <w:rStyle w:val="CharSectno"/>
        </w:rPr>
        <w:t>36</w:t>
      </w:r>
      <w:r>
        <w:rPr>
          <w:snapToGrid w:val="0"/>
        </w:rPr>
        <w:t>.</w:t>
      </w:r>
      <w:r>
        <w:rPr>
          <w:snapToGrid w:val="0"/>
        </w:rPr>
        <w:tab/>
        <w:t>Distribution of benefit</w:t>
      </w:r>
      <w:bookmarkEnd w:id="64"/>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pPr>
      <w:bookmarkStart w:id="65" w:name="_Toc524513984"/>
      <w:r>
        <w:t>Subdivision 3 — Trade promotion lotteries</w:t>
      </w:r>
      <w:bookmarkEnd w:id="65"/>
    </w:p>
    <w:p>
      <w:pPr>
        <w:pStyle w:val="Footnoteheading"/>
      </w:pPr>
      <w:r>
        <w:tab/>
        <w:t>[Heading inserted in Gazette 6 Sep 2016 p. 3831.]</w:t>
      </w:r>
    </w:p>
    <w:p>
      <w:pPr>
        <w:pStyle w:val="Heading5"/>
      </w:pPr>
      <w:bookmarkStart w:id="66" w:name="_Toc524513985"/>
      <w:r>
        <w:rPr>
          <w:rStyle w:val="CharSectno"/>
        </w:rPr>
        <w:t>36A</w:t>
      </w:r>
      <w:r>
        <w:t>.</w:t>
      </w:r>
      <w:r>
        <w:tab/>
        <w:t>Prescribed conditions for trade promotion lottery (Act s. 102)</w:t>
      </w:r>
      <w:bookmarkEnd w:id="66"/>
    </w:p>
    <w:p>
      <w:pPr>
        <w:pStyle w:val="Subsection"/>
      </w:pPr>
      <w:r>
        <w:tab/>
        <w:t>(1)</w:t>
      </w:r>
      <w:r>
        <w:tab/>
        <w:t>For the purposes of section 102 of the Act, the conditions specified in Schedule 5 are prescribed for a trade promotion lottery.</w:t>
      </w:r>
    </w:p>
    <w:p>
      <w:pPr>
        <w:pStyle w:val="Subsection"/>
      </w:pPr>
      <w:r>
        <w:tab/>
        <w:t>(2)</w:t>
      </w:r>
      <w:r>
        <w:tab/>
        <w:t xml:space="preserve">In Schedule 5 — </w:t>
      </w:r>
    </w:p>
    <w:p>
      <w:pPr>
        <w:pStyle w:val="Defstart"/>
      </w:pPr>
      <w:r>
        <w:tab/>
      </w:r>
      <w:r>
        <w:rPr>
          <w:rStyle w:val="CharDefText"/>
        </w:rPr>
        <w:t>lottery terms and conditions</w:t>
      </w:r>
      <w:r>
        <w:t>, in relation to a trade promotion lottery, means the terms and conditions applying to the conduct of the lottery including the terms and conditions of entry.</w:t>
      </w:r>
    </w:p>
    <w:p>
      <w:pPr>
        <w:pStyle w:val="Footnotesection"/>
      </w:pPr>
      <w:r>
        <w:tab/>
        <w:t>[Regulation 36A inserted in Gazette 6 Sep 2016 p. 3831-2.]</w:t>
      </w:r>
    </w:p>
    <w:p>
      <w:pPr>
        <w:pStyle w:val="Heading4"/>
        <w:rPr>
          <w:snapToGrid w:val="0"/>
        </w:rPr>
      </w:pPr>
      <w:bookmarkStart w:id="67" w:name="_Toc524513986"/>
      <w:r>
        <w:rPr>
          <w:snapToGrid w:val="0"/>
        </w:rPr>
        <w:t>Subdivision 4 — Lotteries generally</w:t>
      </w:r>
      <w:bookmarkEnd w:id="67"/>
    </w:p>
    <w:p>
      <w:pPr>
        <w:pStyle w:val="Footnoteheading"/>
      </w:pPr>
      <w:r>
        <w:tab/>
        <w:t>[Heading amended in Gazette 6 Sep 2016 p. 3833.]</w:t>
      </w:r>
    </w:p>
    <w:p>
      <w:pPr>
        <w:pStyle w:val="Heading5"/>
        <w:rPr>
          <w:snapToGrid w:val="0"/>
        </w:rPr>
      </w:pPr>
      <w:bookmarkStart w:id="68" w:name="_Toc524513987"/>
      <w:r>
        <w:rPr>
          <w:rStyle w:val="CharSectno"/>
        </w:rPr>
        <w:t>37</w:t>
      </w:r>
      <w:r>
        <w:rPr>
          <w:snapToGrid w:val="0"/>
        </w:rPr>
        <w:t>.</w:t>
      </w:r>
      <w:r>
        <w:rPr>
          <w:snapToGrid w:val="0"/>
        </w:rPr>
        <w:tab/>
        <w:t>Account book, form of (Act s. 104(3)(a))</w:t>
      </w:r>
      <w:bookmarkEnd w:id="68"/>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spacing w:before="70"/>
        <w:rPr>
          <w:snapToGrid w:val="0"/>
        </w:rPr>
      </w:pPr>
      <w:r>
        <w:rPr>
          <w:snapToGrid w:val="0"/>
        </w:rPr>
        <w:tab/>
        <w:t>(a)</w:t>
      </w:r>
      <w:r>
        <w:rPr>
          <w:snapToGrid w:val="0"/>
        </w:rPr>
        <w:tab/>
        <w:t>from what sources property or moneys are received in connection with the lottery, and the nature and value of each item; and</w:t>
      </w:r>
    </w:p>
    <w:p>
      <w:pPr>
        <w:pStyle w:val="Indenta"/>
        <w:spacing w:before="70"/>
        <w:rPr>
          <w:snapToGrid w:val="0"/>
        </w:rPr>
      </w:pPr>
      <w:r>
        <w:rPr>
          <w:snapToGrid w:val="0"/>
        </w:rPr>
        <w:tab/>
        <w:t>(b)</w:t>
      </w:r>
      <w:r>
        <w:rPr>
          <w:snapToGrid w:val="0"/>
        </w:rPr>
        <w:tab/>
        <w:t>the retail value placed on any prize other than a monetary prize; and</w:t>
      </w:r>
    </w:p>
    <w:p>
      <w:pPr>
        <w:pStyle w:val="Indenta"/>
        <w:spacing w:before="70"/>
        <w:rPr>
          <w:snapToGrid w:val="0"/>
        </w:rPr>
      </w:pPr>
      <w:r>
        <w:rPr>
          <w:snapToGrid w:val="0"/>
        </w:rPr>
        <w:tab/>
        <w:t>(c)</w:t>
      </w:r>
      <w:r>
        <w:rPr>
          <w:snapToGrid w:val="0"/>
        </w:rPr>
        <w:tab/>
        <w:t>the nature and purpose of all outgoings, the amount or item disbursed and the recipient; and</w:t>
      </w:r>
    </w:p>
    <w:p>
      <w:pPr>
        <w:pStyle w:val="Indenta"/>
        <w:spacing w:before="70"/>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spacing w:before="70"/>
        <w:rPr>
          <w:snapToGrid w:val="0"/>
        </w:rPr>
      </w:pPr>
      <w:r>
        <w:rPr>
          <w:snapToGrid w:val="0"/>
        </w:rPr>
        <w:tab/>
        <w:t>(e)</w:t>
      </w:r>
      <w:r>
        <w:rPr>
          <w:snapToGrid w:val="0"/>
        </w:rPr>
        <w:tab/>
        <w:t>the manner in which the prizes were distributed, and the recipients; and</w:t>
      </w:r>
    </w:p>
    <w:p>
      <w:pPr>
        <w:pStyle w:val="Indenta"/>
        <w:spacing w:before="70"/>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spacing w:before="70"/>
        <w:rPr>
          <w:snapToGrid w:val="0"/>
        </w:rPr>
      </w:pPr>
      <w:r>
        <w:rPr>
          <w:snapToGrid w:val="0"/>
        </w:rPr>
        <w:tab/>
        <w:t>(g)</w:t>
      </w:r>
      <w:r>
        <w:rPr>
          <w:snapToGrid w:val="0"/>
        </w:rPr>
        <w:tab/>
        <w:t>any unclaimed prizes or moneys; and</w:t>
      </w:r>
    </w:p>
    <w:p>
      <w:pPr>
        <w:pStyle w:val="Indenta"/>
        <w:keepNext/>
        <w:spacing w:before="70"/>
        <w:rPr>
          <w:snapToGrid w:val="0"/>
        </w:rPr>
      </w:pPr>
      <w:r>
        <w:rPr>
          <w:snapToGrid w:val="0"/>
        </w:rPr>
        <w:tab/>
        <w:t>(h)</w:t>
      </w:r>
      <w:r>
        <w:rPr>
          <w:snapToGrid w:val="0"/>
        </w:rPr>
        <w:tab/>
        <w:t>whether any and what property or moneys remain,</w:t>
      </w:r>
    </w:p>
    <w:p>
      <w:pPr>
        <w:pStyle w:val="Subsection"/>
        <w:spacing w:before="120"/>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rPr>
          <w:snapToGrid w:val="0"/>
        </w:rPr>
      </w:pPr>
      <w:bookmarkStart w:id="69" w:name="_Toc524513988"/>
      <w:r>
        <w:rPr>
          <w:rStyle w:val="CharSectno"/>
        </w:rPr>
        <w:t>38</w:t>
      </w:r>
      <w:r>
        <w:rPr>
          <w:snapToGrid w:val="0"/>
        </w:rPr>
        <w:t>.</w:t>
      </w:r>
      <w:r>
        <w:rPr>
          <w:snapToGrid w:val="0"/>
        </w:rPr>
        <w:tab/>
        <w:t>Prohibition as to private gain etc.</w:t>
      </w:r>
      <w:bookmarkEnd w:id="69"/>
    </w:p>
    <w:p>
      <w:pPr>
        <w:pStyle w:val="Subsection"/>
        <w:rPr>
          <w:snapToGrid w:val="0"/>
        </w:rPr>
      </w:pPr>
      <w:r>
        <w:rPr>
          <w:snapToGrid w:val="0"/>
        </w:rPr>
        <w:tab/>
      </w:r>
      <w:r>
        <w:rPr>
          <w:snapToGrid w:val="0"/>
        </w:rPr>
        <w:tab/>
        <w:t>Every permit relating to a lottery is issued subject to the conditions that —</w:t>
      </w:r>
    </w:p>
    <w:p>
      <w:pPr>
        <w:pStyle w:val="Indenta"/>
        <w:spacing w:before="70"/>
        <w:rPr>
          <w:snapToGrid w:val="0"/>
        </w:rPr>
      </w:pPr>
      <w:r>
        <w:rPr>
          <w:snapToGrid w:val="0"/>
        </w:rPr>
        <w:tab/>
        <w:t>(a)</w:t>
      </w:r>
      <w:r>
        <w:rPr>
          <w:snapToGrid w:val="0"/>
        </w:rPr>
        <w:tab/>
        <w:t>no part of any property or money donated for the purposes of the lottery is to be used for any other purpose; and</w:t>
      </w:r>
    </w:p>
    <w:p>
      <w:pPr>
        <w:pStyle w:val="Indenta"/>
        <w:spacing w:before="70"/>
        <w:rPr>
          <w:snapToGrid w:val="0"/>
        </w:rPr>
      </w:pPr>
      <w:r>
        <w:rPr>
          <w:snapToGrid w:val="0"/>
        </w:rPr>
        <w:tab/>
        <w:t>(b)</w:t>
      </w:r>
      <w:r>
        <w:rPr>
          <w:snapToGrid w:val="0"/>
        </w:rPr>
        <w:tab/>
        <w:t>the whole proceeds of the lottery after deduction for proper expenses are to be devoted to purposes other than private gain.</w:t>
      </w:r>
    </w:p>
    <w:p>
      <w:pPr>
        <w:pStyle w:val="Heading5"/>
        <w:rPr>
          <w:snapToGrid w:val="0"/>
        </w:rPr>
      </w:pPr>
      <w:bookmarkStart w:id="70" w:name="_Toc524513989"/>
      <w:r>
        <w:rPr>
          <w:rStyle w:val="CharSectno"/>
        </w:rPr>
        <w:t>38A</w:t>
      </w:r>
      <w:r>
        <w:rPr>
          <w:snapToGrid w:val="0"/>
        </w:rPr>
        <w:t>.</w:t>
      </w:r>
      <w:r>
        <w:rPr>
          <w:snapToGrid w:val="0"/>
        </w:rPr>
        <w:tab/>
        <w:t>Offences related to permitted lotteries</w:t>
      </w:r>
      <w:bookmarkEnd w:id="70"/>
    </w:p>
    <w:p>
      <w:pPr>
        <w:pStyle w:val="Subsection"/>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71" w:name="_Toc524513990"/>
      <w:r>
        <w:rPr>
          <w:snapToGrid w:val="0"/>
        </w:rPr>
        <w:t>Subdivision 5 — Amusements, etc.</w:t>
      </w:r>
      <w:bookmarkEnd w:id="71"/>
    </w:p>
    <w:p>
      <w:pPr>
        <w:pStyle w:val="Footnoteheading"/>
      </w:pPr>
      <w:r>
        <w:tab/>
        <w:t>[Heading amended in Gazette 6 Sep 2016 p. 3833.]</w:t>
      </w:r>
    </w:p>
    <w:p>
      <w:pPr>
        <w:pStyle w:val="Heading5"/>
        <w:rPr>
          <w:snapToGrid w:val="0"/>
        </w:rPr>
      </w:pPr>
      <w:bookmarkStart w:id="72" w:name="_Toc524513991"/>
      <w:r>
        <w:rPr>
          <w:rStyle w:val="CharSectno"/>
        </w:rPr>
        <w:t>39</w:t>
      </w:r>
      <w:r>
        <w:rPr>
          <w:snapToGrid w:val="0"/>
        </w:rPr>
        <w:t>.</w:t>
      </w:r>
      <w:r>
        <w:rPr>
          <w:snapToGrid w:val="0"/>
        </w:rPr>
        <w:tab/>
        <w:t>Amusements with prizes at agricultural shows etc., matters prescribed for (Act s. 107(4))</w:t>
      </w:r>
      <w:bookmarkEnd w:id="72"/>
    </w:p>
    <w:p>
      <w:pPr>
        <w:pStyle w:val="Subsection"/>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rPr>
          <w:snapToGrid w:val="0"/>
        </w:rPr>
      </w:pPr>
      <w:bookmarkStart w:id="73" w:name="_Toc524513992"/>
      <w:r>
        <w:rPr>
          <w:rStyle w:val="CharSectno"/>
        </w:rPr>
        <w:t>39A</w:t>
      </w:r>
      <w:r>
        <w:rPr>
          <w:snapToGrid w:val="0"/>
        </w:rPr>
        <w:t>.</w:t>
      </w:r>
      <w:r>
        <w:rPr>
          <w:snapToGrid w:val="0"/>
        </w:rPr>
        <w:tab/>
        <w:t>Amusements with prizes at sporting events etc., matters prescribed for (Act s. 107(1))</w:t>
      </w:r>
      <w:bookmarkEnd w:id="73"/>
    </w:p>
    <w:p>
      <w:pPr>
        <w:pStyle w:val="Subsection"/>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rPr>
          <w:snapToGrid w:val="0"/>
        </w:rPr>
      </w:pPr>
      <w:bookmarkStart w:id="74" w:name="_Toc524513993"/>
      <w:r>
        <w:rPr>
          <w:rStyle w:val="CharSectno"/>
        </w:rPr>
        <w:t>40</w:t>
      </w:r>
      <w:r>
        <w:rPr>
          <w:snapToGrid w:val="0"/>
        </w:rPr>
        <w:t>.</w:t>
      </w:r>
      <w:r>
        <w:rPr>
          <w:snapToGrid w:val="0"/>
        </w:rPr>
        <w:tab/>
        <w:t>Minor fund raising activities (Act s. 108)</w:t>
      </w:r>
      <w:bookmarkEnd w:id="74"/>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pPr>
      <w:bookmarkStart w:id="75" w:name="_Toc524513994"/>
      <w:r>
        <w:rPr>
          <w:rStyle w:val="CharSectno"/>
        </w:rPr>
        <w:t>40A</w:t>
      </w:r>
      <w:r>
        <w:t>.</w:t>
      </w:r>
      <w:r>
        <w:tab/>
        <w:t>Football tipping competitions (Act s. 108)</w:t>
      </w:r>
      <w:bookmarkEnd w:id="75"/>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76" w:name="_Toc524513995"/>
      <w:r>
        <w:rPr>
          <w:rStyle w:val="CharPartNo"/>
        </w:rPr>
        <w:t>Part 5</w:t>
      </w:r>
      <w:r>
        <w:rPr>
          <w:rStyle w:val="CharDivText"/>
        </w:rPr>
        <w:t> </w:t>
      </w:r>
      <w:r>
        <w:t>—</w:t>
      </w:r>
      <w:r>
        <w:rPr>
          <w:rStyle w:val="CharDivNo"/>
        </w:rPr>
        <w:t xml:space="preserve"> </w:t>
      </w:r>
      <w:r>
        <w:rPr>
          <w:rStyle w:val="CharPartText"/>
        </w:rPr>
        <w:t>Miscellaneous</w:t>
      </w:r>
      <w:bookmarkEnd w:id="76"/>
    </w:p>
    <w:p>
      <w:pPr>
        <w:pStyle w:val="Footnoteheading"/>
      </w:pPr>
      <w:r>
        <w:tab/>
        <w:t>[Heading inserted in Gazette 4 Aug 1998 p. 3989.]</w:t>
      </w:r>
    </w:p>
    <w:p>
      <w:pPr>
        <w:pStyle w:val="Heading5"/>
      </w:pPr>
      <w:bookmarkStart w:id="77" w:name="_Toc524513996"/>
      <w:r>
        <w:rPr>
          <w:rStyle w:val="CharSectno"/>
        </w:rPr>
        <w:t>41</w:t>
      </w:r>
      <w:r>
        <w:t>.</w:t>
      </w:r>
      <w:r>
        <w:tab/>
        <w:t>Premises where amusement machines are permitted (Act s. 39(2)(e))</w:t>
      </w:r>
      <w:bookmarkEnd w:id="77"/>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78" w:name="_Toc524513997"/>
      <w:r>
        <w:rPr>
          <w:rStyle w:val="CharSectno"/>
        </w:rPr>
        <w:t>42</w:t>
      </w:r>
      <w:r>
        <w:t>.</w:t>
      </w:r>
      <w:r>
        <w:tab/>
        <w:t>Unclaimed winnings (Act s. 109B(1))</w:t>
      </w:r>
      <w:bookmarkEnd w:id="78"/>
    </w:p>
    <w:p>
      <w:pPr>
        <w:pStyle w:val="Subsection"/>
      </w:pPr>
      <w:r>
        <w:tab/>
      </w:r>
      <w:r>
        <w:tab/>
        <w:t>For the purposes of section 109B(1)(a) and (b), the prescribed amount is 99 cents.</w:t>
      </w:r>
    </w:p>
    <w:p>
      <w:pPr>
        <w:pStyle w:val="Footnotesection"/>
      </w:pPr>
      <w:r>
        <w:tab/>
        <w:t>[Regulation 42 inserted in Gazette 4 Aug 1998 p. 3989.]</w:t>
      </w:r>
    </w:p>
    <w:p>
      <w:pPr>
        <w:pStyle w:val="Heading5"/>
      </w:pPr>
      <w:bookmarkStart w:id="79" w:name="_Toc524513998"/>
      <w:r>
        <w:rPr>
          <w:rStyle w:val="CharSectno"/>
        </w:rPr>
        <w:t>43</w:t>
      </w:r>
      <w:r>
        <w:t>.</w:t>
      </w:r>
      <w:r>
        <w:tab/>
        <w:t>Certain advertising prohibited</w:t>
      </w:r>
      <w:bookmarkEnd w:id="79"/>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 in Gazette 8 Jan 2010 p. 17</w:t>
      </w:r>
      <w:r>
        <w:noBreakHyphen/>
        <w:t>19.]</w:t>
      </w:r>
    </w:p>
    <w:p>
      <w:pPr>
        <w:pStyle w:val="Heading5"/>
      </w:pPr>
      <w:bookmarkStart w:id="80" w:name="_Toc524513999"/>
      <w:r>
        <w:rPr>
          <w:rStyle w:val="CharSectno"/>
        </w:rPr>
        <w:t>44</w:t>
      </w:r>
      <w:r>
        <w:t>.</w:t>
      </w:r>
      <w:r>
        <w:tab/>
        <w:t>Prescribed interval (Act s. 110B(4)(b))</w:t>
      </w:r>
      <w:bookmarkEnd w:id="80"/>
    </w:p>
    <w:p>
      <w:pPr>
        <w:pStyle w:val="Subsection"/>
      </w:pPr>
      <w:r>
        <w:tab/>
      </w:r>
      <w:r>
        <w:tab/>
        <w:t>For the purposes of section 110B(4)(b) of the Act, the prescribed interval is one month.</w:t>
      </w:r>
    </w:p>
    <w:p>
      <w:pPr>
        <w:pStyle w:val="Footnotesection"/>
      </w:pPr>
      <w:r>
        <w:tab/>
        <w:t>[Regulation 44 inserted in Gazette 8 Jan 2010 p. 19.]</w:t>
      </w:r>
    </w:p>
    <w:p>
      <w:pPr>
        <w:sectPr>
          <w:headerReference w:type="even" r:id="rId22"/>
          <w:headerReference w:type="default" r:id="rId23"/>
          <w:footerReference w:type="even"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81" w:name="_Toc524514000"/>
      <w:r>
        <w:rPr>
          <w:rStyle w:val="CharSchNo"/>
        </w:rPr>
        <w:t>Schedule 1</w:t>
      </w:r>
      <w:r>
        <w:t> — </w:t>
      </w:r>
      <w:r>
        <w:rPr>
          <w:rStyle w:val="CharSchText"/>
        </w:rPr>
        <w:t>Prescribed fees</w:t>
      </w:r>
      <w:bookmarkEnd w:id="81"/>
    </w:p>
    <w:p>
      <w:pPr>
        <w:pStyle w:val="yShoulderClause"/>
      </w:pPr>
      <w:r>
        <w:t>[r. 4]</w:t>
      </w:r>
    </w:p>
    <w:p>
      <w:pPr>
        <w:pStyle w:val="yFootnoteheading"/>
        <w:spacing w:after="120"/>
      </w:pPr>
      <w:r>
        <w:tab/>
        <w:t>[Heading inserted in Gazette 30 Oct 2009 p. 4317.]</w:t>
      </w:r>
    </w:p>
    <w:tbl>
      <w:tblPr>
        <w:tblW w:w="7088"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851"/>
        <w:gridCol w:w="5245"/>
        <w:gridCol w:w="992"/>
      </w:tblGrid>
      <w:tr>
        <w:trPr>
          <w:tblHeader/>
        </w:trPr>
        <w:tc>
          <w:tcPr>
            <w:tcW w:w="851" w:type="dxa"/>
            <w:tcBorders>
              <w:bottom w:val="single" w:sz="4" w:space="0" w:color="auto"/>
            </w:tcBorders>
          </w:tcPr>
          <w:p>
            <w:pPr>
              <w:pStyle w:val="yTableNAm"/>
              <w:rPr>
                <w:b/>
                <w:bCs/>
              </w:rPr>
            </w:pPr>
            <w:r>
              <w:rPr>
                <w:b/>
                <w:bCs/>
              </w:rPr>
              <w:t>Item</w:t>
            </w:r>
          </w:p>
        </w:tc>
        <w:tc>
          <w:tcPr>
            <w:tcW w:w="5245" w:type="dxa"/>
            <w:tcBorders>
              <w:bottom w:val="single" w:sz="4" w:space="0" w:color="auto"/>
            </w:tcBorders>
          </w:tcPr>
          <w:p>
            <w:pPr>
              <w:pStyle w:val="yTableNAm"/>
              <w:jc w:val="center"/>
              <w:rPr>
                <w:b/>
                <w:bCs/>
              </w:rPr>
            </w:pPr>
            <w:r>
              <w:rPr>
                <w:b/>
                <w:bCs/>
              </w:rPr>
              <w:t>Description</w:t>
            </w:r>
          </w:p>
        </w:tc>
        <w:tc>
          <w:tcPr>
            <w:tcW w:w="992" w:type="dxa"/>
            <w:tcBorders>
              <w:bottom w:val="single" w:sz="4" w:space="0" w:color="auto"/>
            </w:tcBorders>
          </w:tcPr>
          <w:p>
            <w:pPr>
              <w:pStyle w:val="yTableNAm"/>
              <w:jc w:val="center"/>
              <w:rPr>
                <w:b/>
                <w:bCs/>
              </w:rPr>
            </w:pPr>
            <w:r>
              <w:rPr>
                <w:b/>
                <w:bCs/>
              </w:rPr>
              <w:t>Fee</w:t>
            </w:r>
            <w:r>
              <w:rPr>
                <w:b/>
                <w:bCs/>
              </w:rPr>
              <w:br/>
              <w:t>$</w:t>
            </w:r>
          </w:p>
        </w:tc>
      </w:tr>
      <w:tr>
        <w:tc>
          <w:tcPr>
            <w:tcW w:w="851" w:type="dxa"/>
            <w:tcBorders>
              <w:top w:val="single" w:sz="4" w:space="0" w:color="auto"/>
              <w:bottom w:val="single" w:sz="4" w:space="0" w:color="auto"/>
            </w:tcBorders>
          </w:tcPr>
          <w:p>
            <w:pPr>
              <w:pStyle w:val="yTableNAm"/>
            </w:pPr>
            <w:r>
              <w:t>1.</w:t>
            </w:r>
          </w:p>
        </w:tc>
        <w:tc>
          <w:tcPr>
            <w:tcW w:w="5245" w:type="dxa"/>
            <w:tcBorders>
              <w:top w:val="single" w:sz="4" w:space="0" w:color="auto"/>
              <w:bottom w:val="single" w:sz="4" w:space="0" w:color="auto"/>
            </w:tcBorders>
          </w:tcPr>
          <w:p>
            <w:pPr>
              <w:pStyle w:val="yTableNAm"/>
              <w:tabs>
                <w:tab w:val="left" w:leader="dot" w:pos="567"/>
                <w:tab w:val="right" w:leader="dot" w:pos="4963"/>
                <w:tab w:val="left" w:leader="dot" w:pos="5103"/>
                <w:tab w:val="left" w:leader="dot" w:pos="5443"/>
              </w:tabs>
            </w:pPr>
            <w:r>
              <w:t xml:space="preserve">Search of the register for an identified entry </w:t>
            </w:r>
            <w:r>
              <w:tab/>
            </w:r>
          </w:p>
        </w:tc>
        <w:tc>
          <w:tcPr>
            <w:tcW w:w="992" w:type="dxa"/>
            <w:tcBorders>
              <w:top w:val="single" w:sz="4" w:space="0" w:color="auto"/>
              <w:bottom w:val="single" w:sz="4" w:space="0" w:color="auto"/>
            </w:tcBorders>
          </w:tcPr>
          <w:p>
            <w:pPr>
              <w:pStyle w:val="yTableNAm"/>
              <w:jc w:val="center"/>
            </w:pPr>
            <w:r>
              <w:t>8</w:t>
            </w:r>
          </w:p>
        </w:tc>
      </w:tr>
      <w:tr>
        <w:tc>
          <w:tcPr>
            <w:tcW w:w="851" w:type="dxa"/>
            <w:tcBorders>
              <w:top w:val="single" w:sz="4" w:space="0" w:color="auto"/>
            </w:tcBorders>
          </w:tcPr>
          <w:p>
            <w:pPr>
              <w:pStyle w:val="yTableNAm"/>
            </w:pPr>
            <w:r>
              <w:t>2.</w:t>
            </w:r>
          </w:p>
        </w:tc>
        <w:tc>
          <w:tcPr>
            <w:tcW w:w="5245" w:type="dxa"/>
            <w:tcBorders>
              <w:top w:val="single" w:sz="4" w:space="0" w:color="auto"/>
            </w:tcBorders>
          </w:tcPr>
          <w:p>
            <w:pPr>
              <w:pStyle w:val="yTableNAm"/>
              <w:tabs>
                <w:tab w:val="right" w:leader="dot" w:pos="4963"/>
                <w:tab w:val="left" w:leader="dot" w:pos="5443"/>
              </w:tabs>
            </w:pPr>
            <w:r>
              <w:t xml:space="preserve">Copy of extract from register </w:t>
            </w:r>
            <w:r>
              <w:tab/>
            </w:r>
          </w:p>
        </w:tc>
        <w:tc>
          <w:tcPr>
            <w:tcW w:w="992" w:type="dxa"/>
            <w:tcBorders>
              <w:top w:val="single" w:sz="4" w:space="0" w:color="auto"/>
            </w:tcBorders>
          </w:tcPr>
          <w:p>
            <w:pPr>
              <w:pStyle w:val="yTableNAm"/>
              <w:jc w:val="center"/>
            </w:pPr>
            <w:r>
              <w:t>14</w:t>
            </w:r>
          </w:p>
        </w:tc>
      </w:tr>
      <w:tr>
        <w:tc>
          <w:tcPr>
            <w:tcW w:w="851" w:type="dxa"/>
          </w:tcPr>
          <w:p>
            <w:pPr>
              <w:pStyle w:val="yTableNAm"/>
            </w:pPr>
            <w:r>
              <w:t>3.</w:t>
            </w:r>
          </w:p>
        </w:tc>
        <w:tc>
          <w:tcPr>
            <w:tcW w:w="5245" w:type="dxa"/>
          </w:tcPr>
          <w:p>
            <w:pPr>
              <w:pStyle w:val="yTableNAm"/>
              <w:tabs>
                <w:tab w:val="right" w:leader="dot" w:pos="4963"/>
                <w:tab w:val="left" w:leader="dot" w:pos="5443"/>
              </w:tabs>
            </w:pPr>
            <w:r>
              <w:t>Application for a function permit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443"/>
              </w:tabs>
              <w:ind w:left="579" w:hanging="579"/>
            </w:pPr>
            <w:r>
              <w:t>(a)</w:t>
            </w:r>
            <w:r>
              <w:tab/>
              <w:t xml:space="preserve">an item of gaming equipment (r. 18B(2)(a))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443"/>
              </w:tabs>
              <w:ind w:left="579" w:hanging="579"/>
            </w:pPr>
            <w:r>
              <w:t>(b)</w:t>
            </w:r>
            <w:r>
              <w:tab/>
              <w:t xml:space="preserve">a class of gaming equipment (r. 18B(2)(b)) </w:t>
            </w:r>
            <w:r>
              <w:tab/>
            </w:r>
          </w:p>
        </w:tc>
        <w:tc>
          <w:tcPr>
            <w:tcW w:w="992" w:type="dxa"/>
          </w:tcPr>
          <w:p>
            <w:pPr>
              <w:pStyle w:val="yTableNAm"/>
              <w:jc w:val="center"/>
            </w:pPr>
            <w:r>
              <w:rPr>
                <w:szCs w:val="22"/>
              </w:rPr>
              <w:t>59</w:t>
            </w:r>
          </w:p>
        </w:tc>
      </w:tr>
      <w:tr>
        <w:tc>
          <w:tcPr>
            <w:tcW w:w="851" w:type="dxa"/>
          </w:tcPr>
          <w:p>
            <w:pPr>
              <w:pStyle w:val="yTableNAm"/>
            </w:pPr>
            <w:r>
              <w:t>4.</w:t>
            </w:r>
          </w:p>
        </w:tc>
        <w:tc>
          <w:tcPr>
            <w:tcW w:w="5245" w:type="dxa"/>
          </w:tcPr>
          <w:p>
            <w:pPr>
              <w:pStyle w:val="yTableNAm"/>
              <w:tabs>
                <w:tab w:val="right" w:leader="dot" w:pos="4963"/>
                <w:tab w:val="left" w:leader="dot" w:pos="5443"/>
              </w:tabs>
            </w:pPr>
            <w:r>
              <w:t>Application for a permit of a continuing nature for —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(a)</w:t>
            </w:r>
            <w:r>
              <w:tab/>
              <w:t xml:space="preserve">a video lottery terminal (r. 18AA(7))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an item of gaming equipment (r. 18B(2)(a)) </w:t>
            </w:r>
            <w:r>
              <w:tab/>
            </w:r>
          </w:p>
        </w:tc>
        <w:tc>
          <w:tcPr>
            <w:tcW w:w="992" w:type="dxa"/>
          </w:tcPr>
          <w:p>
            <w:pPr>
              <w:pStyle w:val="yTableNAm"/>
              <w:jc w:val="center"/>
              <w:rPr>
                <w:i/>
              </w:rPr>
            </w:pPr>
            <w:r>
              <w:rPr>
                <w:szCs w:val="22"/>
              </w:rPr>
              <w:t>64</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a class of gaming equipment (r. 18B(2)(b)) </w:t>
            </w:r>
            <w:r>
              <w:tab/>
            </w:r>
          </w:p>
        </w:tc>
        <w:tc>
          <w:tcPr>
            <w:tcW w:w="992" w:type="dxa"/>
          </w:tcPr>
          <w:p>
            <w:pPr>
              <w:pStyle w:val="yTableNAm"/>
              <w:jc w:val="center"/>
              <w:rPr>
                <w:i/>
              </w:rPr>
            </w:pPr>
            <w:r>
              <w:rPr>
                <w:szCs w:val="22"/>
              </w:rPr>
              <w:t>114</w:t>
            </w:r>
          </w:p>
        </w:tc>
      </w:tr>
      <w:tr>
        <w:tc>
          <w:tcPr>
            <w:tcW w:w="851" w:type="dxa"/>
          </w:tcPr>
          <w:p>
            <w:pPr>
              <w:pStyle w:val="yTableNAm"/>
            </w:pPr>
            <w:r>
              <w:t>5.</w:t>
            </w:r>
          </w:p>
        </w:tc>
        <w:tc>
          <w:tcPr>
            <w:tcW w:w="5245" w:type="dxa"/>
          </w:tcPr>
          <w:p>
            <w:pPr>
              <w:pStyle w:val="yTableNAm"/>
              <w:tabs>
                <w:tab w:val="right" w:pos="4299"/>
                <w:tab w:val="right" w:leader="dot" w:pos="4963"/>
                <w:tab w:val="left" w:leader="dot" w:pos="5443"/>
              </w:tabs>
            </w:pPr>
            <w:r>
              <w:t>Application for a function permit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(a)</w:t>
            </w:r>
            <w:r>
              <w:tab/>
              <w:t xml:space="preserve">bingo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(b)</w:t>
            </w:r>
            <w:r>
              <w:tab/>
              <w:t xml:space="preserve">multiple bingo, for each premises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(c)</w:t>
            </w:r>
            <w:r>
              <w:tab/>
              <w:t>simultaneous bingo, for each premises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pPr>
            <w:r>
              <w:t>(d)</w:t>
            </w:r>
            <w:r>
              <w:tab/>
              <w:t>a standard lottery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where the total retail value of prizes or prize money does not exceed $5 000 </w:t>
            </w:r>
            <w:r>
              <w:tab/>
            </w:r>
          </w:p>
        </w:tc>
        <w:tc>
          <w:tcPr>
            <w:tcW w:w="992" w:type="dxa"/>
          </w:tcPr>
          <w:p>
            <w:pPr>
              <w:pStyle w:val="yTableNAm"/>
              <w:jc w:val="center"/>
            </w:pPr>
            <w:r>
              <w:br/>
              <w:t>30</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w:t>
            </w:r>
            <w:r>
              <w:tab/>
            </w:r>
          </w:p>
        </w:tc>
        <w:tc>
          <w:tcPr>
            <w:tcW w:w="992" w:type="dxa"/>
          </w:tcPr>
          <w:p>
            <w:pPr>
              <w:pStyle w:val="yTableNAm"/>
              <w:jc w:val="center"/>
            </w:pPr>
            <w:r>
              <w:rPr>
                <w:szCs w:val="22"/>
              </w:rPr>
              <w:t>74</w:t>
            </w:r>
          </w:p>
        </w:tc>
      </w:tr>
      <w:tr>
        <w:tc>
          <w:tcPr>
            <w:tcW w:w="851" w:type="dxa"/>
          </w:tcPr>
          <w:p>
            <w:pPr>
              <w:pStyle w:val="yTableNAm"/>
            </w:pPr>
          </w:p>
        </w:tc>
        <w:tc>
          <w:tcPr>
            <w:tcW w:w="5245" w:type="dxa"/>
          </w:tcPr>
          <w:p>
            <w:pPr>
              <w:pStyle w:val="yTableNAm"/>
              <w:tabs>
                <w:tab w:val="right" w:leader="dot" w:pos="496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992" w:type="dxa"/>
          </w:tcPr>
          <w:p>
            <w:pPr>
              <w:pStyle w:val="yTableNAm"/>
              <w:jc w:val="center"/>
              <w:rPr>
                <w:i/>
              </w:rPr>
            </w:pPr>
            <w:r>
              <w:br/>
            </w:r>
            <w:r>
              <w:rPr>
                <w:szCs w:val="22"/>
              </w:rPr>
              <w:t>74</w:t>
            </w:r>
          </w:p>
        </w:tc>
      </w:tr>
      <w:tr>
        <w:tblPrEx>
          <w:tblCellMar>
            <w:left w:w="108" w:type="dxa"/>
            <w:right w:w="108" w:type="dxa"/>
          </w:tblCellMar>
        </w:tblPrEx>
        <w:trPr>
          <w:cantSplit/>
        </w:trPr>
        <w:tc>
          <w:tcPr>
            <w:tcW w:w="851" w:type="dxa"/>
          </w:tcPr>
          <w:p>
            <w:pPr>
              <w:pStyle w:val="yTableNAm"/>
            </w:pPr>
          </w:p>
        </w:tc>
        <w:tc>
          <w:tcPr>
            <w:tcW w:w="5245" w:type="dxa"/>
          </w:tcPr>
          <w:p>
            <w:pPr>
              <w:pStyle w:val="yTableNAm"/>
              <w:tabs>
                <w:tab w:val="right" w:leader="dot" w:pos="4963"/>
                <w:tab w:val="left" w:leader="dot" w:pos="5443"/>
              </w:tabs>
              <w:ind w:left="579" w:hanging="579"/>
            </w:pPr>
            <w:r>
              <w:t>(e)</w:t>
            </w:r>
            <w:r>
              <w:tab/>
              <w:t xml:space="preserve">a continuing lottery </w:t>
            </w:r>
            <w:r>
              <w:tab/>
            </w:r>
          </w:p>
        </w:tc>
        <w:tc>
          <w:tcPr>
            <w:tcW w:w="992" w:type="dxa"/>
          </w:tcPr>
          <w:p>
            <w:pPr>
              <w:pStyle w:val="yTableNAm"/>
              <w:jc w:val="center"/>
            </w:pPr>
            <w:r>
              <w:t>15</w:t>
            </w:r>
          </w:p>
        </w:tc>
      </w:tr>
      <w:tr>
        <w:tc>
          <w:tcPr>
            <w:tcW w:w="851" w:type="dxa"/>
          </w:tcPr>
          <w:p>
            <w:pPr>
              <w:pStyle w:val="yTableNAm"/>
              <w:keepNext/>
            </w:pPr>
          </w:p>
        </w:tc>
        <w:tc>
          <w:tcPr>
            <w:tcW w:w="5245" w:type="dxa"/>
          </w:tcPr>
          <w:p>
            <w:pPr>
              <w:pStyle w:val="yTableNAm"/>
              <w:keepNext/>
              <w:tabs>
                <w:tab w:val="right" w:leader="dot" w:pos="4963"/>
                <w:tab w:val="left" w:leader="dot" w:pos="5443"/>
              </w:tabs>
              <w:ind w:left="579" w:hanging="579"/>
            </w:pPr>
            <w:r>
              <w:t>(f)</w:t>
            </w:r>
            <w:r>
              <w:tab/>
              <w:t>gaming (per day authorised) — </w:t>
            </w:r>
          </w:p>
        </w:tc>
        <w:tc>
          <w:tcPr>
            <w:tcW w:w="992" w:type="dxa"/>
          </w:tcPr>
          <w:p>
            <w:pPr>
              <w:pStyle w:val="yTableNAm"/>
              <w:keepNext/>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1</w:t>
            </w:r>
            <w:r>
              <w:noBreakHyphen/>
              <w:t xml:space="preserve">5 tables </w:t>
            </w:r>
            <w:r>
              <w:tab/>
            </w:r>
          </w:p>
        </w:tc>
        <w:tc>
          <w:tcPr>
            <w:tcW w:w="992" w:type="dxa"/>
          </w:tcPr>
          <w:p>
            <w:pPr>
              <w:pStyle w:val="yTableNAm"/>
              <w:jc w:val="center"/>
            </w:pPr>
            <w:r>
              <w:rPr>
                <w:szCs w:val="22"/>
              </w:rPr>
              <w:t>226</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6</w:t>
            </w:r>
            <w:r>
              <w:noBreakHyphen/>
              <w:t xml:space="preserve">10 tables </w:t>
            </w:r>
            <w:r>
              <w:tab/>
            </w:r>
          </w:p>
        </w:tc>
        <w:tc>
          <w:tcPr>
            <w:tcW w:w="992" w:type="dxa"/>
          </w:tcPr>
          <w:p>
            <w:pPr>
              <w:pStyle w:val="yTableNAm"/>
              <w:jc w:val="center"/>
            </w:pPr>
            <w:r>
              <w:rPr>
                <w:szCs w:val="22"/>
              </w:rPr>
              <w:t>378</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over 10 tables </w:t>
            </w:r>
            <w:r>
              <w:tab/>
            </w:r>
          </w:p>
        </w:tc>
        <w:tc>
          <w:tcPr>
            <w:tcW w:w="992" w:type="dxa"/>
          </w:tcPr>
          <w:p>
            <w:pPr>
              <w:pStyle w:val="yTableNAm"/>
              <w:jc w:val="center"/>
            </w:pPr>
            <w:r>
              <w:rPr>
                <w:szCs w:val="22"/>
              </w:rPr>
              <w:t>422</w:t>
            </w:r>
          </w:p>
        </w:tc>
      </w:tr>
      <w:tr>
        <w:tc>
          <w:tcPr>
            <w:tcW w:w="851" w:type="dxa"/>
          </w:tcPr>
          <w:p>
            <w:pPr>
              <w:pStyle w:val="yTableNAm"/>
            </w:pPr>
          </w:p>
        </w:tc>
        <w:tc>
          <w:tcPr>
            <w:tcW w:w="5245" w:type="dxa"/>
          </w:tcPr>
          <w:p>
            <w:pPr>
              <w:pStyle w:val="yTableNAm"/>
              <w:tabs>
                <w:tab w:val="right" w:pos="4299"/>
                <w:tab w:val="right" w:leader="dot" w:pos="4963"/>
                <w:tab w:val="left" w:leader="dot" w:pos="5443"/>
              </w:tabs>
            </w:pPr>
            <w:r>
              <w:t>(g)</w:t>
            </w:r>
            <w:r>
              <w:tab/>
              <w:t>two</w:t>
            </w:r>
            <w:r>
              <w:noBreakHyphen/>
              <w:t>up </w:t>
            </w:r>
            <w:r>
              <w:rPr>
                <w:snapToGrid w:val="0"/>
              </w:rPr>
              <w:t>—</w:t>
            </w:r>
            <w:r>
              <w:t>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by a country race club </w:t>
            </w:r>
            <w:r>
              <w:tab/>
            </w:r>
          </w:p>
        </w:tc>
        <w:tc>
          <w:tcPr>
            <w:tcW w:w="992" w:type="dxa"/>
          </w:tcPr>
          <w:p>
            <w:pPr>
              <w:pStyle w:val="yTableNAm"/>
              <w:jc w:val="center"/>
            </w:pPr>
            <w:r>
              <w:rPr>
                <w:szCs w:val="22"/>
              </w:rPr>
              <w:t>152</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w:t>
            </w:r>
            <w:r>
              <w:tab/>
            </w:r>
          </w:p>
        </w:tc>
        <w:tc>
          <w:tcPr>
            <w:tcW w:w="992" w:type="dxa"/>
          </w:tcPr>
          <w:p>
            <w:pPr>
              <w:pStyle w:val="yTableNAm"/>
              <w:jc w:val="center"/>
            </w:pPr>
            <w:r>
              <w:rPr>
                <w:szCs w:val="22"/>
              </w:rPr>
              <w:t>226</w:t>
            </w:r>
          </w:p>
        </w:tc>
      </w:tr>
      <w:tr>
        <w:tc>
          <w:tcPr>
            <w:tcW w:w="851" w:type="dxa"/>
          </w:tcPr>
          <w:p>
            <w:pPr>
              <w:pStyle w:val="yTableNAm"/>
            </w:pPr>
            <w:r>
              <w:t>6.</w:t>
            </w:r>
          </w:p>
        </w:tc>
        <w:tc>
          <w:tcPr>
            <w:tcW w:w="5245" w:type="dxa"/>
          </w:tcPr>
          <w:p>
            <w:pPr>
              <w:pStyle w:val="yTableNAm"/>
              <w:tabs>
                <w:tab w:val="right" w:pos="4299"/>
                <w:tab w:val="right" w:leader="dot" w:pos="4963"/>
                <w:tab w:val="left" w:leader="dot" w:pos="5443"/>
              </w:tabs>
            </w:pPr>
            <w:r>
              <w:t>Application for a permit of a continuing nature for —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bingo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multiple bingo, for each premises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simultaneous bingo, for each premises </w:t>
            </w:r>
            <w:r>
              <w:tab/>
            </w:r>
          </w:p>
        </w:tc>
        <w:tc>
          <w:tcPr>
            <w:tcW w:w="992" w:type="dxa"/>
          </w:tcPr>
          <w:p>
            <w:pPr>
              <w:pStyle w:val="yTableNAm"/>
              <w:jc w:val="center"/>
            </w:pPr>
            <w:r>
              <w:t>30</w:t>
            </w:r>
          </w:p>
        </w:tc>
      </w:tr>
      <w:tr>
        <w:tc>
          <w:tcPr>
            <w:tcW w:w="851" w:type="dxa"/>
          </w:tcPr>
          <w:p>
            <w:pPr>
              <w:pStyle w:val="yTableNAm"/>
            </w:pPr>
          </w:p>
        </w:tc>
        <w:tc>
          <w:tcPr>
            <w:tcW w:w="5245" w:type="dxa"/>
          </w:tcPr>
          <w:p>
            <w:pPr>
              <w:pStyle w:val="yTableNAm"/>
              <w:tabs>
                <w:tab w:val="right" w:pos="4299"/>
                <w:tab w:val="right" w:leader="dot" w:pos="4963"/>
                <w:tab w:val="left" w:leader="dot" w:pos="5443"/>
              </w:tabs>
              <w:ind w:left="579" w:hanging="579"/>
            </w:pPr>
            <w:r>
              <w:t>(d)</w:t>
            </w:r>
            <w:r>
              <w:tab/>
              <w:t>a standard lottery, where the total retail value of prizes or prize money is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not more than $5 000 </w:t>
            </w:r>
            <w:r>
              <w:tab/>
            </w:r>
          </w:p>
        </w:tc>
        <w:tc>
          <w:tcPr>
            <w:tcW w:w="992" w:type="dxa"/>
          </w:tcPr>
          <w:p>
            <w:pPr>
              <w:pStyle w:val="yTableNAm"/>
              <w:jc w:val="center"/>
            </w:pPr>
            <w:r>
              <w:rPr>
                <w:szCs w:val="22"/>
              </w:rPr>
              <w:t>48</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more than $5 000 but not more than $50 000 </w:t>
            </w:r>
            <w:r>
              <w:tab/>
            </w:r>
          </w:p>
        </w:tc>
        <w:tc>
          <w:tcPr>
            <w:tcW w:w="992" w:type="dxa"/>
          </w:tcPr>
          <w:p>
            <w:pPr>
              <w:pStyle w:val="yTableNAm"/>
              <w:jc w:val="center"/>
              <w:rPr>
                <w:i/>
              </w:rPr>
            </w:pPr>
            <w:r>
              <w:rPr>
                <w:u w:val="single"/>
              </w:rPr>
              <w:br/>
            </w:r>
            <w:r>
              <w:rPr>
                <w:szCs w:val="22"/>
              </w:rPr>
              <w:t>114</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more than $50 000 but not more than $100 000 </w:t>
            </w:r>
            <w:r>
              <w:tab/>
            </w:r>
          </w:p>
        </w:tc>
        <w:tc>
          <w:tcPr>
            <w:tcW w:w="992" w:type="dxa"/>
          </w:tcPr>
          <w:p>
            <w:pPr>
              <w:pStyle w:val="yTableNAm"/>
              <w:jc w:val="center"/>
              <w:rPr>
                <w:i/>
              </w:rPr>
            </w:pPr>
            <w:r>
              <w:rPr>
                <w:u w:val="single"/>
              </w:rPr>
              <w:br/>
            </w:r>
            <w:r>
              <w:rPr>
                <w:szCs w:val="22"/>
              </w:rPr>
              <w:t>221</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(iv)</w:t>
            </w:r>
            <w:r>
              <w:tab/>
              <w:t xml:space="preserve">more than $100 000 but not more than $200 000 </w:t>
            </w:r>
            <w:r>
              <w:tab/>
            </w:r>
          </w:p>
        </w:tc>
        <w:tc>
          <w:tcPr>
            <w:tcW w:w="992" w:type="dxa"/>
          </w:tcPr>
          <w:p>
            <w:pPr>
              <w:pStyle w:val="yTableNAm"/>
              <w:jc w:val="center"/>
              <w:rPr>
                <w:i/>
              </w:rPr>
            </w:pPr>
            <w:r>
              <w:rPr>
                <w:u w:val="single"/>
              </w:rPr>
              <w:br/>
            </w:r>
            <w:r>
              <w:rPr>
                <w:szCs w:val="22"/>
              </w:rPr>
              <w:t>455</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(v)</w:t>
            </w:r>
            <w:r>
              <w:tab/>
              <w:t xml:space="preserve">more than $200 000 </w:t>
            </w:r>
            <w:r>
              <w:tab/>
            </w:r>
          </w:p>
        </w:tc>
        <w:tc>
          <w:tcPr>
            <w:tcW w:w="992" w:type="dxa"/>
          </w:tcPr>
          <w:p>
            <w:pPr>
              <w:pStyle w:val="yTableNAm"/>
              <w:jc w:val="center"/>
            </w:pPr>
            <w:r>
              <w:rPr>
                <w:szCs w:val="22"/>
              </w:rPr>
              <w:t>697</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992" w:type="dxa"/>
          </w:tcPr>
          <w:p>
            <w:pPr>
              <w:pStyle w:val="yTableNAm"/>
              <w:jc w:val="center"/>
              <w:rPr>
                <w:i/>
              </w:rPr>
            </w:pPr>
            <w:r>
              <w:br/>
            </w:r>
            <w:r>
              <w:rPr>
                <w:szCs w:val="22"/>
              </w:rPr>
              <w:t>152</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(e)</w:t>
            </w:r>
            <w:r>
              <w:tab/>
              <w:t xml:space="preserve">a continuing lottery </w:t>
            </w:r>
            <w:r>
              <w:tab/>
            </w:r>
          </w:p>
        </w:tc>
        <w:tc>
          <w:tcPr>
            <w:tcW w:w="992" w:type="dxa"/>
          </w:tcPr>
          <w:p>
            <w:pPr>
              <w:pStyle w:val="yTableNAm"/>
              <w:jc w:val="center"/>
            </w:pPr>
            <w:r>
              <w:t>25</w:t>
            </w:r>
          </w:p>
        </w:tc>
      </w:tr>
      <w:tr>
        <w:tc>
          <w:tcPr>
            <w:tcW w:w="851" w:type="dxa"/>
          </w:tcPr>
          <w:p>
            <w:pPr>
              <w:pStyle w:val="yTableNAm"/>
              <w:keepNext/>
            </w:pPr>
          </w:p>
        </w:tc>
        <w:tc>
          <w:tcPr>
            <w:tcW w:w="5245" w:type="dxa"/>
          </w:tcPr>
          <w:p>
            <w:pPr>
              <w:pStyle w:val="yTableNAm"/>
              <w:tabs>
                <w:tab w:val="right" w:leader="dot" w:pos="4963"/>
                <w:tab w:val="left" w:leader="dot" w:pos="5103"/>
                <w:tab w:val="left" w:leader="dot" w:pos="5443"/>
              </w:tabs>
              <w:ind w:left="579" w:hanging="579"/>
            </w:pPr>
            <w:r>
              <w:t>(f)</w:t>
            </w:r>
            <w:r>
              <w:tab/>
              <w:t>gaming (per day authorised) — </w:t>
            </w:r>
          </w:p>
        </w:tc>
        <w:tc>
          <w:tcPr>
            <w:tcW w:w="992" w:type="dxa"/>
          </w:tcPr>
          <w:p>
            <w:pPr>
              <w:pStyle w:val="yTableNAm"/>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1</w:t>
            </w:r>
            <w:r>
              <w:noBreakHyphen/>
              <w:t xml:space="preserve">5 tables </w:t>
            </w:r>
            <w:r>
              <w:tab/>
            </w:r>
          </w:p>
        </w:tc>
        <w:tc>
          <w:tcPr>
            <w:tcW w:w="992" w:type="dxa"/>
          </w:tcPr>
          <w:p>
            <w:pPr>
              <w:pStyle w:val="yTableNAm"/>
              <w:jc w:val="center"/>
            </w:pPr>
            <w:r>
              <w:rPr>
                <w:szCs w:val="22"/>
              </w:rPr>
              <w:t>181</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6</w:t>
            </w:r>
            <w:r>
              <w:noBreakHyphen/>
              <w:t xml:space="preserve">10 tables </w:t>
            </w:r>
            <w:r>
              <w:tab/>
            </w:r>
          </w:p>
        </w:tc>
        <w:tc>
          <w:tcPr>
            <w:tcW w:w="992" w:type="dxa"/>
          </w:tcPr>
          <w:p>
            <w:pPr>
              <w:pStyle w:val="yTableNAm"/>
              <w:jc w:val="center"/>
            </w:pPr>
            <w:r>
              <w:rPr>
                <w:szCs w:val="22"/>
              </w:rPr>
              <w:t>333</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(iii)</w:t>
            </w:r>
            <w:r>
              <w:tab/>
              <w:t xml:space="preserve">over 10 tables </w:t>
            </w:r>
            <w:r>
              <w:tab/>
            </w:r>
          </w:p>
        </w:tc>
        <w:tc>
          <w:tcPr>
            <w:tcW w:w="992" w:type="dxa"/>
          </w:tcPr>
          <w:p>
            <w:pPr>
              <w:pStyle w:val="yTableNAm"/>
              <w:jc w:val="center"/>
            </w:pPr>
            <w:r>
              <w:rPr>
                <w:szCs w:val="22"/>
              </w:rPr>
              <w:t>416</w:t>
            </w:r>
          </w:p>
        </w:tc>
      </w:tr>
      <w:tr>
        <w:tc>
          <w:tcPr>
            <w:tcW w:w="851" w:type="dxa"/>
          </w:tcPr>
          <w:p>
            <w:pPr>
              <w:pStyle w:val="yTableNAm"/>
              <w:keepNext/>
            </w:pPr>
          </w:p>
        </w:tc>
        <w:tc>
          <w:tcPr>
            <w:tcW w:w="5245" w:type="dxa"/>
          </w:tcPr>
          <w:p>
            <w:pPr>
              <w:pStyle w:val="yTableNAm"/>
              <w:keepNext/>
              <w:tabs>
                <w:tab w:val="right" w:leader="dot" w:pos="4963"/>
                <w:tab w:val="left" w:leader="dot" w:pos="5103"/>
                <w:tab w:val="left" w:leader="dot" w:pos="5443"/>
              </w:tabs>
              <w:ind w:left="579" w:hanging="579"/>
            </w:pPr>
            <w:r>
              <w:t>(g)</w:t>
            </w:r>
            <w:r>
              <w:tab/>
              <w:t>two</w:t>
            </w:r>
            <w:r>
              <w:noBreakHyphen/>
              <w:t>up </w:t>
            </w:r>
            <w:r>
              <w:rPr>
                <w:snapToGrid w:val="0"/>
              </w:rPr>
              <w:t>—</w:t>
            </w:r>
            <w:r>
              <w:t> </w:t>
            </w:r>
          </w:p>
        </w:tc>
        <w:tc>
          <w:tcPr>
            <w:tcW w:w="992" w:type="dxa"/>
          </w:tcPr>
          <w:p>
            <w:pPr>
              <w:pStyle w:val="yTableNAm"/>
              <w:keepNext/>
              <w:jc w:val="center"/>
            </w:pP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w:t>
            </w:r>
            <w:r>
              <w:tab/>
              <w:t xml:space="preserve">by a country race club, per day authorised </w:t>
            </w:r>
            <w:r>
              <w:tab/>
            </w:r>
          </w:p>
        </w:tc>
        <w:tc>
          <w:tcPr>
            <w:tcW w:w="992" w:type="dxa"/>
          </w:tcPr>
          <w:p>
            <w:pPr>
              <w:pStyle w:val="yTableNAm"/>
              <w:jc w:val="center"/>
              <w:rPr>
                <w:i/>
              </w:rPr>
            </w:pPr>
            <w:r>
              <w:rPr>
                <w:szCs w:val="22"/>
              </w:rPr>
              <w:t>120</w:t>
            </w:r>
          </w:p>
        </w:tc>
      </w:tr>
      <w:tr>
        <w:tc>
          <w:tcPr>
            <w:tcW w:w="851" w:type="dxa"/>
          </w:tcPr>
          <w:p>
            <w:pPr>
              <w:pStyle w:val="yTableNAm"/>
            </w:pPr>
          </w:p>
        </w:tc>
        <w:tc>
          <w:tcPr>
            <w:tcW w:w="5245" w:type="dxa"/>
          </w:tcPr>
          <w:p>
            <w:pPr>
              <w:pStyle w:val="yTableNAm"/>
              <w:tabs>
                <w:tab w:val="left" w:pos="1059"/>
                <w:tab w:val="right" w:leader="dot" w:pos="4963"/>
                <w:tab w:val="left" w:leader="dot" w:pos="5103"/>
                <w:tab w:val="left" w:leader="dot" w:pos="5443"/>
              </w:tabs>
              <w:ind w:left="1059" w:hanging="1059"/>
            </w:pPr>
            <w:r>
              <w:tab/>
              <w:t>(ii)</w:t>
            </w:r>
            <w:r>
              <w:tab/>
              <w:t xml:space="preserve">otherwise, per day authorised </w:t>
            </w:r>
            <w:r>
              <w:tab/>
            </w:r>
          </w:p>
        </w:tc>
        <w:tc>
          <w:tcPr>
            <w:tcW w:w="992" w:type="dxa"/>
          </w:tcPr>
          <w:p>
            <w:pPr>
              <w:pStyle w:val="yTableNAm"/>
              <w:jc w:val="center"/>
            </w:pPr>
            <w:r>
              <w:rPr>
                <w:szCs w:val="22"/>
              </w:rPr>
              <w:t>181</w:t>
            </w:r>
          </w:p>
        </w:tc>
      </w:tr>
      <w:tr>
        <w:tc>
          <w:tcPr>
            <w:tcW w:w="851" w:type="dxa"/>
          </w:tcPr>
          <w:p>
            <w:pPr>
              <w:pStyle w:val="yTableNAm"/>
            </w:pPr>
            <w:r>
              <w:t>7.</w:t>
            </w:r>
          </w:p>
        </w:tc>
        <w:tc>
          <w:tcPr>
            <w:tcW w:w="5245" w:type="dxa"/>
          </w:tcPr>
          <w:p>
            <w:pPr>
              <w:pStyle w:val="yTableNAm"/>
              <w:tabs>
                <w:tab w:val="right" w:pos="4299"/>
                <w:tab w:val="right" w:leader="dot" w:pos="4963"/>
                <w:tab w:val="left" w:leader="dot" w:pos="5443"/>
              </w:tabs>
            </w:pPr>
            <w:r>
              <w:t>Application for approval of premises for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a specific function </w:t>
            </w:r>
            <w:r>
              <w:tab/>
            </w:r>
          </w:p>
        </w:tc>
        <w:tc>
          <w:tcPr>
            <w:tcW w:w="992" w:type="dxa"/>
          </w:tcPr>
          <w:p>
            <w:pPr>
              <w:pStyle w:val="yTableNAm"/>
              <w:jc w:val="center"/>
            </w:pPr>
            <w:r>
              <w:t>20</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 xml:space="preserve">functions from time to time </w:t>
            </w:r>
            <w:r>
              <w:tab/>
            </w:r>
          </w:p>
        </w:tc>
        <w:tc>
          <w:tcPr>
            <w:tcW w:w="992" w:type="dxa"/>
          </w:tcPr>
          <w:p>
            <w:pPr>
              <w:pStyle w:val="yTableNAm"/>
              <w:jc w:val="center"/>
            </w:pPr>
            <w:r>
              <w:rPr>
                <w:szCs w:val="22"/>
              </w:rPr>
              <w:t>74</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permit of a continuing nature </w:t>
            </w:r>
            <w:r>
              <w:tab/>
            </w:r>
          </w:p>
        </w:tc>
        <w:tc>
          <w:tcPr>
            <w:tcW w:w="992" w:type="dxa"/>
          </w:tcPr>
          <w:p>
            <w:pPr>
              <w:pStyle w:val="yTableNAm"/>
              <w:jc w:val="center"/>
            </w:pPr>
            <w:r>
              <w:rPr>
                <w:szCs w:val="22"/>
              </w:rPr>
              <w:t>74</w:t>
            </w:r>
          </w:p>
        </w:tc>
      </w:tr>
      <w:tr>
        <w:tc>
          <w:tcPr>
            <w:tcW w:w="851" w:type="dxa"/>
          </w:tcPr>
          <w:p>
            <w:pPr>
              <w:pStyle w:val="yTableNAm"/>
            </w:pPr>
            <w:r>
              <w:t>8.</w:t>
            </w:r>
          </w:p>
        </w:tc>
        <w:tc>
          <w:tcPr>
            <w:tcW w:w="5245" w:type="dxa"/>
          </w:tcPr>
          <w:p>
            <w:pPr>
              <w:pStyle w:val="yTableNAm"/>
              <w:tabs>
                <w:tab w:val="right" w:pos="4299"/>
                <w:tab w:val="right" w:leader="dot" w:pos="4963"/>
                <w:tab w:val="left" w:leader="dot" w:pos="5443"/>
              </w:tabs>
            </w:pPr>
            <w:r>
              <w:t>Issue of a certificate under section 92 relating to —</w:t>
            </w:r>
          </w:p>
        </w:tc>
        <w:tc>
          <w:tcPr>
            <w:tcW w:w="992" w:type="dxa"/>
          </w:tcPr>
          <w:p>
            <w:pPr>
              <w:pStyle w:val="yTableNAm"/>
              <w:jc w:val="center"/>
            </w:pP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(a)</w:t>
            </w:r>
            <w:r>
              <w:tab/>
              <w:t xml:space="preserve">multiple bingo </w:t>
            </w:r>
            <w:r>
              <w:tab/>
            </w:r>
          </w:p>
        </w:tc>
        <w:tc>
          <w:tcPr>
            <w:tcW w:w="992" w:type="dxa"/>
          </w:tcPr>
          <w:p>
            <w:pPr>
              <w:pStyle w:val="yTableNAm"/>
              <w:jc w:val="center"/>
            </w:pPr>
            <w:r>
              <w:rPr>
                <w:szCs w:val="22"/>
              </w:rPr>
              <w:t>152</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(b)</w:t>
            </w:r>
            <w:r>
              <w:tab/>
              <w:t>simultaneous bingo</w:t>
            </w:r>
            <w:r>
              <w:tab/>
            </w:r>
          </w:p>
        </w:tc>
        <w:tc>
          <w:tcPr>
            <w:tcW w:w="992" w:type="dxa"/>
          </w:tcPr>
          <w:p>
            <w:pPr>
              <w:pStyle w:val="yTableNAm"/>
              <w:jc w:val="center"/>
            </w:pPr>
            <w:r>
              <w:rPr>
                <w:szCs w:val="22"/>
              </w:rPr>
              <w:t>152</w:t>
            </w:r>
          </w:p>
        </w:tc>
      </w:tr>
      <w:tr>
        <w:tc>
          <w:tcPr>
            <w:tcW w:w="851" w:type="dxa"/>
          </w:tcPr>
          <w:p>
            <w:pPr>
              <w:pStyle w:val="yTableNAm"/>
            </w:pPr>
          </w:p>
        </w:tc>
        <w:tc>
          <w:tcPr>
            <w:tcW w:w="5245" w:type="dxa"/>
          </w:tcPr>
          <w:p>
            <w:pPr>
              <w:pStyle w:val="yTableNAm"/>
              <w:tabs>
                <w:tab w:val="right" w:leader="dot" w:pos="4963"/>
                <w:tab w:val="left" w:leader="dot" w:pos="5103"/>
                <w:tab w:val="left" w:leader="dot" w:pos="5443"/>
              </w:tabs>
              <w:ind w:left="579" w:hanging="579"/>
            </w:pPr>
            <w:r>
              <w:t>(c)</w:t>
            </w:r>
            <w:r>
              <w:tab/>
              <w:t xml:space="preserve">assisting in the conduct of bingo, for hire or reward </w:t>
            </w:r>
            <w:r>
              <w:tab/>
            </w:r>
          </w:p>
        </w:tc>
        <w:tc>
          <w:tcPr>
            <w:tcW w:w="992" w:type="dxa"/>
          </w:tcPr>
          <w:p>
            <w:pPr>
              <w:pStyle w:val="yTableNAm"/>
              <w:jc w:val="center"/>
              <w:rPr>
                <w:i/>
              </w:rPr>
            </w:pPr>
            <w:r>
              <w:br/>
            </w:r>
            <w:r>
              <w:rPr>
                <w:szCs w:val="22"/>
              </w:rPr>
              <w:t>152</w:t>
            </w:r>
          </w:p>
        </w:tc>
      </w:tr>
      <w:tr>
        <w:tc>
          <w:tcPr>
            <w:tcW w:w="851" w:type="dxa"/>
          </w:tcPr>
          <w:p>
            <w:pPr>
              <w:pStyle w:val="yTableNAm"/>
            </w:pPr>
            <w:r>
              <w:t>9.</w:t>
            </w:r>
          </w:p>
        </w:tc>
        <w:tc>
          <w:tcPr>
            <w:tcW w:w="5245" w:type="dxa"/>
          </w:tcPr>
          <w:p>
            <w:pPr>
              <w:pStyle w:val="yTableNAm"/>
              <w:tabs>
                <w:tab w:val="right" w:leader="dot" w:pos="4963"/>
                <w:tab w:val="left" w:leader="dot" w:pos="5103"/>
                <w:tab w:val="left" w:leader="dot" w:pos="5443"/>
              </w:tabs>
              <w:ind w:left="579" w:hanging="579"/>
            </w:pPr>
            <w:r>
              <w:t xml:space="preserve">Issue of an approved operator’s certificate </w:t>
            </w:r>
            <w:r>
              <w:tab/>
            </w:r>
          </w:p>
        </w:tc>
        <w:tc>
          <w:tcPr>
            <w:tcW w:w="992" w:type="dxa"/>
          </w:tcPr>
          <w:p>
            <w:pPr>
              <w:pStyle w:val="yTableNAm"/>
              <w:jc w:val="center"/>
            </w:pPr>
            <w:r>
              <w:rPr>
                <w:szCs w:val="22"/>
              </w:rPr>
              <w:t>249</w:t>
            </w:r>
          </w:p>
        </w:tc>
      </w:tr>
      <w:tr>
        <w:tc>
          <w:tcPr>
            <w:tcW w:w="851" w:type="dxa"/>
          </w:tcPr>
          <w:p>
            <w:pPr>
              <w:pStyle w:val="yTableNAm"/>
            </w:pPr>
            <w:r>
              <w:t>10.</w:t>
            </w:r>
          </w:p>
        </w:tc>
        <w:tc>
          <w:tcPr>
            <w:tcW w:w="5245" w:type="dxa"/>
          </w:tcPr>
          <w:p>
            <w:pPr>
              <w:pStyle w:val="yTableNAm"/>
              <w:tabs>
                <w:tab w:val="right" w:leader="dot" w:pos="4963"/>
                <w:tab w:val="left" w:leader="dot" w:pos="5103"/>
                <w:tab w:val="left" w:leader="dot" w:pos="5443"/>
              </w:tabs>
              <w:ind w:left="579" w:hanging="579"/>
            </w:pPr>
            <w:r>
              <w:t xml:space="preserve">Issue of a certificate under section 88(5) </w:t>
            </w:r>
            <w:r>
              <w:tab/>
            </w:r>
          </w:p>
        </w:tc>
        <w:tc>
          <w:tcPr>
            <w:tcW w:w="992" w:type="dxa"/>
          </w:tcPr>
          <w:p>
            <w:pPr>
              <w:pStyle w:val="yTableNAm"/>
              <w:jc w:val="center"/>
            </w:pPr>
            <w:r>
              <w:rPr>
                <w:szCs w:val="22"/>
              </w:rPr>
              <w:t>327</w:t>
            </w:r>
          </w:p>
        </w:tc>
      </w:tr>
      <w:tr>
        <w:tc>
          <w:tcPr>
            <w:tcW w:w="851" w:type="dxa"/>
          </w:tcPr>
          <w:p>
            <w:pPr>
              <w:pStyle w:val="yTableNAm"/>
            </w:pPr>
            <w:r>
              <w:t>11.</w:t>
            </w:r>
          </w:p>
        </w:tc>
        <w:tc>
          <w:tcPr>
            <w:tcW w:w="5245" w:type="dxa"/>
          </w:tcPr>
          <w:p>
            <w:pPr>
              <w:pStyle w:val="yTableNAm"/>
              <w:tabs>
                <w:tab w:val="right" w:leader="dot" w:pos="4963"/>
                <w:tab w:val="left" w:leader="dot" w:pos="5103"/>
                <w:tab w:val="left" w:leader="dot" w:pos="5443"/>
              </w:tabs>
              <w:ind w:left="579" w:hanging="579"/>
            </w:pPr>
            <w:r>
              <w:t xml:space="preserve">Application to be a licensed supplier </w:t>
            </w:r>
            <w:r>
              <w:tab/>
            </w:r>
          </w:p>
        </w:tc>
        <w:tc>
          <w:tcPr>
            <w:tcW w:w="992" w:type="dxa"/>
          </w:tcPr>
          <w:p>
            <w:pPr>
              <w:pStyle w:val="yTableNAm"/>
              <w:jc w:val="center"/>
            </w:pPr>
            <w:r>
              <w:rPr>
                <w:szCs w:val="22"/>
              </w:rPr>
              <w:t>304</w:t>
            </w:r>
          </w:p>
        </w:tc>
      </w:tr>
      <w:tr>
        <w:tc>
          <w:tcPr>
            <w:tcW w:w="851" w:type="dxa"/>
          </w:tcPr>
          <w:p>
            <w:pPr>
              <w:pStyle w:val="yTableNAm"/>
            </w:pPr>
            <w:r>
              <w:t>12.</w:t>
            </w:r>
          </w:p>
        </w:tc>
        <w:tc>
          <w:tcPr>
            <w:tcW w:w="5245" w:type="dxa"/>
          </w:tcPr>
          <w:p>
            <w:pPr>
              <w:pStyle w:val="yTableNAm"/>
              <w:tabs>
                <w:tab w:val="clear" w:pos="567"/>
                <w:tab w:val="left" w:pos="0"/>
                <w:tab w:val="right" w:leader="dot" w:pos="4963"/>
                <w:tab w:val="left" w:leader="dot" w:pos="5103"/>
                <w:tab w:val="left" w:leader="dot" w:pos="5443"/>
              </w:tabs>
            </w:pPr>
            <w:r>
              <w:t xml:space="preserve">Approval to operate, or remove money from, gaming equipment </w:t>
            </w:r>
            <w:r>
              <w:tab/>
            </w:r>
          </w:p>
        </w:tc>
        <w:tc>
          <w:tcPr>
            <w:tcW w:w="992" w:type="dxa"/>
          </w:tcPr>
          <w:p>
            <w:pPr>
              <w:pStyle w:val="yTableNAm"/>
              <w:jc w:val="center"/>
            </w:pPr>
            <w:r>
              <w:br/>
              <w:t>25</w:t>
            </w:r>
          </w:p>
        </w:tc>
      </w:tr>
    </w:tbl>
    <w:p>
      <w:pPr>
        <w:pStyle w:val="yFootnotesection"/>
      </w:pPr>
      <w:r>
        <w:tab/>
        <w:t>[Schedule 1 inserted in Gazette 30 Oct 2009 p. 4317</w:t>
      </w:r>
      <w:r>
        <w:noBreakHyphen/>
        <w:t>19; amended in Gazette 19 Nov 2010 p. 5748 (correction in Gazette 20 May 2011 p. 1840); 4 Nov 2011 p. 4645</w:t>
      </w:r>
      <w:r>
        <w:noBreakHyphen/>
        <w:t>6; 16 Nov 2012 p. 5650</w:t>
      </w:r>
      <w:r>
        <w:noBreakHyphen/>
        <w:t xml:space="preserve">1; </w:t>
      </w:r>
      <w:r>
        <w:rPr>
          <w:szCs w:val="22"/>
        </w:rPr>
        <w:t>8 Nov 2013 p</w:t>
      </w:r>
      <w:r>
        <w:t>. 4976</w:t>
      </w:r>
      <w:r>
        <w:noBreakHyphen/>
        <w:t>7; 14 Nov 2014 p. 4282</w:t>
      </w:r>
      <w:r>
        <w:noBreakHyphen/>
        <w:t>4; 6 Nov 2015 p. 4583-4; 28 Oct 2016 p. 4912</w:t>
      </w:r>
      <w:r>
        <w:noBreakHyphen/>
        <w:t>13.]</w:t>
      </w:r>
    </w:p>
    <w:p>
      <w:pPr>
        <w:pStyle w:val="yScheduleHeading"/>
      </w:pPr>
      <w:bookmarkStart w:id="82" w:name="_Toc524514001"/>
      <w:r>
        <w:rPr>
          <w:rStyle w:val="CharSchNo"/>
        </w:rPr>
        <w:t>Schedule 2</w:t>
      </w:r>
      <w:r>
        <w:t> — </w:t>
      </w:r>
      <w:r>
        <w:rPr>
          <w:rStyle w:val="CharSchText"/>
        </w:rPr>
        <w:t>Prescribed penalties under section 36(1)</w:t>
      </w:r>
      <w:bookmarkEnd w:id="82"/>
    </w:p>
    <w:p>
      <w:pPr>
        <w:pStyle w:val="yFootnoteheading"/>
        <w:spacing w:before="80" w:after="80"/>
      </w:pPr>
      <w:r>
        <w:tab/>
        <w:t>[Heading inserted in Gazette 10 Jun 2008 p. 2495.]</w:t>
      </w:r>
    </w:p>
    <w:tbl>
      <w:tblPr>
        <w:tblW w:w="0" w:type="auto"/>
        <w:tblInd w:w="85" w:type="dxa"/>
        <w:tblLayout w:type="fixed"/>
        <w:tblCellMar>
          <w:left w:w="85" w:type="dxa"/>
          <w:right w:w="141" w:type="dxa"/>
        </w:tblCellMar>
        <w:tblLook w:val="0000" w:firstRow="0" w:lastRow="0" w:firstColumn="0" w:lastColumn="0" w:noHBand="0" w:noVBand="0"/>
      </w:tblPr>
      <w:tblGrid>
        <w:gridCol w:w="1190"/>
        <w:gridCol w:w="4801"/>
        <w:gridCol w:w="19"/>
        <w:gridCol w:w="1078"/>
      </w:tblGrid>
      <w:tr>
        <w:tc>
          <w:tcPr>
            <w:tcW w:w="1190" w:type="dxa"/>
            <w:tcBorders>
              <w:top w:val="single" w:sz="4" w:space="0" w:color="auto"/>
            </w:tcBorders>
          </w:tcPr>
          <w:p>
            <w:pPr>
              <w:pStyle w:val="yTable"/>
            </w:pPr>
            <w:r>
              <w:rPr>
                <w:b/>
                <w:bCs/>
                <w:sz w:val="20"/>
              </w:rPr>
              <w:t>Section</w:t>
            </w:r>
          </w:p>
        </w:tc>
        <w:tc>
          <w:tcPr>
            <w:tcW w:w="4820" w:type="dxa"/>
            <w:gridSpan w:val="2"/>
            <w:tcBorders>
              <w:top w:val="single" w:sz="4" w:space="0" w:color="auto"/>
            </w:tcBorders>
          </w:tcPr>
          <w:p>
            <w:pPr>
              <w:pStyle w:val="yTable"/>
              <w:jc w:val="center"/>
            </w:pPr>
            <w:r>
              <w:rPr>
                <w:b/>
                <w:bCs/>
                <w:sz w:val="20"/>
              </w:rPr>
              <w:t>Description of offence</w:t>
            </w:r>
          </w:p>
        </w:tc>
        <w:tc>
          <w:tcPr>
            <w:tcW w:w="1078" w:type="dxa"/>
            <w:tcBorders>
              <w:top w:val="single" w:sz="4" w:space="0" w:color="auto"/>
            </w:tcBorders>
          </w:tcPr>
          <w:p>
            <w:pPr>
              <w:pStyle w:val="yTable"/>
              <w:jc w:val="center"/>
            </w:pPr>
            <w:r>
              <w:rPr>
                <w:b/>
                <w:bCs/>
                <w:sz w:val="20"/>
              </w:rPr>
              <w:t>Modified penalty</w:t>
            </w:r>
          </w:p>
        </w:tc>
      </w:tr>
      <w:tr>
        <w:tc>
          <w:tcPr>
            <w:tcW w:w="1190" w:type="dxa"/>
            <w:tcBorders>
              <w:bottom w:val="single" w:sz="4" w:space="0" w:color="auto"/>
            </w:tcBorders>
          </w:tcPr>
          <w:p>
            <w:pPr>
              <w:pStyle w:val="zytable"/>
              <w:spacing w:before="0"/>
              <w:ind w:left="0" w:right="0"/>
              <w:jc w:val="center"/>
              <w:rPr>
                <w:b/>
                <w:bCs/>
                <w:sz w:val="20"/>
              </w:rPr>
            </w:pPr>
          </w:p>
        </w:tc>
        <w:tc>
          <w:tcPr>
            <w:tcW w:w="4820" w:type="dxa"/>
            <w:gridSpan w:val="2"/>
            <w:tcBorders>
              <w:bottom w:val="single" w:sz="4" w:space="0" w:color="auto"/>
            </w:tcBorders>
          </w:tcPr>
          <w:p>
            <w:pPr>
              <w:pStyle w:val="zytable"/>
              <w:spacing w:before="0"/>
              <w:ind w:left="0" w:right="-141"/>
              <w:jc w:val="center"/>
              <w:rPr>
                <w:b/>
                <w:bCs/>
                <w:sz w:val="20"/>
              </w:rPr>
            </w:pPr>
          </w:p>
        </w:tc>
        <w:tc>
          <w:tcPr>
            <w:tcW w:w="1078" w:type="dxa"/>
            <w:tcBorders>
              <w:bottom w:val="single" w:sz="4" w:space="0" w:color="auto"/>
            </w:tcBorders>
          </w:tcPr>
          <w:p>
            <w:pPr>
              <w:pStyle w:val="yTable"/>
              <w:jc w:val="center"/>
            </w:pPr>
            <w:r>
              <w:rPr>
                <w:b/>
                <w:bCs/>
                <w:sz w:val="20"/>
              </w:rPr>
              <w:t>$</w:t>
            </w:r>
          </w:p>
        </w:tc>
      </w:tr>
      <w:tr>
        <w:tc>
          <w:tcPr>
            <w:tcW w:w="1190" w:type="dxa"/>
          </w:tcPr>
          <w:p>
            <w:pPr>
              <w:pStyle w:val="yTable"/>
            </w:pPr>
            <w:r>
              <w:rPr>
                <w:sz w:val="20"/>
              </w:rPr>
              <w:t>41(3)</w:t>
            </w:r>
          </w:p>
        </w:tc>
        <w:tc>
          <w:tcPr>
            <w:tcW w:w="4820" w:type="dxa"/>
            <w:gridSpan w:val="2"/>
          </w:tcPr>
          <w:p>
            <w:pPr>
              <w:pStyle w:val="yTable"/>
              <w:tabs>
                <w:tab w:val="left" w:leader="dot" w:pos="4594"/>
              </w:tabs>
            </w:pPr>
            <w:r>
              <w:rPr>
                <w:sz w:val="20"/>
              </w:rPr>
              <w:t>Being concerned in the conduct of gambling at a common gaming house</w:t>
            </w:r>
            <w:r>
              <w:rPr>
                <w:sz w:val="20"/>
              </w:rPr>
              <w:tab/>
            </w:r>
          </w:p>
        </w:tc>
        <w:tc>
          <w:tcPr>
            <w:tcW w:w="1078" w:type="dxa"/>
          </w:tcPr>
          <w:p>
            <w:pPr>
              <w:pStyle w:val="yTable"/>
              <w:jc w:val="center"/>
            </w:pPr>
            <w:r>
              <w:rPr>
                <w:sz w:val="20"/>
              </w:rPr>
              <w:br/>
              <w:t>250</w:t>
            </w:r>
          </w:p>
        </w:tc>
      </w:tr>
      <w:tr>
        <w:tc>
          <w:tcPr>
            <w:tcW w:w="1190" w:type="dxa"/>
          </w:tcPr>
          <w:p>
            <w:pPr>
              <w:pStyle w:val="yTable"/>
            </w:pPr>
            <w:r>
              <w:rPr>
                <w:sz w:val="20"/>
              </w:rPr>
              <w:t>41(6)</w:t>
            </w:r>
          </w:p>
        </w:tc>
        <w:tc>
          <w:tcPr>
            <w:tcW w:w="4820" w:type="dxa"/>
            <w:gridSpan w:val="2"/>
          </w:tcPr>
          <w:p>
            <w:pPr>
              <w:pStyle w:val="yTable"/>
              <w:tabs>
                <w:tab w:val="left" w:leader="dot" w:pos="4594"/>
              </w:tabs>
            </w:pPr>
            <w:r>
              <w:rPr>
                <w:sz w:val="20"/>
              </w:rPr>
              <w:t>Being present at a common gaming house for the purpose of taking part in gambling</w:t>
            </w:r>
            <w:r>
              <w:rPr>
                <w:sz w:val="20"/>
              </w:rPr>
              <w:tab/>
            </w:r>
          </w:p>
        </w:tc>
        <w:tc>
          <w:tcPr>
            <w:tcW w:w="1078" w:type="dxa"/>
          </w:tcPr>
          <w:p>
            <w:pPr>
              <w:pStyle w:val="yTable"/>
              <w:jc w:val="center"/>
            </w:pPr>
            <w:r>
              <w:rPr>
                <w:sz w:val="20"/>
              </w:rPr>
              <w:br/>
              <w:t>50</w:t>
            </w:r>
          </w:p>
        </w:tc>
      </w:tr>
      <w:tr>
        <w:tc>
          <w:tcPr>
            <w:tcW w:w="1190" w:type="dxa"/>
          </w:tcPr>
          <w:p>
            <w:pPr>
              <w:pStyle w:val="yTable"/>
            </w:pPr>
            <w:r>
              <w:rPr>
                <w:sz w:val="20"/>
              </w:rPr>
              <w:t>42(4)</w:t>
            </w:r>
          </w:p>
        </w:tc>
        <w:tc>
          <w:tcPr>
            <w:tcW w:w="4820" w:type="dxa"/>
            <w:gridSpan w:val="2"/>
          </w:tcPr>
          <w:p>
            <w:pPr>
              <w:pStyle w:val="yTable"/>
              <w:tabs>
                <w:tab w:val="left" w:leader="dot" w:pos="4594"/>
              </w:tabs>
            </w:pPr>
            <w:r>
              <w:rPr>
                <w:sz w:val="20"/>
              </w:rPr>
              <w:t>Being knowingly concerned in the conduct of an unlawful game</w:t>
            </w:r>
            <w:r>
              <w:rPr>
                <w:sz w:val="20"/>
              </w:rPr>
              <w:tab/>
            </w:r>
          </w:p>
        </w:tc>
        <w:tc>
          <w:tcPr>
            <w:tcW w:w="1078" w:type="dxa"/>
          </w:tcPr>
          <w:p>
            <w:pPr>
              <w:pStyle w:val="yTable"/>
              <w:jc w:val="center"/>
            </w:pPr>
            <w:r>
              <w:rPr>
                <w:sz w:val="20"/>
              </w:rPr>
              <w:br/>
              <w:t>200</w:t>
            </w:r>
          </w:p>
        </w:tc>
      </w:tr>
      <w:tr>
        <w:tc>
          <w:tcPr>
            <w:tcW w:w="1190" w:type="dxa"/>
          </w:tcPr>
          <w:p>
            <w:pPr>
              <w:pStyle w:val="yTable"/>
            </w:pPr>
            <w:r>
              <w:rPr>
                <w:sz w:val="20"/>
              </w:rPr>
              <w:t>42(5)</w:t>
            </w:r>
          </w:p>
        </w:tc>
        <w:tc>
          <w:tcPr>
            <w:tcW w:w="4820" w:type="dxa"/>
            <w:gridSpan w:val="2"/>
          </w:tcPr>
          <w:p>
            <w:pPr>
              <w:pStyle w:val="yTable"/>
              <w:tabs>
                <w:tab w:val="left" w:leader="dot" w:pos="4594"/>
              </w:tabs>
            </w:pPr>
            <w:r>
              <w:rPr>
                <w:sz w:val="20"/>
              </w:rPr>
              <w:t>Playing or wagering on an unlawful game</w:t>
            </w:r>
            <w:r>
              <w:rPr>
                <w:sz w:val="20"/>
              </w:rPr>
              <w:tab/>
            </w:r>
          </w:p>
        </w:tc>
        <w:tc>
          <w:tcPr>
            <w:tcW w:w="1078" w:type="dxa"/>
          </w:tcPr>
          <w:p>
            <w:pPr>
              <w:pStyle w:val="yTable"/>
              <w:jc w:val="center"/>
            </w:pPr>
            <w:r>
              <w:rPr>
                <w:sz w:val="20"/>
              </w:rPr>
              <w:t>50</w:t>
            </w:r>
          </w:p>
        </w:tc>
      </w:tr>
      <w:tr>
        <w:tc>
          <w:tcPr>
            <w:tcW w:w="1190" w:type="dxa"/>
          </w:tcPr>
          <w:p>
            <w:pPr>
              <w:pStyle w:val="yTable"/>
            </w:pPr>
            <w:r>
              <w:rPr>
                <w:sz w:val="20"/>
              </w:rPr>
              <w:t>43A(2)</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 prohibited advertisement</w:t>
            </w:r>
            <w:r>
              <w:rPr>
                <w:sz w:val="20"/>
              </w:rPr>
              <w:tab/>
            </w:r>
          </w:p>
        </w:tc>
        <w:tc>
          <w:tcPr>
            <w:tcW w:w="1078" w:type="dxa"/>
          </w:tcPr>
          <w:p>
            <w:pPr>
              <w:pStyle w:val="yTable"/>
              <w:jc w:val="center"/>
            </w:pPr>
            <w:r>
              <w:rPr>
                <w:sz w:val="20"/>
              </w:rPr>
              <w:br/>
            </w:r>
            <w:r>
              <w:rPr>
                <w:sz w:val="20"/>
              </w:rPr>
              <w:br/>
              <w:t>250</w:t>
            </w:r>
          </w:p>
        </w:tc>
      </w:tr>
      <w:tr>
        <w:tc>
          <w:tcPr>
            <w:tcW w:w="1190" w:type="dxa"/>
          </w:tcPr>
          <w:p>
            <w:pPr>
              <w:pStyle w:val="yTable"/>
            </w:pPr>
            <w:r>
              <w:rPr>
                <w:sz w:val="20"/>
              </w:rPr>
              <w:t>43A(3)</w:t>
            </w:r>
          </w:p>
        </w:tc>
        <w:tc>
          <w:tcPr>
            <w:tcW w:w="4820" w:type="dxa"/>
            <w:gridSpan w:val="2"/>
          </w:tcPr>
          <w:p>
            <w:pPr>
              <w:pStyle w:val="yTable"/>
              <w:tabs>
                <w:tab w:val="left" w:leader="dot" w:pos="4594"/>
              </w:tabs>
            </w:pPr>
            <w:r>
              <w:rPr>
                <w:sz w:val="20"/>
              </w:rPr>
              <w:t>Broadcasts, prints, publishes or distributes, or has in possession for the purpose of publication or distribution, an advertisement that conveys the existence of a person who will engage in or conduct gaming, wagering or a lottery</w:t>
            </w:r>
            <w:r>
              <w:rPr>
                <w:sz w:val="20"/>
              </w:rPr>
              <w:tab/>
            </w:r>
          </w:p>
        </w:tc>
        <w:tc>
          <w:tcPr>
            <w:tcW w:w="1078" w:type="dxa"/>
          </w:tcPr>
          <w:p>
            <w:pPr>
              <w:pStyle w:val="yTable"/>
              <w:jc w:val="center"/>
            </w:pPr>
            <w:r>
              <w:rPr>
                <w:sz w:val="20"/>
              </w:rPr>
              <w:br/>
            </w:r>
            <w:r>
              <w:rPr>
                <w:sz w:val="20"/>
              </w:rPr>
              <w:br/>
            </w:r>
            <w:r>
              <w:rPr>
                <w:sz w:val="20"/>
              </w:rPr>
              <w:br/>
            </w:r>
            <w:r>
              <w:rPr>
                <w:sz w:val="20"/>
              </w:rPr>
              <w:br/>
              <w:t>200</w:t>
            </w:r>
          </w:p>
        </w:tc>
      </w:tr>
      <w:tr>
        <w:tc>
          <w:tcPr>
            <w:tcW w:w="1190" w:type="dxa"/>
          </w:tcPr>
          <w:p>
            <w:pPr>
              <w:pStyle w:val="yTable"/>
            </w:pPr>
            <w:r>
              <w:rPr>
                <w:sz w:val="20"/>
              </w:rPr>
              <w:t>44(1)</w:t>
            </w:r>
          </w:p>
        </w:tc>
        <w:tc>
          <w:tcPr>
            <w:tcW w:w="4820" w:type="dxa"/>
            <w:gridSpan w:val="2"/>
          </w:tcPr>
          <w:p>
            <w:pPr>
              <w:pStyle w:val="yTable"/>
              <w:tabs>
                <w:tab w:val="left" w:leader="dot" w:pos="4594"/>
              </w:tabs>
            </w:pPr>
            <w:r>
              <w:rPr>
                <w:sz w:val="20"/>
              </w:rPr>
              <w:t>Cheating by deceit or any fraudulent means</w:t>
            </w:r>
            <w:r>
              <w:rPr>
                <w:sz w:val="20"/>
              </w:rPr>
              <w:tab/>
            </w:r>
          </w:p>
        </w:tc>
        <w:tc>
          <w:tcPr>
            <w:tcW w:w="1078" w:type="dxa"/>
          </w:tcPr>
          <w:p>
            <w:pPr>
              <w:pStyle w:val="yTable"/>
              <w:jc w:val="center"/>
            </w:pPr>
            <w:r>
              <w:rPr>
                <w:sz w:val="20"/>
              </w:rPr>
              <w:t>250</w:t>
            </w:r>
          </w:p>
        </w:tc>
      </w:tr>
      <w:tr>
        <w:tc>
          <w:tcPr>
            <w:tcW w:w="1190" w:type="dxa"/>
          </w:tcPr>
          <w:p>
            <w:pPr>
              <w:pStyle w:val="yTable"/>
            </w:pPr>
            <w:r>
              <w:rPr>
                <w:sz w:val="20"/>
              </w:rPr>
              <w:t>45(1)</w:t>
            </w:r>
          </w:p>
        </w:tc>
        <w:tc>
          <w:tcPr>
            <w:tcW w:w="4820" w:type="dxa"/>
            <w:gridSpan w:val="2"/>
          </w:tcPr>
          <w:p>
            <w:pPr>
              <w:pStyle w:val="yTable"/>
              <w:tabs>
                <w:tab w:val="left" w:leader="dot" w:pos="4594"/>
              </w:tabs>
            </w:pPr>
            <w:r>
              <w:rPr>
                <w:sz w:val="20"/>
              </w:rPr>
              <w:t>Fraudulent falsification of gaming records</w:t>
            </w:r>
            <w:r>
              <w:rPr>
                <w:sz w:val="20"/>
              </w:rPr>
              <w:tab/>
            </w:r>
          </w:p>
        </w:tc>
        <w:tc>
          <w:tcPr>
            <w:tcW w:w="1078" w:type="dxa"/>
          </w:tcPr>
          <w:p>
            <w:pPr>
              <w:pStyle w:val="yTable"/>
              <w:jc w:val="center"/>
            </w:pPr>
            <w:r>
              <w:rPr>
                <w:sz w:val="20"/>
              </w:rPr>
              <w:t>200</w:t>
            </w:r>
          </w:p>
        </w:tc>
      </w:tr>
      <w:tr>
        <w:tc>
          <w:tcPr>
            <w:tcW w:w="1190" w:type="dxa"/>
          </w:tcPr>
          <w:p>
            <w:pPr>
              <w:pStyle w:val="yTable"/>
            </w:pPr>
            <w:r>
              <w:rPr>
                <w:sz w:val="20"/>
              </w:rPr>
              <w:t>45(2)</w:t>
            </w:r>
          </w:p>
        </w:tc>
        <w:tc>
          <w:tcPr>
            <w:tcW w:w="4820" w:type="dxa"/>
            <w:gridSpan w:val="2"/>
          </w:tcPr>
          <w:p>
            <w:pPr>
              <w:pStyle w:val="yTable"/>
              <w:tabs>
                <w:tab w:val="left" w:leader="dot" w:pos="4594"/>
              </w:tabs>
            </w:pPr>
            <w:r>
              <w:rPr>
                <w:sz w:val="20"/>
              </w:rPr>
              <w:t>Fraudulent conduct of permitted gaming</w:t>
            </w:r>
            <w:r>
              <w:rPr>
                <w:sz w:val="20"/>
              </w:rPr>
              <w:tab/>
            </w:r>
          </w:p>
        </w:tc>
        <w:tc>
          <w:tcPr>
            <w:tcW w:w="1078" w:type="dxa"/>
          </w:tcPr>
          <w:p>
            <w:pPr>
              <w:pStyle w:val="yTable"/>
              <w:jc w:val="center"/>
            </w:pPr>
            <w:r>
              <w:rPr>
                <w:sz w:val="20"/>
              </w:rPr>
              <w:t>200</w:t>
            </w:r>
          </w:p>
        </w:tc>
      </w:tr>
      <w:tr>
        <w:tc>
          <w:tcPr>
            <w:tcW w:w="1190" w:type="dxa"/>
          </w:tcPr>
          <w:p>
            <w:pPr>
              <w:pStyle w:val="yTable"/>
            </w:pPr>
            <w:r>
              <w:rPr>
                <w:sz w:val="20"/>
              </w:rPr>
              <w:t>45(3)</w:t>
            </w:r>
          </w:p>
        </w:tc>
        <w:tc>
          <w:tcPr>
            <w:tcW w:w="4820" w:type="dxa"/>
            <w:gridSpan w:val="2"/>
          </w:tcPr>
          <w:p>
            <w:pPr>
              <w:pStyle w:val="yTable"/>
              <w:tabs>
                <w:tab w:val="left" w:leader="dot" w:pos="4594"/>
              </w:tabs>
            </w:pPr>
            <w:r>
              <w:rPr>
                <w:sz w:val="20"/>
              </w:rPr>
              <w:t>Unauthorised diversion of funds raised</w:t>
            </w:r>
            <w:r>
              <w:rPr>
                <w:sz w:val="20"/>
              </w:rPr>
              <w:tab/>
            </w:r>
          </w:p>
        </w:tc>
        <w:tc>
          <w:tcPr>
            <w:tcW w:w="1078" w:type="dxa"/>
          </w:tcPr>
          <w:p>
            <w:pPr>
              <w:pStyle w:val="yTable"/>
              <w:jc w:val="center"/>
            </w:pPr>
            <w:r>
              <w:rPr>
                <w:sz w:val="20"/>
              </w:rPr>
              <w:t>100</w:t>
            </w:r>
          </w:p>
        </w:tc>
      </w:tr>
      <w:tr>
        <w:tc>
          <w:tcPr>
            <w:tcW w:w="1190" w:type="dxa"/>
          </w:tcPr>
          <w:p>
            <w:pPr>
              <w:pStyle w:val="yTable"/>
            </w:pPr>
            <w:r>
              <w:rPr>
                <w:sz w:val="20"/>
              </w:rPr>
              <w:t>45(4)</w:t>
            </w:r>
          </w:p>
        </w:tc>
        <w:tc>
          <w:tcPr>
            <w:tcW w:w="4820" w:type="dxa"/>
            <w:gridSpan w:val="2"/>
          </w:tcPr>
          <w:p>
            <w:pPr>
              <w:pStyle w:val="yTable"/>
              <w:tabs>
                <w:tab w:val="left" w:leader="dot" w:pos="4594"/>
              </w:tabs>
            </w:pPr>
            <w:r>
              <w:rPr>
                <w:sz w:val="20"/>
              </w:rPr>
              <w:t>Conduct of permitted gaming in an unauthorised manner</w:t>
            </w:r>
            <w:r>
              <w:rPr>
                <w:sz w:val="20"/>
              </w:rPr>
              <w:tab/>
            </w:r>
          </w:p>
        </w:tc>
        <w:tc>
          <w:tcPr>
            <w:tcW w:w="1078" w:type="dxa"/>
          </w:tcPr>
          <w:p>
            <w:pPr>
              <w:pStyle w:val="yTable"/>
              <w:jc w:val="center"/>
            </w:pPr>
            <w:r>
              <w:rPr>
                <w:sz w:val="20"/>
              </w:rPr>
              <w:t>100</w:t>
            </w:r>
          </w:p>
        </w:tc>
      </w:tr>
      <w:tr>
        <w:tc>
          <w:tcPr>
            <w:tcW w:w="1190" w:type="dxa"/>
          </w:tcPr>
          <w:p>
            <w:pPr>
              <w:pStyle w:val="yTable"/>
            </w:pPr>
            <w:r>
              <w:rPr>
                <w:sz w:val="20"/>
              </w:rPr>
              <w:t>86</w:t>
            </w:r>
          </w:p>
        </w:tc>
        <w:tc>
          <w:tcPr>
            <w:tcW w:w="4820" w:type="dxa"/>
            <w:gridSpan w:val="2"/>
          </w:tcPr>
          <w:p>
            <w:pPr>
              <w:pStyle w:val="yTable"/>
              <w:tabs>
                <w:tab w:val="left" w:leader="dot" w:pos="4594"/>
              </w:tabs>
            </w:pPr>
            <w:r>
              <w:rPr>
                <w:sz w:val="20"/>
              </w:rPr>
              <w:t>Inserting in a gaming machine anything other than money or an authorised token</w:t>
            </w:r>
            <w:r>
              <w:rPr>
                <w:sz w:val="20"/>
              </w:rPr>
              <w:tab/>
            </w:r>
          </w:p>
        </w:tc>
        <w:tc>
          <w:tcPr>
            <w:tcW w:w="1078" w:type="dxa"/>
          </w:tcPr>
          <w:p>
            <w:pPr>
              <w:pStyle w:val="yTable"/>
              <w:jc w:val="center"/>
            </w:pPr>
            <w:r>
              <w:rPr>
                <w:sz w:val="20"/>
              </w:rPr>
              <w:br/>
              <w:t>20</w:t>
            </w:r>
          </w:p>
        </w:tc>
      </w:tr>
      <w:tr>
        <w:tc>
          <w:tcPr>
            <w:tcW w:w="1190" w:type="dxa"/>
          </w:tcPr>
          <w:p>
            <w:pPr>
              <w:pStyle w:val="yTable"/>
            </w:pPr>
            <w:r>
              <w:rPr>
                <w:sz w:val="20"/>
              </w:rPr>
              <w:t>95(4)</w:t>
            </w:r>
          </w:p>
        </w:tc>
        <w:tc>
          <w:tcPr>
            <w:tcW w:w="4820" w:type="dxa"/>
            <w:gridSpan w:val="2"/>
          </w:tcPr>
          <w:p>
            <w:pPr>
              <w:pStyle w:val="yTable"/>
              <w:tabs>
                <w:tab w:val="left" w:leader="dot" w:pos="4594"/>
              </w:tabs>
            </w:pPr>
            <w:r>
              <w:rPr>
                <w:sz w:val="20"/>
              </w:rPr>
              <w:t>Participating in bingo when not on the premises, or on behalf of another person not present on the premises</w:t>
            </w:r>
            <w:r>
              <w:rPr>
                <w:sz w:val="20"/>
              </w:rPr>
              <w:tab/>
            </w:r>
          </w:p>
        </w:tc>
        <w:tc>
          <w:tcPr>
            <w:tcW w:w="1078" w:type="dxa"/>
          </w:tcPr>
          <w:p>
            <w:pPr>
              <w:pStyle w:val="yTable"/>
              <w:jc w:val="center"/>
            </w:pPr>
            <w:r>
              <w:rPr>
                <w:sz w:val="20"/>
              </w:rPr>
              <w:br/>
              <w:t>20</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bottom w:val="nil"/>
            </w:tcBorders>
            <w:tcMar>
              <w:bottom w:w="0" w:type="dxa"/>
            </w:tcMar>
          </w:tcPr>
          <w:p>
            <w:pPr>
              <w:pStyle w:val="zyTableNAm"/>
              <w:spacing w:before="60"/>
              <w:rPr>
                <w:b/>
                <w:bCs/>
                <w:sz w:val="20"/>
              </w:rPr>
            </w:pPr>
            <w:r>
              <w:rPr>
                <w:b/>
                <w:bCs/>
                <w:sz w:val="20"/>
              </w:rPr>
              <w:t>Regulation</w:t>
            </w:r>
          </w:p>
        </w:tc>
        <w:tc>
          <w:tcPr>
            <w:tcW w:w="4801" w:type="dxa"/>
            <w:tcBorders>
              <w:bottom w:val="nil"/>
            </w:tcBorders>
            <w:tcMar>
              <w:bottom w:w="0" w:type="dxa"/>
            </w:tcMar>
          </w:tcPr>
          <w:p>
            <w:pPr>
              <w:pStyle w:val="zyTableNAm"/>
              <w:spacing w:before="60"/>
              <w:jc w:val="center"/>
              <w:rPr>
                <w:b/>
                <w:bCs/>
                <w:sz w:val="20"/>
              </w:rPr>
            </w:pPr>
            <w:r>
              <w:rPr>
                <w:b/>
                <w:bCs/>
                <w:sz w:val="20"/>
              </w:rPr>
              <w:t>Description of offence</w:t>
            </w:r>
          </w:p>
        </w:tc>
        <w:tc>
          <w:tcPr>
            <w:tcW w:w="1097"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bottom w:w="113" w:type="dxa"/>
            <w:right w:w="108" w:type="dxa"/>
          </w:tblCellMar>
        </w:tblPrEx>
        <w:tc>
          <w:tcPr>
            <w:tcW w:w="1190" w:type="dxa"/>
            <w:tcBorders>
              <w:top w:val="nil"/>
            </w:tcBorders>
            <w:tcMar>
              <w:bottom w:w="0" w:type="dxa"/>
            </w:tcMar>
          </w:tcPr>
          <w:p>
            <w:pPr>
              <w:pStyle w:val="zyTableNAm"/>
              <w:spacing w:before="60"/>
              <w:jc w:val="center"/>
              <w:rPr>
                <w:b/>
                <w:bCs/>
                <w:sz w:val="20"/>
              </w:rPr>
            </w:pPr>
          </w:p>
        </w:tc>
        <w:tc>
          <w:tcPr>
            <w:tcW w:w="4801" w:type="dxa"/>
            <w:tcBorders>
              <w:top w:val="nil"/>
            </w:tcBorders>
            <w:tcMar>
              <w:bottom w:w="0" w:type="dxa"/>
            </w:tcMar>
          </w:tcPr>
          <w:p>
            <w:pPr>
              <w:pStyle w:val="zyTableNAm"/>
              <w:spacing w:before="60"/>
              <w:jc w:val="center"/>
              <w:rPr>
                <w:b/>
                <w:bCs/>
                <w:sz w:val="20"/>
              </w:rPr>
            </w:pPr>
          </w:p>
        </w:tc>
        <w:tc>
          <w:tcPr>
            <w:tcW w:w="1097" w:type="dxa"/>
            <w:gridSpan w:val="2"/>
            <w:tcBorders>
              <w:top w:val="nil"/>
            </w:tcBorders>
            <w:tcMar>
              <w:bottom w:w="0" w:type="dxa"/>
            </w:tcMar>
          </w:tcPr>
          <w:p>
            <w:pPr>
              <w:pStyle w:val="zyTableNAm"/>
              <w:spacing w:before="60"/>
              <w:jc w:val="center"/>
              <w:rPr>
                <w:b/>
                <w:bCs/>
                <w:sz w:val="20"/>
              </w:rPr>
            </w:pPr>
            <w:r>
              <w:rPr>
                <w:b/>
                <w:bCs/>
                <w:sz w:val="20"/>
              </w:rPr>
              <w:t>$</w:t>
            </w:r>
          </w:p>
        </w:tc>
      </w:tr>
      <w:tr>
        <w:tc>
          <w:tcPr>
            <w:tcW w:w="1190" w:type="dxa"/>
          </w:tcPr>
          <w:p>
            <w:pPr>
              <w:pStyle w:val="yTable"/>
            </w:pPr>
            <w:r>
              <w:rPr>
                <w:sz w:val="20"/>
              </w:rPr>
              <w:t>38A(1)</w:t>
            </w:r>
          </w:p>
        </w:tc>
        <w:tc>
          <w:tcPr>
            <w:tcW w:w="4820" w:type="dxa"/>
            <w:gridSpan w:val="2"/>
          </w:tcPr>
          <w:p>
            <w:pPr>
              <w:pStyle w:val="yTable"/>
              <w:tabs>
                <w:tab w:val="left" w:leader="dot" w:pos="4594"/>
              </w:tabs>
            </w:pPr>
            <w:r>
              <w:rPr>
                <w:sz w:val="20"/>
              </w:rPr>
              <w:t>Conducting a permitted lottery otherwise than in accordance with a permit</w:t>
            </w:r>
            <w:r>
              <w:rPr>
                <w:sz w:val="20"/>
              </w:rPr>
              <w:tab/>
            </w:r>
          </w:p>
        </w:tc>
        <w:tc>
          <w:tcPr>
            <w:tcW w:w="1078" w:type="dxa"/>
          </w:tcPr>
          <w:p>
            <w:pPr>
              <w:pStyle w:val="yTable"/>
              <w:jc w:val="center"/>
            </w:pPr>
            <w:r>
              <w:rPr>
                <w:sz w:val="20"/>
              </w:rPr>
              <w:br/>
              <w:t>100</w:t>
            </w:r>
          </w:p>
        </w:tc>
      </w:tr>
      <w:tr>
        <w:tc>
          <w:tcPr>
            <w:tcW w:w="1190" w:type="dxa"/>
            <w:tcBorders>
              <w:bottom w:val="single" w:sz="4" w:space="0" w:color="auto"/>
            </w:tcBorders>
          </w:tcPr>
          <w:p>
            <w:pPr>
              <w:pStyle w:val="yTable"/>
            </w:pPr>
            <w:r>
              <w:rPr>
                <w:sz w:val="20"/>
              </w:rPr>
              <w:t>38A(2)</w:t>
            </w:r>
          </w:p>
        </w:tc>
        <w:tc>
          <w:tcPr>
            <w:tcW w:w="4820" w:type="dxa"/>
            <w:gridSpan w:val="2"/>
            <w:tcBorders>
              <w:bottom w:val="single" w:sz="4" w:space="0" w:color="auto"/>
            </w:tcBorders>
          </w:tcPr>
          <w:p>
            <w:pPr>
              <w:pStyle w:val="yTable"/>
              <w:tabs>
                <w:tab w:val="left" w:leader="dot" w:pos="4594"/>
              </w:tabs>
            </w:pPr>
            <w:r>
              <w:rPr>
                <w:sz w:val="20"/>
              </w:rPr>
              <w:t>Conducting a standard or continuing lottery otherwise than in accordance with the regulations</w:t>
            </w:r>
            <w:r>
              <w:rPr>
                <w:sz w:val="20"/>
              </w:rPr>
              <w:tab/>
            </w:r>
          </w:p>
        </w:tc>
        <w:tc>
          <w:tcPr>
            <w:tcW w:w="1078" w:type="dxa"/>
            <w:tcBorders>
              <w:bottom w:val="single" w:sz="4" w:space="0" w:color="auto"/>
            </w:tcBorders>
          </w:tcPr>
          <w:p>
            <w:pPr>
              <w:pStyle w:val="yTable"/>
              <w:jc w:val="center"/>
            </w:pPr>
            <w:r>
              <w:rPr>
                <w:sz w:val="20"/>
              </w:rPr>
              <w:br/>
              <w:t>100</w:t>
            </w:r>
          </w:p>
        </w:tc>
      </w:tr>
    </w:tbl>
    <w:p>
      <w:pPr>
        <w:pStyle w:val="yFootnotesection"/>
        <w:spacing w:before="80"/>
      </w:pPr>
      <w:r>
        <w:tab/>
        <w:t>[Schedule 2 inserted in Gazette 10 Jun 2008 p. 2495</w:t>
      </w:r>
      <w:r>
        <w:noBreakHyphen/>
        <w:t>6; amended in Gazette 12 Aug 2011 p 3250.]</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yScheduleHeading"/>
      </w:pPr>
      <w:bookmarkStart w:id="84" w:name="_Toc524514002"/>
      <w:r>
        <w:rPr>
          <w:rStyle w:val="CharSchNo"/>
        </w:rPr>
        <w:t>Schedule 3</w:t>
      </w:r>
      <w:bookmarkEnd w:id="84"/>
    </w:p>
    <w:p>
      <w:pPr>
        <w:pStyle w:val="yHeading2"/>
        <w:outlineLvl w:val="9"/>
      </w:pPr>
      <w:bookmarkStart w:id="85" w:name="_Toc524514003"/>
      <w:r>
        <w:rPr>
          <w:rStyle w:val="CharSchText"/>
        </w:rPr>
        <w:t>Forms</w:t>
      </w:r>
      <w:bookmarkEnd w:id="85"/>
    </w:p>
    <w:p>
      <w:pPr>
        <w:pStyle w:val="MiscellaneousHeading"/>
        <w:rPr>
          <w:b/>
        </w:rPr>
      </w:pPr>
      <w:r>
        <w:rPr>
          <w:rStyle w:val="CharSClsNo"/>
          <w:b/>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t xml:space="preserve"> 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MiscellaneousHeading"/>
        <w:pageBreakBefore/>
        <w:spacing w:before="0"/>
        <w:rPr>
          <w:b/>
          <w:snapToGrid w:val="0"/>
        </w:rPr>
      </w:pPr>
      <w:r>
        <w:rPr>
          <w:rStyle w:val="CharSClsNo"/>
          <w:b/>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Table"/>
        <w:tabs>
          <w:tab w:val="right" w:leader="dot" w:pos="7088"/>
        </w:tabs>
        <w:rPr>
          <w:snapToGrid w:val="0"/>
        </w:rPr>
      </w:pPr>
    </w:p>
    <w:p>
      <w:pPr>
        <w:pStyle w:val="yFootnotesection"/>
      </w:pPr>
      <w:r>
        <w:tab/>
        <w:t>[Form 2 amended in Gazette 30 Jan 2004 p. 416.]</w:t>
      </w:r>
    </w:p>
    <w:p>
      <w:pPr>
        <w:pStyle w:val="MiscellaneousHeading"/>
        <w:pageBreakBefore/>
        <w:spacing w:before="0"/>
        <w:rPr>
          <w:b/>
          <w:snapToGrid w:val="0"/>
        </w:rPr>
      </w:pPr>
      <w:r>
        <w:rPr>
          <w:rStyle w:val="CharSClsNo"/>
          <w:b/>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MiscellaneousHeading"/>
        <w:pageBreakBefore/>
        <w:spacing w:before="0"/>
        <w:rPr>
          <w:b/>
          <w:snapToGrid w:val="0"/>
        </w:rPr>
      </w:pPr>
      <w:r>
        <w:rPr>
          <w:rStyle w:val="CharSClsNo"/>
          <w:b/>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yScheduleHeading"/>
      </w:pPr>
      <w:bookmarkStart w:id="86" w:name="_Toc524514004"/>
      <w:r>
        <w:rPr>
          <w:rStyle w:val="CharSchNo"/>
        </w:rPr>
        <w:t>Schedule 4</w:t>
      </w:r>
      <w:bookmarkEnd w:id="86"/>
    </w:p>
    <w:p>
      <w:pPr>
        <w:pStyle w:val="yHeading2"/>
        <w:keepNext w:val="0"/>
        <w:outlineLvl w:val="9"/>
      </w:pPr>
      <w:bookmarkStart w:id="87" w:name="_Toc524514005"/>
      <w:r>
        <w:rPr>
          <w:rStyle w:val="CharSchText"/>
        </w:rPr>
        <w:t>Rules for the conduct of permitted games</w:t>
      </w:r>
      <w:bookmarkEnd w:id="87"/>
    </w:p>
    <w:p>
      <w:pPr>
        <w:pStyle w:val="yHeading3"/>
      </w:pPr>
      <w:bookmarkStart w:id="88" w:name="_Toc524514006"/>
      <w:r>
        <w:rPr>
          <w:rStyle w:val="CharSDivNo"/>
        </w:rPr>
        <w:t>Part 1</w:t>
      </w:r>
      <w:r>
        <w:t> — </w:t>
      </w:r>
      <w:r>
        <w:rPr>
          <w:rStyle w:val="CharSDivText"/>
        </w:rPr>
        <w:t>Permitted bingo</w:t>
      </w:r>
      <w:bookmarkEnd w:id="88"/>
    </w:p>
    <w:p>
      <w:pPr>
        <w:pStyle w:val="yMiscellaneousBody"/>
        <w:jc w:val="center"/>
        <w:rPr>
          <w:b/>
          <w:snapToGrid w:val="0"/>
        </w:rPr>
      </w:pPr>
      <w:r>
        <w:rPr>
          <w:b/>
          <w:snapToGrid w:val="0"/>
        </w:rPr>
        <w:t>Rules for the conduct of bingo</w:t>
      </w:r>
    </w:p>
    <w:p>
      <w:pPr>
        <w:pStyle w:val="yHeading5"/>
        <w:rPr>
          <w:snapToGrid w:val="0"/>
        </w:rPr>
      </w:pPr>
      <w:bookmarkStart w:id="89" w:name="_Toc524514007"/>
      <w:r>
        <w:rPr>
          <w:rStyle w:val="CharSClsNo"/>
        </w:rPr>
        <w:t>1</w:t>
      </w:r>
      <w:r>
        <w:rPr>
          <w:snapToGrid w:val="0"/>
        </w:rPr>
        <w:t>.</w:t>
      </w:r>
      <w:r>
        <w:rPr>
          <w:snapToGrid w:val="0"/>
        </w:rPr>
        <w:tab/>
        <w:t>Children cannot play</w:t>
      </w:r>
      <w:bookmarkEnd w:id="89"/>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90" w:name="_Toc524514008"/>
      <w:r>
        <w:rPr>
          <w:rStyle w:val="CharSClsNo"/>
        </w:rPr>
        <w:t>2</w:t>
      </w:r>
      <w:r>
        <w:rPr>
          <w:snapToGrid w:val="0"/>
        </w:rPr>
        <w:t>.</w:t>
      </w:r>
      <w:r>
        <w:rPr>
          <w:snapToGrid w:val="0"/>
        </w:rPr>
        <w:tab/>
        <w:t>Spotters cannot play</w:t>
      </w:r>
      <w:bookmarkEnd w:id="90"/>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91" w:name="_Toc524514009"/>
      <w:r>
        <w:rPr>
          <w:rStyle w:val="CharSClsNo"/>
        </w:rPr>
        <w:t>3</w:t>
      </w:r>
      <w:r>
        <w:rPr>
          <w:snapToGrid w:val="0"/>
        </w:rPr>
        <w:t>.</w:t>
      </w:r>
      <w:r>
        <w:rPr>
          <w:snapToGrid w:val="0"/>
        </w:rPr>
        <w:tab/>
        <w:t>Call backs, who can take part in</w:t>
      </w:r>
      <w:bookmarkEnd w:id="91"/>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92" w:name="_Toc524514010"/>
      <w:r>
        <w:rPr>
          <w:rStyle w:val="CharSClsNo"/>
        </w:rPr>
        <w:t>4</w:t>
      </w:r>
      <w:r>
        <w:rPr>
          <w:snapToGrid w:val="0"/>
        </w:rPr>
        <w:t>.</w:t>
      </w:r>
      <w:r>
        <w:rPr>
          <w:snapToGrid w:val="0"/>
        </w:rPr>
        <w:tab/>
        <w:t>Bingo cards</w:t>
      </w:r>
      <w:bookmarkEnd w:id="92"/>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93" w:name="_Toc524514011"/>
      <w:r>
        <w:rPr>
          <w:rStyle w:val="CharSClsNo"/>
        </w:rPr>
        <w:t>5</w:t>
      </w:r>
      <w:r>
        <w:rPr>
          <w:snapToGrid w:val="0"/>
        </w:rPr>
        <w:t>.</w:t>
      </w:r>
      <w:r>
        <w:rPr>
          <w:snapToGrid w:val="0"/>
        </w:rPr>
        <w:tab/>
        <w:t>Split games</w:t>
      </w:r>
      <w:bookmarkEnd w:id="93"/>
      <w:r>
        <w:rPr>
          <w:snapToGrid w:val="0"/>
        </w:rPr>
        <w:t xml:space="preserve"> </w:t>
      </w:r>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r>
        <w:tab/>
        <w:t>[Clause 5 inserted in Gazette 15 Feb 1994 p. 553.]</w:t>
      </w:r>
    </w:p>
    <w:p>
      <w:pPr>
        <w:pStyle w:val="yHeading5"/>
        <w:rPr>
          <w:snapToGrid w:val="0"/>
        </w:rPr>
      </w:pPr>
      <w:bookmarkStart w:id="94" w:name="_Toc524514012"/>
      <w:r>
        <w:rPr>
          <w:rStyle w:val="CharSClsNo"/>
        </w:rPr>
        <w:t>5A</w:t>
      </w:r>
      <w:r>
        <w:rPr>
          <w:snapToGrid w:val="0"/>
        </w:rPr>
        <w:t>.</w:t>
      </w:r>
      <w:r>
        <w:rPr>
          <w:snapToGrid w:val="0"/>
        </w:rPr>
        <w:tab/>
        <w:t>Prizes, who is eligible for</w:t>
      </w:r>
      <w:bookmarkEnd w:id="94"/>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r>
        <w:tab/>
        <w:t>[Clause 5A inserted in Gazette 15 Feb 1994 p. 553.]</w:t>
      </w:r>
    </w:p>
    <w:p>
      <w:pPr>
        <w:pStyle w:val="yHeading5"/>
        <w:rPr>
          <w:snapToGrid w:val="0"/>
        </w:rPr>
      </w:pPr>
      <w:bookmarkStart w:id="95" w:name="_Toc524514013"/>
      <w:r>
        <w:rPr>
          <w:rStyle w:val="CharSClsNo"/>
        </w:rPr>
        <w:t>5B</w:t>
      </w:r>
      <w:r>
        <w:rPr>
          <w:snapToGrid w:val="0"/>
        </w:rPr>
        <w:t>.</w:t>
      </w:r>
      <w:r>
        <w:rPr>
          <w:snapToGrid w:val="0"/>
        </w:rPr>
        <w:tab/>
        <w:t>When games conclude</w:t>
      </w:r>
      <w:bookmarkEnd w:id="95"/>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r>
        <w:tab/>
        <w:t>[Clause 5B inserted in Gazette 15 Feb 1994 p. 553.]</w:t>
      </w:r>
    </w:p>
    <w:p>
      <w:pPr>
        <w:pStyle w:val="yHeading5"/>
        <w:rPr>
          <w:snapToGrid w:val="0"/>
        </w:rPr>
      </w:pPr>
      <w:bookmarkStart w:id="96" w:name="_Toc524514014"/>
      <w:r>
        <w:rPr>
          <w:rStyle w:val="CharSClsNo"/>
        </w:rPr>
        <w:t>6</w:t>
      </w:r>
      <w:r>
        <w:rPr>
          <w:snapToGrid w:val="0"/>
        </w:rPr>
        <w:t>.</w:t>
      </w:r>
      <w:r>
        <w:rPr>
          <w:snapToGrid w:val="0"/>
        </w:rPr>
        <w:tab/>
        <w:t>Miscellaneous rules</w:t>
      </w:r>
      <w:bookmarkEnd w:id="96"/>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in Gazette 6 Apr 1990 p. 1769; amended in Gazette 16 May 1997 p. 2394; 22 Aug 2006 p. 3468.]</w:t>
      </w:r>
    </w:p>
    <w:p>
      <w:pPr>
        <w:pStyle w:val="yHeading5"/>
        <w:rPr>
          <w:snapToGrid w:val="0"/>
        </w:rPr>
      </w:pPr>
      <w:bookmarkStart w:id="97" w:name="_Toc524514015"/>
      <w:r>
        <w:rPr>
          <w:rStyle w:val="CharSClsNo"/>
        </w:rPr>
        <w:t>7</w:t>
      </w:r>
      <w:r>
        <w:rPr>
          <w:snapToGrid w:val="0"/>
        </w:rPr>
        <w:t>.</w:t>
      </w:r>
      <w:r>
        <w:rPr>
          <w:snapToGrid w:val="0"/>
        </w:rPr>
        <w:tab/>
        <w:t>Prizes, announcement of etc.</w:t>
      </w:r>
      <w:bookmarkEnd w:id="97"/>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r>
        <w:tab/>
        <w:t>[Clause 7 amended in Gazette 16 May 1997 p. 2394.]</w:t>
      </w:r>
    </w:p>
    <w:p>
      <w:pPr>
        <w:pStyle w:val="yHeading5"/>
        <w:rPr>
          <w:snapToGrid w:val="0"/>
        </w:rPr>
      </w:pPr>
      <w:bookmarkStart w:id="98" w:name="_Toc524514016"/>
      <w:r>
        <w:rPr>
          <w:rStyle w:val="CharSClsNo"/>
        </w:rPr>
        <w:t>8</w:t>
      </w:r>
      <w:r>
        <w:rPr>
          <w:snapToGrid w:val="0"/>
        </w:rPr>
        <w:t>.</w:t>
      </w:r>
      <w:r>
        <w:rPr>
          <w:snapToGrid w:val="0"/>
        </w:rPr>
        <w:tab/>
        <w:t>Prize shared if more than one winner</w:t>
      </w:r>
      <w:bookmarkEnd w:id="98"/>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r>
        <w:tab/>
        <w:t>[Clause 8 amended in Gazette 16 May 1997 p. 2394.]</w:t>
      </w:r>
    </w:p>
    <w:p>
      <w:pPr>
        <w:pStyle w:val="yHeading5"/>
        <w:rPr>
          <w:snapToGrid w:val="0"/>
        </w:rPr>
      </w:pPr>
      <w:bookmarkStart w:id="99" w:name="_Toc524514017"/>
      <w:r>
        <w:rPr>
          <w:rStyle w:val="CharSClsNo"/>
        </w:rPr>
        <w:t>9</w:t>
      </w:r>
      <w:r>
        <w:rPr>
          <w:snapToGrid w:val="0"/>
        </w:rPr>
        <w:t>.</w:t>
      </w:r>
      <w:r>
        <w:rPr>
          <w:snapToGrid w:val="0"/>
        </w:rPr>
        <w:tab/>
        <w:t>Prizes paid as soon as practicable</w:t>
      </w:r>
      <w:bookmarkEnd w:id="99"/>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00" w:name="_Toc524514018"/>
      <w:r>
        <w:rPr>
          <w:rStyle w:val="CharSClsNo"/>
        </w:rPr>
        <w:t>10</w:t>
      </w:r>
      <w:r>
        <w:rPr>
          <w:snapToGrid w:val="0"/>
        </w:rPr>
        <w:t>.</w:t>
      </w:r>
      <w:r>
        <w:rPr>
          <w:snapToGrid w:val="0"/>
        </w:rPr>
        <w:tab/>
        <w:t>Player who makes incorrect call allowed to continue play</w:t>
      </w:r>
      <w:bookmarkEnd w:id="100"/>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r>
        <w:tab/>
        <w:t>[Clause 10 inserted in Gazette 15 Feb 1994 p. 554.]</w:t>
      </w:r>
    </w:p>
    <w:p>
      <w:pPr>
        <w:pStyle w:val="yHeading5"/>
        <w:rPr>
          <w:snapToGrid w:val="0"/>
        </w:rPr>
      </w:pPr>
      <w:bookmarkStart w:id="101" w:name="_Toc524514019"/>
      <w:r>
        <w:rPr>
          <w:rStyle w:val="CharSClsNo"/>
        </w:rPr>
        <w:t>11</w:t>
      </w:r>
      <w:r>
        <w:rPr>
          <w:snapToGrid w:val="0"/>
        </w:rPr>
        <w:t>.</w:t>
      </w:r>
      <w:r>
        <w:rPr>
          <w:snapToGrid w:val="0"/>
        </w:rPr>
        <w:tab/>
        <w:t>Late calls by players</w:t>
      </w:r>
      <w:bookmarkEnd w:id="101"/>
      <w:r>
        <w:rPr>
          <w:snapToGrid w:val="0"/>
        </w:rPr>
        <w:t xml:space="preserve"> </w:t>
      </w:r>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r>
        <w:tab/>
        <w:t>[Clause 11 inserted in Gazette 15 Feb 1994 p. 554.]</w:t>
      </w:r>
    </w:p>
    <w:p>
      <w:pPr>
        <w:pStyle w:val="yHeading5"/>
        <w:rPr>
          <w:snapToGrid w:val="0"/>
        </w:rPr>
      </w:pPr>
      <w:bookmarkStart w:id="102" w:name="_Toc524514020"/>
      <w:r>
        <w:rPr>
          <w:rStyle w:val="CharSClsNo"/>
        </w:rPr>
        <w:t>12</w:t>
      </w:r>
      <w:r>
        <w:rPr>
          <w:snapToGrid w:val="0"/>
        </w:rPr>
        <w:t>.</w:t>
      </w:r>
      <w:r>
        <w:rPr>
          <w:snapToGrid w:val="0"/>
        </w:rPr>
        <w:tab/>
        <w:t>Calls must be acknowledged</w:t>
      </w:r>
      <w:bookmarkEnd w:id="102"/>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r>
        <w:tab/>
        <w:t>[Clause 12 inserted in Gazette 15 Feb 1994 p. 554.]</w:t>
      </w:r>
    </w:p>
    <w:p>
      <w:pPr>
        <w:pStyle w:val="yHeading3"/>
      </w:pPr>
      <w:bookmarkStart w:id="103" w:name="_Toc524514021"/>
      <w:r>
        <w:rPr>
          <w:rStyle w:val="CharSDivNo"/>
        </w:rPr>
        <w:t>Part 2</w:t>
      </w:r>
      <w:r>
        <w:t> — </w:t>
      </w:r>
      <w:r>
        <w:rPr>
          <w:rStyle w:val="CharSDivText"/>
        </w:rPr>
        <w:t>Permitted lotteries</w:t>
      </w:r>
      <w:bookmarkEnd w:id="103"/>
    </w:p>
    <w:p>
      <w:pPr>
        <w:pStyle w:val="yHeading4"/>
        <w:rPr>
          <w:snapToGrid w:val="0"/>
        </w:rPr>
      </w:pPr>
      <w:bookmarkStart w:id="104" w:name="_Toc524514022"/>
      <w:r>
        <w:rPr>
          <w:snapToGrid w:val="0"/>
        </w:rPr>
        <w:t>Division 1 — Rules for the conduct of a standard lottery</w:t>
      </w:r>
      <w:bookmarkEnd w:id="104"/>
    </w:p>
    <w:p>
      <w:pPr>
        <w:pStyle w:val="yHeading5"/>
        <w:rPr>
          <w:snapToGrid w:val="0"/>
        </w:rPr>
      </w:pPr>
      <w:bookmarkStart w:id="105" w:name="_Toc524514023"/>
      <w:r>
        <w:rPr>
          <w:rStyle w:val="CharSClsNo"/>
        </w:rPr>
        <w:t>1</w:t>
      </w:r>
      <w:r>
        <w:rPr>
          <w:snapToGrid w:val="0"/>
        </w:rPr>
        <w:t>.</w:t>
      </w:r>
      <w:r>
        <w:rPr>
          <w:snapToGrid w:val="0"/>
        </w:rPr>
        <w:tab/>
        <w:t>Chances, number of etc.</w:t>
      </w:r>
      <w:bookmarkEnd w:id="105"/>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r>
        <w:tab/>
        <w:t>[Clause 1 inserted in Gazette 11 May 1993 p. 2399.]</w:t>
      </w:r>
    </w:p>
    <w:p>
      <w:pPr>
        <w:pStyle w:val="yHeading5"/>
        <w:rPr>
          <w:snapToGrid w:val="0"/>
        </w:rPr>
      </w:pPr>
      <w:bookmarkStart w:id="106" w:name="_Toc524514024"/>
      <w:r>
        <w:rPr>
          <w:rStyle w:val="CharSClsNo"/>
        </w:rPr>
        <w:t>2</w:t>
      </w:r>
      <w:r>
        <w:rPr>
          <w:snapToGrid w:val="0"/>
        </w:rPr>
        <w:t>.</w:t>
      </w:r>
      <w:r>
        <w:rPr>
          <w:snapToGrid w:val="0"/>
        </w:rPr>
        <w:tab/>
        <w:t>Chances, information on</w:t>
      </w:r>
      <w:bookmarkEnd w:id="106"/>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r>
        <w:tab/>
        <w:t>[Clause 2 amended in Gazette 11 May 1993 p. 2399; 23 Feb 1996 p. 675; 28 Jun 1996 p. 3100; 27 Oct 2000 p. 6030.]</w:t>
      </w:r>
    </w:p>
    <w:p>
      <w:pPr>
        <w:pStyle w:val="yHeading5"/>
        <w:outlineLvl w:val="9"/>
        <w:rPr>
          <w:snapToGrid w:val="0"/>
        </w:rPr>
      </w:pPr>
      <w:bookmarkStart w:id="107" w:name="_Toc524514025"/>
      <w:r>
        <w:rPr>
          <w:rStyle w:val="CharSClsNo"/>
        </w:rPr>
        <w:t>2A</w:t>
      </w:r>
      <w:r>
        <w:rPr>
          <w:snapToGrid w:val="0"/>
        </w:rPr>
        <w:t>.</w:t>
      </w:r>
      <w:r>
        <w:rPr>
          <w:snapToGrid w:val="0"/>
        </w:rPr>
        <w:tab/>
        <w:t>Chance holders, identification of</w:t>
      </w:r>
      <w:bookmarkEnd w:id="107"/>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r>
        <w:tab/>
        <w:t>[Clause 2A inserted in Gazette 11 May 1993 p. 2399.]</w:t>
      </w:r>
    </w:p>
    <w:p>
      <w:pPr>
        <w:pStyle w:val="yHeading5"/>
        <w:rPr>
          <w:snapToGrid w:val="0"/>
        </w:rPr>
      </w:pPr>
      <w:bookmarkStart w:id="108" w:name="_Toc524514026"/>
      <w:r>
        <w:rPr>
          <w:rStyle w:val="CharSClsNo"/>
        </w:rPr>
        <w:t>3</w:t>
      </w:r>
      <w:r>
        <w:rPr>
          <w:snapToGrid w:val="0"/>
        </w:rPr>
        <w:t>.</w:t>
      </w:r>
      <w:r>
        <w:rPr>
          <w:snapToGrid w:val="0"/>
        </w:rPr>
        <w:tab/>
        <w:t>Results of draw</w:t>
      </w:r>
      <w:bookmarkEnd w:id="108"/>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r>
        <w:tab/>
        <w:t>[Clause 3 inserted in Gazette 28 Jun 1996 p. 3100.]</w:t>
      </w:r>
    </w:p>
    <w:p>
      <w:pPr>
        <w:pStyle w:val="yHeading5"/>
        <w:rPr>
          <w:snapToGrid w:val="0"/>
        </w:rPr>
      </w:pPr>
      <w:bookmarkStart w:id="109" w:name="_Toc524514027"/>
      <w:r>
        <w:rPr>
          <w:rStyle w:val="CharSClsNo"/>
        </w:rPr>
        <w:t>4</w:t>
      </w:r>
      <w:r>
        <w:rPr>
          <w:snapToGrid w:val="0"/>
        </w:rPr>
        <w:t>.</w:t>
      </w:r>
      <w:r>
        <w:rPr>
          <w:snapToGrid w:val="0"/>
        </w:rPr>
        <w:tab/>
        <w:t>Order in which prizes are to be drawn</w:t>
      </w:r>
      <w:bookmarkEnd w:id="109"/>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r>
        <w:tab/>
        <w:t>[Clause 4 inserted in Gazette 11 May 1993 p. 2399.]</w:t>
      </w:r>
    </w:p>
    <w:p>
      <w:pPr>
        <w:pStyle w:val="yHeading4"/>
        <w:rPr>
          <w:snapToGrid w:val="0"/>
        </w:rPr>
      </w:pPr>
      <w:bookmarkStart w:id="110" w:name="_Toc524514028"/>
      <w:r>
        <w:rPr>
          <w:snapToGrid w:val="0"/>
        </w:rPr>
        <w:t>Division 2 — Rules for the conduct of a continuing lottery</w:t>
      </w:r>
      <w:bookmarkEnd w:id="110"/>
    </w:p>
    <w:p>
      <w:pPr>
        <w:pStyle w:val="yHeading5"/>
        <w:rPr>
          <w:snapToGrid w:val="0"/>
        </w:rPr>
      </w:pPr>
      <w:bookmarkStart w:id="111" w:name="_Toc524514029"/>
      <w:r>
        <w:rPr>
          <w:rStyle w:val="CharSClsNo"/>
        </w:rPr>
        <w:t>1</w:t>
      </w:r>
      <w:r>
        <w:rPr>
          <w:snapToGrid w:val="0"/>
        </w:rPr>
        <w:t>.</w:t>
      </w:r>
      <w:r>
        <w:rPr>
          <w:snapToGrid w:val="0"/>
        </w:rPr>
        <w:tab/>
        <w:t>Information on each ticket</w:t>
      </w:r>
      <w:bookmarkEnd w:id="111"/>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12" w:name="_Toc524514030"/>
      <w:r>
        <w:rPr>
          <w:rStyle w:val="CharSClsNo"/>
        </w:rPr>
        <w:t>2</w:t>
      </w:r>
      <w:r>
        <w:rPr>
          <w:snapToGrid w:val="0"/>
        </w:rPr>
        <w:t>.</w:t>
      </w:r>
      <w:r>
        <w:rPr>
          <w:snapToGrid w:val="0"/>
        </w:rPr>
        <w:tab/>
        <w:t>Where tickets may be sold</w:t>
      </w:r>
      <w:bookmarkEnd w:id="112"/>
    </w:p>
    <w:p>
      <w:pPr>
        <w:pStyle w:val="ySubsection"/>
        <w:rPr>
          <w:snapToGrid w:val="0"/>
        </w:rPr>
      </w:pPr>
      <w:r>
        <w:rPr>
          <w:snapToGrid w:val="0"/>
        </w:rPr>
        <w:tab/>
      </w:r>
      <w:r>
        <w:rPr>
          <w:snapToGrid w:val="0"/>
        </w:rPr>
        <w:tab/>
        <w:t>Tickets shall be sold only at premises or locations specified in the permit.</w:t>
      </w:r>
    </w:p>
    <w:p>
      <w:pPr>
        <w:pStyle w:val="yEdnotedivision"/>
        <w:outlineLvl w:val="9"/>
      </w:pPr>
      <w:r>
        <w:t>[Part 3 deleted in Gazette 4 Aug 1992 p. 3831.]</w:t>
      </w:r>
    </w:p>
    <w:p>
      <w:pPr>
        <w:sectPr>
          <w:headerReference w:type="even" r:id="rId31"/>
          <w:headerReference w:type="default" r:id="rId32"/>
          <w:headerReference w:type="first" r:id="rId33"/>
          <w:pgSz w:w="11907" w:h="16840" w:code="9"/>
          <w:pgMar w:top="2376" w:right="2404" w:bottom="3544" w:left="2404" w:header="709" w:footer="3379" w:gutter="0"/>
          <w:cols w:space="720"/>
          <w:noEndnote/>
          <w:docGrid w:linePitch="326"/>
        </w:sectPr>
      </w:pPr>
    </w:p>
    <w:p>
      <w:pPr>
        <w:pStyle w:val="yScheduleHeading"/>
      </w:pPr>
      <w:bookmarkStart w:id="113" w:name="_Toc524514031"/>
      <w:r>
        <w:rPr>
          <w:rStyle w:val="CharSchNo"/>
        </w:rPr>
        <w:t>Schedule 5</w:t>
      </w:r>
      <w:r>
        <w:rPr>
          <w:rStyle w:val="CharSDivNo"/>
        </w:rPr>
        <w:t> </w:t>
      </w:r>
      <w:r>
        <w:t>—</w:t>
      </w:r>
      <w:r>
        <w:rPr>
          <w:rStyle w:val="CharSDivText"/>
        </w:rPr>
        <w:t> </w:t>
      </w:r>
      <w:r>
        <w:rPr>
          <w:rStyle w:val="CharSchText"/>
        </w:rPr>
        <w:t>Conditions for trade promotion lottery</w:t>
      </w:r>
      <w:bookmarkEnd w:id="113"/>
    </w:p>
    <w:p>
      <w:pPr>
        <w:pStyle w:val="yShoulderClause"/>
      </w:pPr>
      <w:r>
        <w:t>[r. 36A]</w:t>
      </w:r>
    </w:p>
    <w:p>
      <w:pPr>
        <w:pStyle w:val="yFootnoteheading"/>
      </w:pPr>
      <w:r>
        <w:tab/>
        <w:t>[Heading inserted in Gazette 6 Sep 2016 p. 3832.]</w:t>
      </w:r>
    </w:p>
    <w:p>
      <w:pPr>
        <w:pStyle w:val="yNumberedItem"/>
      </w:pPr>
      <w:r>
        <w:t>1.</w:t>
      </w:r>
      <w:r>
        <w:tab/>
        <w:t>There must be no cost to enter the lottery.</w:t>
      </w:r>
    </w:p>
    <w:p>
      <w:pPr>
        <w:pStyle w:val="yNumberedItem"/>
      </w:pPr>
      <w:r>
        <w:t>2.</w:t>
      </w:r>
      <w:r>
        <w:tab/>
        <w:t>If entry to the lottery is made using a telephone or other electronic medium, the cost of using the telephone or other medium to make the entry must not exceed 55 cents.</w:t>
      </w:r>
    </w:p>
    <w:p>
      <w:pPr>
        <w:pStyle w:val="yNumberedItem"/>
      </w:pPr>
      <w:r>
        <w:t>3.</w:t>
      </w:r>
      <w:r>
        <w:tab/>
        <w:t>If entry to the lottery is made using the Internet, there must be no cost to the participant to register the participant’s name other than the cost paid by the participant to access the website via the internet service provider.</w:t>
      </w:r>
    </w:p>
    <w:p>
      <w:pPr>
        <w:pStyle w:val="yNumberedItem"/>
      </w:pPr>
      <w:r>
        <w:t>4.</w:t>
      </w:r>
      <w:r>
        <w:tab/>
        <w:t>A prize in the lottery must not consist of or include cosmetic surgical or medical procedures.</w:t>
      </w:r>
    </w:p>
    <w:p>
      <w:pPr>
        <w:pStyle w:val="yNumberedItem"/>
      </w:pPr>
      <w:r>
        <w:t>5.</w:t>
      </w:r>
      <w:r>
        <w:tab/>
        <w:t>The lottery must not be conducted for more than 12 months.</w:t>
      </w:r>
    </w:p>
    <w:p>
      <w:pPr>
        <w:pStyle w:val="yNumberedItem"/>
      </w:pPr>
      <w:r>
        <w:t>6.</w:t>
      </w:r>
      <w:r>
        <w:tab/>
        <w:t>The draw must be conducted within one month after closure of the lottery.</w:t>
      </w:r>
    </w:p>
    <w:p>
      <w:pPr>
        <w:pStyle w:val="yNumberedItem"/>
      </w:pPr>
      <w:r>
        <w:t>7.</w:t>
      </w:r>
      <w:r>
        <w:tab/>
        <w:t xml:space="preserve">If entry to the lottery is by an entry form or coupon — </w:t>
      </w:r>
    </w:p>
    <w:p>
      <w:pPr>
        <w:pStyle w:val="yNumberedItemPara"/>
      </w:pPr>
      <w:r>
        <w:tab/>
        <w:t>(a)</w:t>
      </w:r>
      <w:r>
        <w:tab/>
        <w:t>a description of the prize or prizes must be printed on the entry form or coupon; and</w:t>
      </w:r>
    </w:p>
    <w:p>
      <w:pPr>
        <w:pStyle w:val="yNumberedItemPara"/>
      </w:pPr>
      <w:r>
        <w:tab/>
        <w:t>(b)</w:t>
      </w:r>
      <w:r>
        <w:tab/>
        <w:t xml:space="preserve">the lottery terms and conditions must be — </w:t>
      </w:r>
    </w:p>
    <w:p>
      <w:pPr>
        <w:pStyle w:val="yNumberedItemSubPara"/>
      </w:pPr>
      <w:r>
        <w:tab/>
        <w:t>(i)</w:t>
      </w:r>
      <w:r>
        <w:tab/>
        <w:t>printed on the entry form or coupon; or</w:t>
      </w:r>
    </w:p>
    <w:p>
      <w:pPr>
        <w:pStyle w:val="yNumberedItemSubPara"/>
      </w:pPr>
      <w:r>
        <w:tab/>
        <w:t>(ii)</w:t>
      </w:r>
      <w:r>
        <w:tab/>
        <w:t>published in a newspaper published nationally (if the lottery originates outside the State) or in a newspaper published throughout the State (if the lottery originates in the State); or</w:t>
      </w:r>
    </w:p>
    <w:p>
      <w:pPr>
        <w:pStyle w:val="yNumberedItemSubPara"/>
      </w:pPr>
      <w:r>
        <w:tab/>
        <w:t>(iii)</w:t>
      </w:r>
      <w:r>
        <w:tab/>
        <w:t>published on the Internet;</w:t>
      </w:r>
    </w:p>
    <w:p>
      <w:pPr>
        <w:pStyle w:val="yNumberedItemPara"/>
      </w:pPr>
      <w:r>
        <w:tab/>
      </w:r>
      <w:r>
        <w:tab/>
        <w:t>and</w:t>
      </w:r>
    </w:p>
    <w:p>
      <w:pPr>
        <w:pStyle w:val="yNumberedItemPara"/>
      </w:pPr>
      <w:r>
        <w:tab/>
        <w:t>(c)</w:t>
      </w:r>
      <w:r>
        <w:tab/>
        <w:t>if the lottery terms and conditions are published in a newspaper or on the Internet, a reference to that publication must be printed on the entry form or coupon.</w:t>
      </w:r>
    </w:p>
    <w:p>
      <w:pPr>
        <w:pStyle w:val="yNumberedItem"/>
      </w:pPr>
      <w:r>
        <w:t>8.</w:t>
      </w:r>
      <w:r>
        <w:tab/>
        <w:t xml:space="preserve">If the lottery is conducted by audio or visual media — </w:t>
      </w:r>
    </w:p>
    <w:p>
      <w:pPr>
        <w:pStyle w:val="yNumberedItemPara"/>
      </w:pPr>
      <w:r>
        <w:tab/>
        <w:t>(a)</w:t>
      </w:r>
      <w:r>
        <w:tab/>
        <w:t>a description of the prize or prizes must be included in the broadcast; and</w:t>
      </w:r>
    </w:p>
    <w:p>
      <w:pPr>
        <w:pStyle w:val="yNumberedItemPara"/>
      </w:pPr>
      <w:r>
        <w:tab/>
        <w:t>(b)</w:t>
      </w:r>
      <w:r>
        <w:tab/>
        <w:t>the lottery terms and conditions must be included in the broadcast or the broadcast must direct participants to where those terms and conditions can be found.</w:t>
      </w:r>
    </w:p>
    <w:p>
      <w:pPr>
        <w:pStyle w:val="yNumberedItem"/>
      </w:pPr>
      <w:r>
        <w:t>9.</w:t>
      </w:r>
      <w:r>
        <w:tab/>
        <w:t>If the lottery is conducted by electronic media (other than audio or visual), all advertising of the lottery must include a description of the prize or prizes and direct participants to where the lottery terms and conditions can be found.</w:t>
      </w:r>
    </w:p>
    <w:p>
      <w:pPr>
        <w:pStyle w:val="yNumberedItem"/>
      </w:pPr>
      <w:r>
        <w:t>10.</w:t>
      </w:r>
      <w:r>
        <w:tab/>
        <w:t>If the lottery is conducted in any other way, all advertising of the lottery must include a description of the prize or prizes and the lottery terms and conditions.</w:t>
      </w:r>
    </w:p>
    <w:p>
      <w:pPr>
        <w:pStyle w:val="yNumberedItem"/>
      </w:pPr>
      <w:r>
        <w:t>11.</w:t>
      </w:r>
      <w:r>
        <w:tab/>
        <w:t>The method for determining the winner of the lottery must be clearly stated in the lottery terms and conditions.</w:t>
      </w:r>
    </w:p>
    <w:p>
      <w:pPr>
        <w:pStyle w:val="yNumberedItem"/>
      </w:pPr>
      <w:r>
        <w:t>12.</w:t>
      </w:r>
      <w:r>
        <w:tab/>
        <w:t>If the lottery is to be conducted by audio, visual or other electronic media, a copy of the lottery terms and conditions must be lodged with the Commission before commencement of the lottery.</w:t>
      </w:r>
    </w:p>
    <w:p>
      <w:pPr>
        <w:pStyle w:val="yNumberedItem"/>
      </w:pPr>
      <w:r>
        <w:t>13.</w:t>
      </w:r>
      <w:r>
        <w:tab/>
        <w:t>If the lottery has commenced, the lottery terms and conditions cannot be amended without the prior written approval of the Commission.</w:t>
      </w:r>
    </w:p>
    <w:p>
      <w:pPr>
        <w:pStyle w:val="yNumberedItem"/>
      </w:pPr>
      <w:r>
        <w:t>14.</w:t>
      </w:r>
      <w:r>
        <w:tab/>
        <w:t>If the lottery has commenced, it cannot be cancelled or withdrawn without the prior written approval of the Commission.</w:t>
      </w:r>
    </w:p>
    <w:p>
      <w:pPr>
        <w:pStyle w:val="yNumberedItem"/>
      </w:pPr>
      <w:r>
        <w:t>15.</w:t>
      </w:r>
      <w:r>
        <w:tab/>
        <w:t>Records relating to the lottery must be kept for 12 months and must be made available to an authorised officer or member of the Police Force on request.</w:t>
      </w:r>
    </w:p>
    <w:p>
      <w:pPr>
        <w:pStyle w:val="yNumberedItem"/>
      </w:pPr>
      <w:r>
        <w:t>16.</w:t>
      </w:r>
      <w:r>
        <w:tab/>
        <w:t>If practicable, members of the public must be given the opportunity to witness the prize draw. If that is not practicable, audit records confirming the prize draw must be made available to an authorised officer or member of the Police Force on request.</w:t>
      </w:r>
    </w:p>
    <w:p>
      <w:pPr>
        <w:pStyle w:val="yFootnotesection"/>
      </w:pPr>
      <w:r>
        <w:tab/>
        <w:t>[Schedule 5 inserted in Gazette 6 Sep 2016 p. 3832-3.]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5"/>
          <w:headerReference w:type="default" r:id="rId36"/>
          <w:pgSz w:w="11907" w:h="16840" w:code="9"/>
          <w:pgMar w:top="2376" w:right="2404" w:bottom="3544" w:left="2404" w:header="709" w:footer="3379" w:gutter="0"/>
          <w:cols w:space="720"/>
          <w:noEndnote/>
          <w:docGrid w:linePitch="326"/>
        </w:sectPr>
      </w:pPr>
    </w:p>
    <w:p>
      <w:pPr>
        <w:pStyle w:val="nHeading2"/>
      </w:pPr>
      <w:bookmarkStart w:id="114" w:name="_Toc524514032"/>
      <w:r>
        <w:t>Notes</w:t>
      </w:r>
      <w:bookmarkEnd w:id="114"/>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 </w:t>
      </w:r>
      <w:r>
        <w:rPr>
          <w:snapToGrid w:val="0"/>
          <w:vertAlign w:val="superscript"/>
        </w:rPr>
        <w:t>5</w:t>
      </w:r>
      <w:r>
        <w:rPr>
          <w:snapToGrid w:val="0"/>
        </w:rPr>
        <w:t>.  The table also contains information about any reprint.</w:t>
      </w:r>
    </w:p>
    <w:p>
      <w:pPr>
        <w:pStyle w:val="nHeading3"/>
        <w:rPr>
          <w:snapToGrid w:val="0"/>
        </w:rPr>
      </w:pPr>
      <w:bookmarkStart w:id="115" w:name="_Toc524514033"/>
      <w:r>
        <w:rPr>
          <w:snapToGrid w:val="0"/>
        </w:rPr>
        <w:t>Compilation table</w:t>
      </w:r>
      <w:bookmarkEnd w:id="115"/>
    </w:p>
    <w:tbl>
      <w:tblPr>
        <w:tblW w:w="0" w:type="auto"/>
        <w:tblInd w:w="36" w:type="dxa"/>
        <w:tblLayout w:type="fixed"/>
        <w:tblCellMar>
          <w:left w:w="56" w:type="dxa"/>
          <w:right w:w="56" w:type="dxa"/>
        </w:tblCellMar>
        <w:tblLook w:val="0000" w:firstRow="0" w:lastRow="0" w:firstColumn="0" w:lastColumn="0" w:noHBand="0" w:noVBand="0"/>
      </w:tblPr>
      <w:tblGrid>
        <w:gridCol w:w="20"/>
        <w:gridCol w:w="3099"/>
        <w:gridCol w:w="19"/>
        <w:gridCol w:w="1257"/>
        <w:gridCol w:w="19"/>
        <w:gridCol w:w="2694"/>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0" w:type="dxa"/>
          <w:cantSplit/>
        </w:trPr>
        <w:tc>
          <w:tcPr>
            <w:tcW w:w="3118" w:type="dxa"/>
            <w:gridSpan w:val="2"/>
          </w:tcPr>
          <w:p>
            <w:pPr>
              <w:pStyle w:val="nTable"/>
              <w:spacing w:after="40"/>
              <w:ind w:right="113"/>
              <w:rPr>
                <w:vertAlign w:val="superscript"/>
              </w:rPr>
            </w:pPr>
            <w:r>
              <w:rPr>
                <w:i/>
              </w:rPr>
              <w:t>Gaming Commission Regulations 1988</w:t>
            </w:r>
            <w:r>
              <w:rPr>
                <w:snapToGrid w:val="0"/>
                <w:vertAlign w:val="superscript"/>
              </w:rPr>
              <w:t> 6</w:t>
            </w:r>
          </w:p>
        </w:tc>
        <w:tc>
          <w:tcPr>
            <w:tcW w:w="1276" w:type="dxa"/>
            <w:gridSpan w:val="2"/>
          </w:tcPr>
          <w:p>
            <w:pPr>
              <w:pStyle w:val="nTable"/>
              <w:spacing w:after="40"/>
            </w:pPr>
            <w:r>
              <w:t>29 Apr 1988 p. 1295</w:t>
            </w:r>
            <w:r>
              <w:noBreakHyphen/>
              <w:t>304</w:t>
            </w:r>
          </w:p>
        </w:tc>
        <w:tc>
          <w:tcPr>
            <w:tcW w:w="2694" w:type="dxa"/>
          </w:tcPr>
          <w:p>
            <w:pPr>
              <w:pStyle w:val="nTable"/>
              <w:spacing w:after="40"/>
            </w:pPr>
            <w:r>
              <w:t>2 May 1988 (see r. 2)</w:t>
            </w:r>
          </w:p>
        </w:tc>
      </w:tr>
      <w:tr>
        <w:trPr>
          <w:gridBefore w:val="1"/>
          <w:wBefore w:w="20" w:type="dxa"/>
          <w:cantSplit/>
        </w:trPr>
        <w:tc>
          <w:tcPr>
            <w:tcW w:w="3118" w:type="dxa"/>
            <w:gridSpan w:val="2"/>
          </w:tcPr>
          <w:p>
            <w:pPr>
              <w:pStyle w:val="nTable"/>
              <w:spacing w:after="40"/>
              <w:ind w:right="113"/>
            </w:pPr>
            <w:r>
              <w:rPr>
                <w:i/>
              </w:rPr>
              <w:t>Gaming Commission Amendment Regulations 1988</w:t>
            </w:r>
          </w:p>
        </w:tc>
        <w:tc>
          <w:tcPr>
            <w:tcW w:w="1276" w:type="dxa"/>
            <w:gridSpan w:val="2"/>
          </w:tcPr>
          <w:p>
            <w:pPr>
              <w:pStyle w:val="nTable"/>
              <w:spacing w:after="40"/>
            </w:pPr>
            <w:r>
              <w:t>7 Oct 1988 p. 4106</w:t>
            </w:r>
          </w:p>
        </w:tc>
        <w:tc>
          <w:tcPr>
            <w:tcW w:w="2694" w:type="dxa"/>
          </w:tcPr>
          <w:p>
            <w:pPr>
              <w:pStyle w:val="nTable"/>
              <w:spacing w:after="40"/>
            </w:pPr>
            <w:r>
              <w:t>7 Oct 1988</w:t>
            </w:r>
          </w:p>
        </w:tc>
      </w:tr>
      <w:tr>
        <w:trPr>
          <w:gridBefore w:val="1"/>
          <w:wBefore w:w="20" w:type="dxa"/>
          <w:cantSplit/>
        </w:trPr>
        <w:tc>
          <w:tcPr>
            <w:tcW w:w="3118" w:type="dxa"/>
            <w:gridSpan w:val="2"/>
          </w:tcPr>
          <w:p>
            <w:pPr>
              <w:pStyle w:val="nTable"/>
              <w:spacing w:after="40"/>
              <w:ind w:right="113"/>
            </w:pPr>
            <w:r>
              <w:rPr>
                <w:i/>
              </w:rPr>
              <w:t>Gaming Commission Amendment Regulations (No. 2) 1988</w:t>
            </w:r>
          </w:p>
        </w:tc>
        <w:tc>
          <w:tcPr>
            <w:tcW w:w="1276" w:type="dxa"/>
            <w:gridSpan w:val="2"/>
          </w:tcPr>
          <w:p>
            <w:pPr>
              <w:pStyle w:val="nTable"/>
              <w:spacing w:after="40"/>
            </w:pPr>
            <w:r>
              <w:t>18 Nov 1988 p. 4527</w:t>
            </w:r>
            <w:r>
              <w:noBreakHyphen/>
              <w:t>9</w:t>
            </w:r>
          </w:p>
        </w:tc>
        <w:tc>
          <w:tcPr>
            <w:tcW w:w="2694" w:type="dxa"/>
          </w:tcPr>
          <w:p>
            <w:pPr>
              <w:pStyle w:val="nTable"/>
              <w:spacing w:after="40"/>
            </w:pPr>
            <w:r>
              <w:t>18 Nov 1988</w:t>
            </w:r>
          </w:p>
        </w:tc>
      </w:tr>
      <w:tr>
        <w:trPr>
          <w:gridBefore w:val="1"/>
          <w:wBefore w:w="20" w:type="dxa"/>
          <w:cantSplit/>
        </w:trPr>
        <w:tc>
          <w:tcPr>
            <w:tcW w:w="3118" w:type="dxa"/>
            <w:gridSpan w:val="2"/>
          </w:tcPr>
          <w:p>
            <w:pPr>
              <w:pStyle w:val="nTable"/>
              <w:spacing w:after="40"/>
              <w:ind w:right="113"/>
            </w:pPr>
            <w:r>
              <w:rPr>
                <w:i/>
              </w:rPr>
              <w:t>Gaming Commission Amendment Regulations 1989</w:t>
            </w:r>
          </w:p>
        </w:tc>
        <w:tc>
          <w:tcPr>
            <w:tcW w:w="1276" w:type="dxa"/>
            <w:gridSpan w:val="2"/>
          </w:tcPr>
          <w:p>
            <w:pPr>
              <w:pStyle w:val="nTable"/>
              <w:spacing w:after="40"/>
            </w:pPr>
            <w:r>
              <w:t>26 May 1989 p. 1548</w:t>
            </w:r>
          </w:p>
        </w:tc>
        <w:tc>
          <w:tcPr>
            <w:tcW w:w="2694" w:type="dxa"/>
          </w:tcPr>
          <w:p>
            <w:pPr>
              <w:pStyle w:val="nTable"/>
              <w:spacing w:after="40"/>
            </w:pPr>
            <w:r>
              <w:t>26 May 1989</w:t>
            </w:r>
          </w:p>
        </w:tc>
      </w:tr>
      <w:tr>
        <w:trPr>
          <w:gridBefore w:val="1"/>
          <w:wBefore w:w="20" w:type="dxa"/>
          <w:cantSplit/>
        </w:trPr>
        <w:tc>
          <w:tcPr>
            <w:tcW w:w="3118" w:type="dxa"/>
            <w:gridSpan w:val="2"/>
          </w:tcPr>
          <w:p>
            <w:pPr>
              <w:pStyle w:val="nTable"/>
              <w:spacing w:after="40"/>
              <w:ind w:right="113"/>
            </w:pPr>
            <w:r>
              <w:rPr>
                <w:i/>
              </w:rPr>
              <w:t>Gaming Commission Amendment Regulations (No. 2) 1989</w:t>
            </w:r>
          </w:p>
        </w:tc>
        <w:tc>
          <w:tcPr>
            <w:tcW w:w="1276" w:type="dxa"/>
            <w:gridSpan w:val="2"/>
          </w:tcPr>
          <w:p>
            <w:pPr>
              <w:pStyle w:val="nTable"/>
              <w:spacing w:after="40"/>
            </w:pPr>
            <w:r>
              <w:t>4 Aug 1989 p. 2497</w:t>
            </w:r>
            <w:r>
              <w:noBreakHyphen/>
              <w:t>500</w:t>
            </w:r>
          </w:p>
        </w:tc>
        <w:tc>
          <w:tcPr>
            <w:tcW w:w="2694" w:type="dxa"/>
          </w:tcPr>
          <w:p>
            <w:pPr>
              <w:pStyle w:val="nTable"/>
              <w:spacing w:after="40"/>
            </w:pPr>
            <w:r>
              <w:t>4 Aug 1989</w:t>
            </w:r>
          </w:p>
        </w:tc>
      </w:tr>
      <w:tr>
        <w:trPr>
          <w:gridBefore w:val="1"/>
          <w:wBefore w:w="20" w:type="dxa"/>
          <w:cantSplit/>
        </w:trPr>
        <w:tc>
          <w:tcPr>
            <w:tcW w:w="3118" w:type="dxa"/>
            <w:gridSpan w:val="2"/>
          </w:tcPr>
          <w:p>
            <w:pPr>
              <w:pStyle w:val="nTable"/>
              <w:spacing w:after="40"/>
              <w:ind w:right="113"/>
            </w:pPr>
            <w:r>
              <w:rPr>
                <w:i/>
              </w:rPr>
              <w:t>Gaming Commission Amendment Regulations (No. 3) 1989</w:t>
            </w:r>
          </w:p>
        </w:tc>
        <w:tc>
          <w:tcPr>
            <w:tcW w:w="1276" w:type="dxa"/>
            <w:gridSpan w:val="2"/>
          </w:tcPr>
          <w:p>
            <w:pPr>
              <w:pStyle w:val="nTable"/>
              <w:spacing w:after="40"/>
            </w:pPr>
            <w:r>
              <w:t>25 Aug 1989 p. 2835</w:t>
            </w:r>
          </w:p>
        </w:tc>
        <w:tc>
          <w:tcPr>
            <w:tcW w:w="2694" w:type="dxa"/>
          </w:tcPr>
          <w:p>
            <w:pPr>
              <w:pStyle w:val="nTable"/>
              <w:spacing w:after="40"/>
            </w:pPr>
            <w:r>
              <w:t>25 Aug 1989</w:t>
            </w:r>
          </w:p>
        </w:tc>
      </w:tr>
      <w:tr>
        <w:trPr>
          <w:gridBefore w:val="1"/>
          <w:wBefore w:w="20" w:type="dxa"/>
          <w:cantSplit/>
        </w:trPr>
        <w:tc>
          <w:tcPr>
            <w:tcW w:w="3118" w:type="dxa"/>
            <w:gridSpan w:val="2"/>
          </w:tcPr>
          <w:p>
            <w:pPr>
              <w:pStyle w:val="nTable"/>
              <w:spacing w:after="40"/>
              <w:ind w:right="113"/>
            </w:pPr>
            <w:r>
              <w:rPr>
                <w:i/>
              </w:rPr>
              <w:t>Gaming Commission Amendment Regulations (No. 4) 1989</w:t>
            </w:r>
          </w:p>
        </w:tc>
        <w:tc>
          <w:tcPr>
            <w:tcW w:w="1276" w:type="dxa"/>
            <w:gridSpan w:val="2"/>
          </w:tcPr>
          <w:p>
            <w:pPr>
              <w:pStyle w:val="nTable"/>
              <w:spacing w:after="40"/>
            </w:pPr>
            <w:r>
              <w:t>6 Apr 1990 p. 1768</w:t>
            </w:r>
            <w:r>
              <w:noBreakHyphen/>
              <w:t>9</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1990</w:t>
            </w:r>
          </w:p>
        </w:tc>
        <w:tc>
          <w:tcPr>
            <w:tcW w:w="1276" w:type="dxa"/>
            <w:gridSpan w:val="2"/>
          </w:tcPr>
          <w:p>
            <w:pPr>
              <w:pStyle w:val="nTable"/>
              <w:spacing w:after="40"/>
            </w:pPr>
            <w:r>
              <w:t>6 Apr 1990 p. 1770</w:t>
            </w:r>
          </w:p>
        </w:tc>
        <w:tc>
          <w:tcPr>
            <w:tcW w:w="2694" w:type="dxa"/>
          </w:tcPr>
          <w:p>
            <w:pPr>
              <w:pStyle w:val="nTable"/>
              <w:spacing w:after="40"/>
            </w:pPr>
            <w:r>
              <w:t>6 Apr 1990</w:t>
            </w:r>
          </w:p>
        </w:tc>
      </w:tr>
      <w:tr>
        <w:trPr>
          <w:gridBefore w:val="1"/>
          <w:wBefore w:w="20" w:type="dxa"/>
          <w:cantSplit/>
        </w:trPr>
        <w:tc>
          <w:tcPr>
            <w:tcW w:w="3118" w:type="dxa"/>
            <w:gridSpan w:val="2"/>
          </w:tcPr>
          <w:p>
            <w:pPr>
              <w:pStyle w:val="nTable"/>
              <w:spacing w:after="40"/>
              <w:ind w:right="113"/>
            </w:pPr>
            <w:r>
              <w:rPr>
                <w:i/>
              </w:rPr>
              <w:t>Gaming Commission Amendment Regulations (No. 2) 1990</w:t>
            </w:r>
          </w:p>
        </w:tc>
        <w:tc>
          <w:tcPr>
            <w:tcW w:w="1276" w:type="dxa"/>
            <w:gridSpan w:val="2"/>
          </w:tcPr>
          <w:p>
            <w:pPr>
              <w:pStyle w:val="nTable"/>
              <w:spacing w:after="40"/>
            </w:pPr>
            <w:r>
              <w:t>4 May 1990 p. 2243</w:t>
            </w:r>
          </w:p>
        </w:tc>
        <w:tc>
          <w:tcPr>
            <w:tcW w:w="2694" w:type="dxa"/>
          </w:tcPr>
          <w:p>
            <w:pPr>
              <w:pStyle w:val="nTable"/>
              <w:spacing w:after="40"/>
            </w:pPr>
            <w:r>
              <w:t>4 May 1990</w:t>
            </w:r>
          </w:p>
        </w:tc>
      </w:tr>
      <w:tr>
        <w:trPr>
          <w:gridBefore w:val="1"/>
          <w:wBefore w:w="20" w:type="dxa"/>
          <w:cantSplit/>
        </w:trPr>
        <w:tc>
          <w:tcPr>
            <w:tcW w:w="3118" w:type="dxa"/>
            <w:gridSpan w:val="2"/>
          </w:tcPr>
          <w:p>
            <w:pPr>
              <w:pStyle w:val="nTable"/>
              <w:spacing w:after="40"/>
              <w:ind w:right="113"/>
            </w:pPr>
            <w:r>
              <w:rPr>
                <w:i/>
              </w:rPr>
              <w:t>Gaming Commission Amendment Regulations (No. 4) 1990</w:t>
            </w:r>
          </w:p>
        </w:tc>
        <w:tc>
          <w:tcPr>
            <w:tcW w:w="1276" w:type="dxa"/>
            <w:gridSpan w:val="2"/>
          </w:tcPr>
          <w:p>
            <w:pPr>
              <w:pStyle w:val="nTable"/>
              <w:spacing w:after="40"/>
            </w:pPr>
            <w:r>
              <w:t>8 Feb 1991 p. 651</w:t>
            </w:r>
          </w:p>
        </w:tc>
        <w:tc>
          <w:tcPr>
            <w:tcW w:w="2694" w:type="dxa"/>
          </w:tcPr>
          <w:p>
            <w:pPr>
              <w:pStyle w:val="nTable"/>
              <w:spacing w:after="40"/>
            </w:pPr>
            <w:r>
              <w:t>8 Feb 1991</w:t>
            </w:r>
          </w:p>
        </w:tc>
      </w:tr>
      <w:tr>
        <w:trPr>
          <w:gridBefore w:val="1"/>
          <w:wBefore w:w="20" w:type="dxa"/>
          <w:cantSplit/>
        </w:trPr>
        <w:tc>
          <w:tcPr>
            <w:tcW w:w="3118" w:type="dxa"/>
            <w:gridSpan w:val="2"/>
          </w:tcPr>
          <w:p>
            <w:pPr>
              <w:pStyle w:val="nTable"/>
              <w:spacing w:after="40"/>
              <w:ind w:right="113"/>
            </w:pPr>
            <w:r>
              <w:rPr>
                <w:i/>
              </w:rPr>
              <w:t>Gaming Commission Amendment Regulations 1991</w:t>
            </w:r>
          </w:p>
        </w:tc>
        <w:tc>
          <w:tcPr>
            <w:tcW w:w="1276" w:type="dxa"/>
            <w:gridSpan w:val="2"/>
          </w:tcPr>
          <w:p>
            <w:pPr>
              <w:pStyle w:val="nTable"/>
              <w:spacing w:after="40"/>
            </w:pPr>
            <w:r>
              <w:t>27 Sep 1991 p. 5068</w:t>
            </w:r>
            <w:r>
              <w:noBreakHyphen/>
              <w:t>9</w:t>
            </w:r>
          </w:p>
        </w:tc>
        <w:tc>
          <w:tcPr>
            <w:tcW w:w="2694" w:type="dxa"/>
          </w:tcPr>
          <w:p>
            <w:pPr>
              <w:pStyle w:val="nTable"/>
              <w:spacing w:after="40"/>
            </w:pPr>
            <w:r>
              <w:t>27 Sep 1991</w:t>
            </w:r>
          </w:p>
        </w:tc>
      </w:tr>
      <w:tr>
        <w:trPr>
          <w:gridBefore w:val="1"/>
          <w:wBefore w:w="20" w:type="dxa"/>
          <w:cantSplit/>
        </w:trPr>
        <w:tc>
          <w:tcPr>
            <w:tcW w:w="3118" w:type="dxa"/>
            <w:gridSpan w:val="2"/>
          </w:tcPr>
          <w:p>
            <w:pPr>
              <w:pStyle w:val="nTable"/>
              <w:spacing w:after="40"/>
              <w:ind w:right="113"/>
            </w:pPr>
            <w:r>
              <w:rPr>
                <w:i/>
              </w:rPr>
              <w:t>Gaming Commission Amendment Regulations 1992</w:t>
            </w:r>
          </w:p>
        </w:tc>
        <w:tc>
          <w:tcPr>
            <w:tcW w:w="1276" w:type="dxa"/>
            <w:gridSpan w:val="2"/>
          </w:tcPr>
          <w:p>
            <w:pPr>
              <w:pStyle w:val="nTable"/>
              <w:spacing w:after="40"/>
            </w:pPr>
            <w:r>
              <w:t>27 Mar 1992 p. 1370</w:t>
            </w:r>
          </w:p>
        </w:tc>
        <w:tc>
          <w:tcPr>
            <w:tcW w:w="2694" w:type="dxa"/>
          </w:tcPr>
          <w:p>
            <w:pPr>
              <w:pStyle w:val="nTable"/>
              <w:spacing w:after="40"/>
            </w:pPr>
            <w:r>
              <w:t>27 Mar 1992</w:t>
            </w:r>
          </w:p>
        </w:tc>
      </w:tr>
      <w:tr>
        <w:trPr>
          <w:gridBefore w:val="1"/>
          <w:wBefore w:w="20" w:type="dxa"/>
          <w:cantSplit/>
        </w:trPr>
        <w:tc>
          <w:tcPr>
            <w:tcW w:w="3118" w:type="dxa"/>
            <w:gridSpan w:val="2"/>
          </w:tcPr>
          <w:p>
            <w:pPr>
              <w:pStyle w:val="nTable"/>
              <w:spacing w:after="40"/>
              <w:ind w:right="113"/>
            </w:pPr>
            <w:r>
              <w:rPr>
                <w:i/>
              </w:rPr>
              <w:t>Gaming Commission Amendment Regulations (No. 2) 1992</w:t>
            </w:r>
          </w:p>
        </w:tc>
        <w:tc>
          <w:tcPr>
            <w:tcW w:w="1276" w:type="dxa"/>
            <w:gridSpan w:val="2"/>
          </w:tcPr>
          <w:p>
            <w:pPr>
              <w:pStyle w:val="nTable"/>
              <w:spacing w:after="40"/>
            </w:pPr>
            <w:r>
              <w:t>4 Aug 1992 p. 3831</w:t>
            </w:r>
          </w:p>
        </w:tc>
        <w:tc>
          <w:tcPr>
            <w:tcW w:w="2694" w:type="dxa"/>
          </w:tcPr>
          <w:p>
            <w:pPr>
              <w:pStyle w:val="nTable"/>
              <w:spacing w:after="40"/>
            </w:pPr>
            <w:r>
              <w:t>4 Aug 1992</w:t>
            </w:r>
          </w:p>
        </w:tc>
      </w:tr>
      <w:tr>
        <w:trPr>
          <w:gridBefore w:val="1"/>
          <w:wBefore w:w="20" w:type="dxa"/>
          <w:cantSplit/>
        </w:trPr>
        <w:tc>
          <w:tcPr>
            <w:tcW w:w="3118" w:type="dxa"/>
            <w:gridSpan w:val="2"/>
          </w:tcPr>
          <w:p>
            <w:pPr>
              <w:pStyle w:val="nTable"/>
              <w:spacing w:after="40"/>
              <w:ind w:right="113"/>
            </w:pPr>
            <w:r>
              <w:rPr>
                <w:i/>
              </w:rPr>
              <w:t>Gaming Commission Amendment Regulations (No. 2) 1993</w:t>
            </w:r>
          </w:p>
        </w:tc>
        <w:tc>
          <w:tcPr>
            <w:tcW w:w="1276" w:type="dxa"/>
            <w:gridSpan w:val="2"/>
          </w:tcPr>
          <w:p>
            <w:pPr>
              <w:pStyle w:val="nTable"/>
              <w:spacing w:after="40"/>
            </w:pPr>
            <w:r>
              <w:t>30 Apr 1993 p. 2282</w:t>
            </w:r>
            <w:r>
              <w:noBreakHyphen/>
              <w:t>3</w:t>
            </w:r>
          </w:p>
        </w:tc>
        <w:tc>
          <w:tcPr>
            <w:tcW w:w="2694" w:type="dxa"/>
          </w:tcPr>
          <w:p>
            <w:pPr>
              <w:pStyle w:val="nTable"/>
              <w:spacing w:after="40"/>
            </w:pPr>
            <w:r>
              <w:t>30 Apr 1993</w:t>
            </w:r>
          </w:p>
        </w:tc>
      </w:tr>
      <w:tr>
        <w:trPr>
          <w:gridBefore w:val="1"/>
          <w:wBefore w:w="20" w:type="dxa"/>
          <w:cantSplit/>
        </w:trPr>
        <w:tc>
          <w:tcPr>
            <w:tcW w:w="3118" w:type="dxa"/>
            <w:gridSpan w:val="2"/>
          </w:tcPr>
          <w:p>
            <w:pPr>
              <w:pStyle w:val="nTable"/>
              <w:spacing w:after="40"/>
              <w:ind w:right="113"/>
            </w:pPr>
            <w:r>
              <w:rPr>
                <w:i/>
              </w:rPr>
              <w:t>Gaming Commission Amendment Regulations 1993</w:t>
            </w:r>
          </w:p>
        </w:tc>
        <w:tc>
          <w:tcPr>
            <w:tcW w:w="1276" w:type="dxa"/>
            <w:gridSpan w:val="2"/>
          </w:tcPr>
          <w:p>
            <w:pPr>
              <w:pStyle w:val="nTable"/>
              <w:spacing w:after="40"/>
            </w:pPr>
            <w:r>
              <w:t>11 May 1993 p. 2397</w:t>
            </w:r>
            <w:r>
              <w:noBreakHyphen/>
              <w:t>9</w:t>
            </w:r>
          </w:p>
        </w:tc>
        <w:tc>
          <w:tcPr>
            <w:tcW w:w="2694" w:type="dxa"/>
          </w:tcPr>
          <w:p>
            <w:pPr>
              <w:pStyle w:val="nTable"/>
              <w:spacing w:after="40"/>
            </w:pPr>
            <w:r>
              <w:t>11 May 1993</w:t>
            </w:r>
          </w:p>
        </w:tc>
      </w:tr>
      <w:tr>
        <w:trPr>
          <w:gridBefore w:val="1"/>
          <w:wBefore w:w="20" w:type="dxa"/>
          <w:cantSplit/>
        </w:trPr>
        <w:tc>
          <w:tcPr>
            <w:tcW w:w="3118" w:type="dxa"/>
            <w:gridSpan w:val="2"/>
          </w:tcPr>
          <w:p>
            <w:pPr>
              <w:pStyle w:val="nTable"/>
              <w:spacing w:after="40"/>
              <w:ind w:right="113"/>
            </w:pPr>
            <w:r>
              <w:rPr>
                <w:i/>
              </w:rPr>
              <w:t>Gaming Commission Amendment Regulations (No. 3) 1993</w:t>
            </w:r>
          </w:p>
        </w:tc>
        <w:tc>
          <w:tcPr>
            <w:tcW w:w="1276" w:type="dxa"/>
            <w:gridSpan w:val="2"/>
          </w:tcPr>
          <w:p>
            <w:pPr>
              <w:pStyle w:val="nTable"/>
              <w:spacing w:after="40"/>
            </w:pPr>
            <w:r>
              <w:t>21 May 1993 p. 2519</w:t>
            </w:r>
            <w:r>
              <w:noBreakHyphen/>
              <w:t>20</w:t>
            </w:r>
          </w:p>
        </w:tc>
        <w:tc>
          <w:tcPr>
            <w:tcW w:w="2694" w:type="dxa"/>
          </w:tcPr>
          <w:p>
            <w:pPr>
              <w:pStyle w:val="nTable"/>
              <w:spacing w:after="40"/>
            </w:pPr>
            <w:r>
              <w:t>21 May 1993</w:t>
            </w:r>
          </w:p>
        </w:tc>
      </w:tr>
      <w:tr>
        <w:trPr>
          <w:gridBefore w:val="1"/>
          <w:wBefore w:w="20" w:type="dxa"/>
          <w:cantSplit/>
        </w:trPr>
        <w:tc>
          <w:tcPr>
            <w:tcW w:w="3118" w:type="dxa"/>
            <w:gridSpan w:val="2"/>
          </w:tcPr>
          <w:p>
            <w:pPr>
              <w:pStyle w:val="nTable"/>
              <w:spacing w:after="40"/>
              <w:ind w:right="113"/>
            </w:pPr>
            <w:r>
              <w:rPr>
                <w:i/>
              </w:rPr>
              <w:t>Gaming Commission Amendment Regulations (No. 4) 1993</w:t>
            </w:r>
          </w:p>
        </w:tc>
        <w:tc>
          <w:tcPr>
            <w:tcW w:w="1276" w:type="dxa"/>
            <w:gridSpan w:val="2"/>
          </w:tcPr>
          <w:p>
            <w:pPr>
              <w:pStyle w:val="nTable"/>
              <w:spacing w:after="40"/>
            </w:pPr>
            <w:r>
              <w:t>6 Jul 1993 p. 3312</w:t>
            </w:r>
          </w:p>
        </w:tc>
        <w:tc>
          <w:tcPr>
            <w:tcW w:w="2694" w:type="dxa"/>
          </w:tcPr>
          <w:p>
            <w:pPr>
              <w:pStyle w:val="nTable"/>
              <w:spacing w:after="40"/>
            </w:pPr>
            <w:r>
              <w:t>6 Jul 1993</w:t>
            </w:r>
          </w:p>
        </w:tc>
      </w:tr>
      <w:tr>
        <w:trPr>
          <w:gridBefore w:val="1"/>
          <w:wBefore w:w="20" w:type="dxa"/>
          <w:cantSplit/>
        </w:trPr>
        <w:tc>
          <w:tcPr>
            <w:tcW w:w="3118" w:type="dxa"/>
            <w:gridSpan w:val="2"/>
          </w:tcPr>
          <w:p>
            <w:pPr>
              <w:pStyle w:val="nTable"/>
              <w:spacing w:after="40"/>
              <w:ind w:right="113"/>
            </w:pPr>
            <w:r>
              <w:rPr>
                <w:i/>
              </w:rPr>
              <w:t>Gaming Commission Amendment Regulations (No. 5) 1993</w:t>
            </w:r>
          </w:p>
        </w:tc>
        <w:tc>
          <w:tcPr>
            <w:tcW w:w="1276" w:type="dxa"/>
            <w:gridSpan w:val="2"/>
          </w:tcPr>
          <w:p>
            <w:pPr>
              <w:pStyle w:val="nTable"/>
              <w:spacing w:after="40"/>
            </w:pPr>
            <w:r>
              <w:t>22 Oct 1993 p. 5805</w:t>
            </w:r>
            <w:r>
              <w:noBreakHyphen/>
              <w:t>6</w:t>
            </w:r>
          </w:p>
        </w:tc>
        <w:tc>
          <w:tcPr>
            <w:tcW w:w="2694" w:type="dxa"/>
          </w:tcPr>
          <w:p>
            <w:pPr>
              <w:pStyle w:val="nTable"/>
              <w:spacing w:after="40"/>
            </w:pPr>
            <w:r>
              <w:t>22 Oct 1993</w:t>
            </w:r>
          </w:p>
        </w:tc>
      </w:tr>
      <w:tr>
        <w:trPr>
          <w:gridBefore w:val="1"/>
          <w:wBefore w:w="20" w:type="dxa"/>
          <w:cantSplit/>
        </w:trPr>
        <w:tc>
          <w:tcPr>
            <w:tcW w:w="3118" w:type="dxa"/>
            <w:gridSpan w:val="2"/>
          </w:tcPr>
          <w:p>
            <w:pPr>
              <w:pStyle w:val="nTable"/>
              <w:spacing w:after="40"/>
              <w:ind w:right="113"/>
            </w:pPr>
            <w:r>
              <w:rPr>
                <w:i/>
              </w:rPr>
              <w:t>Gaming Commission Amendment Regulations 1994</w:t>
            </w:r>
          </w:p>
        </w:tc>
        <w:tc>
          <w:tcPr>
            <w:tcW w:w="1276" w:type="dxa"/>
            <w:gridSpan w:val="2"/>
          </w:tcPr>
          <w:p>
            <w:pPr>
              <w:pStyle w:val="nTable"/>
              <w:spacing w:after="40"/>
            </w:pPr>
            <w:r>
              <w:t>15 Feb 1994 p. 552</w:t>
            </w:r>
            <w:r>
              <w:noBreakHyphen/>
              <w:t>4</w:t>
            </w:r>
          </w:p>
        </w:tc>
        <w:tc>
          <w:tcPr>
            <w:tcW w:w="2694" w:type="dxa"/>
          </w:tcPr>
          <w:p>
            <w:pPr>
              <w:pStyle w:val="nTable"/>
              <w:spacing w:after="40"/>
            </w:pPr>
            <w:r>
              <w:t>15 Feb 1994</w:t>
            </w:r>
          </w:p>
        </w:tc>
      </w:tr>
      <w:tr>
        <w:trPr>
          <w:gridBefore w:val="1"/>
          <w:wBefore w:w="20" w:type="dxa"/>
          <w:cantSplit/>
        </w:trPr>
        <w:tc>
          <w:tcPr>
            <w:tcW w:w="3118" w:type="dxa"/>
            <w:gridSpan w:val="2"/>
          </w:tcPr>
          <w:p>
            <w:pPr>
              <w:pStyle w:val="nTable"/>
              <w:spacing w:after="40"/>
              <w:ind w:right="113"/>
            </w:pPr>
            <w:r>
              <w:rPr>
                <w:i/>
              </w:rPr>
              <w:t>Gaming Commission Amendment Regulations (No. 2) 1994</w:t>
            </w:r>
          </w:p>
        </w:tc>
        <w:tc>
          <w:tcPr>
            <w:tcW w:w="1276" w:type="dxa"/>
            <w:gridSpan w:val="2"/>
          </w:tcPr>
          <w:p>
            <w:pPr>
              <w:pStyle w:val="nTable"/>
              <w:spacing w:after="40"/>
            </w:pPr>
            <w:r>
              <w:t>22 Apr 1994 p. 1710</w:t>
            </w:r>
          </w:p>
        </w:tc>
        <w:tc>
          <w:tcPr>
            <w:tcW w:w="2694" w:type="dxa"/>
          </w:tcPr>
          <w:p>
            <w:pPr>
              <w:pStyle w:val="nTable"/>
              <w:spacing w:after="40"/>
            </w:pPr>
            <w:r>
              <w:t>22 Apr 1994</w:t>
            </w:r>
          </w:p>
        </w:tc>
      </w:tr>
      <w:tr>
        <w:trPr>
          <w:gridBefore w:val="1"/>
          <w:wBefore w:w="20" w:type="dxa"/>
          <w:cantSplit/>
        </w:trPr>
        <w:tc>
          <w:tcPr>
            <w:tcW w:w="3118" w:type="dxa"/>
            <w:gridSpan w:val="2"/>
          </w:tcPr>
          <w:p>
            <w:pPr>
              <w:pStyle w:val="nTable"/>
              <w:spacing w:after="40"/>
              <w:ind w:right="113"/>
            </w:pPr>
            <w:r>
              <w:rPr>
                <w:i/>
              </w:rPr>
              <w:t>Gaming Commission Amendment Regulations (No. 3) 1994</w:t>
            </w:r>
          </w:p>
        </w:tc>
        <w:tc>
          <w:tcPr>
            <w:tcW w:w="1276" w:type="dxa"/>
            <w:gridSpan w:val="2"/>
          </w:tcPr>
          <w:p>
            <w:pPr>
              <w:pStyle w:val="nTable"/>
              <w:spacing w:after="40"/>
            </w:pPr>
            <w:r>
              <w:t>6 Jan 1995 p. 27</w:t>
            </w:r>
            <w:r>
              <w:noBreakHyphen/>
              <w:t>8</w:t>
            </w:r>
          </w:p>
        </w:tc>
        <w:tc>
          <w:tcPr>
            <w:tcW w:w="2694" w:type="dxa"/>
          </w:tcPr>
          <w:p>
            <w:pPr>
              <w:pStyle w:val="nTable"/>
              <w:spacing w:after="40"/>
            </w:pPr>
            <w:r>
              <w:t>6 Jan 1995</w:t>
            </w:r>
          </w:p>
        </w:tc>
      </w:tr>
      <w:tr>
        <w:trPr>
          <w:gridBefore w:val="1"/>
          <w:wBefore w:w="20" w:type="dxa"/>
          <w:cantSplit/>
        </w:trPr>
        <w:tc>
          <w:tcPr>
            <w:tcW w:w="3118" w:type="dxa"/>
            <w:gridSpan w:val="2"/>
          </w:tcPr>
          <w:p>
            <w:pPr>
              <w:pStyle w:val="nTable"/>
              <w:spacing w:after="40"/>
              <w:ind w:right="113"/>
            </w:pPr>
            <w:r>
              <w:rPr>
                <w:i/>
              </w:rPr>
              <w:t>Gaming Commission Amendment Regulations 1995</w:t>
            </w:r>
          </w:p>
        </w:tc>
        <w:tc>
          <w:tcPr>
            <w:tcW w:w="1276" w:type="dxa"/>
            <w:gridSpan w:val="2"/>
          </w:tcPr>
          <w:p>
            <w:pPr>
              <w:pStyle w:val="nTable"/>
              <w:spacing w:after="40"/>
            </w:pPr>
            <w:r>
              <w:t>15 Dec 1995 p. 6124</w:t>
            </w:r>
            <w:r>
              <w:noBreakHyphen/>
              <w:t>5</w:t>
            </w:r>
          </w:p>
        </w:tc>
        <w:tc>
          <w:tcPr>
            <w:tcW w:w="2694" w:type="dxa"/>
          </w:tcPr>
          <w:p>
            <w:pPr>
              <w:pStyle w:val="nTable"/>
              <w:spacing w:after="40"/>
            </w:pPr>
            <w:r>
              <w:t>15 Dec 1995</w:t>
            </w:r>
          </w:p>
        </w:tc>
      </w:tr>
      <w:tr>
        <w:trPr>
          <w:gridBefore w:val="1"/>
          <w:wBefore w:w="20" w:type="dxa"/>
          <w:cantSplit/>
        </w:trPr>
        <w:tc>
          <w:tcPr>
            <w:tcW w:w="3118" w:type="dxa"/>
            <w:gridSpan w:val="2"/>
          </w:tcPr>
          <w:p>
            <w:pPr>
              <w:pStyle w:val="nTable"/>
              <w:spacing w:after="40"/>
              <w:ind w:right="113"/>
            </w:pPr>
            <w:r>
              <w:rPr>
                <w:i/>
              </w:rPr>
              <w:t>Gaming Commission Amendment Regulations 1996</w:t>
            </w:r>
          </w:p>
        </w:tc>
        <w:tc>
          <w:tcPr>
            <w:tcW w:w="1276" w:type="dxa"/>
            <w:gridSpan w:val="2"/>
          </w:tcPr>
          <w:p>
            <w:pPr>
              <w:pStyle w:val="nTable"/>
              <w:spacing w:after="40"/>
            </w:pPr>
            <w:r>
              <w:t>23 Feb 1996 p. 674</w:t>
            </w:r>
            <w:r>
              <w:noBreakHyphen/>
              <w:t>5</w:t>
            </w:r>
          </w:p>
        </w:tc>
        <w:tc>
          <w:tcPr>
            <w:tcW w:w="2694" w:type="dxa"/>
          </w:tcPr>
          <w:p>
            <w:pPr>
              <w:pStyle w:val="nTable"/>
              <w:spacing w:after="40"/>
            </w:pPr>
            <w:r>
              <w:t>23 Feb 1996</w:t>
            </w:r>
          </w:p>
        </w:tc>
      </w:tr>
      <w:tr>
        <w:trPr>
          <w:gridBefore w:val="1"/>
          <w:wBefore w:w="20" w:type="dxa"/>
          <w:cantSplit/>
        </w:trPr>
        <w:tc>
          <w:tcPr>
            <w:tcW w:w="3118" w:type="dxa"/>
            <w:gridSpan w:val="2"/>
          </w:tcPr>
          <w:p>
            <w:pPr>
              <w:pStyle w:val="nTable"/>
              <w:spacing w:after="40"/>
              <w:ind w:right="113"/>
            </w:pPr>
            <w:r>
              <w:rPr>
                <w:i/>
              </w:rPr>
              <w:t>Gaming Commission Amendment Regulations (No. 2) 1996</w:t>
            </w:r>
          </w:p>
        </w:tc>
        <w:tc>
          <w:tcPr>
            <w:tcW w:w="1276" w:type="dxa"/>
            <w:gridSpan w:val="2"/>
          </w:tcPr>
          <w:p>
            <w:pPr>
              <w:pStyle w:val="nTable"/>
              <w:spacing w:after="40"/>
            </w:pPr>
            <w:r>
              <w:t>28 Jun 1996 p. 3098</w:t>
            </w:r>
            <w:r>
              <w:noBreakHyphen/>
              <w:t>100</w:t>
            </w:r>
          </w:p>
        </w:tc>
        <w:tc>
          <w:tcPr>
            <w:tcW w:w="2694" w:type="dxa"/>
          </w:tcPr>
          <w:p>
            <w:pPr>
              <w:pStyle w:val="nTable"/>
              <w:spacing w:after="40"/>
            </w:pPr>
            <w:r>
              <w:t>1 Jul 1996 (see r. 2)</w:t>
            </w:r>
          </w:p>
        </w:tc>
      </w:tr>
      <w:tr>
        <w:trPr>
          <w:gridBefore w:val="1"/>
          <w:wBefore w:w="20" w:type="dxa"/>
          <w:cantSplit/>
        </w:trPr>
        <w:tc>
          <w:tcPr>
            <w:tcW w:w="3118" w:type="dxa"/>
            <w:gridSpan w:val="2"/>
          </w:tcPr>
          <w:p>
            <w:pPr>
              <w:pStyle w:val="nTable"/>
              <w:spacing w:after="40"/>
              <w:ind w:right="113"/>
            </w:pPr>
            <w:r>
              <w:rPr>
                <w:i/>
              </w:rPr>
              <w:t>Gaming Commission Amendment Regulations 1997</w:t>
            </w:r>
          </w:p>
        </w:tc>
        <w:tc>
          <w:tcPr>
            <w:tcW w:w="1276" w:type="dxa"/>
            <w:gridSpan w:val="2"/>
          </w:tcPr>
          <w:p>
            <w:pPr>
              <w:pStyle w:val="nTable"/>
              <w:spacing w:after="40"/>
            </w:pPr>
            <w:r>
              <w:t>16 May 1997 p. 2392</w:t>
            </w:r>
            <w:r>
              <w:noBreakHyphen/>
              <w:t>4</w:t>
            </w:r>
          </w:p>
        </w:tc>
        <w:tc>
          <w:tcPr>
            <w:tcW w:w="2694" w:type="dxa"/>
          </w:tcPr>
          <w:p>
            <w:pPr>
              <w:pStyle w:val="nTable"/>
              <w:spacing w:after="40"/>
            </w:pPr>
            <w:r>
              <w:t>16 May 1997</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6 Jun 1997</w:t>
            </w:r>
            <w:r>
              <w:t xml:space="preserve"> </w:t>
            </w:r>
            <w:r>
              <w:br/>
              <w:t xml:space="preserve">(includes amendments listed above) (correction in </w:t>
            </w:r>
            <w:r>
              <w:rPr>
                <w:i/>
              </w:rPr>
              <w:t>Gazette</w:t>
            </w:r>
            <w:r>
              <w:t xml:space="preserve"> 11 Jul 1997 p. 3623</w:t>
            </w:r>
            <w:r>
              <w:noBreakHyphen/>
              <w:t>4)</w:t>
            </w:r>
          </w:p>
        </w:tc>
      </w:tr>
      <w:tr>
        <w:trPr>
          <w:gridBefore w:val="1"/>
          <w:wBefore w:w="20" w:type="dxa"/>
          <w:cantSplit/>
        </w:trPr>
        <w:tc>
          <w:tcPr>
            <w:tcW w:w="3118" w:type="dxa"/>
            <w:gridSpan w:val="2"/>
          </w:tcPr>
          <w:p>
            <w:pPr>
              <w:pStyle w:val="nTable"/>
              <w:spacing w:after="40"/>
              <w:ind w:right="113"/>
            </w:pPr>
            <w:r>
              <w:rPr>
                <w:i/>
              </w:rPr>
              <w:t>Gaming Commission Amendment Regulations (No. 2) 1997</w:t>
            </w:r>
          </w:p>
        </w:tc>
        <w:tc>
          <w:tcPr>
            <w:tcW w:w="1276" w:type="dxa"/>
            <w:gridSpan w:val="2"/>
          </w:tcPr>
          <w:p>
            <w:pPr>
              <w:pStyle w:val="nTable"/>
              <w:spacing w:after="40"/>
            </w:pPr>
            <w:r>
              <w:t>14 Nov 1997 p. 6448</w:t>
            </w:r>
            <w:r>
              <w:noBreakHyphen/>
              <w:t>9</w:t>
            </w:r>
          </w:p>
        </w:tc>
        <w:tc>
          <w:tcPr>
            <w:tcW w:w="2694" w:type="dxa"/>
          </w:tcPr>
          <w:p>
            <w:pPr>
              <w:pStyle w:val="nTable"/>
              <w:spacing w:after="40"/>
            </w:pPr>
            <w:r>
              <w:t>1 Jan 1998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1998</w:t>
            </w:r>
          </w:p>
        </w:tc>
        <w:tc>
          <w:tcPr>
            <w:tcW w:w="1276" w:type="dxa"/>
            <w:gridSpan w:val="2"/>
          </w:tcPr>
          <w:p>
            <w:pPr>
              <w:pStyle w:val="nTable"/>
              <w:spacing w:after="40"/>
            </w:pPr>
            <w:r>
              <w:t>4 Aug 1998 p. 3988</w:t>
            </w:r>
            <w:r>
              <w:noBreakHyphen/>
              <w:t>9</w:t>
            </w:r>
          </w:p>
        </w:tc>
        <w:tc>
          <w:tcPr>
            <w:tcW w:w="2694" w:type="dxa"/>
          </w:tcPr>
          <w:p>
            <w:pPr>
              <w:pStyle w:val="nTable"/>
              <w:spacing w:after="40"/>
            </w:pPr>
            <w:r>
              <w:t xml:space="preserve">5 Aug 1998 (see r. 2 and </w:t>
            </w:r>
            <w:r>
              <w:rPr>
                <w:i/>
              </w:rPr>
              <w:t>Gazette</w:t>
            </w:r>
            <w:r>
              <w:t xml:space="preserve"> 4 Aug 1998 p. 3981)</w:t>
            </w:r>
          </w:p>
        </w:tc>
      </w:tr>
      <w:tr>
        <w:trPr>
          <w:gridBefore w:val="1"/>
          <w:wBefore w:w="20" w:type="dxa"/>
          <w:cantSplit/>
        </w:trPr>
        <w:tc>
          <w:tcPr>
            <w:tcW w:w="3118" w:type="dxa"/>
            <w:gridSpan w:val="2"/>
          </w:tcPr>
          <w:p>
            <w:pPr>
              <w:pStyle w:val="nTable"/>
              <w:spacing w:after="40"/>
              <w:ind w:right="113"/>
              <w:rPr>
                <w:i/>
              </w:rPr>
            </w:pPr>
            <w:r>
              <w:rPr>
                <w:i/>
              </w:rPr>
              <w:t>Gaming Commission Amendment Regulations (No. 2) 1998</w:t>
            </w:r>
          </w:p>
        </w:tc>
        <w:tc>
          <w:tcPr>
            <w:tcW w:w="1276" w:type="dxa"/>
            <w:gridSpan w:val="2"/>
          </w:tcPr>
          <w:p>
            <w:pPr>
              <w:pStyle w:val="nTable"/>
              <w:spacing w:after="40"/>
            </w:pPr>
            <w:r>
              <w:t>5 Feb 1999 p. 405</w:t>
            </w:r>
          </w:p>
        </w:tc>
        <w:tc>
          <w:tcPr>
            <w:tcW w:w="2694" w:type="dxa"/>
          </w:tcPr>
          <w:p>
            <w:pPr>
              <w:pStyle w:val="nTable"/>
              <w:spacing w:after="40"/>
            </w:pPr>
            <w:r>
              <w:t>5 Feb 1999</w:t>
            </w:r>
          </w:p>
        </w:tc>
      </w:tr>
      <w:tr>
        <w:trPr>
          <w:gridBefore w:val="1"/>
          <w:wBefore w:w="20" w:type="dxa"/>
          <w:cantSplit/>
        </w:trPr>
        <w:tc>
          <w:tcPr>
            <w:tcW w:w="3118" w:type="dxa"/>
            <w:gridSpan w:val="2"/>
          </w:tcPr>
          <w:p>
            <w:pPr>
              <w:pStyle w:val="nTable"/>
              <w:spacing w:after="40"/>
              <w:ind w:right="113"/>
              <w:rPr>
                <w:i/>
              </w:rPr>
            </w:pPr>
            <w:r>
              <w:rPr>
                <w:i/>
              </w:rPr>
              <w:t>Gaming Commission Amendment Regulations 1999</w:t>
            </w:r>
          </w:p>
        </w:tc>
        <w:tc>
          <w:tcPr>
            <w:tcW w:w="1276" w:type="dxa"/>
            <w:gridSpan w:val="2"/>
          </w:tcPr>
          <w:p>
            <w:pPr>
              <w:pStyle w:val="nTable"/>
              <w:spacing w:after="40"/>
            </w:pPr>
            <w:r>
              <w:t>2 Jul 1999 p. 2921</w:t>
            </w:r>
            <w:r>
              <w:noBreakHyphen/>
              <w:t>2</w:t>
            </w:r>
          </w:p>
        </w:tc>
        <w:tc>
          <w:tcPr>
            <w:tcW w:w="2694" w:type="dxa"/>
          </w:tcPr>
          <w:p>
            <w:pPr>
              <w:pStyle w:val="nTable"/>
              <w:spacing w:after="40"/>
            </w:pPr>
            <w:r>
              <w:t>2 Jul 1999</w:t>
            </w:r>
          </w:p>
        </w:tc>
      </w:tr>
      <w:tr>
        <w:trPr>
          <w:gridBefore w:val="1"/>
          <w:wBefore w:w="20" w:type="dxa"/>
          <w:cantSplit/>
        </w:trPr>
        <w:tc>
          <w:tcPr>
            <w:tcW w:w="3118" w:type="dxa"/>
            <w:gridSpan w:val="2"/>
          </w:tcPr>
          <w:p>
            <w:pPr>
              <w:pStyle w:val="nTable"/>
              <w:spacing w:after="40"/>
              <w:ind w:right="113"/>
              <w:rPr>
                <w:i/>
              </w:rPr>
            </w:pPr>
            <w:r>
              <w:rPr>
                <w:i/>
              </w:rPr>
              <w:t>Gaming Commission Amendment Regulations 2000</w:t>
            </w:r>
          </w:p>
        </w:tc>
        <w:tc>
          <w:tcPr>
            <w:tcW w:w="1276" w:type="dxa"/>
            <w:gridSpan w:val="2"/>
          </w:tcPr>
          <w:p>
            <w:pPr>
              <w:pStyle w:val="nTable"/>
              <w:spacing w:after="40"/>
            </w:pPr>
            <w:r>
              <w:t>12 May 2000 p. 2285</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2000</w:t>
            </w:r>
          </w:p>
        </w:tc>
        <w:tc>
          <w:tcPr>
            <w:tcW w:w="1276" w:type="dxa"/>
            <w:gridSpan w:val="2"/>
          </w:tcPr>
          <w:p>
            <w:pPr>
              <w:pStyle w:val="nTable"/>
              <w:spacing w:after="40"/>
            </w:pPr>
            <w:r>
              <w:t>23 Jun 2000 p. 3206</w:t>
            </w:r>
            <w:r>
              <w:noBreakHyphen/>
              <w:t>9</w:t>
            </w:r>
          </w:p>
        </w:tc>
        <w:tc>
          <w:tcPr>
            <w:tcW w:w="2694" w:type="dxa"/>
          </w:tcPr>
          <w:p>
            <w:pPr>
              <w:pStyle w:val="nTable"/>
              <w:spacing w:after="40"/>
            </w:pPr>
            <w:r>
              <w:t>1 Jul 2000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2000</w:t>
            </w:r>
          </w:p>
        </w:tc>
        <w:tc>
          <w:tcPr>
            <w:tcW w:w="1276" w:type="dxa"/>
            <w:gridSpan w:val="2"/>
          </w:tcPr>
          <w:p>
            <w:pPr>
              <w:pStyle w:val="nTable"/>
              <w:spacing w:after="40"/>
            </w:pPr>
            <w:r>
              <w:t>27 Oct 2000 p. 6030</w:t>
            </w:r>
          </w:p>
        </w:tc>
        <w:tc>
          <w:tcPr>
            <w:tcW w:w="2694" w:type="dxa"/>
          </w:tcPr>
          <w:p>
            <w:pPr>
              <w:pStyle w:val="nTable"/>
              <w:spacing w:after="40"/>
            </w:pPr>
            <w:r>
              <w:t>27 Oct 2000</w:t>
            </w:r>
          </w:p>
        </w:tc>
      </w:tr>
      <w:tr>
        <w:trPr>
          <w:gridBefore w:val="1"/>
          <w:wBefore w:w="20" w:type="dxa"/>
          <w:cantSplit/>
        </w:trPr>
        <w:tc>
          <w:tcPr>
            <w:tcW w:w="7088" w:type="dxa"/>
            <w:gridSpan w:val="5"/>
          </w:tcPr>
          <w:p>
            <w:pPr>
              <w:pStyle w:val="nTable"/>
              <w:spacing w:after="40"/>
              <w:ind w:right="113"/>
            </w:pPr>
            <w:r>
              <w:rPr>
                <w:b/>
              </w:rPr>
              <w:t xml:space="preserve">Reprint of the </w:t>
            </w:r>
            <w:r>
              <w:rPr>
                <w:b/>
                <w:i/>
              </w:rPr>
              <w:t>Gaming Commission Regulations 1988</w:t>
            </w:r>
            <w:r>
              <w:rPr>
                <w:b/>
              </w:rPr>
              <w:t xml:space="preserve"> as at 4 May 2001</w:t>
            </w:r>
            <w:r>
              <w:br/>
              <w:t>(includes amendments listed above)</w:t>
            </w:r>
          </w:p>
        </w:tc>
      </w:tr>
      <w:tr>
        <w:trPr>
          <w:gridBefore w:val="1"/>
          <w:wBefore w:w="20" w:type="dxa"/>
          <w:cantSplit/>
        </w:trPr>
        <w:tc>
          <w:tcPr>
            <w:tcW w:w="3118" w:type="dxa"/>
            <w:gridSpan w:val="2"/>
          </w:tcPr>
          <w:p>
            <w:pPr>
              <w:pStyle w:val="nTable"/>
              <w:spacing w:after="40"/>
              <w:ind w:right="113"/>
              <w:rPr>
                <w:i/>
              </w:rPr>
            </w:pPr>
            <w:r>
              <w:rPr>
                <w:i/>
              </w:rPr>
              <w:t>Gaming Commission Amendment Regulations 2001</w:t>
            </w:r>
          </w:p>
        </w:tc>
        <w:tc>
          <w:tcPr>
            <w:tcW w:w="1276" w:type="dxa"/>
            <w:gridSpan w:val="2"/>
          </w:tcPr>
          <w:p>
            <w:pPr>
              <w:pStyle w:val="nTable"/>
              <w:spacing w:after="40"/>
            </w:pPr>
            <w:r>
              <w:t>2 Oct 2001 p. 5458</w:t>
            </w:r>
            <w:r>
              <w:noBreakHyphen/>
              <w:t>60</w:t>
            </w:r>
          </w:p>
        </w:tc>
        <w:tc>
          <w:tcPr>
            <w:tcW w:w="2694" w:type="dxa"/>
          </w:tcPr>
          <w:p>
            <w:pPr>
              <w:pStyle w:val="nTable"/>
              <w:spacing w:after="40"/>
            </w:pPr>
            <w:r>
              <w:t xml:space="preserve">2 Oct 2001 </w:t>
            </w:r>
            <w:r>
              <w:rPr>
                <w:vertAlign w:val="superscript"/>
              </w:rPr>
              <w:t>7</w:t>
            </w:r>
            <w:r>
              <w:t xml:space="preserve"> (see r. 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2001</w:t>
            </w:r>
          </w:p>
        </w:tc>
        <w:tc>
          <w:tcPr>
            <w:tcW w:w="1276" w:type="dxa"/>
            <w:gridSpan w:val="2"/>
          </w:tcPr>
          <w:p>
            <w:pPr>
              <w:pStyle w:val="nTable"/>
              <w:spacing w:after="40"/>
            </w:pPr>
            <w:r>
              <w:t>21 Dec 2001 p. 6550</w:t>
            </w:r>
            <w:r>
              <w:noBreakHyphen/>
              <w:t>1</w:t>
            </w:r>
          </w:p>
        </w:tc>
        <w:tc>
          <w:tcPr>
            <w:tcW w:w="2694" w:type="dxa"/>
          </w:tcPr>
          <w:p>
            <w:pPr>
              <w:pStyle w:val="nTable"/>
              <w:spacing w:after="40"/>
            </w:pPr>
            <w:r>
              <w:t>21 Dec 2001</w:t>
            </w:r>
          </w:p>
        </w:tc>
      </w:tr>
      <w:tr>
        <w:trPr>
          <w:gridBefore w:val="1"/>
          <w:wBefore w:w="20" w:type="dxa"/>
          <w:cantSplit/>
        </w:trPr>
        <w:tc>
          <w:tcPr>
            <w:tcW w:w="3118" w:type="dxa"/>
            <w:gridSpan w:val="2"/>
          </w:tcPr>
          <w:p>
            <w:pPr>
              <w:pStyle w:val="nTable"/>
              <w:spacing w:after="40"/>
              <w:ind w:right="113"/>
              <w:rPr>
                <w:i/>
              </w:rPr>
            </w:pPr>
            <w:r>
              <w:rPr>
                <w:i/>
              </w:rPr>
              <w:t>Gaming Commission Amendment Regulations 2002</w:t>
            </w:r>
          </w:p>
        </w:tc>
        <w:tc>
          <w:tcPr>
            <w:tcW w:w="1276" w:type="dxa"/>
            <w:gridSpan w:val="2"/>
          </w:tcPr>
          <w:p>
            <w:pPr>
              <w:pStyle w:val="nTable"/>
              <w:spacing w:after="40"/>
            </w:pPr>
            <w:r>
              <w:t>15 Mar 2002 p. 1313</w:t>
            </w:r>
          </w:p>
        </w:tc>
        <w:tc>
          <w:tcPr>
            <w:tcW w:w="2694" w:type="dxa"/>
          </w:tcPr>
          <w:p>
            <w:pPr>
              <w:pStyle w:val="nTable"/>
              <w:spacing w:after="40"/>
            </w:pPr>
            <w:r>
              <w:t>15 Mar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2) 2002</w:t>
            </w:r>
          </w:p>
        </w:tc>
        <w:tc>
          <w:tcPr>
            <w:tcW w:w="1276" w:type="dxa"/>
            <w:gridSpan w:val="2"/>
          </w:tcPr>
          <w:p>
            <w:pPr>
              <w:pStyle w:val="nTable"/>
              <w:spacing w:after="40"/>
            </w:pPr>
            <w:r>
              <w:t>30 Jul 2002 p. 3530</w:t>
            </w:r>
          </w:p>
        </w:tc>
        <w:tc>
          <w:tcPr>
            <w:tcW w:w="2694" w:type="dxa"/>
          </w:tcPr>
          <w:p>
            <w:pPr>
              <w:pStyle w:val="nTable"/>
              <w:spacing w:after="40"/>
            </w:pPr>
            <w:r>
              <w:t>30 Jul 2002</w:t>
            </w:r>
          </w:p>
        </w:tc>
      </w:tr>
      <w:tr>
        <w:trPr>
          <w:gridBefore w:val="1"/>
          <w:wBefore w:w="20" w:type="dxa"/>
          <w:cantSplit/>
        </w:trPr>
        <w:tc>
          <w:tcPr>
            <w:tcW w:w="3118" w:type="dxa"/>
            <w:gridSpan w:val="2"/>
          </w:tcPr>
          <w:p>
            <w:pPr>
              <w:pStyle w:val="nTable"/>
              <w:spacing w:after="40"/>
              <w:ind w:right="113"/>
              <w:rPr>
                <w:i/>
              </w:rPr>
            </w:pPr>
            <w:r>
              <w:rPr>
                <w:i/>
              </w:rPr>
              <w:t>Gaming Commission Amendment Regulations (No. 3) 2002</w:t>
            </w:r>
          </w:p>
        </w:tc>
        <w:tc>
          <w:tcPr>
            <w:tcW w:w="1276" w:type="dxa"/>
            <w:gridSpan w:val="2"/>
          </w:tcPr>
          <w:p>
            <w:pPr>
              <w:pStyle w:val="nTable"/>
              <w:spacing w:after="40"/>
            </w:pPr>
            <w:r>
              <w:t>19 Nov 2002 p. 5516</w:t>
            </w:r>
            <w:r>
              <w:noBreakHyphen/>
              <w:t>18</w:t>
            </w:r>
          </w:p>
        </w:tc>
        <w:tc>
          <w:tcPr>
            <w:tcW w:w="2694" w:type="dxa"/>
          </w:tcPr>
          <w:p>
            <w:pPr>
              <w:pStyle w:val="nTable"/>
              <w:spacing w:after="40"/>
            </w:pPr>
            <w:r>
              <w:t>1 Jan 2003 (see r. 2)</w:t>
            </w:r>
          </w:p>
        </w:tc>
      </w:tr>
      <w:tr>
        <w:trPr>
          <w:gridBefore w:val="1"/>
          <w:wBefore w:w="20" w:type="dxa"/>
          <w:cantSplit/>
        </w:trPr>
        <w:tc>
          <w:tcPr>
            <w:tcW w:w="3118" w:type="dxa"/>
            <w:gridSpan w:val="2"/>
          </w:tcPr>
          <w:p>
            <w:pPr>
              <w:pStyle w:val="nTable"/>
              <w:spacing w:after="40"/>
            </w:pPr>
            <w:r>
              <w:rPr>
                <w:i/>
              </w:rPr>
              <w:t>Gaming Commission Amendment Regulations 2003</w:t>
            </w:r>
          </w:p>
        </w:tc>
        <w:tc>
          <w:tcPr>
            <w:tcW w:w="1276" w:type="dxa"/>
            <w:gridSpan w:val="2"/>
          </w:tcPr>
          <w:p>
            <w:pPr>
              <w:pStyle w:val="nTable"/>
              <w:spacing w:after="40"/>
            </w:pPr>
            <w:r>
              <w:t>26 Sep 2003 p. 4220</w:t>
            </w:r>
            <w:r>
              <w:noBreakHyphen/>
              <w:t>1</w:t>
            </w:r>
          </w:p>
        </w:tc>
        <w:tc>
          <w:tcPr>
            <w:tcW w:w="2694" w:type="dxa"/>
          </w:tcPr>
          <w:p>
            <w:pPr>
              <w:pStyle w:val="nTable"/>
              <w:spacing w:after="40"/>
            </w:pPr>
            <w:r>
              <w:t>1 Jan 2004 (see r. 2)</w:t>
            </w:r>
          </w:p>
        </w:tc>
      </w:tr>
      <w:tr>
        <w:trPr>
          <w:gridBefore w:val="1"/>
          <w:wBefore w:w="20" w:type="dxa"/>
          <w:cantSplit/>
        </w:trPr>
        <w:tc>
          <w:tcPr>
            <w:tcW w:w="3118" w:type="dxa"/>
            <w:gridSpan w:val="2"/>
          </w:tcPr>
          <w:p>
            <w:pPr>
              <w:pStyle w:val="nTable"/>
              <w:spacing w:after="40"/>
              <w:rPr>
                <w:i/>
              </w:rPr>
            </w:pPr>
            <w:r>
              <w:rPr>
                <w:i/>
              </w:rPr>
              <w:t>Gaming Commission Amendment Regulations 2004</w:t>
            </w:r>
          </w:p>
        </w:tc>
        <w:tc>
          <w:tcPr>
            <w:tcW w:w="1276" w:type="dxa"/>
            <w:gridSpan w:val="2"/>
          </w:tcPr>
          <w:p>
            <w:pPr>
              <w:pStyle w:val="nTable"/>
              <w:spacing w:after="40"/>
            </w:pPr>
            <w:r>
              <w:t>30 Jan 2004 p. 401</w:t>
            </w:r>
            <w:r>
              <w:noBreakHyphen/>
              <w:t>2</w:t>
            </w:r>
          </w:p>
        </w:tc>
        <w:tc>
          <w:tcPr>
            <w:tcW w:w="2694" w:type="dxa"/>
          </w:tcPr>
          <w:p>
            <w:pPr>
              <w:pStyle w:val="nTable"/>
              <w:spacing w:after="40"/>
            </w:pPr>
            <w:r>
              <w:t xml:space="preserve">30 Jan 2004 </w:t>
            </w:r>
          </w:p>
        </w:tc>
      </w:tr>
      <w:tr>
        <w:trPr>
          <w:gridBefore w:val="1"/>
          <w:wBefore w:w="20" w:type="dxa"/>
          <w:cantSplit/>
        </w:trPr>
        <w:tc>
          <w:tcPr>
            <w:tcW w:w="3118" w:type="dxa"/>
            <w:gridSpan w:val="2"/>
          </w:tcPr>
          <w:p>
            <w:pPr>
              <w:pStyle w:val="nTable"/>
              <w:spacing w:after="40"/>
            </w:pPr>
            <w:r>
              <w:rPr>
                <w:i/>
              </w:rPr>
              <w:t xml:space="preserve">Racing and Gambling (Miscellaneous) Amendment Regulations 2004 </w:t>
            </w:r>
            <w:r>
              <w:t>Pt. 4</w:t>
            </w:r>
          </w:p>
        </w:tc>
        <w:tc>
          <w:tcPr>
            <w:tcW w:w="1276" w:type="dxa"/>
            <w:gridSpan w:val="2"/>
          </w:tcPr>
          <w:p>
            <w:pPr>
              <w:pStyle w:val="nTable"/>
              <w:spacing w:after="40"/>
            </w:pPr>
            <w:r>
              <w:t>30 Jan 2004 p. 413</w:t>
            </w:r>
            <w:r>
              <w:noBreakHyphen/>
              <w:t>18</w:t>
            </w:r>
          </w:p>
        </w:tc>
        <w:tc>
          <w:tcPr>
            <w:tcW w:w="2694" w:type="dxa"/>
          </w:tcPr>
          <w:p>
            <w:pPr>
              <w:pStyle w:val="nTable"/>
              <w:spacing w:after="40"/>
            </w:pPr>
            <w:r>
              <w:t>30 Jan 2004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2004</w:t>
            </w:r>
          </w:p>
        </w:tc>
        <w:tc>
          <w:tcPr>
            <w:tcW w:w="1276" w:type="dxa"/>
            <w:gridSpan w:val="2"/>
          </w:tcPr>
          <w:p>
            <w:pPr>
              <w:pStyle w:val="nTable"/>
              <w:spacing w:after="40"/>
            </w:pPr>
            <w:r>
              <w:t>18 May 2004 p. 1571</w:t>
            </w:r>
            <w:r>
              <w:noBreakHyphen/>
              <w:t>2</w:t>
            </w:r>
          </w:p>
        </w:tc>
        <w:tc>
          <w:tcPr>
            <w:tcW w:w="2694" w:type="dxa"/>
          </w:tcPr>
          <w:p>
            <w:pPr>
              <w:pStyle w:val="nTable"/>
              <w:spacing w:after="40"/>
            </w:pPr>
            <w:r>
              <w:t>18 May 2004</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2004</w:t>
            </w:r>
          </w:p>
        </w:tc>
        <w:tc>
          <w:tcPr>
            <w:tcW w:w="1276" w:type="dxa"/>
            <w:gridSpan w:val="2"/>
          </w:tcPr>
          <w:p>
            <w:pPr>
              <w:pStyle w:val="nTable"/>
              <w:spacing w:after="40"/>
            </w:pPr>
            <w:r>
              <w:t>9 Jul 2004 p. 2782</w:t>
            </w:r>
            <w:r>
              <w:noBreakHyphen/>
              <w:t>4</w:t>
            </w:r>
          </w:p>
        </w:tc>
        <w:tc>
          <w:tcPr>
            <w:tcW w:w="2694" w:type="dxa"/>
          </w:tcPr>
          <w:p>
            <w:pPr>
              <w:pStyle w:val="nTable"/>
              <w:spacing w:after="40"/>
            </w:pPr>
            <w:r>
              <w:t>1 Jan 2005 (see r. 2)</w:t>
            </w:r>
          </w:p>
        </w:tc>
      </w:tr>
      <w:tr>
        <w:trPr>
          <w:gridBefore w:val="1"/>
          <w:wBefore w:w="20" w:type="dxa"/>
          <w:cantSplit/>
        </w:trPr>
        <w:tc>
          <w:tcPr>
            <w:tcW w:w="7088" w:type="dxa"/>
            <w:gridSpan w:val="5"/>
          </w:tcPr>
          <w:p>
            <w:pPr>
              <w:pStyle w:val="nTable"/>
              <w:spacing w:after="40"/>
            </w:pPr>
            <w:r>
              <w:rPr>
                <w:b/>
              </w:rPr>
              <w:t xml:space="preserve">Reprint 3: The </w:t>
            </w:r>
            <w:r>
              <w:rPr>
                <w:b/>
                <w:i/>
              </w:rPr>
              <w:t>Gaming and Wagering Commission Regulations 1988</w:t>
            </w:r>
            <w:r>
              <w:rPr>
                <w:b/>
              </w:rPr>
              <w:t xml:space="preserve"> as at 1 Oct 2004</w:t>
            </w:r>
            <w:r>
              <w:br/>
              <w:t xml:space="preserve">(includes amendments listed above except those in </w:t>
            </w:r>
            <w:r>
              <w:rPr>
                <w:i/>
              </w:rPr>
              <w:t>Gazette</w:t>
            </w:r>
            <w:r>
              <w:t xml:space="preserve"> 9 Jul 2004)</w:t>
            </w:r>
          </w:p>
        </w:tc>
      </w:tr>
      <w:tr>
        <w:trPr>
          <w:gridBefore w:val="1"/>
          <w:wBefore w:w="20" w:type="dxa"/>
          <w:cantSplit/>
        </w:trPr>
        <w:tc>
          <w:tcPr>
            <w:tcW w:w="3118" w:type="dxa"/>
            <w:gridSpan w:val="2"/>
          </w:tcPr>
          <w:p>
            <w:pPr>
              <w:pStyle w:val="nTable"/>
              <w:spacing w:after="40"/>
              <w:rPr>
                <w:i/>
              </w:rPr>
            </w:pPr>
            <w:r>
              <w:rPr>
                <w:i/>
              </w:rPr>
              <w:t>Gaming and Wagering Commission Amendment Regulations 2005</w:t>
            </w:r>
          </w:p>
        </w:tc>
        <w:tc>
          <w:tcPr>
            <w:tcW w:w="1276" w:type="dxa"/>
            <w:gridSpan w:val="2"/>
          </w:tcPr>
          <w:p>
            <w:pPr>
              <w:pStyle w:val="nTable"/>
              <w:spacing w:after="40"/>
            </w:pPr>
            <w:r>
              <w:t>14 Oct 2005 p. 4562</w:t>
            </w:r>
            <w:r>
              <w:noBreakHyphen/>
              <w:t>4</w:t>
            </w:r>
          </w:p>
        </w:tc>
        <w:tc>
          <w:tcPr>
            <w:tcW w:w="2694" w:type="dxa"/>
          </w:tcPr>
          <w:p>
            <w:pPr>
              <w:pStyle w:val="nTable"/>
              <w:spacing w:after="40"/>
            </w:pPr>
            <w:r>
              <w:t>1 Jan 2006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2006</w:t>
            </w:r>
          </w:p>
        </w:tc>
        <w:tc>
          <w:tcPr>
            <w:tcW w:w="1276" w:type="dxa"/>
            <w:gridSpan w:val="2"/>
          </w:tcPr>
          <w:p>
            <w:pPr>
              <w:pStyle w:val="nTable"/>
              <w:spacing w:after="40"/>
            </w:pPr>
            <w:r>
              <w:t>22 Aug 2006 p. 3465</w:t>
            </w:r>
            <w:r>
              <w:noBreakHyphen/>
              <w:t>8</w:t>
            </w:r>
          </w:p>
        </w:tc>
        <w:tc>
          <w:tcPr>
            <w:tcW w:w="2694" w:type="dxa"/>
          </w:tcPr>
          <w:p>
            <w:pPr>
              <w:pStyle w:val="nTable"/>
              <w:spacing w:after="40"/>
            </w:pPr>
            <w:r>
              <w:t>22 Aug 2006</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2006</w:t>
            </w:r>
          </w:p>
        </w:tc>
        <w:tc>
          <w:tcPr>
            <w:tcW w:w="1276" w:type="dxa"/>
            <w:gridSpan w:val="2"/>
          </w:tcPr>
          <w:p>
            <w:pPr>
              <w:pStyle w:val="nTable"/>
              <w:spacing w:after="40"/>
            </w:pPr>
            <w:r>
              <w:t>14 Nov 2006 p. 4731</w:t>
            </w:r>
            <w:r>
              <w:noBreakHyphen/>
              <w:t>3</w:t>
            </w:r>
          </w:p>
        </w:tc>
        <w:tc>
          <w:tcPr>
            <w:tcW w:w="2694" w:type="dxa"/>
          </w:tcPr>
          <w:p>
            <w:pPr>
              <w:pStyle w:val="nTable"/>
              <w:spacing w:after="40"/>
            </w:pPr>
            <w:r>
              <w:rPr>
                <w:snapToGrid w:val="0"/>
              </w:rPr>
              <w:t>1 Jan 2007 (see r. 2)</w:t>
            </w:r>
          </w:p>
        </w:tc>
      </w:tr>
      <w:tr>
        <w:trPr>
          <w:gridBefore w:val="1"/>
          <w:wBefore w:w="20" w:type="dxa"/>
          <w:cantSplit/>
        </w:trPr>
        <w:tc>
          <w:tcPr>
            <w:tcW w:w="3118" w:type="dxa"/>
            <w:gridSpan w:val="2"/>
          </w:tcPr>
          <w:p>
            <w:pPr>
              <w:pStyle w:val="nTable"/>
              <w:spacing w:after="40"/>
              <w:rPr>
                <w:i/>
              </w:rPr>
            </w:pPr>
            <w:r>
              <w:rPr>
                <w:i/>
              </w:rPr>
              <w:t>Gaming and Wagering Commission Amendment Regulations 2007</w:t>
            </w:r>
            <w:r>
              <w:rPr>
                <w:iCs/>
              </w:rPr>
              <w:t xml:space="preserve"> </w:t>
            </w:r>
          </w:p>
        </w:tc>
        <w:tc>
          <w:tcPr>
            <w:tcW w:w="1276" w:type="dxa"/>
            <w:gridSpan w:val="2"/>
          </w:tcPr>
          <w:p>
            <w:pPr>
              <w:pStyle w:val="nTable"/>
              <w:spacing w:after="40"/>
            </w:pPr>
            <w:r>
              <w:t>9 Oct 2007 p. 5354</w:t>
            </w:r>
            <w:r>
              <w:noBreakHyphen/>
              <w:t>7</w:t>
            </w:r>
          </w:p>
        </w:tc>
        <w:tc>
          <w:tcPr>
            <w:tcW w:w="2694" w:type="dxa"/>
          </w:tcPr>
          <w:p>
            <w:pPr>
              <w:pStyle w:val="nTable"/>
              <w:spacing w:after="40"/>
              <w:rPr>
                <w:snapToGrid w:val="0"/>
              </w:rPr>
            </w:pPr>
            <w:r>
              <w:rPr>
                <w:snapToGrid w:val="0"/>
              </w:rPr>
              <w:t>r. 1 and 2: 9 Oct 2007 (see r. 2(a));</w:t>
            </w:r>
            <w:r>
              <w:rPr>
                <w:snapToGrid w:val="0"/>
              </w:rPr>
              <w:br/>
              <w:t>Regulations other than r. 1 and 2: 1 Jan 2008 (see r. 2(b))</w:t>
            </w:r>
          </w:p>
        </w:tc>
      </w:tr>
      <w:tr>
        <w:trPr>
          <w:gridBefore w:val="1"/>
          <w:wBefore w:w="20" w:type="dxa"/>
          <w:cantSplit/>
        </w:trPr>
        <w:tc>
          <w:tcPr>
            <w:tcW w:w="7088" w:type="dxa"/>
            <w:gridSpan w:val="5"/>
          </w:tcPr>
          <w:p>
            <w:pPr>
              <w:pStyle w:val="nTable"/>
              <w:spacing w:after="40"/>
              <w:rPr>
                <w:snapToGrid w:val="0"/>
              </w:rPr>
            </w:pPr>
            <w:r>
              <w:rPr>
                <w:b/>
              </w:rPr>
              <w:t xml:space="preserve">Reprint 4: The </w:t>
            </w:r>
            <w:r>
              <w:rPr>
                <w:b/>
                <w:i/>
              </w:rPr>
              <w:t>Gaming and Wagering Commission Regulations 1988</w:t>
            </w:r>
            <w:r>
              <w:rPr>
                <w:b/>
              </w:rPr>
              <w:t xml:space="preserve"> as at 11 Apr 2008</w:t>
            </w:r>
            <w:r>
              <w:br/>
              <w:t>(includes amendments listed above)</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2008</w:t>
            </w:r>
          </w:p>
        </w:tc>
        <w:tc>
          <w:tcPr>
            <w:tcW w:w="1276" w:type="dxa"/>
            <w:gridSpan w:val="2"/>
          </w:tcPr>
          <w:p>
            <w:pPr>
              <w:pStyle w:val="nTable"/>
              <w:spacing w:after="40"/>
            </w:pPr>
            <w:r>
              <w:t>10 Jun 2008 p. 2495</w:t>
            </w:r>
            <w:r>
              <w:noBreakHyphen/>
              <w:t>6</w:t>
            </w:r>
          </w:p>
        </w:tc>
        <w:tc>
          <w:tcPr>
            <w:tcW w:w="2694" w:type="dxa"/>
          </w:tcPr>
          <w:p>
            <w:pPr>
              <w:pStyle w:val="nTable"/>
              <w:spacing w:after="40"/>
              <w:rPr>
                <w:snapToGrid w:val="0"/>
              </w:rPr>
            </w:pPr>
            <w:r>
              <w:rPr>
                <w:snapToGrid w:val="0"/>
              </w:rPr>
              <w:t>r. 1 and 2: 10 Jun 2008 (see r. 2(a));</w:t>
            </w:r>
            <w:r>
              <w:rPr>
                <w:snapToGrid w:val="0"/>
              </w:rPr>
              <w:br/>
              <w:t>Regulations other than r. 1 and 2: 11 Jun 2008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3) 2008</w:t>
            </w:r>
          </w:p>
        </w:tc>
        <w:tc>
          <w:tcPr>
            <w:tcW w:w="1276" w:type="dxa"/>
            <w:gridSpan w:val="2"/>
          </w:tcPr>
          <w:p>
            <w:pPr>
              <w:pStyle w:val="nTable"/>
              <w:spacing w:after="40"/>
            </w:pPr>
            <w:r>
              <w:t>28 Oct 2008 p. 4735</w:t>
            </w:r>
            <w:r>
              <w:noBreakHyphen/>
              <w:t>7</w:t>
            </w:r>
          </w:p>
        </w:tc>
        <w:tc>
          <w:tcPr>
            <w:tcW w:w="2694"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2009</w:t>
            </w:r>
          </w:p>
        </w:tc>
        <w:tc>
          <w:tcPr>
            <w:tcW w:w="1276" w:type="dxa"/>
            <w:gridSpan w:val="2"/>
          </w:tcPr>
          <w:p>
            <w:pPr>
              <w:pStyle w:val="nTable"/>
              <w:spacing w:after="40"/>
            </w:pPr>
            <w:r>
              <w:t>30 Oct 2009 p. 4316</w:t>
            </w:r>
            <w:r>
              <w:noBreakHyphen/>
              <w:t>19</w:t>
            </w:r>
          </w:p>
        </w:tc>
        <w:tc>
          <w:tcPr>
            <w:tcW w:w="2694"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2009</w:t>
            </w:r>
          </w:p>
        </w:tc>
        <w:tc>
          <w:tcPr>
            <w:tcW w:w="1276" w:type="dxa"/>
            <w:gridSpan w:val="2"/>
          </w:tcPr>
          <w:p>
            <w:pPr>
              <w:pStyle w:val="nTable"/>
              <w:spacing w:after="40"/>
            </w:pPr>
            <w:r>
              <w:t>8 Jan 2010 p. 17</w:t>
            </w:r>
            <w:r>
              <w:noBreakHyphen/>
              <w:t>19</w:t>
            </w:r>
          </w:p>
        </w:tc>
        <w:tc>
          <w:tcPr>
            <w:tcW w:w="2694"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w:t>
            </w:r>
            <w:r>
              <w:rPr>
                <w:snapToGrid w:val="0"/>
              </w:rPr>
              <w:noBreakHyphen/>
              <w:t>10)</w:t>
            </w:r>
          </w:p>
        </w:tc>
      </w:tr>
      <w:tr>
        <w:trPr>
          <w:gridBefore w:val="1"/>
          <w:wBefore w:w="20" w:type="dxa"/>
          <w:cantSplit/>
        </w:trPr>
        <w:tc>
          <w:tcPr>
            <w:tcW w:w="3118" w:type="dxa"/>
            <w:gridSpan w:val="2"/>
          </w:tcPr>
          <w:p>
            <w:pPr>
              <w:pStyle w:val="nTable"/>
              <w:spacing w:after="40"/>
              <w:rPr>
                <w:i/>
              </w:rPr>
            </w:pPr>
            <w:r>
              <w:rPr>
                <w:i/>
              </w:rPr>
              <w:t>Gaming and Wagering Commission Amendment Regulations 2010</w:t>
            </w:r>
            <w:r>
              <w:rPr>
                <w:iCs/>
              </w:rPr>
              <w:t xml:space="preserve"> </w:t>
            </w:r>
          </w:p>
        </w:tc>
        <w:tc>
          <w:tcPr>
            <w:tcW w:w="1276" w:type="dxa"/>
            <w:gridSpan w:val="2"/>
          </w:tcPr>
          <w:p>
            <w:pPr>
              <w:pStyle w:val="nTable"/>
              <w:spacing w:after="40"/>
            </w:pPr>
            <w:r>
              <w:t>19 Nov 2010 p. 5747</w:t>
            </w:r>
            <w:r>
              <w:noBreakHyphen/>
              <w:t>8</w:t>
            </w:r>
          </w:p>
        </w:tc>
        <w:tc>
          <w:tcPr>
            <w:tcW w:w="2694" w:type="dxa"/>
          </w:tcPr>
          <w:p>
            <w:pPr>
              <w:pStyle w:val="nTable"/>
              <w:spacing w:after="40"/>
              <w:rPr>
                <w:snapToGrid w:val="0"/>
              </w:rPr>
            </w:pPr>
            <w:r>
              <w:rPr>
                <w:snapToGrid w:val="0"/>
              </w:rPr>
              <w:t>r. 1 and 2: 19 Nov 2010 (see r. 2(a));</w:t>
            </w:r>
            <w:r>
              <w:rPr>
                <w:snapToGrid w:val="0"/>
              </w:rPr>
              <w:br/>
              <w:t xml:space="preserve">Regulations other than r. 1 and 2: </w:t>
            </w:r>
            <w:r>
              <w:t>1 Jan 2011 (see r. 2(b))</w:t>
            </w:r>
          </w:p>
        </w:tc>
      </w:tr>
      <w:tr>
        <w:trPr>
          <w:gridBefore w:val="1"/>
          <w:wBefore w:w="20" w:type="dxa"/>
          <w:cantSplit/>
        </w:trPr>
        <w:tc>
          <w:tcPr>
            <w:tcW w:w="7088" w:type="dxa"/>
            <w:gridSpan w:val="5"/>
          </w:tcPr>
          <w:p>
            <w:pPr>
              <w:pStyle w:val="nTable"/>
              <w:spacing w:after="40"/>
              <w:rPr>
                <w:snapToGrid w:val="0"/>
                <w:spacing w:val="-2"/>
              </w:rPr>
            </w:pPr>
            <w:r>
              <w:rPr>
                <w:b/>
              </w:rPr>
              <w:t xml:space="preserve">Reprint 5: The </w:t>
            </w:r>
            <w:r>
              <w:rPr>
                <w:b/>
                <w:i/>
              </w:rPr>
              <w:t>Gaming and Wagering Commission Regulations 1988</w:t>
            </w:r>
            <w:r>
              <w:rPr>
                <w:b/>
              </w:rPr>
              <w:t xml:space="preserve"> as at 1 Apr 2011</w:t>
            </w:r>
            <w:r>
              <w:br/>
              <w:t xml:space="preserve">(includes amendments listed above) (correction in </w:t>
            </w:r>
            <w:r>
              <w:rPr>
                <w:i/>
              </w:rPr>
              <w:t>Gazette</w:t>
            </w:r>
            <w:r>
              <w:t xml:space="preserve"> 20 May 2011 p. 1840)</w:t>
            </w:r>
          </w:p>
        </w:tc>
      </w:tr>
      <w:tr>
        <w:trPr>
          <w:gridBefore w:val="1"/>
          <w:wBefore w:w="20" w:type="dxa"/>
          <w:cantSplit/>
        </w:trPr>
        <w:tc>
          <w:tcPr>
            <w:tcW w:w="3118" w:type="dxa"/>
            <w:gridSpan w:val="2"/>
          </w:tcPr>
          <w:p>
            <w:pPr>
              <w:pStyle w:val="nTable"/>
              <w:spacing w:after="40"/>
              <w:rPr>
                <w:i/>
              </w:rPr>
            </w:pPr>
            <w:r>
              <w:rPr>
                <w:i/>
              </w:rPr>
              <w:t>Gaming and Wagering Commission Amendment Regulations 2011</w:t>
            </w:r>
            <w:r>
              <w:rPr>
                <w:iCs/>
              </w:rPr>
              <w:t xml:space="preserve"> </w:t>
            </w:r>
          </w:p>
        </w:tc>
        <w:tc>
          <w:tcPr>
            <w:tcW w:w="1276" w:type="dxa"/>
            <w:gridSpan w:val="2"/>
          </w:tcPr>
          <w:p>
            <w:pPr>
              <w:pStyle w:val="nTable"/>
              <w:spacing w:after="40"/>
            </w:pPr>
            <w:r>
              <w:t>12 Aug 2011 p. 3248-50</w:t>
            </w:r>
          </w:p>
        </w:tc>
        <w:tc>
          <w:tcPr>
            <w:tcW w:w="2694" w:type="dxa"/>
          </w:tcPr>
          <w:p>
            <w:pPr>
              <w:pStyle w:val="nTable"/>
              <w:spacing w:after="40"/>
              <w:rPr>
                <w:snapToGrid w:val="0"/>
              </w:rPr>
            </w:pPr>
            <w:r>
              <w:rPr>
                <w:snapToGrid w:val="0"/>
              </w:rPr>
              <w:t>r. 1 and 2: 12 Aug 2011 (see r. 2(a));</w:t>
            </w:r>
            <w:r>
              <w:rPr>
                <w:snapToGrid w:val="0"/>
              </w:rPr>
              <w:br/>
              <w:t>Regulations other than r. 1 and 2: 13</w:t>
            </w:r>
            <w:r>
              <w:t> Aug 2011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(No. 2) 2011</w:t>
            </w:r>
          </w:p>
        </w:tc>
        <w:tc>
          <w:tcPr>
            <w:tcW w:w="1276" w:type="dxa"/>
            <w:gridSpan w:val="2"/>
          </w:tcPr>
          <w:p>
            <w:pPr>
              <w:pStyle w:val="nTable"/>
              <w:spacing w:after="40"/>
            </w:pPr>
            <w:r>
              <w:t>4 Nov 2011 p. 4645-6</w:t>
            </w:r>
          </w:p>
        </w:tc>
        <w:tc>
          <w:tcPr>
            <w:tcW w:w="2694" w:type="dxa"/>
          </w:tcPr>
          <w:p>
            <w:pPr>
              <w:pStyle w:val="nTable"/>
              <w:spacing w:after="40"/>
              <w:rPr>
                <w:snapToGrid w:val="0"/>
                <w:spacing w:val="-2"/>
              </w:rPr>
            </w:pPr>
            <w:r>
              <w:t>r. 1 and 2: 4 Nov 2011 (see r. 2(a));</w:t>
            </w:r>
            <w:r>
              <w:br/>
              <w:t>Regulations other than r. 1 and 2: 1 Jan 2012 (see r. 2(b))</w:t>
            </w:r>
          </w:p>
        </w:tc>
      </w:tr>
      <w:tr>
        <w:trPr>
          <w:gridBefore w:val="1"/>
          <w:wBefore w:w="20" w:type="dxa"/>
          <w:cantSplit/>
        </w:trPr>
        <w:tc>
          <w:tcPr>
            <w:tcW w:w="3118" w:type="dxa"/>
            <w:gridSpan w:val="2"/>
          </w:tcPr>
          <w:p>
            <w:pPr>
              <w:pStyle w:val="nTable"/>
              <w:spacing w:after="40"/>
              <w:rPr>
                <w:i/>
              </w:rPr>
            </w:pPr>
            <w:r>
              <w:rPr>
                <w:i/>
              </w:rPr>
              <w:t>Gaming and Wagering Commission Amendment Regulations 2012</w:t>
            </w:r>
          </w:p>
        </w:tc>
        <w:tc>
          <w:tcPr>
            <w:tcW w:w="1276" w:type="dxa"/>
            <w:gridSpan w:val="2"/>
          </w:tcPr>
          <w:p>
            <w:pPr>
              <w:pStyle w:val="nTable"/>
              <w:spacing w:after="40"/>
            </w:pPr>
            <w:r>
              <w:t>16 Nov 2012 p. 5649-51</w:t>
            </w:r>
          </w:p>
        </w:tc>
        <w:tc>
          <w:tcPr>
            <w:tcW w:w="2694" w:type="dxa"/>
          </w:tcPr>
          <w:p>
            <w:pPr>
              <w:pStyle w:val="nTable"/>
              <w:spacing w:after="40"/>
            </w:pPr>
            <w:r>
              <w:rPr>
                <w:snapToGrid w:val="0"/>
              </w:rPr>
              <w:t>r. 1 and 2: 16 Nov 2012 (see r. 2(a));</w:t>
            </w:r>
            <w:r>
              <w:rPr>
                <w:snapToGrid w:val="0"/>
              </w:rPr>
              <w:br/>
              <w:t xml:space="preserve">Regulations other than r. 1 and 2: </w:t>
            </w:r>
            <w:r>
              <w:t>1 Jan 2013 (see r. 2(b))</w:t>
            </w:r>
          </w:p>
        </w:tc>
      </w:tr>
      <w:tr>
        <w:trPr>
          <w:gridBefore w:val="1"/>
          <w:wBefore w:w="20" w:type="dxa"/>
          <w:cantSplit/>
        </w:trPr>
        <w:tc>
          <w:tcPr>
            <w:tcW w:w="3118" w:type="dxa"/>
            <w:gridSpan w:val="2"/>
            <w:shd w:val="clear" w:color="auto" w:fill="auto"/>
          </w:tcPr>
          <w:p>
            <w:pPr>
              <w:pStyle w:val="nTable"/>
              <w:spacing w:after="40"/>
              <w:rPr>
                <w:i/>
              </w:rPr>
            </w:pPr>
            <w:r>
              <w:rPr>
                <w:i/>
              </w:rPr>
              <w:t>Gaming and Wagering Commission Amendment Regulations 2013</w:t>
            </w:r>
          </w:p>
        </w:tc>
        <w:tc>
          <w:tcPr>
            <w:tcW w:w="1276" w:type="dxa"/>
            <w:gridSpan w:val="2"/>
            <w:shd w:val="clear" w:color="auto" w:fill="auto"/>
          </w:tcPr>
          <w:p>
            <w:pPr>
              <w:pStyle w:val="nTable"/>
              <w:spacing w:after="40"/>
            </w:pPr>
            <w:r>
              <w:t>8 Nov 2013 p. 4975</w:t>
            </w:r>
            <w:r>
              <w:noBreakHyphen/>
              <w:t>7</w:t>
            </w:r>
          </w:p>
        </w:tc>
        <w:tc>
          <w:tcPr>
            <w:tcW w:w="2694" w:type="dxa"/>
            <w:shd w:val="clear" w:color="auto" w:fill="auto"/>
          </w:tcPr>
          <w:p>
            <w:pPr>
              <w:pStyle w:val="nTable"/>
              <w:spacing w:after="40"/>
              <w:rPr>
                <w:i/>
                <w:snapToGrid w:val="0"/>
              </w:rPr>
            </w:pPr>
            <w:r>
              <w:rPr>
                <w:snapToGrid w:val="0"/>
              </w:rPr>
              <w:t>r. 1 and 2: 8 Nov 2013 (see r. 2(a));</w:t>
            </w:r>
            <w:r>
              <w:rPr>
                <w:snapToGrid w:val="0"/>
              </w:rPr>
              <w:br/>
              <w:t>Regulations other than r. 1 and 2: 1 Jan 2014 (see. r. 2(b))</w:t>
            </w:r>
          </w:p>
        </w:tc>
      </w:tr>
      <w:tr>
        <w:trPr>
          <w:gridBefore w:val="1"/>
          <w:wBefore w:w="20" w:type="dxa"/>
          <w:cantSplit/>
        </w:trPr>
        <w:tc>
          <w:tcPr>
            <w:tcW w:w="7088" w:type="dxa"/>
            <w:gridSpan w:val="5"/>
            <w:shd w:val="clear" w:color="auto" w:fill="auto"/>
          </w:tcPr>
          <w:p>
            <w:pPr>
              <w:pStyle w:val="nTable"/>
              <w:spacing w:after="40"/>
              <w:rPr>
                <w:snapToGrid w:val="0"/>
              </w:rPr>
            </w:pPr>
            <w:r>
              <w:rPr>
                <w:b/>
              </w:rPr>
              <w:t xml:space="preserve">Reprint 6: The </w:t>
            </w:r>
            <w:r>
              <w:rPr>
                <w:b/>
                <w:i/>
              </w:rPr>
              <w:t>Gaming and Wagering Commission Regulations 1988</w:t>
            </w:r>
            <w:r>
              <w:rPr>
                <w:b/>
              </w:rPr>
              <w:t xml:space="preserve"> as at 16 May 2014 </w:t>
            </w:r>
            <w:r>
              <w:t>(includes amendments listed above)</w:t>
            </w:r>
          </w:p>
        </w:tc>
      </w:tr>
      <w:tr>
        <w:trPr>
          <w:cantSplit/>
        </w:trPr>
        <w:tc>
          <w:tcPr>
            <w:tcW w:w="3119" w:type="dxa"/>
            <w:gridSpan w:val="2"/>
          </w:tcPr>
          <w:p>
            <w:pPr>
              <w:pStyle w:val="nTable"/>
              <w:spacing w:after="40"/>
              <w:ind w:right="113"/>
              <w:rPr>
                <w:vertAlign w:val="superscript"/>
              </w:rPr>
            </w:pPr>
            <w:r>
              <w:rPr>
                <w:i/>
              </w:rPr>
              <w:t>Gaming and Wagering Commission Amendment Regulations 2014</w:t>
            </w:r>
          </w:p>
        </w:tc>
        <w:tc>
          <w:tcPr>
            <w:tcW w:w="1276" w:type="dxa"/>
            <w:gridSpan w:val="2"/>
          </w:tcPr>
          <w:p>
            <w:pPr>
              <w:pStyle w:val="nTable"/>
              <w:spacing w:after="40"/>
            </w:pPr>
            <w:r>
              <w:t>14 Nov 2014 p. 4282</w:t>
            </w:r>
            <w:r>
              <w:noBreakHyphen/>
              <w:t>4</w:t>
            </w:r>
          </w:p>
        </w:tc>
        <w:tc>
          <w:tcPr>
            <w:tcW w:w="2713" w:type="dxa"/>
            <w:gridSpan w:val="2"/>
          </w:tcPr>
          <w:p>
            <w:pPr>
              <w:pStyle w:val="nTable"/>
              <w:spacing w:after="40"/>
            </w:pPr>
            <w:r>
              <w:rPr>
                <w:rFonts w:ascii="Times" w:hAnsi="Times"/>
                <w:bCs/>
                <w:snapToGrid w:val="0"/>
                <w:spacing w:val="-2"/>
              </w:rPr>
              <w:t>r. 1 and 2: 14 Nov 2014 (see r. 2(a));</w:t>
            </w:r>
            <w:r>
              <w:rPr>
                <w:rFonts w:ascii="Times" w:hAnsi="Times"/>
                <w:bCs/>
                <w:snapToGrid w:val="0"/>
                <w:spacing w:val="-2"/>
              </w:rPr>
              <w:br/>
              <w:t xml:space="preserve">Regulations other than r. 1 and 2: </w:t>
            </w:r>
            <w:r>
              <w:t>1 Jan 2015 (see r. 2(b))</w:t>
            </w:r>
          </w:p>
        </w:tc>
      </w:tr>
      <w:tr>
        <w:trPr>
          <w:cantSplit/>
        </w:trPr>
        <w:tc>
          <w:tcPr>
            <w:tcW w:w="3119" w:type="dxa"/>
            <w:gridSpan w:val="2"/>
          </w:tcPr>
          <w:p>
            <w:pPr>
              <w:pStyle w:val="nTable"/>
              <w:spacing w:after="40"/>
              <w:ind w:right="113"/>
              <w:rPr>
                <w:i/>
              </w:rPr>
            </w:pPr>
            <w:r>
              <w:rPr>
                <w:i/>
              </w:rPr>
              <w:t xml:space="preserve">Racing, Gaming and Liquor Regulations Amendment (Fees and Charges) Regulations 2015 </w:t>
            </w:r>
            <w:r>
              <w:t>Pt. 5</w:t>
            </w:r>
          </w:p>
        </w:tc>
        <w:tc>
          <w:tcPr>
            <w:tcW w:w="1276" w:type="dxa"/>
            <w:gridSpan w:val="2"/>
          </w:tcPr>
          <w:p>
            <w:pPr>
              <w:pStyle w:val="nTable"/>
              <w:spacing w:after="40"/>
            </w:pPr>
            <w:r>
              <w:t>6 Nov 2015 p. 4581-8</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1 Jan 2016</w:t>
            </w:r>
            <w:r>
              <w:t xml:space="preserve"> (see r. 2(b))</w:t>
            </w:r>
          </w:p>
        </w:tc>
      </w:tr>
      <w:tr>
        <w:trPr>
          <w:cantSplit/>
        </w:trPr>
        <w:tc>
          <w:tcPr>
            <w:tcW w:w="3119" w:type="dxa"/>
            <w:gridSpan w:val="2"/>
          </w:tcPr>
          <w:p>
            <w:pPr>
              <w:pStyle w:val="nTable"/>
              <w:spacing w:after="40"/>
              <w:ind w:right="113"/>
              <w:rPr>
                <w:i/>
              </w:rPr>
            </w:pPr>
            <w:r>
              <w:rPr>
                <w:i/>
              </w:rPr>
              <w:t>Gaming and Wagering Commission Amendment Regulations 2015</w:t>
            </w:r>
          </w:p>
        </w:tc>
        <w:tc>
          <w:tcPr>
            <w:tcW w:w="1276" w:type="dxa"/>
            <w:gridSpan w:val="2"/>
          </w:tcPr>
          <w:p>
            <w:pPr>
              <w:pStyle w:val="nTable"/>
              <w:spacing w:after="40"/>
            </w:pPr>
            <w:r>
              <w:t>1 Dec 2015 p. 4823</w:t>
            </w:r>
            <w:r>
              <w:noBreakHyphen/>
              <w:t>4</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r. 1 and 2: 1 Dec 2015 (see r. 2(a));</w:t>
            </w:r>
            <w:r>
              <w:rPr>
                <w:rFonts w:ascii="Times" w:hAnsi="Times"/>
                <w:bCs/>
                <w:snapToGrid w:val="0"/>
                <w:spacing w:val="-2"/>
              </w:rPr>
              <w:br/>
              <w:t>Regulations other than r. 1 and 2: 2</w:t>
            </w:r>
            <w:r>
              <w:t xml:space="preserve"> Dec 2015 (see r. 2(b))</w:t>
            </w:r>
          </w:p>
        </w:tc>
      </w:tr>
      <w:tr>
        <w:trPr>
          <w:cantSplit/>
        </w:trPr>
        <w:tc>
          <w:tcPr>
            <w:tcW w:w="3119" w:type="dxa"/>
            <w:gridSpan w:val="2"/>
          </w:tcPr>
          <w:p>
            <w:pPr>
              <w:pStyle w:val="nTable"/>
              <w:spacing w:after="40"/>
              <w:ind w:right="113"/>
              <w:rPr>
                <w:i/>
              </w:rPr>
            </w:pPr>
            <w:r>
              <w:rPr>
                <w:i/>
              </w:rPr>
              <w:t>Gaming and Wagering Commission Amendment Regulations 2016</w:t>
            </w:r>
          </w:p>
        </w:tc>
        <w:tc>
          <w:tcPr>
            <w:tcW w:w="1276" w:type="dxa"/>
            <w:gridSpan w:val="2"/>
          </w:tcPr>
          <w:p>
            <w:pPr>
              <w:pStyle w:val="nTable"/>
              <w:spacing w:after="40"/>
            </w:pPr>
            <w:r>
              <w:t>6 Sep 2016 p. 3831-3</w:t>
            </w:r>
          </w:p>
        </w:tc>
        <w:tc>
          <w:tcPr>
            <w:tcW w:w="2713" w:type="dxa"/>
            <w:gridSpan w:val="2"/>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gridSpan w:val="2"/>
            <w:tcBorders>
              <w:bottom w:val="single" w:sz="4" w:space="0" w:color="auto"/>
            </w:tcBorders>
          </w:tcPr>
          <w:p>
            <w:pPr>
              <w:pStyle w:val="nTable"/>
              <w:spacing w:after="40"/>
              <w:ind w:right="113"/>
              <w:rPr>
                <w:i/>
              </w:rPr>
            </w:pPr>
            <w:r>
              <w:rPr>
                <w:i/>
              </w:rPr>
              <w:t>Racing, Gaming and Liquor Regulations Amendment (Fees and Charges) Regulations 2016</w:t>
            </w:r>
            <w:r>
              <w:t xml:space="preserve"> Pt. 5</w:t>
            </w:r>
          </w:p>
        </w:tc>
        <w:tc>
          <w:tcPr>
            <w:tcW w:w="1276" w:type="dxa"/>
            <w:gridSpan w:val="2"/>
            <w:tcBorders>
              <w:bottom w:val="single" w:sz="4" w:space="0" w:color="auto"/>
            </w:tcBorders>
          </w:tcPr>
          <w:p>
            <w:pPr>
              <w:pStyle w:val="nTable"/>
              <w:spacing w:after="40"/>
            </w:pPr>
            <w:r>
              <w:t>28 Oct 2016 p. 4910</w:t>
            </w:r>
            <w:r>
              <w:noBreakHyphen/>
              <w:t>16</w:t>
            </w:r>
          </w:p>
        </w:tc>
        <w:tc>
          <w:tcPr>
            <w:tcW w:w="2713" w:type="dxa"/>
            <w:gridSpan w:val="2"/>
            <w:tcBorders>
              <w:bottom w:val="single" w:sz="4" w:space="0" w:color="auto"/>
            </w:tcBorders>
          </w:tcPr>
          <w:p>
            <w:pPr>
              <w:pStyle w:val="nTable"/>
              <w:spacing w:after="40"/>
              <w:rPr>
                <w:rFonts w:ascii="Times" w:hAnsi="Times"/>
                <w:bCs/>
                <w:snapToGrid w:val="0"/>
                <w:spacing w:val="-2"/>
              </w:rPr>
            </w:pPr>
            <w:r>
              <w:t>1 Jan 2017 (see r. 2(b))</w:t>
            </w:r>
          </w:p>
        </w:tc>
      </w:tr>
    </w:tbl>
    <w:p>
      <w:pPr>
        <w:pStyle w:val="nSubsection"/>
        <w:spacing w:before="160"/>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pPr>
      <w:r>
        <w:rPr>
          <w:vertAlign w:val="superscript"/>
        </w:rPr>
        <w:t>4</w:t>
      </w:r>
      <w:r>
        <w:tab/>
        <w:t xml:space="preserve">Deleted by the </w:t>
      </w:r>
      <w:r>
        <w:rPr>
          <w:i/>
        </w:rPr>
        <w:t>Acts Amendment (Continuing Lotteries) Act 2000</w:t>
      </w:r>
      <w:r>
        <w:t xml:space="preserve"> s. 5.</w:t>
      </w:r>
    </w:p>
    <w:p>
      <w:pPr>
        <w:pStyle w:val="nSubsection"/>
      </w:pPr>
      <w:r>
        <w:rPr>
          <w:vertAlign w:val="superscript"/>
        </w:rPr>
        <w:t>5</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were repealed in </w:t>
      </w:r>
      <w:r>
        <w:rPr>
          <w:i/>
          <w:iCs/>
        </w:rPr>
        <w:t>Gazette</w:t>
      </w:r>
      <w:r>
        <w:t xml:space="preserve"> 10 Jun 2008 p. 2496 due to an error in the citation of the principal regulations.</w:t>
      </w:r>
    </w:p>
    <w:p>
      <w:pPr>
        <w:pStyle w:val="nSubsection"/>
        <w:keepNext/>
        <w:keepLines/>
      </w:pPr>
      <w:r>
        <w:rPr>
          <w:vertAlign w:val="superscript"/>
        </w:rPr>
        <w:t>6</w:t>
      </w:r>
      <w:r>
        <w:tab/>
        <w:t xml:space="preserve">Now known as the </w:t>
      </w:r>
      <w:r>
        <w:rPr>
          <w:i/>
          <w:snapToGrid w:val="0"/>
        </w:rPr>
        <w:t>Gaming and Wagering Commission Regulations 1988</w:t>
      </w:r>
      <w:r>
        <w:t>; citation changed (see note under r. 1).</w:t>
      </w:r>
    </w:p>
    <w:p>
      <w:pPr>
        <w:pStyle w:val="nSubsection"/>
      </w:pPr>
      <w:r>
        <w:rPr>
          <w:vertAlign w:val="superscript"/>
        </w:rPr>
        <w:t>7</w:t>
      </w:r>
      <w:r>
        <w:tab/>
        <w:t>The commencement date of 1 Oct 2001 that was specified was before the date of gazettal.</w:t>
      </w:r>
    </w:p>
    <w:p/>
    <w:p>
      <w:pPr>
        <w:sectPr>
          <w:headerReference w:type="even" r:id="rId37"/>
          <w:headerReference w:type="default" r:id="rId38"/>
          <w:headerReference w:type="first" r:id="rId39"/>
          <w:pgSz w:w="11907" w:h="16840" w:code="9"/>
          <w:pgMar w:top="2376" w:right="2404" w:bottom="3544" w:left="2404" w:header="720" w:footer="3380" w:gutter="0"/>
          <w:cols w:space="720"/>
          <w:noEndnote/>
          <w:docGrid w:linePitch="326"/>
        </w:sectPr>
      </w:pPr>
    </w:p>
    <w:p>
      <w:pPr>
        <w:pStyle w:val="nHeading2"/>
        <w:rPr>
          <w:sz w:val="28"/>
        </w:rPr>
      </w:pPr>
      <w:bookmarkStart w:id="117" w:name="_Toc524514034"/>
      <w:r>
        <w:rPr>
          <w:sz w:val="28"/>
        </w:rPr>
        <w:t>Defined terms</w:t>
      </w:r>
      <w:bookmarkEnd w:id="1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amusement parlour</w:t>
      </w:r>
      <w:r>
        <w:tab/>
        <w:t>18B(7)</w:t>
      </w:r>
    </w:p>
    <w:p>
      <w:pPr>
        <w:pStyle w:val="DefinedTerms"/>
      </w:pPr>
      <w:r>
        <w:t>baseline</w:t>
      </w:r>
      <w:r>
        <w:tab/>
        <w:t>8A(1)</w:t>
      </w:r>
    </w:p>
    <w:p>
      <w:pPr>
        <w:pStyle w:val="DefinedTerms"/>
      </w:pPr>
      <w:r>
        <w:t>cruise ship</w:t>
      </w:r>
      <w:r>
        <w:tab/>
        <w:t>8A(1), 18C(1)</w:t>
      </w:r>
    </w:p>
    <w:p>
      <w:pPr>
        <w:pStyle w:val="DefinedTerms"/>
      </w:pPr>
      <w:r>
        <w:t>donor organization</w:t>
      </w:r>
      <w:r>
        <w:tab/>
        <w:t>30A(3)</w:t>
      </w:r>
    </w:p>
    <w:p>
      <w:pPr>
        <w:pStyle w:val="DefinedTerms"/>
      </w:pPr>
      <w:r>
        <w:t>gambling operator</w:t>
      </w:r>
      <w:r>
        <w:tab/>
        <w:t>43(1)</w:t>
      </w:r>
    </w:p>
    <w:p>
      <w:pPr>
        <w:pStyle w:val="DefinedTerms"/>
      </w:pPr>
      <w:r>
        <w:t>lottery terms and conditions</w:t>
      </w:r>
      <w:r>
        <w:tab/>
        <w:t>36A(2)</w:t>
      </w:r>
    </w:p>
    <w:p>
      <w:pPr>
        <w:pStyle w:val="DefinedTerms"/>
      </w:pPr>
      <w:r>
        <w:t>prize</w:t>
      </w:r>
      <w:r>
        <w:tab/>
        <w:t>23A(2)</w:t>
      </w:r>
    </w:p>
    <w:p>
      <w:pPr>
        <w:pStyle w:val="DefinedTerms"/>
      </w:pPr>
      <w:r>
        <w:t>prize goods</w:t>
      </w:r>
      <w:r>
        <w:tab/>
        <w:t>Sch. 4 cl. 7(2), Sch. 4 cl. 8(2)</w:t>
      </w:r>
    </w:p>
    <w:p>
      <w:pPr>
        <w:pStyle w:val="DefinedTerms"/>
      </w:pPr>
      <w:r>
        <w:t>publish</w:t>
      </w:r>
      <w:r>
        <w:tab/>
        <w:t>43(1)</w:t>
      </w:r>
    </w:p>
    <w:p>
      <w:pPr>
        <w:pStyle w:val="DefinedTerms"/>
      </w:pPr>
      <w:r>
        <w:t>rents</w:t>
      </w:r>
      <w:r>
        <w:tab/>
        <w:t>18(2)</w:t>
      </w:r>
    </w:p>
    <w:p>
      <w:pPr>
        <w:pStyle w:val="DefinedTerms"/>
      </w:pPr>
      <w:r>
        <w:t>series</w:t>
      </w:r>
      <w:r>
        <w:tab/>
        <w:t>18AA(3)</w:t>
      </w:r>
    </w:p>
    <w:p>
      <w:pPr>
        <w:pStyle w:val="DefinedTerms"/>
      </w:pPr>
      <w:r>
        <w:t>snowball</w:t>
      </w:r>
      <w:r>
        <w:tab/>
        <w:t>Sch. 4 cl. 6</w:t>
      </w:r>
    </w:p>
    <w:p>
      <w:pPr>
        <w:pStyle w:val="DefinedTerms"/>
      </w:pPr>
      <w:r>
        <w:t>value</w:t>
      </w:r>
      <w:r>
        <w:tab/>
        <w:t>23A(2)</w:t>
      </w:r>
    </w:p>
    <w:p>
      <w:pPr>
        <w:pStyle w:val="DefinedTerms"/>
      </w:pPr>
      <w:r>
        <w:t>video lottery terminal</w:t>
      </w:r>
      <w:r>
        <w:tab/>
        <w:t>18AA(1)</w:t>
      </w:r>
    </w:p>
    <w:p>
      <w:pPr>
        <w:pStyle w:val="DefinedTerms"/>
      </w:pPr>
      <w:r>
        <w:t>voucher</w:t>
      </w:r>
      <w:r>
        <w:tab/>
        <w:t>18B(7)</w:t>
      </w:r>
    </w:p>
    <w:p/>
    <w:p>
      <w:pPr>
        <w:sectPr>
          <w:headerReference w:type="even" r:id="rId40"/>
          <w:headerReference w:type="default" r:id="rId41"/>
          <w:pgSz w:w="11907" w:h="16840" w:code="9"/>
          <w:pgMar w:top="2381" w:right="2409" w:bottom="3543" w:left="2409" w:header="720" w:footer="3380" w:gutter="0"/>
          <w:cols w:space="720"/>
          <w:noEndnote/>
          <w:docGrid w:linePitch="326"/>
        </w:sectPr>
      </w:pPr>
    </w:p>
    <w:p>
      <w:pPr>
        <w:jc w:val="both"/>
      </w:pPr>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62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06-i0-01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Jan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3" w:name="Schedule"/>
    <w:bookmarkEnd w:id="8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Prescribed penalties under section 36(1)</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Prescribed penalties under section 36(1)</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Rules for the conduct of permitted games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CharSDivText</w:instrText>
          </w:r>
          <w:r>
            <w:fldChar w:fldCharType="separate"/>
          </w:r>
          <w:r>
            <w:t>Permitted lotteries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Rules for the conduct of permitted games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Permitted lotteries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16" w:name="Compilation"/>
    <w:bookmarkEnd w:id="116"/>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Gaming and Wagering Commission Regulations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8" w:name="DefinedTerms"/>
    <w:bookmarkEnd w:id="118"/>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9" w:name="Coversheet"/>
    <w:bookmarkEnd w:id="1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145115"/>
    <w:docVar w:name="WAFER_20131218160208" w:val="RemoveTocBookmarks,RemoveUnusedBookmarks,RemoveLanguageTags,UsedStyles,ResetPageSize,UpdateArrangement"/>
    <w:docVar w:name="WAFER_20131218160208_GUID" w:val="a07748e9-ad6d-46cc-9045-3972b76bdaa1"/>
    <w:docVar w:name="WAFER_20140509104855" w:val="RemoveTocBookmarks,RemoveUnusedBookmarks,RemoveLanguageTags,UsedStyles,RemoveTrackChanges"/>
    <w:docVar w:name="WAFER_20140509104855_GUID" w:val="491764b7-a6e2-43e7-ab88-90f2c4bd64ff"/>
    <w:docVar w:name="WAFER_20140509104907" w:val="RemoveTocBookmarks,RemoveLanguageTags,RemoveTrackChanges,RunningHeaders"/>
    <w:docVar w:name="WAFER_20140509104907_GUID" w:val="926372b0-bfc8-4440-8683-a4717284c6dd"/>
    <w:docVar w:name="WAFER_20140528111200" w:val="RemoveTocBookmarks,RemoveLanguageTags,RemoveTrackChanges,RunningHeaders"/>
    <w:docVar w:name="WAFER_20140528111200_GUID" w:val="c68bb7ce-f158-487e-84ba-6c8ceef64315"/>
    <w:docVar w:name="WAFER_20141113145740" w:val="RemoveTocBookmarks,RemoveUnusedBookmarks,RemoveLanguageTags,UsedStyles,ResetPageSize,UpdateArrangement"/>
    <w:docVar w:name="WAFER_20141113145740_GUID" w:val="4231596b-289c-4166-96f5-fb8f42302f87"/>
    <w:docVar w:name="WAFER_20150506114425" w:val="ResetPageSize,UpdateArrangement,UpdateNTable"/>
    <w:docVar w:name="WAFER_20150506114425_GUID" w:val="cd6d68f5-5dc5-4647-814b-3558074940a0"/>
    <w:docVar w:name="WAFER_20151105142012" w:val="UpdateStyles"/>
    <w:docVar w:name="WAFER_20151105142012_GUID" w:val="22c14843-cf89-4e3a-8108-6fc16ebe27af"/>
    <w:docVar w:name="WAFER_20151105142324" w:val="UsedStyles"/>
    <w:docVar w:name="WAFER_20151105142324_GUID" w:val="cf0e45ba-8119-460a-a924-cec6ce5fda84"/>
    <w:docVar w:name="WAFER_20170125145115" w:val="RemoveTocBookmarks,RemoveUnusedBookmarks,RemoveLanguageTags,UsedStyles,ResetPageSize"/>
    <w:docVar w:name="WAFER_20170125145115_GUID" w:val="ea8468be-7f65-45cd-b2b9-03a037bafa9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675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2.png"/><Relationship Id="rId42" Type="http://schemas.openxmlformats.org/officeDocument/2006/relationships/header" Target="header25.xml"/><Relationship Id="rId47"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1.xml"/><Relationship Id="rId46" Type="http://schemas.openxmlformats.org/officeDocument/2006/relationships/header" Target="header2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49"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header" Target="header26.xml"/><Relationship Id="rId48" Type="http://schemas.openxmlformats.org/officeDocument/2006/relationships/fontTable" Target="fontTable.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066E91-58A6-414A-9880-FDBB0A54F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70</Pages>
  <Words>15842</Words>
  <Characters>77156</Characters>
  <Application>Microsoft Office Word</Application>
  <DocSecurity>0</DocSecurity>
  <Lines>2411</Lines>
  <Paragraphs>1603</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91395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1988 - 06-i0-01</dc:title>
  <dc:subject/>
  <dc:creator/>
  <cp:keywords/>
  <dc:description/>
  <cp:lastModifiedBy>svcMRProcess</cp:lastModifiedBy>
  <cp:revision>4</cp:revision>
  <cp:lastPrinted>2014-05-27T00:05:00Z</cp:lastPrinted>
  <dcterms:created xsi:type="dcterms:W3CDTF">2018-09-12T03:09:00Z</dcterms:created>
  <dcterms:modified xsi:type="dcterms:W3CDTF">2018-09-12T03:09:00Z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DocumentType">
    <vt:lpwstr>Reg</vt:lpwstr>
  </property>
  <property fmtid="{D5CDD505-2E9C-101B-9397-08002B2CF9AE}" pid="4" name="OwlsUID">
    <vt:i4>4458</vt:i4>
  </property>
  <property fmtid="{D5CDD505-2E9C-101B-9397-08002B2CF9AE}" pid="5" name="ReprintNo">
    <vt:lpwstr>6</vt:lpwstr>
  </property>
  <property fmtid="{D5CDD505-2E9C-101B-9397-08002B2CF9AE}" pid="6" name="ReprintedAsAt">
    <vt:filetime>2014-05-15T16:00:00Z</vt:filetime>
  </property>
  <property fmtid="{D5CDD505-2E9C-101B-9397-08002B2CF9AE}" pid="7" name="AsAtDate">
    <vt:lpwstr>01 Jan 2017</vt:lpwstr>
  </property>
  <property fmtid="{D5CDD505-2E9C-101B-9397-08002B2CF9AE}" pid="8" name="Suffix">
    <vt:lpwstr>06-i0-01</vt:lpwstr>
  </property>
  <property fmtid="{D5CDD505-2E9C-101B-9397-08002B2CF9AE}" pid="9" name="CommencementDate">
    <vt:lpwstr>20170101</vt:lpwstr>
  </property>
</Properties>
</file>