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(Functions and General)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(Functions and General)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_Toc470792452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_Toc470792453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1A — Local laws</w:t>
      </w:r>
    </w:p>
    <w:p>
      <w:pPr>
        <w:pStyle w:val="TOC8"/>
        <w:rPr>
          <w:rFonts w:asciiTheme="minorHAnsi" w:eastAsiaTheme="minorEastAsia" w:hAnsiTheme="minorHAnsi" w:cstheme="minorBidi"/>
          <w:szCs w:val="22"/>
        </w:rPr>
      </w:pPr>
      <w:r>
        <w:t>2A.</w:t>
      </w:r>
      <w:r>
        <w:tab/>
        <w:t>Matters about which local laws are not to be made (Act s. 3.5)</w:t>
      </w:r>
      <w:r>
        <w:tab/>
      </w:r>
      <w:r>
        <w:fldChar w:fldCharType="begin"/>
      </w:r>
      <w:r>
        <w:instrText xml:space="preserve"> PAGEREF _Toc470792455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Prescribed manner of giving notice of purpose and effect of proposed local law </w:t>
      </w:r>
      <w:r>
        <w:rPr>
          <w:snapToGrid w:val="0"/>
        </w:rPr>
        <w:t>(Act </w:t>
      </w:r>
      <w:r>
        <w:t>s. 3.12(2))</w:t>
      </w:r>
      <w:r>
        <w:tab/>
      </w:r>
      <w:r>
        <w:fldChar w:fldCharType="begin"/>
      </w:r>
      <w:r>
        <w:instrText xml:space="preserve"> PAGEREF _Toc470792456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Thoroughfares</w:t>
      </w:r>
    </w:p>
    <w:p>
      <w:pPr>
        <w:pStyle w:val="TOC8"/>
        <w:rPr>
          <w:rFonts w:asciiTheme="minorHAnsi" w:eastAsiaTheme="minorEastAsia" w:hAnsiTheme="minorHAnsi" w:cstheme="minorBidi"/>
          <w:szCs w:val="22"/>
        </w:rPr>
      </w:pPr>
      <w:r>
        <w:t>4</w:t>
      </w:r>
      <w:r>
        <w:rPr>
          <w:snapToGrid w:val="0"/>
        </w:rPr>
        <w:t>.</w:t>
      </w:r>
      <w:r>
        <w:rPr>
          <w:snapToGrid w:val="0"/>
        </w:rPr>
        <w:tab/>
        <w:t>Persons prescribed to be notified of road closure (Act s. 3.50)</w:t>
      </w:r>
      <w:r>
        <w:tab/>
      </w:r>
      <w:r>
        <w:fldChar w:fldCharType="begin"/>
      </w:r>
      <w:r>
        <w:instrText xml:space="preserve"> PAGEREF _Toc470792458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Persons prescribed to be notified of certain proposals (Act s. </w:t>
      </w:r>
      <w:r>
        <w:t>3</w:t>
      </w:r>
      <w:r>
        <w:rPr>
          <w:snapToGrid w:val="0"/>
        </w:rPr>
        <w:t xml:space="preserve">.51(1) </w:t>
      </w:r>
      <w:r>
        <w:rPr>
          <w:i/>
          <w:snapToGrid w:val="0"/>
        </w:rPr>
        <w:t>person having an interest</w:t>
      </w:r>
      <w:r>
        <w:rPr>
          <w:snapToGrid w:val="0"/>
        </w:rPr>
        <w:t>)</w:t>
      </w:r>
      <w:r>
        <w:tab/>
      </w:r>
      <w:r>
        <w:fldChar w:fldCharType="begin"/>
      </w:r>
      <w:r>
        <w:instrText xml:space="preserve"> PAGEREF _Toc470792459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Transitional provisions about road closures</w:t>
      </w:r>
      <w:r>
        <w:tab/>
      </w:r>
      <w:r>
        <w:fldChar w:fldCharType="begin"/>
      </w:r>
      <w:r>
        <w:instrText xml:space="preserve"> PAGEREF _Toc470792460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Commercial enterprises by local governments (s. 3.59)</w:t>
      </w:r>
    </w:p>
    <w:p>
      <w:pPr>
        <w:pStyle w:val="TOC8"/>
        <w:rPr>
          <w:rFonts w:asciiTheme="minorHAnsi" w:eastAsiaTheme="minorEastAsia" w:hAnsiTheme="minorHAnsi" w:cstheme="minorBidi"/>
          <w:szCs w:val="22"/>
        </w:rPr>
      </w:pPr>
      <w:r>
        <w:t>7.</w:t>
      </w:r>
      <w:r>
        <w:tab/>
        <w:t>Term used: major regional centre</w:t>
      </w:r>
      <w:r>
        <w:tab/>
      </w:r>
      <w:r>
        <w:fldChar w:fldCharType="begin"/>
      </w:r>
      <w:r>
        <w:instrText xml:space="preserve"> PAGEREF _Toc470792462 \h </w:instrText>
      </w:r>
      <w:r>
        <w:fldChar w:fldCharType="separate"/>
      </w:r>
      <w:r>
        <w:t>5</w:t>
      </w:r>
      <w:r>
        <w:fldChar w:fldCharType="end"/>
      </w:r>
    </w:p>
    <w:p>
      <w:pPr>
        <w:pStyle w:val="TOC8"/>
        <w:rPr>
          <w:rFonts w:asciiTheme="minorHAnsi" w:eastAsiaTheme="minorEastAsia" w:hAnsiTheme="minorHAnsi" w:cstheme="minorBidi"/>
          <w:szCs w:val="22"/>
        </w:rPr>
      </w:pPr>
      <w:r>
        <w:t>8A.</w:t>
      </w:r>
      <w:r>
        <w:tab/>
        <w:t xml:space="preserve">Amount prescribed for major land transactions; exempt land transactions prescribed </w:t>
      </w:r>
      <w:r>
        <w:rPr>
          <w:snapToGrid w:val="0"/>
        </w:rPr>
        <w:t>(Act </w:t>
      </w:r>
      <w:r>
        <w:t>s. 3.59)</w:t>
      </w:r>
      <w:r>
        <w:tab/>
      </w:r>
      <w:r>
        <w:fldChar w:fldCharType="begin"/>
      </w:r>
      <w:r>
        <w:instrText xml:space="preserve"> PAGEREF _Toc470792463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 land transactions prescribed (Act s. 3.59)</w:t>
      </w:r>
      <w:r>
        <w:tab/>
      </w:r>
      <w:r>
        <w:fldChar w:fldCharType="begin"/>
      </w:r>
      <w:r>
        <w:instrText xml:space="preserve"> PAGEREF _Toc470792464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Amount prescribed for major trading undertakings; exempt trading undertakings prescribed (Act s. 3.59)</w:t>
      </w:r>
      <w:r>
        <w:tab/>
      </w:r>
      <w:r>
        <w:fldChar w:fldCharType="begin"/>
      </w:r>
      <w:r>
        <w:instrText xml:space="preserve"> PAGEREF _Toc470792465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plans for major trading undertaking and major land transaction, content of</w:t>
      </w:r>
      <w:r>
        <w:tab/>
      </w:r>
      <w:r>
        <w:fldChar w:fldCharType="begin"/>
      </w:r>
      <w:r>
        <w:instrText xml:space="preserve"> PAGEREF _Toc470792466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w:t>
      </w:r>
      <w:r>
        <w:rPr>
          <w:b w:val="0"/>
          <w:noProof/>
        </w:rPr>
        <w:t> </w:t>
      </w:r>
      <w:r>
        <w:rPr>
          <w:noProof/>
        </w:rPr>
        <w:t>—</w:t>
      </w:r>
      <w:r>
        <w:rPr>
          <w:b w:val="0"/>
          <w:noProof/>
        </w:rPr>
        <w:t> </w:t>
      </w:r>
      <w:r>
        <w:rPr>
          <w:noProof/>
        </w:rPr>
        <w:t>Provision of goods and services</w:t>
      </w:r>
    </w:p>
    <w:p>
      <w:pPr>
        <w:pStyle w:val="TOC4"/>
        <w:tabs>
          <w:tab w:val="right" w:leader="dot" w:pos="7077"/>
        </w:tabs>
        <w:rPr>
          <w:rFonts w:asciiTheme="minorHAnsi" w:eastAsiaTheme="minorEastAsia" w:hAnsiTheme="minorHAnsi" w:cstheme="minorBidi"/>
          <w:b w:val="0"/>
          <w:szCs w:val="22"/>
        </w:rPr>
      </w:pPr>
      <w:r>
        <w:t>Division 1 — Purchasing policies</w:t>
      </w:r>
    </w:p>
    <w:p>
      <w:pPr>
        <w:pStyle w:val="TOC8"/>
        <w:rPr>
          <w:rFonts w:asciiTheme="minorHAnsi" w:eastAsiaTheme="minorEastAsia" w:hAnsiTheme="minorHAnsi" w:cstheme="minorBidi"/>
          <w:szCs w:val="22"/>
        </w:rPr>
      </w:pPr>
      <w:r>
        <w:t>11A.</w:t>
      </w:r>
      <w:r>
        <w:tab/>
        <w:t>Purchasing policies for local governments</w:t>
      </w:r>
      <w:r>
        <w:tab/>
      </w:r>
      <w:r>
        <w:fldChar w:fldCharType="begin"/>
      </w:r>
      <w:r>
        <w:instrText xml:space="preserve"> PAGEREF _Toc470792469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Tenders for providing goods or services (s. 3.57)</w:t>
      </w:r>
    </w:p>
    <w:p>
      <w:pPr>
        <w:pStyle w:val="TOC8"/>
        <w:rPr>
          <w:rFonts w:asciiTheme="minorHAnsi" w:eastAsiaTheme="minorEastAsia" w:hAnsiTheme="minorHAnsi" w:cstheme="minorBidi"/>
          <w:szCs w:val="22"/>
        </w:rPr>
      </w:pPr>
      <w:r>
        <w:t>11</w:t>
      </w:r>
      <w:r>
        <w:rPr>
          <w:snapToGrid w:val="0"/>
        </w:rPr>
        <w:t>.</w:t>
      </w:r>
      <w:r>
        <w:rPr>
          <w:snapToGrid w:val="0"/>
        </w:rPr>
        <w:tab/>
        <w:t>When tenders have to be publicly invited</w:t>
      </w:r>
      <w:r>
        <w:tab/>
      </w:r>
      <w:r>
        <w:fldChar w:fldCharType="begin"/>
      </w:r>
      <w:r>
        <w:instrText xml:space="preserve"> PAGEREF _Toc470792471 \h </w:instrText>
      </w:r>
      <w:r>
        <w:fldChar w:fldCharType="separate"/>
      </w:r>
      <w:r>
        <w:t>11</w:t>
      </w:r>
      <w:r>
        <w:fldChar w:fldCharType="end"/>
      </w:r>
    </w:p>
    <w:p>
      <w:pPr>
        <w:pStyle w:val="TOC8"/>
        <w:rPr>
          <w:rFonts w:asciiTheme="minorHAnsi" w:eastAsiaTheme="minorEastAsia" w:hAnsiTheme="minorHAnsi" w:cstheme="minorBidi"/>
          <w:szCs w:val="22"/>
        </w:rPr>
      </w:pPr>
      <w:r>
        <w:t>12.</w:t>
      </w:r>
      <w:r>
        <w:tab/>
        <w:t>Anti</w:t>
      </w:r>
      <w:r>
        <w:noBreakHyphen/>
        <w:t>avoidance provision for r. 11(1)</w:t>
      </w:r>
      <w:r>
        <w:tab/>
      </w:r>
      <w:r>
        <w:fldChar w:fldCharType="begin"/>
      </w:r>
      <w:r>
        <w:instrText xml:space="preserve"> PAGEREF _Toc470792472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Requirements when local government invites tenders though not required to do so</w:t>
      </w:r>
      <w:r>
        <w:tab/>
      </w:r>
      <w:r>
        <w:fldChar w:fldCharType="begin"/>
      </w:r>
      <w:r>
        <w:instrText xml:space="preserve"> PAGEREF _Toc470792473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Publicly inviting tenders, requirements for</w:t>
      </w:r>
      <w:r>
        <w:tab/>
      </w:r>
      <w:r>
        <w:fldChar w:fldCharType="begin"/>
      </w:r>
      <w:r>
        <w:instrText xml:space="preserve"> PAGEREF _Toc470792474 \h </w:instrText>
      </w:r>
      <w:r>
        <w:fldChar w:fldCharType="separate"/>
      </w:r>
      <w:r>
        <w:t>14</w:t>
      </w:r>
      <w:r>
        <w:fldChar w:fldCharType="end"/>
      </w:r>
    </w:p>
    <w:p>
      <w:pPr>
        <w:pStyle w:val="TOC8"/>
        <w:rPr>
          <w:rFonts w:asciiTheme="minorHAnsi" w:eastAsiaTheme="minorEastAsia" w:hAnsiTheme="minorHAnsi" w:cstheme="minorBidi"/>
          <w:szCs w:val="22"/>
        </w:rPr>
      </w:pPr>
      <w:r>
        <w:t>15.</w:t>
      </w:r>
      <w:r>
        <w:tab/>
      </w:r>
      <w:r>
        <w:rPr>
          <w:snapToGrid w:val="0"/>
        </w:rPr>
        <w:t>Minimum time to be allowed for submitting tenders</w:t>
      </w:r>
      <w:r>
        <w:tab/>
      </w:r>
      <w:r>
        <w:fldChar w:fldCharType="begin"/>
      </w:r>
      <w:r>
        <w:instrText xml:space="preserve"> PAGEREF _Toc470792475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Receiving and opening tenders, procedure for</w:t>
      </w:r>
      <w:r>
        <w:tab/>
      </w:r>
      <w:r>
        <w:fldChar w:fldCharType="begin"/>
      </w:r>
      <w:r>
        <w:instrText xml:space="preserve"> PAGEREF _Toc470792476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Tenders register</w:t>
      </w:r>
      <w:r>
        <w:tab/>
      </w:r>
      <w:r>
        <w:fldChar w:fldCharType="begin"/>
      </w:r>
      <w:r>
        <w:instrText xml:space="preserve"> PAGEREF _Toc470792477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Rejecting and accepting tenders</w:t>
      </w:r>
      <w:r>
        <w:tab/>
      </w:r>
      <w:r>
        <w:fldChar w:fldCharType="begin"/>
      </w:r>
      <w:r>
        <w:instrText xml:space="preserve"> PAGEREF _Toc470792478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Tenderers to be notified of outcome</w:t>
      </w:r>
      <w:r>
        <w:tab/>
      </w:r>
      <w:r>
        <w:fldChar w:fldCharType="begin"/>
      </w:r>
      <w:r>
        <w:instrText xml:space="preserve"> PAGEREF _Toc470792479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Variation of requirements before entry into contract</w:t>
      </w:r>
      <w:r>
        <w:tab/>
      </w:r>
      <w:r>
        <w:fldChar w:fldCharType="begin"/>
      </w:r>
      <w:r>
        <w:instrText xml:space="preserve"> PAGEREF _Toc470792480 \h </w:instrText>
      </w:r>
      <w:r>
        <w:fldChar w:fldCharType="separate"/>
      </w:r>
      <w:r>
        <w:t>19</w:t>
      </w:r>
      <w:r>
        <w:fldChar w:fldCharType="end"/>
      </w:r>
    </w:p>
    <w:p>
      <w:pPr>
        <w:pStyle w:val="TOC8"/>
        <w:rPr>
          <w:rFonts w:asciiTheme="minorHAnsi" w:eastAsiaTheme="minorEastAsia" w:hAnsiTheme="minorHAnsi" w:cstheme="minorBidi"/>
          <w:szCs w:val="22"/>
        </w:rPr>
      </w:pPr>
      <w:r>
        <w:t>21A.</w:t>
      </w:r>
      <w:r>
        <w:tab/>
        <w:t>Varying a contract for the supply of goods or services</w:t>
      </w:r>
      <w:r>
        <w:tab/>
      </w:r>
      <w:r>
        <w:fldChar w:fldCharType="begin"/>
      </w:r>
      <w:r>
        <w:instrText xml:space="preserve"> PAGEREF _Toc470792481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Limiting who can tender, procedure for</w:t>
      </w:r>
      <w:r>
        <w:tab/>
      </w:r>
      <w:r>
        <w:fldChar w:fldCharType="begin"/>
      </w:r>
      <w:r>
        <w:instrText xml:space="preserve"> PAGEREF _Toc470792482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Minimum time to be allowed for submitting expressions of interest</w:t>
      </w:r>
      <w:r>
        <w:tab/>
      </w:r>
      <w:r>
        <w:fldChar w:fldCharType="begin"/>
      </w:r>
      <w:r>
        <w:instrText xml:space="preserve"> PAGEREF _Toc470792483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Rejecting and accepting expressions of interest to be acceptable tenderer</w:t>
      </w:r>
      <w:r>
        <w:tab/>
      </w:r>
      <w:r>
        <w:fldChar w:fldCharType="begin"/>
      </w:r>
      <w:r>
        <w:instrText xml:space="preserve"> PAGEREF _Toc470792484 \h </w:instrText>
      </w:r>
      <w:r>
        <w:fldChar w:fldCharType="separate"/>
      </w:r>
      <w:r>
        <w:t>20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People who submitted expression of interest to be notified of outcome</w:t>
      </w:r>
      <w:r>
        <w:tab/>
      </w:r>
      <w:r>
        <w:fldChar w:fldCharType="begin"/>
      </w:r>
      <w:r>
        <w:instrText xml:space="preserve"> PAGEREF _Toc470792485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Panels of pre</w:t>
      </w:r>
      <w:r>
        <w:noBreakHyphen/>
        <w:t>qualified suppliers</w:t>
      </w:r>
    </w:p>
    <w:p>
      <w:pPr>
        <w:pStyle w:val="TOC8"/>
        <w:rPr>
          <w:rFonts w:asciiTheme="minorHAnsi" w:eastAsiaTheme="minorEastAsia" w:hAnsiTheme="minorHAnsi" w:cstheme="minorBidi"/>
          <w:szCs w:val="22"/>
        </w:rPr>
      </w:pPr>
      <w:r>
        <w:t>24AA.</w:t>
      </w:r>
      <w:r>
        <w:tab/>
        <w:t>Terms used</w:t>
      </w:r>
      <w:r>
        <w:tab/>
      </w:r>
      <w:r>
        <w:fldChar w:fldCharType="begin"/>
      </w:r>
      <w:r>
        <w:instrText xml:space="preserve"> PAGEREF _Toc470792487 \h </w:instrText>
      </w:r>
      <w:r>
        <w:fldChar w:fldCharType="separate"/>
      </w:r>
      <w:r>
        <w:t>21</w:t>
      </w:r>
      <w:r>
        <w:fldChar w:fldCharType="end"/>
      </w:r>
    </w:p>
    <w:p>
      <w:pPr>
        <w:pStyle w:val="TOC8"/>
        <w:rPr>
          <w:rFonts w:asciiTheme="minorHAnsi" w:eastAsiaTheme="minorEastAsia" w:hAnsiTheme="minorHAnsi" w:cstheme="minorBidi"/>
          <w:szCs w:val="22"/>
        </w:rPr>
      </w:pPr>
      <w:r>
        <w:t>24AB.</w:t>
      </w:r>
      <w:r>
        <w:tab/>
        <w:t>Local government may establish panels of pre</w:t>
      </w:r>
      <w:r>
        <w:noBreakHyphen/>
        <w:t>qualified suppliers</w:t>
      </w:r>
      <w:r>
        <w:tab/>
      </w:r>
      <w:r>
        <w:fldChar w:fldCharType="begin"/>
      </w:r>
      <w:r>
        <w:instrText xml:space="preserve"> PAGEREF _Toc470792488 \h </w:instrText>
      </w:r>
      <w:r>
        <w:fldChar w:fldCharType="separate"/>
      </w:r>
      <w:r>
        <w:t>22</w:t>
      </w:r>
      <w:r>
        <w:fldChar w:fldCharType="end"/>
      </w:r>
    </w:p>
    <w:p>
      <w:pPr>
        <w:pStyle w:val="TOC8"/>
        <w:rPr>
          <w:rFonts w:asciiTheme="minorHAnsi" w:eastAsiaTheme="minorEastAsia" w:hAnsiTheme="minorHAnsi" w:cstheme="minorBidi"/>
          <w:szCs w:val="22"/>
        </w:rPr>
      </w:pPr>
      <w:r>
        <w:t>24AC.</w:t>
      </w:r>
      <w:r>
        <w:tab/>
        <w:t>Requirements before establishing panels of pre</w:t>
      </w:r>
      <w:r>
        <w:noBreakHyphen/>
        <w:t>qualified suppliers</w:t>
      </w:r>
      <w:r>
        <w:tab/>
      </w:r>
      <w:r>
        <w:fldChar w:fldCharType="begin"/>
      </w:r>
      <w:r>
        <w:instrText xml:space="preserve"> PAGEREF _Toc470792489 \h </w:instrText>
      </w:r>
      <w:r>
        <w:fldChar w:fldCharType="separate"/>
      </w:r>
      <w:r>
        <w:t>22</w:t>
      </w:r>
      <w:r>
        <w:fldChar w:fldCharType="end"/>
      </w:r>
    </w:p>
    <w:p>
      <w:pPr>
        <w:pStyle w:val="TOC8"/>
        <w:rPr>
          <w:rFonts w:asciiTheme="minorHAnsi" w:eastAsiaTheme="minorEastAsia" w:hAnsiTheme="minorHAnsi" w:cstheme="minorBidi"/>
          <w:szCs w:val="22"/>
        </w:rPr>
      </w:pPr>
      <w:r>
        <w:t>24AD.</w:t>
      </w:r>
      <w:r>
        <w:tab/>
        <w:t>Requirements when inviting persons to apply to join panel of pre</w:t>
      </w:r>
      <w:r>
        <w:noBreakHyphen/>
        <w:t>qualified suppliers</w:t>
      </w:r>
      <w:r>
        <w:tab/>
      </w:r>
      <w:r>
        <w:fldChar w:fldCharType="begin"/>
      </w:r>
      <w:r>
        <w:instrText xml:space="preserve"> PAGEREF _Toc470792490 \h </w:instrText>
      </w:r>
      <w:r>
        <w:fldChar w:fldCharType="separate"/>
      </w:r>
      <w:r>
        <w:t>23</w:t>
      </w:r>
      <w:r>
        <w:fldChar w:fldCharType="end"/>
      </w:r>
    </w:p>
    <w:p>
      <w:pPr>
        <w:pStyle w:val="TOC8"/>
        <w:rPr>
          <w:rFonts w:asciiTheme="minorHAnsi" w:eastAsiaTheme="minorEastAsia" w:hAnsiTheme="minorHAnsi" w:cstheme="minorBidi"/>
          <w:szCs w:val="22"/>
        </w:rPr>
      </w:pPr>
      <w:r>
        <w:t>24AE.</w:t>
      </w:r>
      <w:r>
        <w:tab/>
        <w:t>Minimum time to be allowed for submitting application to join panel of pre</w:t>
      </w:r>
      <w:r>
        <w:noBreakHyphen/>
        <w:t>qualified suppliers</w:t>
      </w:r>
      <w:r>
        <w:tab/>
      </w:r>
      <w:r>
        <w:fldChar w:fldCharType="begin"/>
      </w:r>
      <w:r>
        <w:instrText xml:space="preserve"> PAGEREF _Toc470792491 \h </w:instrText>
      </w:r>
      <w:r>
        <w:fldChar w:fldCharType="separate"/>
      </w:r>
      <w:r>
        <w:t>25</w:t>
      </w:r>
      <w:r>
        <w:fldChar w:fldCharType="end"/>
      </w:r>
    </w:p>
    <w:p>
      <w:pPr>
        <w:pStyle w:val="TOC8"/>
        <w:rPr>
          <w:rFonts w:asciiTheme="minorHAnsi" w:eastAsiaTheme="minorEastAsia" w:hAnsiTheme="minorHAnsi" w:cstheme="minorBidi"/>
          <w:szCs w:val="22"/>
        </w:rPr>
      </w:pPr>
      <w:r>
        <w:t>24AF.</w:t>
      </w:r>
      <w:r>
        <w:tab/>
        <w:t>Procedure for receiving and opening applications</w:t>
      </w:r>
      <w:r>
        <w:tab/>
      </w:r>
      <w:r>
        <w:fldChar w:fldCharType="begin"/>
      </w:r>
      <w:r>
        <w:instrText xml:space="preserve"> PAGEREF _Toc470792492 \h </w:instrText>
      </w:r>
      <w:r>
        <w:fldChar w:fldCharType="separate"/>
      </w:r>
      <w:r>
        <w:t>25</w:t>
      </w:r>
      <w:r>
        <w:fldChar w:fldCharType="end"/>
      </w:r>
    </w:p>
    <w:p>
      <w:pPr>
        <w:pStyle w:val="TOC8"/>
        <w:rPr>
          <w:rFonts w:asciiTheme="minorHAnsi" w:eastAsiaTheme="minorEastAsia" w:hAnsiTheme="minorHAnsi" w:cstheme="minorBidi"/>
          <w:szCs w:val="22"/>
        </w:rPr>
      </w:pPr>
      <w:r>
        <w:t>24AG.</w:t>
      </w:r>
      <w:r>
        <w:tab/>
        <w:t>Information about panels of pre</w:t>
      </w:r>
      <w:r>
        <w:noBreakHyphen/>
        <w:t>qualified suppliers to be included in tenders register</w:t>
      </w:r>
      <w:r>
        <w:tab/>
      </w:r>
      <w:r>
        <w:fldChar w:fldCharType="begin"/>
      </w:r>
      <w:r>
        <w:instrText xml:space="preserve"> PAGEREF _Toc470792493 \h </w:instrText>
      </w:r>
      <w:r>
        <w:fldChar w:fldCharType="separate"/>
      </w:r>
      <w:r>
        <w:t>25</w:t>
      </w:r>
      <w:r>
        <w:fldChar w:fldCharType="end"/>
      </w:r>
    </w:p>
    <w:p>
      <w:pPr>
        <w:pStyle w:val="TOC8"/>
        <w:rPr>
          <w:rFonts w:asciiTheme="minorHAnsi" w:eastAsiaTheme="minorEastAsia" w:hAnsiTheme="minorHAnsi" w:cstheme="minorBidi"/>
          <w:szCs w:val="22"/>
        </w:rPr>
      </w:pPr>
      <w:r>
        <w:t>24AH.</w:t>
      </w:r>
      <w:r>
        <w:tab/>
        <w:t>Rejecting and accepting applications to join panel of pre</w:t>
      </w:r>
      <w:r>
        <w:noBreakHyphen/>
        <w:t>qualified suppliers</w:t>
      </w:r>
      <w:r>
        <w:tab/>
      </w:r>
      <w:r>
        <w:fldChar w:fldCharType="begin"/>
      </w:r>
      <w:r>
        <w:instrText xml:space="preserve"> PAGEREF _Toc470792494 \h </w:instrText>
      </w:r>
      <w:r>
        <w:fldChar w:fldCharType="separate"/>
      </w:r>
      <w:r>
        <w:t>26</w:t>
      </w:r>
      <w:r>
        <w:fldChar w:fldCharType="end"/>
      </w:r>
    </w:p>
    <w:p>
      <w:pPr>
        <w:pStyle w:val="TOC8"/>
        <w:rPr>
          <w:rFonts w:asciiTheme="minorHAnsi" w:eastAsiaTheme="minorEastAsia" w:hAnsiTheme="minorHAnsi" w:cstheme="minorBidi"/>
          <w:szCs w:val="22"/>
        </w:rPr>
      </w:pPr>
      <w:r>
        <w:t>24AI.</w:t>
      </w:r>
      <w:r>
        <w:tab/>
        <w:t>Applicants to be notified of outcome</w:t>
      </w:r>
      <w:r>
        <w:tab/>
      </w:r>
      <w:r>
        <w:fldChar w:fldCharType="begin"/>
      </w:r>
      <w:r>
        <w:instrText xml:space="preserve"> PAGEREF _Toc470792495 \h </w:instrText>
      </w:r>
      <w:r>
        <w:fldChar w:fldCharType="separate"/>
      </w:r>
      <w:r>
        <w:t>26</w:t>
      </w:r>
      <w:r>
        <w:fldChar w:fldCharType="end"/>
      </w:r>
    </w:p>
    <w:p>
      <w:pPr>
        <w:pStyle w:val="TOC8"/>
        <w:rPr>
          <w:rFonts w:asciiTheme="minorHAnsi" w:eastAsiaTheme="minorEastAsia" w:hAnsiTheme="minorHAnsi" w:cstheme="minorBidi"/>
          <w:szCs w:val="22"/>
        </w:rPr>
      </w:pPr>
      <w:r>
        <w:t>24AJ.</w:t>
      </w:r>
      <w:r>
        <w:tab/>
        <w:t>Contracts with pre</w:t>
      </w:r>
      <w:r>
        <w:noBreakHyphen/>
        <w:t>qualified suppliers</w:t>
      </w:r>
      <w:r>
        <w:tab/>
      </w:r>
      <w:r>
        <w:fldChar w:fldCharType="begin"/>
      </w:r>
      <w:r>
        <w:instrText xml:space="preserve"> PAGEREF _Toc470792496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4A — Regional price preference</w:t>
      </w:r>
    </w:p>
    <w:p>
      <w:pPr>
        <w:pStyle w:val="TOC8"/>
        <w:rPr>
          <w:rFonts w:asciiTheme="minorHAnsi" w:eastAsiaTheme="minorEastAsia" w:hAnsiTheme="minorHAnsi" w:cstheme="minorBidi"/>
          <w:szCs w:val="22"/>
        </w:rPr>
      </w:pPr>
      <w:r>
        <w:t>24A.</w:t>
      </w:r>
      <w:r>
        <w:tab/>
        <w:t>Application of this Part</w:t>
      </w:r>
      <w:r>
        <w:tab/>
      </w:r>
      <w:r>
        <w:fldChar w:fldCharType="begin"/>
      </w:r>
      <w:r>
        <w:instrText xml:space="preserve"> PAGEREF _Toc470792498 \h </w:instrText>
      </w:r>
      <w:r>
        <w:fldChar w:fldCharType="separate"/>
      </w:r>
      <w:r>
        <w:t>28</w:t>
      </w:r>
      <w:r>
        <w:fldChar w:fldCharType="end"/>
      </w:r>
    </w:p>
    <w:p>
      <w:pPr>
        <w:pStyle w:val="TOC8"/>
        <w:rPr>
          <w:rFonts w:asciiTheme="minorHAnsi" w:eastAsiaTheme="minorEastAsia" w:hAnsiTheme="minorHAnsi" w:cstheme="minorBidi"/>
          <w:szCs w:val="22"/>
        </w:rPr>
      </w:pPr>
      <w:r>
        <w:t>24B.</w:t>
      </w:r>
      <w:r>
        <w:tab/>
        <w:t>Terms used</w:t>
      </w:r>
      <w:r>
        <w:tab/>
      </w:r>
      <w:r>
        <w:fldChar w:fldCharType="begin"/>
      </w:r>
      <w:r>
        <w:instrText xml:space="preserve"> PAGEREF _Toc470792499 \h </w:instrText>
      </w:r>
      <w:r>
        <w:fldChar w:fldCharType="separate"/>
      </w:r>
      <w:r>
        <w:t>28</w:t>
      </w:r>
      <w:r>
        <w:fldChar w:fldCharType="end"/>
      </w:r>
    </w:p>
    <w:p>
      <w:pPr>
        <w:pStyle w:val="TOC8"/>
        <w:rPr>
          <w:rFonts w:asciiTheme="minorHAnsi" w:eastAsiaTheme="minorEastAsia" w:hAnsiTheme="minorHAnsi" w:cstheme="minorBidi"/>
          <w:szCs w:val="22"/>
        </w:rPr>
      </w:pPr>
      <w:r>
        <w:t>24C.</w:t>
      </w:r>
      <w:r>
        <w:tab/>
        <w:t>Regional price preference may be given</w:t>
      </w:r>
      <w:r>
        <w:tab/>
      </w:r>
      <w:r>
        <w:fldChar w:fldCharType="begin"/>
      </w:r>
      <w:r>
        <w:instrText xml:space="preserve"> PAGEREF _Toc470792500 \h </w:instrText>
      </w:r>
      <w:r>
        <w:fldChar w:fldCharType="separate"/>
      </w:r>
      <w:r>
        <w:t>28</w:t>
      </w:r>
      <w:r>
        <w:fldChar w:fldCharType="end"/>
      </w:r>
    </w:p>
    <w:p>
      <w:pPr>
        <w:pStyle w:val="TOC8"/>
        <w:rPr>
          <w:rFonts w:asciiTheme="minorHAnsi" w:eastAsiaTheme="minorEastAsia" w:hAnsiTheme="minorHAnsi" w:cstheme="minorBidi"/>
          <w:szCs w:val="22"/>
        </w:rPr>
      </w:pPr>
      <w:r>
        <w:t>24D.</w:t>
      </w:r>
      <w:r>
        <w:tab/>
        <w:t>Discounts permitted for regional price preferences</w:t>
      </w:r>
      <w:r>
        <w:tab/>
      </w:r>
      <w:r>
        <w:fldChar w:fldCharType="begin"/>
      </w:r>
      <w:r>
        <w:instrText xml:space="preserve"> PAGEREF _Toc470792501 \h </w:instrText>
      </w:r>
      <w:r>
        <w:fldChar w:fldCharType="separate"/>
      </w:r>
      <w:r>
        <w:t>29</w:t>
      </w:r>
      <w:r>
        <w:fldChar w:fldCharType="end"/>
      </w:r>
    </w:p>
    <w:p>
      <w:pPr>
        <w:pStyle w:val="TOC8"/>
        <w:rPr>
          <w:rFonts w:asciiTheme="minorHAnsi" w:eastAsiaTheme="minorEastAsia" w:hAnsiTheme="minorHAnsi" w:cstheme="minorBidi"/>
          <w:szCs w:val="22"/>
        </w:rPr>
      </w:pPr>
      <w:r>
        <w:t>24E.</w:t>
      </w:r>
      <w:r>
        <w:tab/>
        <w:t>Regional price preference policies for local governments</w:t>
      </w:r>
      <w:r>
        <w:tab/>
      </w:r>
      <w:r>
        <w:fldChar w:fldCharType="begin"/>
      </w:r>
      <w:r>
        <w:instrText xml:space="preserve"> PAGEREF _Toc470792502 \h </w:instrText>
      </w:r>
      <w:r>
        <w:fldChar w:fldCharType="separate"/>
      </w:r>
      <w:r>
        <w:t>30</w:t>
      </w:r>
      <w:r>
        <w:fldChar w:fldCharType="end"/>
      </w:r>
    </w:p>
    <w:p>
      <w:pPr>
        <w:pStyle w:val="TOC8"/>
        <w:rPr>
          <w:rFonts w:asciiTheme="minorHAnsi" w:eastAsiaTheme="minorEastAsia" w:hAnsiTheme="minorHAnsi" w:cstheme="minorBidi"/>
          <w:szCs w:val="22"/>
        </w:rPr>
      </w:pPr>
      <w:r>
        <w:t>24F.</w:t>
      </w:r>
      <w:r>
        <w:tab/>
        <w:t>Adoption and notice of regional price preference policy</w:t>
      </w:r>
      <w:r>
        <w:tab/>
      </w:r>
      <w:r>
        <w:fldChar w:fldCharType="begin"/>
      </w:r>
      <w:r>
        <w:instrText xml:space="preserve"> PAGEREF _Toc470792503 \h </w:instrText>
      </w:r>
      <w:r>
        <w:fldChar w:fldCharType="separate"/>
      </w:r>
      <w:r>
        <w:t>31</w:t>
      </w:r>
      <w:r>
        <w:fldChar w:fldCharType="end"/>
      </w:r>
    </w:p>
    <w:p>
      <w:pPr>
        <w:pStyle w:val="TOC8"/>
        <w:rPr>
          <w:rFonts w:asciiTheme="minorHAnsi" w:eastAsiaTheme="minorEastAsia" w:hAnsiTheme="minorHAnsi" w:cstheme="minorBidi"/>
          <w:szCs w:val="22"/>
        </w:rPr>
      </w:pPr>
      <w:r>
        <w:t>24G.</w:t>
      </w:r>
      <w:r>
        <w:tab/>
        <w:t>Adopted regional price preference policy, effect of</w:t>
      </w:r>
      <w:r>
        <w:tab/>
      </w:r>
      <w:r>
        <w:fldChar w:fldCharType="begin"/>
      </w:r>
      <w:r>
        <w:instrText xml:space="preserve"> PAGEREF _Toc470792504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Owner onus and infringement notices</w:t>
      </w:r>
    </w:p>
    <w:p>
      <w:pPr>
        <w:pStyle w:val="TOC8"/>
        <w:rPr>
          <w:rFonts w:asciiTheme="minorHAnsi" w:eastAsiaTheme="minorEastAsia" w:hAnsiTheme="minorHAnsi" w:cstheme="minorBidi"/>
          <w:szCs w:val="22"/>
        </w:rPr>
      </w:pPr>
      <w:r>
        <w:t>25</w:t>
      </w:r>
      <w:r>
        <w:rPr>
          <w:snapToGrid w:val="0"/>
        </w:rPr>
        <w:t>.</w:t>
      </w:r>
      <w:r>
        <w:rPr>
          <w:snapToGrid w:val="0"/>
        </w:rPr>
        <w:tab/>
        <w:t>Notice to put onus on vehicle owner, form of (Act s. 9.13)</w:t>
      </w:r>
      <w:r>
        <w:tab/>
      </w:r>
      <w:r>
        <w:fldChar w:fldCharType="begin"/>
      </w:r>
      <w:r>
        <w:instrText xml:space="preserve"> PAGEREF _Toc470792506 \h </w:instrText>
      </w:r>
      <w:r>
        <w:fldChar w:fldCharType="separate"/>
      </w:r>
      <w:r>
        <w:t>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Infringement notice, form of (Act s. 9.16)</w:t>
      </w:r>
      <w:r>
        <w:tab/>
      </w:r>
      <w:r>
        <w:fldChar w:fldCharType="begin"/>
      </w:r>
      <w:r>
        <w:instrText xml:space="preserve"> PAGEREF _Toc470792507 \h </w:instrText>
      </w:r>
      <w:r>
        <w:fldChar w:fldCharType="separate"/>
      </w:r>
      <w:r>
        <w:t>33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Withdrawal of infringement notice, form of (Act s. 9.20)</w:t>
      </w:r>
      <w:r>
        <w:tab/>
      </w:r>
      <w:r>
        <w:fldChar w:fldCharType="begin"/>
      </w:r>
      <w:r>
        <w:instrText xml:space="preserve"> PAGEREF _Toc470792508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6 — Miscellaneous</w:t>
      </w:r>
    </w:p>
    <w:p>
      <w:pPr>
        <w:pStyle w:val="TOC8"/>
        <w:rPr>
          <w:rFonts w:asciiTheme="minorHAnsi" w:eastAsiaTheme="minorEastAsia" w:hAnsiTheme="minorHAnsi" w:cstheme="minorBidi"/>
          <w:szCs w:val="22"/>
        </w:rPr>
      </w:pPr>
      <w:r>
        <w:t>29</w:t>
      </w:r>
      <w:r>
        <w:rPr>
          <w:snapToGrid w:val="0"/>
        </w:rPr>
        <w:t>.</w:t>
      </w:r>
      <w:r>
        <w:rPr>
          <w:snapToGrid w:val="0"/>
        </w:rPr>
        <w:tab/>
        <w:t>Contraventions that may lead to impounding of goods (Act s. </w:t>
      </w:r>
      <w:r>
        <w:t>3</w:t>
      </w:r>
      <w:r>
        <w:rPr>
          <w:snapToGrid w:val="0"/>
        </w:rPr>
        <w:t>.37)</w:t>
      </w:r>
      <w:r>
        <w:tab/>
      </w:r>
      <w:r>
        <w:fldChar w:fldCharType="begin"/>
      </w:r>
      <w:r>
        <w:instrText xml:space="preserve"> PAGEREF _Toc470792510 \h </w:instrText>
      </w:r>
      <w:r>
        <w:fldChar w:fldCharType="separate"/>
      </w:r>
      <w:r>
        <w:t>34</w:t>
      </w:r>
      <w:r>
        <w:fldChar w:fldCharType="end"/>
      </w:r>
    </w:p>
    <w:p>
      <w:pPr>
        <w:pStyle w:val="TOC8"/>
        <w:rPr>
          <w:rFonts w:asciiTheme="minorHAnsi" w:eastAsiaTheme="minorEastAsia" w:hAnsiTheme="minorHAnsi" w:cstheme="minorBidi"/>
          <w:szCs w:val="22"/>
        </w:rPr>
      </w:pPr>
      <w:r>
        <w:t>29A.</w:t>
      </w:r>
      <w:r>
        <w:tab/>
        <w:t xml:space="preserve">Abandoned vehicle wrecks, value etc. prescribed for </w:t>
      </w:r>
      <w:r>
        <w:rPr>
          <w:snapToGrid w:val="0"/>
        </w:rPr>
        <w:t>(Act </w:t>
      </w:r>
      <w:r>
        <w:t>s. 3.40A(5)(c))</w:t>
      </w:r>
      <w:r>
        <w:tab/>
      </w:r>
      <w:r>
        <w:fldChar w:fldCharType="begin"/>
      </w:r>
      <w:r>
        <w:instrText xml:space="preserve"> PAGEREF _Toc470792511 \h </w:instrText>
      </w:r>
      <w:r>
        <w:fldChar w:fldCharType="separate"/>
      </w:r>
      <w:r>
        <w:t>34</w:t>
      </w:r>
      <w:r>
        <w:fldChar w:fldCharType="end"/>
      </w:r>
    </w:p>
    <w:p>
      <w:pPr>
        <w:pStyle w:val="TOC8"/>
        <w:rPr>
          <w:rFonts w:asciiTheme="minorHAnsi" w:eastAsiaTheme="minorEastAsia" w:hAnsiTheme="minorHAnsi" w:cstheme="minorBidi"/>
          <w:szCs w:val="22"/>
        </w:rPr>
      </w:pPr>
      <w:r>
        <w:t>29B.</w:t>
      </w:r>
      <w:r>
        <w:tab/>
        <w:t>Prescribed non</w:t>
      </w:r>
      <w:r>
        <w:noBreakHyphen/>
        <w:t xml:space="preserve">perishable goods </w:t>
      </w:r>
      <w:r>
        <w:rPr>
          <w:snapToGrid w:val="0"/>
        </w:rPr>
        <w:t>(Act </w:t>
      </w:r>
      <w:r>
        <w:t>s. 3.47(2b)(ca))</w:t>
      </w:r>
      <w:r>
        <w:tab/>
      </w:r>
      <w:r>
        <w:fldChar w:fldCharType="begin"/>
      </w:r>
      <w:r>
        <w:instrText xml:space="preserve"> PAGEREF _Toc470792512 \h </w:instrText>
      </w:r>
      <w:r>
        <w:fldChar w:fldCharType="separate"/>
      </w:r>
      <w:r>
        <w:t>35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Dispositions of property excluded from Act s. 3.58</w:t>
      </w:r>
      <w:r>
        <w:tab/>
      </w:r>
      <w:r>
        <w:fldChar w:fldCharType="begin"/>
      </w:r>
      <w:r>
        <w:instrText xml:space="preserve"> PAGEREF _Toc470792513 \h </w:instrText>
      </w:r>
      <w:r>
        <w:fldChar w:fldCharType="separate"/>
      </w:r>
      <w:r>
        <w:t>35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Anti</w:t>
      </w:r>
      <w:r>
        <w:rPr>
          <w:snapToGrid w:val="0"/>
        </w:rPr>
        <w:noBreakHyphen/>
        <w:t>avoidance provision for Act s. 3.58</w:t>
      </w:r>
      <w:r>
        <w:tab/>
      </w:r>
      <w:r>
        <w:fldChar w:fldCharType="begin"/>
      </w:r>
      <w:r>
        <w:instrText xml:space="preserve"> PAGEREF _Toc470792514 \h </w:instrText>
      </w:r>
      <w:r>
        <w:fldChar w:fldCharType="separate"/>
      </w:r>
      <w:r>
        <w:t>37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Local government permitted to form incorporated association (Act s. </w:t>
      </w:r>
      <w:r>
        <w:t>3</w:t>
      </w:r>
      <w:r>
        <w:rPr>
          <w:snapToGrid w:val="0"/>
        </w:rPr>
        <w:t>.60)</w:t>
      </w:r>
      <w:r>
        <w:tab/>
      </w:r>
      <w:r>
        <w:fldChar w:fldCharType="begin"/>
      </w:r>
      <w:r>
        <w:instrText xml:space="preserve"> PAGEREF _Toc470792515 \h </w:instrText>
      </w:r>
      <w:r>
        <w:fldChar w:fldCharType="separate"/>
      </w:r>
      <w:r>
        <w:t>38</w:t>
      </w:r>
      <w:r>
        <w:fldChar w:fldCharType="end"/>
      </w:r>
    </w:p>
    <w:p>
      <w:pPr>
        <w:pStyle w:val="TOC8"/>
        <w:rPr>
          <w:rFonts w:asciiTheme="minorHAnsi" w:eastAsiaTheme="minorEastAsia" w:hAnsiTheme="minorHAnsi" w:cstheme="minorBidi"/>
          <w:szCs w:val="22"/>
        </w:rPr>
      </w:pPr>
      <w:r>
        <w:t>32A.</w:t>
      </w:r>
      <w:r>
        <w:tab/>
        <w:t xml:space="preserve">Excluded authorisations </w:t>
      </w:r>
      <w:r>
        <w:rPr>
          <w:snapToGrid w:val="0"/>
        </w:rPr>
        <w:t>(Act </w:t>
      </w:r>
      <w:r>
        <w:t>s. 9.2)</w:t>
      </w:r>
      <w:r>
        <w:tab/>
      </w:r>
      <w:r>
        <w:fldChar w:fldCharType="begin"/>
      </w:r>
      <w:r>
        <w:instrText xml:space="preserve"> PAGEREF _Toc470792516 \h </w:instrText>
      </w:r>
      <w:r>
        <w:fldChar w:fldCharType="separate"/>
      </w:r>
      <w:r>
        <w:t>38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Objections to decisions, form of etc. prescribed (Act s. 9.5)</w:t>
      </w:r>
      <w:r>
        <w:tab/>
      </w:r>
      <w:r>
        <w:fldChar w:fldCharType="begin"/>
      </w:r>
      <w:r>
        <w:instrText xml:space="preserve"> PAGEREF _Toc470792517 \h </w:instrText>
      </w:r>
      <w:r>
        <w:fldChar w:fldCharType="separate"/>
      </w:r>
      <w:r>
        <w:t>39</w:t>
      </w:r>
      <w:r>
        <w:fldChar w:fldCharType="end"/>
      </w:r>
    </w:p>
    <w:p>
      <w:pPr>
        <w:pStyle w:val="TOC8"/>
        <w:rPr>
          <w:rFonts w:asciiTheme="minorHAnsi" w:eastAsiaTheme="minorEastAsia" w:hAnsiTheme="minorHAnsi" w:cstheme="minorBidi"/>
          <w:szCs w:val="22"/>
        </w:rPr>
      </w:pPr>
      <w:r>
        <w:t>34.</w:t>
      </w:r>
      <w:r>
        <w:tab/>
        <w:t>Common seal, unauthorised use of</w:t>
      </w:r>
      <w:r>
        <w:tab/>
      </w:r>
      <w:r>
        <w:fldChar w:fldCharType="begin"/>
      </w:r>
      <w:r>
        <w:instrText xml:space="preserve"> PAGEREF _Toc470792518 \h </w:instrText>
      </w:r>
      <w:r>
        <w:fldChar w:fldCharType="separate"/>
      </w:r>
      <w:r>
        <w:t>39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Certain persons protected from liability for wrongdoing (Act s. </w:t>
      </w:r>
      <w:r>
        <w:t>9</w:t>
      </w:r>
      <w:r>
        <w:rPr>
          <w:snapToGrid w:val="0"/>
        </w:rPr>
        <w:t>.56(1)(c))</w:t>
      </w:r>
      <w:r>
        <w:tab/>
      </w:r>
      <w:r>
        <w:fldChar w:fldCharType="begin"/>
      </w:r>
      <w:r>
        <w:instrText xml:space="preserve"> PAGEREF _Toc470792519 \h </w:instrText>
      </w:r>
      <w:r>
        <w:fldChar w:fldCharType="separate"/>
      </w:r>
      <w:r>
        <w:t>39</w:t>
      </w:r>
      <w:r>
        <w:fldChar w:fldCharType="end"/>
      </w:r>
    </w:p>
    <w:p>
      <w:pPr>
        <w:pStyle w:val="TOC8"/>
        <w:rPr>
          <w:rFonts w:asciiTheme="minorHAnsi" w:eastAsiaTheme="minorEastAsia" w:hAnsiTheme="minorHAnsi" w:cstheme="minorBidi"/>
          <w:szCs w:val="22"/>
        </w:rPr>
      </w:pPr>
      <w:r>
        <w:t>35A.</w:t>
      </w:r>
      <w:r>
        <w:tab/>
        <w:t xml:space="preserve">Delegable functions of Minister </w:t>
      </w:r>
      <w:r>
        <w:rPr>
          <w:snapToGrid w:val="0"/>
        </w:rPr>
        <w:t>(Act </w:t>
      </w:r>
      <w:r>
        <w:t>s. 9.66)</w:t>
      </w:r>
      <w:r>
        <w:tab/>
      </w:r>
      <w:r>
        <w:fldChar w:fldCharType="begin"/>
      </w:r>
      <w:r>
        <w:instrText xml:space="preserve"> PAGEREF _Toc470792520 \h </w:instrText>
      </w:r>
      <w:r>
        <w:fldChar w:fldCharType="separate"/>
      </w:r>
      <w:r>
        <w:t>40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to enter, form of (Act s. 3.33(1) and 8.8(1))</w:t>
      </w:r>
      <w:r>
        <w:tab/>
      </w:r>
      <w:r>
        <w:fldChar w:fldCharType="begin"/>
      </w:r>
      <w:r>
        <w:instrText xml:space="preserve"> PAGEREF _Toc470792521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 — Other transitional provisions</w:t>
      </w:r>
    </w:p>
    <w:p>
      <w:pPr>
        <w:pStyle w:val="TOC8"/>
        <w:rPr>
          <w:rFonts w:asciiTheme="minorHAnsi" w:eastAsiaTheme="minorEastAsia" w:hAnsiTheme="minorHAnsi" w:cstheme="minorBidi"/>
          <w:szCs w:val="22"/>
        </w:rPr>
      </w:pPr>
      <w:r>
        <w:t>38.</w:t>
      </w:r>
      <w:r>
        <w:rPr>
          <w:snapToGrid w:val="0"/>
        </w:rPr>
        <w:tab/>
        <w:t>Adopting former model by</w:t>
      </w:r>
      <w:r>
        <w:rPr>
          <w:snapToGrid w:val="0"/>
        </w:rPr>
        <w:noBreakHyphen/>
        <w:t>laws as local laws (Act s. 3.8(2) and (3))</w:t>
      </w:r>
      <w:r>
        <w:tab/>
      </w:r>
      <w:r>
        <w:fldChar w:fldCharType="begin"/>
      </w:r>
      <w:r>
        <w:instrText xml:space="preserve"> PAGEREF _Toc470792523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Forms</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_Toc470792526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Local Government Act 1995</w:t>
      </w:r>
    </w:p>
    <w:p>
      <w:pPr>
        <w:pStyle w:val="NameofActReg"/>
      </w:pPr>
      <w:r>
        <w:t>Local Government (Functions and General) Regulations 1996</w:t>
      </w:r>
    </w:p>
    <w:p>
      <w:pPr>
        <w:pStyle w:val="Heading2"/>
        <w:pageBreakBefore w:val="0"/>
        <w:spacing w:before="480"/>
      </w:pPr>
      <w:bookmarkStart w:id="3" w:name="_Toc430335292"/>
      <w:bookmarkStart w:id="4" w:name="_Toc470792451"/>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470792452"/>
      <w:r>
        <w:rPr>
          <w:rStyle w:val="CharSectno"/>
        </w:rPr>
        <w:t>1</w:t>
      </w:r>
      <w:r>
        <w:rPr>
          <w:snapToGrid w:val="0"/>
        </w:rPr>
        <w:t>.</w:t>
      </w:r>
      <w:r>
        <w:rPr>
          <w:snapToGrid w:val="0"/>
        </w:rPr>
        <w:tab/>
        <w:t>Citation</w:t>
      </w:r>
      <w:bookmarkEnd w:id="5"/>
    </w:p>
    <w:p>
      <w:pPr>
        <w:pStyle w:val="Subsection"/>
        <w:rPr>
          <w:i/>
          <w:snapToGrid w:val="0"/>
        </w:rPr>
      </w:pPr>
      <w:r>
        <w:rPr>
          <w:snapToGrid w:val="0"/>
        </w:rPr>
        <w:tab/>
      </w:r>
      <w:r>
        <w:rPr>
          <w:snapToGrid w:val="0"/>
        </w:rPr>
        <w:tab/>
        <w:t xml:space="preserve">These regulations may be cited as the </w:t>
      </w:r>
      <w:r>
        <w:rPr>
          <w:i/>
          <w:snapToGrid w:val="0"/>
        </w:rPr>
        <w:t xml:space="preserve">Local Government (Functions and General) Regulations 1996 </w:t>
      </w:r>
      <w:r>
        <w:rPr>
          <w:rFonts w:ascii="Times" w:hAnsi="Times"/>
          <w:snapToGrid w:val="0"/>
          <w:vertAlign w:val="superscript"/>
        </w:rPr>
        <w:t>1</w:t>
      </w:r>
      <w:r>
        <w:rPr>
          <w:snapToGrid w:val="0"/>
        </w:rPr>
        <w:t>.</w:t>
      </w:r>
    </w:p>
    <w:p>
      <w:pPr>
        <w:pStyle w:val="Heading5"/>
        <w:rPr>
          <w:snapToGrid w:val="0"/>
        </w:rPr>
      </w:pPr>
      <w:bookmarkStart w:id="6" w:name="_Toc470792453"/>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regulations come into operation on 1 July 1996.</w:t>
      </w:r>
    </w:p>
    <w:p>
      <w:pPr>
        <w:pStyle w:val="Heading2"/>
      </w:pPr>
      <w:bookmarkStart w:id="7" w:name="_Toc430335295"/>
      <w:bookmarkStart w:id="8" w:name="_Toc470792454"/>
      <w:r>
        <w:rPr>
          <w:rStyle w:val="CharPartNo"/>
        </w:rPr>
        <w:t>Part 1A</w:t>
      </w:r>
      <w:r>
        <w:rPr>
          <w:rStyle w:val="CharDivNo"/>
        </w:rPr>
        <w:t> </w:t>
      </w:r>
      <w:r>
        <w:rPr>
          <w:rStyle w:val="CharPartNo"/>
        </w:rPr>
        <w:t>—</w:t>
      </w:r>
      <w:r>
        <w:rPr>
          <w:rStyle w:val="CharDivText"/>
        </w:rPr>
        <w:t> </w:t>
      </w:r>
      <w:r>
        <w:rPr>
          <w:rStyle w:val="CharPartText"/>
        </w:rPr>
        <w:t>Local laws</w:t>
      </w:r>
      <w:bookmarkEnd w:id="7"/>
      <w:bookmarkEnd w:id="8"/>
    </w:p>
    <w:p>
      <w:pPr>
        <w:pStyle w:val="Footnoteheading"/>
      </w:pPr>
      <w:r>
        <w:tab/>
        <w:t>[Heading inserted in Gazette 11 Sep 1998 p. 4927.]</w:t>
      </w:r>
    </w:p>
    <w:p>
      <w:pPr>
        <w:pStyle w:val="Heading5"/>
      </w:pPr>
      <w:bookmarkStart w:id="9" w:name="_Toc470792455"/>
      <w:r>
        <w:rPr>
          <w:rStyle w:val="CharSectno"/>
        </w:rPr>
        <w:t>2A</w:t>
      </w:r>
      <w:r>
        <w:t>.</w:t>
      </w:r>
      <w:r>
        <w:tab/>
        <w:t>Matters about which local laws are not to be made (Act s. 3.5)</w:t>
      </w:r>
      <w:bookmarkEnd w:id="9"/>
    </w:p>
    <w:p>
      <w:pPr>
        <w:pStyle w:val="Subsection"/>
        <w:rPr>
          <w:snapToGrid w:val="0"/>
        </w:rPr>
      </w:pPr>
      <w:r>
        <w:rPr>
          <w:snapToGrid w:val="0"/>
        </w:rPr>
        <w:tab/>
      </w:r>
      <w:r>
        <w:rPr>
          <w:snapToGrid w:val="0"/>
        </w:rPr>
        <w:tab/>
        <w:t>Local laws are not to be made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in Gazette 11 Sep 1998 p. 4927.]</w:t>
      </w:r>
    </w:p>
    <w:p>
      <w:pPr>
        <w:pStyle w:val="Heading5"/>
      </w:pPr>
      <w:bookmarkStart w:id="10" w:name="_Toc470792456"/>
      <w:r>
        <w:rPr>
          <w:rStyle w:val="CharSectno"/>
        </w:rPr>
        <w:t>3</w:t>
      </w:r>
      <w:r>
        <w:t>.</w:t>
      </w:r>
      <w:r>
        <w:tab/>
        <w:t xml:space="preserve">Prescribed manner of giving notice of purpose and effect of proposed local law </w:t>
      </w:r>
      <w:r>
        <w:rPr>
          <w:snapToGrid w:val="0"/>
        </w:rPr>
        <w:t>(Act </w:t>
      </w:r>
      <w:r>
        <w:t>s. 3.12(2))</w:t>
      </w:r>
      <w:bookmarkEnd w:id="10"/>
    </w:p>
    <w:p>
      <w:pPr>
        <w:pStyle w:val="Subsection"/>
      </w:pPr>
      <w:r>
        <w:tab/>
      </w:r>
      <w:r>
        <w:tab/>
        <w:t>For the purpose of section 3.12 of the Act, the person presiding at a council meeting is to give notice of the purpose and effect of a local law by ensuring that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in Gazette 31 Mar 2005 p. 1057; amended in Gazette 27 Sep 2011 p. 3846.]</w:t>
      </w:r>
    </w:p>
    <w:p>
      <w:pPr>
        <w:pStyle w:val="Heading2"/>
      </w:pPr>
      <w:bookmarkStart w:id="11" w:name="_Toc430335298"/>
      <w:bookmarkStart w:id="12" w:name="_Toc470792457"/>
      <w:r>
        <w:rPr>
          <w:rStyle w:val="CharPartNo"/>
        </w:rPr>
        <w:t>Part 2</w:t>
      </w:r>
      <w:r>
        <w:rPr>
          <w:rStyle w:val="CharDivNo"/>
        </w:rPr>
        <w:t> </w:t>
      </w:r>
      <w:r>
        <w:t>—</w:t>
      </w:r>
      <w:r>
        <w:rPr>
          <w:rStyle w:val="CharDivText"/>
        </w:rPr>
        <w:t> </w:t>
      </w:r>
      <w:r>
        <w:rPr>
          <w:rStyle w:val="CharPartText"/>
        </w:rPr>
        <w:t>Thoroughfares</w:t>
      </w:r>
      <w:bookmarkEnd w:id="11"/>
      <w:bookmarkEnd w:id="12"/>
    </w:p>
    <w:p>
      <w:pPr>
        <w:pStyle w:val="Heading5"/>
        <w:rPr>
          <w:snapToGrid w:val="0"/>
        </w:rPr>
      </w:pPr>
      <w:bookmarkStart w:id="13" w:name="_Toc470792458"/>
      <w:r>
        <w:rPr>
          <w:rStyle w:val="CharSectno"/>
        </w:rPr>
        <w:t>4</w:t>
      </w:r>
      <w:r>
        <w:rPr>
          <w:snapToGrid w:val="0"/>
        </w:rPr>
        <w:t>.</w:t>
      </w:r>
      <w:r>
        <w:rPr>
          <w:snapToGrid w:val="0"/>
        </w:rPr>
        <w:tab/>
        <w:t>Persons prescribed to be notified of road closure (Act s. 3.50)</w:t>
      </w:r>
      <w:bookmarkEnd w:id="13"/>
    </w:p>
    <w:p>
      <w:pPr>
        <w:pStyle w:val="Subsection"/>
        <w:spacing w:before="140"/>
        <w:rPr>
          <w:snapToGrid w:val="0"/>
        </w:rPr>
      </w:pPr>
      <w:r>
        <w:rPr>
          <w:snapToGrid w:val="0"/>
        </w:rPr>
        <w:tab/>
        <w:t>(1)</w:t>
      </w:r>
      <w:r>
        <w:rPr>
          <w:snapToGrid w:val="0"/>
        </w:rPr>
        <w:tab/>
        <w:t>The persons prescribed for the purposes of section 3.50 of the Act are —</w:t>
      </w:r>
    </w:p>
    <w:p>
      <w:pPr>
        <w:pStyle w:val="Indenta"/>
        <w:spacing w:before="60"/>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 and</w:t>
      </w:r>
    </w:p>
    <w:p>
      <w:pPr>
        <w:pStyle w:val="Indenta"/>
        <w:spacing w:before="60"/>
        <w:rPr>
          <w:snapToGrid w:val="0"/>
        </w:rPr>
      </w:pPr>
      <w:r>
        <w:rPr>
          <w:snapToGrid w:val="0"/>
        </w:rPr>
        <w:tab/>
        <w:t>(b)</w:t>
      </w:r>
      <w:r>
        <w:rPr>
          <w:snapToGrid w:val="0"/>
        </w:rPr>
        <w:tab/>
        <w:t>the person having principal responsibility in the locality for ambulance services; and</w:t>
      </w:r>
    </w:p>
    <w:p>
      <w:pPr>
        <w:pStyle w:val="Indenta"/>
        <w:spacing w:before="60"/>
        <w:rPr>
          <w:snapToGrid w:val="0"/>
        </w:rPr>
      </w:pPr>
      <w:r>
        <w:rPr>
          <w:snapToGrid w:val="0"/>
        </w:rPr>
        <w:tab/>
        <w:t>(c)</w:t>
      </w:r>
      <w:r>
        <w:rPr>
          <w:snapToGrid w:val="0"/>
        </w:rPr>
        <w:tab/>
        <w:t>the person having principal responsibility in the locality for fire services; and</w:t>
      </w:r>
    </w:p>
    <w:p>
      <w:pPr>
        <w:pStyle w:val="Indenta"/>
        <w:spacing w:before="60"/>
        <w:rPr>
          <w:snapToGrid w:val="0"/>
        </w:rPr>
      </w:pPr>
      <w:r>
        <w:rPr>
          <w:snapToGrid w:val="0"/>
        </w:rPr>
        <w:tab/>
        <w:t>(d)</w:t>
      </w:r>
      <w:r>
        <w:rPr>
          <w:snapToGrid w:val="0"/>
        </w:rPr>
        <w:tab/>
        <w:t>the occupier of land that will lose its access.</w:t>
      </w:r>
    </w:p>
    <w:p>
      <w:pPr>
        <w:pStyle w:val="Subsection"/>
        <w:spacing w:before="140"/>
        <w:rPr>
          <w:snapToGrid w:val="0"/>
        </w:rPr>
      </w:pPr>
      <w:r>
        <w:rPr>
          <w:snapToGrid w:val="0"/>
        </w:rPr>
        <w:tab/>
        <w:t>(2)</w:t>
      </w:r>
      <w:r>
        <w:rPr>
          <w:snapToGrid w:val="0"/>
        </w:rPr>
        <w:tab/>
        <w:t>The land that is prescribed for the purposes of section 3.50 of the Act is land that will lose its access.</w:t>
      </w:r>
    </w:p>
    <w:p>
      <w:pPr>
        <w:pStyle w:val="Subsection"/>
        <w:spacing w:before="140"/>
        <w:rPr>
          <w:snapToGrid w:val="0"/>
        </w:rPr>
      </w:pPr>
      <w:r>
        <w:rPr>
          <w:snapToGrid w:val="0"/>
        </w:rPr>
        <w:tab/>
        <w:t>(3)</w:t>
      </w:r>
      <w:r>
        <w:rPr>
          <w:snapToGrid w:val="0"/>
        </w:rPr>
        <w:tab/>
        <w:t>In this regulation —</w:t>
      </w:r>
    </w:p>
    <w:p>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pPr>
        <w:pStyle w:val="Heading5"/>
        <w:rPr>
          <w:snapToGrid w:val="0"/>
        </w:rPr>
      </w:pPr>
      <w:bookmarkStart w:id="14" w:name="_Toc470792459"/>
      <w:r>
        <w:rPr>
          <w:rStyle w:val="CharSectno"/>
        </w:rPr>
        <w:t>5</w:t>
      </w:r>
      <w:r>
        <w:rPr>
          <w:snapToGrid w:val="0"/>
        </w:rPr>
        <w:t>.</w:t>
      </w:r>
      <w:r>
        <w:rPr>
          <w:snapToGrid w:val="0"/>
        </w:rPr>
        <w:tab/>
        <w:t>Persons prescribed to be notified of certain proposals (Act s. </w:t>
      </w:r>
      <w:r>
        <w:rPr>
          <w:rStyle w:val="CharSectno"/>
        </w:rPr>
        <w:t>3</w:t>
      </w:r>
      <w:r>
        <w:rPr>
          <w:snapToGrid w:val="0"/>
        </w:rPr>
        <w:t xml:space="preserve">.51(1) </w:t>
      </w:r>
      <w:r>
        <w:rPr>
          <w:i/>
          <w:snapToGrid w:val="0"/>
        </w:rPr>
        <w:t>person having an interest</w:t>
      </w:r>
      <w:r>
        <w:rPr>
          <w:snapToGrid w:val="0"/>
        </w:rPr>
        <w:t>)</w:t>
      </w:r>
      <w:bookmarkEnd w:id="14"/>
    </w:p>
    <w:p>
      <w:pPr>
        <w:pStyle w:val="Subsection"/>
        <w:spacing w:before="140"/>
        <w:rPr>
          <w:snapToGrid w:val="0"/>
        </w:rPr>
      </w:pPr>
      <w:r>
        <w:rPr>
          <w:snapToGrid w:val="0"/>
        </w:rPr>
        <w:tab/>
      </w:r>
      <w:r>
        <w:rPr>
          <w:snapToGrid w:val="0"/>
        </w:rPr>
        <w:tab/>
        <w:t>The persons prescribed for the purposes of section 3.51 of the Act are —</w:t>
      </w:r>
    </w:p>
    <w:p>
      <w:pPr>
        <w:pStyle w:val="Indenta"/>
        <w:spacing w:before="60"/>
        <w:rPr>
          <w:snapToGrid w:val="0"/>
        </w:rPr>
      </w:pPr>
      <w:r>
        <w:rPr>
          <w:snapToGrid w:val="0"/>
        </w:rPr>
        <w:tab/>
        <w:t>(a)</w:t>
      </w:r>
      <w:r>
        <w:rPr>
          <w:snapToGrid w:val="0"/>
        </w:rPr>
        <w:tab/>
        <w:t>if the land to which that section applies is occupied, the occupier; and</w:t>
      </w:r>
    </w:p>
    <w:p>
      <w:pPr>
        <w:pStyle w:val="Indenta"/>
        <w:spacing w:before="60"/>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pPr>
        <w:pStyle w:val="Heading5"/>
        <w:rPr>
          <w:snapToGrid w:val="0"/>
        </w:rPr>
      </w:pPr>
      <w:bookmarkStart w:id="15" w:name="_Toc470792460"/>
      <w:r>
        <w:rPr>
          <w:rStyle w:val="CharSectno"/>
        </w:rPr>
        <w:t>6</w:t>
      </w:r>
      <w:r>
        <w:rPr>
          <w:snapToGrid w:val="0"/>
        </w:rPr>
        <w:t>.</w:t>
      </w:r>
      <w:r>
        <w:rPr>
          <w:snapToGrid w:val="0"/>
        </w:rPr>
        <w:tab/>
        <w:t>Transitional provisions about road closures</w:t>
      </w:r>
      <w:bookmarkEnd w:id="15"/>
    </w:p>
    <w:p>
      <w:pPr>
        <w:pStyle w:val="Subsection"/>
        <w:rPr>
          <w:snapToGrid w:val="0"/>
        </w:rPr>
      </w:pPr>
      <w:r>
        <w:rPr>
          <w:snapToGrid w:val="0"/>
        </w:rPr>
        <w:tab/>
        <w:t>(1)</w:t>
      </w:r>
      <w:r>
        <w:rPr>
          <w:snapToGrid w:val="0"/>
        </w:rPr>
        <w:tab/>
        <w:t>If, when the Act comes into operation, a thoroughfare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2</w:t>
      </w:r>
      <w:r>
        <w:t>.</w:t>
      </w:r>
    </w:p>
    <w:p>
      <w:pPr>
        <w:pStyle w:val="Heading2"/>
      </w:pPr>
      <w:bookmarkStart w:id="16" w:name="_Toc430335302"/>
      <w:bookmarkStart w:id="17" w:name="_Toc470792461"/>
      <w:r>
        <w:rPr>
          <w:rStyle w:val="CharPartNo"/>
        </w:rPr>
        <w:t>Part 3</w:t>
      </w:r>
      <w:r>
        <w:rPr>
          <w:rStyle w:val="CharDivNo"/>
        </w:rPr>
        <w:t> </w:t>
      </w:r>
      <w:r>
        <w:t>—</w:t>
      </w:r>
      <w:r>
        <w:rPr>
          <w:rStyle w:val="CharDivText"/>
        </w:rPr>
        <w:t> </w:t>
      </w:r>
      <w:r>
        <w:rPr>
          <w:rStyle w:val="CharPartText"/>
        </w:rPr>
        <w:t>Commercial enterprises by local governments (s. 3.59)</w:t>
      </w:r>
      <w:bookmarkEnd w:id="16"/>
      <w:bookmarkEnd w:id="17"/>
    </w:p>
    <w:p>
      <w:pPr>
        <w:pStyle w:val="Heading5"/>
      </w:pPr>
      <w:bookmarkStart w:id="18" w:name="_Toc470792462"/>
      <w:r>
        <w:rPr>
          <w:rStyle w:val="CharSectno"/>
        </w:rPr>
        <w:t>7</w:t>
      </w:r>
      <w:r>
        <w:t>.</w:t>
      </w:r>
      <w:r>
        <w:tab/>
        <w:t>Term used: major regional centre</w:t>
      </w:r>
      <w:bookmarkEnd w:id="18"/>
    </w:p>
    <w:p>
      <w:pPr>
        <w:pStyle w:val="Subsection"/>
      </w:pPr>
      <w:r>
        <w:tab/>
        <w:t>(1)</w:t>
      </w:r>
      <w:r>
        <w:tab/>
        <w:t>In this Part —</w:t>
      </w:r>
    </w:p>
    <w:p>
      <w:pPr>
        <w:pStyle w:val="Defstart"/>
      </w:pPr>
      <w:r>
        <w:tab/>
      </w:r>
      <w:r>
        <w:rPr>
          <w:rStyle w:val="CharDefText"/>
        </w:rPr>
        <w:t>major regional centre</w:t>
      </w:r>
      <w:r>
        <w:t xml:space="preserve"> means a local government the district of which —</w:t>
      </w:r>
    </w:p>
    <w:p>
      <w:pPr>
        <w:pStyle w:val="Defpara"/>
      </w:pPr>
      <w:r>
        <w:tab/>
        <w:t>(a)</w:t>
      </w:r>
      <w:r>
        <w:tab/>
        <w:t>is not in the metropolitan area; and</w:t>
      </w:r>
    </w:p>
    <w:p>
      <w:pPr>
        <w:pStyle w:val="Defpara"/>
      </w:pPr>
      <w:r>
        <w:tab/>
        <w:t>(b)</w:t>
      </w:r>
      <w:r>
        <w:tab/>
        <w:t>has more than 20 000 inhabitants.</w:t>
      </w:r>
    </w:p>
    <w:p>
      <w:pPr>
        <w:pStyle w:val="Subsection"/>
      </w:pPr>
      <w:r>
        <w:tab/>
        <w:t>(2)</w:t>
      </w:r>
      <w:r>
        <w:tab/>
        <w:t xml:space="preserve">Section 2.4(6) of the Act applies to determine the number of inhabitants of a district for the purposes of the definition of </w:t>
      </w:r>
      <w:r>
        <w:rPr>
          <w:b/>
          <w:i/>
        </w:rPr>
        <w:t>major regional centre</w:t>
      </w:r>
      <w:r>
        <w:t>.</w:t>
      </w:r>
    </w:p>
    <w:p>
      <w:pPr>
        <w:pStyle w:val="Footnotesection"/>
      </w:pPr>
      <w:r>
        <w:tab/>
        <w:t>[Regulation 7 inserted in Gazette 27 Sep 2011 p. 3843-4.]</w:t>
      </w:r>
    </w:p>
    <w:p>
      <w:pPr>
        <w:pStyle w:val="Heading5"/>
      </w:pPr>
      <w:bookmarkStart w:id="19" w:name="_Toc470792463"/>
      <w:r>
        <w:rPr>
          <w:rStyle w:val="CharSectno"/>
        </w:rPr>
        <w:t>8A</w:t>
      </w:r>
      <w:r>
        <w:t>.</w:t>
      </w:r>
      <w:r>
        <w:tab/>
        <w:t xml:space="preserve">Amount prescribed for major land transactions; exempt land transactions prescribed </w:t>
      </w:r>
      <w:r>
        <w:rPr>
          <w:snapToGrid w:val="0"/>
        </w:rPr>
        <w:t>(Act </w:t>
      </w:r>
      <w:r>
        <w:t>s. 3.59)</w:t>
      </w:r>
      <w:bookmarkEnd w:id="19"/>
    </w:p>
    <w:p>
      <w:pPr>
        <w:pStyle w:val="Subsection"/>
      </w:pPr>
      <w:r>
        <w:tab/>
        <w:t>(1)</w:t>
      </w:r>
      <w:r>
        <w:tab/>
        <w:t xml:space="preserve">The amount prescribed for the purposes of the definition of </w:t>
      </w:r>
      <w:r>
        <w:rPr>
          <w:b/>
          <w:i/>
        </w:rPr>
        <w:t>major land transaction</w:t>
      </w:r>
      <w:r>
        <w:t xml:space="preserve"> in section 3.59(1) of the Act is —</w:t>
      </w:r>
    </w:p>
    <w:p>
      <w:pPr>
        <w:pStyle w:val="Indenta"/>
      </w:pPr>
      <w:r>
        <w:tab/>
        <w:t>(a)</w:t>
      </w:r>
      <w:r>
        <w:tab/>
        <w:t>if the land transaction is entered into by a local government the district of which is in the metropolitan area or a major regional centre, the amount that is the lesser of —</w:t>
      </w:r>
    </w:p>
    <w:p>
      <w:pPr>
        <w:pStyle w:val="Indenti"/>
      </w:pPr>
      <w:r>
        <w:tab/>
        <w:t>(i)</w:t>
      </w:r>
      <w:r>
        <w:tab/>
        <w:t>$10 000 000; or</w:t>
      </w:r>
    </w:p>
    <w:p>
      <w:pPr>
        <w:pStyle w:val="Indenti"/>
      </w:pPr>
      <w:r>
        <w:tab/>
        <w:t>(ii)</w:t>
      </w:r>
      <w:r>
        <w:tab/>
        <w:t>10% of the operating expenditure incurred by the local government from its municipal fund in the last completed financial year;</w:t>
      </w:r>
    </w:p>
    <w:p>
      <w:pPr>
        <w:pStyle w:val="Indenta"/>
      </w:pPr>
      <w:r>
        <w:tab/>
      </w:r>
      <w:r>
        <w:tab/>
        <w:t>or</w:t>
      </w:r>
    </w:p>
    <w:p>
      <w:pPr>
        <w:pStyle w:val="Indenta"/>
      </w:pPr>
      <w:r>
        <w:tab/>
        <w:t>(b)</w:t>
      </w:r>
      <w:r>
        <w:tab/>
        <w:t>if the land transaction is entered into by any other local government, the amount that is the lesser of —</w:t>
      </w:r>
    </w:p>
    <w:p>
      <w:pPr>
        <w:pStyle w:val="Indenti"/>
      </w:pPr>
      <w:r>
        <w:tab/>
        <w:t>(i)</w:t>
      </w:r>
      <w:r>
        <w:tab/>
        <w:t>$2 000 000; or</w:t>
      </w:r>
    </w:p>
    <w:p>
      <w:pPr>
        <w:pStyle w:val="Indenti"/>
      </w:pPr>
      <w:r>
        <w:tab/>
        <w:t>(ii)</w:t>
      </w:r>
      <w:r>
        <w:tab/>
        <w:t>10% of the operating expenditure incurred by the local government from its municipal fund in the last completed financial year.</w:t>
      </w:r>
    </w:p>
    <w:p>
      <w:pPr>
        <w:pStyle w:val="Subsection"/>
      </w:pPr>
      <w:r>
        <w:tab/>
        <w:t>(2)</w:t>
      </w:r>
      <w:r>
        <w:tab/>
        <w:t>A land transaction is an exempt land transaction for the purposes of section 3.59 of the Act if —</w:t>
      </w:r>
    </w:p>
    <w:p>
      <w:pPr>
        <w:pStyle w:val="Indenta"/>
      </w:pPr>
      <w:r>
        <w:tab/>
        <w:t>(a)</w:t>
      </w:r>
      <w:r>
        <w:tab/>
        <w:t>the total value of —</w:t>
      </w:r>
    </w:p>
    <w:p>
      <w:pPr>
        <w:pStyle w:val="Indenti"/>
      </w:pPr>
      <w:r>
        <w:tab/>
        <w:t>(i)</w:t>
      </w:r>
      <w:r>
        <w:tab/>
        <w:t>the consideration under the transaction; and</w:t>
      </w:r>
    </w:p>
    <w:p>
      <w:pPr>
        <w:pStyle w:val="Indenti"/>
      </w:pPr>
      <w:r>
        <w:tab/>
        <w:t>(ii)</w:t>
      </w:r>
      <w:r>
        <w:tab/>
        <w:t>anything done by the local government for achieving the purpose of the transaction,</w:t>
      </w:r>
    </w:p>
    <w:p>
      <w:pPr>
        <w:pStyle w:val="Indenta"/>
      </w:pPr>
      <w:r>
        <w:tab/>
      </w:r>
      <w:r>
        <w:tab/>
        <w:t>is more, or is worth more, than the amount prescribed under subregulation (1); and</w:t>
      </w:r>
    </w:p>
    <w:p>
      <w:pPr>
        <w:pStyle w:val="Indenta"/>
      </w:pPr>
      <w:r>
        <w:tab/>
        <w:t>(b)</w:t>
      </w:r>
      <w:r>
        <w:tab/>
        <w:t>the Minister has, in writing, declared the transaction to be an exempt transaction because the Minister is satisfied that the amount by which the total value exceeds the amount prescribed under subregulation (1) is not significant taking into account —</w:t>
      </w:r>
    </w:p>
    <w:p>
      <w:pPr>
        <w:pStyle w:val="Indenti"/>
      </w:pPr>
      <w:r>
        <w:tab/>
        <w:t>(i)</w:t>
      </w:r>
      <w:r>
        <w:tab/>
        <w:t>the total value of the transaction; or</w:t>
      </w:r>
    </w:p>
    <w:p>
      <w:pPr>
        <w:pStyle w:val="Indenti"/>
      </w:pPr>
      <w:r>
        <w:tab/>
        <w:t>(ii)</w:t>
      </w:r>
      <w:r>
        <w:tab/>
        <w:t>variations throughout the State in the value of land.</w:t>
      </w:r>
    </w:p>
    <w:p>
      <w:pPr>
        <w:pStyle w:val="Footnotesection"/>
      </w:pPr>
      <w:r>
        <w:tab/>
        <w:t>[Regulation 8A inserted in Gazette 27 Sep 2011 p. 3844.]</w:t>
      </w:r>
    </w:p>
    <w:p>
      <w:pPr>
        <w:pStyle w:val="Heading5"/>
        <w:rPr>
          <w:snapToGrid w:val="0"/>
        </w:rPr>
      </w:pPr>
      <w:bookmarkStart w:id="20" w:name="_Toc470792464"/>
      <w:r>
        <w:rPr>
          <w:rStyle w:val="CharSectno"/>
        </w:rPr>
        <w:t>8</w:t>
      </w:r>
      <w:r>
        <w:rPr>
          <w:snapToGrid w:val="0"/>
        </w:rPr>
        <w:t>.</w:t>
      </w:r>
      <w:r>
        <w:rPr>
          <w:snapToGrid w:val="0"/>
        </w:rPr>
        <w:tab/>
        <w:t>Exempt land transactions prescribed (Act s. 3.59)</w:t>
      </w:r>
      <w:bookmarkEnd w:id="20"/>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 xml:space="preserve">although the total value referred to in the definition of </w:t>
      </w:r>
      <w:r>
        <w:rPr>
          <w:b/>
          <w:i/>
          <w:snapToGrid w:val="0"/>
        </w:rPr>
        <w:t>major land transaction</w:t>
      </w:r>
      <w:r>
        <w:rPr>
          <w:snapToGrid w:val="0"/>
        </w:rPr>
        <w:t xml:space="preserve">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in Gazette 29 Aug 1997 p. 4867</w:t>
      </w:r>
      <w:r>
        <w:noBreakHyphen/>
        <w:t>8.]</w:t>
      </w:r>
    </w:p>
    <w:p>
      <w:pPr>
        <w:pStyle w:val="Heading5"/>
        <w:rPr>
          <w:snapToGrid w:val="0"/>
        </w:rPr>
      </w:pPr>
      <w:bookmarkStart w:id="21" w:name="_Toc470792465"/>
      <w:r>
        <w:rPr>
          <w:rStyle w:val="CharSectno"/>
        </w:rPr>
        <w:t>9</w:t>
      </w:r>
      <w:r>
        <w:rPr>
          <w:snapToGrid w:val="0"/>
        </w:rPr>
        <w:t>.</w:t>
      </w:r>
      <w:r>
        <w:rPr>
          <w:snapToGrid w:val="0"/>
        </w:rPr>
        <w:tab/>
        <w:t>Amount prescribed for major trading undertakings; exempt trading undertakings prescribed (Act s. 3.59)</w:t>
      </w:r>
      <w:bookmarkEnd w:id="21"/>
    </w:p>
    <w:p>
      <w:pPr>
        <w:pStyle w:val="Subsection"/>
      </w:pPr>
      <w:r>
        <w:tab/>
        <w:t>(1)</w:t>
      </w:r>
      <w:r>
        <w:tab/>
        <w:t xml:space="preserve">The amount prescribed for the purposes of the definition of </w:t>
      </w:r>
      <w:r>
        <w:rPr>
          <w:b/>
          <w:i/>
        </w:rPr>
        <w:t>major trading undertaking</w:t>
      </w:r>
      <w:r>
        <w:t xml:space="preserve"> in section 3.59(1) of the Act is —</w:t>
      </w:r>
    </w:p>
    <w:p>
      <w:pPr>
        <w:pStyle w:val="Indenta"/>
      </w:pPr>
      <w:r>
        <w:tab/>
        <w:t>(a)</w:t>
      </w:r>
      <w:r>
        <w:tab/>
        <w:t>if the trading undertaking is entered into by a local government the district of which is in the metropolitan area or a major regional centre, the amount that is the lesser of —</w:t>
      </w:r>
    </w:p>
    <w:p>
      <w:pPr>
        <w:pStyle w:val="Indenti"/>
      </w:pPr>
      <w:r>
        <w:tab/>
        <w:t>(i)</w:t>
      </w:r>
      <w:r>
        <w:tab/>
        <w:t>$5 000 000; or</w:t>
      </w:r>
    </w:p>
    <w:p>
      <w:pPr>
        <w:pStyle w:val="Indenti"/>
      </w:pPr>
      <w:r>
        <w:tab/>
        <w:t>(ii)</w:t>
      </w:r>
      <w:r>
        <w:tab/>
        <w:t>10% of the lowest operating expenditure described in subregulation (2);</w:t>
      </w:r>
    </w:p>
    <w:p>
      <w:pPr>
        <w:pStyle w:val="Indenta"/>
      </w:pPr>
      <w:r>
        <w:tab/>
      </w:r>
      <w:r>
        <w:tab/>
        <w:t>or</w:t>
      </w:r>
    </w:p>
    <w:p>
      <w:pPr>
        <w:pStyle w:val="Indenta"/>
      </w:pPr>
      <w:r>
        <w:tab/>
        <w:t>(b)</w:t>
      </w:r>
      <w:r>
        <w:tab/>
        <w:t>if the trading undertaking is entered into by any other local government, the amount that is the lesser of —</w:t>
      </w:r>
    </w:p>
    <w:p>
      <w:pPr>
        <w:pStyle w:val="Indenti"/>
      </w:pPr>
      <w:r>
        <w:tab/>
        <w:t>(i)</w:t>
      </w:r>
      <w:r>
        <w:tab/>
        <w:t>$2 000 000; or</w:t>
      </w:r>
    </w:p>
    <w:p>
      <w:pPr>
        <w:pStyle w:val="Indenti"/>
      </w:pPr>
      <w:r>
        <w:tab/>
        <w:t>(ii)</w:t>
      </w:r>
      <w:r>
        <w:tab/>
        <w:t>10% of the lowest operating expenditure described in subregulation (2).</w:t>
      </w:r>
    </w:p>
    <w:p>
      <w:pPr>
        <w:pStyle w:val="Subsection"/>
        <w:rPr>
          <w:snapToGrid w:val="0"/>
        </w:rPr>
      </w:pPr>
      <w:r>
        <w:rPr>
          <w:snapToGrid w:val="0"/>
        </w:rPr>
        <w:tab/>
        <w:t>(2)</w:t>
      </w:r>
      <w:r>
        <w:rPr>
          <w:snapToGrid w:val="0"/>
        </w:rPr>
        <w:tab/>
        <w:t>The lowest operating expenditure referred to in subregulation (1) is the lowest of —</w:t>
      </w:r>
    </w:p>
    <w:p>
      <w:pPr>
        <w:pStyle w:val="Indenta"/>
        <w:rPr>
          <w:snapToGrid w:val="0"/>
        </w:rPr>
      </w:pPr>
      <w:r>
        <w:rPr>
          <w:snapToGrid w:val="0"/>
        </w:rPr>
        <w:tab/>
        <w:t>(a)</w:t>
      </w:r>
      <w:r>
        <w:rPr>
          <w:snapToGrid w:val="0"/>
        </w:rPr>
        <w:tab/>
        <w:t>the operating expenditure incurred by the local government from its municipal fund in the last completed financial year; and</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Subsection"/>
      </w:pPr>
      <w:r>
        <w:tab/>
        <w:t>(3)</w:t>
      </w:r>
      <w:r>
        <w:tab/>
        <w:t>A trading undertaking is an exempt trading undertaking for the purposes of section 3.59 of the Act if —</w:t>
      </w:r>
    </w:p>
    <w:p>
      <w:pPr>
        <w:pStyle w:val="Indenta"/>
      </w:pPr>
      <w:r>
        <w:tab/>
        <w:t>(a)</w:t>
      </w:r>
      <w:r>
        <w:tab/>
        <w:t>the undertaking —</w:t>
      </w:r>
    </w:p>
    <w:p>
      <w:pPr>
        <w:pStyle w:val="Indenti"/>
      </w:pPr>
      <w:r>
        <w:tab/>
        <w:t>(i)</w:t>
      </w:r>
      <w:r>
        <w:tab/>
        <w:t>in the last completed financial year, involved; or</w:t>
      </w:r>
    </w:p>
    <w:p>
      <w:pPr>
        <w:pStyle w:val="Indenti"/>
      </w:pPr>
      <w:r>
        <w:tab/>
        <w:t>(ii)</w:t>
      </w:r>
      <w:r>
        <w:tab/>
        <w:t>in the current financial year or the financial year after the current financial year, is likely to involve,</w:t>
      </w:r>
    </w:p>
    <w:p>
      <w:pPr>
        <w:pStyle w:val="Indenta"/>
      </w:pPr>
      <w:r>
        <w:tab/>
      </w:r>
      <w:r>
        <w:tab/>
        <w:t>expenditure by the local government of more than the amount prescribed under subregulation (1); and</w:t>
      </w:r>
    </w:p>
    <w:p>
      <w:pPr>
        <w:pStyle w:val="Indenta"/>
      </w:pPr>
      <w:r>
        <w:tab/>
        <w:t>(b)</w:t>
      </w:r>
      <w:r>
        <w:tab/>
        <w:t>the Minister has, in writing, declared the transaction to be an exempt transaction because the Minister is satisfied that the amount by which expenditure is, or is likely to be, more that the amount prescribed under subregulation (1) is not significant taking into account —</w:t>
      </w:r>
    </w:p>
    <w:p>
      <w:pPr>
        <w:pStyle w:val="Indenti"/>
      </w:pPr>
      <w:r>
        <w:tab/>
        <w:t>(i)</w:t>
      </w:r>
      <w:r>
        <w:tab/>
        <w:t>the total value of the undertaking; or</w:t>
      </w:r>
    </w:p>
    <w:p>
      <w:pPr>
        <w:pStyle w:val="Indenti"/>
      </w:pPr>
      <w:r>
        <w:tab/>
        <w:t>(ii)</w:t>
      </w:r>
      <w:r>
        <w:tab/>
        <w:t>variations throughout the State in the value of land.</w:t>
      </w:r>
    </w:p>
    <w:p>
      <w:pPr>
        <w:pStyle w:val="Footnotesection"/>
      </w:pPr>
      <w:r>
        <w:tab/>
        <w:t>[Regulation 9 amended in Gazette 31 Mar 2005 p. 1054; 27 Sep 2011 p. 3845.]</w:t>
      </w:r>
    </w:p>
    <w:p>
      <w:pPr>
        <w:pStyle w:val="Heading5"/>
        <w:rPr>
          <w:snapToGrid w:val="0"/>
        </w:rPr>
      </w:pPr>
      <w:bookmarkStart w:id="22" w:name="_Toc470792466"/>
      <w:r>
        <w:rPr>
          <w:rStyle w:val="CharSectno"/>
        </w:rPr>
        <w:t>10</w:t>
      </w:r>
      <w:r>
        <w:rPr>
          <w:snapToGrid w:val="0"/>
        </w:rPr>
        <w:t>.</w:t>
      </w:r>
      <w:r>
        <w:rPr>
          <w:snapToGrid w:val="0"/>
        </w:rPr>
        <w:tab/>
        <w:t>Business plans for major trading undertaking and major land transaction, content of</w:t>
      </w:r>
      <w:bookmarkEnd w:id="22"/>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w:t>
      </w:r>
    </w:p>
    <w:p>
      <w:pPr>
        <w:pStyle w:val="Indenti"/>
        <w:rPr>
          <w:snapToGrid w:val="0"/>
        </w:rPr>
      </w:pPr>
      <w:r>
        <w:rPr>
          <w:snapToGrid w:val="0"/>
        </w:rPr>
        <w:tab/>
        <w:t>(i)</w:t>
      </w:r>
      <w:r>
        <w:rPr>
          <w:snapToGrid w:val="0"/>
        </w:rPr>
        <w:tab/>
        <w:t>the identity of each joint venturer other than the local government; and</w:t>
      </w:r>
    </w:p>
    <w:p>
      <w:pPr>
        <w:pStyle w:val="Indenti"/>
        <w:rPr>
          <w:snapToGrid w:val="0"/>
        </w:rPr>
      </w:pPr>
      <w:r>
        <w:rPr>
          <w:snapToGrid w:val="0"/>
        </w:rPr>
        <w:tab/>
        <w:t>(ii)</w:t>
      </w:r>
      <w:r>
        <w:rPr>
          <w:snapToGrid w:val="0"/>
        </w:rPr>
        <w:tab/>
        <w:t>the ownership of, and any other interests in, property that is involved in, or acquired in the course of, the joint venture; and</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joint venture</w:t>
      </w:r>
      <w:r>
        <w:t xml:space="preserve"> means the major trading undertaking or major land transaction that is to be jointly carried on or entered into;</w:t>
      </w:r>
    </w:p>
    <w:p>
      <w:pPr>
        <w:pStyle w:val="Defstart"/>
      </w:pPr>
      <w:r>
        <w:rPr>
          <w:b/>
        </w:rPr>
        <w:tab/>
      </w:r>
      <w:r>
        <w:rPr>
          <w:rStyle w:val="CharDefText"/>
        </w:rPr>
        <w:t>joint venturer</w:t>
      </w:r>
      <w:r>
        <w:t xml:space="preserve"> means the local government or another person with whom the local government is to carry on or enter into the joint venture.</w:t>
      </w:r>
    </w:p>
    <w:p>
      <w:pPr>
        <w:pStyle w:val="Heading2"/>
      </w:pPr>
      <w:bookmarkStart w:id="23" w:name="_Toc430335308"/>
      <w:bookmarkStart w:id="24" w:name="_Toc470792467"/>
      <w:r>
        <w:rPr>
          <w:rStyle w:val="CharPartNo"/>
        </w:rPr>
        <w:t>Part 4</w:t>
      </w:r>
      <w:r>
        <w:rPr>
          <w:b w:val="0"/>
        </w:rPr>
        <w:t> </w:t>
      </w:r>
      <w:r>
        <w:t>—</w:t>
      </w:r>
      <w:r>
        <w:rPr>
          <w:b w:val="0"/>
        </w:rPr>
        <w:t> </w:t>
      </w:r>
      <w:r>
        <w:rPr>
          <w:rStyle w:val="CharPartText"/>
        </w:rPr>
        <w:t>Provision of goods and services</w:t>
      </w:r>
      <w:bookmarkEnd w:id="23"/>
      <w:bookmarkEnd w:id="24"/>
    </w:p>
    <w:p>
      <w:pPr>
        <w:pStyle w:val="Footnoteheading"/>
      </w:pPr>
      <w:r>
        <w:tab/>
        <w:t>[Heading inserted in Gazette 2 Feb 2007 p. 244.]</w:t>
      </w:r>
    </w:p>
    <w:p>
      <w:pPr>
        <w:pStyle w:val="Heading3"/>
      </w:pPr>
      <w:bookmarkStart w:id="25" w:name="_Toc430335309"/>
      <w:bookmarkStart w:id="26" w:name="_Toc470792468"/>
      <w:r>
        <w:rPr>
          <w:rStyle w:val="CharDivNo"/>
        </w:rPr>
        <w:t>Division 1</w:t>
      </w:r>
      <w:r>
        <w:t> — </w:t>
      </w:r>
      <w:r>
        <w:rPr>
          <w:rStyle w:val="CharDivText"/>
        </w:rPr>
        <w:t>Purchasing policies</w:t>
      </w:r>
      <w:bookmarkEnd w:id="25"/>
      <w:bookmarkEnd w:id="26"/>
    </w:p>
    <w:p>
      <w:pPr>
        <w:pStyle w:val="Footnoteheading"/>
      </w:pPr>
      <w:r>
        <w:tab/>
        <w:t>[Heading inserted in Gazette 2 Feb 2007 p. 244.]</w:t>
      </w:r>
    </w:p>
    <w:p>
      <w:pPr>
        <w:pStyle w:val="Heading5"/>
      </w:pPr>
      <w:bookmarkStart w:id="27" w:name="_Toc470792469"/>
      <w:r>
        <w:rPr>
          <w:rStyle w:val="CharSectno"/>
        </w:rPr>
        <w:t>11A</w:t>
      </w:r>
      <w:r>
        <w:t>.</w:t>
      </w:r>
      <w:r>
        <w:tab/>
        <w:t>Purchasing policies for local governments</w:t>
      </w:r>
      <w:bookmarkEnd w:id="27"/>
    </w:p>
    <w:p>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$150 000 or less or worth $150 000 or less.</w:t>
      </w:r>
    </w:p>
    <w:p>
      <w:pPr>
        <w:pStyle w:val="Subsection"/>
      </w:pPr>
      <w:r>
        <w:tab/>
        <w:t>(2)</w:t>
      </w:r>
      <w:r>
        <w:tab/>
        <w:t>A purchasing policy is to make provision for and in respect of the policy to be followed by the local government for, and in respect of, entering into contracts referred to in subregulation (1).</w:t>
      </w:r>
    </w:p>
    <w:p>
      <w:pPr>
        <w:pStyle w:val="Subsection"/>
      </w:pPr>
      <w:r>
        <w:tab/>
        <w:t>(3)</w:t>
      </w:r>
      <w:r>
        <w:tab/>
        <w:t>A purchasing policy must make provision in respect of —</w:t>
      </w:r>
    </w:p>
    <w:p>
      <w:pPr>
        <w:pStyle w:val="Indenta"/>
      </w:pPr>
      <w:r>
        <w:tab/>
        <w:t>(a)</w:t>
      </w:r>
      <w:r>
        <w:tab/>
        <w:t>the form of quotations acceptable; and</w:t>
      </w:r>
    </w:p>
    <w:p>
      <w:pPr>
        <w:pStyle w:val="Indenta"/>
      </w:pPr>
      <w:r>
        <w:tab/>
        <w:t>(ba)</w:t>
      </w:r>
      <w:r>
        <w:tab/>
        <w:t>the minimum number of oral quotations and written quotations that must be obtained; and</w:t>
      </w:r>
    </w:p>
    <w:p>
      <w:pPr>
        <w:pStyle w:val="Indenta"/>
      </w:pPr>
      <w:r>
        <w:tab/>
        <w:t>(b)</w:t>
      </w:r>
      <w:r>
        <w:tab/>
        <w:t>the recording and retention of written information, or documents, in respect of —</w:t>
      </w:r>
    </w:p>
    <w:p>
      <w:pPr>
        <w:pStyle w:val="Indenti"/>
      </w:pPr>
      <w:r>
        <w:tab/>
        <w:t>(i)</w:t>
      </w:r>
      <w:r>
        <w:tab/>
        <w:t>all quotations received; and</w:t>
      </w:r>
    </w:p>
    <w:p>
      <w:pPr>
        <w:pStyle w:val="Indenti"/>
      </w:pPr>
      <w:r>
        <w:tab/>
        <w:t>(ii)</w:t>
      </w:r>
      <w:r>
        <w:tab/>
        <w:t>all purchases made.</w:t>
      </w:r>
    </w:p>
    <w:p>
      <w:pPr>
        <w:pStyle w:val="Ednotesubsection"/>
      </w:pPr>
      <w:r>
        <w:tab/>
        <w:t>[(4)</w:t>
      </w:r>
      <w:r>
        <w:tab/>
        <w:t>deleted]</w:t>
      </w:r>
    </w:p>
    <w:p>
      <w:pPr>
        <w:pStyle w:val="Footnotesection"/>
      </w:pPr>
      <w:r>
        <w:tab/>
        <w:t>[Regulation 11A inserted in Gazette 2 Feb 2007 p. 245; amended in Gazette 18 Sep 2015 p. 3804.]</w:t>
      </w:r>
    </w:p>
    <w:p>
      <w:pPr>
        <w:pStyle w:val="Heading3"/>
      </w:pPr>
      <w:bookmarkStart w:id="28" w:name="_Toc430335311"/>
      <w:bookmarkStart w:id="29" w:name="_Toc470792470"/>
      <w:r>
        <w:rPr>
          <w:rStyle w:val="CharDivNo"/>
        </w:rPr>
        <w:t>Division 2</w:t>
      </w:r>
      <w:r>
        <w:t> — </w:t>
      </w:r>
      <w:r>
        <w:rPr>
          <w:rStyle w:val="CharDivText"/>
        </w:rPr>
        <w:t>Tenders for providing goods or services (s. 3.57)</w:t>
      </w:r>
      <w:bookmarkEnd w:id="28"/>
      <w:bookmarkEnd w:id="29"/>
    </w:p>
    <w:p>
      <w:pPr>
        <w:pStyle w:val="Footnoteheading"/>
      </w:pPr>
      <w:r>
        <w:tab/>
        <w:t>[Heading inserted in Gazette 2 Feb 2007 p. 245.]</w:t>
      </w:r>
    </w:p>
    <w:p>
      <w:pPr>
        <w:pStyle w:val="Heading5"/>
        <w:rPr>
          <w:snapToGrid w:val="0"/>
        </w:rPr>
      </w:pPr>
      <w:bookmarkStart w:id="30" w:name="_Toc470792471"/>
      <w:r>
        <w:rPr>
          <w:rStyle w:val="CharSectno"/>
        </w:rPr>
        <w:t>11</w:t>
      </w:r>
      <w:r>
        <w:rPr>
          <w:snapToGrid w:val="0"/>
        </w:rPr>
        <w:t>.</w:t>
      </w:r>
      <w:r>
        <w:rPr>
          <w:snapToGrid w:val="0"/>
        </w:rPr>
        <w:tab/>
        <w:t>When tenders have to be publicly invited</w:t>
      </w:r>
      <w:bookmarkEnd w:id="30"/>
    </w:p>
    <w:p>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 xml:space="preserve">$150 000 </w:t>
      </w:r>
      <w:r>
        <w:rPr>
          <w:snapToGrid w:val="0"/>
        </w:rPr>
        <w:t>unless subregulation (2) states otherwise.</w:t>
      </w:r>
    </w:p>
    <w:p>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w:t>
      </w:r>
    </w:p>
    <w:p>
      <w:pPr>
        <w:pStyle w:val="Indenta"/>
        <w:spacing w:before="76"/>
        <w:rPr>
          <w:snapToGrid w:val="0"/>
        </w:rPr>
      </w:pPr>
      <w:r>
        <w:rPr>
          <w:snapToGrid w:val="0"/>
        </w:rPr>
        <w:tab/>
        <w:t>(a)</w:t>
      </w:r>
      <w:r>
        <w:rPr>
          <w:snapToGrid w:val="0"/>
        </w:rPr>
        <w:tab/>
        <w:t>the supply of the goods or services is to be obtained from expenditure authorised in an emergency under section 6.8(1)(c) of the Act; or</w:t>
      </w:r>
    </w:p>
    <w:p>
      <w:pPr>
        <w:pStyle w:val="Indenta"/>
        <w:spacing w:before="76"/>
        <w:rPr>
          <w:snapToGrid w:val="0"/>
        </w:rPr>
      </w:pPr>
      <w:r>
        <w:rPr>
          <w:snapToGrid w:val="0"/>
        </w:rPr>
        <w:tab/>
        <w:t>(b)</w:t>
      </w:r>
      <w:r>
        <w:rPr>
          <w:snapToGrid w:val="0"/>
        </w:rPr>
        <w:tab/>
        <w:t xml:space="preserve">the supply of the goods or services is to be obtained through the </w:t>
      </w:r>
      <w:r>
        <w:t>WALGA Preferred Supplier Program; or</w:t>
      </w:r>
    </w:p>
    <w:p>
      <w:pPr>
        <w:pStyle w:val="Ednotepara"/>
      </w:pPr>
      <w:r>
        <w:tab/>
        <w:t>[(ba)</w:t>
      </w:r>
      <w:r>
        <w:tab/>
        <w:t>deleted]</w:t>
      </w:r>
    </w:p>
    <w:p>
      <w:pPr>
        <w:pStyle w:val="Indenta"/>
        <w:rPr>
          <w:snapToGrid w:val="0"/>
        </w:rPr>
      </w:pPr>
      <w:r>
        <w:rPr>
          <w:snapToGrid w:val="0"/>
        </w:rPr>
        <w:tab/>
        <w:t>(c)</w:t>
      </w:r>
      <w:r>
        <w:rPr>
          <w:snapToGrid w:val="0"/>
        </w:rPr>
        <w:tab/>
        <w:t>within the last 6 months —</w:t>
      </w:r>
    </w:p>
    <w:p>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w:t>
      </w:r>
      <w:r>
        <w:t xml:space="preserve"> or satisfied the value for money assessment; or</w:t>
      </w:r>
      <w:r>
        <w:rPr>
          <w:snapToGrid w:val="0"/>
        </w:rPr>
        <w:t xml:space="preserve"> </w:t>
      </w:r>
    </w:p>
    <w:p>
      <w:pPr>
        <w:pStyle w:val="Indenti"/>
        <w:rPr>
          <w:snapToGrid w:val="0"/>
        </w:rPr>
      </w:pPr>
      <w:r>
        <w:rPr>
          <w:snapToGrid w:val="0"/>
        </w:rPr>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 or</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 or</w:t>
      </w:r>
    </w:p>
    <w:p>
      <w:pPr>
        <w:pStyle w:val="Indenta"/>
        <w:rPr>
          <w:snapToGrid w:val="0"/>
        </w:rPr>
      </w:pPr>
      <w:r>
        <w:rPr>
          <w:snapToGrid w:val="0"/>
        </w:rPr>
        <w:tab/>
        <w:t>(ea)</w:t>
      </w:r>
      <w:r>
        <w:rPr>
          <w:snapToGrid w:val="0"/>
        </w:rPr>
        <w:tab/>
        <w:t>the goods or services are to be supplied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rPr>
          <w:snapToGrid w:val="0"/>
        </w:rPr>
      </w:pPr>
      <w:r>
        <w:rPr>
          <w:snapToGrid w:val="0"/>
        </w:rPr>
        <w:tab/>
        <w:t>(ii)</w:t>
      </w:r>
      <w:r>
        <w:rPr>
          <w:snapToGrid w:val="0"/>
        </w:rPr>
        <w:tab/>
        <w:t>by a person who, on the commencement of the order referred to in subparagraph (i), has a contract to supply the same kind of goods or services to the local government of the district referred to in that subparagraph;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pPr>
      <w:r>
        <w:tab/>
        <w:t>(g)</w:t>
      </w:r>
      <w:r>
        <w:tab/>
        <w:t>the goods to be supplied under the contract are —</w:t>
      </w:r>
    </w:p>
    <w:p>
      <w:pPr>
        <w:pStyle w:val="Indenti"/>
      </w:pPr>
      <w:r>
        <w:tab/>
        <w:t>(i)</w:t>
      </w:r>
      <w:r>
        <w:tab/>
        <w:t>petrol or oil; or</w:t>
      </w:r>
    </w:p>
    <w:p>
      <w:pPr>
        <w:pStyle w:val="Indenti"/>
      </w:pPr>
      <w:r>
        <w:tab/>
        <w:t>(ii)</w:t>
      </w:r>
      <w:r>
        <w:tab/>
        <w:t>any other liquid, or any gas, used for internal combustion engines;</w:t>
      </w:r>
    </w:p>
    <w:p>
      <w:pPr>
        <w:pStyle w:val="Indenta"/>
      </w:pPr>
      <w:r>
        <w:tab/>
      </w:r>
      <w:r>
        <w:tab/>
        <w:t>or</w:t>
      </w:r>
    </w:p>
    <w:p>
      <w:pPr>
        <w:pStyle w:val="Indenta"/>
      </w:pPr>
      <w:r>
        <w:tab/>
        <w:t>(h)</w:t>
      </w:r>
      <w:r>
        <w:tab/>
        <w:t xml:space="preserve">the following apply — </w:t>
      </w:r>
    </w:p>
    <w:p>
      <w:pPr>
        <w:pStyle w:val="Indenti"/>
      </w:pPr>
      <w:r>
        <w:tab/>
        <w:t>(i)</w:t>
      </w:r>
      <w:r>
        <w:tab/>
        <w:t xml:space="preserve">the goods or services are to be supplied by a person registered on the Aboriginal Business Directory WA published by the Small Business Development Corporation established under the </w:t>
      </w:r>
      <w:r>
        <w:rPr>
          <w:i/>
        </w:rPr>
        <w:t>Small Business Development Corporation Act 1983</w:t>
      </w:r>
      <w:r>
        <w:t>; and</w:t>
      </w:r>
    </w:p>
    <w:p>
      <w:pPr>
        <w:pStyle w:val="Indenti"/>
      </w:pPr>
      <w:r>
        <w:tab/>
        <w:t>(ii)</w:t>
      </w:r>
      <w:r>
        <w:tab/>
        <w:t>the consideration under the contract is $250 000 or less, or worth $250 000 or less; and</w:t>
      </w:r>
    </w:p>
    <w:p>
      <w:pPr>
        <w:pStyle w:val="Indenti"/>
      </w:pPr>
      <w:r>
        <w:tab/>
        <w:t>(iii)</w:t>
      </w:r>
      <w:r>
        <w:tab/>
        <w:t>the local government is satisfied that the contract represents value for money;</w:t>
      </w:r>
    </w:p>
    <w:p>
      <w:pPr>
        <w:pStyle w:val="Indenta"/>
      </w:pPr>
      <w:r>
        <w:tab/>
      </w:r>
      <w:r>
        <w:tab/>
        <w:t>or</w:t>
      </w:r>
    </w:p>
    <w:p>
      <w:pPr>
        <w:pStyle w:val="Indenta"/>
      </w:pPr>
      <w:r>
        <w:tab/>
        <w:t>(i)</w:t>
      </w:r>
      <w:r>
        <w:tab/>
        <w:t>the goods or services are to be supplied by an Australian Disability Enterprise; or</w:t>
      </w:r>
    </w:p>
    <w:p>
      <w:pPr>
        <w:pStyle w:val="Indenta"/>
      </w:pPr>
      <w:r>
        <w:tab/>
        <w:t>(j)</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was entered into after the local government, according to the requirements of this Division, publicly invited tenders for the supply of goods or services; and</w:t>
      </w:r>
    </w:p>
    <w:p>
      <w:pPr>
        <w:pStyle w:val="Indenti"/>
      </w:pPr>
      <w:r>
        <w:tab/>
        <w:t>(ii)</w:t>
      </w:r>
      <w:r>
        <w:tab/>
        <w:t>the invitation for tenders contained provision for the renewal or extension of a contract entered into with a successful tenderer; and</w:t>
      </w:r>
    </w:p>
    <w:p>
      <w:pPr>
        <w:pStyle w:val="Indenti"/>
      </w:pPr>
      <w:r>
        <w:tab/>
        <w:t>(iii)</w:t>
      </w:r>
      <w:r>
        <w:tab/>
        <w:t>the original contract contains an option to renew or extend its term; and</w:t>
      </w:r>
    </w:p>
    <w:p>
      <w:pPr>
        <w:pStyle w:val="Indenti"/>
      </w:pPr>
      <w:r>
        <w:tab/>
        <w:t>(iv)</w:t>
      </w:r>
      <w:r>
        <w:tab/>
        <w:t>the supplier’s tender included a requirement for such an option and specified the consideration payable, or the method by which the consideration is to be calculated, if the option were exercised;</w:t>
      </w:r>
    </w:p>
    <w:p>
      <w:pPr>
        <w:pStyle w:val="Indenta"/>
      </w:pPr>
      <w:r>
        <w:tab/>
      </w:r>
      <w:r>
        <w:tab/>
        <w:t>or</w:t>
      </w:r>
    </w:p>
    <w:p>
      <w:pPr>
        <w:pStyle w:val="Indenta"/>
        <w:rPr>
          <w:snapToGrid w:val="0"/>
        </w:rPr>
      </w:pPr>
      <w:r>
        <w:tab/>
        <w:t>(k)</w:t>
      </w:r>
      <w:r>
        <w:tab/>
        <w:t>the goods or services are to be supplied by a pre</w:t>
      </w:r>
      <w:r>
        <w:noBreakHyphen/>
        <w:t>qualified supplier under Division 3.</w:t>
      </w:r>
    </w:p>
    <w:p>
      <w:pPr>
        <w:pStyle w:val="Footnotesection"/>
      </w:pPr>
      <w:r>
        <w:tab/>
        <w:t>[Regulation 11 amended in Gazette 29 Apr 1997 p. 2145; 26 Jun 1998 p. 3447; 25 Feb 2000 p. 970</w:t>
      </w:r>
      <w:r>
        <w:noBreakHyphen/>
        <w:t>1; 29 Jun 2001 p. 3130; 31 Mar 2005 p. 1054</w:t>
      </w:r>
      <w:r>
        <w:noBreakHyphen/>
        <w:t>5; 2 Feb 2007 p. 245</w:t>
      </w:r>
      <w:r>
        <w:noBreakHyphen/>
        <w:t>6; 18 Sep 2015 p. 3804</w:t>
      </w:r>
      <w:r>
        <w:noBreakHyphen/>
        <w:t>6.]</w:t>
      </w:r>
    </w:p>
    <w:p>
      <w:pPr>
        <w:pStyle w:val="Heading5"/>
      </w:pPr>
      <w:bookmarkStart w:id="31" w:name="_Toc470792472"/>
      <w:r>
        <w:rPr>
          <w:rStyle w:val="CharSectno"/>
        </w:rPr>
        <w:t>12</w:t>
      </w:r>
      <w:r>
        <w:t>.</w:t>
      </w:r>
      <w:r>
        <w:tab/>
        <w:t>Anti</w:t>
      </w:r>
      <w:r>
        <w:noBreakHyphen/>
        <w:t>avoidance provision for r. 11(1)</w:t>
      </w:r>
      <w:bookmarkEnd w:id="31"/>
    </w:p>
    <w:p>
      <w:pPr>
        <w:pStyle w:val="Subsection"/>
      </w:pPr>
      <w:r>
        <w:tab/>
        <w:t>(1)</w:t>
      </w:r>
      <w:r>
        <w:tab/>
        <w:t xml:space="preserve">This regulation applies if a local government intends to enter into 2 or more contracts (the </w:t>
      </w:r>
      <w:r>
        <w:rPr>
          <w:rStyle w:val="CharDefText"/>
        </w:rPr>
        <w:t>contracts</w:t>
      </w:r>
      <w:r>
        <w:t>) in circumstances such that the desire to avoid the requirements of regulation 11(1) is a significant reason for not dealing with the matter in a single contract.</w:t>
      </w:r>
    </w:p>
    <w:p>
      <w:pPr>
        <w:pStyle w:val="Subsection"/>
      </w:pPr>
      <w:r>
        <w:tab/>
        <w:t>(2)</w:t>
      </w:r>
      <w:r>
        <w:tab/>
        <w:t>If this regulation applies, tenders are to be publicly invited according to the requirements of this Division before the local government enters into any of the contracts regardless of the consideration.</w:t>
      </w:r>
    </w:p>
    <w:p>
      <w:pPr>
        <w:pStyle w:val="Footnotesection"/>
      </w:pPr>
      <w:r>
        <w:tab/>
        <w:t xml:space="preserve">[Regulation 12 inserted in Gazette 18 Sep 2015 p. 3806.] </w:t>
      </w:r>
    </w:p>
    <w:p>
      <w:pPr>
        <w:pStyle w:val="Heading5"/>
        <w:rPr>
          <w:snapToGrid w:val="0"/>
        </w:rPr>
      </w:pPr>
      <w:bookmarkStart w:id="32" w:name="_Toc470792473"/>
      <w:r>
        <w:rPr>
          <w:rStyle w:val="CharSectno"/>
        </w:rPr>
        <w:t>13</w:t>
      </w:r>
      <w:r>
        <w:rPr>
          <w:snapToGrid w:val="0"/>
        </w:rPr>
        <w:t>.</w:t>
      </w:r>
      <w:r>
        <w:rPr>
          <w:snapToGrid w:val="0"/>
        </w:rPr>
        <w:tab/>
        <w:t>Requirements when local government invites tenders though not required to do so</w:t>
      </w:r>
      <w:bookmarkEnd w:id="32"/>
    </w:p>
    <w:p>
      <w:pPr>
        <w:pStyle w:val="Subsection"/>
        <w:rPr>
          <w:snapToGrid w:val="0"/>
        </w:rPr>
      </w:pPr>
      <w:r>
        <w:rPr>
          <w:snapToGrid w:val="0"/>
        </w:rPr>
        <w:tab/>
      </w:r>
      <w:r>
        <w:rPr>
          <w:snapToGrid w:val="0"/>
        </w:rPr>
        <w:tab/>
        <w:t xml:space="preserve">If a local government, although not required by this </w:t>
      </w:r>
      <w:r>
        <w:t xml:space="preserve">Division </w:t>
      </w:r>
      <w:r>
        <w:rPr>
          <w:snapToGrid w:val="0"/>
        </w:rPr>
        <w:t>to invite tenders before entering into a contract for another person to supply goods or services, decides to invite tenders, the tenders are to be publicly invited according to the requirements of this</w:t>
      </w:r>
      <w:r>
        <w:t xml:space="preserve"> Division</w:t>
      </w:r>
      <w:r>
        <w:rPr>
          <w:snapToGrid w:val="0"/>
        </w:rPr>
        <w:t>.</w:t>
      </w:r>
    </w:p>
    <w:p>
      <w:pPr>
        <w:pStyle w:val="Footnotesection"/>
      </w:pPr>
      <w:r>
        <w:tab/>
        <w:t>[Regulation 13 amended in Gazette 2 Feb 2007 p. 245</w:t>
      </w:r>
      <w:r>
        <w:noBreakHyphen/>
        <w:t>6.]</w:t>
      </w:r>
    </w:p>
    <w:p>
      <w:pPr>
        <w:pStyle w:val="Heading5"/>
        <w:rPr>
          <w:snapToGrid w:val="0"/>
        </w:rPr>
      </w:pPr>
      <w:bookmarkStart w:id="33" w:name="_Toc470792474"/>
      <w:r>
        <w:rPr>
          <w:rStyle w:val="CharSectno"/>
        </w:rPr>
        <w:t>14</w:t>
      </w:r>
      <w:r>
        <w:rPr>
          <w:snapToGrid w:val="0"/>
        </w:rPr>
        <w:t>.</w:t>
      </w:r>
      <w:r>
        <w:rPr>
          <w:snapToGrid w:val="0"/>
        </w:rPr>
        <w:tab/>
        <w:t>Publicly inviting tenders, requirements for</w:t>
      </w:r>
      <w:bookmarkEnd w:id="33"/>
    </w:p>
    <w:p>
      <w:pPr>
        <w:pStyle w:val="Subsection"/>
        <w:rPr>
          <w:snapToGrid w:val="0"/>
        </w:rPr>
      </w:pPr>
      <w:r>
        <w:rPr>
          <w:snapToGrid w:val="0"/>
        </w:rPr>
        <w:tab/>
        <w:t>(1)</w:t>
      </w:r>
      <w:r>
        <w:rPr>
          <w:snapToGrid w:val="0"/>
        </w:rPr>
        <w:tab/>
        <w:t>When regulation 11(1), 12(2)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pPr>
      <w:r>
        <w:tab/>
        <w:t>(2a)</w:t>
      </w:r>
      <w:r>
        <w:tab/>
        <w:t>If a local government —</w:t>
      </w:r>
    </w:p>
    <w:p>
      <w:pPr>
        <w:pStyle w:val="Indenta"/>
      </w:pPr>
      <w:r>
        <w:tab/>
        <w:t>(a)</w:t>
      </w:r>
      <w:r>
        <w:tab/>
        <w:t>is required to invite a tender; or</w:t>
      </w:r>
    </w:p>
    <w:p>
      <w:pPr>
        <w:pStyle w:val="Indenta"/>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rPr>
          <w:snapToGrid w:val="0"/>
        </w:rPr>
      </w:pPr>
      <w:r>
        <w:rPr>
          <w:snapToGrid w:val="0"/>
        </w:rPr>
        <w:tab/>
        <w:t>(3)</w:t>
      </w:r>
      <w:r>
        <w:rPr>
          <w:snapToGrid w:val="0"/>
        </w:rPr>
        <w:tab/>
        <w:t>The notice, whether under subregulation (1) or (2),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as to tendering may be obtained; and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 and</w:t>
      </w:r>
    </w:p>
    <w:p>
      <w:pPr>
        <w:pStyle w:val="Indenta"/>
      </w:pPr>
      <w:r>
        <w:tab/>
        <w:t>(b)</w:t>
      </w:r>
      <w:r>
        <w:tab/>
        <w:t>detailed specifications of the goods or services required; and</w:t>
      </w:r>
    </w:p>
    <w:p>
      <w:pPr>
        <w:pStyle w:val="Indenta"/>
      </w:pPr>
      <w:r>
        <w:tab/>
        <w:t>(c)</w:t>
      </w:r>
      <w:r>
        <w:tab/>
        <w:t>the criteria for deciding which tender should be accepted; and</w:t>
      </w:r>
    </w:p>
    <w:p>
      <w:pPr>
        <w:pStyle w:val="Indenta"/>
      </w:pPr>
      <w:r>
        <w:tab/>
        <w:t>(d)</w:t>
      </w:r>
      <w:r>
        <w:tab/>
        <w:t>whether the local government has decided to submit a tender.</w:t>
      </w:r>
    </w:p>
    <w:p>
      <w:pPr>
        <w:pStyle w:val="Ednotepara"/>
      </w:pPr>
      <w:r>
        <w:tab/>
        <w:t>[(e)</w:t>
      </w:r>
      <w:r>
        <w:tab/>
        <w:t>deleted]</w:t>
      </w:r>
    </w:p>
    <w:p>
      <w:pPr>
        <w:pStyle w:val="Subsection"/>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 in Gazette 29 Jun 2001 p. 3130; 18 Sep 2015 p. 3806.]</w:t>
      </w:r>
    </w:p>
    <w:p>
      <w:pPr>
        <w:pStyle w:val="Heading5"/>
        <w:rPr>
          <w:snapToGrid w:val="0"/>
        </w:rPr>
      </w:pPr>
      <w:bookmarkStart w:id="34" w:name="_Toc470792475"/>
      <w:r>
        <w:rPr>
          <w:rStyle w:val="CharSectno"/>
        </w:rPr>
        <w:t>15</w:t>
      </w:r>
      <w:r>
        <w:t>.</w:t>
      </w:r>
      <w:r>
        <w:tab/>
      </w:r>
      <w:r>
        <w:rPr>
          <w:snapToGrid w:val="0"/>
        </w:rPr>
        <w:t>Minimum time to be allowed for submitting tenders</w:t>
      </w:r>
      <w:bookmarkEnd w:id="34"/>
    </w:p>
    <w:p>
      <w:pPr>
        <w:pStyle w:val="Subsection"/>
      </w:pPr>
      <w:r>
        <w:tab/>
        <w:t>(1)</w:t>
      </w:r>
      <w:r>
        <w:tab/>
        <w:t>If a notice under regulation 14(1) is given, the date and time referred to in regulation 14(3)(d) has to be at least 14 days after the notice is first published in the newspaper circulating generally throughout the State.</w:t>
      </w:r>
    </w:p>
    <w:p>
      <w:pPr>
        <w:pStyle w:val="Subsection"/>
        <w:rPr>
          <w:snapToGrid w:val="0"/>
        </w:rPr>
      </w:pPr>
      <w:r>
        <w:tab/>
        <w:t>(2)</w:t>
      </w:r>
      <w:r>
        <w:tab/>
        <w:t xml:space="preserve">If a notice under regulation 14(2) </w:t>
      </w:r>
      <w:r>
        <w:rPr>
          <w:snapToGrid w:val="0"/>
        </w:rPr>
        <w:t>is given to a person listed as an acceptable tenderer, the date and time referred to in regulation 14(3)(d) has to be at least 14 days after the notice is given.</w:t>
      </w:r>
    </w:p>
    <w:p>
      <w:pPr>
        <w:pStyle w:val="Footnotesection"/>
      </w:pPr>
      <w:r>
        <w:tab/>
        <w:t>[Regulation 15 inserted in Gazette 18 Sep 2015 p. 3806</w:t>
      </w:r>
      <w:r>
        <w:noBreakHyphen/>
        <w:t xml:space="preserve">7.] </w:t>
      </w:r>
    </w:p>
    <w:p>
      <w:pPr>
        <w:pStyle w:val="Heading5"/>
        <w:rPr>
          <w:snapToGrid w:val="0"/>
        </w:rPr>
      </w:pPr>
      <w:bookmarkStart w:id="35" w:name="_Toc470792476"/>
      <w:r>
        <w:rPr>
          <w:rStyle w:val="CharSectno"/>
        </w:rPr>
        <w:t>16</w:t>
      </w:r>
      <w:r>
        <w:rPr>
          <w:snapToGrid w:val="0"/>
        </w:rPr>
        <w:t>.</w:t>
      </w:r>
      <w:r>
        <w:rPr>
          <w:snapToGrid w:val="0"/>
        </w:rPr>
        <w:tab/>
        <w:t>Receiving and opening tenders, procedure for</w:t>
      </w:r>
      <w:bookmarkEnd w:id="35"/>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keepNext/>
        <w:rPr>
          <w:snapToGrid w:val="0"/>
        </w:rPr>
      </w:pPr>
      <w:r>
        <w:rPr>
          <w:snapToGrid w:val="0"/>
        </w:rPr>
        <w:tab/>
        <w:t>(3)</w:t>
      </w:r>
      <w:r>
        <w:rPr>
          <w:snapToGrid w:val="0"/>
        </w:rPr>
        <w:tab/>
        <w:t>When tenders are opened —</w:t>
      </w:r>
    </w:p>
    <w:p>
      <w:pPr>
        <w:pStyle w:val="Indenta"/>
      </w:pPr>
      <w:r>
        <w:tab/>
        <w:t>(a)</w:t>
      </w:r>
      <w:r>
        <w:tab/>
        <w:t xml:space="preserve">there must be present — </w:t>
      </w:r>
    </w:p>
    <w:p>
      <w:pPr>
        <w:pStyle w:val="Indenti"/>
      </w:pPr>
      <w:r>
        <w:tab/>
        <w:t>(i)</w:t>
      </w:r>
      <w:r>
        <w:tab/>
        <w:t>at least 2 employees of the local government; or</w:t>
      </w:r>
    </w:p>
    <w:p>
      <w:pPr>
        <w:pStyle w:val="Indenti"/>
        <w:rPr>
          <w:snapToGrid w:val="0"/>
        </w:rPr>
      </w:pPr>
      <w:r>
        <w:tab/>
        <w:t>(ii)</w:t>
      </w:r>
      <w:r>
        <w:tab/>
        <w:t>one employee of the local government and at least one person authorised by the CEO to open tenders;</w:t>
      </w:r>
    </w:p>
    <w:p>
      <w:pPr>
        <w:pStyle w:val="Indenta"/>
      </w:pPr>
      <w:r>
        <w:tab/>
      </w:r>
      <w:r>
        <w:tab/>
        <w:t>and</w:t>
      </w:r>
    </w:p>
    <w:p>
      <w:pPr>
        <w:pStyle w:val="Indenta"/>
        <w:rPr>
          <w:snapToGrid w:val="0"/>
        </w:rPr>
      </w:pPr>
      <w:r>
        <w:rPr>
          <w:snapToGrid w:val="0"/>
        </w:rPr>
        <w:tab/>
        <w:t>(b)</w:t>
      </w:r>
      <w:r>
        <w:rPr>
          <w:snapToGrid w:val="0"/>
        </w:rPr>
        <w:tab/>
        <w:t>members of the public are entitled to be present; and</w:t>
      </w:r>
    </w:p>
    <w:p>
      <w:pPr>
        <w:pStyle w:val="Indenta"/>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in Gazette 29 Jun 2001 p. 3131; 31 Mar 2005 p. 1055; 18 Sep 2015 p. 3807.]</w:t>
      </w:r>
    </w:p>
    <w:p>
      <w:pPr>
        <w:pStyle w:val="Heading5"/>
        <w:rPr>
          <w:snapToGrid w:val="0"/>
        </w:rPr>
      </w:pPr>
      <w:bookmarkStart w:id="36" w:name="_Toc470792477"/>
      <w:r>
        <w:rPr>
          <w:rStyle w:val="CharSectno"/>
        </w:rPr>
        <w:t>17</w:t>
      </w:r>
      <w:r>
        <w:rPr>
          <w:snapToGrid w:val="0"/>
        </w:rPr>
        <w:t>.</w:t>
      </w:r>
      <w:r>
        <w:rPr>
          <w:snapToGrid w:val="0"/>
        </w:rPr>
        <w:tab/>
        <w:t>Tenders register</w:t>
      </w:r>
      <w:bookmarkEnd w:id="36"/>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rPr>
          <w:snapToGrid w:val="0"/>
        </w:rPr>
      </w:pPr>
      <w:r>
        <w:rPr>
          <w:snapToGrid w:val="0"/>
        </w:rPr>
        <w:tab/>
        <w:t>(2)</w:t>
      </w:r>
      <w:r>
        <w:rPr>
          <w:snapToGrid w:val="0"/>
        </w:rPr>
        <w:tab/>
        <w:t>The tenders register is to include, for each invitation to tender —</w:t>
      </w:r>
    </w:p>
    <w:p>
      <w:pPr>
        <w:pStyle w:val="Indenta"/>
        <w:rPr>
          <w:snapToGrid w:val="0"/>
        </w:rPr>
      </w:pPr>
      <w:r>
        <w:rPr>
          <w:snapToGrid w:val="0"/>
        </w:rPr>
        <w:tab/>
        <w:t>(a)</w:t>
      </w:r>
      <w:r>
        <w:rPr>
          <w:snapToGrid w:val="0"/>
        </w:rPr>
        <w:tab/>
        <w:t>a brief description of the goods or services required; and</w:t>
      </w:r>
    </w:p>
    <w:p>
      <w:pPr>
        <w:pStyle w:val="Ednotepara"/>
        <w:rPr>
          <w:snapToGrid w:val="0"/>
        </w:rPr>
      </w:pPr>
      <w:r>
        <w:tab/>
        <w:t>[(b)</w:t>
      </w:r>
      <w:r>
        <w:tab/>
        <w:t>deleted]</w:t>
      </w:r>
    </w:p>
    <w:p>
      <w:pPr>
        <w:pStyle w:val="Indenta"/>
        <w:rPr>
          <w:snapToGrid w:val="0"/>
        </w:rPr>
      </w:pPr>
      <w:r>
        <w:rPr>
          <w:snapToGrid w:val="0"/>
        </w:rPr>
        <w:tab/>
        <w:t>(c)</w:t>
      </w:r>
      <w:r>
        <w:rPr>
          <w:snapToGrid w:val="0"/>
        </w:rPr>
        <w:tab/>
        <w:t>particulars of —</w:t>
      </w:r>
    </w:p>
    <w:p>
      <w:pPr>
        <w:pStyle w:val="Indenti"/>
        <w:rPr>
          <w:snapToGrid w:val="0"/>
        </w:rPr>
      </w:pPr>
      <w:r>
        <w:rPr>
          <w:snapToGrid w:val="0"/>
        </w:rPr>
        <w:tab/>
        <w:t>(i)</w:t>
      </w:r>
      <w:r>
        <w:rPr>
          <w:snapToGrid w:val="0"/>
        </w:rPr>
        <w:tab/>
        <w:t>any notice by which expressions of interests from prospective tenderers was sought; and</w:t>
      </w:r>
    </w:p>
    <w:p>
      <w:pPr>
        <w:pStyle w:val="Indenti"/>
        <w:rPr>
          <w:snapToGrid w:val="0"/>
        </w:rPr>
      </w:pPr>
      <w:r>
        <w:rPr>
          <w:snapToGrid w:val="0"/>
        </w:rPr>
        <w:tab/>
        <w:t>(ii)</w:t>
      </w:r>
      <w:r>
        <w:rPr>
          <w:snapToGrid w:val="0"/>
        </w:rPr>
        <w:tab/>
        <w:t>any person who submitted an expression of interest; and</w:t>
      </w:r>
    </w:p>
    <w:p>
      <w:pPr>
        <w:pStyle w:val="Indenti"/>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copy of the notice of the invitation to tender; and</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in Gazette 29 Jun 2001 p. 3131; 18 Sep 2015 p. 3807.]</w:t>
      </w:r>
    </w:p>
    <w:p>
      <w:pPr>
        <w:pStyle w:val="Heading5"/>
        <w:rPr>
          <w:snapToGrid w:val="0"/>
        </w:rPr>
      </w:pPr>
      <w:bookmarkStart w:id="37" w:name="_Toc470792478"/>
      <w:r>
        <w:rPr>
          <w:rStyle w:val="CharSectno"/>
        </w:rPr>
        <w:t>18</w:t>
      </w:r>
      <w:r>
        <w:rPr>
          <w:snapToGrid w:val="0"/>
        </w:rPr>
        <w:t>.</w:t>
      </w:r>
      <w:r>
        <w:rPr>
          <w:snapToGrid w:val="0"/>
        </w:rPr>
        <w:tab/>
        <w:t>Rejecting and accepting tenders</w:t>
      </w:r>
      <w:bookmarkEnd w:id="37"/>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w:t>
      </w:r>
      <w:r>
        <w:t>(if any)</w:t>
      </w:r>
      <w:r>
        <w:rPr>
          <w:snapToGrid w:val="0"/>
        </w:rPr>
        <w:t xml:space="preserve">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 in Gazette 29 Jun 2001 p. 3131</w:t>
      </w:r>
      <w:r>
        <w:noBreakHyphen/>
        <w:t>2; 18 Sep 2015 p. 3807.]</w:t>
      </w:r>
    </w:p>
    <w:p>
      <w:pPr>
        <w:pStyle w:val="Heading5"/>
        <w:rPr>
          <w:snapToGrid w:val="0"/>
        </w:rPr>
      </w:pPr>
      <w:bookmarkStart w:id="38" w:name="_Toc470792479"/>
      <w:r>
        <w:rPr>
          <w:rStyle w:val="CharSectno"/>
        </w:rPr>
        <w:t>19</w:t>
      </w:r>
      <w:r>
        <w:rPr>
          <w:snapToGrid w:val="0"/>
        </w:rPr>
        <w:t>.</w:t>
      </w:r>
      <w:r>
        <w:rPr>
          <w:snapToGrid w:val="0"/>
        </w:rPr>
        <w:tab/>
        <w:t>Tenderers to be notified of outcome</w:t>
      </w:r>
      <w:bookmarkEnd w:id="38"/>
    </w:p>
    <w:p>
      <w:pPr>
        <w:pStyle w:val="Subsection"/>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in Gazette 29 Jun 2001 p. 3132.]</w:t>
      </w:r>
    </w:p>
    <w:p>
      <w:pPr>
        <w:pStyle w:val="Heading5"/>
        <w:rPr>
          <w:snapToGrid w:val="0"/>
        </w:rPr>
      </w:pPr>
      <w:bookmarkStart w:id="39" w:name="_Toc470792480"/>
      <w:r>
        <w:rPr>
          <w:rStyle w:val="CharSectno"/>
        </w:rPr>
        <w:t>20</w:t>
      </w:r>
      <w:r>
        <w:rPr>
          <w:snapToGrid w:val="0"/>
        </w:rPr>
        <w:t>.</w:t>
      </w:r>
      <w:r>
        <w:rPr>
          <w:snapToGrid w:val="0"/>
        </w:rPr>
        <w:tab/>
        <w:t>Variation of requirements before entry into contract</w:t>
      </w:r>
      <w:bookmarkEnd w:id="39"/>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rPr>
          <w:snapToGrid w:val="0"/>
        </w:rPr>
      </w:pPr>
      <w:r>
        <w:rPr>
          <w:snapToGrid w:val="0"/>
        </w:rPr>
        <w:tab/>
        <w:t>(3)</w:t>
      </w:r>
      <w:r>
        <w:rPr>
          <w:snapToGrid w:val="0"/>
        </w:rPr>
        <w:tab/>
        <w:t>In subregulation (1) —</w:t>
      </w:r>
    </w:p>
    <w:p>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pPr>
        <w:pStyle w:val="Heading5"/>
      </w:pPr>
      <w:bookmarkStart w:id="40" w:name="_Toc470792481"/>
      <w:r>
        <w:rPr>
          <w:rStyle w:val="CharSectno"/>
        </w:rPr>
        <w:t>21A</w:t>
      </w:r>
      <w:r>
        <w:t>.</w:t>
      </w:r>
      <w:r>
        <w:tab/>
        <w:t>Varying a contract for the supply of goods or services</w:t>
      </w:r>
      <w:bookmarkEnd w:id="40"/>
    </w:p>
    <w:p>
      <w:pPr>
        <w:pStyle w:val="Subsection"/>
      </w:pPr>
      <w:r>
        <w:tab/>
      </w:r>
      <w:r>
        <w:tab/>
        <w:t xml:space="preserve">If a local government has entered into a contract for the supply of goods or services with a successful tenderer, the contract must not be varied unless — </w:t>
      </w:r>
    </w:p>
    <w:p>
      <w:pPr>
        <w:pStyle w:val="Indenta"/>
      </w:pPr>
      <w:r>
        <w:tab/>
        <w:t>(a)</w:t>
      </w:r>
      <w:r>
        <w:tab/>
        <w:t>the variation is necessary in order for the goods or services to be supplied and does not change the scope of the contract; or</w:t>
      </w:r>
    </w:p>
    <w:p>
      <w:pPr>
        <w:pStyle w:val="Indenta"/>
      </w:pPr>
      <w:r>
        <w:tab/>
        <w:t>(b)</w:t>
      </w:r>
      <w:r>
        <w:tab/>
        <w:t>the variation is a renewal or extension of the term of the contract as described in regulation 11(2)(j).</w:t>
      </w:r>
    </w:p>
    <w:p>
      <w:pPr>
        <w:pStyle w:val="Footnotesection"/>
      </w:pPr>
      <w:r>
        <w:tab/>
        <w:t xml:space="preserve">[Regulation 21A inserted in Gazette 18 Sep 2015 p. 3807.] </w:t>
      </w:r>
    </w:p>
    <w:p>
      <w:pPr>
        <w:pStyle w:val="Heading5"/>
        <w:rPr>
          <w:snapToGrid w:val="0"/>
        </w:rPr>
      </w:pPr>
      <w:bookmarkStart w:id="41" w:name="_Toc470792482"/>
      <w:r>
        <w:rPr>
          <w:rStyle w:val="CharSectno"/>
        </w:rPr>
        <w:t>21</w:t>
      </w:r>
      <w:r>
        <w:rPr>
          <w:snapToGrid w:val="0"/>
        </w:rPr>
        <w:t>.</w:t>
      </w:r>
      <w:r>
        <w:rPr>
          <w:snapToGrid w:val="0"/>
        </w:rPr>
        <w:tab/>
        <w:t>Limiting who can tender, procedure for</w:t>
      </w:r>
      <w:bookmarkEnd w:id="41"/>
    </w:p>
    <w:p>
      <w:pPr>
        <w:pStyle w:val="Subsection"/>
        <w:rPr>
          <w:snapToGrid w:val="0"/>
        </w:rPr>
      </w:pPr>
      <w:r>
        <w:rPr>
          <w:snapToGrid w:val="0"/>
        </w:rPr>
        <w:tab/>
        <w:t>(1)</w:t>
      </w:r>
      <w:r>
        <w:rPr>
          <w:snapToGrid w:val="0"/>
        </w:rPr>
        <w:tab/>
        <w:t xml:space="preserve">If a local government </w:t>
      </w:r>
      <w:r>
        <w:t>decides</w:t>
      </w:r>
      <w:r>
        <w:rPr>
          <w:snapToGrid w:val="0"/>
        </w:rPr>
        <w:t xml:space="preserve"> to make a preliminary selection from amongst prospective tenderers, it may seek expressions of interest with respect to the supply of the goods or services.</w:t>
      </w:r>
    </w:p>
    <w:p>
      <w:pPr>
        <w:pStyle w:val="Ednotesubsection"/>
      </w:pPr>
      <w:r>
        <w:tab/>
        <w:t>[(2)</w:t>
      </w:r>
      <w:r>
        <w:tab/>
        <w:t>deleted]</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keepNext/>
        <w:rPr>
          <w:snapToGrid w:val="0"/>
        </w:rPr>
      </w:pPr>
      <w:r>
        <w:rPr>
          <w:snapToGrid w:val="0"/>
        </w:rPr>
        <w:tab/>
        <w:t>(4)</w:t>
      </w:r>
      <w:r>
        <w:rPr>
          <w:snapToGrid w:val="0"/>
        </w:rPr>
        <w:tab/>
        <w:t>The notice is required to include —</w:t>
      </w:r>
    </w:p>
    <w:p>
      <w:pPr>
        <w:pStyle w:val="Indenta"/>
        <w:keepNext/>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may be obtained; and</w:t>
      </w:r>
    </w:p>
    <w:p>
      <w:pPr>
        <w:pStyle w:val="Indenta"/>
        <w:rPr>
          <w:snapToGrid w:val="0"/>
        </w:rPr>
      </w:pPr>
      <w:r>
        <w:rPr>
          <w:snapToGrid w:val="0"/>
        </w:rPr>
        <w:tab/>
        <w:t>(c)</w:t>
      </w:r>
      <w:r>
        <w:rPr>
          <w:snapToGrid w:val="0"/>
        </w:rPr>
        <w:tab/>
        <w:t>information as to where and how expressions of interest may be submitted; and</w:t>
      </w:r>
    </w:p>
    <w:p>
      <w:pPr>
        <w:pStyle w:val="Indenta"/>
        <w:rPr>
          <w:snapToGrid w:val="0"/>
        </w:rPr>
      </w:pPr>
      <w:r>
        <w:rPr>
          <w:snapToGrid w:val="0"/>
        </w:rPr>
        <w:tab/>
        <w:t>(d)</w:t>
      </w:r>
      <w:r>
        <w:rPr>
          <w:snapToGrid w:val="0"/>
        </w:rPr>
        <w:tab/>
        <w:t>the date and time after which expressions of interest cannot be submitted.</w:t>
      </w:r>
    </w:p>
    <w:p>
      <w:pPr>
        <w:pStyle w:val="Footnotesection"/>
      </w:pPr>
      <w:r>
        <w:tab/>
        <w:t xml:space="preserve">[Regulation 21 amended in Gazette 18 Sep 2015 p. 3808.] </w:t>
      </w:r>
    </w:p>
    <w:p>
      <w:pPr>
        <w:pStyle w:val="Heading5"/>
        <w:rPr>
          <w:snapToGrid w:val="0"/>
        </w:rPr>
      </w:pPr>
      <w:bookmarkStart w:id="42" w:name="_Toc470792483"/>
      <w:r>
        <w:rPr>
          <w:rStyle w:val="CharSectno"/>
        </w:rPr>
        <w:t>22</w:t>
      </w:r>
      <w:r>
        <w:rPr>
          <w:snapToGrid w:val="0"/>
        </w:rPr>
        <w:t>.</w:t>
      </w:r>
      <w:r>
        <w:rPr>
          <w:snapToGrid w:val="0"/>
        </w:rPr>
        <w:tab/>
        <w:t>Minimum time to be allowed for submitting expressions of interest</w:t>
      </w:r>
      <w:bookmarkEnd w:id="42"/>
    </w:p>
    <w:p>
      <w:pPr>
        <w:pStyle w:val="Subsection"/>
        <w:rPr>
          <w:snapToGrid w:val="0"/>
        </w:rPr>
      </w:pPr>
      <w:r>
        <w:rPr>
          <w:snapToGrid w:val="0"/>
        </w:rPr>
        <w:tab/>
      </w:r>
      <w:r>
        <w:rPr>
          <w:snapToGrid w:val="0"/>
        </w:rPr>
        <w:tab/>
        <w:t>The time specified in the notice as the time after which expressions of interest cannot be submitted has to be at least 14 days after the notice is first published in the newspaper as part of giving Statewide public notice.</w:t>
      </w:r>
    </w:p>
    <w:p>
      <w:pPr>
        <w:pStyle w:val="Heading5"/>
        <w:rPr>
          <w:snapToGrid w:val="0"/>
        </w:rPr>
      </w:pPr>
      <w:bookmarkStart w:id="43" w:name="_Toc470792484"/>
      <w:r>
        <w:rPr>
          <w:rStyle w:val="CharSectno"/>
        </w:rPr>
        <w:t>23</w:t>
      </w:r>
      <w:r>
        <w:rPr>
          <w:snapToGrid w:val="0"/>
        </w:rPr>
        <w:t>.</w:t>
      </w:r>
      <w:r>
        <w:rPr>
          <w:snapToGrid w:val="0"/>
        </w:rPr>
        <w:tab/>
        <w:t>Rejecting and accepting expressions of interest to be acceptable tenderer</w:t>
      </w:r>
      <w:bookmarkEnd w:id="43"/>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rPr>
          <w:snapToGrid w:val="0"/>
        </w:rPr>
      </w:pPr>
      <w:r>
        <w:rPr>
          <w:snapToGrid w:val="0"/>
        </w:rPr>
        <w:tab/>
        <w:t>(4)</w:t>
      </w:r>
      <w:r>
        <w:rPr>
          <w:snapToGrid w:val="0"/>
        </w:rPr>
        <w:tab/>
        <w:t>The CEO is to list each of those persons as an acceptable tenderer.</w:t>
      </w:r>
    </w:p>
    <w:p>
      <w:pPr>
        <w:pStyle w:val="Footnotesection"/>
      </w:pPr>
      <w:r>
        <w:tab/>
        <w:t>[Regulation 23 amended in Gazette 29 Jun 2001 p. 3132.]</w:t>
      </w:r>
    </w:p>
    <w:p>
      <w:pPr>
        <w:pStyle w:val="Heading5"/>
        <w:rPr>
          <w:snapToGrid w:val="0"/>
        </w:rPr>
      </w:pPr>
      <w:bookmarkStart w:id="44" w:name="_Toc470792485"/>
      <w:r>
        <w:rPr>
          <w:rStyle w:val="CharSectno"/>
        </w:rPr>
        <w:t>24</w:t>
      </w:r>
      <w:r>
        <w:rPr>
          <w:snapToGrid w:val="0"/>
        </w:rPr>
        <w:t>.</w:t>
      </w:r>
      <w:r>
        <w:rPr>
          <w:snapToGrid w:val="0"/>
        </w:rPr>
        <w:tab/>
        <w:t>People who submitted expression of interest to be notified of outcome</w:t>
      </w:r>
      <w:bookmarkEnd w:id="44"/>
    </w:p>
    <w:p>
      <w:pPr>
        <w:pStyle w:val="Subsection"/>
        <w:keepNext/>
        <w:rPr>
          <w:snapToGrid w:val="0"/>
        </w:rPr>
      </w:pPr>
      <w:r>
        <w:rPr>
          <w:snapToGrid w:val="0"/>
        </w:rPr>
        <w:tab/>
      </w:r>
      <w:r>
        <w:rPr>
          <w:snapToGrid w:val="0"/>
        </w:rPr>
        <w:tab/>
        <w:t>The CEO is to give each person who submitted an expression of interest notice in writing —</w:t>
      </w:r>
    </w:p>
    <w:p>
      <w:pPr>
        <w:pStyle w:val="Indenta"/>
        <w:rPr>
          <w:snapToGrid w:val="0"/>
        </w:rPr>
      </w:pPr>
      <w:r>
        <w:rPr>
          <w:snapToGrid w:val="0"/>
        </w:rPr>
        <w:tab/>
        <w:t>(a)</w:t>
      </w:r>
      <w:r>
        <w:rPr>
          <w:snapToGrid w:val="0"/>
        </w:rPr>
        <w:tab/>
        <w:t>containing particulars of the persons the CEO has listed under regulation 23(4) as acceptable tenderers; or</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in Gazette 29 Jun 2001 p. 3133.]</w:t>
      </w:r>
    </w:p>
    <w:p>
      <w:pPr>
        <w:pStyle w:val="Heading3"/>
      </w:pPr>
      <w:bookmarkStart w:id="45" w:name="_Toc430335327"/>
      <w:bookmarkStart w:id="46" w:name="_Toc470792486"/>
      <w:r>
        <w:rPr>
          <w:rStyle w:val="CharDivNo"/>
        </w:rPr>
        <w:t>Division 3</w:t>
      </w:r>
      <w:r>
        <w:t> — </w:t>
      </w:r>
      <w:r>
        <w:rPr>
          <w:rStyle w:val="CharDivText"/>
        </w:rPr>
        <w:t>Panels of pre</w:t>
      </w:r>
      <w:r>
        <w:rPr>
          <w:rStyle w:val="CharDivText"/>
        </w:rPr>
        <w:noBreakHyphen/>
        <w:t>qualified suppliers</w:t>
      </w:r>
      <w:bookmarkEnd w:id="45"/>
      <w:bookmarkEnd w:id="46"/>
    </w:p>
    <w:p>
      <w:pPr>
        <w:pStyle w:val="Footnoteheading"/>
      </w:pPr>
      <w:r>
        <w:tab/>
        <w:t>[Heading inserted in Gazette 18 Sep 2015 p. 3808.]</w:t>
      </w:r>
    </w:p>
    <w:p>
      <w:pPr>
        <w:pStyle w:val="Heading5"/>
      </w:pPr>
      <w:bookmarkStart w:id="47" w:name="_Toc470792487"/>
      <w:r>
        <w:rPr>
          <w:rStyle w:val="CharSectno"/>
        </w:rPr>
        <w:t>24AA</w:t>
      </w:r>
      <w:r>
        <w:t>.</w:t>
      </w:r>
      <w:r>
        <w:tab/>
        <w:t>Terms used</w:t>
      </w:r>
      <w:bookmarkEnd w:id="47"/>
    </w:p>
    <w:p>
      <w:pPr>
        <w:pStyle w:val="Subsection"/>
      </w:pPr>
      <w:r>
        <w:tab/>
      </w:r>
      <w:r>
        <w:tab/>
        <w:t xml:space="preserve">In this Division — </w:t>
      </w:r>
    </w:p>
    <w:p>
      <w:pPr>
        <w:pStyle w:val="Defstart"/>
      </w:pPr>
      <w:r>
        <w:tab/>
      </w:r>
      <w:r>
        <w:rPr>
          <w:rStyle w:val="CharDefText"/>
        </w:rPr>
        <w:t>panel of pre</w:t>
      </w:r>
      <w:r>
        <w:rPr>
          <w:rStyle w:val="CharDefText"/>
        </w:rPr>
        <w:noBreakHyphen/>
        <w:t>qualified suppliers</w:t>
      </w:r>
      <w:r>
        <w:t xml:space="preserve"> means a panel of pre</w:t>
      </w:r>
      <w:r>
        <w:noBreakHyphen/>
        <w:t>qualified suppliers of goods or services established in accordance with this Division;</w:t>
      </w:r>
    </w:p>
    <w:p>
      <w:pPr>
        <w:pStyle w:val="Defstart"/>
      </w:pPr>
      <w:r>
        <w:tab/>
      </w:r>
      <w:r>
        <w:rPr>
          <w:rStyle w:val="CharDefText"/>
        </w:rPr>
        <w:t>pre</w:t>
      </w:r>
      <w:r>
        <w:rPr>
          <w:rStyle w:val="CharDefText"/>
        </w:rPr>
        <w:noBreakHyphen/>
        <w:t>qualified supplier</w:t>
      </w:r>
      <w:r>
        <w:t>, of particular goods or services, means a person who is part of a panel of pre</w:t>
      </w:r>
      <w:r>
        <w:noBreakHyphen/>
        <w:t>qualified suppliers for the supply of those goods or services.</w:t>
      </w:r>
    </w:p>
    <w:p>
      <w:pPr>
        <w:pStyle w:val="Footnotesection"/>
      </w:pPr>
      <w:r>
        <w:tab/>
        <w:t xml:space="preserve">[Regulation 24AA inserted in Gazette 18 Sep 2015 p. 3808.] </w:t>
      </w:r>
    </w:p>
    <w:p>
      <w:pPr>
        <w:pStyle w:val="Heading5"/>
      </w:pPr>
      <w:bookmarkStart w:id="48" w:name="_Toc470792488"/>
      <w:r>
        <w:rPr>
          <w:rStyle w:val="CharSectno"/>
        </w:rPr>
        <w:t>24AB</w:t>
      </w:r>
      <w:r>
        <w:t>.</w:t>
      </w:r>
      <w:r>
        <w:tab/>
        <w:t>Local government may establish panels of pre</w:t>
      </w:r>
      <w:r>
        <w:noBreakHyphen/>
        <w:t>qualified suppliers</w:t>
      </w:r>
      <w:bookmarkEnd w:id="48"/>
    </w:p>
    <w:p>
      <w:pPr>
        <w:pStyle w:val="Subsection"/>
        <w:keepNext/>
      </w:pPr>
      <w:r>
        <w:tab/>
      </w:r>
      <w:r>
        <w:tab/>
        <w:t>A local government may establish a panel of pre</w:t>
      </w:r>
      <w:r>
        <w:noBreakHyphen/>
        <w:t>qualified suppliers to supply particular goods or services to the local government in accordance with this Division.</w:t>
      </w:r>
    </w:p>
    <w:p>
      <w:pPr>
        <w:pStyle w:val="Footnotesection"/>
      </w:pPr>
      <w:r>
        <w:tab/>
        <w:t xml:space="preserve">[Regulation 24AB inserted in Gazette 18 Sep 2015 p. 3808.] </w:t>
      </w:r>
    </w:p>
    <w:p>
      <w:pPr>
        <w:pStyle w:val="Heading5"/>
      </w:pPr>
      <w:bookmarkStart w:id="49" w:name="_Toc470792489"/>
      <w:r>
        <w:rPr>
          <w:rStyle w:val="CharSectno"/>
        </w:rPr>
        <w:t>24AC</w:t>
      </w:r>
      <w:r>
        <w:t>.</w:t>
      </w:r>
      <w:r>
        <w:tab/>
        <w:t>Requirements before establishing panels of pre</w:t>
      </w:r>
      <w:r>
        <w:noBreakHyphen/>
        <w:t>qualified suppliers</w:t>
      </w:r>
      <w:bookmarkEnd w:id="49"/>
    </w:p>
    <w:p>
      <w:pPr>
        <w:pStyle w:val="Subsection"/>
      </w:pPr>
      <w:r>
        <w:tab/>
        <w:t>(1)</w:t>
      </w:r>
      <w:r>
        <w:tab/>
        <w:t>A local government must not establish a panel of pre</w:t>
      </w:r>
      <w:r>
        <w:noBreakHyphen/>
        <w:t xml:space="preserve">qualified suppliers unless — </w:t>
      </w:r>
    </w:p>
    <w:p>
      <w:pPr>
        <w:pStyle w:val="Indenta"/>
      </w:pPr>
      <w:r>
        <w:tab/>
        <w:t>(a)</w:t>
      </w:r>
      <w:r>
        <w:tab/>
        <w:t>it has a written policy that makes provision in respect of the matters set out in subregulation (2); and</w:t>
      </w:r>
    </w:p>
    <w:p>
      <w:pPr>
        <w:pStyle w:val="Indenta"/>
      </w:pPr>
      <w:r>
        <w:tab/>
        <w:t>(b)</w:t>
      </w:r>
      <w:r>
        <w:tab/>
        <w:t>the local government is satisfied that there is, or will be, a continuing need for the particular goods or services to be supplied by pre</w:t>
      </w:r>
      <w:r>
        <w:noBreakHyphen/>
        <w:t>qualified suppliers.</w:t>
      </w:r>
    </w:p>
    <w:p>
      <w:pPr>
        <w:pStyle w:val="Subsection"/>
      </w:pPr>
      <w:r>
        <w:tab/>
        <w:t>(2)</w:t>
      </w:r>
      <w:r>
        <w:tab/>
        <w:t xml:space="preserve">The matters referred to in subregulation (1)(a) are — </w:t>
      </w:r>
    </w:p>
    <w:p>
      <w:pPr>
        <w:pStyle w:val="Indenta"/>
      </w:pPr>
      <w:r>
        <w:tab/>
        <w:t>(a)</w:t>
      </w:r>
      <w:r>
        <w:tab/>
        <w:t>how the local government will procure goods or services from pre</w:t>
      </w:r>
      <w:r>
        <w:noBreakHyphen/>
        <w:t>qualified suppliers, including any process for obtaining quotations from them; and</w:t>
      </w:r>
    </w:p>
    <w:p>
      <w:pPr>
        <w:pStyle w:val="Indenta"/>
      </w:pPr>
      <w:r>
        <w:tab/>
        <w:t>(b)</w:t>
      </w:r>
      <w:r>
        <w:tab/>
        <w:t>how the local government will ensure that each pre</w:t>
      </w:r>
      <w:r>
        <w:noBreakHyphen/>
        <w:t>qualified supplier on a panel of pre</w:t>
      </w:r>
      <w:r>
        <w:noBreakHyphen/>
        <w:t>qualified suppliers will be invited to quote for the supply of the goods or services that the pre</w:t>
      </w:r>
      <w:r>
        <w:noBreakHyphen/>
        <w:t>qualified suppliers will be expected to supply; and</w:t>
      </w:r>
    </w:p>
    <w:p>
      <w:pPr>
        <w:pStyle w:val="Indenta"/>
      </w:pPr>
      <w:r>
        <w:tab/>
        <w:t>(c)</w:t>
      </w:r>
      <w:r>
        <w:tab/>
        <w:t>how the local government will ensure clear, consistent and regular communication between the local government and pre</w:t>
      </w:r>
      <w:r>
        <w:noBreakHyphen/>
        <w:t>qualified suppliers; and</w:t>
      </w:r>
    </w:p>
    <w:p>
      <w:pPr>
        <w:pStyle w:val="Indenta"/>
      </w:pPr>
      <w:r>
        <w:tab/>
        <w:t>(d)</w:t>
      </w:r>
      <w:r>
        <w:tab/>
        <w:t>any factors that the local government will take into account when distributing work among pre</w:t>
      </w:r>
      <w:r>
        <w:noBreakHyphen/>
        <w:t>qualified suppliers; and</w:t>
      </w:r>
    </w:p>
    <w:p>
      <w:pPr>
        <w:pStyle w:val="Indenta"/>
        <w:keepNext/>
      </w:pPr>
      <w:r>
        <w:tab/>
        <w:t>(e)</w:t>
      </w:r>
      <w:r>
        <w:tab/>
        <w:t>the recording and retention of written information, or documents, in respect of —</w:t>
      </w:r>
    </w:p>
    <w:p>
      <w:pPr>
        <w:pStyle w:val="Indenti"/>
      </w:pPr>
      <w:r>
        <w:tab/>
        <w:t>(i)</w:t>
      </w:r>
      <w:r>
        <w:tab/>
        <w:t>all quotations received from pre</w:t>
      </w:r>
      <w:r>
        <w:noBreakHyphen/>
        <w:t>qualified suppliers; and</w:t>
      </w:r>
    </w:p>
    <w:p>
      <w:pPr>
        <w:pStyle w:val="Indenti"/>
      </w:pPr>
      <w:r>
        <w:tab/>
        <w:t>(ii)</w:t>
      </w:r>
      <w:r>
        <w:tab/>
        <w:t>all purchases made from pre</w:t>
      </w:r>
      <w:r>
        <w:noBreakHyphen/>
        <w:t>qualified suppliers.</w:t>
      </w:r>
    </w:p>
    <w:p>
      <w:pPr>
        <w:pStyle w:val="Footnotesection"/>
      </w:pPr>
      <w:r>
        <w:tab/>
        <w:t>[Regulation 24AC inserted in Gazette 18 Sep 2015 p. 3808</w:t>
      </w:r>
      <w:r>
        <w:noBreakHyphen/>
        <w:t xml:space="preserve">9.] </w:t>
      </w:r>
    </w:p>
    <w:p>
      <w:pPr>
        <w:pStyle w:val="Heading5"/>
      </w:pPr>
      <w:bookmarkStart w:id="50" w:name="_Toc470792490"/>
      <w:r>
        <w:rPr>
          <w:rStyle w:val="CharSectno"/>
        </w:rPr>
        <w:t>24AD</w:t>
      </w:r>
      <w:r>
        <w:t>.</w:t>
      </w:r>
      <w:r>
        <w:tab/>
        <w:t>Requirements when inviting persons to apply to join panel of pre</w:t>
      </w:r>
      <w:r>
        <w:noBreakHyphen/>
        <w:t>qualified suppliers</w:t>
      </w:r>
      <w:bookmarkEnd w:id="50"/>
    </w:p>
    <w:p>
      <w:pPr>
        <w:pStyle w:val="Subsection"/>
      </w:pPr>
      <w:r>
        <w:tab/>
        <w:t>(1)</w:t>
      </w:r>
      <w:r>
        <w:tab/>
        <w:t>If a local government decides to establish a panel of pre</w:t>
      </w:r>
      <w:r>
        <w:noBreakHyphen/>
        <w:t>qualified suppliers of particular goods or services, persons are to be publicly invited to apply to join the panel.</w:t>
      </w:r>
    </w:p>
    <w:p>
      <w:pPr>
        <w:pStyle w:val="Subsection"/>
      </w:pPr>
      <w:r>
        <w:tab/>
        <w:t>(2)</w:t>
      </w:r>
      <w:r>
        <w:tab/>
        <w:t>Statewide public notice of the invitation to apply to join a panel of pre</w:t>
      </w:r>
      <w:r>
        <w:noBreakHyphen/>
        <w:t>qualified suppliers is to be given.</w:t>
      </w:r>
    </w:p>
    <w:p>
      <w:pPr>
        <w:pStyle w:val="Subsection"/>
      </w:pPr>
      <w:r>
        <w:tab/>
        <w:t>(3)</w:t>
      </w:r>
      <w:r>
        <w:tab/>
        <w:t>The local government must, before applications to join a panel of pre</w:t>
      </w:r>
      <w:r>
        <w:noBreakHyphen/>
        <w:t>qualified suppliers for particular goods or services are publicly invited, determine in writing the criteria for deciding which applications should be accepted.</w:t>
      </w:r>
    </w:p>
    <w:p>
      <w:pPr>
        <w:pStyle w:val="Subsection"/>
      </w:pPr>
      <w:r>
        <w:tab/>
        <w:t>(4)</w:t>
      </w:r>
      <w:r>
        <w:tab/>
        <w:t xml:space="preserve">A notice under subregulation (2) is to include — </w:t>
      </w:r>
    </w:p>
    <w:p>
      <w:pPr>
        <w:pStyle w:val="Indenta"/>
      </w:pPr>
      <w:r>
        <w:tab/>
        <w:t>(a)</w:t>
      </w:r>
      <w:r>
        <w:tab/>
        <w:t>a brief description of the goods or services that persons on the panel of pre</w:t>
      </w:r>
      <w:r>
        <w:noBreakHyphen/>
        <w:t>qualified suppliers will be expected to supply; and</w:t>
      </w:r>
    </w:p>
    <w:p>
      <w:pPr>
        <w:pStyle w:val="Indenta"/>
      </w:pPr>
      <w:r>
        <w:tab/>
        <w:t>(b)</w:t>
      </w:r>
      <w:r>
        <w:tab/>
        <w:t>particulars identifying a person from whom more detailed information about the proposed panel of pre</w:t>
      </w:r>
      <w:r>
        <w:noBreakHyphen/>
        <w:t>qualified suppliers of particular goods or services may be obtained; and</w:t>
      </w:r>
    </w:p>
    <w:p>
      <w:pPr>
        <w:pStyle w:val="Indenta"/>
      </w:pPr>
      <w:r>
        <w:tab/>
        <w:t>(c)</w:t>
      </w:r>
      <w:r>
        <w:tab/>
        <w:t>information as to where and how applications to join the panel of pre</w:t>
      </w:r>
      <w:r>
        <w:noBreakHyphen/>
        <w:t>qualified suppliers may be submitted; and</w:t>
      </w:r>
    </w:p>
    <w:p>
      <w:pPr>
        <w:pStyle w:val="Indenta"/>
      </w:pPr>
      <w:r>
        <w:tab/>
        <w:t>(d)</w:t>
      </w:r>
      <w:r>
        <w:tab/>
        <w:t>the date and time after which applications to join the panel of pre</w:t>
      </w:r>
      <w:r>
        <w:noBreakHyphen/>
        <w:t>qualified suppliers cannot be submitted.</w:t>
      </w:r>
    </w:p>
    <w:p>
      <w:pPr>
        <w:pStyle w:val="Subsection"/>
      </w:pPr>
      <w:r>
        <w:tab/>
        <w:t>(5)</w:t>
      </w:r>
      <w:r>
        <w:tab/>
        <w:t>In subregulation (4)(b) a reference to detailed information about a proposed panel of pre</w:t>
      </w:r>
      <w:r>
        <w:noBreakHyphen/>
        <w:t xml:space="preserve">qualified suppliers of particular goods or services includes a reference to — </w:t>
      </w:r>
    </w:p>
    <w:p>
      <w:pPr>
        <w:pStyle w:val="Indenta"/>
      </w:pPr>
      <w:r>
        <w:tab/>
        <w:t>(a)</w:t>
      </w:r>
      <w:r>
        <w:tab/>
        <w:t>the local government’s written policy referred to in regulation 24AC(1)(a); and</w:t>
      </w:r>
    </w:p>
    <w:p>
      <w:pPr>
        <w:pStyle w:val="Indenta"/>
      </w:pPr>
      <w:r>
        <w:tab/>
        <w:t>(b)</w:t>
      </w:r>
      <w:r>
        <w:tab/>
        <w:t>such information as the local government decides should be disclosed to those interested in applying to join the panel; and</w:t>
      </w:r>
    </w:p>
    <w:p>
      <w:pPr>
        <w:pStyle w:val="Indenta"/>
      </w:pPr>
      <w:r>
        <w:tab/>
        <w:t>(c)</w:t>
      </w:r>
      <w:r>
        <w:tab/>
        <w:t>detailed specifications of the goods or services that pre</w:t>
      </w:r>
      <w:r>
        <w:noBreakHyphen/>
        <w:t>qualified suppliers on the panel will be expected to supply; and</w:t>
      </w:r>
    </w:p>
    <w:p>
      <w:pPr>
        <w:pStyle w:val="Indenta"/>
      </w:pPr>
      <w:r>
        <w:tab/>
        <w:t>(d)</w:t>
      </w:r>
      <w:r>
        <w:tab/>
        <w:t>the criteria for deciding which applications to join the panel should be accepted; and</w:t>
      </w:r>
    </w:p>
    <w:p>
      <w:pPr>
        <w:pStyle w:val="Indenta"/>
      </w:pPr>
      <w:r>
        <w:tab/>
        <w:t>(e)</w:t>
      </w:r>
      <w:r>
        <w:tab/>
        <w:t>an explanation of how the panel will operate; and</w:t>
      </w:r>
    </w:p>
    <w:p>
      <w:pPr>
        <w:pStyle w:val="Indenta"/>
      </w:pPr>
      <w:r>
        <w:tab/>
        <w:t>(f)</w:t>
      </w:r>
      <w:r>
        <w:tab/>
        <w:t>whether or not the local government intends to purchase the goods or services exclusively from pre</w:t>
      </w:r>
      <w:r>
        <w:noBreakHyphen/>
        <w:t>qualified suppliers on the panel; and</w:t>
      </w:r>
    </w:p>
    <w:p>
      <w:pPr>
        <w:pStyle w:val="Indenta"/>
      </w:pPr>
      <w:r>
        <w:tab/>
        <w:t>(g)</w:t>
      </w:r>
      <w:r>
        <w:tab/>
        <w:t>a statement to the effect that there is no guarantee that the local government will purchase goods or services from pre</w:t>
      </w:r>
      <w:r>
        <w:noBreakHyphen/>
        <w:t>qualified suppliers on the panel; and</w:t>
      </w:r>
    </w:p>
    <w:p>
      <w:pPr>
        <w:pStyle w:val="Indenta"/>
      </w:pPr>
      <w:r>
        <w:tab/>
        <w:t>(h)</w:t>
      </w:r>
      <w:r>
        <w:tab/>
        <w:t>the period for which the panel will be established; and</w:t>
      </w:r>
    </w:p>
    <w:p>
      <w:pPr>
        <w:pStyle w:val="Indenta"/>
      </w:pPr>
      <w:r>
        <w:tab/>
        <w:t>(i)</w:t>
      </w:r>
      <w:r>
        <w:tab/>
        <w:t>the number of pre</w:t>
      </w:r>
      <w:r>
        <w:noBreakHyphen/>
        <w:t>qualified suppliers the local government intends to put on the panel.</w:t>
      </w:r>
    </w:p>
    <w:p>
      <w:pPr>
        <w:pStyle w:val="Subsection"/>
      </w:pPr>
      <w:r>
        <w:tab/>
        <w:t>(6)</w:t>
      </w:r>
      <w:r>
        <w:tab/>
        <w:t>After a notice has been given under subregulation (2), a local government may vary the information referred to in subregulations (4) and (5) by taking reasonable steps to give each person who has sought detailed information about the proposed panel or each person who has submitted an application, as the case may be, notice of the variation.</w:t>
      </w:r>
    </w:p>
    <w:p>
      <w:pPr>
        <w:pStyle w:val="Footnotesection"/>
      </w:pPr>
      <w:r>
        <w:tab/>
        <w:t>[Regulation 24AD inserted in Gazette 18 Sep 2015 p. 3809</w:t>
      </w:r>
      <w:r>
        <w:noBreakHyphen/>
        <w:t xml:space="preserve">10.] </w:t>
      </w:r>
    </w:p>
    <w:p>
      <w:pPr>
        <w:pStyle w:val="Heading5"/>
      </w:pPr>
      <w:bookmarkStart w:id="51" w:name="_Toc470792491"/>
      <w:r>
        <w:rPr>
          <w:rStyle w:val="CharSectno"/>
        </w:rPr>
        <w:t>24AE</w:t>
      </w:r>
      <w:r>
        <w:t>.</w:t>
      </w:r>
      <w:r>
        <w:tab/>
        <w:t>Minimum time to be allowed for submitting application to join panel of pre</w:t>
      </w:r>
      <w:r>
        <w:noBreakHyphen/>
        <w:t>qualified suppliers</w:t>
      </w:r>
      <w:bookmarkEnd w:id="51"/>
    </w:p>
    <w:p>
      <w:pPr>
        <w:pStyle w:val="Subsection"/>
      </w:pPr>
      <w:r>
        <w:tab/>
      </w:r>
      <w:r>
        <w:tab/>
        <w:t>If notice under regulation 24AD(2) is given, the date and time referred to in regulation 24AD(4)(d) has to be at least 14 days after the notice is first published in the newspaper circulating generally throughout the State.</w:t>
      </w:r>
    </w:p>
    <w:p>
      <w:pPr>
        <w:pStyle w:val="Footnotesection"/>
      </w:pPr>
      <w:r>
        <w:tab/>
        <w:t xml:space="preserve">[Regulation 24AE inserted in Gazette 18 Sep 2015 p. 3810.] </w:t>
      </w:r>
    </w:p>
    <w:p>
      <w:pPr>
        <w:pStyle w:val="Heading5"/>
      </w:pPr>
      <w:bookmarkStart w:id="52" w:name="_Toc470792492"/>
      <w:r>
        <w:rPr>
          <w:rStyle w:val="CharSectno"/>
        </w:rPr>
        <w:t>24AF</w:t>
      </w:r>
      <w:r>
        <w:t>.</w:t>
      </w:r>
      <w:r>
        <w:tab/>
        <w:t>Procedure for receiving and opening applications</w:t>
      </w:r>
      <w:bookmarkEnd w:id="52"/>
    </w:p>
    <w:p>
      <w:pPr>
        <w:pStyle w:val="Subsection"/>
      </w:pPr>
      <w:r>
        <w:tab/>
      </w:r>
      <w:r>
        <w:tab/>
        <w:t>Regulation 16 applies to the receiving and opening of applications to join a panel of pre</w:t>
      </w:r>
      <w:r>
        <w:noBreakHyphen/>
        <w:t>qualified suppliers as if a reference in that regulation to a tender were a reference to an application to join a panel of pre</w:t>
      </w:r>
      <w:r>
        <w:noBreakHyphen/>
        <w:t>qualified suppliers.</w:t>
      </w:r>
    </w:p>
    <w:p>
      <w:pPr>
        <w:pStyle w:val="Footnotesection"/>
      </w:pPr>
      <w:r>
        <w:tab/>
        <w:t>[Regulation 24AF inserted in Gazette 18 Sep 2015 p. 3810.]</w:t>
      </w:r>
    </w:p>
    <w:p>
      <w:pPr>
        <w:pStyle w:val="Heading5"/>
      </w:pPr>
      <w:bookmarkStart w:id="53" w:name="_Toc470792493"/>
      <w:r>
        <w:rPr>
          <w:rStyle w:val="CharSectno"/>
        </w:rPr>
        <w:t>24AG</w:t>
      </w:r>
      <w:r>
        <w:t>.</w:t>
      </w:r>
      <w:r>
        <w:tab/>
        <w:t>Information about panels of pre</w:t>
      </w:r>
      <w:r>
        <w:noBreakHyphen/>
        <w:t>qualified suppliers to be included in tenders register</w:t>
      </w:r>
      <w:bookmarkEnd w:id="53"/>
    </w:p>
    <w:p>
      <w:pPr>
        <w:pStyle w:val="Subsection"/>
      </w:pPr>
      <w:r>
        <w:tab/>
        <w:t>(1)</w:t>
      </w:r>
      <w:r>
        <w:tab/>
        <w:t>The tenders register kept under these regulations must include, for each invitation to apply to join a panel of pre</w:t>
      </w:r>
      <w:r>
        <w:noBreakHyphen/>
        <w:t xml:space="preserve">qualified suppliers — </w:t>
      </w:r>
    </w:p>
    <w:p>
      <w:pPr>
        <w:pStyle w:val="Indenta"/>
      </w:pPr>
      <w:r>
        <w:tab/>
        <w:t>(a)</w:t>
      </w:r>
      <w:r>
        <w:tab/>
        <w:t>a brief description of the goods or services persons on the panel will be expected to supply; and</w:t>
      </w:r>
    </w:p>
    <w:p>
      <w:pPr>
        <w:pStyle w:val="Indenta"/>
      </w:pPr>
      <w:r>
        <w:tab/>
        <w:t>(b)</w:t>
      </w:r>
      <w:r>
        <w:tab/>
        <w:t>a copy of the notice of the invitation to apply to join the panel; and</w:t>
      </w:r>
    </w:p>
    <w:p>
      <w:pPr>
        <w:pStyle w:val="Indenta"/>
      </w:pPr>
      <w:r>
        <w:tab/>
        <w:t>(c)</w:t>
      </w:r>
      <w:r>
        <w:tab/>
        <w:t>the name of each applicant whose application has been opened; and</w:t>
      </w:r>
    </w:p>
    <w:p>
      <w:pPr>
        <w:pStyle w:val="Indenta"/>
      </w:pPr>
      <w:r>
        <w:tab/>
        <w:t>(d)</w:t>
      </w:r>
      <w:r>
        <w:tab/>
        <w:t>the name of any successful applicant.</w:t>
      </w:r>
    </w:p>
    <w:p>
      <w:pPr>
        <w:pStyle w:val="Subsection"/>
      </w:pPr>
      <w:r>
        <w:tab/>
        <w:t>(2)</w:t>
      </w:r>
      <w:r>
        <w:tab/>
        <w:t>The tenders register is to include for each invitation to apply to join a panel of pre</w:t>
      </w:r>
      <w:r>
        <w:noBreakHyphen/>
        <w:t>qualified suppliers the pricing schedule, or a summary of the amount of the consideration sought, in the applications accepted by the local government.</w:t>
      </w:r>
    </w:p>
    <w:p>
      <w:pPr>
        <w:pStyle w:val="Footnotesection"/>
      </w:pPr>
      <w:r>
        <w:tab/>
        <w:t xml:space="preserve">[Regulation 24AG inserted in Gazette 18 Sep 2015 p. 3811.] </w:t>
      </w:r>
    </w:p>
    <w:p>
      <w:pPr>
        <w:pStyle w:val="Heading5"/>
      </w:pPr>
      <w:bookmarkStart w:id="54" w:name="_Toc470792494"/>
      <w:r>
        <w:rPr>
          <w:rStyle w:val="CharSectno"/>
        </w:rPr>
        <w:t>24AH</w:t>
      </w:r>
      <w:r>
        <w:t>.</w:t>
      </w:r>
      <w:r>
        <w:tab/>
        <w:t>Rejecting and accepting applications to join panel of pre</w:t>
      </w:r>
      <w:r>
        <w:noBreakHyphen/>
        <w:t>qualified suppliers</w:t>
      </w:r>
      <w:bookmarkEnd w:id="54"/>
    </w:p>
    <w:p>
      <w:pPr>
        <w:pStyle w:val="Subsection"/>
      </w:pPr>
      <w:r>
        <w:tab/>
        <w:t>(1)</w:t>
      </w:r>
      <w:r>
        <w:tab/>
        <w:t>An application to join a panel of pre</w:t>
      </w:r>
      <w:r>
        <w:noBreakHyphen/>
        <w:t xml:space="preserve">qualified suppliers (an </w:t>
      </w:r>
      <w:r>
        <w:rPr>
          <w:rStyle w:val="CharDefText"/>
        </w:rPr>
        <w:t>application</w:t>
      </w:r>
      <w:r>
        <w:t>) is required to be rejected unless it is submitted at a place, and within the time, specified in the invitation for applications to join the panel.</w:t>
      </w:r>
    </w:p>
    <w:p>
      <w:pPr>
        <w:pStyle w:val="Subsection"/>
      </w:pPr>
      <w:r>
        <w:tab/>
        <w:t>(2)</w:t>
      </w:r>
      <w:r>
        <w:tab/>
        <w:t>An application that is submitted at a place, and within the time, specified in the invitation but that fails to comply with any other requirement specified in the invitation may be rejected without considering the merits of the application.</w:t>
      </w:r>
    </w:p>
    <w:p>
      <w:pPr>
        <w:pStyle w:val="Subsection"/>
      </w:pPr>
      <w:r>
        <w:tab/>
        <w:t>(3)</w:t>
      </w:r>
      <w:r>
        <w:tab/>
        <w:t>Applications that have not been rejected under subregulation (1) or (2) are to be assessed by the local government by means of a written evaluation of the extent to which each application satisfies the criteria for deciding which applications to accept and it is to decide which of them (if any) it thinks it would be most advantageous to the local government to accept.</w:t>
      </w:r>
    </w:p>
    <w:p>
      <w:pPr>
        <w:pStyle w:val="Subsection"/>
      </w:pPr>
      <w:r>
        <w:tab/>
        <w:t>(4)</w:t>
      </w:r>
      <w:r>
        <w:tab/>
        <w:t>To assist the local government in deciding whether an application would be advantageous to it to accept, the person who submitted the application may be requested to clarify the information provided in it.</w:t>
      </w:r>
    </w:p>
    <w:p>
      <w:pPr>
        <w:pStyle w:val="Subsection"/>
      </w:pPr>
      <w:r>
        <w:tab/>
        <w:t>(5)</w:t>
      </w:r>
      <w:r>
        <w:tab/>
        <w:t>The local government may decline to accept any application.</w:t>
      </w:r>
    </w:p>
    <w:p>
      <w:pPr>
        <w:pStyle w:val="Footnotesection"/>
      </w:pPr>
      <w:r>
        <w:tab/>
        <w:t xml:space="preserve">[Regulation 24AH inserted in Gazette 18 Sep 2015 p. 3811.] </w:t>
      </w:r>
    </w:p>
    <w:p>
      <w:pPr>
        <w:pStyle w:val="Heading5"/>
      </w:pPr>
      <w:bookmarkStart w:id="55" w:name="_Toc470792495"/>
      <w:r>
        <w:rPr>
          <w:rStyle w:val="CharSectno"/>
        </w:rPr>
        <w:t>24AI</w:t>
      </w:r>
      <w:r>
        <w:t>.</w:t>
      </w:r>
      <w:r>
        <w:tab/>
        <w:t>Applicants to be notified of outcome</w:t>
      </w:r>
      <w:bookmarkEnd w:id="55"/>
    </w:p>
    <w:p>
      <w:pPr>
        <w:pStyle w:val="Subsection"/>
      </w:pPr>
      <w:r>
        <w:tab/>
      </w:r>
      <w:r>
        <w:tab/>
        <w:t xml:space="preserve">After the local government has decided under regulation 24AH which applications (if any) it will accept, the CEO is to give each person who submitted an application notice in writing advising — </w:t>
      </w:r>
    </w:p>
    <w:p>
      <w:pPr>
        <w:pStyle w:val="Indenta"/>
      </w:pPr>
      <w:r>
        <w:tab/>
        <w:t>(a)</w:t>
      </w:r>
      <w:r>
        <w:tab/>
        <w:t>that the person’s application was accepted and that the person is, for the period specified in the notice, to be part of a panel of pre</w:t>
      </w:r>
      <w:r>
        <w:noBreakHyphen/>
        <w:t>qualified suppliers of the particular goods or services; or</w:t>
      </w:r>
    </w:p>
    <w:p>
      <w:pPr>
        <w:pStyle w:val="Indenta"/>
        <w:keepNext/>
      </w:pPr>
      <w:r>
        <w:tab/>
        <w:t>(b)</w:t>
      </w:r>
      <w:r>
        <w:tab/>
        <w:t>that the person’s application was not accepted.</w:t>
      </w:r>
    </w:p>
    <w:p>
      <w:pPr>
        <w:pStyle w:val="Footnotesection"/>
      </w:pPr>
      <w:r>
        <w:tab/>
        <w:t xml:space="preserve">[Regulation 24AI inserted in Gazette 18 Sep 2015 p. 3812.] </w:t>
      </w:r>
    </w:p>
    <w:p>
      <w:pPr>
        <w:pStyle w:val="Heading5"/>
      </w:pPr>
      <w:bookmarkStart w:id="56" w:name="_Toc470792496"/>
      <w:r>
        <w:rPr>
          <w:rStyle w:val="CharSectno"/>
        </w:rPr>
        <w:t>24AJ</w:t>
      </w:r>
      <w:r>
        <w:t>.</w:t>
      </w:r>
      <w:r>
        <w:tab/>
        <w:t>Contracts with pre</w:t>
      </w:r>
      <w:r>
        <w:noBreakHyphen/>
        <w:t>qualified suppliers</w:t>
      </w:r>
      <w:bookmarkEnd w:id="56"/>
    </w:p>
    <w:p>
      <w:pPr>
        <w:pStyle w:val="Subsection"/>
      </w:pPr>
      <w:r>
        <w:tab/>
        <w:t>(1)</w:t>
      </w:r>
      <w:r>
        <w:tab/>
        <w:t>The local government may enter into a contract, or contracts, for the supply of goods or services with a pre</w:t>
      </w:r>
      <w:r>
        <w:noBreakHyphen/>
        <w:t>qualified supplier who is part of a panel of pre</w:t>
      </w:r>
      <w:r>
        <w:noBreakHyphen/>
        <w:t>qualified suppliers for the supply of those particular goods or services.</w:t>
      </w:r>
    </w:p>
    <w:p>
      <w:pPr>
        <w:pStyle w:val="Subsection"/>
      </w:pPr>
      <w:r>
        <w:tab/>
        <w:t>(2)</w:t>
      </w:r>
      <w:r>
        <w:tab/>
        <w:t xml:space="preserve">A contract referred to in subregulation (1) must not — </w:t>
      </w:r>
    </w:p>
    <w:p>
      <w:pPr>
        <w:pStyle w:val="Indenta"/>
      </w:pPr>
      <w:r>
        <w:tab/>
        <w:t>(a)</w:t>
      </w:r>
      <w:r>
        <w:tab/>
        <w:t>be for a term exceeding 12 months; or</w:t>
      </w:r>
    </w:p>
    <w:p>
      <w:pPr>
        <w:pStyle w:val="Indenta"/>
      </w:pPr>
      <w:r>
        <w:tab/>
        <w:t>(b)</w:t>
      </w:r>
      <w:r>
        <w:tab/>
        <w:t>contain an option to renew or extend its term.</w:t>
      </w:r>
    </w:p>
    <w:p>
      <w:pPr>
        <w:pStyle w:val="Footnotesection"/>
      </w:pPr>
      <w:r>
        <w:tab/>
        <w:t xml:space="preserve">[Regulation 24AJ inserted in Gazette 18 Sep 2015 p. 3812.] </w:t>
      </w:r>
    </w:p>
    <w:p>
      <w:pPr>
        <w:pStyle w:val="Heading2"/>
      </w:pPr>
      <w:bookmarkStart w:id="57" w:name="_Toc430335338"/>
      <w:bookmarkStart w:id="58" w:name="_Toc470792497"/>
      <w:r>
        <w:rPr>
          <w:rStyle w:val="CharPartNo"/>
        </w:rPr>
        <w:t>Part 4A</w:t>
      </w:r>
      <w:r>
        <w:rPr>
          <w:rStyle w:val="CharDivNo"/>
        </w:rPr>
        <w:t xml:space="preserve"> </w:t>
      </w:r>
      <w:r>
        <w:t>—</w:t>
      </w:r>
      <w:r>
        <w:rPr>
          <w:rStyle w:val="CharDivText"/>
        </w:rPr>
        <w:t xml:space="preserve"> </w:t>
      </w:r>
      <w:r>
        <w:rPr>
          <w:rStyle w:val="CharPartText"/>
        </w:rPr>
        <w:t>Regional price preference</w:t>
      </w:r>
      <w:bookmarkEnd w:id="57"/>
      <w:bookmarkEnd w:id="58"/>
    </w:p>
    <w:p>
      <w:pPr>
        <w:pStyle w:val="Footnoteheading"/>
      </w:pPr>
      <w:r>
        <w:tab/>
        <w:t>[Heading inserted in Gazette 25 Feb 2000 p. 971.]</w:t>
      </w:r>
    </w:p>
    <w:p>
      <w:pPr>
        <w:pStyle w:val="Heading5"/>
        <w:spacing w:before="180"/>
      </w:pPr>
      <w:bookmarkStart w:id="59" w:name="_Toc470792498"/>
      <w:r>
        <w:rPr>
          <w:rStyle w:val="CharSectno"/>
        </w:rPr>
        <w:t>24A</w:t>
      </w:r>
      <w:r>
        <w:t>.</w:t>
      </w:r>
      <w:r>
        <w:tab/>
        <w:t>Application of this Part</w:t>
      </w:r>
      <w:bookmarkEnd w:id="59"/>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in Gazette 25 Feb 2000 p. 971.]</w:t>
      </w:r>
    </w:p>
    <w:p>
      <w:pPr>
        <w:pStyle w:val="Heading5"/>
        <w:spacing w:before="180"/>
      </w:pPr>
      <w:bookmarkStart w:id="60" w:name="_Toc470792499"/>
      <w:r>
        <w:rPr>
          <w:rStyle w:val="CharSectno"/>
        </w:rPr>
        <w:t>24B</w:t>
      </w:r>
      <w:r>
        <w:t>.</w:t>
      </w:r>
      <w:r>
        <w:tab/>
        <w:t>Terms used</w:t>
      </w:r>
      <w:bookmarkEnd w:id="60"/>
    </w:p>
    <w:p>
      <w:pPr>
        <w:pStyle w:val="Subsection"/>
        <w:spacing w:before="120"/>
      </w:pPr>
      <w:r>
        <w:tab/>
        <w:t>(1)</w:t>
      </w:r>
      <w:r>
        <w:tab/>
        <w:t>In this Part —</w:t>
      </w:r>
    </w:p>
    <w:p>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pPr>
        <w:pStyle w:val="Defstart"/>
      </w:pPr>
      <w:r>
        <w:rPr>
          <w:b/>
        </w:rPr>
        <w:tab/>
      </w:r>
      <w:r>
        <w:rPr>
          <w:rStyle w:val="CharDefText"/>
        </w:rPr>
        <w:t>regional tenderer</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spacing w:before="60"/>
      </w:pPr>
      <w:r>
        <w:tab/>
        <w:t>(a)</w:t>
      </w:r>
      <w:r>
        <w:tab/>
        <w:t>that supplier has been operating a business continuously out of premises in the appropriate region for at least 6 months before the time after which further tenders cannot be submitted; or</w:t>
      </w:r>
    </w:p>
    <w:p>
      <w:pPr>
        <w:pStyle w:val="Indenta"/>
        <w:spacing w:before="60"/>
      </w:pPr>
      <w:r>
        <w:tab/>
        <w:t>(b)</w:t>
      </w:r>
      <w:r>
        <w:tab/>
        <w:t>some or all of the goods or services are to be supplied from regional sources.</w:t>
      </w:r>
    </w:p>
    <w:p>
      <w:pPr>
        <w:pStyle w:val="Footnotesection"/>
        <w:spacing w:before="100"/>
        <w:ind w:left="890" w:hanging="890"/>
      </w:pPr>
      <w:r>
        <w:tab/>
        <w:t>[Regulation 24B inserted in Gazette 25 Feb 2000 p. 971.]</w:t>
      </w:r>
    </w:p>
    <w:p>
      <w:pPr>
        <w:pStyle w:val="Heading5"/>
        <w:spacing w:before="180"/>
      </w:pPr>
      <w:bookmarkStart w:id="61" w:name="_Toc470792500"/>
      <w:r>
        <w:rPr>
          <w:rStyle w:val="CharSectno"/>
        </w:rPr>
        <w:t>24C</w:t>
      </w:r>
      <w:r>
        <w:t>.</w:t>
      </w:r>
      <w:r>
        <w:tab/>
        <w:t>Regional price preference may be given</w:t>
      </w:r>
      <w:bookmarkEnd w:id="61"/>
    </w:p>
    <w:p>
      <w:pPr>
        <w:pStyle w:val="Subsection"/>
        <w:spacing w:before="120"/>
      </w:pPr>
      <w:r>
        <w:tab/>
      </w:r>
      <w:r>
        <w:tab/>
        <w:t>A local government located outside the metropolitan area may give a regional price preference to a regional tenderer in accordance with this Part.</w:t>
      </w:r>
    </w:p>
    <w:p>
      <w:pPr>
        <w:pStyle w:val="Footnotesection"/>
      </w:pPr>
      <w:r>
        <w:tab/>
        <w:t>[Regulation 24C inserted in Gazette 25 Feb 2000 p. 971.]</w:t>
      </w:r>
    </w:p>
    <w:p>
      <w:pPr>
        <w:pStyle w:val="Heading5"/>
      </w:pPr>
      <w:bookmarkStart w:id="62" w:name="_Toc470792501"/>
      <w:r>
        <w:rPr>
          <w:rStyle w:val="CharSectno"/>
        </w:rPr>
        <w:t>24D</w:t>
      </w:r>
      <w:r>
        <w:t>.</w:t>
      </w:r>
      <w:r>
        <w:tab/>
        <w:t>Discounts permitted for regional price preferences</w:t>
      </w:r>
      <w:bookmarkEnd w:id="62"/>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 or</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wholly supplied from regional sources; or</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in Gazette 25 Feb 2000 p. 972.]</w:t>
      </w:r>
    </w:p>
    <w:p>
      <w:pPr>
        <w:pStyle w:val="Heading5"/>
      </w:pPr>
      <w:bookmarkStart w:id="63" w:name="_Toc470792502"/>
      <w:r>
        <w:rPr>
          <w:rStyle w:val="CharSectno"/>
        </w:rPr>
        <w:t>24E</w:t>
      </w:r>
      <w:r>
        <w:t>.</w:t>
      </w:r>
      <w:r>
        <w:tab/>
        <w:t>Regional price preference policies for local governments</w:t>
      </w:r>
      <w:bookmarkEnd w:id="63"/>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 and</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 and</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w:t>
      </w:r>
    </w:p>
    <w:p>
      <w:pPr>
        <w:pStyle w:val="Indenta"/>
      </w:pPr>
      <w:r>
        <w:tab/>
        <w:t>(b)</w:t>
      </w:r>
      <w:r>
        <w:tab/>
      </w:r>
      <w:r>
        <w:rPr>
          <w:u w:val="single"/>
        </w:rPr>
        <w:t>for different goods or services</w:t>
      </w:r>
      <w:r>
        <w:t xml:space="preserve"> within a single contract or various contracts;</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in Gazette 25 Feb 2000 p. 972</w:t>
      </w:r>
      <w:r>
        <w:noBreakHyphen/>
        <w:t>3; amended in Gazette 31 Mar 2005 p. 1055.]</w:t>
      </w:r>
    </w:p>
    <w:p>
      <w:pPr>
        <w:pStyle w:val="Heading5"/>
        <w:spacing w:before="180"/>
      </w:pPr>
      <w:bookmarkStart w:id="64" w:name="_Toc470792503"/>
      <w:r>
        <w:rPr>
          <w:rStyle w:val="CharSectno"/>
        </w:rPr>
        <w:t>24F</w:t>
      </w:r>
      <w:r>
        <w:t>.</w:t>
      </w:r>
      <w:r>
        <w:tab/>
        <w:t>Adoption and notice of regional price preference policy</w:t>
      </w:r>
      <w:bookmarkEnd w:id="64"/>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spacing w:before="60"/>
      </w:pPr>
      <w:r>
        <w:tab/>
        <w:t>(a)</w:t>
      </w:r>
      <w:r>
        <w:tab/>
        <w:t>the region or regions within which each aspect of it is to be applied; and</w:t>
      </w:r>
    </w:p>
    <w:p>
      <w:pPr>
        <w:pStyle w:val="Indenta"/>
        <w:spacing w:before="60"/>
      </w:pPr>
      <w:r>
        <w:tab/>
        <w:t>(b)</w:t>
      </w:r>
      <w:r>
        <w:tab/>
        <w:t>the types and nature of businesses that may be considered for each type of preference; and</w:t>
      </w:r>
    </w:p>
    <w:p>
      <w:pPr>
        <w:pStyle w:val="Indenta"/>
        <w:spacing w:before="60"/>
      </w:pPr>
      <w:r>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different goods or services within a single contract or various contracts;</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rPr>
          <w:i/>
        </w:rPr>
      </w:pPr>
      <w:r>
        <w:tab/>
        <w:t>(b)</w:t>
      </w:r>
      <w:r>
        <w:tab/>
        <w:t xml:space="preserve">made available in accordance with regulation 29 of the </w:t>
      </w:r>
      <w:r>
        <w:rPr>
          <w:i/>
        </w:rPr>
        <w:t>Local Government (Administration) Regulations 1996.</w:t>
      </w:r>
    </w:p>
    <w:p>
      <w:pPr>
        <w:pStyle w:val="Footnotesection"/>
      </w:pPr>
      <w:r>
        <w:tab/>
        <w:t>[Regulation 24F inserted in Gazette 25 Feb 2000 p. 973</w:t>
      </w:r>
      <w:r>
        <w:noBreakHyphen/>
        <w:t>4; amended in Gazette 31 Mar 2005 p. 1055.]</w:t>
      </w:r>
    </w:p>
    <w:p>
      <w:pPr>
        <w:pStyle w:val="Heading5"/>
      </w:pPr>
      <w:bookmarkStart w:id="65" w:name="_Toc470792504"/>
      <w:r>
        <w:rPr>
          <w:rStyle w:val="CharSectno"/>
        </w:rPr>
        <w:t>24G</w:t>
      </w:r>
      <w:r>
        <w:t>.</w:t>
      </w:r>
      <w:r>
        <w:tab/>
        <w:t>Adopted regional price preference policy, effect of</w:t>
      </w:r>
      <w:bookmarkEnd w:id="65"/>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in Gazette 25 Feb 2000 p. 974.]</w:t>
      </w:r>
    </w:p>
    <w:p>
      <w:pPr>
        <w:pStyle w:val="Ednotepart"/>
      </w:pPr>
      <w:r>
        <w:t>[Part 4B (r. 24H-24I) deleted in Gazette 27 Sep 2011 p. 3846.]</w:t>
      </w:r>
    </w:p>
    <w:p>
      <w:pPr>
        <w:pStyle w:val="Heading2"/>
      </w:pPr>
      <w:bookmarkStart w:id="66" w:name="_Toc430335346"/>
      <w:bookmarkStart w:id="67" w:name="_Toc470792505"/>
      <w:r>
        <w:rPr>
          <w:rStyle w:val="CharPartNo"/>
        </w:rPr>
        <w:t>Part 5</w:t>
      </w:r>
      <w:r>
        <w:rPr>
          <w:rStyle w:val="CharDivNo"/>
        </w:rPr>
        <w:t> </w:t>
      </w:r>
      <w:r>
        <w:t>—</w:t>
      </w:r>
      <w:r>
        <w:rPr>
          <w:rStyle w:val="CharDivText"/>
        </w:rPr>
        <w:t> </w:t>
      </w:r>
      <w:r>
        <w:rPr>
          <w:rStyle w:val="CharPartText"/>
        </w:rPr>
        <w:t>Owner onus and infringement notices</w:t>
      </w:r>
      <w:bookmarkEnd w:id="66"/>
      <w:bookmarkEnd w:id="67"/>
    </w:p>
    <w:p>
      <w:pPr>
        <w:pStyle w:val="Heading5"/>
        <w:ind w:right="376"/>
        <w:rPr>
          <w:snapToGrid w:val="0"/>
        </w:rPr>
      </w:pPr>
      <w:bookmarkStart w:id="68" w:name="_Toc470792506"/>
      <w:r>
        <w:rPr>
          <w:rStyle w:val="CharSectno"/>
        </w:rPr>
        <w:t>25</w:t>
      </w:r>
      <w:r>
        <w:rPr>
          <w:snapToGrid w:val="0"/>
        </w:rPr>
        <w:t>.</w:t>
      </w:r>
      <w:r>
        <w:rPr>
          <w:snapToGrid w:val="0"/>
        </w:rPr>
        <w:tab/>
        <w:t>Notice to put onus on vehicle owner, form of (Act s. 9.13)</w:t>
      </w:r>
      <w:bookmarkEnd w:id="68"/>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69" w:name="_Toc470792507"/>
      <w:r>
        <w:rPr>
          <w:rStyle w:val="CharSectno"/>
        </w:rPr>
        <w:t>26</w:t>
      </w:r>
      <w:r>
        <w:rPr>
          <w:snapToGrid w:val="0"/>
        </w:rPr>
        <w:t>.</w:t>
      </w:r>
      <w:r>
        <w:rPr>
          <w:snapToGrid w:val="0"/>
        </w:rPr>
        <w:tab/>
        <w:t>Infringement notice, form of (Act s. 9.16)</w:t>
      </w:r>
      <w:bookmarkEnd w:id="69"/>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70" w:name="_Toc470792508"/>
      <w:r>
        <w:rPr>
          <w:rStyle w:val="CharSectno"/>
        </w:rPr>
        <w:t>27</w:t>
      </w:r>
      <w:r>
        <w:rPr>
          <w:snapToGrid w:val="0"/>
        </w:rPr>
        <w:t>.</w:t>
      </w:r>
      <w:r>
        <w:rPr>
          <w:snapToGrid w:val="0"/>
        </w:rPr>
        <w:tab/>
        <w:t>Withdrawal of infringement notice, form of (Act s. 9.20)</w:t>
      </w:r>
      <w:bookmarkEnd w:id="70"/>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r>
        <w:rPr>
          <w:rStyle w:val="CharSectno"/>
        </w:rPr>
        <w:t>[</w:t>
      </w:r>
      <w:r>
        <w:rPr>
          <w:rStyle w:val="CharSectno"/>
          <w:b/>
          <w:bCs/>
        </w:rPr>
        <w:t>28</w:t>
      </w:r>
      <w:r>
        <w:rPr>
          <w:b/>
          <w:bCs/>
        </w:rPr>
        <w:t>.</w:t>
      </w:r>
      <w:r>
        <w:tab/>
        <w:t>Omitted under the Reprints Act 1984 s. 7(4)(g).]</w:t>
      </w:r>
    </w:p>
    <w:p>
      <w:pPr>
        <w:pStyle w:val="Heading2"/>
      </w:pPr>
      <w:bookmarkStart w:id="71" w:name="_Toc430335350"/>
      <w:bookmarkStart w:id="72" w:name="_Toc470792509"/>
      <w:r>
        <w:rPr>
          <w:rStyle w:val="CharPartNo"/>
        </w:rPr>
        <w:t>Part 6</w:t>
      </w:r>
      <w:r>
        <w:rPr>
          <w:rStyle w:val="CharDivNo"/>
        </w:rPr>
        <w:t> </w:t>
      </w:r>
      <w:r>
        <w:t>—</w:t>
      </w:r>
      <w:r>
        <w:rPr>
          <w:rStyle w:val="CharDivText"/>
        </w:rPr>
        <w:t> </w:t>
      </w:r>
      <w:r>
        <w:rPr>
          <w:rStyle w:val="CharPartText"/>
        </w:rPr>
        <w:t>Miscellaneous</w:t>
      </w:r>
      <w:bookmarkEnd w:id="71"/>
      <w:bookmarkEnd w:id="72"/>
    </w:p>
    <w:p>
      <w:pPr>
        <w:pStyle w:val="Heading5"/>
        <w:ind w:right="856"/>
        <w:rPr>
          <w:snapToGrid w:val="0"/>
        </w:rPr>
      </w:pPr>
      <w:bookmarkStart w:id="73" w:name="_Toc470792510"/>
      <w:r>
        <w:rPr>
          <w:rStyle w:val="CharSectno"/>
        </w:rPr>
        <w:t>29</w:t>
      </w:r>
      <w:r>
        <w:rPr>
          <w:snapToGrid w:val="0"/>
        </w:rPr>
        <w:t>.</w:t>
      </w:r>
      <w:r>
        <w:rPr>
          <w:snapToGrid w:val="0"/>
        </w:rPr>
        <w:tab/>
        <w:t>Contraventions that may lead to impounding of goods (Act s. </w:t>
      </w:r>
      <w:r>
        <w:rPr>
          <w:rStyle w:val="CharSectno"/>
        </w:rPr>
        <w:t>3</w:t>
      </w:r>
      <w:r>
        <w:rPr>
          <w:snapToGrid w:val="0"/>
        </w:rPr>
        <w:t>.37)</w:t>
      </w:r>
      <w:bookmarkEnd w:id="73"/>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presence of the goods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obstructs the lawful use of any place;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w:t>
      </w:r>
    </w:p>
    <w:p>
      <w:pPr>
        <w:pStyle w:val="Defstart"/>
      </w:pPr>
      <w:r>
        <w:rPr>
          <w:b/>
        </w:rPr>
        <w:tab/>
      </w:r>
      <w:r>
        <w:rPr>
          <w:rStyle w:val="CharDefText"/>
        </w:rPr>
        <w:t>public place</w:t>
      </w:r>
      <w:r>
        <w:t xml:space="preserve"> includes a place that is on private property that the public are allowed to use.</w:t>
      </w:r>
    </w:p>
    <w:p>
      <w:pPr>
        <w:pStyle w:val="Footnotesection"/>
      </w:pPr>
      <w:r>
        <w:tab/>
        <w:t>[Regulation 29 amended in Gazette 29 Apr 1997 p. 2145; 25 Feb 2000 p. 974.]</w:t>
      </w:r>
    </w:p>
    <w:p>
      <w:pPr>
        <w:pStyle w:val="Heading5"/>
      </w:pPr>
      <w:bookmarkStart w:id="74" w:name="_Toc470792511"/>
      <w:r>
        <w:rPr>
          <w:rStyle w:val="CharSectno"/>
        </w:rPr>
        <w:t>29A</w:t>
      </w:r>
      <w:r>
        <w:t>.</w:t>
      </w:r>
      <w:r>
        <w:tab/>
        <w:t xml:space="preserve">Abandoned vehicle wrecks, value etc. prescribed for </w:t>
      </w:r>
      <w:r>
        <w:rPr>
          <w:snapToGrid w:val="0"/>
        </w:rPr>
        <w:t>(Act </w:t>
      </w:r>
      <w:r>
        <w:t>s. 3.40A(5)(c))</w:t>
      </w:r>
      <w:bookmarkEnd w:id="74"/>
    </w:p>
    <w:p>
      <w:pPr>
        <w:pStyle w:val="Subsection"/>
      </w:pPr>
      <w:r>
        <w:tab/>
      </w:r>
      <w:r>
        <w:tab/>
        <w:t xml:space="preserve">For the purposes of the definition of </w:t>
      </w:r>
      <w:r>
        <w:rPr>
          <w:b/>
          <w:i/>
        </w:rPr>
        <w:t>abandoned vehicle wreck</w:t>
      </w:r>
      <w:r>
        <w:t xml:space="preserve"> in section 3.40A(5)(c) of the Act —</w:t>
      </w:r>
    </w:p>
    <w:p>
      <w:pPr>
        <w:pStyle w:val="Indenta"/>
      </w:pPr>
      <w:r>
        <w:tab/>
        <w:t>(a)</w:t>
      </w:r>
      <w:r>
        <w:tab/>
        <w:t xml:space="preserve">the prescribed value is $500;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in Gazette 31 Mar 2005 p. 1058; amended in Gazette 27 Sep 2011 p. 3846; 18 Sep 2015 p. 3812.]</w:t>
      </w:r>
    </w:p>
    <w:p>
      <w:pPr>
        <w:pStyle w:val="Heading5"/>
      </w:pPr>
      <w:bookmarkStart w:id="75" w:name="_Toc470792512"/>
      <w:r>
        <w:rPr>
          <w:rStyle w:val="CharSectno"/>
        </w:rPr>
        <w:t>29B</w:t>
      </w:r>
      <w:r>
        <w:t>.</w:t>
      </w:r>
      <w:r>
        <w:tab/>
        <w:t>Prescribed non</w:t>
      </w:r>
      <w:r>
        <w:noBreakHyphen/>
        <w:t xml:space="preserve">perishable goods </w:t>
      </w:r>
      <w:r>
        <w:rPr>
          <w:snapToGrid w:val="0"/>
        </w:rPr>
        <w:t>(Act </w:t>
      </w:r>
      <w:r>
        <w:t>s. 3.47(2b)(ca))</w:t>
      </w:r>
      <w:bookmarkEnd w:id="75"/>
    </w:p>
    <w:p>
      <w:pPr>
        <w:pStyle w:val="Subsection"/>
      </w:pPr>
      <w:r>
        <w:tab/>
      </w:r>
      <w:r>
        <w:tab/>
        <w:t>For the purposes of section 3.47(2b)(ca) of the Act, shopping trolleys are prescribed non</w:t>
      </w:r>
      <w:r>
        <w:noBreakHyphen/>
        <w:t>perishable goods.</w:t>
      </w:r>
    </w:p>
    <w:p>
      <w:pPr>
        <w:pStyle w:val="Footnotesection"/>
      </w:pPr>
      <w:r>
        <w:tab/>
        <w:t>[Regulation 29B inserted in Gazette 20 Nov 2009 p. 4660.]</w:t>
      </w:r>
    </w:p>
    <w:p>
      <w:pPr>
        <w:pStyle w:val="Heading5"/>
        <w:rPr>
          <w:snapToGrid w:val="0"/>
        </w:rPr>
      </w:pPr>
      <w:bookmarkStart w:id="76" w:name="_Toc470792513"/>
      <w:r>
        <w:rPr>
          <w:rStyle w:val="CharSectno"/>
        </w:rPr>
        <w:t>30</w:t>
      </w:r>
      <w:r>
        <w:rPr>
          <w:snapToGrid w:val="0"/>
        </w:rPr>
        <w:t>.</w:t>
      </w:r>
      <w:r>
        <w:rPr>
          <w:snapToGrid w:val="0"/>
        </w:rPr>
        <w:tab/>
        <w:t>Dispositions of property excluded from Act s. 3.58</w:t>
      </w:r>
      <w:bookmarkEnd w:id="76"/>
    </w:p>
    <w:p>
      <w:pPr>
        <w:pStyle w:val="Subsection"/>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rPr>
          <w:snapToGrid w:val="0"/>
        </w:rPr>
      </w:pPr>
      <w:r>
        <w:rPr>
          <w:snapToGrid w:val="0"/>
        </w:rPr>
        <w:tab/>
        <w:t>(2)</w:t>
      </w:r>
      <w:r>
        <w:rPr>
          <w:snapToGrid w:val="0"/>
        </w:rPr>
        <w:tab/>
        <w:t>A disposition of land is an exempt disposition if —</w:t>
      </w:r>
    </w:p>
    <w:p>
      <w:pPr>
        <w:pStyle w:val="Indenta"/>
        <w:rPr>
          <w:snapToGrid w:val="0"/>
        </w:rPr>
      </w:pPr>
      <w:r>
        <w:rPr>
          <w:snapToGrid w:val="0"/>
        </w:rPr>
        <w:tab/>
        <w:t>(a)</w:t>
      </w:r>
      <w:r>
        <w:rPr>
          <w:snapToGrid w:val="0"/>
        </w:rPr>
        <w:tab/>
        <w:t xml:space="preserve">the land is disposed of to an owner of adjoining land (in this paragraph called </w:t>
      </w:r>
      <w:r>
        <w:t xml:space="preserve">the </w:t>
      </w:r>
      <w:r>
        <w:rPr>
          <w:rStyle w:val="CharDefText"/>
        </w:rPr>
        <w:t>transferee</w:t>
      </w:r>
      <w:r>
        <w:rPr>
          <w:snapToGrid w:val="0"/>
        </w:rPr>
        <w:t>) and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land is disposed of to a body, whether incorporated or not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keepNext/>
        <w:rPr>
          <w:snapToGrid w:val="0"/>
        </w:rPr>
      </w:pPr>
      <w:r>
        <w:rPr>
          <w:snapToGrid w:val="0"/>
        </w:rPr>
        <w:tab/>
        <w:t>(ii)</w:t>
      </w:r>
      <w:r>
        <w:rPr>
          <w:snapToGrid w:val="0"/>
        </w:rPr>
        <w:tab/>
        <w:t>the members of which are not entitled or permitted to receive any pecuniary profit from the body’s transactions;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land is disposed of to —</w:t>
      </w:r>
    </w:p>
    <w:p>
      <w:pPr>
        <w:pStyle w:val="Indenti"/>
        <w:rPr>
          <w:snapToGrid w:val="0"/>
        </w:rPr>
      </w:pPr>
      <w:r>
        <w:rPr>
          <w:snapToGrid w:val="0"/>
        </w:rPr>
        <w:tab/>
        <w:t>(i)</w:t>
      </w:r>
      <w:r>
        <w:rPr>
          <w:snapToGrid w:val="0"/>
        </w:rPr>
        <w:tab/>
        <w:t>the Crown in right of the State or the Commonwealth; or</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it is the leasing of land to an employee of the local government for use as the employee’s residence; or</w:t>
      </w:r>
    </w:p>
    <w:p>
      <w:pPr>
        <w:pStyle w:val="Indenta"/>
        <w:rPr>
          <w:snapToGrid w:val="0"/>
        </w:rPr>
      </w:pPr>
      <w:r>
        <w:rPr>
          <w:snapToGrid w:val="0"/>
        </w:rPr>
        <w:tab/>
        <w:t>(e)</w:t>
      </w:r>
      <w:r>
        <w:rPr>
          <w:snapToGrid w:val="0"/>
        </w:rPr>
        <w:tab/>
        <w:t>it is the leasing of land for a period of less than 2 years during all or any of which time the lease does not give the lessee the exclusive use of the land; or</w:t>
      </w:r>
    </w:p>
    <w:p>
      <w:pPr>
        <w:pStyle w:val="Indenta"/>
      </w:pPr>
      <w:r>
        <w:tab/>
        <w:t>(f)</w:t>
      </w:r>
      <w:r>
        <w:tab/>
        <w:t xml:space="preserve">it is the leasing of land to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to be used for carrying on his or her medical practice; or</w:t>
      </w:r>
    </w:p>
    <w:p>
      <w:pPr>
        <w:pStyle w:val="Indenta"/>
        <w:rPr>
          <w:snapToGrid w:val="0"/>
        </w:rPr>
      </w:pPr>
      <w:r>
        <w:tab/>
        <w:t>(g)</w:t>
      </w:r>
      <w:r>
        <w:tab/>
        <w:t>it is the leasing of residential property to a person.</w:t>
      </w:r>
    </w:p>
    <w:p>
      <w:pPr>
        <w:pStyle w:val="Subsection"/>
      </w:pPr>
      <w:r>
        <w:tab/>
        <w:t>(2a)</w:t>
      </w:r>
      <w:r>
        <w:tab/>
        <w:t>A disposition of property is an exempt disposition if the property is disposed of within 6 months after it has been —</w:t>
      </w:r>
    </w:p>
    <w:p>
      <w:pPr>
        <w:pStyle w:val="Indenta"/>
      </w:pPr>
      <w:r>
        <w:tab/>
        <w:t>(a)</w:t>
      </w:r>
      <w:r>
        <w:tab/>
        <w:t>put out to the highest bidder at public auction, in accordance with section 3.58(2)(a) of the Act, but either no bid is made or any bid made does not reach a reserve price fixed by the local government; or</w:t>
      </w:r>
    </w:p>
    <w:p>
      <w:pPr>
        <w:pStyle w:val="Indenta"/>
      </w:pPr>
      <w:r>
        <w:tab/>
        <w:t>(b)</w:t>
      </w:r>
      <w:r>
        <w:tab/>
        <w:t>the subject of a public tender process called by the local government, in accordance with section 3.58(2)(b) of the Act, but either no tender is received or any tender received is unacceptable; or</w:t>
      </w:r>
    </w:p>
    <w:p>
      <w:pPr>
        <w:pStyle w:val="Indenta"/>
      </w:pPr>
      <w:r>
        <w:tab/>
        <w:t>(c)</w:t>
      </w:r>
      <w:r>
        <w:tab/>
        <w:t>the subject of Statewide public notice under section 3.59(4) of the Act, and if the business plan referred to in that notice described the property concerned and gave details of the proposed disposition including —</w:t>
      </w:r>
    </w:p>
    <w:p>
      <w:pPr>
        <w:pStyle w:val="Indenti"/>
      </w:pPr>
      <w:r>
        <w:tab/>
        <w:t>(i)</w:t>
      </w:r>
      <w:r>
        <w:tab/>
        <w:t>the names of all other parties concerned; and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pPr>
      <w:r>
        <w:tab/>
        <w:t>(2b)</w:t>
      </w:r>
      <w:r>
        <w:tab/>
        <w:t>Details (</w:t>
      </w:r>
      <w:r>
        <w:rPr>
          <w:i/>
        </w:rPr>
        <w:t>see section 3.58(4) of the Act</w:t>
      </w:r>
      <w:r>
        <w:t>) of a disposition of property under subregulation (2a) must be made available for public inspection for at least 12 months from the initial auction or tender, as the case requires.</w:t>
      </w:r>
    </w:p>
    <w:p>
      <w:pPr>
        <w:pStyle w:val="Subsection"/>
        <w:rPr>
          <w:snapToGrid w:val="0"/>
        </w:rPr>
      </w:pPr>
      <w:r>
        <w:rPr>
          <w:snapToGrid w:val="0"/>
        </w:rPr>
        <w:tab/>
        <w:t>(3)</w:t>
      </w:r>
      <w:r>
        <w:rPr>
          <w:snapToGrid w:val="0"/>
        </w:rPr>
        <w:tab/>
        <w:t>A disposition of property other than land is an exempt disposition if —</w:t>
      </w:r>
    </w:p>
    <w:p>
      <w:pPr>
        <w:pStyle w:val="Indenta"/>
        <w:rPr>
          <w:snapToGrid w:val="0"/>
        </w:rPr>
      </w:pPr>
      <w:r>
        <w:rPr>
          <w:snapToGrid w:val="0"/>
        </w:rPr>
        <w:tab/>
        <w:t>(a)</w:t>
      </w:r>
      <w:r>
        <w:rPr>
          <w:snapToGrid w:val="0"/>
        </w:rPr>
        <w:tab/>
        <w:t>its market value is less than $20 000; or</w:t>
      </w:r>
    </w:p>
    <w:p>
      <w:pPr>
        <w:pStyle w:val="Indenta"/>
      </w:pPr>
      <w:r>
        <w:tab/>
        <w:t>(b)</w:t>
      </w:r>
      <w:r>
        <w:tab/>
        <w:t>the entire consideration received by the local government for the disposition is used to purchase other property, and where the total consideration for the other property is not more, or worth more, than $75 000.</w:t>
      </w:r>
    </w:p>
    <w:p>
      <w:pPr>
        <w:pStyle w:val="Footnotesection"/>
      </w:pPr>
      <w:r>
        <w:tab/>
        <w:t>[Regulation 30 amended in Gazette 25 Feb 2000 p. 974</w:t>
      </w:r>
      <w:r>
        <w:noBreakHyphen/>
        <w:t>5; 28 Apr 2000 p. 2041; 31 Mar 2005 p. 1055</w:t>
      </w:r>
      <w:r>
        <w:noBreakHyphen/>
        <w:t>6; 27 Sep 2011 p. 3846; 18 Sep 2015 p. 3812.]</w:t>
      </w:r>
    </w:p>
    <w:p>
      <w:pPr>
        <w:pStyle w:val="Heading5"/>
        <w:rPr>
          <w:snapToGrid w:val="0"/>
        </w:rPr>
      </w:pPr>
      <w:bookmarkStart w:id="77" w:name="_Toc470792514"/>
      <w:r>
        <w:rPr>
          <w:rStyle w:val="CharSectno"/>
        </w:rPr>
        <w:t>31</w:t>
      </w:r>
      <w:r>
        <w:rPr>
          <w:snapToGrid w:val="0"/>
        </w:rPr>
        <w:t>.</w:t>
      </w:r>
      <w:r>
        <w:rPr>
          <w:snapToGrid w:val="0"/>
        </w:rPr>
        <w:tab/>
        <w:t>Anti</w:t>
      </w:r>
      <w:r>
        <w:rPr>
          <w:snapToGrid w:val="0"/>
        </w:rPr>
        <w:noBreakHyphen/>
        <w:t>avoidance provision for Act s. 3.58</w:t>
      </w:r>
      <w:bookmarkEnd w:id="77"/>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keepLines w:val="0"/>
        <w:rPr>
          <w:snapToGrid w:val="0"/>
        </w:rPr>
      </w:pPr>
      <w:bookmarkStart w:id="78" w:name="_Toc470792515"/>
      <w:r>
        <w:rPr>
          <w:rStyle w:val="CharSectno"/>
        </w:rPr>
        <w:t>32</w:t>
      </w:r>
      <w:r>
        <w:rPr>
          <w:snapToGrid w:val="0"/>
        </w:rPr>
        <w:t>.</w:t>
      </w:r>
      <w:r>
        <w:rPr>
          <w:snapToGrid w:val="0"/>
        </w:rPr>
        <w:tab/>
        <w:t>Local government permitted to form incorporated association (Act s. </w:t>
      </w:r>
      <w:r>
        <w:rPr>
          <w:rStyle w:val="CharSectno"/>
        </w:rPr>
        <w:t>3</w:t>
      </w:r>
      <w:r>
        <w:rPr>
          <w:snapToGrid w:val="0"/>
        </w:rPr>
        <w:t>.60)</w:t>
      </w:r>
      <w:bookmarkEnd w:id="78"/>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rPr>
        <w:t>Associations Incorporation Act 2015</w:t>
      </w:r>
      <w:r>
        <w:rPr>
          <w:snapToGrid w:val="0"/>
        </w:rPr>
        <w:t xml:space="preserve"> and may do things for the purpose of the incorporation of the association under that Act.</w:t>
      </w:r>
    </w:p>
    <w:p>
      <w:pPr>
        <w:pStyle w:val="Subsection"/>
        <w:rPr>
          <w:snapToGrid w:val="0"/>
        </w:rPr>
      </w:pPr>
      <w:r>
        <w:rPr>
          <w:snapToGrid w:val="0"/>
        </w:rPr>
        <w:tab/>
        <w:t>(2)</w:t>
      </w:r>
      <w:r>
        <w:rPr>
          <w:snapToGrid w:val="0"/>
        </w:rPr>
        <w:tab/>
        <w:t xml:space="preserve">A local government may form or take part in forming a body corporate constituted under section 32 of the </w:t>
      </w:r>
      <w:r>
        <w:rPr>
          <w:i/>
          <w:snapToGrid w:val="0"/>
        </w:rPr>
        <w:t>Strata Titles Act 1985</w:t>
      </w:r>
      <w:r>
        <w:rPr>
          <w:snapToGrid w:val="0"/>
        </w:rPr>
        <w:t>.</w:t>
      </w:r>
    </w:p>
    <w:p>
      <w:pPr>
        <w:pStyle w:val="Footnotesection"/>
      </w:pPr>
      <w:r>
        <w:tab/>
        <w:t>[Regulation 32 amended in Gazette 4 Dec 1998 p. 6500; 30 Dec 2016 p. 5970.]</w:t>
      </w:r>
    </w:p>
    <w:p>
      <w:pPr>
        <w:pStyle w:val="Heading5"/>
      </w:pPr>
      <w:bookmarkStart w:id="79" w:name="_Toc470792516"/>
      <w:r>
        <w:rPr>
          <w:rStyle w:val="CharSectno"/>
        </w:rPr>
        <w:t>32A</w:t>
      </w:r>
      <w:r>
        <w:t>.</w:t>
      </w:r>
      <w:r>
        <w:tab/>
        <w:t xml:space="preserve">Excluded authorisations </w:t>
      </w:r>
      <w:r>
        <w:rPr>
          <w:snapToGrid w:val="0"/>
        </w:rPr>
        <w:t>(Act </w:t>
      </w:r>
      <w:r>
        <w:t>s. 9.2)</w:t>
      </w:r>
      <w:bookmarkEnd w:id="79"/>
    </w:p>
    <w:p>
      <w:pPr>
        <w:pStyle w:val="Subsection"/>
      </w:pPr>
      <w:r>
        <w:tab/>
        <w:t>(1)</w:t>
      </w:r>
      <w:r>
        <w:tab/>
        <w:t xml:space="preserve">The following are excluded from being authorisations for the purposes of the definition of </w:t>
      </w:r>
      <w:r>
        <w:rPr>
          <w:b/>
          <w:i/>
        </w:rPr>
        <w:t>authorisation</w:t>
      </w:r>
      <w:r>
        <w:t xml:space="preserve"> in section 9.2 of the Act —</w:t>
      </w:r>
    </w:p>
    <w:p>
      <w:pPr>
        <w:pStyle w:val="Indenta"/>
      </w:pPr>
      <w:r>
        <w:tab/>
        <w:t>(a)</w:t>
      </w:r>
      <w:r>
        <w:tab/>
        <w:t>an authority to carry out private works on local government property;</w:t>
      </w:r>
    </w:p>
    <w:p>
      <w:pPr>
        <w:pStyle w:val="Indenta"/>
      </w:pPr>
      <w:r>
        <w:tab/>
        <w:t>(b)</w:t>
      </w:r>
      <w:r>
        <w:tab/>
        <w:t>an authority allowing the use of local government land or premises, or the use of local government goods or equipment.</w:t>
      </w:r>
    </w:p>
    <w:p>
      <w:pPr>
        <w:pStyle w:val="Subsection"/>
      </w:pPr>
      <w:r>
        <w:tab/>
        <w:t>(2)</w:t>
      </w:r>
      <w:r>
        <w:tab/>
        <w:t xml:space="preserve">Despite subregulation (1), an authority set out in paragraph (a) or (b) of that subregulation is to be regarded as an </w:t>
      </w:r>
      <w:r>
        <w:rPr>
          <w:b/>
          <w:i/>
        </w:rPr>
        <w:t>authorisation</w:t>
      </w:r>
      <w:r>
        <w:t xml:space="preserve"> under section 9.2 of the Act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in Gazette 25 Feb 2000 p. 975</w:t>
      </w:r>
      <w:r>
        <w:noBreakHyphen/>
        <w:t>6; amended in Gazette 27 Sep 2011 p. 3846-7.]</w:t>
      </w:r>
    </w:p>
    <w:p>
      <w:pPr>
        <w:pStyle w:val="Heading5"/>
        <w:rPr>
          <w:snapToGrid w:val="0"/>
        </w:rPr>
      </w:pPr>
      <w:bookmarkStart w:id="80" w:name="_Toc470792517"/>
      <w:r>
        <w:rPr>
          <w:rStyle w:val="CharSectno"/>
        </w:rPr>
        <w:t>33</w:t>
      </w:r>
      <w:r>
        <w:rPr>
          <w:snapToGrid w:val="0"/>
        </w:rPr>
        <w:t>.</w:t>
      </w:r>
      <w:r>
        <w:rPr>
          <w:snapToGrid w:val="0"/>
        </w:rPr>
        <w:tab/>
        <w:t>Objections to decisions, form of etc. prescribed (Act s. 9.5)</w:t>
      </w:r>
      <w:bookmarkEnd w:id="80"/>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Heading5"/>
      </w:pPr>
      <w:bookmarkStart w:id="81" w:name="_Toc470792518"/>
      <w:r>
        <w:rPr>
          <w:rStyle w:val="CharSectno"/>
        </w:rPr>
        <w:t>34</w:t>
      </w:r>
      <w:r>
        <w:t>.</w:t>
      </w:r>
      <w:r>
        <w:tab/>
        <w:t>Common seal, unauthorised use of</w:t>
      </w:r>
      <w:bookmarkEnd w:id="81"/>
    </w:p>
    <w:p>
      <w:pPr>
        <w:pStyle w:val="Subsection"/>
      </w:pPr>
      <w:r>
        <w:tab/>
      </w:r>
      <w:r>
        <w:tab/>
        <w:t>A person who affixes the common seal, or a replica of the common seal, of a local government to any document except as authorised by the local government commits an offence.</w:t>
      </w:r>
    </w:p>
    <w:p>
      <w:pPr>
        <w:pStyle w:val="Penstart"/>
      </w:pPr>
      <w:r>
        <w:tab/>
        <w:t>Penalty: a fine of $1 000.</w:t>
      </w:r>
    </w:p>
    <w:p>
      <w:pPr>
        <w:pStyle w:val="Footnotesection"/>
      </w:pPr>
      <w:r>
        <w:tab/>
        <w:t>[Regulation 34 inserted in Gazette 27 Sep 2011 p. 3846.]</w:t>
      </w:r>
    </w:p>
    <w:p>
      <w:pPr>
        <w:pStyle w:val="Heading5"/>
        <w:rPr>
          <w:snapToGrid w:val="0"/>
        </w:rPr>
      </w:pPr>
      <w:bookmarkStart w:id="82" w:name="_Toc470792519"/>
      <w:r>
        <w:rPr>
          <w:rStyle w:val="CharSectno"/>
        </w:rPr>
        <w:t>35</w:t>
      </w:r>
      <w:r>
        <w:rPr>
          <w:snapToGrid w:val="0"/>
        </w:rPr>
        <w:t>.</w:t>
      </w:r>
      <w:r>
        <w:rPr>
          <w:snapToGrid w:val="0"/>
        </w:rPr>
        <w:tab/>
        <w:t>Certain persons protected from liability for wrongdoing (Act s. </w:t>
      </w:r>
      <w:r>
        <w:rPr>
          <w:rStyle w:val="CharSectno"/>
        </w:rPr>
        <w:t>9</w:t>
      </w:r>
      <w:r>
        <w:rPr>
          <w:snapToGrid w:val="0"/>
        </w:rPr>
        <w:t>.56(1)(c))</w:t>
      </w:r>
      <w:bookmarkEnd w:id="82"/>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83" w:name="_Toc470792520"/>
      <w:r>
        <w:rPr>
          <w:rStyle w:val="CharSectno"/>
        </w:rPr>
        <w:t>35A</w:t>
      </w:r>
      <w:r>
        <w:t>.</w:t>
      </w:r>
      <w:r>
        <w:tab/>
        <w:t xml:space="preserve">Delegable functions of Minister </w:t>
      </w:r>
      <w:r>
        <w:rPr>
          <w:snapToGrid w:val="0"/>
        </w:rPr>
        <w:t>(Act </w:t>
      </w:r>
      <w:r>
        <w:t>s. 9.66)</w:t>
      </w:r>
      <w:bookmarkEnd w:id="83"/>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6.35(5)</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6.74</w:t>
            </w:r>
          </w:p>
        </w:tc>
      </w:tr>
      <w:tr>
        <w:trPr>
          <w:jc w:val="center"/>
        </w:trPr>
        <w:tc>
          <w:tcPr>
            <w:tcW w:w="1701" w:type="dxa"/>
          </w:tcPr>
          <w:p>
            <w:pPr>
              <w:pStyle w:val="Table"/>
            </w:pPr>
            <w:r>
              <w:t>s. 5.69</w:t>
            </w:r>
          </w:p>
        </w:tc>
        <w:tc>
          <w:tcPr>
            <w:tcW w:w="1418" w:type="dxa"/>
          </w:tcPr>
          <w:p>
            <w:pPr>
              <w:pStyle w:val="Table"/>
            </w:pPr>
            <w:r>
              <w:t>s. 6.28(1)</w:t>
            </w:r>
          </w:p>
        </w:tc>
        <w:tc>
          <w:tcPr>
            <w:tcW w:w="1194" w:type="dxa"/>
          </w:tcPr>
          <w:p>
            <w:pPr>
              <w:pStyle w:val="Table"/>
            </w:pPr>
            <w:r>
              <w:t>s. 7.5</w:t>
            </w:r>
          </w:p>
        </w:tc>
      </w:tr>
      <w:tr>
        <w:trPr>
          <w:jc w:val="center"/>
        </w:trPr>
        <w:tc>
          <w:tcPr>
            <w:tcW w:w="1701" w:type="dxa"/>
          </w:tcPr>
          <w:p>
            <w:pPr>
              <w:pStyle w:val="Table"/>
            </w:pPr>
            <w:r>
              <w:t>s. 5.69A</w:t>
            </w:r>
          </w:p>
        </w:tc>
        <w:tc>
          <w:tcPr>
            <w:tcW w:w="1418" w:type="dxa"/>
          </w:tcPr>
          <w:p>
            <w:pPr>
              <w:pStyle w:val="Table"/>
            </w:pPr>
            <w:r>
              <w:t>s. 6.33(3)</w:t>
            </w:r>
          </w:p>
        </w:tc>
        <w:tc>
          <w:tcPr>
            <w:tcW w:w="1194" w:type="dxa"/>
          </w:tcPr>
          <w:p>
            <w:pPr>
              <w:pStyle w:val="Table"/>
            </w:pPr>
          </w:p>
        </w:tc>
      </w:tr>
    </w:tbl>
    <w:p>
      <w:pPr>
        <w:pStyle w:val="Footnotesection"/>
      </w:pPr>
      <w:r>
        <w:tab/>
        <w:t>[Regulation 35A inserted in Gazette 28 Jun 2002 p. 3082; amended in Gazette 27 Sep 2011 p. 3846.]</w:t>
      </w:r>
    </w:p>
    <w:p>
      <w:pPr>
        <w:pStyle w:val="Heading5"/>
        <w:rPr>
          <w:snapToGrid w:val="0"/>
        </w:rPr>
      </w:pPr>
      <w:bookmarkStart w:id="84" w:name="_Toc470792521"/>
      <w:r>
        <w:rPr>
          <w:rStyle w:val="CharSectno"/>
        </w:rPr>
        <w:t>36</w:t>
      </w:r>
      <w:r>
        <w:rPr>
          <w:snapToGrid w:val="0"/>
        </w:rPr>
        <w:t>.</w:t>
      </w:r>
      <w:r>
        <w:rPr>
          <w:snapToGrid w:val="0"/>
        </w:rPr>
        <w:tab/>
        <w:t>Warrant to enter, form of (Act s. 3.33(1) and 8.8(1))</w:t>
      </w:r>
      <w:bookmarkEnd w:id="84"/>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85" w:name="_Toc430335363"/>
      <w:bookmarkStart w:id="86" w:name="_Toc470792522"/>
      <w:r>
        <w:rPr>
          <w:rStyle w:val="CharPartNo"/>
        </w:rPr>
        <w:t>Part 7</w:t>
      </w:r>
      <w:r>
        <w:rPr>
          <w:rStyle w:val="CharDivNo"/>
        </w:rPr>
        <w:t> </w:t>
      </w:r>
      <w:r>
        <w:t>—</w:t>
      </w:r>
      <w:r>
        <w:rPr>
          <w:rStyle w:val="CharDivText"/>
        </w:rPr>
        <w:t> </w:t>
      </w:r>
      <w:r>
        <w:rPr>
          <w:rStyle w:val="CharPartText"/>
        </w:rPr>
        <w:t>Other transitional provisions</w:t>
      </w:r>
      <w:bookmarkEnd w:id="85"/>
      <w:bookmarkEnd w:id="86"/>
    </w:p>
    <w:p>
      <w:pPr>
        <w:pStyle w:val="Ednotesection"/>
        <w:ind w:left="890" w:hanging="890"/>
      </w:pPr>
      <w:r>
        <w:t>[</w:t>
      </w:r>
      <w:r>
        <w:rPr>
          <w:b/>
          <w:bCs/>
        </w:rPr>
        <w:t>37.</w:t>
      </w:r>
      <w:r>
        <w:tab/>
      </w:r>
      <w:r>
        <w:rPr>
          <w:snapToGrid/>
        </w:rPr>
        <w:t>Omitted under the Reprints Act 1984 s. 7(4)(e).]</w:t>
      </w:r>
    </w:p>
    <w:p>
      <w:pPr>
        <w:pStyle w:val="Heading5"/>
        <w:rPr>
          <w:snapToGrid w:val="0"/>
        </w:rPr>
      </w:pPr>
      <w:bookmarkStart w:id="87" w:name="_Toc470792523"/>
      <w:r>
        <w:rPr>
          <w:rStyle w:val="CharSectno"/>
        </w:rPr>
        <w:t>38</w:t>
      </w:r>
      <w:r>
        <w:t>.</w:t>
      </w:r>
      <w:r>
        <w:rPr>
          <w:snapToGrid w:val="0"/>
        </w:rPr>
        <w:tab/>
        <w:t>Adopting former model by</w:t>
      </w:r>
      <w:r>
        <w:rPr>
          <w:snapToGrid w:val="0"/>
        </w:rPr>
        <w:noBreakHyphen/>
        <w:t>laws as local laws (Act s. 3.8(2) and (3))</w:t>
      </w:r>
      <w:bookmarkEnd w:id="87"/>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88" w:name="_Toc430335365"/>
      <w:bookmarkStart w:id="89" w:name="_Toc470792524"/>
      <w:r>
        <w:rPr>
          <w:rStyle w:val="CharSchNo"/>
        </w:rPr>
        <w:t>Schedule 1</w:t>
      </w:r>
      <w:r>
        <w:t> — </w:t>
      </w:r>
      <w:r>
        <w:rPr>
          <w:rStyle w:val="CharSchText"/>
        </w:rPr>
        <w:t>Forms</w:t>
      </w:r>
      <w:bookmarkEnd w:id="88"/>
      <w:bookmarkEnd w:id="89"/>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in Gazette 30 Dec 2004 p. 7016.]</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in the State of </w:t>
      </w:r>
      <w:smartTag w:uri="urn:schemas-microsoft-com:office:smarttags" w:element="place">
        <w:smartTag w:uri="urn:schemas-microsoft-com:office:smarttags" w:element="State">
          <w:r>
            <w:rPr>
              <w:snapToGrid w:val="0"/>
            </w:rPr>
            <w:t>Western Australia</w:t>
          </w:r>
        </w:smartTag>
      </w:smartTag>
      <w:r>
        <w:rPr>
          <w:snapToGrid w:val="0"/>
        </w:rPr>
        <w:t>, Justice of the Peace, being satisfied that the entry is reasonably required but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type w:val="continuous"/>
          <w:pgSz w:w="11907" w:h="16840" w:code="9"/>
          <w:pgMar w:top="2381" w:right="2410" w:bottom="2977" w:left="2410" w:header="720" w:footer="3380" w:gutter="0"/>
          <w:cols w:space="720"/>
          <w:noEndnote/>
          <w:docGrid w:linePitch="326"/>
        </w:sectPr>
      </w:pPr>
    </w:p>
    <w:p>
      <w:pPr>
        <w:pStyle w:val="nHeading2"/>
      </w:pPr>
      <w:bookmarkStart w:id="91" w:name="_Toc430335366"/>
      <w:bookmarkStart w:id="92" w:name="_Toc470792525"/>
      <w:r>
        <w:t>Notes</w:t>
      </w:r>
      <w:bookmarkEnd w:id="91"/>
      <w:bookmarkEnd w:id="92"/>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(Functions and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3" w:name="_Toc470792526"/>
      <w:r>
        <w:rPr>
          <w:snapToGrid w:val="0"/>
        </w:rPr>
        <w:t>Compilation table</w:t>
      </w:r>
      <w:bookmarkEnd w:id="9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Local Government (Functions and General) Regulations 1996</w:t>
            </w:r>
          </w:p>
        </w:tc>
        <w:tc>
          <w:tcPr>
            <w:tcW w:w="1276" w:type="dxa"/>
            <w:tcBorders>
              <w:top w:val="single" w:sz="8" w:space="0" w:color="auto"/>
            </w:tcBorders>
          </w:tcPr>
          <w:p>
            <w:pPr>
              <w:pStyle w:val="nTable"/>
              <w:spacing w:after="40"/>
            </w:pPr>
            <w:r>
              <w:t>24 Jun 1996 p. 2771</w:t>
            </w:r>
            <w:r>
              <w:noBreakHyphen/>
              <w:t>97</w:t>
            </w:r>
          </w:p>
        </w:tc>
        <w:tc>
          <w:tcPr>
            <w:tcW w:w="2693" w:type="dxa"/>
            <w:tcBorders>
              <w:top w:val="single" w:sz="8" w:space="0" w:color="auto"/>
            </w:tcBorders>
          </w:tcPr>
          <w:p>
            <w:pPr>
              <w:pStyle w:val="nTable"/>
              <w:spacing w:after="40"/>
            </w:pPr>
            <w:r>
              <w:t>1 Jul 1996 (see r. 2)</w:t>
            </w:r>
          </w:p>
        </w:tc>
      </w:tr>
      <w:tr>
        <w:trPr>
          <w:cantSplit/>
        </w:trPr>
        <w:tc>
          <w:tcPr>
            <w:tcW w:w="3119" w:type="dxa"/>
          </w:tcPr>
          <w:p>
            <w:pPr>
              <w:pStyle w:val="nTable"/>
              <w:spacing w:after="40"/>
              <w:ind w:right="113"/>
            </w:pPr>
            <w:r>
              <w:rPr>
                <w:i/>
              </w:rPr>
              <w:t>Local Government (Functions and General) Amendment Regulations 1997</w:t>
            </w:r>
          </w:p>
        </w:tc>
        <w:tc>
          <w:tcPr>
            <w:tcW w:w="1276" w:type="dxa"/>
          </w:tcPr>
          <w:p>
            <w:pPr>
              <w:pStyle w:val="nTable"/>
              <w:spacing w:after="40"/>
            </w:pPr>
            <w:r>
              <w:t>29 Apr 1997 p. 2144</w:t>
            </w:r>
            <w:r>
              <w:noBreakHyphen/>
              <w:t>5</w:t>
            </w:r>
          </w:p>
        </w:tc>
        <w:tc>
          <w:tcPr>
            <w:tcW w:w="2693" w:type="dxa"/>
          </w:tcPr>
          <w:p>
            <w:pPr>
              <w:pStyle w:val="nTable"/>
              <w:spacing w:after="40"/>
            </w:pPr>
            <w:r>
              <w:t>29 Apr 1997</w:t>
            </w:r>
          </w:p>
        </w:tc>
      </w:tr>
      <w:tr>
        <w:trPr>
          <w:cantSplit/>
        </w:trPr>
        <w:tc>
          <w:tcPr>
            <w:tcW w:w="3119" w:type="dxa"/>
          </w:tcPr>
          <w:p>
            <w:pPr>
              <w:pStyle w:val="nTable"/>
              <w:spacing w:after="40"/>
              <w:ind w:right="113"/>
            </w:pPr>
            <w:r>
              <w:rPr>
                <w:i/>
              </w:rPr>
              <w:t>Local Government (Functions and General) Amendment Regulations (No. 2) 1997</w:t>
            </w:r>
          </w:p>
        </w:tc>
        <w:tc>
          <w:tcPr>
            <w:tcW w:w="1276" w:type="dxa"/>
          </w:tcPr>
          <w:p>
            <w:pPr>
              <w:pStyle w:val="nTable"/>
              <w:spacing w:after="40"/>
            </w:pPr>
            <w:r>
              <w:t>29 Aug 1997 p. 4867</w:t>
            </w:r>
            <w:r>
              <w:noBreakHyphen/>
              <w:t>8</w:t>
            </w:r>
          </w:p>
        </w:tc>
        <w:tc>
          <w:tcPr>
            <w:tcW w:w="2693" w:type="dxa"/>
          </w:tcPr>
          <w:p>
            <w:pPr>
              <w:pStyle w:val="nTable"/>
              <w:spacing w:after="40"/>
            </w:pPr>
            <w:r>
              <w:t>29 Aug 1997</w:t>
            </w:r>
          </w:p>
        </w:tc>
      </w:tr>
      <w:tr>
        <w:trPr>
          <w:cantSplit/>
        </w:trPr>
        <w:tc>
          <w:tcPr>
            <w:tcW w:w="3119" w:type="dxa"/>
          </w:tcPr>
          <w:p>
            <w:pPr>
              <w:pStyle w:val="nTable"/>
              <w:spacing w:after="40"/>
              <w:ind w:right="113"/>
            </w:pPr>
            <w:r>
              <w:rPr>
                <w:i/>
              </w:rPr>
              <w:t>Local Government (Functions and General) Amendment Regulations 1998</w:t>
            </w:r>
          </w:p>
        </w:tc>
        <w:tc>
          <w:tcPr>
            <w:tcW w:w="1276" w:type="dxa"/>
          </w:tcPr>
          <w:p>
            <w:pPr>
              <w:pStyle w:val="nTable"/>
              <w:spacing w:after="40"/>
            </w:pPr>
            <w:r>
              <w:t>26 Jun 1998 p. 3447</w:t>
            </w:r>
          </w:p>
        </w:tc>
        <w:tc>
          <w:tcPr>
            <w:tcW w:w="2693" w:type="dxa"/>
          </w:tcPr>
          <w:p>
            <w:pPr>
              <w:pStyle w:val="nTable"/>
              <w:spacing w:after="40"/>
            </w:pPr>
            <w:r>
              <w:t>26 Jun 1998</w:t>
            </w:r>
          </w:p>
        </w:tc>
      </w:tr>
      <w:tr>
        <w:trPr>
          <w:cantSplit/>
        </w:trPr>
        <w:tc>
          <w:tcPr>
            <w:tcW w:w="3119" w:type="dxa"/>
          </w:tcPr>
          <w:p>
            <w:pPr>
              <w:pStyle w:val="nTable"/>
              <w:spacing w:after="40"/>
              <w:ind w:right="113"/>
              <w:rPr>
                <w:i/>
              </w:rPr>
            </w:pPr>
            <w:r>
              <w:rPr>
                <w:i/>
              </w:rPr>
              <w:t>Local Government (Functions and General) Amendment Regulations (No. 2) 1998</w:t>
            </w:r>
          </w:p>
        </w:tc>
        <w:tc>
          <w:tcPr>
            <w:tcW w:w="1276" w:type="dxa"/>
          </w:tcPr>
          <w:p>
            <w:pPr>
              <w:pStyle w:val="nTable"/>
              <w:spacing w:after="40"/>
            </w:pPr>
            <w:r>
              <w:t>11 Sep 1998 p. 4926</w:t>
            </w:r>
            <w:r>
              <w:noBreakHyphen/>
              <w:t>7</w:t>
            </w:r>
          </w:p>
        </w:tc>
        <w:tc>
          <w:tcPr>
            <w:tcW w:w="2693" w:type="dxa"/>
          </w:tcPr>
          <w:p>
            <w:pPr>
              <w:pStyle w:val="nTable"/>
              <w:spacing w:after="40"/>
            </w:pPr>
            <w:r>
              <w:t>11 Sep 1998</w:t>
            </w:r>
          </w:p>
        </w:tc>
      </w:tr>
      <w:tr>
        <w:trPr>
          <w:cantSplit/>
        </w:trPr>
        <w:tc>
          <w:tcPr>
            <w:tcW w:w="3119" w:type="dxa"/>
          </w:tcPr>
          <w:p>
            <w:pPr>
              <w:pStyle w:val="nTable"/>
              <w:spacing w:after="40"/>
              <w:ind w:right="113"/>
              <w:rPr>
                <w:i/>
              </w:rPr>
            </w:pPr>
            <w:r>
              <w:rPr>
                <w:i/>
              </w:rPr>
              <w:t>Local Government (Functions and General) Amendment Regulations (No. 3) 1998</w:t>
            </w:r>
          </w:p>
        </w:tc>
        <w:tc>
          <w:tcPr>
            <w:tcW w:w="1276" w:type="dxa"/>
          </w:tcPr>
          <w:p>
            <w:pPr>
              <w:pStyle w:val="nTable"/>
              <w:spacing w:after="40"/>
            </w:pPr>
            <w:r>
              <w:t>4 Dec 1998 p. 6500</w:t>
            </w:r>
          </w:p>
        </w:tc>
        <w:tc>
          <w:tcPr>
            <w:tcW w:w="2693" w:type="dxa"/>
          </w:tcPr>
          <w:p>
            <w:pPr>
              <w:pStyle w:val="nTable"/>
              <w:spacing w:after="40"/>
            </w:pPr>
            <w:r>
              <w:t>4 Dec 1998</w:t>
            </w:r>
          </w:p>
        </w:tc>
      </w:tr>
      <w:tr>
        <w:trPr>
          <w:cantSplit/>
        </w:trPr>
        <w:tc>
          <w:tcPr>
            <w:tcW w:w="3119" w:type="dxa"/>
          </w:tcPr>
          <w:p>
            <w:pPr>
              <w:pStyle w:val="nTable"/>
              <w:spacing w:after="40"/>
              <w:ind w:right="113"/>
              <w:rPr>
                <w:i/>
              </w:rPr>
            </w:pPr>
            <w:r>
              <w:rPr>
                <w:i/>
              </w:rPr>
              <w:t>Local Government (Functions and General) Amendment Regulations 2000</w:t>
            </w:r>
          </w:p>
        </w:tc>
        <w:tc>
          <w:tcPr>
            <w:tcW w:w="1276" w:type="dxa"/>
          </w:tcPr>
          <w:p>
            <w:pPr>
              <w:pStyle w:val="nTable"/>
              <w:spacing w:after="40"/>
            </w:pPr>
            <w:r>
              <w:t>25 Feb 2000 p. 970</w:t>
            </w:r>
            <w:r>
              <w:noBreakHyphen/>
              <w:t>6</w:t>
            </w:r>
          </w:p>
        </w:tc>
        <w:tc>
          <w:tcPr>
            <w:tcW w:w="2693" w:type="dxa"/>
          </w:tcPr>
          <w:p>
            <w:pPr>
              <w:pStyle w:val="nTable"/>
              <w:spacing w:after="40"/>
            </w:pPr>
            <w:r>
              <w:t>25 Feb 2000</w:t>
            </w:r>
          </w:p>
        </w:tc>
      </w:tr>
      <w:tr>
        <w:trPr>
          <w:cantSplit/>
        </w:trPr>
        <w:tc>
          <w:tcPr>
            <w:tcW w:w="3119" w:type="dxa"/>
          </w:tcPr>
          <w:p>
            <w:pPr>
              <w:pStyle w:val="nTable"/>
              <w:spacing w:after="40"/>
              <w:ind w:right="113"/>
              <w:rPr>
                <w:i/>
              </w:rPr>
            </w:pPr>
            <w:r>
              <w:rPr>
                <w:i/>
              </w:rPr>
              <w:t>Local Government (Functions and General) Amendment Regulations (No. 2) 2000</w:t>
            </w:r>
          </w:p>
        </w:tc>
        <w:tc>
          <w:tcPr>
            <w:tcW w:w="1276" w:type="dxa"/>
          </w:tcPr>
          <w:p>
            <w:pPr>
              <w:pStyle w:val="nTable"/>
              <w:spacing w:after="40"/>
            </w:pPr>
            <w:r>
              <w:t>28 Apr 2000 p. 2039</w:t>
            </w:r>
            <w:r>
              <w:noBreakHyphen/>
              <w:t>41</w:t>
            </w:r>
          </w:p>
        </w:tc>
        <w:tc>
          <w:tcPr>
            <w:tcW w:w="2693" w:type="dxa"/>
          </w:tcPr>
          <w:p>
            <w:pPr>
              <w:pStyle w:val="nTable"/>
              <w:spacing w:after="40"/>
            </w:pPr>
            <w:r>
              <w:t>28 Apr 2000</w:t>
            </w:r>
          </w:p>
        </w:tc>
      </w:tr>
      <w:tr>
        <w:trPr>
          <w:cantSplit/>
        </w:trPr>
        <w:tc>
          <w:tcPr>
            <w:tcW w:w="7088" w:type="dxa"/>
            <w:gridSpan w:val="3"/>
          </w:tcPr>
          <w:p>
            <w:pPr>
              <w:pStyle w:val="nTable"/>
              <w:spacing w:after="40"/>
            </w:pPr>
            <w:r>
              <w:rPr>
                <w:b/>
                <w:bCs/>
              </w:rPr>
              <w:t xml:space="preserve">Reprint of the </w:t>
            </w:r>
            <w:r>
              <w:rPr>
                <w:b/>
                <w:bCs/>
                <w:i/>
              </w:rPr>
              <w:t xml:space="preserve">Local Government (Functions and General) Regulations 1996 </w:t>
            </w:r>
            <w:r>
              <w:rPr>
                <w:b/>
                <w:bCs/>
                <w:iCs/>
              </w:rPr>
              <w:t>as at 8 Sep 2000</w:t>
            </w:r>
            <w:r>
              <w:rPr>
                <w:iCs/>
              </w:rPr>
              <w:t xml:space="preserve"> (includes amendments listed above)</w:t>
            </w:r>
          </w:p>
        </w:tc>
      </w:tr>
      <w:tr>
        <w:trPr>
          <w:cantSplit/>
        </w:trPr>
        <w:tc>
          <w:tcPr>
            <w:tcW w:w="3119" w:type="dxa"/>
          </w:tcPr>
          <w:p>
            <w:pPr>
              <w:pStyle w:val="nTable"/>
              <w:spacing w:after="40"/>
              <w:ind w:right="113"/>
            </w:pPr>
            <w:r>
              <w:rPr>
                <w:i/>
              </w:rPr>
              <w:t>Local Government (Functions and General) Amendment Regulations 2001</w:t>
            </w:r>
            <w:r>
              <w:rPr>
                <w:vertAlign w:val="superscript"/>
              </w:rPr>
              <w:t xml:space="preserve"> 3</w:t>
            </w:r>
          </w:p>
        </w:tc>
        <w:tc>
          <w:tcPr>
            <w:tcW w:w="1276" w:type="dxa"/>
          </w:tcPr>
          <w:p>
            <w:pPr>
              <w:pStyle w:val="nTable"/>
              <w:spacing w:after="40"/>
            </w:pPr>
            <w:r>
              <w:t>29 Jun 2001</w:t>
            </w:r>
            <w:r>
              <w:br/>
              <w:t>p. 3129</w:t>
            </w:r>
            <w:r>
              <w:noBreakHyphen/>
              <w:t>33</w:t>
            </w:r>
          </w:p>
        </w:tc>
        <w:tc>
          <w:tcPr>
            <w:tcW w:w="2693" w:type="dxa"/>
          </w:tcPr>
          <w:p>
            <w:pPr>
              <w:pStyle w:val="nTable"/>
              <w:spacing w:after="40"/>
            </w:pPr>
            <w:r>
              <w:t>29 Jun 2001</w:t>
            </w:r>
          </w:p>
        </w:tc>
      </w:tr>
      <w:tr>
        <w:trPr>
          <w:cantSplit/>
        </w:trPr>
        <w:tc>
          <w:tcPr>
            <w:tcW w:w="3119" w:type="dxa"/>
          </w:tcPr>
          <w:p>
            <w:pPr>
              <w:pStyle w:val="nTable"/>
              <w:spacing w:after="40"/>
              <w:ind w:right="113"/>
              <w:rPr>
                <w:i/>
              </w:rPr>
            </w:pPr>
            <w:r>
              <w:rPr>
                <w:i/>
              </w:rPr>
              <w:t xml:space="preserve">Local Government (Functions and General) Amendment Regulations 2002 </w:t>
            </w:r>
          </w:p>
        </w:tc>
        <w:tc>
          <w:tcPr>
            <w:tcW w:w="1276" w:type="dxa"/>
          </w:tcPr>
          <w:p>
            <w:pPr>
              <w:pStyle w:val="nTable"/>
              <w:spacing w:after="40"/>
            </w:pPr>
            <w:r>
              <w:t>28 Jun 2002 p. 3081</w:t>
            </w:r>
            <w:r>
              <w:noBreakHyphen/>
              <w:t>2</w:t>
            </w:r>
          </w:p>
        </w:tc>
        <w:tc>
          <w:tcPr>
            <w:tcW w:w="2693" w:type="dxa"/>
          </w:tcPr>
          <w:p>
            <w:pPr>
              <w:pStyle w:val="nTable"/>
              <w:spacing w:after="40"/>
            </w:pPr>
            <w:r>
              <w:t>28 Jun 2002</w:t>
            </w:r>
          </w:p>
        </w:tc>
      </w:tr>
      <w:tr>
        <w:trPr>
          <w:cantSplit/>
        </w:trPr>
        <w:tc>
          <w:tcPr>
            <w:tcW w:w="3119" w:type="dxa"/>
          </w:tcPr>
          <w:p>
            <w:pPr>
              <w:pStyle w:val="nTable"/>
              <w:spacing w:after="40"/>
              <w:ind w:right="113"/>
              <w:rPr>
                <w:i/>
              </w:rPr>
            </w:pPr>
            <w:r>
              <w:rPr>
                <w:i/>
              </w:rPr>
              <w:t>Local Government (Functions and General) Amendment Regulations (No. 2) 2004</w:t>
            </w:r>
          </w:p>
        </w:tc>
        <w:tc>
          <w:tcPr>
            <w:tcW w:w="1276" w:type="dxa"/>
          </w:tcPr>
          <w:p>
            <w:pPr>
              <w:pStyle w:val="nTable"/>
              <w:spacing w:after="40"/>
            </w:pPr>
            <w:r>
              <w:t>30 Dec 2004 p. 7016</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9" w:type="dxa"/>
          </w:tcPr>
          <w:p>
            <w:pPr>
              <w:pStyle w:val="nTable"/>
              <w:spacing w:after="40"/>
              <w:ind w:right="113"/>
              <w:rPr>
                <w:i/>
              </w:rPr>
            </w:pPr>
            <w:r>
              <w:rPr>
                <w:i/>
              </w:rPr>
              <w:t>Local Government (Functions and General) Amendment Regulations 2005</w:t>
            </w:r>
          </w:p>
        </w:tc>
        <w:tc>
          <w:tcPr>
            <w:tcW w:w="1276" w:type="dxa"/>
          </w:tcPr>
          <w:p>
            <w:pPr>
              <w:pStyle w:val="nTable"/>
              <w:spacing w:after="40"/>
            </w:pPr>
            <w:r>
              <w:t>31 Mar 2005 p. 1054</w:t>
            </w:r>
            <w:r>
              <w:noBreakHyphen/>
              <w:t>6</w:t>
            </w:r>
          </w:p>
        </w:tc>
        <w:tc>
          <w:tcPr>
            <w:tcW w:w="2693" w:type="dxa"/>
          </w:tcPr>
          <w:p>
            <w:pPr>
              <w:pStyle w:val="nTable"/>
              <w:spacing w:after="40"/>
            </w:pPr>
            <w:r>
              <w:t xml:space="preserve">1 Apr 2005 (see r. 2 and </w:t>
            </w:r>
            <w:r>
              <w:rPr>
                <w:i/>
                <w:iCs/>
              </w:rPr>
              <w:t>Gazette</w:t>
            </w:r>
            <w:r>
              <w:t xml:space="preserve"> 31 Mar 2005 p. 1029)</w:t>
            </w:r>
          </w:p>
        </w:tc>
      </w:tr>
      <w:tr>
        <w:trPr>
          <w:cantSplit/>
        </w:trPr>
        <w:tc>
          <w:tcPr>
            <w:tcW w:w="3119" w:type="dxa"/>
          </w:tcPr>
          <w:p>
            <w:pPr>
              <w:pStyle w:val="nTable"/>
              <w:spacing w:after="40"/>
              <w:ind w:right="113"/>
              <w:rPr>
                <w:i/>
              </w:rPr>
            </w:pPr>
            <w:r>
              <w:rPr>
                <w:i/>
              </w:rPr>
              <w:t>Local Government (Functions and General) Amendment Regulations (No. 2) 2005</w:t>
            </w:r>
          </w:p>
        </w:tc>
        <w:tc>
          <w:tcPr>
            <w:tcW w:w="1276" w:type="dxa"/>
          </w:tcPr>
          <w:p>
            <w:pPr>
              <w:pStyle w:val="nTable"/>
              <w:spacing w:after="40"/>
            </w:pPr>
            <w:r>
              <w:t>31 Mar 2005 p. 1057</w:t>
            </w:r>
            <w:r>
              <w:noBreakHyphen/>
              <w:t>8</w:t>
            </w:r>
          </w:p>
        </w:tc>
        <w:tc>
          <w:tcPr>
            <w:tcW w:w="2693" w:type="dxa"/>
          </w:tcPr>
          <w:p>
            <w:pPr>
              <w:pStyle w:val="nTable"/>
              <w:spacing w:after="40"/>
            </w:pPr>
            <w:r>
              <w:t>7 May 2005 (see r. 2)</w:t>
            </w:r>
          </w:p>
        </w:tc>
      </w:tr>
      <w:tr>
        <w:trPr>
          <w:cantSplit/>
        </w:trPr>
        <w:tc>
          <w:tcPr>
            <w:tcW w:w="7088" w:type="dxa"/>
            <w:gridSpan w:val="3"/>
          </w:tcPr>
          <w:p>
            <w:pPr>
              <w:pStyle w:val="nTable"/>
              <w:spacing w:after="40"/>
            </w:pPr>
            <w:r>
              <w:rPr>
                <w:b/>
                <w:bCs/>
              </w:rPr>
              <w:t xml:space="preserve">Reprint 2: The </w:t>
            </w:r>
            <w:r>
              <w:rPr>
                <w:b/>
                <w:bCs/>
                <w:i/>
              </w:rPr>
              <w:t xml:space="preserve">Local Government (Functions and General) Regulations 1996 </w:t>
            </w:r>
            <w:r>
              <w:rPr>
                <w:b/>
                <w:bCs/>
                <w:iCs/>
              </w:rPr>
              <w:t>as at 20 Jan 2006</w:t>
            </w:r>
            <w:r>
              <w:rPr>
                <w:iCs/>
              </w:rPr>
              <w:t xml:space="preserve"> (includes amendments listed above)</w:t>
            </w:r>
          </w:p>
        </w:tc>
      </w:tr>
      <w:tr>
        <w:trPr>
          <w:cantSplit/>
        </w:trPr>
        <w:tc>
          <w:tcPr>
            <w:tcW w:w="3119" w:type="dxa"/>
          </w:tcPr>
          <w:p>
            <w:pPr>
              <w:pStyle w:val="nTable"/>
              <w:spacing w:after="40"/>
              <w:ind w:right="113"/>
              <w:rPr>
                <w:iCs/>
              </w:rPr>
            </w:pPr>
            <w:r>
              <w:rPr>
                <w:i/>
              </w:rPr>
              <w:t>Local Government (Functions and General) Amendment Regulations 2007</w:t>
            </w:r>
            <w:r>
              <w:rPr>
                <w:iCs/>
              </w:rPr>
              <w:t xml:space="preserve"> </w:t>
            </w:r>
          </w:p>
        </w:tc>
        <w:tc>
          <w:tcPr>
            <w:tcW w:w="1276" w:type="dxa"/>
          </w:tcPr>
          <w:p>
            <w:pPr>
              <w:pStyle w:val="nTable"/>
              <w:spacing w:after="40"/>
            </w:pPr>
            <w:r>
              <w:t>2 Feb 2007 p. 244-6</w:t>
            </w:r>
          </w:p>
        </w:tc>
        <w:tc>
          <w:tcPr>
            <w:tcW w:w="2693" w:type="dxa"/>
          </w:tcPr>
          <w:p>
            <w:pPr>
              <w:pStyle w:val="nTable"/>
              <w:spacing w:after="40"/>
            </w:pPr>
            <w:r>
              <w:t>30 Mar 2007 (see r. 2)</w:t>
            </w:r>
          </w:p>
        </w:tc>
      </w:tr>
      <w:tr>
        <w:trPr>
          <w:cantSplit/>
        </w:trPr>
        <w:tc>
          <w:tcPr>
            <w:tcW w:w="3119" w:type="dxa"/>
          </w:tcPr>
          <w:p>
            <w:pPr>
              <w:pStyle w:val="nTable"/>
              <w:spacing w:after="40"/>
              <w:ind w:right="113"/>
              <w:rPr>
                <w:i/>
              </w:rPr>
            </w:pPr>
            <w:r>
              <w:rPr>
                <w:i/>
              </w:rPr>
              <w:t>Local Government (Functions and General) Amendment Regulations 2009</w:t>
            </w:r>
          </w:p>
        </w:tc>
        <w:tc>
          <w:tcPr>
            <w:tcW w:w="1276" w:type="dxa"/>
          </w:tcPr>
          <w:p>
            <w:pPr>
              <w:pStyle w:val="nTable"/>
              <w:spacing w:after="40"/>
            </w:pPr>
            <w:r>
              <w:t>20 Nov 2009 p. 4659-60</w:t>
            </w:r>
          </w:p>
        </w:tc>
        <w:tc>
          <w:tcPr>
            <w:tcW w:w="2693" w:type="dxa"/>
          </w:tcPr>
          <w:p>
            <w:pPr>
              <w:pStyle w:val="nTable"/>
              <w:spacing w:after="40"/>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rPr>
          <w:cantSplit/>
        </w:trPr>
        <w:tc>
          <w:tcPr>
            <w:tcW w:w="3119" w:type="dxa"/>
            <w:shd w:val="clear" w:color="auto" w:fill="auto"/>
          </w:tcPr>
          <w:p>
            <w:pPr>
              <w:pStyle w:val="nTable"/>
              <w:spacing w:after="40"/>
              <w:ind w:right="113"/>
              <w:rPr>
                <w:i/>
              </w:rPr>
            </w:pPr>
            <w:r>
              <w:rPr>
                <w:i/>
              </w:rPr>
              <w:t>Local Government (Functions and General) Amendment Regulations 2011</w:t>
            </w:r>
          </w:p>
        </w:tc>
        <w:tc>
          <w:tcPr>
            <w:tcW w:w="1276" w:type="dxa"/>
            <w:shd w:val="clear" w:color="auto" w:fill="auto"/>
          </w:tcPr>
          <w:p>
            <w:pPr>
              <w:pStyle w:val="nTable"/>
              <w:spacing w:after="40"/>
            </w:pPr>
            <w:r>
              <w:t>27 Sep 2011 p. 3843-7</w:t>
            </w:r>
          </w:p>
        </w:tc>
        <w:tc>
          <w:tcPr>
            <w:tcW w:w="2693" w:type="dxa"/>
            <w:shd w:val="clear" w:color="auto" w:fill="auto"/>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7088" w:type="dxa"/>
            <w:gridSpan w:val="3"/>
            <w:shd w:val="clear" w:color="auto" w:fill="auto"/>
          </w:tcPr>
          <w:p>
            <w:pPr>
              <w:pStyle w:val="nTable"/>
              <w:spacing w:after="40"/>
              <w:rPr>
                <w:snapToGrid w:val="0"/>
              </w:rPr>
            </w:pPr>
            <w:r>
              <w:rPr>
                <w:b/>
                <w:bCs/>
              </w:rPr>
              <w:t xml:space="preserve">Reprint 3: The </w:t>
            </w:r>
            <w:r>
              <w:rPr>
                <w:b/>
                <w:bCs/>
                <w:i/>
              </w:rPr>
              <w:t xml:space="preserve">Local Government (Functions and General) Regulations 1996 </w:t>
            </w:r>
            <w:r>
              <w:rPr>
                <w:b/>
                <w:bCs/>
                <w:iCs/>
              </w:rPr>
              <w:t>as at 16 Mar 2012</w:t>
            </w:r>
            <w:r>
              <w:rPr>
                <w:iCs/>
              </w:rPr>
              <w:t xml:space="preserve"> (includes amendments listed above)</w:t>
            </w:r>
          </w:p>
        </w:tc>
      </w:tr>
      <w:tr>
        <w:trPr>
          <w:cantSplit/>
        </w:trPr>
        <w:tc>
          <w:tcPr>
            <w:tcW w:w="3119" w:type="dxa"/>
            <w:shd w:val="clear" w:color="auto" w:fill="auto"/>
          </w:tcPr>
          <w:p>
            <w:pPr>
              <w:pStyle w:val="nTable"/>
              <w:spacing w:after="40"/>
              <w:ind w:right="113"/>
            </w:pPr>
            <w:r>
              <w:rPr>
                <w:i/>
              </w:rPr>
              <w:t xml:space="preserve">Local Government (Functions and General) Amendment Regulations 2015 </w:t>
            </w:r>
            <w:r>
              <w:t>Pt. 2</w:t>
            </w:r>
          </w:p>
        </w:tc>
        <w:tc>
          <w:tcPr>
            <w:tcW w:w="1276" w:type="dxa"/>
            <w:shd w:val="clear" w:color="auto" w:fill="auto"/>
          </w:tcPr>
          <w:p>
            <w:pPr>
              <w:pStyle w:val="nTable"/>
              <w:spacing w:after="40"/>
            </w:pPr>
            <w:r>
              <w:t>18 Sep 2015 p. 3804</w:t>
            </w:r>
            <w:r>
              <w:noBreakHyphen/>
              <w:t>13</w:t>
            </w:r>
          </w:p>
        </w:tc>
        <w:tc>
          <w:tcPr>
            <w:tcW w:w="2693" w:type="dxa"/>
            <w:shd w:val="clear" w:color="auto" w:fill="auto"/>
          </w:tcPr>
          <w:p>
            <w:pPr>
              <w:pStyle w:val="nTable"/>
              <w:spacing w:after="40"/>
              <w:rPr>
                <w:snapToGrid w:val="0"/>
              </w:rPr>
            </w:pPr>
            <w:r>
              <w:rPr>
                <w:snapToGrid w:val="0"/>
              </w:rPr>
              <w:t>1 Oct 2015 (see r. 2(b))</w:t>
            </w:r>
          </w:p>
        </w:tc>
      </w:tr>
      <w:tr>
        <w:trPr>
          <w:cantSplit/>
        </w:trPr>
        <w:tc>
          <w:tcPr>
            <w:tcW w:w="3119" w:type="dxa"/>
            <w:tcBorders>
              <w:bottom w:val="single" w:sz="4" w:space="0" w:color="auto"/>
            </w:tcBorders>
            <w:shd w:val="clear" w:color="auto" w:fill="auto"/>
          </w:tcPr>
          <w:p>
            <w:pPr>
              <w:pStyle w:val="nTable"/>
              <w:spacing w:after="40"/>
              <w:ind w:right="113"/>
            </w:pPr>
            <w:r>
              <w:rPr>
                <w:i/>
              </w:rPr>
              <w:t>Local Government Regulations Amendment (Associations Incorporation) Regulations 2016</w:t>
            </w:r>
            <w:r>
              <w:t xml:space="preserve"> Pt. 3</w:t>
            </w:r>
          </w:p>
        </w:tc>
        <w:tc>
          <w:tcPr>
            <w:tcW w:w="1276" w:type="dxa"/>
            <w:tcBorders>
              <w:bottom w:val="single" w:sz="4" w:space="0" w:color="auto"/>
            </w:tcBorders>
            <w:shd w:val="clear" w:color="auto" w:fill="auto"/>
          </w:tcPr>
          <w:p>
            <w:pPr>
              <w:pStyle w:val="nTable"/>
              <w:spacing w:after="40"/>
            </w:pPr>
            <w:r>
              <w:t>30 Dec 2016 p. 5969</w:t>
            </w:r>
            <w:r>
              <w:noBreakHyphen/>
              <w:t>70</w:t>
            </w:r>
          </w:p>
        </w:tc>
        <w:tc>
          <w:tcPr>
            <w:tcW w:w="2693" w:type="dxa"/>
            <w:tcBorders>
              <w:bottom w:val="single" w:sz="4" w:space="0" w:color="auto"/>
            </w:tcBorders>
            <w:shd w:val="clear" w:color="auto" w:fill="auto"/>
          </w:tcPr>
          <w:p>
            <w:pPr>
              <w:pStyle w:val="nTable"/>
              <w:spacing w:after="40"/>
              <w:rPr>
                <w:snapToGrid w:val="0"/>
              </w:rPr>
            </w:pPr>
            <w:r>
              <w:rPr>
                <w:snapToGrid w:val="0"/>
              </w:rPr>
              <w:t>31 Dec 2016 (see r. 2(b))</w:t>
            </w:r>
          </w:p>
        </w:tc>
      </w:tr>
    </w:tbl>
    <w:p>
      <w:pPr>
        <w:pStyle w:val="nSubsection"/>
        <w:spacing w:before="160"/>
      </w:pPr>
      <w:r>
        <w:rPr>
          <w:vertAlign w:val="superscript"/>
        </w:rPr>
        <w:t>2</w:t>
      </w:r>
      <w:r>
        <w:tab/>
        <w:t xml:space="preserve">The </w:t>
      </w:r>
      <w:r>
        <w:rPr>
          <w:i/>
          <w:iCs/>
        </w:rPr>
        <w:t>Local Government Act 1995</w:t>
      </w:r>
      <w:r>
        <w:t xml:space="preserve"> came into operation on 1 July 1996.</w:t>
      </w:r>
    </w:p>
    <w:p>
      <w:pPr>
        <w:pStyle w:val="nSubsection"/>
      </w:pPr>
      <w:r>
        <w:rPr>
          <w:vertAlign w:val="superscript"/>
        </w:rPr>
        <w:t>3</w:t>
      </w:r>
      <w:r>
        <w:tab/>
        <w:t xml:space="preserve">The </w:t>
      </w:r>
      <w:r>
        <w:rPr>
          <w:i/>
        </w:rPr>
        <w:t>Local Government (Functions and General) Amendment Regulations 2001</w:t>
      </w:r>
      <w:r>
        <w:t xml:space="preserve"> r. 11 is a transitional provision that is of no further effect.</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95" w:name="_Toc430335368"/>
      <w:bookmarkStart w:id="96" w:name="_Toc470792527"/>
      <w:r>
        <w:rPr>
          <w:sz w:val="28"/>
        </w:rPr>
        <w:t>Defined terms</w:t>
      </w:r>
      <w:bookmarkEnd w:id="95"/>
      <w:bookmarkEnd w:id="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former draft model by</w:t>
      </w:r>
      <w:r>
        <w:noBreakHyphen/>
        <w:t>law</w:t>
      </w:r>
      <w:r>
        <w:tab/>
        <w:t>38(4)</w:t>
      </w:r>
    </w:p>
    <w:p>
      <w:pPr>
        <w:pStyle w:val="DefinedTerms"/>
      </w:pPr>
      <w:r>
        <w:t>former section</w:t>
      </w:r>
      <w:r>
        <w:tab/>
        <w:t>6(4)</w:t>
      </w:r>
    </w:p>
    <w:p>
      <w:pPr>
        <w:pStyle w:val="DefinedTerms"/>
      </w:pPr>
      <w:r>
        <w:t>joint venture</w:t>
      </w:r>
      <w:r>
        <w:tab/>
        <w:t>10(2)</w:t>
      </w:r>
    </w:p>
    <w:p>
      <w:pPr>
        <w:pStyle w:val="DefinedTerms"/>
      </w:pPr>
      <w:r>
        <w:t>joint venturer</w:t>
      </w:r>
      <w:r>
        <w:tab/>
        <w:t>10(2)</w:t>
      </w:r>
    </w:p>
    <w:p>
      <w:pPr>
        <w:pStyle w:val="DefinedTerms"/>
      </w:pPr>
      <w:r>
        <w:t>land that will lose its access</w:t>
      </w:r>
      <w:r>
        <w:tab/>
        <w:t>4(3)</w:t>
      </w:r>
    </w:p>
    <w:p>
      <w:pPr>
        <w:pStyle w:val="DefinedTerms"/>
      </w:pPr>
      <w:r>
        <w:t>major regional centre</w:t>
      </w:r>
      <w:r>
        <w:tab/>
        <w:t>7(1)</w:t>
      </w:r>
    </w:p>
    <w:p>
      <w:pPr>
        <w:pStyle w:val="DefinedTerms"/>
      </w:pPr>
      <w:r>
        <w:t>minor variation</w:t>
      </w:r>
      <w:r>
        <w:tab/>
        <w:t>20(3)</w:t>
      </w:r>
    </w:p>
    <w:p>
      <w:pPr>
        <w:pStyle w:val="DefinedTerms"/>
      </w:pPr>
      <w:r>
        <w:t>public place</w:t>
      </w:r>
      <w:r>
        <w:tab/>
        <w:t>29(2)</w:t>
      </w:r>
    </w:p>
    <w:p>
      <w:pPr>
        <w:pStyle w:val="DefinedTerms"/>
      </w:pPr>
      <w:r>
        <w:t>regional price preference</w:t>
      </w:r>
      <w:r>
        <w:tab/>
        <w:t>24B(1)</w:t>
      </w:r>
    </w:p>
    <w:p>
      <w:pPr>
        <w:pStyle w:val="DefinedTerms"/>
      </w:pPr>
      <w:r>
        <w:t>regional tenderer</w:t>
      </w:r>
      <w:r>
        <w:tab/>
        <w:t>24B(1)</w:t>
      </w:r>
    </w:p>
    <w:p>
      <w:pPr>
        <w:pStyle w:val="DefinedTerms"/>
      </w:pPr>
      <w:r>
        <w:t>transferee</w:t>
      </w:r>
      <w:r>
        <w:tab/>
        <w:t>30(2)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Dec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612"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90" w:name="Schedule"/>
    <w:bookmarkEnd w:id="9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7" w:name="DefinedTerms"/>
    <w:bookmarkEnd w:id="9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8" w:name="Coversheet"/>
    <w:bookmarkEnd w:id="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4803"/>
    <w:docVar w:name="WAFER_20140203152655" w:val="RemoveTocBookmarks,RemoveUnusedBookmarks,RemoveLanguageTags,UsedStyles,ResetPageSize,UpdateArrangement"/>
    <w:docVar w:name="WAFER_20140203152655_GUID" w:val="21f845e7-e0b8-4955-8ccc-04a15f8c908d"/>
    <w:docVar w:name="WAFER_20140203153822" w:val="RemoveTocBookmarks,RunningHeaders"/>
    <w:docVar w:name="WAFER_20140203153822_GUID" w:val="b467dcf4-3bfd-4c1e-a781-7443a11fe7ec"/>
    <w:docVar w:name="WAFER_20150602110926" w:val="ResetPageSize,UpdateArrangement,UpdateNTable"/>
    <w:docVar w:name="WAFER_20150602110926_GUID" w:val="d60fe664-6031-450d-8f19-a1686c0e95c4"/>
    <w:docVar w:name="WAFER_20150917130056" w:val="RemoveTocBookmarks,RemoveUnusedBookmarks,RemoveLanguageTags,UsedStyles,ResetPageSize"/>
    <w:docVar w:name="WAFER_20150917130056_GUID" w:val="7adf76eb-cc59-45a9-9920-34cea77a6b18"/>
    <w:docVar w:name="WAFER_20151106100525" w:val="UpdateStyles,UsedStyles"/>
    <w:docVar w:name="WAFER_20151106100525_GUID" w:val="7eef940c-1a23-4c28-a0b4-850570712449"/>
    <w:docVar w:name="WAFER_20151130164803" w:val="RemoveTrackChanges"/>
    <w:docVar w:name="WAFER_20151130164803_GUID" w:val="0c9e1353-4db3-43af-8667-d258b52269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12010</Words>
  <Characters>64736</Characters>
  <Application>Microsoft Office Word</Application>
  <DocSecurity>0</DocSecurity>
  <Lines>1703</Lines>
  <Paragraphs>1023</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75723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1996 - 03-c0-00</dc:title>
  <dc:subject/>
  <dc:creator/>
  <cp:keywords/>
  <dc:description/>
  <cp:lastModifiedBy>svcMRProcess</cp:lastModifiedBy>
  <cp:revision>4</cp:revision>
  <cp:lastPrinted>2012-04-02T07:14:00Z</cp:lastPrinted>
  <dcterms:created xsi:type="dcterms:W3CDTF">2018-09-12T17:47:00Z</dcterms:created>
  <dcterms:modified xsi:type="dcterms:W3CDTF">2018-09-12T17:47:00Z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DocumentType">
    <vt:lpwstr>Reg</vt:lpwstr>
  </property>
  <property fmtid="{D5CDD505-2E9C-101B-9397-08002B2CF9AE}" pid="4" name="OwlsUID">
    <vt:i4>4578</vt:i4>
  </property>
  <property fmtid="{D5CDD505-2E9C-101B-9397-08002B2CF9AE}" pid="5" name="ReprintNo">
    <vt:lpwstr>3</vt:lpwstr>
  </property>
  <property fmtid="{D5CDD505-2E9C-101B-9397-08002B2CF9AE}" pid="6" name="ReprintedAsAt">
    <vt:filetime>2012-03-15T16:00:00Z</vt:filetime>
  </property>
  <property fmtid="{D5CDD505-2E9C-101B-9397-08002B2CF9AE}" pid="7" name="AsAtDate">
    <vt:lpwstr>31 Dec 2016</vt:lpwstr>
  </property>
  <property fmtid="{D5CDD505-2E9C-101B-9397-08002B2CF9AE}" pid="8" name="Suffix">
    <vt:lpwstr>03-c0-00</vt:lpwstr>
  </property>
  <property fmtid="{D5CDD505-2E9C-101B-9397-08002B2CF9AE}" pid="9" name="CommencementDate">
    <vt:lpwstr>20161231</vt:lpwstr>
  </property>
</Properties>
</file>