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_Toc523925623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_Toc523925624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_Toc523925625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Murdoch University</w:t>
      </w:r>
    </w:p>
    <w:p>
      <w:pPr>
        <w:pStyle w:val="TOC8"/>
        <w:rPr>
          <w:rFonts w:asciiTheme="minorHAnsi" w:eastAsiaTheme="minorEastAsia" w:hAnsiTheme="minorHAnsi" w:cstheme="minorBidi"/>
          <w:szCs w:val="22"/>
        </w:rPr>
      </w:pPr>
      <w:r>
        <w:t>4</w:t>
      </w:r>
      <w:r>
        <w:rPr>
          <w:snapToGrid w:val="0"/>
        </w:rPr>
        <w:t>.</w:t>
      </w:r>
      <w:r>
        <w:rPr>
          <w:snapToGrid w:val="0"/>
        </w:rPr>
        <w:tab/>
        <w:t>Murdoch University</w:t>
      </w:r>
      <w:r>
        <w:tab/>
      </w:r>
      <w:r>
        <w:fldChar w:fldCharType="begin"/>
      </w:r>
      <w:r>
        <w:instrText xml:space="preserve"> PAGEREF _Toc523925627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University</w:t>
      </w:r>
      <w:r>
        <w:tab/>
      </w:r>
      <w:r>
        <w:fldChar w:fldCharType="begin"/>
      </w:r>
      <w:r>
        <w:instrText xml:space="preserve"> PAGEREF _Toc523925628 \h </w:instrText>
      </w:r>
      <w:r>
        <w:fldChar w:fldCharType="separate"/>
      </w:r>
      <w:r>
        <w:t>4</w:t>
      </w:r>
      <w:r>
        <w:fldChar w:fldCharType="end"/>
      </w:r>
    </w:p>
    <w:p>
      <w:pPr>
        <w:pStyle w:val="TOC8"/>
        <w:rPr>
          <w:rFonts w:asciiTheme="minorHAnsi" w:eastAsiaTheme="minorEastAsia" w:hAnsiTheme="minorHAnsi" w:cstheme="minorBidi"/>
          <w:szCs w:val="22"/>
        </w:rPr>
      </w:pPr>
      <w:r>
        <w:t>6.</w:t>
      </w:r>
      <w:r>
        <w:tab/>
        <w:t>Functions of University</w:t>
      </w:r>
      <w:r>
        <w:tab/>
      </w:r>
      <w:r>
        <w:fldChar w:fldCharType="begin"/>
      </w:r>
      <w:r>
        <w:instrText xml:space="preserve"> PAGEREF _Toc523925629 \h </w:instrText>
      </w:r>
      <w:r>
        <w:fldChar w:fldCharType="separate"/>
      </w:r>
      <w:r>
        <w:t>4</w:t>
      </w:r>
      <w:r>
        <w:fldChar w:fldCharType="end"/>
      </w:r>
    </w:p>
    <w:p>
      <w:pPr>
        <w:pStyle w:val="TOC8"/>
        <w:rPr>
          <w:rFonts w:asciiTheme="minorHAnsi" w:eastAsiaTheme="minorEastAsia" w:hAnsiTheme="minorHAnsi" w:cstheme="minorBidi"/>
          <w:szCs w:val="22"/>
        </w:rPr>
      </w:pPr>
      <w:r>
        <w:t>8A.</w:t>
      </w:r>
      <w:r>
        <w:tab/>
        <w:t>Power of University to provide residential accommodation for staff and students</w:t>
      </w:r>
      <w:r>
        <w:tab/>
      </w:r>
      <w:r>
        <w:fldChar w:fldCharType="begin"/>
      </w:r>
      <w:r>
        <w:instrText xml:space="preserve"> PAGEREF _Toc523925630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Constitution of University</w:t>
      </w:r>
    </w:p>
    <w:p>
      <w:pPr>
        <w:pStyle w:val="TOC8"/>
        <w:rPr>
          <w:rFonts w:asciiTheme="minorHAnsi" w:eastAsiaTheme="minorEastAsia" w:hAnsiTheme="minorHAnsi" w:cstheme="minorBidi"/>
          <w:szCs w:val="22"/>
        </w:rPr>
      </w:pPr>
      <w:r>
        <w:t>8</w:t>
      </w:r>
      <w:r>
        <w:rPr>
          <w:snapToGrid w:val="0"/>
        </w:rPr>
        <w:t>.</w:t>
      </w:r>
      <w:r>
        <w:rPr>
          <w:snapToGrid w:val="0"/>
        </w:rPr>
        <w:tab/>
        <w:t>Constitution</w:t>
      </w:r>
      <w:r>
        <w:tab/>
      </w:r>
      <w:r>
        <w:fldChar w:fldCharType="begin"/>
      </w:r>
      <w:r>
        <w:instrText xml:space="preserve"> PAGEREF _Toc523925632 \h </w:instrText>
      </w:r>
      <w:r>
        <w:fldChar w:fldCharType="separate"/>
      </w:r>
      <w:r>
        <w:t>7</w:t>
      </w:r>
      <w:r>
        <w:fldChar w:fldCharType="end"/>
      </w:r>
    </w:p>
    <w:p>
      <w:pPr>
        <w:pStyle w:val="TOC8"/>
        <w:rPr>
          <w:rFonts w:asciiTheme="minorHAnsi" w:eastAsiaTheme="minorEastAsia" w:hAnsiTheme="minorHAnsi" w:cstheme="minorBidi"/>
          <w:szCs w:val="22"/>
        </w:rPr>
      </w:pPr>
      <w:r>
        <w:t>9.</w:t>
      </w:r>
      <w:r>
        <w:tab/>
        <w:t>Visitor</w:t>
      </w:r>
      <w:r>
        <w:tab/>
      </w:r>
      <w:r>
        <w:fldChar w:fldCharType="begin"/>
      </w:r>
      <w:r>
        <w:instrText xml:space="preserve"> PAGEREF _Toc523925633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Chancellor</w:t>
      </w:r>
      <w:r>
        <w:tab/>
      </w:r>
      <w:r>
        <w:fldChar w:fldCharType="begin"/>
      </w:r>
      <w:r>
        <w:instrText xml:space="preserve"> PAGEREF _Toc523925634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Chancellor</w:t>
      </w:r>
      <w:r>
        <w:tab/>
      </w:r>
      <w:r>
        <w:fldChar w:fldCharType="begin"/>
      </w:r>
      <w:r>
        <w:instrText xml:space="preserve"> PAGEREF _Toc523925635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Senate</w:t>
      </w:r>
      <w:r>
        <w:tab/>
      </w:r>
      <w:r>
        <w:fldChar w:fldCharType="begin"/>
      </w:r>
      <w:r>
        <w:instrText xml:space="preserve"> PAGEREF _Toc523925636 \h </w:instrText>
      </w:r>
      <w:r>
        <w:fldChar w:fldCharType="separate"/>
      </w:r>
      <w:r>
        <w:t>8</w:t>
      </w:r>
      <w:r>
        <w:fldChar w:fldCharType="end"/>
      </w:r>
    </w:p>
    <w:p>
      <w:pPr>
        <w:pStyle w:val="TOC8"/>
        <w:rPr>
          <w:rFonts w:asciiTheme="minorHAnsi" w:eastAsiaTheme="minorEastAsia" w:hAnsiTheme="minorHAnsi" w:cstheme="minorBidi"/>
          <w:szCs w:val="22"/>
        </w:rPr>
      </w:pPr>
      <w:r>
        <w:t>13.</w:t>
      </w:r>
      <w:r>
        <w:tab/>
        <w:t>Nominations Committee</w:t>
      </w:r>
      <w:r>
        <w:tab/>
      </w:r>
      <w:r>
        <w:fldChar w:fldCharType="begin"/>
      </w:r>
      <w:r>
        <w:instrText xml:space="preserve"> PAGEREF _Toc523925637 \h </w:instrText>
      </w:r>
      <w:r>
        <w:fldChar w:fldCharType="separate"/>
      </w:r>
      <w:r>
        <w:t>11</w:t>
      </w:r>
      <w:r>
        <w:fldChar w:fldCharType="end"/>
      </w:r>
    </w:p>
    <w:p>
      <w:pPr>
        <w:pStyle w:val="TOC8"/>
        <w:rPr>
          <w:rFonts w:asciiTheme="minorHAnsi" w:eastAsiaTheme="minorEastAsia" w:hAnsiTheme="minorHAnsi" w:cstheme="minorBidi"/>
          <w:szCs w:val="22"/>
        </w:rPr>
      </w:pPr>
      <w:r>
        <w:t>14.</w:t>
      </w:r>
      <w:r>
        <w:tab/>
        <w:t>Term of office of members</w:t>
      </w:r>
      <w:r>
        <w:tab/>
      </w:r>
      <w:r>
        <w:fldChar w:fldCharType="begin"/>
      </w:r>
      <w:r>
        <w:instrText xml:space="preserve"> PAGEREF _Toc523925638 \h </w:instrText>
      </w:r>
      <w:r>
        <w:fldChar w:fldCharType="separate"/>
      </w:r>
      <w:r>
        <w:t>12</w:t>
      </w:r>
      <w:r>
        <w:fldChar w:fldCharType="end"/>
      </w:r>
    </w:p>
    <w:p>
      <w:pPr>
        <w:pStyle w:val="TOC8"/>
        <w:rPr>
          <w:rFonts w:asciiTheme="minorHAnsi" w:eastAsiaTheme="minorEastAsia" w:hAnsiTheme="minorHAnsi" w:cstheme="minorBidi"/>
          <w:szCs w:val="22"/>
        </w:rPr>
      </w:pPr>
      <w:r>
        <w:t>14A.</w:t>
      </w:r>
      <w:r>
        <w:tab/>
        <w:t>Duties of Senate members</w:t>
      </w:r>
      <w:r>
        <w:tab/>
      </w:r>
      <w:r>
        <w:fldChar w:fldCharType="begin"/>
      </w:r>
      <w:r>
        <w:instrText xml:space="preserve"> PAGEREF _Toc523925639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disqualification and vacation of office</w:t>
      </w:r>
      <w:r>
        <w:tab/>
      </w:r>
      <w:r>
        <w:fldChar w:fldCharType="begin"/>
      </w:r>
      <w:r>
        <w:instrText xml:space="preserve"> PAGEREF _Toc523925640 \h </w:instrText>
      </w:r>
      <w:r>
        <w:fldChar w:fldCharType="separate"/>
      </w:r>
      <w:r>
        <w:t>13</w:t>
      </w:r>
      <w:r>
        <w:fldChar w:fldCharType="end"/>
      </w:r>
    </w:p>
    <w:p>
      <w:pPr>
        <w:pStyle w:val="TOC8"/>
        <w:rPr>
          <w:rFonts w:asciiTheme="minorHAnsi" w:eastAsiaTheme="minorEastAsia" w:hAnsiTheme="minorHAnsi" w:cstheme="minorBidi"/>
          <w:szCs w:val="22"/>
        </w:rPr>
      </w:pPr>
      <w:r>
        <w:t>15A.</w:t>
      </w:r>
      <w:r>
        <w:tab/>
        <w:t>Removal of Senate members for breach of certain duties and suspension pending removal</w:t>
      </w:r>
      <w:r>
        <w:tab/>
      </w:r>
      <w:r>
        <w:fldChar w:fldCharType="begin"/>
      </w:r>
      <w:r>
        <w:instrText xml:space="preserve"> PAGEREF _Toc523925641 \h </w:instrText>
      </w:r>
      <w:r>
        <w:fldChar w:fldCharType="separate"/>
      </w:r>
      <w:r>
        <w:t>14</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_Toc523925642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Functions of Senate, its powers and duties</w:t>
      </w:r>
      <w:r>
        <w:tab/>
      </w:r>
      <w:r>
        <w:fldChar w:fldCharType="begin"/>
      </w:r>
      <w:r>
        <w:instrText xml:space="preserve"> PAGEREF _Toc523925643 \h </w:instrText>
      </w:r>
      <w:r>
        <w:fldChar w:fldCharType="separate"/>
      </w:r>
      <w:r>
        <w:t>16</w:t>
      </w:r>
      <w:r>
        <w:fldChar w:fldCharType="end"/>
      </w:r>
    </w:p>
    <w:p>
      <w:pPr>
        <w:pStyle w:val="TOC8"/>
        <w:rPr>
          <w:rFonts w:asciiTheme="minorHAnsi" w:eastAsiaTheme="minorEastAsia" w:hAnsiTheme="minorHAnsi" w:cstheme="minorBidi"/>
          <w:szCs w:val="22"/>
        </w:rPr>
      </w:pPr>
      <w:r>
        <w:t>17A.</w:t>
      </w:r>
      <w:r>
        <w:tab/>
        <w:t>Disclosure of interests</w:t>
      </w:r>
      <w:r>
        <w:tab/>
      </w:r>
      <w:r>
        <w:fldChar w:fldCharType="begin"/>
      </w:r>
      <w:r>
        <w:instrText xml:space="preserve"> PAGEREF _Toc523925644 \h </w:instrText>
      </w:r>
      <w:r>
        <w:fldChar w:fldCharType="separate"/>
      </w:r>
      <w:r>
        <w:t>17</w:t>
      </w:r>
      <w:r>
        <w:fldChar w:fldCharType="end"/>
      </w:r>
    </w:p>
    <w:p>
      <w:pPr>
        <w:pStyle w:val="TOC8"/>
        <w:rPr>
          <w:rFonts w:asciiTheme="minorHAnsi" w:eastAsiaTheme="minorEastAsia" w:hAnsiTheme="minorHAnsi" w:cstheme="minorBidi"/>
          <w:szCs w:val="22"/>
        </w:rPr>
      </w:pPr>
      <w:r>
        <w:t>17B.</w:t>
      </w:r>
      <w:r>
        <w:tab/>
        <w:t>Relief of Senate members from liability</w:t>
      </w:r>
      <w:r>
        <w:tab/>
      </w:r>
      <w:r>
        <w:fldChar w:fldCharType="begin"/>
      </w:r>
      <w:r>
        <w:instrText xml:space="preserve"> PAGEREF _Toc523925645 \h </w:instrText>
      </w:r>
      <w:r>
        <w:fldChar w:fldCharType="separate"/>
      </w:r>
      <w:r>
        <w:t>17</w:t>
      </w:r>
      <w:r>
        <w:fldChar w:fldCharType="end"/>
      </w:r>
    </w:p>
    <w:p>
      <w:pPr>
        <w:pStyle w:val="TOC8"/>
        <w:rPr>
          <w:rFonts w:asciiTheme="minorHAnsi" w:eastAsiaTheme="minorEastAsia" w:hAnsiTheme="minorHAnsi" w:cstheme="minorBidi"/>
          <w:szCs w:val="22"/>
        </w:rPr>
      </w:pPr>
      <w:r>
        <w:t>18.</w:t>
      </w:r>
      <w:r>
        <w:tab/>
        <w:t>Delegation by Senate</w:t>
      </w:r>
      <w:r>
        <w:tab/>
      </w:r>
      <w:r>
        <w:fldChar w:fldCharType="begin"/>
      </w:r>
      <w:r>
        <w:instrText xml:space="preserve"> PAGEREF _Toc523925646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Convocation</w:t>
      </w:r>
      <w:r>
        <w:tab/>
      </w:r>
      <w:r>
        <w:fldChar w:fldCharType="begin"/>
      </w:r>
      <w:r>
        <w:instrText xml:space="preserve"> PAGEREF _Toc523925647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Guild of Students</w:t>
      </w:r>
      <w:r>
        <w:tab/>
      </w:r>
      <w:r>
        <w:fldChar w:fldCharType="begin"/>
      </w:r>
      <w:r>
        <w:instrText xml:space="preserve"> PAGEREF _Toc523925648 \h </w:instrText>
      </w:r>
      <w:r>
        <w:fldChar w:fldCharType="separate"/>
      </w:r>
      <w:r>
        <w:t>19</w:t>
      </w:r>
      <w:r>
        <w:fldChar w:fldCharType="end"/>
      </w:r>
    </w:p>
    <w:p>
      <w:pPr>
        <w:pStyle w:val="TOC8"/>
        <w:rPr>
          <w:rFonts w:asciiTheme="minorHAnsi" w:eastAsiaTheme="minorEastAsia" w:hAnsiTheme="minorHAnsi" w:cstheme="minorBidi"/>
          <w:szCs w:val="22"/>
        </w:rPr>
      </w:pPr>
      <w:r>
        <w:t>20A.</w:t>
      </w:r>
      <w:r>
        <w:tab/>
        <w:t>Amenities and services fee</w:t>
      </w:r>
      <w:r>
        <w:tab/>
      </w:r>
      <w:r>
        <w:fldChar w:fldCharType="begin"/>
      </w:r>
      <w:r>
        <w:instrText xml:space="preserve"> PAGEREF _Toc523925649 \h </w:instrText>
      </w:r>
      <w:r>
        <w:fldChar w:fldCharType="separate"/>
      </w:r>
      <w:r>
        <w:t>20</w:t>
      </w:r>
      <w:r>
        <w:fldChar w:fldCharType="end"/>
      </w:r>
    </w:p>
    <w:p>
      <w:pPr>
        <w:pStyle w:val="TOC8"/>
        <w:rPr>
          <w:rFonts w:asciiTheme="minorHAnsi" w:eastAsiaTheme="minorEastAsia" w:hAnsiTheme="minorHAnsi" w:cstheme="minorBidi"/>
          <w:szCs w:val="22"/>
        </w:rPr>
      </w:pPr>
      <w:r>
        <w:t>20B.</w:t>
      </w:r>
      <w:r>
        <w:tab/>
        <w:t>Senate to include detail in Statute</w:t>
      </w:r>
      <w:r>
        <w:tab/>
      </w:r>
      <w:r>
        <w:fldChar w:fldCharType="begin"/>
      </w:r>
      <w:r>
        <w:instrText xml:space="preserve"> PAGEREF _Toc523925650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Academic Council</w:t>
      </w:r>
      <w:r>
        <w:tab/>
      </w:r>
      <w:r>
        <w:fldChar w:fldCharType="begin"/>
      </w:r>
      <w:r>
        <w:instrText xml:space="preserve"> PAGEREF _Toc523925651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Degrees and academic distinctions</w:t>
      </w:r>
      <w:r>
        <w:tab/>
      </w:r>
      <w:r>
        <w:fldChar w:fldCharType="begin"/>
      </w:r>
      <w:r>
        <w:instrText xml:space="preserve"> PAGEREF _Toc523925652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Vice</w:t>
      </w:r>
      <w:r>
        <w:rPr>
          <w:snapToGrid w:val="0"/>
        </w:rPr>
        <w:noBreakHyphen/>
        <w:t>Chancellor</w:t>
      </w:r>
      <w:r>
        <w:tab/>
      </w:r>
      <w:r>
        <w:fldChar w:fldCharType="begin"/>
      </w:r>
      <w:r>
        <w:instrText xml:space="preserve"> PAGEREF _Toc523925653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By</w:t>
      </w:r>
      <w:r>
        <w:noBreakHyphen/>
        <w:t>laws, Statutes and regulations</w:t>
      </w:r>
    </w:p>
    <w:p>
      <w:pPr>
        <w:pStyle w:val="TOC8"/>
        <w:rPr>
          <w:rFonts w:asciiTheme="minorHAnsi" w:eastAsiaTheme="minorEastAsia" w:hAnsiTheme="minorHAnsi" w:cstheme="minorBidi"/>
          <w:szCs w:val="22"/>
        </w:rPr>
      </w:pPr>
      <w:r>
        <w:t>24</w:t>
      </w:r>
      <w:r>
        <w:rPr>
          <w:snapToGrid w:val="0"/>
        </w:rPr>
        <w:t>.</w:t>
      </w:r>
      <w:r>
        <w:rPr>
          <w:snapToGrid w:val="0"/>
        </w:rPr>
        <w:tab/>
        <w:t>By</w:t>
      </w:r>
      <w:r>
        <w:rPr>
          <w:snapToGrid w:val="0"/>
        </w:rPr>
        <w:noBreakHyphen/>
        <w:t>laws</w:t>
      </w:r>
      <w:r>
        <w:tab/>
      </w:r>
      <w:r>
        <w:fldChar w:fldCharType="begin"/>
      </w:r>
      <w:r>
        <w:instrText xml:space="preserve"> PAGEREF _Toc523925655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Statutes</w:t>
      </w:r>
      <w:r>
        <w:tab/>
      </w:r>
      <w:r>
        <w:fldChar w:fldCharType="begin"/>
      </w:r>
      <w:r>
        <w:instrText xml:space="preserve"> PAGEREF _Toc523925656 \h </w:instrText>
      </w:r>
      <w:r>
        <w:fldChar w:fldCharType="separate"/>
      </w:r>
      <w:r>
        <w:t>29</w:t>
      </w:r>
      <w:r>
        <w:fldChar w:fldCharType="end"/>
      </w:r>
    </w:p>
    <w:p>
      <w:pPr>
        <w:pStyle w:val="TOC8"/>
        <w:rPr>
          <w:rFonts w:asciiTheme="minorHAnsi" w:eastAsiaTheme="minorEastAsia" w:hAnsiTheme="minorHAnsi" w:cstheme="minorBidi"/>
          <w:szCs w:val="22"/>
        </w:rPr>
      </w:pPr>
      <w:r>
        <w:t>26A.</w:t>
      </w:r>
      <w:r>
        <w:tab/>
        <w:t>Approval, publication, disallowance and proof of Statutes and by</w:t>
      </w:r>
      <w:r>
        <w:noBreakHyphen/>
        <w:t>laws</w:t>
      </w:r>
      <w:r>
        <w:tab/>
      </w:r>
      <w:r>
        <w:fldChar w:fldCharType="begin"/>
      </w:r>
      <w:r>
        <w:instrText xml:space="preserve"> PAGEREF _Toc523925657 \h </w:instrText>
      </w:r>
      <w:r>
        <w:fldChar w:fldCharType="separate"/>
      </w:r>
      <w:r>
        <w:t>31</w:t>
      </w:r>
      <w:r>
        <w:fldChar w:fldCharType="end"/>
      </w:r>
    </w:p>
    <w:p>
      <w:pPr>
        <w:pStyle w:val="TOC8"/>
        <w:rPr>
          <w:rFonts w:asciiTheme="minorHAnsi" w:eastAsiaTheme="minorEastAsia" w:hAnsiTheme="minorHAnsi" w:cstheme="minorBidi"/>
          <w:szCs w:val="22"/>
        </w:rPr>
      </w:pPr>
      <w:r>
        <w:t>26B.</w:t>
      </w:r>
      <w:r>
        <w:tab/>
        <w:t>Statutes and by</w:t>
      </w:r>
      <w:r>
        <w:noBreakHyphen/>
        <w:t>laws to be made readily available to public</w:t>
      </w:r>
      <w:r>
        <w:tab/>
      </w:r>
      <w:r>
        <w:fldChar w:fldCharType="begin"/>
      </w:r>
      <w:r>
        <w:instrText xml:space="preserve"> PAGEREF _Toc523925658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made by Senate</w:t>
      </w:r>
      <w:r>
        <w:tab/>
      </w:r>
      <w:r>
        <w:fldChar w:fldCharType="begin"/>
      </w:r>
      <w:r>
        <w:instrText xml:space="preserve"> PAGEREF _Toc523925659 \h </w:instrText>
      </w:r>
      <w:r>
        <w:fldChar w:fldCharType="separate"/>
      </w:r>
      <w:r>
        <w:t>33</w:t>
      </w:r>
      <w:r>
        <w:fldChar w:fldCharType="end"/>
      </w:r>
    </w:p>
    <w:p>
      <w:pPr>
        <w:pStyle w:val="TOC8"/>
        <w:rPr>
          <w:rFonts w:asciiTheme="minorHAnsi" w:eastAsiaTheme="minorEastAsia" w:hAnsiTheme="minorHAnsi" w:cstheme="minorBidi"/>
          <w:szCs w:val="22"/>
        </w:rPr>
      </w:pPr>
      <w:r>
        <w:t>28A.</w:t>
      </w:r>
      <w:r>
        <w:tab/>
        <w:t>Regulations made by Governor</w:t>
      </w:r>
      <w:r>
        <w:tab/>
      </w:r>
      <w:r>
        <w:fldChar w:fldCharType="begin"/>
      </w:r>
      <w:r>
        <w:instrText xml:space="preserve"> PAGEREF _Toc523925660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University lands and financial provisions</w:t>
      </w:r>
    </w:p>
    <w:p>
      <w:pPr>
        <w:pStyle w:val="TOC4"/>
        <w:tabs>
          <w:tab w:val="right" w:leader="dot" w:pos="7077"/>
        </w:tabs>
        <w:rPr>
          <w:rFonts w:asciiTheme="minorHAnsi" w:eastAsiaTheme="minorEastAsia" w:hAnsiTheme="minorHAnsi" w:cstheme="minorBidi"/>
          <w:b w:val="0"/>
          <w:szCs w:val="22"/>
        </w:rPr>
      </w:pPr>
      <w:r>
        <w:t>Division 1 — Vesting of lands in University</w:t>
      </w:r>
    </w:p>
    <w:p>
      <w:pPr>
        <w:pStyle w:val="TOC8"/>
        <w:rPr>
          <w:rFonts w:asciiTheme="minorHAnsi" w:eastAsiaTheme="minorEastAsia" w:hAnsiTheme="minorHAnsi" w:cstheme="minorBidi"/>
          <w:szCs w:val="22"/>
        </w:rPr>
      </w:pPr>
      <w:r>
        <w:t>28</w:t>
      </w:r>
      <w:r>
        <w:rPr>
          <w:snapToGrid w:val="0"/>
        </w:rPr>
        <w:t>.</w:t>
      </w:r>
      <w:r>
        <w:rPr>
          <w:snapToGrid w:val="0"/>
        </w:rPr>
        <w:tab/>
        <w:t>Power to vest certain lands in University</w:t>
      </w:r>
      <w:r>
        <w:tab/>
      </w:r>
      <w:r>
        <w:fldChar w:fldCharType="begin"/>
      </w:r>
      <w:r>
        <w:instrText xml:space="preserve"> PAGEREF _Toc523925663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 and dealings in land</w:t>
      </w:r>
    </w:p>
    <w:p>
      <w:pPr>
        <w:pStyle w:val="TOC8"/>
        <w:rPr>
          <w:rFonts w:asciiTheme="minorHAnsi" w:eastAsiaTheme="minorEastAsia" w:hAnsiTheme="minorHAnsi" w:cstheme="minorBidi"/>
          <w:szCs w:val="22"/>
        </w:rPr>
      </w:pPr>
      <w:r>
        <w:t>29</w:t>
      </w:r>
      <w:r>
        <w:rPr>
          <w:snapToGrid w:val="0"/>
        </w:rPr>
        <w:t>.</w:t>
      </w:r>
      <w:r>
        <w:rPr>
          <w:snapToGrid w:val="0"/>
        </w:rPr>
        <w:tab/>
        <w:t>Financial provisions and dealings in land</w:t>
      </w:r>
      <w:r>
        <w:tab/>
      </w:r>
      <w:r>
        <w:fldChar w:fldCharType="begin"/>
      </w:r>
      <w:r>
        <w:instrText xml:space="preserve"> PAGEREF _Toc523925665 \h </w:instrText>
      </w:r>
      <w:r>
        <w:fldChar w:fldCharType="separate"/>
      </w:r>
      <w:r>
        <w:t>34</w:t>
      </w:r>
      <w:r>
        <w:fldChar w:fldCharType="end"/>
      </w:r>
    </w:p>
    <w:p>
      <w:pPr>
        <w:pStyle w:val="TOC8"/>
        <w:rPr>
          <w:rFonts w:asciiTheme="minorHAnsi" w:eastAsiaTheme="minorEastAsia" w:hAnsiTheme="minorHAnsi" w:cstheme="minorBidi"/>
          <w:szCs w:val="22"/>
        </w:rPr>
      </w:pPr>
      <w:r>
        <w:t>30A.</w:t>
      </w:r>
      <w:r>
        <w:tab/>
        <w:t>Exemption from rate or tax</w:t>
      </w:r>
      <w:r>
        <w:tab/>
      </w:r>
      <w:r>
        <w:fldChar w:fldCharType="begin"/>
      </w:r>
      <w:r>
        <w:instrText xml:space="preserve"> PAGEREF _Toc523925666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Special powers of investment</w:t>
      </w:r>
      <w:r>
        <w:tab/>
      </w:r>
      <w:r>
        <w:fldChar w:fldCharType="begin"/>
      </w:r>
      <w:r>
        <w:instrText xml:space="preserve"> PAGEREF _Toc523925667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moneys</w:t>
      </w:r>
      <w:r>
        <w:tab/>
      </w:r>
      <w:r>
        <w:fldChar w:fldCharType="begin"/>
      </w:r>
      <w:r>
        <w:instrText xml:space="preserve"> PAGEREF _Toc523925668 \h </w:instrText>
      </w:r>
      <w:r>
        <w:fldChar w:fldCharType="separate"/>
      </w:r>
      <w:r>
        <w:t>37</w:t>
      </w:r>
      <w:r>
        <w:fldChar w:fldCharType="end"/>
      </w:r>
    </w:p>
    <w:p>
      <w:pPr>
        <w:pStyle w:val="TOC8"/>
        <w:rPr>
          <w:rFonts w:asciiTheme="minorHAnsi" w:eastAsiaTheme="minorEastAsia" w:hAnsiTheme="minorHAnsi" w:cstheme="minorBidi"/>
          <w:szCs w:val="22"/>
        </w:rPr>
      </w:pPr>
      <w:r>
        <w:t>32A.</w:t>
      </w:r>
      <w:r>
        <w:tab/>
        <w:t>Borrowing and other ways of raising money</w:t>
      </w:r>
      <w:r>
        <w:tab/>
      </w:r>
      <w:r>
        <w:fldChar w:fldCharType="begin"/>
      </w:r>
      <w:r>
        <w:instrText xml:space="preserve"> PAGEREF _Toc523925669 \h </w:instrText>
      </w:r>
      <w:r>
        <w:fldChar w:fldCharType="separate"/>
      </w:r>
      <w:r>
        <w:t>38</w:t>
      </w:r>
      <w:r>
        <w:fldChar w:fldCharType="end"/>
      </w:r>
    </w:p>
    <w:p>
      <w:pPr>
        <w:pStyle w:val="TOC8"/>
        <w:rPr>
          <w:rFonts w:asciiTheme="minorHAnsi" w:eastAsiaTheme="minorEastAsia" w:hAnsiTheme="minorHAnsi" w:cstheme="minorBidi"/>
          <w:szCs w:val="22"/>
        </w:rPr>
      </w:pPr>
      <w:r>
        <w:t>32B.</w:t>
      </w:r>
      <w:r>
        <w:tab/>
        <w:t>Notice of borrowing</w:t>
      </w:r>
      <w:r>
        <w:tab/>
      </w:r>
      <w:r>
        <w:fldChar w:fldCharType="begin"/>
      </w:r>
      <w:r>
        <w:instrText xml:space="preserve"> PAGEREF _Toc523925670 \h </w:instrText>
      </w:r>
      <w:r>
        <w:fldChar w:fldCharType="separate"/>
      </w:r>
      <w:r>
        <w:t>39</w:t>
      </w:r>
      <w:r>
        <w:fldChar w:fldCharType="end"/>
      </w:r>
    </w:p>
    <w:p>
      <w:pPr>
        <w:pStyle w:val="TOC8"/>
        <w:rPr>
          <w:rFonts w:asciiTheme="minorHAnsi" w:eastAsiaTheme="minorEastAsia" w:hAnsiTheme="minorHAnsi" w:cstheme="minorBidi"/>
          <w:szCs w:val="22"/>
        </w:rPr>
      </w:pPr>
      <w:r>
        <w:t>32C.</w:t>
      </w:r>
      <w:r>
        <w:tab/>
        <w:t>Guarantees</w:t>
      </w:r>
      <w:r>
        <w:tab/>
      </w:r>
      <w:r>
        <w:fldChar w:fldCharType="begin"/>
      </w:r>
      <w:r>
        <w:instrText xml:space="preserve"> PAGEREF _Toc523925671 \h </w:instrText>
      </w:r>
      <w:r>
        <w:fldChar w:fldCharType="separate"/>
      </w:r>
      <w:r>
        <w:t>40</w:t>
      </w:r>
      <w:r>
        <w:fldChar w:fldCharType="end"/>
      </w:r>
    </w:p>
    <w:p>
      <w:pPr>
        <w:pStyle w:val="TOC8"/>
        <w:rPr>
          <w:rFonts w:asciiTheme="minorHAnsi" w:eastAsiaTheme="minorEastAsia" w:hAnsiTheme="minorHAnsi" w:cstheme="minorBidi"/>
          <w:szCs w:val="22"/>
        </w:rPr>
      </w:pPr>
      <w:r>
        <w:t>32D.</w:t>
      </w:r>
      <w:r>
        <w:tab/>
        <w:t>Charges for guarantee</w:t>
      </w:r>
      <w:r>
        <w:tab/>
      </w:r>
      <w:r>
        <w:fldChar w:fldCharType="begin"/>
      </w:r>
      <w:r>
        <w:instrText xml:space="preserve"> PAGEREF _Toc523925672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32E.</w:t>
      </w:r>
      <w:r>
        <w:tab/>
        <w:t>Terms used</w:t>
      </w:r>
      <w:r>
        <w:tab/>
      </w:r>
      <w:r>
        <w:fldChar w:fldCharType="begin"/>
      </w:r>
      <w:r>
        <w:instrText xml:space="preserve"> PAGEREF _Toc523925675 \h </w:instrText>
      </w:r>
      <w:r>
        <w:fldChar w:fldCharType="separate"/>
      </w:r>
      <w:r>
        <w:t>41</w:t>
      </w:r>
      <w:r>
        <w:fldChar w:fldCharType="end"/>
      </w:r>
    </w:p>
    <w:p>
      <w:pPr>
        <w:pStyle w:val="TOC8"/>
        <w:rPr>
          <w:rFonts w:asciiTheme="minorHAnsi" w:eastAsiaTheme="minorEastAsia" w:hAnsiTheme="minorHAnsi" w:cstheme="minorBidi"/>
          <w:szCs w:val="22"/>
        </w:rPr>
      </w:pPr>
      <w:r>
        <w:t>32F.</w:t>
      </w:r>
      <w:r>
        <w:tab/>
        <w:t>Object of this Division</w:t>
      </w:r>
      <w:r>
        <w:tab/>
      </w:r>
      <w:r>
        <w:fldChar w:fldCharType="begin"/>
      </w:r>
      <w:r>
        <w:instrText xml:space="preserve"> PAGEREF _Toc523925676 \h </w:instrText>
      </w:r>
      <w:r>
        <w:fldChar w:fldCharType="separate"/>
      </w:r>
      <w:r>
        <w:t>42</w:t>
      </w:r>
      <w:r>
        <w:fldChar w:fldCharType="end"/>
      </w:r>
    </w:p>
    <w:p>
      <w:pPr>
        <w:pStyle w:val="TOC8"/>
        <w:rPr>
          <w:rFonts w:asciiTheme="minorHAnsi" w:eastAsiaTheme="minorEastAsia" w:hAnsiTheme="minorHAnsi" w:cstheme="minorBidi"/>
          <w:szCs w:val="22"/>
        </w:rPr>
      </w:pPr>
      <w:r>
        <w:t>32G.</w:t>
      </w:r>
      <w:r>
        <w:tab/>
        <w:t>Effect of Division on University functions, powers and obligations</w:t>
      </w:r>
      <w:r>
        <w:tab/>
      </w:r>
      <w:r>
        <w:fldChar w:fldCharType="begin"/>
      </w:r>
      <w:r>
        <w:instrText xml:space="preserve"> PAGEREF _Toc523925677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32H.</w:t>
      </w:r>
      <w:r>
        <w:tab/>
        <w:t>University may lease University land for commercial purposes with Ministerial approval</w:t>
      </w:r>
      <w:r>
        <w:tab/>
      </w:r>
      <w:r>
        <w:fldChar w:fldCharType="begin"/>
      </w:r>
      <w:r>
        <w:instrText xml:space="preserve"> PAGEREF _Toc523925679 \h </w:instrText>
      </w:r>
      <w:r>
        <w:fldChar w:fldCharType="separate"/>
      </w:r>
      <w:r>
        <w:t>43</w:t>
      </w:r>
      <w:r>
        <w:fldChar w:fldCharType="end"/>
      </w:r>
    </w:p>
    <w:p>
      <w:pPr>
        <w:pStyle w:val="TOC8"/>
        <w:rPr>
          <w:rFonts w:asciiTheme="minorHAnsi" w:eastAsiaTheme="minorEastAsia" w:hAnsiTheme="minorHAnsi" w:cstheme="minorBidi"/>
          <w:szCs w:val="22"/>
        </w:rPr>
      </w:pPr>
      <w:r>
        <w:t>32I.</w:t>
      </w:r>
      <w:r>
        <w:tab/>
        <w:t>Effect of approval to lease University land</w:t>
      </w:r>
      <w:r>
        <w:tab/>
      </w:r>
      <w:r>
        <w:fldChar w:fldCharType="begin"/>
      </w:r>
      <w:r>
        <w:instrText xml:space="preserve"> PAGEREF _Toc523925680 \h </w:instrText>
      </w:r>
      <w:r>
        <w:fldChar w:fldCharType="separate"/>
      </w:r>
      <w:r>
        <w:t>44</w:t>
      </w:r>
      <w:r>
        <w:fldChar w:fldCharType="end"/>
      </w:r>
    </w:p>
    <w:p>
      <w:pPr>
        <w:pStyle w:val="TOC8"/>
        <w:rPr>
          <w:rFonts w:asciiTheme="minorHAnsi" w:eastAsiaTheme="minorEastAsia" w:hAnsiTheme="minorHAnsi" w:cstheme="minorBidi"/>
          <w:szCs w:val="22"/>
        </w:rPr>
      </w:pPr>
      <w:r>
        <w:t>32J.</w:t>
      </w:r>
      <w:r>
        <w:tab/>
        <w:t>Approval in principle of university development proposal</w:t>
      </w:r>
      <w:r>
        <w:tab/>
      </w:r>
      <w:r>
        <w:fldChar w:fldCharType="begin"/>
      </w:r>
      <w:r>
        <w:instrText xml:space="preserve"> PAGEREF _Toc523925681 \h </w:instrText>
      </w:r>
      <w:r>
        <w:fldChar w:fldCharType="separate"/>
      </w:r>
      <w:r>
        <w:t>45</w:t>
      </w:r>
      <w:r>
        <w:fldChar w:fldCharType="end"/>
      </w:r>
    </w:p>
    <w:p>
      <w:pPr>
        <w:pStyle w:val="TOC8"/>
        <w:rPr>
          <w:rFonts w:asciiTheme="minorHAnsi" w:eastAsiaTheme="minorEastAsia" w:hAnsiTheme="minorHAnsi" w:cstheme="minorBidi"/>
          <w:szCs w:val="22"/>
        </w:rPr>
      </w:pPr>
      <w:r>
        <w:t>32K.</w:t>
      </w:r>
      <w:r>
        <w:tab/>
        <w:t>Application for advance determination of approval</w:t>
      </w:r>
      <w:r>
        <w:tab/>
      </w:r>
      <w:r>
        <w:fldChar w:fldCharType="begin"/>
      </w:r>
      <w:r>
        <w:instrText xml:space="preserve"> PAGEREF _Toc523925682 \h </w:instrText>
      </w:r>
      <w:r>
        <w:fldChar w:fldCharType="separate"/>
      </w:r>
      <w:r>
        <w:t>46</w:t>
      </w:r>
      <w:r>
        <w:fldChar w:fldCharType="end"/>
      </w:r>
    </w:p>
    <w:p>
      <w:pPr>
        <w:pStyle w:val="TOC8"/>
        <w:rPr>
          <w:rFonts w:asciiTheme="minorHAnsi" w:eastAsiaTheme="minorEastAsia" w:hAnsiTheme="minorHAnsi" w:cstheme="minorBidi"/>
          <w:szCs w:val="22"/>
        </w:rPr>
      </w:pPr>
      <w:r>
        <w:t>32L.</w:t>
      </w:r>
      <w:r>
        <w:tab/>
        <w:t>Advance determination of approval</w:t>
      </w:r>
      <w:r>
        <w:tab/>
      </w:r>
      <w:r>
        <w:fldChar w:fldCharType="begin"/>
      </w:r>
      <w:r>
        <w:instrText xml:space="preserve"> PAGEREF _Toc523925683 \h </w:instrText>
      </w:r>
      <w:r>
        <w:fldChar w:fldCharType="separate"/>
      </w:r>
      <w:r>
        <w:t>47</w:t>
      </w:r>
      <w:r>
        <w:fldChar w:fldCharType="end"/>
      </w:r>
    </w:p>
    <w:p>
      <w:pPr>
        <w:pStyle w:val="TOC8"/>
        <w:rPr>
          <w:rFonts w:asciiTheme="minorHAnsi" w:eastAsiaTheme="minorEastAsia" w:hAnsiTheme="minorHAnsi" w:cstheme="minorBidi"/>
          <w:szCs w:val="22"/>
        </w:rPr>
      </w:pPr>
      <w:r>
        <w:t>32M.</w:t>
      </w:r>
      <w:r>
        <w:tab/>
        <w:t>Approvals</w:t>
      </w:r>
      <w:r>
        <w:tab/>
      </w:r>
      <w:r>
        <w:fldChar w:fldCharType="begin"/>
      </w:r>
      <w:r>
        <w:instrText xml:space="preserve"> PAGEREF _Toc523925684 \h </w:instrText>
      </w:r>
      <w:r>
        <w:fldChar w:fldCharType="separate"/>
      </w:r>
      <w:r>
        <w:t>48</w:t>
      </w:r>
      <w:r>
        <w:fldChar w:fldCharType="end"/>
      </w:r>
    </w:p>
    <w:p>
      <w:pPr>
        <w:pStyle w:val="TOC8"/>
        <w:rPr>
          <w:rFonts w:asciiTheme="minorHAnsi" w:eastAsiaTheme="minorEastAsia" w:hAnsiTheme="minorHAnsi" w:cstheme="minorBidi"/>
          <w:szCs w:val="22"/>
        </w:rPr>
      </w:pPr>
      <w:r>
        <w:t>32N.</w:t>
      </w:r>
      <w:r>
        <w:tab/>
        <w:t>Notification of decision on application for approval</w:t>
      </w:r>
      <w:r>
        <w:tab/>
      </w:r>
      <w:r>
        <w:fldChar w:fldCharType="begin"/>
      </w:r>
      <w:r>
        <w:instrText xml:space="preserve"> PAGEREF _Toc523925685 \h </w:instrText>
      </w:r>
      <w:r>
        <w:fldChar w:fldCharType="separate"/>
      </w:r>
      <w:r>
        <w:t>49</w:t>
      </w:r>
      <w:r>
        <w:fldChar w:fldCharType="end"/>
      </w:r>
    </w:p>
    <w:p>
      <w:pPr>
        <w:pStyle w:val="TOC8"/>
        <w:rPr>
          <w:rFonts w:asciiTheme="minorHAnsi" w:eastAsiaTheme="minorEastAsia" w:hAnsiTheme="minorHAnsi" w:cstheme="minorBidi"/>
          <w:szCs w:val="22"/>
        </w:rPr>
      </w:pPr>
      <w:r>
        <w:t>32O.</w:t>
      </w:r>
      <w:r>
        <w:tab/>
        <w:t>Alteration of approval</w:t>
      </w:r>
      <w:r>
        <w:tab/>
      </w:r>
      <w:r>
        <w:fldChar w:fldCharType="begin"/>
      </w:r>
      <w:r>
        <w:instrText xml:space="preserve"> PAGEREF _Toc523925686 \h </w:instrText>
      </w:r>
      <w:r>
        <w:fldChar w:fldCharType="separate"/>
      </w:r>
      <w:r>
        <w:t>49</w:t>
      </w:r>
      <w:r>
        <w:fldChar w:fldCharType="end"/>
      </w:r>
    </w:p>
    <w:p>
      <w:pPr>
        <w:pStyle w:val="TOC8"/>
        <w:rPr>
          <w:rFonts w:asciiTheme="minorHAnsi" w:eastAsiaTheme="minorEastAsia" w:hAnsiTheme="minorHAnsi" w:cstheme="minorBidi"/>
          <w:szCs w:val="22"/>
        </w:rPr>
      </w:pPr>
      <w:r>
        <w:t>32P.</w:t>
      </w:r>
      <w:r>
        <w:tab/>
        <w:t>Payment agreements</w:t>
      </w:r>
      <w:r>
        <w:tab/>
      </w:r>
      <w:r>
        <w:fldChar w:fldCharType="begin"/>
      </w:r>
      <w:r>
        <w:instrText xml:space="preserve"> PAGEREF _Toc523925687 \h </w:instrText>
      </w:r>
      <w:r>
        <w:fldChar w:fldCharType="separate"/>
      </w:r>
      <w:r>
        <w:t>50</w:t>
      </w:r>
      <w:r>
        <w:fldChar w:fldCharType="end"/>
      </w:r>
    </w:p>
    <w:p>
      <w:pPr>
        <w:pStyle w:val="TOC8"/>
        <w:rPr>
          <w:rFonts w:asciiTheme="minorHAnsi" w:eastAsiaTheme="minorEastAsia" w:hAnsiTheme="minorHAnsi" w:cstheme="minorBidi"/>
          <w:szCs w:val="22"/>
        </w:rPr>
      </w:pPr>
      <w:r>
        <w:t>32Q.</w:t>
      </w:r>
      <w:r>
        <w:tab/>
        <w:t>Minister may delegate functions under this Division</w:t>
      </w:r>
      <w:r>
        <w:tab/>
      </w:r>
      <w:r>
        <w:fldChar w:fldCharType="begin"/>
      </w:r>
      <w:r>
        <w:instrText xml:space="preserve"> PAGEREF _Toc523925688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rPr>
          <w:snapToGrid w:val="0"/>
        </w:rPr>
        <w:t>.</w:t>
      </w:r>
      <w:r>
        <w:rPr>
          <w:snapToGrid w:val="0"/>
        </w:rPr>
        <w:tab/>
        <w:t>Superannuation scheme for University staff etc.</w:t>
      </w:r>
      <w:r>
        <w:tab/>
      </w:r>
      <w:r>
        <w:fldChar w:fldCharType="begin"/>
      </w:r>
      <w:r>
        <w:instrText xml:space="preserve"> PAGEREF _Toc523925690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r>
        <w:tab/>
      </w:r>
      <w:r>
        <w:fldChar w:fldCharType="begin"/>
      </w:r>
      <w:r>
        <w:instrText xml:space="preserve"> PAGEREF _Toc523925691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Validation and transitional provisions</w:t>
      </w:r>
    </w:p>
    <w:p>
      <w:pPr>
        <w:pStyle w:val="TOC4"/>
        <w:tabs>
          <w:tab w:val="right" w:leader="dot" w:pos="7077"/>
        </w:tabs>
        <w:rPr>
          <w:rFonts w:asciiTheme="minorHAnsi" w:eastAsiaTheme="minorEastAsia" w:hAnsiTheme="minorHAnsi" w:cstheme="minorBidi"/>
          <w:b w:val="0"/>
          <w:szCs w:val="22"/>
        </w:rPr>
      </w:pPr>
      <w:r>
        <w:t>Division 1 — Validations</w:t>
      </w:r>
    </w:p>
    <w:p>
      <w:pPr>
        <w:pStyle w:val="TOC8"/>
        <w:rPr>
          <w:rFonts w:asciiTheme="minorHAnsi" w:eastAsiaTheme="minorEastAsia" w:hAnsiTheme="minorHAnsi" w:cstheme="minorBidi"/>
          <w:szCs w:val="22"/>
        </w:rPr>
      </w:pPr>
      <w:r>
        <w:t>35.</w:t>
      </w:r>
      <w:r>
        <w:tab/>
        <w:t>Certain leases of University land validated</w:t>
      </w:r>
      <w:r>
        <w:tab/>
      </w:r>
      <w:r>
        <w:fldChar w:fldCharType="begin"/>
      </w:r>
      <w:r>
        <w:instrText xml:space="preserve"> PAGEREF _Toc523925694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36.</w:t>
      </w:r>
      <w:r>
        <w:tab/>
        <w:t>Term used: commencement day</w:t>
      </w:r>
      <w:r>
        <w:tab/>
      </w:r>
      <w:r>
        <w:fldChar w:fldCharType="begin"/>
      </w:r>
      <w:r>
        <w:instrText xml:space="preserve"> PAGEREF _Toc523925696 \h </w:instrText>
      </w:r>
      <w:r>
        <w:fldChar w:fldCharType="separate"/>
      </w:r>
      <w:r>
        <w:t>58</w:t>
      </w:r>
      <w:r>
        <w:fldChar w:fldCharType="end"/>
      </w:r>
    </w:p>
    <w:p>
      <w:pPr>
        <w:pStyle w:val="TOC8"/>
        <w:rPr>
          <w:rFonts w:asciiTheme="minorHAnsi" w:eastAsiaTheme="minorEastAsia" w:hAnsiTheme="minorHAnsi" w:cstheme="minorBidi"/>
          <w:szCs w:val="22"/>
        </w:rPr>
      </w:pPr>
      <w:r>
        <w:t>37.</w:t>
      </w:r>
      <w:r>
        <w:tab/>
        <w:t>Transitional provisions (Senate)</w:t>
      </w:r>
      <w:r>
        <w:tab/>
      </w:r>
      <w:r>
        <w:fldChar w:fldCharType="begin"/>
      </w:r>
      <w:r>
        <w:instrText xml:space="preserve"> PAGEREF _Toc523925697 \h </w:instrText>
      </w:r>
      <w:r>
        <w:fldChar w:fldCharType="separate"/>
      </w:r>
      <w:r>
        <w:t>58</w:t>
      </w:r>
      <w:r>
        <w:fldChar w:fldCharType="end"/>
      </w:r>
    </w:p>
    <w:p>
      <w:pPr>
        <w:pStyle w:val="TOC8"/>
        <w:rPr>
          <w:rFonts w:asciiTheme="minorHAnsi" w:eastAsiaTheme="minorEastAsia" w:hAnsiTheme="minorHAnsi" w:cstheme="minorBidi"/>
          <w:szCs w:val="22"/>
        </w:rPr>
      </w:pPr>
      <w:r>
        <w:t>38.</w:t>
      </w:r>
      <w:r>
        <w:tab/>
        <w:t>Transitional provisions (guarantees)</w:t>
      </w:r>
      <w:r>
        <w:tab/>
      </w:r>
      <w:r>
        <w:fldChar w:fldCharType="begin"/>
      </w:r>
      <w:r>
        <w:instrText xml:space="preserve"> PAGEREF _Toc523925698 \h </w:instrText>
      </w:r>
      <w:r>
        <w:fldChar w:fldCharType="separate"/>
      </w:r>
      <w:r>
        <w:t>59</w:t>
      </w:r>
      <w:r>
        <w:fldChar w:fldCharType="end"/>
      </w:r>
    </w:p>
    <w:p>
      <w:pPr>
        <w:pStyle w:val="TOC8"/>
        <w:rPr>
          <w:rFonts w:asciiTheme="minorHAnsi" w:eastAsiaTheme="minorEastAsia" w:hAnsiTheme="minorHAnsi" w:cstheme="minorBidi"/>
          <w:szCs w:val="22"/>
        </w:rPr>
      </w:pPr>
      <w:r>
        <w:t>39.</w:t>
      </w:r>
      <w:r>
        <w:tab/>
        <w:t>Transitional provisions (Statutes and by</w:t>
      </w:r>
      <w:r>
        <w:noBreakHyphen/>
        <w:t>laws)</w:t>
      </w:r>
      <w:r>
        <w:tab/>
      </w:r>
      <w:r>
        <w:fldChar w:fldCharType="begin"/>
      </w:r>
      <w:r>
        <w:instrText xml:space="preserve"> PAGEREF _Toc523925699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_Toc523925702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_Toc523925704 \h </w:instrText>
      </w:r>
      <w:r>
        <w:fldChar w:fldCharType="separate"/>
      </w:r>
      <w:r>
        <w:t>61</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_Toc523925705 \h </w:instrText>
      </w:r>
      <w:r>
        <w:fldChar w:fldCharType="separate"/>
      </w:r>
      <w:r>
        <w:t>61</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_Toc523925706 \h </w:instrText>
      </w:r>
      <w:r>
        <w:fldChar w:fldCharType="separate"/>
      </w:r>
      <w:r>
        <w:t>61</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_Toc523925707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_Toc523925709 \h </w:instrText>
      </w:r>
      <w:r>
        <w:fldChar w:fldCharType="separate"/>
      </w:r>
      <w:r>
        <w:t>63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_Toc523925710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Murdoch University Act 1973</w:t>
      </w:r>
    </w:p>
    <w:p>
      <w:pPr>
        <w:pStyle w:val="LongTitle"/>
        <w:rPr>
          <w:snapToGrid w:val="0"/>
        </w:rPr>
      </w:pPr>
      <w:r>
        <w:rPr>
          <w:snapToGrid w:val="0"/>
        </w:rPr>
        <w:t>An Act to establish and incorporate Murdoch University, to make provision for the government of the University, and for incidental and other purposes.</w:t>
      </w:r>
    </w:p>
    <w:p>
      <w:pPr>
        <w:pStyle w:val="Heading2"/>
        <w:rPr>
          <w:rStyle w:val="CharPartText"/>
        </w:rPr>
      </w:pPr>
      <w:bookmarkStart w:id="3" w:name="_Toc523925622"/>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by No. 32 of 2016 s. 90.]</w:t>
      </w:r>
    </w:p>
    <w:p>
      <w:pPr>
        <w:pStyle w:val="Heading5"/>
        <w:rPr>
          <w:snapToGrid w:val="0"/>
        </w:rPr>
      </w:pPr>
      <w:bookmarkStart w:id="4" w:name="_Toc52392562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5" w:name="_Toc52392562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6" w:name="_Toc523925625"/>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tab/>
      </w:r>
      <w:r>
        <w:rPr>
          <w:rStyle w:val="CharDefText"/>
        </w:rPr>
        <w:t>Deputy Chancellor</w:t>
      </w:r>
      <w:r>
        <w:t xml:space="preserve"> means the Deputy Chancellor of the University; </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regulation</w:t>
      </w:r>
      <w:r>
        <w:t xml:space="preserve"> means a regulation made under section 26;</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students, or both;</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tab/>
      </w:r>
      <w:r>
        <w:rPr>
          <w:rStyle w:val="CharDefText"/>
        </w:rPr>
        <w:t>University land</w:t>
      </w:r>
      <w:r>
        <w:t xml:space="preserve"> means — </w:t>
      </w:r>
    </w:p>
    <w:p>
      <w:pPr>
        <w:pStyle w:val="Defpara"/>
      </w:pPr>
      <w:r>
        <w:tab/>
        <w:t>(a)</w:t>
      </w:r>
      <w:r>
        <w:tab/>
        <w:t>the land described in certificate of title Vol 2812 Folio 355; and</w:t>
      </w:r>
    </w:p>
    <w:p>
      <w:pPr>
        <w:pStyle w:val="Defpara"/>
      </w:pPr>
      <w:r>
        <w:tab/>
        <w:t>(b)</w:t>
      </w:r>
      <w:r>
        <w:tab/>
        <w:t>any land vested in the University under section 28(1);</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 xml:space="preserve">Any question arising as to whether a person is or is not a member of the academic </w:t>
      </w:r>
      <w:r>
        <w:t>or other</w:t>
      </w:r>
      <w:r>
        <w:rPr>
          <w:snapToGrid w:val="0"/>
        </w:rPr>
        <w:t xml:space="preserve"> staff, or an officer </w:t>
      </w:r>
      <w:r>
        <w:t xml:space="preserve">or employee </w:t>
      </w:r>
      <w:r>
        <w:rPr>
          <w:snapToGrid w:val="0"/>
        </w:rPr>
        <w:t>of the University, shall be determined by the Senate and the decision of the Senate thereon is final.</w:t>
      </w:r>
    </w:p>
    <w:p>
      <w:pPr>
        <w:pStyle w:val="Footnotesection"/>
      </w:pPr>
      <w:r>
        <w:tab/>
        <w:t>[Section 3 amended by No. 10 of 1998 s. 54(1); No. 32 of 2016 s. 91.]</w:t>
      </w:r>
    </w:p>
    <w:p>
      <w:pPr>
        <w:pStyle w:val="Heading2"/>
      </w:pPr>
      <w:bookmarkStart w:id="7" w:name="_Toc523925626"/>
      <w:r>
        <w:rPr>
          <w:rStyle w:val="CharPartNo"/>
        </w:rPr>
        <w:t>Part 2</w:t>
      </w:r>
      <w:r>
        <w:rPr>
          <w:rStyle w:val="CharDivNo"/>
        </w:rPr>
        <w:t> </w:t>
      </w:r>
      <w:r>
        <w:t>—</w:t>
      </w:r>
      <w:r>
        <w:rPr>
          <w:rStyle w:val="CharDivText"/>
        </w:rPr>
        <w:t> </w:t>
      </w:r>
      <w:r>
        <w:rPr>
          <w:rStyle w:val="CharPartText"/>
        </w:rPr>
        <w:t>Murdoch University</w:t>
      </w:r>
      <w:bookmarkEnd w:id="7"/>
    </w:p>
    <w:p>
      <w:pPr>
        <w:pStyle w:val="Footnoteheading"/>
      </w:pPr>
      <w:r>
        <w:tab/>
        <w:t>[Heading inserted by No. 32 of 2016 s. 92.]</w:t>
      </w:r>
    </w:p>
    <w:p>
      <w:pPr>
        <w:pStyle w:val="Heading5"/>
        <w:rPr>
          <w:snapToGrid w:val="0"/>
        </w:rPr>
      </w:pPr>
      <w:bookmarkStart w:id="8" w:name="_Toc523925627"/>
      <w:r>
        <w:rPr>
          <w:rStyle w:val="CharSectno"/>
        </w:rPr>
        <w:t>4</w:t>
      </w:r>
      <w:r>
        <w:rPr>
          <w:snapToGrid w:val="0"/>
        </w:rPr>
        <w:t>.</w:t>
      </w:r>
      <w:r>
        <w:rPr>
          <w:snapToGrid w:val="0"/>
        </w:rPr>
        <w:tab/>
        <w:t>Murdoch University</w:t>
      </w:r>
      <w:bookmarkEnd w:id="8"/>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9" w:name="_Toc523925628"/>
      <w:r>
        <w:rPr>
          <w:rStyle w:val="CharSectno"/>
        </w:rPr>
        <w:t>5</w:t>
      </w:r>
      <w:r>
        <w:rPr>
          <w:snapToGrid w:val="0"/>
        </w:rPr>
        <w:t>.</w:t>
      </w:r>
      <w:r>
        <w:rPr>
          <w:snapToGrid w:val="0"/>
        </w:rPr>
        <w:tab/>
        <w:t>Objects of University</w:t>
      </w:r>
      <w:bookmarkEnd w:id="9"/>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pPr>
      <w:bookmarkStart w:id="10" w:name="_Toc523925629"/>
      <w:r>
        <w:rPr>
          <w:rStyle w:val="CharSectno"/>
        </w:rPr>
        <w:t>6</w:t>
      </w:r>
      <w:r>
        <w:t>.</w:t>
      </w:r>
      <w:r>
        <w:tab/>
        <w:t>Functions of University</w:t>
      </w:r>
      <w:bookmarkEnd w:id="10"/>
    </w:p>
    <w:p>
      <w:pPr>
        <w:pStyle w:val="Subsection"/>
      </w:pPr>
      <w:r>
        <w:tab/>
        <w:t>(1)</w:t>
      </w:r>
      <w:r>
        <w:tab/>
        <w:t>The functions of the University include the following —</w:t>
      </w:r>
    </w:p>
    <w:p>
      <w:pPr>
        <w:pStyle w:val="Indenta"/>
      </w:pPr>
      <w:r>
        <w:tab/>
        <w:t>(a)</w:t>
      </w:r>
      <w:r>
        <w:tab/>
        <w:t xml:space="preserve">to provide courses of study appropriate to a university, and other tertiary courses; </w:t>
      </w:r>
    </w:p>
    <w:p>
      <w:pPr>
        <w:pStyle w:val="Indenta"/>
      </w:pPr>
      <w:r>
        <w:tab/>
        <w:t>(b)</w:t>
      </w:r>
      <w:r>
        <w:tab/>
        <w:t xml:space="preserve">to encourage and participate in the development and improvement of tertiary education to meet the needs of the community; </w:t>
      </w:r>
    </w:p>
    <w:p>
      <w:pPr>
        <w:pStyle w:val="Indenta"/>
      </w:pPr>
      <w:r>
        <w:tab/>
        <w:t>(c)</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w:t>
      </w:r>
      <w:r>
        <w:tab/>
        <w:t xml:space="preserve">to generate revenue for the purposes of funding the carrying out of its functions; </w:t>
      </w:r>
    </w:p>
    <w:p>
      <w:pPr>
        <w:pStyle w:val="Indenta"/>
      </w:pPr>
      <w:r>
        <w:tab/>
        <w:t>(f)</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(g)</w:t>
      </w:r>
      <w:r>
        <w:tab/>
        <w:t>to provide the facilities that are necessary or conducive to the attainment of the objects of the University and the performance of its functions.</w:t>
      </w:r>
    </w:p>
    <w:p>
      <w:pPr>
        <w:pStyle w:val="Subsection"/>
      </w:pPr>
      <w:r>
        <w:tab/>
        <w:t>(2)</w:t>
      </w:r>
      <w:r>
        <w:tab/>
        <w:t>The University has all the powers, rights and privileges that are reasonably necessary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[Section 6 inserted by No. 32 of 2016 s. 93.]</w:t>
      </w:r>
    </w:p>
    <w:p>
      <w:pPr>
        <w:pStyle w:val="Ednotesection"/>
      </w:pPr>
      <w:r>
        <w:t>[</w:t>
      </w:r>
      <w:r>
        <w:rPr>
          <w:b/>
        </w:rPr>
        <w:t>7.</w:t>
      </w:r>
      <w:r>
        <w:tab/>
        <w:t>Deleted by No. 32 of 2016 s. 93.]</w:t>
      </w:r>
    </w:p>
    <w:p>
      <w:pPr>
        <w:pStyle w:val="Heading5"/>
      </w:pPr>
      <w:bookmarkStart w:id="11" w:name="_Toc523925630"/>
      <w:r>
        <w:rPr>
          <w:rStyle w:val="CharSectno"/>
        </w:rPr>
        <w:t>8A</w:t>
      </w:r>
      <w:r>
        <w:t>.</w:t>
      </w:r>
      <w:r>
        <w:tab/>
        <w:t>Power of University to provide residential accommodation for staff and students</w:t>
      </w:r>
      <w:bookmarkEnd w:id="11"/>
    </w:p>
    <w:p>
      <w:pPr>
        <w:pStyle w:val="Subsection"/>
      </w:pPr>
      <w:r>
        <w:tab/>
        <w:t>(1)</w:t>
      </w:r>
      <w:r>
        <w:tab/>
        <w:t>The University may provide residential accommodation for staff of the University, or students, or both.</w:t>
      </w:r>
    </w:p>
    <w:p>
      <w:pPr>
        <w:pStyle w:val="Subsection"/>
      </w:pPr>
      <w:r>
        <w:tab/>
        <w:t>(2)</w:t>
      </w:r>
      <w:r>
        <w:tab/>
        <w:t>The restrictions imposed by section 29(1)(ga) do not apply to the lease of any part of the land referred to in section 29(1)(ga) if the purpose of the lease is the provision of residential accommodation in accordance with this section.</w:t>
      </w:r>
    </w:p>
    <w:p>
      <w:pPr>
        <w:pStyle w:val="Footnotesection"/>
      </w:pPr>
      <w:r>
        <w:tab/>
        <w:t>[Section 8A inserted by No. 32 of 2016 s. 93.]</w:t>
      </w:r>
    </w:p>
    <w:p>
      <w:pPr>
        <w:pStyle w:val="Heading2"/>
      </w:pPr>
      <w:bookmarkStart w:id="12" w:name="_Toc523925631"/>
      <w:r>
        <w:rPr>
          <w:rStyle w:val="CharPartNo"/>
        </w:rPr>
        <w:t>Part 3</w:t>
      </w:r>
      <w:r>
        <w:rPr>
          <w:rStyle w:val="CharDivNo"/>
        </w:rPr>
        <w:t> </w:t>
      </w:r>
      <w:r>
        <w:t>—</w:t>
      </w:r>
      <w:r>
        <w:rPr>
          <w:rStyle w:val="CharDivText"/>
        </w:rPr>
        <w:t> </w:t>
      </w:r>
      <w:r>
        <w:rPr>
          <w:rStyle w:val="CharPartText"/>
        </w:rPr>
        <w:t>Constitution of University</w:t>
      </w:r>
      <w:bookmarkEnd w:id="12"/>
    </w:p>
    <w:p>
      <w:pPr>
        <w:pStyle w:val="Footnoteheading"/>
      </w:pPr>
      <w:r>
        <w:tab/>
        <w:t>[Heading inserted by No. 32 of 2016 s. 94.]</w:t>
      </w:r>
    </w:p>
    <w:p>
      <w:pPr>
        <w:pStyle w:val="Heading5"/>
        <w:rPr>
          <w:snapToGrid w:val="0"/>
        </w:rPr>
      </w:pPr>
      <w:bookmarkStart w:id="13" w:name="_Toc523925632"/>
      <w:r>
        <w:rPr>
          <w:rStyle w:val="CharSectno"/>
        </w:rPr>
        <w:t>8</w:t>
      </w:r>
      <w:r>
        <w:rPr>
          <w:snapToGrid w:val="0"/>
        </w:rPr>
        <w:t>.</w:t>
      </w:r>
      <w:r>
        <w:rPr>
          <w:snapToGrid w:val="0"/>
        </w:rPr>
        <w:tab/>
        <w:t>Constitution</w:t>
      </w:r>
      <w:bookmarkEnd w:id="13"/>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 and</w:t>
      </w:r>
    </w:p>
    <w:p>
      <w:pPr>
        <w:pStyle w:val="Indenta"/>
        <w:rPr>
          <w:snapToGrid w:val="0"/>
        </w:rPr>
      </w:pPr>
      <w:r>
        <w:rPr>
          <w:snapToGrid w:val="0"/>
        </w:rPr>
        <w:tab/>
        <w:t>(b)</w:t>
      </w:r>
      <w:r>
        <w:rPr>
          <w:snapToGrid w:val="0"/>
        </w:rPr>
        <w:tab/>
        <w:t>such members of the academic and other staff of the University as are prescribed by Statute; and</w:t>
      </w:r>
    </w:p>
    <w:p>
      <w:pPr>
        <w:pStyle w:val="Indenta"/>
      </w:pPr>
      <w:r>
        <w:tab/>
        <w:t>(c)</w:t>
      </w:r>
      <w:r>
        <w:tab/>
        <w:t>graduates of the University; and</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 amended by No. 32 of 2016 s. 95.]</w:t>
      </w:r>
    </w:p>
    <w:p>
      <w:pPr>
        <w:pStyle w:val="Heading5"/>
      </w:pPr>
      <w:bookmarkStart w:id="14" w:name="_Toc523925633"/>
      <w:r>
        <w:rPr>
          <w:rStyle w:val="CharSectno"/>
        </w:rPr>
        <w:t>9</w:t>
      </w:r>
      <w:r>
        <w:t>.</w:t>
      </w:r>
      <w:r>
        <w:tab/>
        <w:t>Visitor</w:t>
      </w:r>
      <w:bookmarkEnd w:id="14"/>
    </w:p>
    <w:p>
      <w:pPr>
        <w:pStyle w:val="Subsection"/>
      </w:pPr>
      <w:r>
        <w:tab/>
        <w:t>(1)</w:t>
      </w:r>
      <w:r>
        <w:tab/>
        <w:t xml:space="preserve">The Governor is the Visitor of the University, and has the functions that Visitors usually have. </w:t>
      </w:r>
    </w:p>
    <w:p>
      <w:pPr>
        <w:pStyle w:val="Subsection"/>
      </w:pPr>
      <w:r>
        <w:tab/>
        <w:t>(2)</w:t>
      </w:r>
      <w:r>
        <w:tab/>
        <w:t>As Visitor, the Governor may act without obtaining the advice and consent of the Executive Council.</w:t>
      </w:r>
    </w:p>
    <w:p>
      <w:pPr>
        <w:pStyle w:val="Footnotesection"/>
      </w:pPr>
      <w:r>
        <w:tab/>
        <w:t>[Section 9 inserted by No. 32 of 2016 s. 96.]</w:t>
      </w:r>
    </w:p>
    <w:p>
      <w:pPr>
        <w:pStyle w:val="Heading5"/>
        <w:rPr>
          <w:snapToGrid w:val="0"/>
        </w:rPr>
      </w:pPr>
      <w:bookmarkStart w:id="15" w:name="_Toc523925634"/>
      <w:r>
        <w:rPr>
          <w:rStyle w:val="CharSectno"/>
        </w:rPr>
        <w:t>10</w:t>
      </w:r>
      <w:r>
        <w:rPr>
          <w:snapToGrid w:val="0"/>
        </w:rPr>
        <w:t>.</w:t>
      </w:r>
      <w:r>
        <w:rPr>
          <w:snapToGrid w:val="0"/>
        </w:rPr>
        <w:tab/>
        <w:t>Chancellor</w:t>
      </w:r>
      <w:bookmarkEnd w:id="15"/>
    </w:p>
    <w:p>
      <w:pPr>
        <w:pStyle w:val="Subsection"/>
      </w:pPr>
      <w:r>
        <w:tab/>
        <w:t>(1)</w:t>
      </w:r>
      <w:r>
        <w:tab/>
        <w:t>The Senate must elect a person to hold office as Chancellor of the University.</w:t>
      </w:r>
    </w:p>
    <w:p>
      <w:pPr>
        <w:pStyle w:val="Subsection"/>
      </w:pPr>
      <w:r>
        <w:tab/>
        <w:t>(2A)</w:t>
      </w:r>
      <w:r>
        <w:tab/>
        <w:t>A person who is not a member of the Senate at the time the person is elected to hold office as Chancellor is a member of the Senate for so long as the person holds office as Chancellor.</w:t>
      </w:r>
    </w:p>
    <w:p>
      <w:pPr>
        <w:pStyle w:val="Subsection"/>
        <w:rPr>
          <w:snapToGrid w:val="0"/>
        </w:rPr>
      </w:pPr>
      <w:r>
        <w:rPr>
          <w:snapToGrid w:val="0"/>
        </w:rPr>
        <w:tab/>
        <w:t>(2)</w:t>
      </w:r>
      <w:r>
        <w:rPr>
          <w:snapToGrid w:val="0"/>
        </w:rPr>
        <w:tab/>
        <w:t xml:space="preserve">Where the Chancellor is elected from amongst the members of the Senate </w:t>
      </w:r>
      <w:r>
        <w:t>the</w:t>
      </w:r>
      <w:r>
        <w:rPr>
          <w:snapToGrid w:val="0"/>
        </w:rPr>
        <w:t xml:space="preserve"> election creates a casual vacancy in the office of member of the Senate.</w:t>
      </w:r>
    </w:p>
    <w:p>
      <w:pPr>
        <w:pStyle w:val="Subsection"/>
        <w:rPr>
          <w:snapToGrid w:val="0"/>
        </w:rPr>
      </w:pPr>
      <w:r>
        <w:rPr>
          <w:snapToGrid w:val="0"/>
        </w:rPr>
        <w:tab/>
        <w:t>(3)</w:t>
      </w:r>
      <w:r>
        <w:rPr>
          <w:snapToGrid w:val="0"/>
        </w:rPr>
        <w:tab/>
        <w:t xml:space="preserve">Subject to section 15, the Chancellor holds office for </w:t>
      </w:r>
      <w:r>
        <w:t>a term not exceeding 3 years to be determined by the Senate</w:t>
      </w:r>
      <w:r>
        <w:rPr>
          <w:snapToGrid w:val="0"/>
        </w:rPr>
        <w:t xml:space="preserve"> and is eligible for re</w:t>
      </w:r>
      <w:r>
        <w:rPr>
          <w:snapToGrid w:val="0"/>
        </w:rPr>
        <w:noBreakHyphen/>
        <w:t>election.</w:t>
      </w:r>
    </w:p>
    <w:p>
      <w:pPr>
        <w:pStyle w:val="Subsection"/>
        <w:rPr>
          <w:snapToGrid w:val="0"/>
        </w:rPr>
      </w:pPr>
      <w:r>
        <w:rPr>
          <w:snapToGrid w:val="0"/>
        </w:rPr>
        <w:tab/>
        <w:t>(4)</w:t>
      </w:r>
      <w:r>
        <w:rPr>
          <w:snapToGrid w:val="0"/>
        </w:rPr>
        <w:tab/>
        <w:t xml:space="preserve">The Chancellor shall preside at all meetings of the Senate at which </w:t>
      </w:r>
      <w:r>
        <w:t>the Chancellor</w:t>
      </w:r>
      <w:r>
        <w:rPr>
          <w:snapToGrid w:val="0"/>
        </w:rPr>
        <w:t xml:space="preserve"> is present.</w:t>
      </w:r>
    </w:p>
    <w:p>
      <w:pPr>
        <w:pStyle w:val="Footnotesection"/>
      </w:pPr>
      <w:r>
        <w:tab/>
        <w:t>[Section 10 amended by No. 10 of 1998 s. 54(2); No. 32 of 2016 s. 97.]</w:t>
      </w:r>
    </w:p>
    <w:p>
      <w:pPr>
        <w:pStyle w:val="Heading5"/>
        <w:rPr>
          <w:snapToGrid w:val="0"/>
        </w:rPr>
      </w:pPr>
      <w:bookmarkStart w:id="16" w:name="_Toc523925635"/>
      <w:r>
        <w:rPr>
          <w:rStyle w:val="CharSectno"/>
        </w:rPr>
        <w:t>11</w:t>
      </w:r>
      <w:r>
        <w:rPr>
          <w:snapToGrid w:val="0"/>
        </w:rPr>
        <w:t>.</w:t>
      </w:r>
      <w:r>
        <w:rPr>
          <w:snapToGrid w:val="0"/>
        </w:rPr>
        <w:tab/>
        <w:t>Deputy Chancellor</w:t>
      </w:r>
      <w:bookmarkEnd w:id="16"/>
    </w:p>
    <w:p>
      <w:pPr>
        <w:pStyle w:val="Subsection"/>
        <w:rPr>
          <w:snapToGrid w:val="0"/>
        </w:rPr>
      </w:pPr>
      <w:r>
        <w:rPr>
          <w:snapToGrid w:val="0"/>
        </w:rPr>
        <w:tab/>
        <w:t>(1)</w:t>
      </w:r>
      <w:r>
        <w:rPr>
          <w:snapToGrid w:val="0"/>
        </w:rPr>
        <w:tab/>
        <w:t xml:space="preserve">There shall be a </w:t>
      </w:r>
      <w:r>
        <w:t>Deputy Chancellor</w:t>
      </w:r>
      <w:r>
        <w:rPr>
          <w:snapToGrid w:val="0"/>
        </w:rPr>
        <w:t xml:space="preserve"> of the University who shall be elected by the members of the Senate from amongst their number.</w:t>
      </w:r>
    </w:p>
    <w:p>
      <w:pPr>
        <w:pStyle w:val="Subsection"/>
      </w:pPr>
      <w:r>
        <w:tab/>
        <w:t>(2)</w:t>
      </w:r>
      <w:r>
        <w:tab/>
        <w:t>Subject to subsection (2a) and section 15, the Deputy Chancellor holds office for a term not exceeding 3 years to be determined by the Senate and is eligible for re</w:t>
      </w:r>
      <w:r>
        <w:noBreakHyphen/>
        <w:t>election.</w:t>
      </w:r>
    </w:p>
    <w:p>
      <w:pPr>
        <w:pStyle w:val="Subsection"/>
        <w:rPr>
          <w:snapToGrid w:val="0"/>
        </w:rPr>
      </w:pPr>
      <w:r>
        <w:rPr>
          <w:snapToGrid w:val="0"/>
        </w:rPr>
        <w:tab/>
        <w:t>(2a)</w:t>
      </w:r>
      <w:r>
        <w:rPr>
          <w:snapToGrid w:val="0"/>
        </w:rPr>
        <w:tab/>
        <w:t xml:space="preserve">The </w:t>
      </w:r>
      <w:r>
        <w:t>Deputy Chancellor</w:t>
      </w:r>
      <w:r>
        <w:rPr>
          <w:snapToGrid w:val="0"/>
        </w:rPr>
        <w:t xml:space="preserve"> ceases to hold office if he ceases to be a member of the Senate.</w:t>
      </w:r>
    </w:p>
    <w:p>
      <w:pPr>
        <w:pStyle w:val="Subsection"/>
        <w:rPr>
          <w:snapToGrid w:val="0"/>
        </w:rPr>
      </w:pPr>
      <w:r>
        <w:rPr>
          <w:snapToGrid w:val="0"/>
        </w:rPr>
        <w:tab/>
        <w:t>(3)</w:t>
      </w:r>
      <w:r>
        <w:rPr>
          <w:snapToGrid w:val="0"/>
        </w:rPr>
        <w:tab/>
        <w:t xml:space="preserve">In the absence of the Chancellor, or where there is a vacancy in the office of Chancellor, the </w:t>
      </w:r>
      <w:r>
        <w:t>Deputy Chancellor</w:t>
      </w:r>
      <w:r>
        <w:rPr>
          <w:snapToGrid w:val="0"/>
        </w:rPr>
        <w:t xml:space="preserve"> shall preside at all meetings of the Senate at which the </w:t>
      </w:r>
      <w:r>
        <w:t>Deputy Chancellor</w:t>
      </w:r>
      <w:r>
        <w:rPr>
          <w:snapToGrid w:val="0"/>
        </w:rPr>
        <w:t xml:space="preserve"> is present and may exercise all the functions of the Chancellor.</w:t>
      </w:r>
    </w:p>
    <w:p>
      <w:pPr>
        <w:pStyle w:val="Footnotesection"/>
      </w:pPr>
      <w:r>
        <w:tab/>
        <w:t>[Section 11 amended by No. 10 of 1998 s. 54(3) and (4); No. 32 of 2016 s. 98.]</w:t>
      </w:r>
    </w:p>
    <w:p>
      <w:pPr>
        <w:pStyle w:val="Heading5"/>
        <w:rPr>
          <w:snapToGrid w:val="0"/>
        </w:rPr>
      </w:pPr>
      <w:bookmarkStart w:id="17" w:name="_Toc523925636"/>
      <w:r>
        <w:rPr>
          <w:rStyle w:val="CharSectno"/>
        </w:rPr>
        <w:t>12</w:t>
      </w:r>
      <w:r>
        <w:rPr>
          <w:snapToGrid w:val="0"/>
        </w:rPr>
        <w:t>.</w:t>
      </w:r>
      <w:r>
        <w:rPr>
          <w:snapToGrid w:val="0"/>
        </w:rPr>
        <w:tab/>
        <w:t>Senate</w:t>
      </w:r>
      <w:bookmarkEnd w:id="17"/>
    </w:p>
    <w:p>
      <w:pPr>
        <w:pStyle w:val="Subsection"/>
      </w:pPr>
      <w:r>
        <w:tab/>
        <w:t>(1)</w:t>
      </w:r>
      <w:r>
        <w:tab/>
        <w:t>The Senate consists of the following members —</w:t>
      </w:r>
    </w:p>
    <w:p>
      <w:pPr>
        <w:pStyle w:val="Indenta"/>
      </w:pPr>
      <w:r>
        <w:tab/>
        <w:t>(a)</w:t>
      </w:r>
      <w:r>
        <w:tab/>
        <w:t xml:space="preserve">the Chancellor; </w:t>
      </w:r>
    </w:p>
    <w:p>
      <w:pPr>
        <w:pStyle w:val="Indenta"/>
      </w:pPr>
      <w:r>
        <w:tab/>
        <w:t>(b)</w:t>
      </w:r>
      <w:r>
        <w:tab/>
        <w:t>the Vice</w:t>
      </w:r>
      <w:r>
        <w:noBreakHyphen/>
        <w:t xml:space="preserve">Chancellor; </w:t>
      </w:r>
    </w:p>
    <w:p>
      <w:pPr>
        <w:pStyle w:val="Indenta"/>
      </w:pPr>
      <w:r>
        <w:tab/>
        <w:t>(c)</w:t>
      </w:r>
      <w:r>
        <w:tab/>
        <w:t xml:space="preserve">one person who is a member of the academic staff of the University and who is elected by the academic staff of the University in the manner prescribed by Statute; </w:t>
      </w:r>
    </w:p>
    <w:p>
      <w:pPr>
        <w:pStyle w:val="Indenta"/>
      </w:pPr>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(e)</w:t>
      </w:r>
      <w:r>
        <w:tab/>
        <w:t xml:space="preserve">2 persons who are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(f)</w:t>
      </w:r>
      <w:r>
        <w:tab/>
        <w:t>2 persons who are graduates of the University and who are elected by the graduates of the University in the manner prescribed by Statute;</w:t>
      </w:r>
    </w:p>
    <w:p>
      <w:pPr>
        <w:pStyle w:val="Indenta"/>
      </w:pPr>
      <w:r>
        <w:tab/>
        <w:t>(g)</w:t>
      </w:r>
      <w:r>
        <w:tab/>
        <w:t xml:space="preserve">3 members appointed by the Governor on the recommendation of the Minister; </w:t>
      </w:r>
    </w:p>
    <w:p>
      <w:pPr>
        <w:pStyle w:val="Indenta"/>
      </w:pPr>
      <w:r>
        <w:tab/>
        <w:t>(h)</w:t>
      </w:r>
      <w:r>
        <w:tab/>
        <w:t>not more than 5 persons co</w:t>
      </w:r>
      <w:r>
        <w:noBreakHyphen/>
        <w:t xml:space="preserve">opted to serve as members of the Senate by an absolute majority of the other members; </w:t>
      </w:r>
    </w:p>
    <w:p>
      <w:pPr>
        <w:pStyle w:val="Indenta"/>
      </w:pPr>
      <w:r>
        <w:tab/>
        <w:t>(i)</w:t>
      </w:r>
      <w:r>
        <w:tab/>
        <w:t>the person for the time being the President of the Academic Council.</w:t>
      </w:r>
    </w:p>
    <w:p>
      <w:pPr>
        <w:pStyle w:val="Subsection"/>
      </w:pPr>
      <w:r>
        <w:tab/>
        <w:t>(1A)</w:t>
      </w:r>
      <w:r>
        <w:tab/>
        <w:t>The fact that a person holds an elective office (for example, an elective office of the Guild) does not disqualify that person from being appointed or holding office under subsection (1).</w:t>
      </w:r>
    </w:p>
    <w:p>
      <w:pPr>
        <w:pStyle w:val="Subsection"/>
      </w:pPr>
      <w:r>
        <w:tab/>
        <w:t>(2)</w:t>
      </w:r>
      <w:r>
        <w:tab/>
        <w:t>The following persons are not eligible to be a member of the Senate under subsection (1)(f), (g) or (h)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25; No. 32 of 2016 s. 99.]</w:t>
      </w:r>
    </w:p>
    <w:p>
      <w:pPr>
        <w:pStyle w:val="Heading5"/>
      </w:pPr>
      <w:bookmarkStart w:id="18" w:name="_Toc523925637"/>
      <w:r>
        <w:rPr>
          <w:rStyle w:val="CharSectno"/>
        </w:rPr>
        <w:t>13</w:t>
      </w:r>
      <w:r>
        <w:t>.</w:t>
      </w:r>
      <w:r>
        <w:tab/>
        <w:t>Nominations Committee</w:t>
      </w:r>
      <w:bookmarkEnd w:id="18"/>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of the Senate referred to in section 12(1)(c);</w:t>
      </w:r>
    </w:p>
    <w:p>
      <w:pPr>
        <w:pStyle w:val="Indenta"/>
      </w:pPr>
      <w:r>
        <w:tab/>
        <w:t>(c)</w:t>
      </w:r>
      <w:r>
        <w:tab/>
        <w:t>the member of the Senate referred to in section 12(1)(d);</w:t>
      </w:r>
    </w:p>
    <w:p>
      <w:pPr>
        <w:pStyle w:val="Indenta"/>
      </w:pPr>
      <w:r>
        <w:tab/>
        <w:t>(d)</w:t>
      </w:r>
      <w:r>
        <w:tab/>
        <w:t>the members of the Senate referred to in section 12(1)(e);</w:t>
      </w:r>
    </w:p>
    <w:p>
      <w:pPr>
        <w:pStyle w:val="Indenta"/>
      </w:pPr>
      <w:r>
        <w:tab/>
        <w:t>(e)</w:t>
      </w:r>
      <w:r>
        <w:tab/>
        <w:t>the members of the Senate referred to in section 12(1)(f);</w:t>
      </w:r>
    </w:p>
    <w:p>
      <w:pPr>
        <w:pStyle w:val="Indenta"/>
      </w:pPr>
      <w:r>
        <w:tab/>
        <w:t>(f)</w:t>
      </w:r>
      <w:r>
        <w:tab/>
        <w:t>the President of the Academic Council.</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12(1)(g);</w:t>
      </w:r>
    </w:p>
    <w:p>
      <w:pPr>
        <w:pStyle w:val="Indenta"/>
      </w:pPr>
      <w:r>
        <w:tab/>
        <w:t>(c)</w:t>
      </w:r>
      <w:r>
        <w:tab/>
        <w:t>to recommend to the Senate suitable candidates for appointment by cooption under section 12(1)(h).</w:t>
      </w:r>
    </w:p>
    <w:p>
      <w:pPr>
        <w:pStyle w:val="Subsection"/>
      </w:pPr>
      <w:r>
        <w:tab/>
        <w:t>(5)</w:t>
      </w:r>
      <w:r>
        <w:tab/>
        <w:t>The fact that the Nominations Committee or the Senate has not recommended a person for appointment under section 12(1) does not prevent the person from being appointed or holding office under section 12(1).</w:t>
      </w:r>
    </w:p>
    <w:p>
      <w:pPr>
        <w:pStyle w:val="Subsection"/>
      </w:pPr>
      <w:r>
        <w:tab/>
        <w:t>(6)</w:t>
      </w:r>
      <w:r>
        <w:tab/>
        <w:t>The Nominations Committee may regulate its own procedure, but it must comply with any direction given by the Senate.</w:t>
      </w:r>
    </w:p>
    <w:p>
      <w:pPr>
        <w:pStyle w:val="Footnotesection"/>
        <w:keepLines w:val="0"/>
        <w:ind w:left="890" w:hanging="890"/>
      </w:pPr>
      <w:r>
        <w:tab/>
        <w:t>[Section 13 inserted by No. 32 of 2016 s. 100.]</w:t>
      </w:r>
    </w:p>
    <w:p>
      <w:pPr>
        <w:pStyle w:val="Heading5"/>
      </w:pPr>
      <w:bookmarkStart w:id="19" w:name="_Toc523925638"/>
      <w:r>
        <w:rPr>
          <w:rStyle w:val="CharSectno"/>
        </w:rPr>
        <w:t>14</w:t>
      </w:r>
      <w:r>
        <w:t>.</w:t>
      </w:r>
      <w:r>
        <w:tab/>
        <w:t>Term of office of members</w:t>
      </w:r>
      <w:bookmarkEnd w:id="19"/>
      <w:r>
        <w:t xml:space="preserve"> </w:t>
      </w:r>
    </w:p>
    <w:p>
      <w:pPr>
        <w:pStyle w:val="Subsection"/>
      </w:pPr>
      <w:r>
        <w:tab/>
        <w:t>(1)</w:t>
      </w:r>
      <w:r>
        <w:tab/>
        <w:t>Subject to section 15 — </w:t>
      </w:r>
    </w:p>
    <w:p>
      <w:pPr>
        <w:pStyle w:val="Indenta"/>
      </w:pPr>
      <w:r>
        <w:tab/>
        <w:t>(a)</w:t>
      </w:r>
      <w:r>
        <w:tab/>
        <w:t>a member appointed under section 12(1)(g) or (h) holds office for a period of 3 years, commencing on the day of their appointment, unless a shorter term of office is specified under subsection (4);</w:t>
      </w:r>
    </w:p>
    <w:p>
      <w:pPr>
        <w:pStyle w:val="Indenta"/>
      </w:pPr>
      <w:r>
        <w:tab/>
        <w:t>(b)</w:t>
      </w:r>
      <w:r>
        <w:tab/>
        <w:t>a member elected under section 12(1)(c), (d) or (f), holds office for a period of 3 years, commencing on the day their election takes effect, unless a shorter term of office is specified under subsection (5);</w:t>
      </w:r>
    </w:p>
    <w:p>
      <w:pPr>
        <w:pStyle w:val="Indenta"/>
      </w:pPr>
      <w:r>
        <w:tab/>
        <w:t>(c)</w:t>
      </w:r>
      <w:r>
        <w:tab/>
        <w:t>a member elected under section 12(1)(e) holds office for a period of one year commencing on the day their election takes effect, unless a shorter term of office is specified under subsection (5).</w:t>
      </w:r>
    </w:p>
    <w:p>
      <w:pPr>
        <w:pStyle w:val="Subsection"/>
      </w:pPr>
      <w:r>
        <w:tab/>
        <w:t>(2)</w:t>
      </w:r>
      <w:r>
        <w:tab/>
        <w:t xml:space="preserve">An appointed (which includes coopted) or elected member, on the expiry of their term of office — </w:t>
      </w:r>
    </w:p>
    <w:p>
      <w:pPr>
        <w:pStyle w:val="Indenta"/>
      </w:pPr>
      <w:r>
        <w:tab/>
        <w:t>(a)</w:t>
      </w:r>
      <w:r>
        <w:tab/>
        <w:t>may be reappointed or re</w:t>
      </w:r>
      <w:r>
        <w:noBreakHyphen/>
        <w:t xml:space="preserve">elected, if they continue to be qualified under section 12;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12(1)(e) may be re</w:t>
      </w:r>
      <w:r>
        <w:noBreakHyphen/>
        <w:t>elected once, but only once, on the expiry of their term of office, if they continue to be qualified under section 12.</w:t>
      </w:r>
    </w:p>
    <w:p>
      <w:pPr>
        <w:pStyle w:val="Subsection"/>
      </w:pPr>
      <w:r>
        <w:tab/>
        <w:t>(4)</w:t>
      </w:r>
      <w:r>
        <w:tab/>
        <w:t>The Governor or the Senate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p>
    <w:p>
      <w:pPr>
        <w:pStyle w:val="Footnotesection"/>
        <w:keepLines w:val="0"/>
        <w:ind w:left="890" w:hanging="890"/>
      </w:pPr>
      <w:r>
        <w:tab/>
        <w:t>[Section 14 inserted by No. 32 of 2016 s. 100.]</w:t>
      </w:r>
    </w:p>
    <w:p>
      <w:pPr>
        <w:pStyle w:val="Heading5"/>
      </w:pPr>
      <w:bookmarkStart w:id="20" w:name="_Toc523925639"/>
      <w:r>
        <w:rPr>
          <w:rStyle w:val="CharSectno"/>
        </w:rPr>
        <w:t>14A</w:t>
      </w:r>
      <w:r>
        <w:t>.</w:t>
      </w:r>
      <w:r>
        <w:tab/>
        <w:t>Duties of Senate members</w:t>
      </w:r>
      <w:bookmarkEnd w:id="20"/>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21" w:name="_Toc523925640"/>
      <w:r>
        <w:rPr>
          <w:rStyle w:val="CharSectno"/>
        </w:rPr>
        <w:t>15</w:t>
      </w:r>
      <w:r>
        <w:rPr>
          <w:snapToGrid w:val="0"/>
        </w:rPr>
        <w:t>.</w:t>
      </w:r>
      <w:r>
        <w:rPr>
          <w:snapToGrid w:val="0"/>
        </w:rPr>
        <w:tab/>
        <w:t>Resignation, disqualification and vacation of office</w:t>
      </w:r>
      <w:bookmarkEnd w:id="21"/>
    </w:p>
    <w:p>
      <w:pPr>
        <w:pStyle w:val="Subsection"/>
      </w:pPr>
      <w:r>
        <w:tab/>
        <w:t>(1)</w:t>
      </w:r>
      <w:r>
        <w:tab/>
        <w:t xml:space="preserve">The Chancellor may resign their office by written notice given to the Minister. </w:t>
      </w:r>
    </w:p>
    <w:p>
      <w:pPr>
        <w:pStyle w:val="Subsection"/>
      </w:pPr>
      <w:r>
        <w:tab/>
        <w:t>(2)</w:t>
      </w:r>
      <w:r>
        <w:tab/>
        <w:t>The Deputy Chancellor or a member of the Senate may resign their office by written notice given to the Minister.</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 xml:space="preserve">has </w:t>
      </w:r>
      <w:r>
        <w:t>their</w:t>
      </w:r>
      <w:r>
        <w:rPr>
          <w:snapToGrid w:val="0"/>
        </w:rPr>
        <w:t xml:space="preserve"> appointment terminated by the Governor for inability, inefficiency or misbehaviour,</w:t>
      </w:r>
    </w:p>
    <w:p>
      <w:pPr>
        <w:pStyle w:val="Subsection"/>
        <w:rPr>
          <w:snapToGrid w:val="0"/>
        </w:rPr>
      </w:pPr>
      <w:r>
        <w:rPr>
          <w:snapToGrid w:val="0"/>
        </w:rPr>
        <w:tab/>
      </w:r>
      <w:r>
        <w:rPr>
          <w:snapToGrid w:val="0"/>
        </w:rPr>
        <w:tab/>
        <w:t xml:space="preserve">is not capable of holding office under this Act and on the happening of any such event </w:t>
      </w:r>
      <w:r>
        <w:t>the person’s office</w:t>
      </w:r>
      <w:r>
        <w:rPr>
          <w:snapToGrid w:val="0"/>
        </w:rPr>
        <w:t xml:space="preserve"> becomes vacant and </w:t>
      </w:r>
      <w:r>
        <w:t>the person is not eligible for</w:t>
      </w:r>
      <w:r>
        <w:rPr>
          <w:snapToGrid w:val="0"/>
        </w:rPr>
        <w:t xml:space="preserve">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pPr>
      <w:r>
        <w:tab/>
        <w:t>(4)</w:t>
      </w:r>
      <w:r>
        <w:tab/>
        <w:t>If a person who is a member of the Senate ceases to hold the required qualification under section 12 for being a member, the person’s office as member becomes vacant.</w:t>
      </w:r>
    </w:p>
    <w:p>
      <w:pPr>
        <w:pStyle w:val="Subsection"/>
        <w:rPr>
          <w:snapToGrid w:val="0"/>
        </w:rPr>
      </w:pPr>
      <w:r>
        <w:rPr>
          <w:snapToGrid w:val="0"/>
        </w:rPr>
        <w:tab/>
        <w:t>(5)</w:t>
      </w:r>
      <w:r>
        <w:rPr>
          <w:snapToGrid w:val="0"/>
        </w:rPr>
        <w:tab/>
        <w:t xml:space="preserve">The office of a member of the Senate shall be vacated if, without leave obtained from the Senate, </w:t>
      </w:r>
      <w:r>
        <w:t>the member</w:t>
      </w:r>
      <w:r>
        <w:rPr>
          <w:snapToGrid w:val="0"/>
        </w:rPr>
        <w:t xml:space="preserv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58; No. 32 of 2016 s. 101.]</w:t>
      </w:r>
    </w:p>
    <w:p>
      <w:pPr>
        <w:pStyle w:val="Heading5"/>
      </w:pPr>
      <w:bookmarkStart w:id="22" w:name="_Toc523925641"/>
      <w:r>
        <w:rPr>
          <w:rStyle w:val="CharSectno"/>
        </w:rPr>
        <w:t>15A</w:t>
      </w:r>
      <w:r>
        <w:t>.</w:t>
      </w:r>
      <w:r>
        <w:tab/>
        <w:t>Removal of Senate members for breach of certain duties and suspension pending removal</w:t>
      </w:r>
      <w:bookmarkEnd w:id="22"/>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29; amended by No. 32 of 2016 s. 102.]</w:t>
      </w:r>
    </w:p>
    <w:p>
      <w:pPr>
        <w:pStyle w:val="Heading5"/>
      </w:pPr>
      <w:bookmarkStart w:id="23" w:name="_Toc523925642"/>
      <w:r>
        <w:rPr>
          <w:rStyle w:val="CharSectno"/>
        </w:rPr>
        <w:t>16</w:t>
      </w:r>
      <w:r>
        <w:t>.</w:t>
      </w:r>
      <w:r>
        <w:tab/>
        <w:t>Casual vacancies</w:t>
      </w:r>
      <w:bookmarkEnd w:id="23"/>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16 inserted by No. 32 of 2016 s. 103.]</w:t>
      </w:r>
    </w:p>
    <w:p>
      <w:pPr>
        <w:pStyle w:val="Heading5"/>
        <w:rPr>
          <w:snapToGrid w:val="0"/>
        </w:rPr>
      </w:pPr>
      <w:bookmarkStart w:id="24" w:name="_Toc523925643"/>
      <w:r>
        <w:rPr>
          <w:rStyle w:val="CharSectno"/>
        </w:rPr>
        <w:t>17</w:t>
      </w:r>
      <w:r>
        <w:rPr>
          <w:snapToGrid w:val="0"/>
        </w:rPr>
        <w:t>.</w:t>
      </w:r>
      <w:r>
        <w:rPr>
          <w:snapToGrid w:val="0"/>
        </w:rPr>
        <w:tab/>
        <w:t>Functions of Senate, its powers and duties</w:t>
      </w:r>
      <w:bookmarkEnd w:id="24"/>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 xml:space="preserve">shall appoint, and may vary or terminate the appointment of, the academic and other staff, officers </w:t>
      </w:r>
      <w:r>
        <w:t>and employees</w:t>
      </w:r>
      <w:r>
        <w:rPr>
          <w:snapToGrid w:val="0"/>
        </w:rPr>
        <w:t xml:space="preserve"> of the University;</w:t>
      </w:r>
    </w:p>
    <w:p>
      <w:pPr>
        <w:pStyle w:val="Indenta"/>
        <w:spacing w:before="60"/>
        <w:rPr>
          <w:snapToGrid w:val="0"/>
        </w:rPr>
      </w:pPr>
      <w:r>
        <w:rPr>
          <w:snapToGrid w:val="0"/>
        </w:rPr>
        <w:tab/>
        <w:t>(c)</w:t>
      </w:r>
      <w:r>
        <w:rPr>
          <w:snapToGrid w:val="0"/>
        </w:rPr>
        <w:tab/>
        <w:t xml:space="preserve">in the name and on behalf of the University and in accordance with the Statutes and regulations </w:t>
      </w:r>
      <w:r>
        <w:t>made under section 26,</w:t>
      </w:r>
      <w:r>
        <w:rPr>
          <w:snapToGrid w:val="0"/>
        </w:rPr>
        <w:t xml:space="preserve">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17; No. 32 of 2016 s. 104.]</w:t>
      </w:r>
    </w:p>
    <w:p>
      <w:pPr>
        <w:pStyle w:val="Heading5"/>
      </w:pPr>
      <w:bookmarkStart w:id="25" w:name="_Toc523925644"/>
      <w:r>
        <w:rPr>
          <w:rStyle w:val="CharSectno"/>
        </w:rPr>
        <w:t>17A</w:t>
      </w:r>
      <w:r>
        <w:t>.</w:t>
      </w:r>
      <w:r>
        <w:tab/>
        <w:t>Disclosure of interests</w:t>
      </w:r>
      <w:bookmarkEnd w:id="25"/>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26" w:name="_Toc523925645"/>
      <w:r>
        <w:rPr>
          <w:rStyle w:val="CharSectno"/>
        </w:rPr>
        <w:t>17B</w:t>
      </w:r>
      <w:r>
        <w:t>.</w:t>
      </w:r>
      <w:r>
        <w:tab/>
        <w:t>Relief of Senate members from liability</w:t>
      </w:r>
      <w:bookmarkEnd w:id="26"/>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pPr>
      <w:bookmarkStart w:id="27" w:name="_Toc523925646"/>
      <w:r>
        <w:rPr>
          <w:rStyle w:val="CharSectno"/>
        </w:rPr>
        <w:t>18</w:t>
      </w:r>
      <w:r>
        <w:t>.</w:t>
      </w:r>
      <w:r>
        <w:tab/>
        <w:t>Delegation by Senate</w:t>
      </w:r>
      <w:bookmarkEnd w:id="27"/>
    </w:p>
    <w:p>
      <w:pPr>
        <w:pStyle w:val="Subsection"/>
      </w:pPr>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p>
    <w:p>
      <w:pPr>
        <w:pStyle w:val="Indenta"/>
      </w:pPr>
      <w:r>
        <w:tab/>
        <w:t>(a)</w:t>
      </w:r>
      <w:r>
        <w:tab/>
        <w:t>member of the Senate; or</w:t>
      </w:r>
    </w:p>
    <w:p>
      <w:pPr>
        <w:pStyle w:val="Indenta"/>
      </w:pPr>
      <w:r>
        <w:tab/>
        <w:t>(b)</w:t>
      </w:r>
      <w:r>
        <w:tab/>
        <w:t>committee, council or other body of the University; or</w:t>
      </w:r>
    </w:p>
    <w:p>
      <w:pPr>
        <w:pStyle w:val="Indenta"/>
      </w:pPr>
      <w:r>
        <w:tab/>
        <w:t>(c)</w:t>
      </w:r>
      <w:r>
        <w:tab/>
        <w:t>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18 inserted by No. 32 of 2016 s. 105.]</w:t>
      </w:r>
    </w:p>
    <w:p>
      <w:pPr>
        <w:pStyle w:val="Heading5"/>
        <w:rPr>
          <w:snapToGrid w:val="0"/>
        </w:rPr>
      </w:pPr>
      <w:bookmarkStart w:id="28" w:name="_Toc523925647"/>
      <w:r>
        <w:rPr>
          <w:rStyle w:val="CharSectno"/>
        </w:rPr>
        <w:t>19</w:t>
      </w:r>
      <w:r>
        <w:rPr>
          <w:snapToGrid w:val="0"/>
        </w:rPr>
        <w:t>.</w:t>
      </w:r>
      <w:r>
        <w:rPr>
          <w:snapToGrid w:val="0"/>
        </w:rPr>
        <w:tab/>
        <w:t>Convocation</w:t>
      </w:r>
      <w:bookmarkEnd w:id="28"/>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29" w:name="_Toc523925648"/>
      <w:r>
        <w:rPr>
          <w:rStyle w:val="CharSectno"/>
        </w:rPr>
        <w:t>20</w:t>
      </w:r>
      <w:r>
        <w:rPr>
          <w:snapToGrid w:val="0"/>
        </w:rPr>
        <w:t>.</w:t>
      </w:r>
      <w:r>
        <w:rPr>
          <w:snapToGrid w:val="0"/>
        </w:rPr>
        <w:tab/>
        <w:t>Guild of Students</w:t>
      </w:r>
      <w:bookmarkEnd w:id="29"/>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 xml:space="preserve">No academic benefit, right or privilege shall be denied to or withheld from any student by reason of that student </w:t>
      </w:r>
      <w:r>
        <w:t>being or</w:t>
      </w:r>
      <w:r>
        <w:rPr>
          <w:snapToGrid w:val="0"/>
        </w:rPr>
        <w:t xml:space="preserve">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10; No. 32 of 2016 s. 107.]</w:t>
      </w:r>
    </w:p>
    <w:p>
      <w:pPr>
        <w:pStyle w:val="Heading5"/>
      </w:pPr>
      <w:bookmarkStart w:id="30" w:name="_Toc523925649"/>
      <w:r>
        <w:rPr>
          <w:rStyle w:val="CharSectno"/>
        </w:rPr>
        <w:t>20A</w:t>
      </w:r>
      <w:r>
        <w:t>.</w:t>
      </w:r>
      <w:r>
        <w:tab/>
        <w:t>Amenities and services fee</w:t>
      </w:r>
      <w:bookmarkEnd w:id="30"/>
    </w:p>
    <w:p>
      <w:pPr>
        <w:pStyle w:val="Subsection"/>
      </w:pPr>
      <w:r>
        <w:tab/>
        <w:t>(1)</w:t>
      </w:r>
      <w:r>
        <w:tab/>
        <w:t xml:space="preserve">A Statute made under section 25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Guild, including conditions to be met before some or all of the amount may be paid to the Guild;</w:t>
      </w:r>
    </w:p>
    <w:p>
      <w:pPr>
        <w:pStyle w:val="Indenta"/>
      </w:pPr>
      <w:r>
        <w:tab/>
        <w:t>(f)</w:t>
      </w:r>
      <w:r>
        <w:tab/>
        <w:t>provide for the Senate to decide how the amount of the total fees collected (after deducting the amount that is paid to the Guild) is to be spent, after consultation by the Senate with the Guild.</w:t>
      </w:r>
    </w:p>
    <w:p>
      <w:pPr>
        <w:pStyle w:val="Subsection"/>
      </w:pPr>
      <w:r>
        <w:tab/>
        <w:t>(2)</w:t>
      </w:r>
      <w:r>
        <w:tab/>
        <w:t>This section does not limit section 25.</w:t>
      </w:r>
    </w:p>
    <w:p>
      <w:pPr>
        <w:pStyle w:val="Subsection"/>
      </w:pPr>
      <w:r>
        <w:tab/>
        <w:t>(3)</w:t>
      </w:r>
      <w:r>
        <w:tab/>
        <w:t>The Senate must pay to the Guild an amount that is not less than 50% of the total amount of the annual amenities and services fees collected.</w:t>
      </w:r>
    </w:p>
    <w:p>
      <w:pPr>
        <w:pStyle w:val="Footnotesection"/>
      </w:pPr>
      <w:r>
        <w:tab/>
        <w:t>[Section 20A inserted by No. 32 of 2016 s. 108.]</w:t>
      </w:r>
    </w:p>
    <w:p>
      <w:pPr>
        <w:pStyle w:val="Heading5"/>
      </w:pPr>
      <w:bookmarkStart w:id="31" w:name="_Toc523925650"/>
      <w:r>
        <w:rPr>
          <w:rStyle w:val="CharSectno"/>
        </w:rPr>
        <w:t>20B</w:t>
      </w:r>
      <w:r>
        <w:t>.</w:t>
      </w:r>
      <w:r>
        <w:tab/>
        <w:t>Senate to include detail in Statute</w:t>
      </w:r>
      <w:bookmarkEnd w:id="31"/>
    </w:p>
    <w:p>
      <w:pPr>
        <w:pStyle w:val="Subsection"/>
      </w:pPr>
      <w:r>
        <w:tab/>
        <w:t>(1)</w:t>
      </w:r>
      <w:r>
        <w:tab/>
        <w:t>The Senate must prescribe, by Statute —</w:t>
      </w:r>
    </w:p>
    <w:p>
      <w:pPr>
        <w:pStyle w:val="Indenta"/>
      </w:pPr>
      <w:r>
        <w:tab/>
        <w:t>(a)</w:t>
      </w:r>
      <w:r>
        <w:tab/>
        <w:t>the broad categories of amenities and services to which the Guild may apply the fees paid to the Guild; and</w:t>
      </w:r>
    </w:p>
    <w:p>
      <w:pPr>
        <w:pStyle w:val="Indenta"/>
      </w:pPr>
      <w:r>
        <w:tab/>
        <w:t>(b)</w:t>
      </w:r>
      <w:r>
        <w:tab/>
        <w:t>the process for determining those categories.</w:t>
      </w:r>
    </w:p>
    <w:p>
      <w:pPr>
        <w:pStyle w:val="Ednotesubsection"/>
      </w:pPr>
      <w:r>
        <w:tab/>
        <w:t>[(2)</w:t>
      </w:r>
      <w:r>
        <w:tab/>
        <w:t>deleted]</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Ednotesubsection"/>
      </w:pPr>
      <w:r>
        <w:tab/>
        <w:t>[(4)</w:t>
      </w:r>
      <w:r>
        <w:tab/>
        <w:t>deleted]</w:t>
      </w:r>
    </w:p>
    <w:p>
      <w:pPr>
        <w:pStyle w:val="Footnotesection"/>
      </w:pPr>
      <w:r>
        <w:tab/>
        <w:t>[Section 20B inserted by No. 44 of 2002 s. 11; amended by No. 32 of 2016 s. 109.]</w:t>
      </w:r>
    </w:p>
    <w:p>
      <w:pPr>
        <w:pStyle w:val="Heading5"/>
        <w:rPr>
          <w:snapToGrid w:val="0"/>
        </w:rPr>
      </w:pPr>
      <w:bookmarkStart w:id="32" w:name="_Toc523925651"/>
      <w:r>
        <w:rPr>
          <w:rStyle w:val="CharSectno"/>
        </w:rPr>
        <w:t>21</w:t>
      </w:r>
      <w:r>
        <w:rPr>
          <w:snapToGrid w:val="0"/>
        </w:rPr>
        <w:t>.</w:t>
      </w:r>
      <w:r>
        <w:rPr>
          <w:snapToGrid w:val="0"/>
        </w:rPr>
        <w:tab/>
        <w:t>Academic Council</w:t>
      </w:r>
      <w:bookmarkEnd w:id="32"/>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33" w:name="_Toc523925652"/>
      <w:r>
        <w:rPr>
          <w:rStyle w:val="CharSectno"/>
        </w:rPr>
        <w:t>22</w:t>
      </w:r>
      <w:r>
        <w:rPr>
          <w:snapToGrid w:val="0"/>
        </w:rPr>
        <w:t>.</w:t>
      </w:r>
      <w:r>
        <w:rPr>
          <w:snapToGrid w:val="0"/>
        </w:rPr>
        <w:tab/>
        <w:t>Degrees and academic distinctions</w:t>
      </w:r>
      <w:bookmarkEnd w:id="33"/>
    </w:p>
    <w:p>
      <w:pPr>
        <w:pStyle w:val="Subsection"/>
        <w:spacing w:before="140"/>
        <w:rPr>
          <w:snapToGrid w:val="0"/>
        </w:rPr>
      </w:pPr>
      <w:r>
        <w:rPr>
          <w:snapToGrid w:val="0"/>
        </w:rPr>
        <w:tab/>
        <w:t>(1)</w:t>
      </w:r>
      <w:r>
        <w:rPr>
          <w:snapToGrid w:val="0"/>
        </w:rPr>
        <w:tab/>
        <w:t xml:space="preserve">The University </w:t>
      </w:r>
      <w:r>
        <w:t>has</w:t>
      </w:r>
      <w:r>
        <w:rPr>
          <w:snapToGrid w:val="0"/>
        </w:rPr>
        <w:t xml:space="preserve"> power to award to any person after examination and in accordance with the Statutes and regulations </w:t>
      </w:r>
      <w:r>
        <w:t xml:space="preserve">made under section 26 </w:t>
      </w:r>
      <w:r>
        <w:rPr>
          <w:snapToGrid w:val="0"/>
        </w:rPr>
        <w:t>such degrees and other academic distinctions as may be constituted by Statute.</w:t>
      </w:r>
    </w:p>
    <w:p>
      <w:pPr>
        <w:pStyle w:val="Subsection"/>
        <w:spacing w:before="140"/>
        <w:rPr>
          <w:snapToGrid w:val="0"/>
        </w:rPr>
      </w:pPr>
      <w:r>
        <w:rPr>
          <w:snapToGrid w:val="0"/>
        </w:rPr>
        <w:tab/>
        <w:t>(2)</w:t>
      </w:r>
      <w:r>
        <w:rPr>
          <w:snapToGrid w:val="0"/>
        </w:rPr>
        <w:tab/>
        <w:t xml:space="preserve">The University </w:t>
      </w:r>
      <w:r>
        <w:t>has</w:t>
      </w:r>
      <w:r>
        <w:rPr>
          <w:snapToGrid w:val="0"/>
        </w:rPr>
        <w:t xml:space="preserve"> power, without examination, but in accordance with the Statutes and regulations </w:t>
      </w:r>
      <w:r>
        <w:t xml:space="preserve">made under section 26, </w:t>
      </w:r>
      <w:r>
        <w:rPr>
          <w:snapToGrid w:val="0"/>
        </w:rPr>
        <w:t>to admit to degrees or other academic distinctions which the University has power to award, persons who have graduated at any other tertiary institution.</w:t>
      </w:r>
    </w:p>
    <w:p>
      <w:pPr>
        <w:pStyle w:val="Subsection"/>
      </w:pPr>
      <w:r>
        <w:tab/>
        <w:t>(3)</w:t>
      </w:r>
      <w:r>
        <w:tab/>
        <w:t>The University has power to admit any person to an honorary degree.</w:t>
      </w:r>
    </w:p>
    <w:p>
      <w:pPr>
        <w:pStyle w:val="Footnotesection"/>
      </w:pPr>
      <w:r>
        <w:tab/>
        <w:t>[Section 22 amended by No. 32 of 2016 s. 110.]</w:t>
      </w:r>
    </w:p>
    <w:p>
      <w:pPr>
        <w:pStyle w:val="Heading5"/>
        <w:rPr>
          <w:snapToGrid w:val="0"/>
        </w:rPr>
      </w:pPr>
      <w:bookmarkStart w:id="34" w:name="_Toc523925653"/>
      <w:r>
        <w:rPr>
          <w:rStyle w:val="CharSectno"/>
        </w:rPr>
        <w:t>23</w:t>
      </w:r>
      <w:r>
        <w:rPr>
          <w:snapToGrid w:val="0"/>
        </w:rPr>
        <w:t>.</w:t>
      </w:r>
      <w:r>
        <w:rPr>
          <w:snapToGrid w:val="0"/>
        </w:rPr>
        <w:tab/>
        <w:t>Vice</w:t>
      </w:r>
      <w:r>
        <w:rPr>
          <w:snapToGrid w:val="0"/>
        </w:rPr>
        <w:noBreakHyphen/>
        <w:t>Chancellor</w:t>
      </w:r>
      <w:bookmarkEnd w:id="34"/>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 xml:space="preserve">Chancellor shall be appointed by the Senate and </w:t>
      </w:r>
      <w:r>
        <w:t>holds office</w:t>
      </w:r>
      <w:r>
        <w:rPr>
          <w:snapToGrid w:val="0"/>
        </w:rPr>
        <w:t xml:space="preserv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 xml:space="preserve">Chancellor shall have the powers and duties conferred or imposed upon </w:t>
      </w:r>
      <w:r>
        <w:t>the Vice</w:t>
      </w:r>
      <w:r>
        <w:noBreakHyphen/>
        <w:t>Chancellor by the Statutes and the regulations made under section 26.</w:t>
      </w:r>
    </w:p>
    <w:p>
      <w:pPr>
        <w:pStyle w:val="Subsection"/>
      </w:pPr>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p>
    <w:p>
      <w:pPr>
        <w:pStyle w:val="Ednotesubsection"/>
      </w:pPr>
      <w:r>
        <w:tab/>
        <w:t>[(6)</w:t>
      </w:r>
      <w:r>
        <w:tab/>
        <w:t>deleted]</w:t>
      </w:r>
    </w:p>
    <w:p>
      <w:pPr>
        <w:pStyle w:val="Footnotesection"/>
      </w:pPr>
      <w:r>
        <w:tab/>
        <w:t>[Section 23 amended by No. 10 of 1998 s. 54(6); No. 32 of 2016 s. 111.]</w:t>
      </w:r>
    </w:p>
    <w:p>
      <w:pPr>
        <w:pStyle w:val="Heading2"/>
      </w:pPr>
      <w:bookmarkStart w:id="35" w:name="_Toc523925654"/>
      <w:r>
        <w:rPr>
          <w:rStyle w:val="CharPartNo"/>
        </w:rPr>
        <w:t>Part 4</w:t>
      </w:r>
      <w:r>
        <w:rPr>
          <w:rStyle w:val="CharDivNo"/>
        </w:rPr>
        <w:t> </w:t>
      </w:r>
      <w:r>
        <w:t>—</w:t>
      </w:r>
      <w:r>
        <w:rPr>
          <w:rStyle w:val="CharDivText"/>
        </w:rPr>
        <w:t> </w:t>
      </w:r>
      <w:r>
        <w:rPr>
          <w:rStyle w:val="CharPartText"/>
        </w:rPr>
        <w:t>By</w:t>
      </w:r>
      <w:r>
        <w:rPr>
          <w:rStyle w:val="CharPartText"/>
        </w:rPr>
        <w:noBreakHyphen/>
        <w:t>laws, Statutes and regulations</w:t>
      </w:r>
      <w:bookmarkEnd w:id="35"/>
    </w:p>
    <w:p>
      <w:pPr>
        <w:pStyle w:val="Footnoteheading"/>
      </w:pPr>
      <w:r>
        <w:tab/>
        <w:t>[Heading inserted by No. 32 of 2016 s. 112.]</w:t>
      </w:r>
    </w:p>
    <w:p>
      <w:pPr>
        <w:pStyle w:val="Heading5"/>
        <w:rPr>
          <w:snapToGrid w:val="0"/>
        </w:rPr>
      </w:pPr>
      <w:bookmarkStart w:id="36" w:name="_Toc523925655"/>
      <w:r>
        <w:rPr>
          <w:rStyle w:val="CharSectno"/>
        </w:rPr>
        <w:t>24</w:t>
      </w:r>
      <w:r>
        <w:rPr>
          <w:snapToGrid w:val="0"/>
        </w:rPr>
        <w:t>.</w:t>
      </w:r>
      <w:r>
        <w:rPr>
          <w:snapToGrid w:val="0"/>
        </w:rPr>
        <w:tab/>
        <w:t>By</w:t>
      </w:r>
      <w:r>
        <w:rPr>
          <w:snapToGrid w:val="0"/>
        </w:rPr>
        <w:noBreakHyphen/>
        <w:t>laws</w:t>
      </w:r>
      <w:bookmarkEnd w:id="36"/>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any or all of subsection (7)(ab), (b) or (bb); and</w:t>
      </w:r>
    </w:p>
    <w:p>
      <w:pPr>
        <w:pStyle w:val="Indenta"/>
      </w:pPr>
      <w:r>
        <w:tab/>
        <w:t>(b)</w:t>
      </w:r>
      <w:r>
        <w:tab/>
        <w:t>authorise a contractor to be an authorised person for the purposes of any or all of subsection (7)(ab), (b) or (bb);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 xml:space="preserve">may impose a penalty not exceeding </w:t>
      </w:r>
      <w:r>
        <w:t xml:space="preserve">$1 000 </w:t>
      </w:r>
      <w:r>
        <w:rPr>
          <w:snapToGrid w:val="0"/>
        </w:rPr>
        <w:t>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 xml:space="preserve">laws may empower </w:t>
      </w:r>
      <w:r>
        <w:t>an authorised person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Ednotesubsection"/>
      </w:pPr>
      <w:r>
        <w:tab/>
        <w:t>[(4)-(6)</w:t>
      </w:r>
      <w:r>
        <w:tab/>
        <w:t>deleted]</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 xml:space="preserve">laws not inconsistent with this Act or any Statute </w:t>
      </w:r>
      <w:r>
        <w:t>for any of the following purposes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 xml:space="preserve">way traffic, noise, parking or standing, the removal of vehicles by </w:t>
      </w:r>
      <w:r>
        <w:t>an authorised person</w:t>
      </w:r>
      <w:r>
        <w:rPr>
          <w:snapToGrid w:val="0"/>
        </w:rPr>
        <w:t xml:space="preserve">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 xml:space="preserve">prescribing the circumstances under which an authorised person may remove a vehicle or cause it to be removed from the University lands to a specified place, prescribing </w:t>
      </w:r>
      <w:r>
        <w:t xml:space="preserve">further powers of the authorised person in relation to the removal of vehicles, </w:t>
      </w:r>
      <w:r>
        <w:rPr>
          <w:snapToGrid w:val="0"/>
        </w:rPr>
        <w:t>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 xml:space="preserve">the recovery of summary compensation for damage to University </w:t>
      </w:r>
      <w:r>
        <w:t>property;</w:t>
      </w:r>
    </w:p>
    <w:p>
      <w:pPr>
        <w:pStyle w:val="Indenta"/>
        <w:rPr>
          <w:snapToGrid w:val="0"/>
        </w:rPr>
      </w:pPr>
      <w:r>
        <w:rPr>
          <w:snapToGrid w:val="0"/>
        </w:rPr>
        <w:tab/>
        <w:t>(j)</w:t>
      </w:r>
      <w:r>
        <w:rPr>
          <w:snapToGrid w:val="0"/>
        </w:rPr>
        <w:tab/>
        <w:t>the apprehension of persons guilty of a breach of any by</w:t>
      </w:r>
      <w:r>
        <w:rPr>
          <w:snapToGrid w:val="0"/>
        </w:rPr>
        <w:noBreakHyphen/>
        <w:t xml:space="preserve">law by </w:t>
      </w:r>
      <w:r>
        <w:t>an authorised officer and</w:t>
      </w:r>
      <w:r>
        <w:rPr>
          <w:snapToGrid w:val="0"/>
        </w:rPr>
        <w:t xml:space="preserve"> the removal of such persons from the University </w:t>
      </w:r>
      <w:r>
        <w:t>lands;</w:t>
      </w:r>
    </w:p>
    <w:p>
      <w:pPr>
        <w:pStyle w:val="Indenta"/>
      </w:pPr>
      <w:r>
        <w:tab/>
        <w:t>(k)</w:t>
      </w:r>
      <w:r>
        <w:tab/>
        <w:t>the enforcement of the by</w:t>
      </w:r>
      <w: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 xml:space="preserve">law made by the Senate has been committed by any student of the University, the Senate, instead of charging </w:t>
      </w:r>
      <w:r>
        <w:t>the student</w:t>
      </w:r>
      <w:r>
        <w:rPr>
          <w:snapToGrid w:val="0"/>
          <w:spacing w:val="-2"/>
        </w:rPr>
        <w:t xml:space="preserve"> with that contravention in a court of summary jurisdiction, may direct that </w:t>
      </w:r>
      <w:r>
        <w:t>the student</w:t>
      </w:r>
      <w:r>
        <w:rPr>
          <w:snapToGrid w:val="0"/>
          <w:spacing w:val="-2"/>
        </w:rPr>
        <w:t xml:space="preserv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80; No. 32 of 2016 s. 113.]</w:t>
      </w:r>
    </w:p>
    <w:p>
      <w:pPr>
        <w:pStyle w:val="Heading5"/>
        <w:rPr>
          <w:snapToGrid w:val="0"/>
        </w:rPr>
      </w:pPr>
      <w:bookmarkStart w:id="37" w:name="_Toc523925656"/>
      <w:r>
        <w:rPr>
          <w:rStyle w:val="CharSectno"/>
        </w:rPr>
        <w:t>25</w:t>
      </w:r>
      <w:r>
        <w:rPr>
          <w:snapToGrid w:val="0"/>
        </w:rPr>
        <w:t>.</w:t>
      </w:r>
      <w:r>
        <w:rPr>
          <w:snapToGrid w:val="0"/>
        </w:rPr>
        <w:tab/>
        <w:t>Statutes</w:t>
      </w:r>
      <w:bookmarkEnd w:id="37"/>
    </w:p>
    <w:p>
      <w:pPr>
        <w:pStyle w:val="Ednotesubsection"/>
      </w:pPr>
      <w:r>
        <w:tab/>
        <w:t>[(1)-(3)</w:t>
      </w:r>
      <w:r>
        <w:tab/>
        <w:t>deleted]</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 xml:space="preserve">the number, the conditions of service of, and the powers and duties of the academic and other staff, </w:t>
      </w:r>
      <w:r>
        <w:t>and officers and employees</w:t>
      </w:r>
      <w:r>
        <w:rPr>
          <w:snapToGrid w:val="0"/>
        </w:rPr>
        <w:t xml:space="preserve"> of the University;</w:t>
      </w:r>
    </w:p>
    <w:p>
      <w:pPr>
        <w:pStyle w:val="Ednotepara"/>
        <w:rPr>
          <w:snapToGrid w:val="0"/>
        </w:rPr>
      </w:pPr>
      <w:r>
        <w:rPr>
          <w:snapToGrid w:val="0"/>
        </w:rPr>
        <w:tab/>
        <w:t>[(j), (k)</w:t>
      </w:r>
      <w:r>
        <w:rPr>
          <w:snapToGrid w:val="0"/>
        </w:rPr>
        <w:tab/>
        <w:t>deleted]</w:t>
      </w:r>
    </w:p>
    <w:p>
      <w:pPr>
        <w:pStyle w:val="Indenta"/>
        <w:spacing w:before="100"/>
        <w:rPr>
          <w:snapToGrid w:val="0"/>
        </w:rPr>
      </w:pPr>
      <w:r>
        <w:rPr>
          <w:snapToGrid w:val="0"/>
        </w:rPr>
        <w:tab/>
        <w:t>(l)</w:t>
      </w:r>
      <w:r>
        <w:rPr>
          <w:snapToGrid w:val="0"/>
        </w:rPr>
        <w:tab/>
        <w:t xml:space="preserve">the meetings of the </w:t>
      </w:r>
      <w:r>
        <w:t>Senate</w:t>
      </w:r>
      <w:r>
        <w:rPr>
          <w:snapToGrid w:val="0"/>
        </w:rPr>
        <w:t xml:space="preserve">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pPr>
      <w:r>
        <w:tab/>
        <w:t>(ta)</w:t>
      </w:r>
      <w:r>
        <w:tab/>
        <w:t>an annual amenities and services fee in accordance with section 20A;</w:t>
      </w:r>
    </w:p>
    <w:p>
      <w:pPr>
        <w:pStyle w:val="Indenta"/>
      </w:pPr>
      <w:r>
        <w:tab/>
        <w:t>(tb)</w:t>
      </w:r>
      <w:r>
        <w:tab/>
        <w:t>the matters required by section 20B to be defined or prescribed by Statute;</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 No. 32 of 2016 s. 114.]</w:t>
      </w:r>
    </w:p>
    <w:p>
      <w:pPr>
        <w:pStyle w:val="Heading5"/>
      </w:pPr>
      <w:bookmarkStart w:id="38" w:name="_Toc523925657"/>
      <w:r>
        <w:rPr>
          <w:rStyle w:val="CharSectno"/>
        </w:rPr>
        <w:t>26A</w:t>
      </w:r>
      <w:r>
        <w:t>.</w:t>
      </w:r>
      <w:r>
        <w:tab/>
        <w:t>Approval, publication, disallowance and proof of Statutes and by</w:t>
      </w:r>
      <w:r>
        <w:noBreakHyphen/>
        <w:t>laws</w:t>
      </w:r>
      <w:bookmarkEnd w:id="38"/>
    </w:p>
    <w:p>
      <w:pPr>
        <w:pStyle w:val="Subsection"/>
      </w:pPr>
      <w:r>
        <w:tab/>
        <w:t>(1)</w:t>
      </w:r>
      <w:r>
        <w:tab/>
        <w:t>A Statute or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or by</w:t>
      </w:r>
      <w:r>
        <w:noBreakHyphen/>
        <w:t>law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or the by</w:t>
      </w:r>
      <w:r>
        <w:noBreakHyphen/>
        <w:t>law under the common seal of the University;</w:t>
      </w:r>
    </w:p>
    <w:p>
      <w:pPr>
        <w:pStyle w:val="Indenta"/>
      </w:pPr>
      <w:r>
        <w:tab/>
        <w:t>(b)</w:t>
      </w:r>
      <w:r>
        <w:tab/>
        <w:t>a document purporting to be a copy of the Statute or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Statute or the by</w:t>
      </w:r>
      <w:r>
        <w:noBreakHyphen/>
        <w:t>law.</w:t>
      </w:r>
    </w:p>
    <w:p>
      <w:pPr>
        <w:pStyle w:val="Footnotesection"/>
      </w:pPr>
      <w:r>
        <w:tab/>
        <w:t>[Section 26A inserted by No. 32 of 2016 s. 115.]</w:t>
      </w:r>
    </w:p>
    <w:p>
      <w:pPr>
        <w:pStyle w:val="Heading5"/>
      </w:pPr>
      <w:bookmarkStart w:id="39" w:name="_Toc523925658"/>
      <w:r>
        <w:rPr>
          <w:rStyle w:val="CharSectno"/>
        </w:rPr>
        <w:t>26B</w:t>
      </w:r>
      <w:r>
        <w:t>.</w:t>
      </w:r>
      <w:r>
        <w:tab/>
        <w:t>Statutes and by</w:t>
      </w:r>
      <w:r>
        <w:noBreakHyphen/>
        <w:t>laws to be made readily available to public</w:t>
      </w:r>
      <w:bookmarkEnd w:id="39"/>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and by</w:t>
      </w:r>
      <w:r>
        <w:noBreakHyphen/>
        <w:t>laws approved and published under section 26A(1);</w:t>
      </w:r>
    </w:p>
    <w:p>
      <w:pPr>
        <w:pStyle w:val="Indenta"/>
      </w:pPr>
      <w:r>
        <w:tab/>
        <w:t>(b)</w:t>
      </w:r>
      <w:r>
        <w:tab/>
        <w:t>all Statutes and by</w:t>
      </w:r>
      <w:r>
        <w:noBreakHyphen/>
        <w:t xml:space="preserve">laws that are in effect immediately before the </w:t>
      </w:r>
      <w:r>
        <w:rPr>
          <w:i/>
        </w:rPr>
        <w:t>Universities Legislation Amendment Act 2016</w:t>
      </w:r>
      <w:r>
        <w:t xml:space="preserve"> section 115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26B inserted by No. 32 of 2016 s. 115.]</w:t>
      </w:r>
    </w:p>
    <w:p>
      <w:pPr>
        <w:pStyle w:val="Heading5"/>
        <w:rPr>
          <w:snapToGrid w:val="0"/>
        </w:rPr>
      </w:pPr>
      <w:bookmarkStart w:id="40" w:name="_Toc523925659"/>
      <w:r>
        <w:rPr>
          <w:rStyle w:val="CharSectno"/>
        </w:rPr>
        <w:t>26</w:t>
      </w:r>
      <w:r>
        <w:rPr>
          <w:snapToGrid w:val="0"/>
        </w:rPr>
        <w:t>.</w:t>
      </w:r>
      <w:r>
        <w:rPr>
          <w:snapToGrid w:val="0"/>
        </w:rPr>
        <w:tab/>
        <w:t>Regulations made by Senate</w:t>
      </w:r>
      <w:bookmarkEnd w:id="40"/>
    </w:p>
    <w:p>
      <w:pPr>
        <w:pStyle w:val="Subsection"/>
        <w:rPr>
          <w:snapToGrid w:val="0"/>
        </w:rPr>
      </w:pPr>
      <w:r>
        <w:rPr>
          <w:snapToGrid w:val="0"/>
        </w:rPr>
        <w:tab/>
        <w:t>(1)</w:t>
      </w:r>
      <w:r>
        <w:rPr>
          <w:snapToGrid w:val="0"/>
        </w:rPr>
        <w:tab/>
        <w:t xml:space="preserve">The Senate may by a motion approved by a majority of the members present make, alter and repeal regulations for the purpose of implementing the provisions of this Act or any Statute, and regulations so made are binding upon all academic and other staff, officers and </w:t>
      </w:r>
      <w:r>
        <w:t>employees</w:t>
      </w:r>
      <w:r>
        <w:rPr>
          <w:snapToGrid w:val="0"/>
        </w:rPr>
        <w:t xml:space="preserve"> of the University and all students.</w:t>
      </w:r>
    </w:p>
    <w:p>
      <w:pPr>
        <w:pStyle w:val="Subsection"/>
        <w:rPr>
          <w:snapToGrid w:val="0"/>
        </w:rPr>
      </w:pPr>
      <w:r>
        <w:rPr>
          <w:snapToGrid w:val="0"/>
        </w:rPr>
        <w:tab/>
        <w:t>(2)</w:t>
      </w:r>
      <w:r>
        <w:rPr>
          <w:snapToGrid w:val="0"/>
        </w:rPr>
        <w:tab/>
        <w:t xml:space="preserve">A certificate signed by the Chancellor, </w:t>
      </w:r>
      <w:r>
        <w:t xml:space="preserve">Deputy Chancellor, </w:t>
      </w:r>
      <w:r>
        <w:rPr>
          <w:snapToGrid w:val="0"/>
        </w:rPr>
        <w:t>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w:t>
      </w:r>
      <w:r>
        <w:t>employee</w:t>
      </w:r>
      <w:r>
        <w:rPr>
          <w:snapToGrid w:val="0"/>
        </w:rPr>
        <w:t xml:space="preserve"> of the University, or is a student, is sufficient evidence of that fact in the absence of proof to the contrary.</w:t>
      </w:r>
    </w:p>
    <w:p>
      <w:pPr>
        <w:pStyle w:val="Footnotesection"/>
      </w:pPr>
      <w:r>
        <w:tab/>
        <w:t>[Section 26 amended by No. 57 of 1997 s. 92(4); No. 74 of 2003 s. 86(4); No. 32 of 2016 s. 116.]</w:t>
      </w:r>
    </w:p>
    <w:p>
      <w:pPr>
        <w:pStyle w:val="Ednotesection"/>
      </w:pPr>
      <w:r>
        <w:t>[</w:t>
      </w:r>
      <w:r>
        <w:rPr>
          <w:b/>
        </w:rPr>
        <w:t>27.</w:t>
      </w:r>
      <w:r>
        <w:tab/>
        <w:t>Deleted by No. 32 of 2016 s. 117.]</w:t>
      </w:r>
    </w:p>
    <w:p>
      <w:pPr>
        <w:pStyle w:val="Heading5"/>
      </w:pPr>
      <w:bookmarkStart w:id="41" w:name="_Toc523925660"/>
      <w:r>
        <w:rPr>
          <w:rStyle w:val="CharSectno"/>
        </w:rPr>
        <w:t>28A</w:t>
      </w:r>
      <w:r>
        <w:t>.</w:t>
      </w:r>
      <w:r>
        <w:tab/>
        <w:t>Regulations made by Governor</w:t>
      </w:r>
      <w:bookmarkEnd w:id="41"/>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Senate.</w:t>
      </w:r>
    </w:p>
    <w:p>
      <w:pPr>
        <w:pStyle w:val="Footnotesection"/>
      </w:pPr>
      <w:r>
        <w:tab/>
        <w:t>[Section 28A inserted by No. 32 of 2016 s. 117.]</w:t>
      </w:r>
    </w:p>
    <w:p>
      <w:pPr>
        <w:pStyle w:val="Heading2"/>
      </w:pPr>
      <w:bookmarkStart w:id="42" w:name="_Toc523925661"/>
      <w:r>
        <w:rPr>
          <w:rStyle w:val="CharPartNo"/>
        </w:rPr>
        <w:t>Part 5</w:t>
      </w:r>
      <w:r>
        <w:t> — </w:t>
      </w:r>
      <w:r>
        <w:rPr>
          <w:rStyle w:val="CharPartText"/>
        </w:rPr>
        <w:t>University lands and financial provisions</w:t>
      </w:r>
      <w:bookmarkEnd w:id="42"/>
    </w:p>
    <w:p>
      <w:pPr>
        <w:pStyle w:val="Footnoteheading"/>
      </w:pPr>
      <w:r>
        <w:tab/>
        <w:t>[Heading inserted by No. 32 of 2016 s. 118.]</w:t>
      </w:r>
    </w:p>
    <w:p>
      <w:pPr>
        <w:pStyle w:val="Heading3"/>
      </w:pPr>
      <w:bookmarkStart w:id="43" w:name="_Toc523925662"/>
      <w:r>
        <w:rPr>
          <w:rStyle w:val="CharDivNo"/>
        </w:rPr>
        <w:t>Division 1</w:t>
      </w:r>
      <w:r>
        <w:t> — </w:t>
      </w:r>
      <w:r>
        <w:rPr>
          <w:rStyle w:val="CharDivText"/>
        </w:rPr>
        <w:t>Vesting of lands in University</w:t>
      </w:r>
      <w:bookmarkEnd w:id="43"/>
    </w:p>
    <w:p>
      <w:pPr>
        <w:pStyle w:val="Footnoteheading"/>
      </w:pPr>
      <w:r>
        <w:tab/>
        <w:t>[Heading inserted by No. 32 of 2016 s. 118.]</w:t>
      </w:r>
    </w:p>
    <w:p>
      <w:pPr>
        <w:pStyle w:val="Heading5"/>
        <w:rPr>
          <w:snapToGrid w:val="0"/>
        </w:rPr>
      </w:pPr>
      <w:bookmarkStart w:id="44" w:name="_Toc523925663"/>
      <w:r>
        <w:rPr>
          <w:rStyle w:val="CharSectno"/>
        </w:rPr>
        <w:t>28</w:t>
      </w:r>
      <w:r>
        <w:rPr>
          <w:snapToGrid w:val="0"/>
        </w:rPr>
        <w:t>.</w:t>
      </w:r>
      <w:r>
        <w:rPr>
          <w:snapToGrid w:val="0"/>
        </w:rPr>
        <w:tab/>
        <w:t>Power to vest certain lands in University</w:t>
      </w:r>
      <w:bookmarkEnd w:id="44"/>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3"/>
      </w:pPr>
      <w:bookmarkStart w:id="45" w:name="_Toc523925664"/>
      <w:r>
        <w:rPr>
          <w:rStyle w:val="CharDivNo"/>
        </w:rPr>
        <w:t>Division 2</w:t>
      </w:r>
      <w:r>
        <w:t> — </w:t>
      </w:r>
      <w:r>
        <w:rPr>
          <w:rStyle w:val="CharDivText"/>
        </w:rPr>
        <w:t>Financial provisions and dealings in land</w:t>
      </w:r>
      <w:bookmarkEnd w:id="45"/>
    </w:p>
    <w:p>
      <w:pPr>
        <w:pStyle w:val="Footnoteheading"/>
      </w:pPr>
      <w:r>
        <w:tab/>
        <w:t>[Heading inserted by No. 32 of 2016 s. 119.]</w:t>
      </w:r>
    </w:p>
    <w:p>
      <w:pPr>
        <w:pStyle w:val="Heading5"/>
        <w:rPr>
          <w:snapToGrid w:val="0"/>
        </w:rPr>
      </w:pPr>
      <w:bookmarkStart w:id="46" w:name="_Toc523925665"/>
      <w:r>
        <w:rPr>
          <w:rStyle w:val="CharSectno"/>
        </w:rPr>
        <w:t>29</w:t>
      </w:r>
      <w:r>
        <w:rPr>
          <w:snapToGrid w:val="0"/>
        </w:rPr>
        <w:t>.</w:t>
      </w:r>
      <w:r>
        <w:rPr>
          <w:snapToGrid w:val="0"/>
        </w:rPr>
        <w:tab/>
        <w:t>Financial provisions and dealings in land</w:t>
      </w:r>
      <w:bookmarkEnd w:id="46"/>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Ednotepara"/>
        <w:rPr>
          <w:snapToGrid w:val="0"/>
        </w:rPr>
      </w:pPr>
      <w:r>
        <w:rPr>
          <w:snapToGrid w:val="0"/>
        </w:rPr>
        <w:tab/>
        <w:t>[(b), (c)</w:t>
      </w:r>
      <w:r>
        <w:rPr>
          <w:snapToGrid w:val="0"/>
        </w:rPr>
        <w:tab/>
        <w:t>deleted]</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pPr>
      <w:r>
        <w:tab/>
        <w:t>(f)</w:t>
      </w:r>
      <w:r>
        <w:tab/>
        <w:t>may grant leases of University land for any term not exceeding 21 years;</w:t>
      </w:r>
    </w:p>
    <w:p>
      <w:pPr>
        <w:pStyle w:val="Indenta"/>
      </w:pPr>
      <w:r>
        <w:tab/>
        <w:t>(ga)</w:t>
      </w:r>
      <w:r>
        <w:tab/>
        <w:t xml:space="preserve">may, with the approval of the Minister, grant leases of University land for a term that exceeds 21 years but does not exceed 99 years; </w:t>
      </w:r>
    </w:p>
    <w:p>
      <w:pPr>
        <w:pStyle w:val="Indenta"/>
      </w:pPr>
      <w:r>
        <w:tab/>
        <w:t>(gb)</w:t>
      </w:r>
      <w:r>
        <w:tab/>
        <w:t>may enter into business arrangements;</w:t>
      </w:r>
    </w:p>
    <w:p>
      <w:pPr>
        <w:pStyle w:val="Indenta"/>
        <w:rPr>
          <w:snapToGrid w:val="0"/>
        </w:rPr>
      </w:pPr>
      <w:r>
        <w:rPr>
          <w:snapToGrid w:val="0"/>
        </w:rPr>
        <w:tab/>
        <w:t>(g)</w:t>
      </w:r>
      <w:r>
        <w:rPr>
          <w:snapToGrid w:val="0"/>
        </w:rPr>
        <w:tab/>
        <w:t xml:space="preserve">subject to the provisions of section 31 relating to trust moneys, may invest any moneys belonging to or vested in the University in such securities as the Senate thinks fit and may sell and realize any security or reinvest the proceeds of any </w:t>
      </w:r>
      <w:r>
        <w:t>sale.</w:t>
      </w:r>
    </w:p>
    <w:p>
      <w:pPr>
        <w:pStyle w:val="Ednotepara"/>
        <w:rPr>
          <w:snapToGrid w:val="0"/>
        </w:rPr>
      </w:pPr>
      <w:r>
        <w:rPr>
          <w:snapToGrid w:val="0"/>
        </w:rPr>
        <w:tab/>
        <w:t>[(h)</w:t>
      </w:r>
      <w:r>
        <w:rPr>
          <w:snapToGrid w:val="0"/>
        </w:rPr>
        <w:tab/>
        <w:t>deleted]</w:t>
      </w:r>
    </w:p>
    <w:p>
      <w:pPr>
        <w:pStyle w:val="Ednotesubsection"/>
      </w:pPr>
      <w:r>
        <w:tab/>
        <w:t>[(2), (3)</w:t>
      </w:r>
      <w:r>
        <w:tab/>
        <w:t>deleted]</w:t>
      </w:r>
    </w:p>
    <w:p>
      <w:pPr>
        <w:pStyle w:val="Footnotesection"/>
      </w:pPr>
      <w:r>
        <w:tab/>
        <w:t>[Section 29 amended by No. 103 of 1975 s. 4; No. 32 of 2016 s. 120.]</w:t>
      </w:r>
    </w:p>
    <w:p>
      <w:pPr>
        <w:pStyle w:val="Heading5"/>
        <w:pageBreakBefore/>
        <w:spacing w:before="0"/>
      </w:pPr>
      <w:bookmarkStart w:id="47" w:name="_Toc523925666"/>
      <w:r>
        <w:rPr>
          <w:rStyle w:val="CharSectno"/>
        </w:rPr>
        <w:t>30A</w:t>
      </w:r>
      <w:r>
        <w:t>.</w:t>
      </w:r>
      <w:r>
        <w:tab/>
        <w:t>Exemption from rate or tax</w:t>
      </w:r>
      <w:bookmarkEnd w:id="47"/>
    </w:p>
    <w:p>
      <w:pPr>
        <w:pStyle w:val="Subsection"/>
      </w:pPr>
      <w:r>
        <w:tab/>
        <w:t>(1)</w:t>
      </w:r>
      <w:r>
        <w:tab/>
        <w:t>No rate may be charged or levied on University land.</w:t>
      </w:r>
    </w:p>
    <w:p>
      <w:pPr>
        <w:pStyle w:val="Subsection"/>
      </w:pPr>
      <w:r>
        <w:tab/>
        <w:t>(2)</w:t>
      </w:r>
      <w:r>
        <w:tab/>
        <w:t xml:space="preserve">Subsection (1) does not operate to exempt University land if it is leased to or occupied by any person — </w:t>
      </w:r>
    </w:p>
    <w:p>
      <w:pPr>
        <w:pStyle w:val="Indenta"/>
      </w:pPr>
      <w:r>
        <w:tab/>
        <w:t>(a)</w:t>
      </w:r>
      <w:r>
        <w:tab/>
        <w:t>for any private purpose; or</w:t>
      </w:r>
    </w:p>
    <w:p>
      <w:pPr>
        <w:pStyle w:val="Indenta"/>
      </w:pPr>
      <w:r>
        <w:tab/>
        <w:t>(b)</w:t>
      </w:r>
      <w:r>
        <w:tab/>
        <w:t>for a commercial purpose (as defined in section 32E) under an approval granted under section 32M.</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30A inserted by No. 32 of 2016 s. 121.]</w:t>
      </w:r>
    </w:p>
    <w:p>
      <w:pPr>
        <w:pStyle w:val="Heading5"/>
        <w:rPr>
          <w:snapToGrid w:val="0"/>
        </w:rPr>
      </w:pPr>
      <w:bookmarkStart w:id="48" w:name="_Toc523925667"/>
      <w:r>
        <w:rPr>
          <w:rStyle w:val="CharSectno"/>
        </w:rPr>
        <w:t>30</w:t>
      </w:r>
      <w:r>
        <w:rPr>
          <w:snapToGrid w:val="0"/>
        </w:rPr>
        <w:t>.</w:t>
      </w:r>
      <w:r>
        <w:rPr>
          <w:snapToGrid w:val="0"/>
        </w:rPr>
        <w:tab/>
        <w:t>Special powers of investment</w:t>
      </w:r>
      <w:bookmarkEnd w:id="48"/>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49" w:name="_Toc523925668"/>
      <w:r>
        <w:rPr>
          <w:rStyle w:val="CharSectno"/>
        </w:rPr>
        <w:t>31</w:t>
      </w:r>
      <w:r>
        <w:rPr>
          <w:snapToGrid w:val="0"/>
        </w:rPr>
        <w:t>.</w:t>
      </w:r>
      <w:r>
        <w:rPr>
          <w:snapToGrid w:val="0"/>
        </w:rPr>
        <w:tab/>
        <w:t>Trust moneys</w:t>
      </w:r>
      <w:bookmarkEnd w:id="49"/>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 xml:space="preserve">yearly instalments together with interest at </w:t>
      </w:r>
      <w:r>
        <w:t>the rate approved by the Minister;</w:t>
      </w:r>
    </w:p>
    <w:p>
      <w:pPr>
        <w:pStyle w:val="Indenta"/>
        <w:rPr>
          <w:snapToGrid w:val="0"/>
        </w:rPr>
      </w:pPr>
      <w:r>
        <w:rPr>
          <w:snapToGrid w:val="0"/>
        </w:rPr>
        <w:tab/>
        <w:t>(b)</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w:t>
      </w:r>
      <w:r>
        <w:t>University land.</w:t>
      </w:r>
    </w:p>
    <w:p>
      <w:pPr>
        <w:pStyle w:val="Footnotesection"/>
      </w:pPr>
      <w:r>
        <w:tab/>
        <w:t>[Section 31 amended by No. 1 of 1997 s. 18; No. 32 of 2016 s. 122.]</w:t>
      </w:r>
    </w:p>
    <w:p>
      <w:pPr>
        <w:pStyle w:val="Heading5"/>
      </w:pPr>
      <w:bookmarkStart w:id="50" w:name="_Toc523925669"/>
      <w:r>
        <w:rPr>
          <w:rStyle w:val="CharSectno"/>
        </w:rPr>
        <w:t>32A</w:t>
      </w:r>
      <w:r>
        <w:t>.</w:t>
      </w:r>
      <w:r>
        <w:tab/>
        <w:t>Borrowing and other ways of raising money</w:t>
      </w:r>
      <w:bookmarkEnd w:id="50"/>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section 28A.</w:t>
      </w:r>
    </w:p>
    <w:p>
      <w:pPr>
        <w:pStyle w:val="Footnotesection"/>
      </w:pPr>
      <w:r>
        <w:tab/>
        <w:t>[Section 32A inserted by No. 32 of 2016 s. 123.]</w:t>
      </w:r>
    </w:p>
    <w:p>
      <w:pPr>
        <w:pStyle w:val="Heading5"/>
      </w:pPr>
      <w:bookmarkStart w:id="51" w:name="_Toc523925670"/>
      <w:r>
        <w:rPr>
          <w:rStyle w:val="CharSectno"/>
        </w:rPr>
        <w:t>32B</w:t>
      </w:r>
      <w:r>
        <w:t>.</w:t>
      </w:r>
      <w:r>
        <w:tab/>
        <w:t>Notice of borrowing</w:t>
      </w:r>
      <w:bookmarkEnd w:id="51"/>
    </w:p>
    <w:p>
      <w:pPr>
        <w:pStyle w:val="Subsection"/>
      </w:pPr>
      <w:r>
        <w:tab/>
        <w:t>(1)</w:t>
      </w:r>
      <w:r>
        <w:tab/>
        <w:t xml:space="preserve">If the University intends to borrow money and seek a guarantee under section 32C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32B inserted by No. 32 of 2016 s. 123.]</w:t>
      </w:r>
    </w:p>
    <w:p>
      <w:pPr>
        <w:pStyle w:val="Heading5"/>
      </w:pPr>
      <w:bookmarkStart w:id="52" w:name="_Toc523925671"/>
      <w:r>
        <w:rPr>
          <w:rStyle w:val="CharSectno"/>
        </w:rPr>
        <w:t>32C</w:t>
      </w:r>
      <w:r>
        <w:t>.</w:t>
      </w:r>
      <w:r>
        <w:tab/>
        <w:t>Guarantees</w:t>
      </w:r>
      <w:bookmarkEnd w:id="5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32C inserted by No. 32 of 2016 s. 123.]</w:t>
      </w:r>
    </w:p>
    <w:p>
      <w:pPr>
        <w:pStyle w:val="Heading5"/>
      </w:pPr>
      <w:bookmarkStart w:id="53" w:name="_Toc523925672"/>
      <w:r>
        <w:rPr>
          <w:rStyle w:val="CharSectno"/>
        </w:rPr>
        <w:t>32D</w:t>
      </w:r>
      <w:r>
        <w:t>.</w:t>
      </w:r>
      <w:r>
        <w:tab/>
        <w:t>Charges for guarantee</w:t>
      </w:r>
      <w:bookmarkEnd w:id="53"/>
    </w:p>
    <w:p>
      <w:pPr>
        <w:pStyle w:val="Subsection"/>
      </w:pPr>
      <w:r>
        <w:tab/>
        <w:t>(1)</w:t>
      </w:r>
      <w:r>
        <w:tab/>
        <w:t>The Treasurer may, from time to time, after consultation with the University, fix charges to be paid by the University in respect of a guarantee under section 32C.</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32D inserted by No. 32 of 2016 s. 123.]</w:t>
      </w:r>
    </w:p>
    <w:p>
      <w:pPr>
        <w:pStyle w:val="Heading3"/>
      </w:pPr>
      <w:bookmarkStart w:id="54" w:name="_Toc523925673"/>
      <w:r>
        <w:rPr>
          <w:rStyle w:val="CharDivNo"/>
        </w:rPr>
        <w:t>Division 3</w:t>
      </w:r>
      <w:r>
        <w:t> — </w:t>
      </w:r>
      <w:r>
        <w:rPr>
          <w:rStyle w:val="CharDivText"/>
        </w:rPr>
        <w:t>Leasing University land for commercial purposes</w:t>
      </w:r>
      <w:bookmarkEnd w:id="54"/>
    </w:p>
    <w:p>
      <w:pPr>
        <w:pStyle w:val="Footnoteheading"/>
      </w:pPr>
      <w:r>
        <w:tab/>
        <w:t>[Heading inserted by No. 32 of 2016 s. 123.]</w:t>
      </w:r>
    </w:p>
    <w:p>
      <w:pPr>
        <w:pStyle w:val="Heading4"/>
      </w:pPr>
      <w:bookmarkStart w:id="55" w:name="_Toc523925674"/>
      <w:r>
        <w:t>Subdivision 1 — Preliminary</w:t>
      </w:r>
      <w:bookmarkEnd w:id="55"/>
    </w:p>
    <w:p>
      <w:pPr>
        <w:pStyle w:val="Footnoteheading"/>
      </w:pPr>
      <w:r>
        <w:tab/>
        <w:t>[Heading inserted by No. 32 of 2016 s. 123.]</w:t>
      </w:r>
    </w:p>
    <w:p>
      <w:pPr>
        <w:pStyle w:val="Heading5"/>
      </w:pPr>
      <w:bookmarkStart w:id="56" w:name="_Toc523925675"/>
      <w:r>
        <w:rPr>
          <w:rStyle w:val="CharSectno"/>
        </w:rPr>
        <w:t>32E</w:t>
      </w:r>
      <w:r>
        <w:t>.</w:t>
      </w:r>
      <w:r>
        <w:tab/>
        <w:t>Terms used</w:t>
      </w:r>
      <w:bookmarkEnd w:id="56"/>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32L;</w:t>
      </w:r>
    </w:p>
    <w:p>
      <w:pPr>
        <w:pStyle w:val="Defstart"/>
      </w:pPr>
      <w:r>
        <w:tab/>
      </w:r>
      <w:r>
        <w:rPr>
          <w:rStyle w:val="CharDefText"/>
        </w:rPr>
        <w:t>approval</w:t>
      </w:r>
      <w:r>
        <w:t xml:space="preserve"> means an approval granted under section 32M;</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rPr>
          <w:b/>
        </w:rPr>
      </w:pPr>
      <w:r>
        <w:tab/>
      </w:r>
      <w:r>
        <w:rPr>
          <w:rStyle w:val="CharDefText"/>
        </w:rPr>
        <w:t>participate</w:t>
      </w:r>
      <w:r>
        <w:t xml:space="preserve"> includes form, promote, establish, enter into, manage, dissolve and wind 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32P;</w:t>
      </w:r>
    </w:p>
    <w:p>
      <w:pPr>
        <w:pStyle w:val="Defstart"/>
      </w:pPr>
      <w:r>
        <w:tab/>
      </w:r>
      <w:r>
        <w:rPr>
          <w:rStyle w:val="CharDefText"/>
        </w:rPr>
        <w:t>university development proposal</w:t>
      </w:r>
      <w:r>
        <w:t xml:space="preserve"> means a proposal in respect of which the University intends to seek an approval under section 32M to do either or both of the things set out in section 32H(1).</w:t>
      </w:r>
    </w:p>
    <w:p>
      <w:pPr>
        <w:pStyle w:val="Footnotesection"/>
      </w:pPr>
      <w:r>
        <w:tab/>
        <w:t>[Section 32E inserted by No. 32 of 2016 s. 123.]</w:t>
      </w:r>
    </w:p>
    <w:p>
      <w:pPr>
        <w:pStyle w:val="Heading5"/>
      </w:pPr>
      <w:bookmarkStart w:id="57" w:name="_Toc523925676"/>
      <w:r>
        <w:rPr>
          <w:rStyle w:val="CharSectno"/>
        </w:rPr>
        <w:t>32F</w:t>
      </w:r>
      <w:r>
        <w:t>.</w:t>
      </w:r>
      <w:r>
        <w:tab/>
        <w:t>Object of this Division</w:t>
      </w:r>
      <w:bookmarkEnd w:id="57"/>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32F inserted by No. 32 of 2016 s. 123.]</w:t>
      </w:r>
    </w:p>
    <w:p>
      <w:pPr>
        <w:pStyle w:val="Heading5"/>
      </w:pPr>
      <w:bookmarkStart w:id="58" w:name="_Toc523925677"/>
      <w:r>
        <w:rPr>
          <w:rStyle w:val="CharSectno"/>
        </w:rPr>
        <w:t>32G</w:t>
      </w:r>
      <w:r>
        <w:t>.</w:t>
      </w:r>
      <w:r>
        <w:tab/>
        <w:t>Effect of Division on University functions, powers and obligations</w:t>
      </w:r>
      <w:bookmarkEnd w:id="58"/>
    </w:p>
    <w:p>
      <w:pPr>
        <w:pStyle w:val="Subsection"/>
      </w:pPr>
      <w:r>
        <w:tab/>
        <w:t>(1)</w:t>
      </w:r>
      <w:r>
        <w:tab/>
        <w:t xml:space="preserve">This Division does not limit — </w:t>
      </w:r>
    </w:p>
    <w:p>
      <w:pPr>
        <w:pStyle w:val="Indenta"/>
      </w:pPr>
      <w:r>
        <w:tab/>
        <w:t>(a)</w:t>
      </w:r>
      <w:r>
        <w:tab/>
        <w:t>sections 4, 6 and 29;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29(1)(ga) to obtain the Minister’s approval to the grant of a lease for a term that exceeds 21 years.</w:t>
      </w:r>
    </w:p>
    <w:p>
      <w:pPr>
        <w:pStyle w:val="Footnotesection"/>
      </w:pPr>
      <w:r>
        <w:tab/>
        <w:t>[Section 32G inserted by No. 32 of 2016 s. 123.]</w:t>
      </w:r>
    </w:p>
    <w:p>
      <w:pPr>
        <w:pStyle w:val="Heading4"/>
      </w:pPr>
      <w:bookmarkStart w:id="59" w:name="_Toc523925678"/>
      <w:r>
        <w:t>Subdivision 2 — Power to lease University land for commercial purposes</w:t>
      </w:r>
      <w:bookmarkEnd w:id="59"/>
    </w:p>
    <w:p>
      <w:pPr>
        <w:pStyle w:val="Footnoteheading"/>
      </w:pPr>
      <w:r>
        <w:tab/>
        <w:t>[Heading inserted by No. 32 of 2016 s. 123.]</w:t>
      </w:r>
    </w:p>
    <w:p>
      <w:pPr>
        <w:pStyle w:val="Heading5"/>
      </w:pPr>
      <w:bookmarkStart w:id="60" w:name="_Toc523925679"/>
      <w:r>
        <w:rPr>
          <w:rStyle w:val="CharSectno"/>
        </w:rPr>
        <w:t>32H</w:t>
      </w:r>
      <w:r>
        <w:t>.</w:t>
      </w:r>
      <w:r>
        <w:tab/>
        <w:t>University may lease University land for commercial purposes with Ministerial approval</w:t>
      </w:r>
      <w:bookmarkEnd w:id="60"/>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32H inserted by No. 32 of 2016 s. 123.]</w:t>
      </w:r>
    </w:p>
    <w:p>
      <w:pPr>
        <w:pStyle w:val="Heading5"/>
      </w:pPr>
      <w:bookmarkStart w:id="61" w:name="_Toc523925680"/>
      <w:r>
        <w:rPr>
          <w:rStyle w:val="CharSectno"/>
        </w:rPr>
        <w:t>32I</w:t>
      </w:r>
      <w:r>
        <w:t>.</w:t>
      </w:r>
      <w:r>
        <w:tab/>
        <w:t>Effect of approval to lease University land</w:t>
      </w:r>
      <w:bookmarkEnd w:id="61"/>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32I inserted by No. 32 of 2016 s. 123.]</w:t>
      </w:r>
    </w:p>
    <w:p>
      <w:pPr>
        <w:pStyle w:val="Heading5"/>
      </w:pPr>
      <w:bookmarkStart w:id="62" w:name="_Toc523925681"/>
      <w:r>
        <w:rPr>
          <w:rStyle w:val="CharSectno"/>
        </w:rPr>
        <w:t>32J</w:t>
      </w:r>
      <w:r>
        <w:t>.</w:t>
      </w:r>
      <w:r>
        <w:tab/>
        <w:t>Approval in principle of university development proposal</w:t>
      </w:r>
      <w:bookmarkEnd w:id="62"/>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32M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32J inserted by No. 32 of 2016 s. 123.]</w:t>
      </w:r>
    </w:p>
    <w:p>
      <w:pPr>
        <w:pStyle w:val="Heading5"/>
      </w:pPr>
      <w:bookmarkStart w:id="63" w:name="_Toc523925682"/>
      <w:r>
        <w:rPr>
          <w:rStyle w:val="CharSectno"/>
        </w:rPr>
        <w:t>32K</w:t>
      </w:r>
      <w:r>
        <w:t>.</w:t>
      </w:r>
      <w:r>
        <w:tab/>
        <w:t>Application for advance determination of approval</w:t>
      </w:r>
      <w:bookmarkEnd w:id="63"/>
    </w:p>
    <w:p>
      <w:pPr>
        <w:pStyle w:val="Subsection"/>
      </w:pPr>
      <w:r>
        <w:tab/>
        <w:t>(1)</w:t>
      </w:r>
      <w:r>
        <w:tab/>
        <w:t>The University may apply to the Minister for a determination that, if an application is made for an approval under section 32M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32J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32M,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32K inserted by No. 32 of 2016 s. 123.]</w:t>
      </w:r>
    </w:p>
    <w:p>
      <w:pPr>
        <w:pStyle w:val="Heading5"/>
      </w:pPr>
      <w:bookmarkStart w:id="64" w:name="_Toc523925683"/>
      <w:r>
        <w:rPr>
          <w:rStyle w:val="CharSectno"/>
        </w:rPr>
        <w:t>32L</w:t>
      </w:r>
      <w:r>
        <w:t>.</w:t>
      </w:r>
      <w:r>
        <w:tab/>
        <w:t>Advance determination of approval</w:t>
      </w:r>
      <w:bookmarkEnd w:id="64"/>
    </w:p>
    <w:p>
      <w:pPr>
        <w:pStyle w:val="Subsection"/>
      </w:pPr>
      <w:r>
        <w:tab/>
        <w:t>(1)</w:t>
      </w:r>
      <w:r>
        <w:tab/>
        <w:t>If the University applies under section 32K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32J in relation to the proposal; and</w:t>
      </w:r>
    </w:p>
    <w:p>
      <w:pPr>
        <w:pStyle w:val="Indenta"/>
      </w:pPr>
      <w:r>
        <w:tab/>
        <w:t>(b)</w:t>
      </w:r>
      <w:r>
        <w:tab/>
        <w:t>the Minister is satisfied that, in respect of the matters referred to in section 32J(2)(a)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32L inserted by No. 32 of 2016 s. 123.]</w:t>
      </w:r>
    </w:p>
    <w:p>
      <w:pPr>
        <w:pStyle w:val="Heading5"/>
      </w:pPr>
      <w:bookmarkStart w:id="65" w:name="_Toc523925684"/>
      <w:r>
        <w:rPr>
          <w:rStyle w:val="CharSectno"/>
        </w:rPr>
        <w:t>32M</w:t>
      </w:r>
      <w:r>
        <w:t>.</w:t>
      </w:r>
      <w:r>
        <w:tab/>
        <w:t>Approvals</w:t>
      </w:r>
      <w:bookmarkEnd w:id="65"/>
    </w:p>
    <w:p>
      <w:pPr>
        <w:pStyle w:val="Subsection"/>
      </w:pPr>
      <w:r>
        <w:tab/>
        <w:t>(1)</w:t>
      </w:r>
      <w:r>
        <w:tab/>
        <w:t>The University may apply to the Minister for approval to do either or both of the things set out in section 32H(1).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32J,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32L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32M inserted by No. 32 of 2016 s. 123.]</w:t>
      </w:r>
    </w:p>
    <w:p>
      <w:pPr>
        <w:pStyle w:val="Heading5"/>
      </w:pPr>
      <w:bookmarkStart w:id="66" w:name="_Toc523925685"/>
      <w:r>
        <w:rPr>
          <w:rStyle w:val="CharSectno"/>
        </w:rPr>
        <w:t>32N</w:t>
      </w:r>
      <w:r>
        <w:t>.</w:t>
      </w:r>
      <w:r>
        <w:tab/>
        <w:t>Notification of decision on application for approval</w:t>
      </w:r>
      <w:bookmarkEnd w:id="66"/>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32N inserted by No. 32 of 2016 s. 123.]</w:t>
      </w:r>
    </w:p>
    <w:p>
      <w:pPr>
        <w:pStyle w:val="Heading5"/>
      </w:pPr>
      <w:bookmarkStart w:id="67" w:name="_Toc523925686"/>
      <w:r>
        <w:rPr>
          <w:rStyle w:val="CharSectno"/>
        </w:rPr>
        <w:t>32O</w:t>
      </w:r>
      <w:r>
        <w:t>.</w:t>
      </w:r>
      <w:r>
        <w:tab/>
        <w:t>Alteration of approval</w:t>
      </w:r>
      <w:bookmarkEnd w:id="67"/>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32O inserted by No. 32 of 2016 s. 123.]</w:t>
      </w:r>
    </w:p>
    <w:p>
      <w:pPr>
        <w:pStyle w:val="Heading5"/>
      </w:pPr>
      <w:bookmarkStart w:id="68" w:name="_Toc523925687"/>
      <w:r>
        <w:rPr>
          <w:rStyle w:val="CharSectno"/>
        </w:rPr>
        <w:t>32P</w:t>
      </w:r>
      <w:r>
        <w:t>.</w:t>
      </w:r>
      <w:r>
        <w:tab/>
        <w:t>Payment agreements</w:t>
      </w:r>
      <w:bookmarkEnd w:id="68"/>
    </w:p>
    <w:p>
      <w:pPr>
        <w:pStyle w:val="Subsection"/>
      </w:pPr>
      <w:r>
        <w:tab/>
        <w:t>(1)</w:t>
      </w:r>
      <w:r>
        <w:tab/>
        <w:t xml:space="preserve">In this section — </w:t>
      </w:r>
    </w:p>
    <w:p>
      <w:pPr>
        <w:pStyle w:val="Defstart"/>
      </w:pPr>
      <w:r>
        <w:tab/>
      </w:r>
      <w:r>
        <w:rPr>
          <w:rStyle w:val="CharDefText"/>
        </w:rPr>
        <w:t>regulations</w:t>
      </w:r>
      <w:r>
        <w:t xml:space="preserve"> means regulations made under section 28A.</w:t>
      </w:r>
    </w:p>
    <w:p>
      <w:pPr>
        <w:pStyle w:val="Subsection"/>
      </w:pPr>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(3)</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(4)</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32P inserted by No. 32 of 2016 s. 123.]</w:t>
      </w:r>
    </w:p>
    <w:p>
      <w:pPr>
        <w:pStyle w:val="Heading5"/>
      </w:pPr>
      <w:bookmarkStart w:id="69" w:name="_Toc523925688"/>
      <w:r>
        <w:rPr>
          <w:rStyle w:val="CharSectno"/>
        </w:rPr>
        <w:t>32Q</w:t>
      </w:r>
      <w:r>
        <w:t>.</w:t>
      </w:r>
      <w:r>
        <w:tab/>
        <w:t>Minister may delegate functions under this Division</w:t>
      </w:r>
      <w:bookmarkEnd w:id="6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32Q inserted by No. 32 of 2016 s. 123.]</w:t>
      </w:r>
    </w:p>
    <w:p>
      <w:pPr>
        <w:pStyle w:val="Ednotesection"/>
      </w:pPr>
      <w:r>
        <w:t>[</w:t>
      </w:r>
      <w:r>
        <w:rPr>
          <w:b/>
        </w:rPr>
        <w:t>32.</w:t>
      </w:r>
      <w:r>
        <w:tab/>
        <w:t>Deleted by No. 32 of 2016 s. 123.]</w:t>
      </w:r>
    </w:p>
    <w:p>
      <w:pPr>
        <w:pStyle w:val="Heading3"/>
      </w:pPr>
      <w:bookmarkStart w:id="70" w:name="_Toc523925689"/>
      <w:r>
        <w:rPr>
          <w:rStyle w:val="CharDivNo"/>
        </w:rPr>
        <w:t>Division 4</w:t>
      </w:r>
      <w:r>
        <w:t> — </w:t>
      </w:r>
      <w:r>
        <w:rPr>
          <w:rStyle w:val="CharDivText"/>
        </w:rPr>
        <w:t>Miscellaneous</w:t>
      </w:r>
      <w:bookmarkEnd w:id="70"/>
    </w:p>
    <w:p>
      <w:pPr>
        <w:pStyle w:val="Footnoteheading"/>
      </w:pPr>
      <w:r>
        <w:tab/>
        <w:t>[Heading inserted by No. 32 of 2016 s. 123.]</w:t>
      </w:r>
    </w:p>
    <w:p>
      <w:pPr>
        <w:pStyle w:val="Heading5"/>
        <w:rPr>
          <w:snapToGrid w:val="0"/>
        </w:rPr>
      </w:pPr>
      <w:bookmarkStart w:id="71" w:name="_Toc523925690"/>
      <w:r>
        <w:rPr>
          <w:rStyle w:val="CharSectno"/>
        </w:rPr>
        <w:t>33</w:t>
      </w:r>
      <w:r>
        <w:rPr>
          <w:snapToGrid w:val="0"/>
        </w:rPr>
        <w:t>.</w:t>
      </w:r>
      <w:r>
        <w:rPr>
          <w:snapToGrid w:val="0"/>
        </w:rPr>
        <w:tab/>
        <w:t>Superannuation scheme for University staff etc.</w:t>
      </w:r>
      <w:bookmarkEnd w:id="71"/>
    </w:p>
    <w:p>
      <w:pPr>
        <w:pStyle w:val="Subsection"/>
        <w:rPr>
          <w:snapToGrid w:val="0"/>
        </w:rPr>
      </w:pPr>
      <w:r>
        <w:rPr>
          <w:snapToGrid w:val="0"/>
        </w:rPr>
        <w:tab/>
        <w:t>(1)</w:t>
      </w:r>
      <w:r>
        <w:rPr>
          <w:snapToGrid w:val="0"/>
        </w:rPr>
        <w:tab/>
        <w:t xml:space="preserve">The Senate may establish and maintain a scheme, in this Act referred to as “the Scheme”, to make financial provision in respect of the retirement, invalidity or death of such members of the staff, officers and </w:t>
      </w:r>
      <w:r>
        <w:t>employees</w:t>
      </w:r>
      <w:r>
        <w:rPr>
          <w:snapToGrid w:val="0"/>
        </w:rPr>
        <w:t xml:space="preserve">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Footnotesection"/>
      </w:pPr>
      <w:r>
        <w:tab/>
        <w:t>[Section 33 amended by No. 32 of 2016 s. 124.]</w:t>
      </w:r>
    </w:p>
    <w:p>
      <w:pPr>
        <w:pStyle w:val="Heading5"/>
        <w:spacing w:before="260"/>
        <w:rPr>
          <w:i/>
          <w:snapToGrid w:val="0"/>
        </w:rPr>
      </w:pPr>
      <w:bookmarkStart w:id="72" w:name="_Toc523925691"/>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72"/>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by No. 98 of 1985 s. 3; amended by No. 92 of 1990 s. 39(3); No. 77 of 2006 Sch. 1 cl. 111.]</w:t>
      </w:r>
    </w:p>
    <w:p/>
    <w:p>
      <w:pPr>
        <w:pStyle w:val="Heading2"/>
      </w:pPr>
      <w:bookmarkStart w:id="73" w:name="_Toc523925692"/>
      <w:r>
        <w:rPr>
          <w:rStyle w:val="CharPartNo"/>
        </w:rPr>
        <w:t>Part 6</w:t>
      </w:r>
      <w:r>
        <w:t> — </w:t>
      </w:r>
      <w:r>
        <w:rPr>
          <w:rStyle w:val="CharPartText"/>
        </w:rPr>
        <w:t>Validation and transitional provisions</w:t>
      </w:r>
      <w:bookmarkEnd w:id="73"/>
    </w:p>
    <w:p>
      <w:pPr>
        <w:pStyle w:val="Footnoteheading"/>
      </w:pPr>
      <w:r>
        <w:tab/>
        <w:t>[Heading inserted by No. 32 of 2016 s. 125.]</w:t>
      </w:r>
    </w:p>
    <w:p>
      <w:pPr>
        <w:pStyle w:val="Heading3"/>
      </w:pPr>
      <w:bookmarkStart w:id="74" w:name="_Toc523925693"/>
      <w:r>
        <w:rPr>
          <w:rStyle w:val="CharDivNo"/>
        </w:rPr>
        <w:t>Division 1</w:t>
      </w:r>
      <w:r>
        <w:t> — </w:t>
      </w:r>
      <w:r>
        <w:rPr>
          <w:rStyle w:val="CharDivText"/>
        </w:rPr>
        <w:t>Validations</w:t>
      </w:r>
      <w:bookmarkEnd w:id="74"/>
    </w:p>
    <w:p>
      <w:pPr>
        <w:pStyle w:val="Footnoteheading"/>
      </w:pPr>
      <w:r>
        <w:tab/>
        <w:t>[Heading inserted by No. 32 of 2016 s. 125.]</w:t>
      </w:r>
    </w:p>
    <w:p>
      <w:pPr>
        <w:pStyle w:val="Heading5"/>
      </w:pPr>
      <w:bookmarkStart w:id="75" w:name="_Toc523925694"/>
      <w:r>
        <w:rPr>
          <w:rStyle w:val="CharSectno"/>
        </w:rPr>
        <w:t>35</w:t>
      </w:r>
      <w:r>
        <w:t>.</w:t>
      </w:r>
      <w:r>
        <w:tab/>
        <w:t>Certain leases of University land validated</w:t>
      </w:r>
      <w:bookmarkEnd w:id="7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Defstart"/>
      </w:pPr>
      <w:r>
        <w:tab/>
      </w:r>
      <w:r>
        <w:rPr>
          <w:rStyle w:val="CharDefText"/>
        </w:rPr>
        <w:t>relevant lease</w:t>
      </w:r>
      <w:r>
        <w:t xml:space="preserve"> means a lease referred to in subsection (2);</w:t>
      </w:r>
    </w:p>
    <w:p>
      <w:pPr>
        <w:pStyle w:val="Defstart"/>
      </w:pPr>
      <w:r>
        <w:tab/>
      </w:r>
      <w:r>
        <w:rPr>
          <w:rStyle w:val="CharDefText"/>
        </w:rPr>
        <w:t>university purposes</w:t>
      </w:r>
      <w:r>
        <w:t xml:space="preserve"> means the purposes of the University or purposes incidental to the purposes of the University;</w:t>
      </w:r>
    </w:p>
    <w:p>
      <w:pPr>
        <w:pStyle w:val="Defstart"/>
      </w:pPr>
      <w:r>
        <w:tab/>
      </w:r>
      <w:r>
        <w:rPr>
          <w:rStyle w:val="CharDefText"/>
        </w:rPr>
        <w:t>University’s South Street campus</w:t>
      </w:r>
      <w:r>
        <w:t xml:space="preserve"> means Lot 610 on Deposited Plan 75377 being the whole of the land comprised in certificate of title volume 2812 folio 355.</w:t>
      </w:r>
    </w:p>
    <w:p>
      <w:pPr>
        <w:pStyle w:val="Subsection"/>
      </w:pPr>
      <w:r>
        <w:tab/>
        <w:t>(2)</w:t>
      </w:r>
      <w:r>
        <w:tab/>
        <w:t>For the purposes of this section, each lease set out in the Table is a relevant lease.</w:t>
      </w:r>
    </w:p>
    <w:p>
      <w:pPr>
        <w:pStyle w:val="THeadingNAm"/>
      </w:pPr>
      <w:r>
        <w:t>Table</w:t>
      </w:r>
    </w:p>
    <w:tbl>
      <w:tblPr>
        <w:tblW w:w="623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559"/>
        <w:gridCol w:w="2127"/>
        <w:gridCol w:w="1701"/>
      </w:tblGrid>
      <w:tr>
        <w:trPr>
          <w:tblHeader/>
        </w:trPr>
        <w:tc>
          <w:tcPr>
            <w:tcW w:w="850" w:type="dxa"/>
          </w:tcPr>
          <w:p>
            <w:pPr>
              <w:pStyle w:val="TableNAm"/>
              <w:jc w:val="center"/>
            </w:pPr>
            <w:r>
              <w:rPr>
                <w:b/>
                <w:bCs/>
                <w:sz w:val="20"/>
              </w:rPr>
              <w:t>Item</w:t>
            </w:r>
          </w:p>
        </w:tc>
        <w:tc>
          <w:tcPr>
            <w:tcW w:w="1559" w:type="dxa"/>
          </w:tcPr>
          <w:p>
            <w:pPr>
              <w:pStyle w:val="TableNAm"/>
              <w:jc w:val="center"/>
            </w:pPr>
            <w:r>
              <w:rPr>
                <w:b/>
                <w:bCs/>
                <w:sz w:val="20"/>
              </w:rPr>
              <w:t>Parties to lease</w:t>
            </w:r>
          </w:p>
        </w:tc>
        <w:tc>
          <w:tcPr>
            <w:tcW w:w="2127" w:type="dxa"/>
          </w:tcPr>
          <w:p>
            <w:pPr>
              <w:pStyle w:val="TableNAm"/>
              <w:jc w:val="center"/>
            </w:pPr>
            <w:r>
              <w:rPr>
                <w:b/>
                <w:bCs/>
                <w:sz w:val="20"/>
              </w:rPr>
              <w:t>Description of interest leased</w:t>
            </w:r>
          </w:p>
        </w:tc>
        <w:tc>
          <w:tcPr>
            <w:tcW w:w="1701" w:type="dxa"/>
          </w:tcPr>
          <w:p>
            <w:pPr>
              <w:pStyle w:val="TableNAm"/>
              <w:jc w:val="center"/>
            </w:pPr>
            <w:r>
              <w:rPr>
                <w:b/>
                <w:bCs/>
                <w:sz w:val="20"/>
              </w:rPr>
              <w:t>Date of commencement of lease</w:t>
            </w:r>
          </w:p>
        </w:tc>
      </w:tr>
      <w:tr>
        <w:tc>
          <w:tcPr>
            <w:tcW w:w="850" w:type="dxa"/>
          </w:tcPr>
          <w:p>
            <w:pPr>
              <w:pStyle w:val="TableNAm"/>
            </w:pPr>
            <w:r>
              <w:rPr>
                <w:sz w:val="20"/>
              </w:rPr>
              <w:t>1.</w:t>
            </w:r>
          </w:p>
        </w:tc>
        <w:tc>
          <w:tcPr>
            <w:tcW w:w="1559" w:type="dxa"/>
          </w:tcPr>
          <w:p>
            <w:pPr>
              <w:pStyle w:val="TableNAm"/>
            </w:pPr>
            <w:r>
              <w:rPr>
                <w:sz w:val="20"/>
              </w:rPr>
              <w:t>Murdoch University and Winthrop Baptist College Inc</w:t>
            </w:r>
          </w:p>
        </w:tc>
        <w:tc>
          <w:tcPr>
            <w:tcW w:w="2127" w:type="dxa"/>
          </w:tcPr>
          <w:p>
            <w:pPr>
              <w:pStyle w:val="TableNAm"/>
            </w:pPr>
            <w:r>
              <w:rPr>
                <w:sz w:val="20"/>
              </w:rPr>
              <w:t xml:space="preserve">A lease of approximately 8,887 square metres of land on the University’s South Street campus </w:t>
            </w:r>
          </w:p>
        </w:tc>
        <w:tc>
          <w:tcPr>
            <w:tcW w:w="1701" w:type="dxa"/>
          </w:tcPr>
          <w:p>
            <w:pPr>
              <w:pStyle w:val="TableNAm"/>
            </w:pPr>
            <w:r>
              <w:rPr>
                <w:sz w:val="20"/>
              </w:rPr>
              <w:t>3 November 1996</w:t>
            </w:r>
          </w:p>
        </w:tc>
      </w:tr>
      <w:tr>
        <w:tc>
          <w:tcPr>
            <w:tcW w:w="850" w:type="dxa"/>
          </w:tcPr>
          <w:p>
            <w:pPr>
              <w:pStyle w:val="TableNAm"/>
              <w:keepNext/>
            </w:pPr>
            <w:r>
              <w:rPr>
                <w:sz w:val="20"/>
              </w:rPr>
              <w:t>2.</w:t>
            </w:r>
          </w:p>
        </w:tc>
        <w:tc>
          <w:tcPr>
            <w:tcW w:w="1559" w:type="dxa"/>
          </w:tcPr>
          <w:p>
            <w:pPr>
              <w:pStyle w:val="TableNAm"/>
              <w:keepNext/>
            </w:pPr>
            <w:r>
              <w:rPr>
                <w:sz w:val="20"/>
              </w:rPr>
              <w:t>Murdoch University and Somerville Baptist College Inc</w:t>
            </w:r>
          </w:p>
        </w:tc>
        <w:tc>
          <w:tcPr>
            <w:tcW w:w="2127" w:type="dxa"/>
          </w:tcPr>
          <w:p>
            <w:pPr>
              <w:pStyle w:val="TableNAm"/>
              <w:keepNext/>
            </w:pPr>
            <w:r>
              <w:rPr>
                <w:sz w:val="20"/>
              </w:rPr>
              <w:t xml:space="preserve">A lease of approximately 3,773 square metres of land on the University’s South Street campus </w:t>
            </w:r>
          </w:p>
        </w:tc>
        <w:tc>
          <w:tcPr>
            <w:tcW w:w="1701" w:type="dxa"/>
          </w:tcPr>
          <w:p>
            <w:pPr>
              <w:pStyle w:val="TableNAm"/>
              <w:keepNext/>
            </w:pPr>
            <w:r>
              <w:rPr>
                <w:sz w:val="20"/>
              </w:rPr>
              <w:t>12 June 2002</w:t>
            </w:r>
          </w:p>
        </w:tc>
      </w:tr>
      <w:tr>
        <w:tc>
          <w:tcPr>
            <w:tcW w:w="850" w:type="dxa"/>
          </w:tcPr>
          <w:p>
            <w:pPr>
              <w:pStyle w:val="TableNAm"/>
            </w:pPr>
            <w:r>
              <w:rPr>
                <w:sz w:val="20"/>
              </w:rPr>
              <w:t>3.</w:t>
            </w:r>
          </w:p>
        </w:tc>
        <w:tc>
          <w:tcPr>
            <w:tcW w:w="1559" w:type="dxa"/>
          </w:tcPr>
          <w:p>
            <w:pPr>
              <w:pStyle w:val="TableNAm"/>
            </w:pPr>
            <w:r>
              <w:rPr>
                <w:sz w:val="20"/>
              </w:rPr>
              <w:t>Murdoch University and Serco Australia Pty Ltd</w:t>
            </w:r>
          </w:p>
        </w:tc>
        <w:tc>
          <w:tcPr>
            <w:tcW w:w="2127" w:type="dxa"/>
          </w:tcPr>
          <w:p>
            <w:pPr>
              <w:pStyle w:val="TableNAm"/>
            </w:pPr>
            <w:r>
              <w:rPr>
                <w:sz w:val="20"/>
              </w:rPr>
              <w:t xml:space="preserve">A lease of approximately 868 square metres of land on the University’s South Street campus </w:t>
            </w:r>
          </w:p>
        </w:tc>
        <w:tc>
          <w:tcPr>
            <w:tcW w:w="1701" w:type="dxa"/>
          </w:tcPr>
          <w:p>
            <w:pPr>
              <w:pStyle w:val="TableNAm"/>
            </w:pPr>
            <w:r>
              <w:rPr>
                <w:sz w:val="20"/>
              </w:rPr>
              <w:t>1 May 2011</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4.</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Minister for Health</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650 square metres on the third floor of Building 390, Discovery Way on the University’s South Street campus</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July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5.</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State Animal Resource Authority</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20,160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December 1988</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6.</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Wesfarmers Energy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3,360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November 2005</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7.</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land marked L1, L2 and L3 on Deposited Plan 62329</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21 May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8.</w:t>
            </w:r>
          </w:p>
        </w:tc>
        <w:tc>
          <w:tcPr>
            <w:tcW w:w="1559"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A lease of land marked L4 on Deposited Plan 71892</w:t>
            </w:r>
          </w:p>
        </w:tc>
        <w:tc>
          <w:tcPr>
            <w:tcW w:w="1701"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6 June 2012</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9.</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Aged Care Services Australia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the Low Care (Avalon) Facility of the University’s South Street campus shown marked C and D on Deposited Plan 63241</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28 August 2009</w:t>
            </w:r>
          </w:p>
        </w:tc>
      </w:tr>
      <w:tr>
        <w:tc>
          <w:tcPr>
            <w:tcW w:w="850" w:type="dxa"/>
          </w:tcPr>
          <w:p>
            <w:pPr>
              <w:pStyle w:val="TableNAm"/>
            </w:pPr>
            <w:r>
              <w:rPr>
                <w:sz w:val="20"/>
              </w:rPr>
              <w:t>10.</w:t>
            </w:r>
          </w:p>
        </w:tc>
        <w:tc>
          <w:tcPr>
            <w:tcW w:w="1559" w:type="dxa"/>
          </w:tcPr>
          <w:p>
            <w:pPr>
              <w:pStyle w:val="TableNAm"/>
            </w:pPr>
            <w:r>
              <w:rPr>
                <w:sz w:val="20"/>
              </w:rPr>
              <w:t>Murdoch University and Aged Care Services Australia Pty Ltd</w:t>
            </w:r>
          </w:p>
        </w:tc>
        <w:tc>
          <w:tcPr>
            <w:tcW w:w="2127" w:type="dxa"/>
          </w:tcPr>
          <w:p>
            <w:pPr>
              <w:pStyle w:val="TableNAm"/>
            </w:pPr>
            <w:r>
              <w:rPr>
                <w:sz w:val="20"/>
              </w:rPr>
              <w:t>A lease of the High Care Facility of the University’s South Street campus shown marked A and B on Deposited Plan 63241</w:t>
            </w:r>
          </w:p>
        </w:tc>
        <w:tc>
          <w:tcPr>
            <w:tcW w:w="1701" w:type="dxa"/>
          </w:tcPr>
          <w:p>
            <w:pPr>
              <w:pStyle w:val="TableNAm"/>
            </w:pPr>
            <w:r>
              <w:rPr>
                <w:sz w:val="20"/>
              </w:rPr>
              <w:t>28 August 2009</w:t>
            </w:r>
          </w:p>
        </w:tc>
      </w:tr>
      <w:tr>
        <w:tc>
          <w:tcPr>
            <w:tcW w:w="850" w:type="dxa"/>
          </w:tcPr>
          <w:p>
            <w:pPr>
              <w:pStyle w:val="TableNAm"/>
            </w:pPr>
            <w:r>
              <w:rPr>
                <w:sz w:val="20"/>
              </w:rPr>
              <w:t>11.</w:t>
            </w:r>
          </w:p>
        </w:tc>
        <w:tc>
          <w:tcPr>
            <w:tcW w:w="1559" w:type="dxa"/>
          </w:tcPr>
          <w:p>
            <w:pPr>
              <w:pStyle w:val="TableNAm"/>
            </w:pPr>
            <w:r>
              <w:rPr>
                <w:sz w:val="20"/>
              </w:rPr>
              <w:t>Murdoch University and Campus Living Villages Murdoch Pty Ltd</w:t>
            </w:r>
          </w:p>
        </w:tc>
        <w:tc>
          <w:tcPr>
            <w:tcW w:w="2127" w:type="dxa"/>
          </w:tcPr>
          <w:p>
            <w:pPr>
              <w:pStyle w:val="TableNAm"/>
            </w:pPr>
            <w:r>
              <w:rPr>
                <w:sz w:val="20"/>
              </w:rPr>
              <w:t xml:space="preserve">A lease of approximately 56,500 square metres of land on the University’s South Street campus </w:t>
            </w:r>
          </w:p>
        </w:tc>
        <w:tc>
          <w:tcPr>
            <w:tcW w:w="1701" w:type="dxa"/>
          </w:tcPr>
          <w:p>
            <w:pPr>
              <w:pStyle w:val="TableNAm"/>
            </w:pPr>
            <w:r>
              <w:rPr>
                <w:sz w:val="20"/>
              </w:rPr>
              <w:t>30 July 2008</w:t>
            </w:r>
          </w:p>
        </w:tc>
      </w:tr>
    </w:tbl>
    <w:p>
      <w:pPr>
        <w:pStyle w:val="Subsection"/>
      </w:pPr>
      <w:r>
        <w:tab/>
        <w:t>(3)</w:t>
      </w:r>
      <w:r>
        <w:tab/>
        <w:t xml:space="preserve">University land the subject of a relevant lease is to be taken to be, and since the commencement of the relevant lease to have always been, used for university purposes for the purposes of — </w:t>
      </w:r>
    </w:p>
    <w:p>
      <w:pPr>
        <w:pStyle w:val="Indenta"/>
      </w:pPr>
      <w:r>
        <w:tab/>
        <w:t>(a)</w:t>
      </w:r>
      <w:r>
        <w:tab/>
        <w:t>compliance with any conditions, restrictions or limitations (however arising) attaching to the vesting of the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ceases to be used for university purposes.</w:t>
      </w:r>
    </w:p>
    <w:p>
      <w:pPr>
        <w:pStyle w:val="Subsection"/>
      </w:pPr>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p>
    <w:p>
      <w:pPr>
        <w:pStyle w:val="Subsection"/>
      </w:pPr>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p>
    <w:p>
      <w:pPr>
        <w:pStyle w:val="Subsection"/>
      </w:pPr>
      <w:r>
        <w:tab/>
        <w:t>(6)</w:t>
      </w:r>
      <w:r>
        <w:tab/>
        <w:t>In subsection (5) a reference to the doing of anything includes a reference to an omission to do anything.</w:t>
      </w:r>
    </w:p>
    <w:p>
      <w:pPr>
        <w:pStyle w:val="Subsection"/>
      </w:pPr>
      <w:r>
        <w:tab/>
        <w:t>(7)</w:t>
      </w:r>
      <w:r>
        <w:tab/>
        <w:t xml:space="preserve">A relevant lease is, and is taken always to have been, as valid as if — </w:t>
      </w:r>
    </w:p>
    <w:p>
      <w:pPr>
        <w:pStyle w:val="Indenta"/>
      </w:pPr>
      <w:r>
        <w:tab/>
        <w:t>(a)</w:t>
      </w:r>
      <w:r>
        <w:tab/>
        <w:t>any approval of the lease required under section 29(1)(f) as in force immediately before commencement day had been obtained; and</w:t>
      </w:r>
    </w:p>
    <w:p>
      <w:pPr>
        <w:pStyle w:val="Indenta"/>
      </w:pPr>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p>
    <w:p>
      <w:pPr>
        <w:pStyle w:val="Footnotesection"/>
      </w:pPr>
      <w:r>
        <w:tab/>
        <w:t>[Section 35 inserted by No. 32 of 2016 s. 125.]</w:t>
      </w:r>
    </w:p>
    <w:p>
      <w:pPr>
        <w:pStyle w:val="Heading3"/>
        <w:rPr>
          <w:i/>
        </w:rPr>
      </w:pPr>
      <w:bookmarkStart w:id="76" w:name="_Toc523925695"/>
      <w:r>
        <w:rPr>
          <w:rStyle w:val="CharDivNo"/>
        </w:rPr>
        <w:t>Division 2</w:t>
      </w:r>
      <w:r>
        <w:t> — </w:t>
      </w:r>
      <w:r>
        <w:rPr>
          <w:rStyle w:val="CharDivText"/>
        </w:rPr>
        <w:t xml:space="preserve">Transitional provisions for </w:t>
      </w:r>
      <w:r>
        <w:rPr>
          <w:rStyle w:val="CharDivText"/>
          <w:i/>
        </w:rPr>
        <w:t>Universities Legislation Amendment Act 2016</w:t>
      </w:r>
      <w:bookmarkEnd w:id="76"/>
    </w:p>
    <w:p>
      <w:pPr>
        <w:pStyle w:val="Footnoteheading"/>
        <w:keepNext/>
      </w:pPr>
      <w:r>
        <w:tab/>
        <w:t>[Heading inserted by No. 32 of 2016 s. 125.]</w:t>
      </w:r>
    </w:p>
    <w:p>
      <w:pPr>
        <w:pStyle w:val="Heading5"/>
      </w:pPr>
      <w:bookmarkStart w:id="77" w:name="_Toc523925696"/>
      <w:r>
        <w:rPr>
          <w:rStyle w:val="CharSectno"/>
        </w:rPr>
        <w:t>36</w:t>
      </w:r>
      <w:r>
        <w:t>.</w:t>
      </w:r>
      <w:r>
        <w:tab/>
        <w:t>Term used: commencement day</w:t>
      </w:r>
      <w:bookmarkEnd w:id="7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Footnotesection"/>
      </w:pPr>
      <w:r>
        <w:tab/>
        <w:t>[Section 36 inserted by No. 32 of 2016 s. 125.]</w:t>
      </w:r>
    </w:p>
    <w:p>
      <w:pPr>
        <w:pStyle w:val="Heading5"/>
      </w:pPr>
      <w:bookmarkStart w:id="78" w:name="_Toc523925697"/>
      <w:r>
        <w:rPr>
          <w:rStyle w:val="CharSectno"/>
        </w:rPr>
        <w:t>37</w:t>
      </w:r>
      <w:r>
        <w:t>.</w:t>
      </w:r>
      <w:r>
        <w:tab/>
        <w:t>Transitional provisions (Senate)</w:t>
      </w:r>
      <w:bookmarkEnd w:id="78"/>
    </w:p>
    <w:p>
      <w:pPr>
        <w:pStyle w:val="Subsection"/>
      </w:pPr>
      <w:r>
        <w:tab/>
        <w:t>(1)</w:t>
      </w:r>
      <w:r>
        <w:tab/>
        <w:t xml:space="preserve">This section applies despite the amendments made to section 12 by the </w:t>
      </w:r>
      <w:r>
        <w:rPr>
          <w:i/>
        </w:rPr>
        <w:t>Universities Legislation Amendment Act 2016</w:t>
      </w:r>
      <w:r>
        <w:t xml:space="preserve"> section 99.</w:t>
      </w:r>
    </w:p>
    <w:p>
      <w:pPr>
        <w:pStyle w:val="Subsection"/>
      </w:pPr>
      <w:r>
        <w:tab/>
        <w:t>(2)</w:t>
      </w:r>
      <w:r>
        <w:tab/>
        <w:t xml:space="preserve">Any person who, immediately before commencement day, holds office under section 12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3;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15 as that section is in effect immediately before commencement day.</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Footnotesection"/>
      </w:pPr>
      <w:r>
        <w:tab/>
        <w:t>[Section 37 inserted by No. 32 of 2016 s. 125.]</w:t>
      </w:r>
    </w:p>
    <w:p>
      <w:pPr>
        <w:pStyle w:val="Heading5"/>
      </w:pPr>
      <w:bookmarkStart w:id="79" w:name="_Toc523925698"/>
      <w:r>
        <w:rPr>
          <w:rStyle w:val="CharSectno"/>
        </w:rPr>
        <w:t>38</w:t>
      </w:r>
      <w:r>
        <w:t>.</w:t>
      </w:r>
      <w:r>
        <w:tab/>
        <w:t>Transitional provisions (guarantees)</w:t>
      </w:r>
      <w:bookmarkEnd w:id="79"/>
    </w:p>
    <w:p>
      <w:pPr>
        <w:pStyle w:val="Subsection"/>
      </w:pPr>
      <w:r>
        <w:tab/>
      </w:r>
      <w:r>
        <w:tab/>
        <w:t>A guarantee given under section 32 (as in effect immediately before commencement day) and in force immediately before commencement day continues as if it had been given under section 32C.</w:t>
      </w:r>
    </w:p>
    <w:p>
      <w:pPr>
        <w:pStyle w:val="Footnotesection"/>
      </w:pPr>
      <w:r>
        <w:tab/>
        <w:t>[Section 38 inserted by No. 32 of 2016 s. 125.]</w:t>
      </w:r>
    </w:p>
    <w:p>
      <w:pPr>
        <w:pStyle w:val="Heading5"/>
      </w:pPr>
      <w:bookmarkStart w:id="80" w:name="_Toc523925699"/>
      <w:r>
        <w:rPr>
          <w:rStyle w:val="CharSectno"/>
        </w:rPr>
        <w:t>39</w:t>
      </w:r>
      <w:r>
        <w:t>.</w:t>
      </w:r>
      <w:r>
        <w:tab/>
        <w:t>Transitional provisions (Statutes and by</w:t>
      </w:r>
      <w:r>
        <w:noBreakHyphen/>
        <w:t>laws)</w:t>
      </w:r>
      <w:bookmarkEnd w:id="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Universities Legislation Amendment Act 2016 </w:t>
      </w:r>
      <w:r>
        <w:t>section 117 comes into operation;</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p>
    <w:p>
      <w:pPr>
        <w:pStyle w:val="Subsection"/>
      </w:pPr>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p>
    <w:p>
      <w:pPr>
        <w:pStyle w:val="Subsection"/>
      </w:pPr>
      <w:r>
        <w:tab/>
        <w:t>(3)</w:t>
      </w:r>
      <w:r>
        <w:tab/>
        <w:t>If a Statute or by</w:t>
      </w:r>
      <w:r>
        <w:noBreakHyphen/>
        <w:t xml:space="preserve">law has been made but not published in the </w:t>
      </w:r>
      <w:r>
        <w:rPr>
          <w:i/>
        </w:rPr>
        <w:t>Gazette</w:t>
      </w:r>
      <w:r>
        <w:t xml:space="preserve"> before commencement day — </w:t>
      </w:r>
    </w:p>
    <w:p>
      <w:pPr>
        <w:pStyle w:val="Indenta"/>
      </w:pPr>
      <w:r>
        <w:tab/>
        <w:t>(a)</w:t>
      </w:r>
      <w:r>
        <w:tab/>
        <w:t>section 26A(2) does not apply to and in relation to that Statute; and</w:t>
      </w:r>
    </w:p>
    <w:p>
      <w:pPr>
        <w:pStyle w:val="Indenta"/>
      </w:pPr>
      <w:r>
        <w:tab/>
        <w:t>(b)</w:t>
      </w:r>
      <w:r>
        <w:tab/>
        <w:t>former section 27 applies instead as if the former section 27 had not been deleted.</w:t>
      </w:r>
    </w:p>
    <w:p>
      <w:pPr>
        <w:pStyle w:val="Footnotesection"/>
      </w:pPr>
      <w:r>
        <w:tab/>
        <w:t>[Section 39 inserted by No. 32 of 2016 s. 125.]</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1" w:name="_Toc523925700"/>
      <w:r>
        <w:rPr>
          <w:rStyle w:val="CharSchNo"/>
        </w:rPr>
        <w:t>Schedule 1</w:t>
      </w:r>
      <w:r>
        <w:t> — </w:t>
      </w:r>
      <w:r>
        <w:rPr>
          <w:rStyle w:val="CharSchText"/>
        </w:rPr>
        <w:t>Senate members</w:t>
      </w:r>
      <w:bookmarkEnd w:id="81"/>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82" w:name="_Toc523925701"/>
      <w:r>
        <w:rPr>
          <w:rStyle w:val="CharSDivNo"/>
        </w:rPr>
        <w:t>Division 1</w:t>
      </w:r>
      <w:r>
        <w:rPr>
          <w:b w:val="0"/>
        </w:rPr>
        <w:t> — </w:t>
      </w:r>
      <w:r>
        <w:rPr>
          <w:rStyle w:val="CharSDivText"/>
        </w:rPr>
        <w:t>Duties</w:t>
      </w:r>
      <w:bookmarkEnd w:id="82"/>
    </w:p>
    <w:p>
      <w:pPr>
        <w:pStyle w:val="yFootnoteheading"/>
      </w:pPr>
      <w:r>
        <w:tab/>
        <w:t>[Heading inserted by No.</w:t>
      </w:r>
      <w:r>
        <w:rPr>
          <w:sz w:val="28"/>
        </w:rPr>
        <w:t> </w:t>
      </w:r>
      <w:r>
        <w:rPr>
          <w:sz w:val="24"/>
        </w:rPr>
        <w:t>8 of 2005 s. </w:t>
      </w:r>
      <w:r>
        <w:t>31.]</w:t>
      </w:r>
    </w:p>
    <w:p>
      <w:pPr>
        <w:pStyle w:val="yHeading5"/>
        <w:outlineLvl w:val="9"/>
      </w:pPr>
      <w:bookmarkStart w:id="83" w:name="_Toc523925702"/>
      <w:r>
        <w:rPr>
          <w:rStyle w:val="CharSClsNo"/>
        </w:rPr>
        <w:t>1</w:t>
      </w:r>
      <w:r>
        <w:t>.</w:t>
      </w:r>
      <w:r>
        <w:rPr>
          <w:b w:val="0"/>
        </w:rPr>
        <w:tab/>
      </w:r>
      <w:r>
        <w:t>Duties</w:t>
      </w:r>
      <w:bookmarkEnd w:id="83"/>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84" w:name="_Toc523925703"/>
      <w:r>
        <w:rPr>
          <w:rStyle w:val="CharSDivNo"/>
        </w:rPr>
        <w:t>Division 2</w:t>
      </w:r>
      <w:r>
        <w:t> — </w:t>
      </w:r>
      <w:r>
        <w:rPr>
          <w:rStyle w:val="CharSDivText"/>
        </w:rPr>
        <w:t>Disclosure of interests</w:t>
      </w:r>
      <w:bookmarkEnd w:id="84"/>
    </w:p>
    <w:p>
      <w:pPr>
        <w:pStyle w:val="yFootnoteheading"/>
      </w:pPr>
      <w:r>
        <w:tab/>
        <w:t>[Heading inserted by No.</w:t>
      </w:r>
      <w:r>
        <w:rPr>
          <w:sz w:val="28"/>
        </w:rPr>
        <w:t> </w:t>
      </w:r>
      <w:r>
        <w:rPr>
          <w:sz w:val="24"/>
        </w:rPr>
        <w:t>8 of 2005 s. </w:t>
      </w:r>
      <w:r>
        <w:t>31.]</w:t>
      </w:r>
    </w:p>
    <w:p>
      <w:pPr>
        <w:pStyle w:val="yHeading5"/>
        <w:outlineLvl w:val="9"/>
      </w:pPr>
      <w:bookmarkStart w:id="85" w:name="_Toc523925704"/>
      <w:r>
        <w:rPr>
          <w:rStyle w:val="CharSClsNo"/>
        </w:rPr>
        <w:t>2</w:t>
      </w:r>
      <w:r>
        <w:t>.</w:t>
      </w:r>
      <w:r>
        <w:rPr>
          <w:b w:val="0"/>
        </w:rPr>
        <w:tab/>
      </w:r>
      <w:r>
        <w:t>Disclosure of interests</w:t>
      </w:r>
      <w:bookmarkEnd w:id="85"/>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86" w:name="_Toc523925705"/>
      <w:r>
        <w:rPr>
          <w:rStyle w:val="CharSClsNo"/>
        </w:rPr>
        <w:t>3</w:t>
      </w:r>
      <w:r>
        <w:t>.</w:t>
      </w:r>
      <w:r>
        <w:rPr>
          <w:b w:val="0"/>
        </w:rPr>
        <w:tab/>
      </w:r>
      <w:r>
        <w:t>Voting by interested members</w:t>
      </w:r>
      <w:bookmarkEnd w:id="86"/>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87" w:name="_Toc523925706"/>
      <w:r>
        <w:rPr>
          <w:rStyle w:val="CharSClsNo"/>
        </w:rPr>
        <w:t>4</w:t>
      </w:r>
      <w:r>
        <w:t>.</w:t>
      </w:r>
      <w:r>
        <w:rPr>
          <w:b w:val="0"/>
        </w:rPr>
        <w:tab/>
      </w:r>
      <w:r>
        <w:t>Clause 3 may be declared inapplicable</w:t>
      </w:r>
      <w:bookmarkEnd w:id="87"/>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Ednotesection"/>
        <w:rPr>
          <w:b/>
        </w:rPr>
      </w:pPr>
      <w:r>
        <w:t>[</w:t>
      </w:r>
      <w:r>
        <w:rPr>
          <w:b/>
        </w:rPr>
        <w:t>5.</w:t>
      </w:r>
      <w:r>
        <w:tab/>
        <w:t>Deleted by No. 32 of 2016 s. 126.]</w:t>
      </w:r>
    </w:p>
    <w:p>
      <w:pPr>
        <w:pStyle w:val="yHeading5"/>
        <w:outlineLvl w:val="9"/>
      </w:pPr>
      <w:bookmarkStart w:id="88" w:name="_Toc523925707"/>
      <w:r>
        <w:rPr>
          <w:rStyle w:val="CharSClsNo"/>
        </w:rPr>
        <w:t>6</w:t>
      </w:r>
      <w:r>
        <w:t>.</w:t>
      </w:r>
      <w:r>
        <w:rPr>
          <w:b w:val="0"/>
        </w:rPr>
        <w:tab/>
      </w:r>
      <w:r>
        <w:t>Minister may declare clause 3 inapplicable</w:t>
      </w:r>
      <w:bookmarkEnd w:id="88"/>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31; amended by No. 32 of 2016 s. 127.]</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0" w:name="_Toc523925708"/>
      <w:r>
        <w:t>Notes</w:t>
      </w:r>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 w:name="_Toc523925709"/>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6"/>
        <w:gridCol w:w="1135"/>
        <w:gridCol w:w="1113"/>
        <w:gridCol w:w="23"/>
        <w:gridCol w:w="2552"/>
      </w:tblGrid>
      <w:tr>
        <w:trPr>
          <w:cantSplit/>
          <w:tblHeader/>
        </w:trPr>
        <w:tc>
          <w:tcPr>
            <w:tcW w:w="2274" w:type="dxa"/>
            <w:gridSpan w:val="2"/>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Pr>
          <w:p>
            <w:pPr>
              <w:pStyle w:val="nTable"/>
              <w:spacing w:after="40"/>
            </w:pPr>
            <w:r>
              <w:rPr>
                <w:i/>
              </w:rPr>
              <w:t>Murdoch University Act 1973</w:t>
            </w:r>
          </w:p>
        </w:tc>
        <w:tc>
          <w:tcPr>
            <w:tcW w:w="1135" w:type="dxa"/>
          </w:tcPr>
          <w:p>
            <w:pPr>
              <w:pStyle w:val="nTable"/>
              <w:spacing w:after="40"/>
            </w:pPr>
            <w:r>
              <w:t>20 of 1973</w:t>
            </w:r>
          </w:p>
        </w:tc>
        <w:tc>
          <w:tcPr>
            <w:tcW w:w="1136" w:type="dxa"/>
            <w:gridSpan w:val="2"/>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74" w:type="dxa"/>
            <w:gridSpan w:val="2"/>
          </w:tcPr>
          <w:p>
            <w:pPr>
              <w:pStyle w:val="nTable"/>
              <w:spacing w:after="40"/>
              <w:rPr>
                <w:i/>
              </w:rPr>
            </w:pPr>
            <w:r>
              <w:rPr>
                <w:i/>
              </w:rPr>
              <w:t>Murdoch University Act Amendment Act 1975</w:t>
            </w:r>
          </w:p>
        </w:tc>
        <w:tc>
          <w:tcPr>
            <w:tcW w:w="1135" w:type="dxa"/>
          </w:tcPr>
          <w:p>
            <w:pPr>
              <w:pStyle w:val="nTable"/>
              <w:spacing w:after="40"/>
            </w:pPr>
            <w:r>
              <w:t>103 of 1975</w:t>
            </w:r>
          </w:p>
        </w:tc>
        <w:tc>
          <w:tcPr>
            <w:tcW w:w="1136" w:type="dxa"/>
            <w:gridSpan w:val="2"/>
          </w:tcPr>
          <w:p>
            <w:pPr>
              <w:pStyle w:val="nTable"/>
              <w:spacing w:after="40"/>
            </w:pPr>
            <w:r>
              <w:t>1 Dec 1975</w:t>
            </w:r>
          </w:p>
        </w:tc>
        <w:tc>
          <w:tcPr>
            <w:tcW w:w="2551" w:type="dxa"/>
          </w:tcPr>
          <w:p>
            <w:pPr>
              <w:pStyle w:val="nTable"/>
              <w:spacing w:after="40"/>
            </w:pPr>
            <w:r>
              <w:t>1 Dec 1975</w:t>
            </w:r>
          </w:p>
        </w:tc>
      </w:tr>
      <w:tr>
        <w:trPr>
          <w:cantSplit/>
        </w:trPr>
        <w:tc>
          <w:tcPr>
            <w:tcW w:w="2274" w:type="dxa"/>
            <w:gridSpan w:val="2"/>
          </w:tcPr>
          <w:p>
            <w:pPr>
              <w:pStyle w:val="nTable"/>
              <w:spacing w:after="40"/>
              <w:rPr>
                <w:i/>
              </w:rPr>
            </w:pPr>
            <w:r>
              <w:rPr>
                <w:i/>
              </w:rPr>
              <w:t xml:space="preserve">Murdoch University Act Amendment Act 1976 </w:t>
            </w:r>
          </w:p>
        </w:tc>
        <w:tc>
          <w:tcPr>
            <w:tcW w:w="1135" w:type="dxa"/>
          </w:tcPr>
          <w:p>
            <w:pPr>
              <w:pStyle w:val="nTable"/>
              <w:spacing w:after="40"/>
            </w:pPr>
            <w:r>
              <w:t>38 of 1976</w:t>
            </w:r>
          </w:p>
        </w:tc>
        <w:tc>
          <w:tcPr>
            <w:tcW w:w="1136" w:type="dxa"/>
            <w:gridSpan w:val="2"/>
          </w:tcPr>
          <w:p>
            <w:pPr>
              <w:pStyle w:val="nTable"/>
              <w:spacing w:after="40"/>
            </w:pPr>
            <w:r>
              <w:t>9 Jun 1976</w:t>
            </w:r>
          </w:p>
        </w:tc>
        <w:tc>
          <w:tcPr>
            <w:tcW w:w="2551" w:type="dxa"/>
          </w:tcPr>
          <w:p>
            <w:pPr>
              <w:pStyle w:val="nTable"/>
              <w:spacing w:after="40"/>
            </w:pPr>
            <w:r>
              <w:t>9 Jun 1976</w:t>
            </w:r>
          </w:p>
        </w:tc>
      </w:tr>
      <w:tr>
        <w:trPr>
          <w:cantSplit/>
        </w:trPr>
        <w:tc>
          <w:tcPr>
            <w:tcW w:w="2274" w:type="dxa"/>
            <w:gridSpan w:val="2"/>
          </w:tcPr>
          <w:p>
            <w:pPr>
              <w:pStyle w:val="nTable"/>
              <w:spacing w:after="40"/>
            </w:pPr>
            <w:r>
              <w:rPr>
                <w:i/>
              </w:rPr>
              <w:t>Acts Amendment (Student Guilds and Associations) Act 1977</w:t>
            </w:r>
            <w:r>
              <w:t xml:space="preserve"> Pt. II</w:t>
            </w:r>
          </w:p>
        </w:tc>
        <w:tc>
          <w:tcPr>
            <w:tcW w:w="1135" w:type="dxa"/>
          </w:tcPr>
          <w:p>
            <w:pPr>
              <w:pStyle w:val="nTable"/>
              <w:spacing w:after="40"/>
            </w:pPr>
            <w:r>
              <w:t>61 of 1977</w:t>
            </w:r>
          </w:p>
        </w:tc>
        <w:tc>
          <w:tcPr>
            <w:tcW w:w="1136" w:type="dxa"/>
            <w:gridSpan w:val="2"/>
          </w:tcPr>
          <w:p>
            <w:pPr>
              <w:pStyle w:val="nTable"/>
              <w:spacing w:after="40"/>
            </w:pPr>
            <w:r>
              <w:t>23 Nov 1977</w:t>
            </w:r>
          </w:p>
        </w:tc>
        <w:tc>
          <w:tcPr>
            <w:tcW w:w="2551" w:type="dxa"/>
          </w:tcPr>
          <w:p>
            <w:pPr>
              <w:pStyle w:val="nTable"/>
              <w:spacing w:after="40"/>
            </w:pPr>
            <w:r>
              <w:t>1 Jan 1978 (see s. 2)</w:t>
            </w:r>
          </w:p>
        </w:tc>
      </w:tr>
      <w:tr>
        <w:trPr>
          <w:cantSplit/>
        </w:trPr>
        <w:tc>
          <w:tcPr>
            <w:tcW w:w="2274" w:type="dxa"/>
            <w:gridSpan w:val="2"/>
          </w:tcPr>
          <w:p>
            <w:pPr>
              <w:pStyle w:val="nTable"/>
              <w:spacing w:after="40"/>
              <w:rPr>
                <w:i/>
              </w:rPr>
            </w:pPr>
            <w:r>
              <w:rPr>
                <w:i/>
              </w:rPr>
              <w:t>Murdoch University Act Amendment Act 1978</w:t>
            </w:r>
          </w:p>
        </w:tc>
        <w:tc>
          <w:tcPr>
            <w:tcW w:w="1135" w:type="dxa"/>
          </w:tcPr>
          <w:p>
            <w:pPr>
              <w:pStyle w:val="nTable"/>
              <w:spacing w:after="40"/>
            </w:pPr>
            <w:r>
              <w:t>7 of 1978</w:t>
            </w:r>
          </w:p>
        </w:tc>
        <w:tc>
          <w:tcPr>
            <w:tcW w:w="1136" w:type="dxa"/>
            <w:gridSpan w:val="2"/>
          </w:tcPr>
          <w:p>
            <w:pPr>
              <w:pStyle w:val="nTable"/>
              <w:spacing w:after="40"/>
            </w:pPr>
            <w:r>
              <w:t>15 May 1978</w:t>
            </w:r>
          </w:p>
        </w:tc>
        <w:tc>
          <w:tcPr>
            <w:tcW w:w="2551" w:type="dxa"/>
          </w:tcPr>
          <w:p>
            <w:pPr>
              <w:pStyle w:val="nTable"/>
              <w:spacing w:after="40"/>
            </w:pPr>
            <w:r>
              <w:t>15 May 1978</w:t>
            </w:r>
          </w:p>
        </w:tc>
      </w:tr>
      <w:tr>
        <w:trPr>
          <w:cantSplit/>
        </w:trPr>
        <w:tc>
          <w:tcPr>
            <w:tcW w:w="2274" w:type="dxa"/>
            <w:gridSpan w:val="2"/>
          </w:tcPr>
          <w:p>
            <w:pPr>
              <w:pStyle w:val="nTable"/>
              <w:spacing w:after="40"/>
            </w:pPr>
            <w:r>
              <w:rPr>
                <w:i/>
              </w:rPr>
              <w:t>Murdoch University Amendment Act 1980</w:t>
            </w:r>
            <w:r>
              <w:rPr>
                <w:vertAlign w:val="superscript"/>
              </w:rPr>
              <w:t> 4</w:t>
            </w:r>
          </w:p>
        </w:tc>
        <w:tc>
          <w:tcPr>
            <w:tcW w:w="1135" w:type="dxa"/>
          </w:tcPr>
          <w:p>
            <w:pPr>
              <w:pStyle w:val="nTable"/>
              <w:spacing w:after="40"/>
            </w:pPr>
            <w:r>
              <w:t>26 of 1980</w:t>
            </w:r>
          </w:p>
        </w:tc>
        <w:tc>
          <w:tcPr>
            <w:tcW w:w="1136" w:type="dxa"/>
            <w:gridSpan w:val="2"/>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74" w:type="dxa"/>
            <w:gridSpan w:val="2"/>
          </w:tcPr>
          <w:p>
            <w:pPr>
              <w:pStyle w:val="nTable"/>
              <w:spacing w:after="40"/>
            </w:pPr>
            <w:r>
              <w:rPr>
                <w:i/>
              </w:rPr>
              <w:t>Acts Amendment (Student Guilds and Associations) Act 1983</w:t>
            </w:r>
            <w:r>
              <w:t xml:space="preserve"> Pt. III</w:t>
            </w:r>
          </w:p>
        </w:tc>
        <w:tc>
          <w:tcPr>
            <w:tcW w:w="1135" w:type="dxa"/>
          </w:tcPr>
          <w:p>
            <w:pPr>
              <w:pStyle w:val="nTable"/>
              <w:spacing w:after="40"/>
            </w:pPr>
            <w:r>
              <w:t>51 of 1983</w:t>
            </w:r>
          </w:p>
        </w:tc>
        <w:tc>
          <w:tcPr>
            <w:tcW w:w="1136" w:type="dxa"/>
            <w:gridSpan w:val="2"/>
          </w:tcPr>
          <w:p>
            <w:pPr>
              <w:pStyle w:val="nTable"/>
              <w:spacing w:after="40"/>
            </w:pPr>
            <w:r>
              <w:t>5 Dec 1983</w:t>
            </w:r>
          </w:p>
        </w:tc>
        <w:tc>
          <w:tcPr>
            <w:tcW w:w="2551" w:type="dxa"/>
          </w:tcPr>
          <w:p>
            <w:pPr>
              <w:pStyle w:val="nTable"/>
              <w:spacing w:after="40"/>
            </w:pPr>
            <w:r>
              <w:t>5 Dec 1983</w:t>
            </w:r>
          </w:p>
        </w:tc>
      </w:tr>
      <w:tr>
        <w:trPr>
          <w:cantSplit/>
        </w:trPr>
        <w:tc>
          <w:tcPr>
            <w:tcW w:w="2274" w:type="dxa"/>
            <w:gridSpan w:val="2"/>
          </w:tcPr>
          <w:p>
            <w:pPr>
              <w:pStyle w:val="nTable"/>
              <w:spacing w:after="40"/>
            </w:pPr>
            <w:r>
              <w:rPr>
                <w:i/>
              </w:rPr>
              <w:t>Acts Amendment (Financial Administration and Audit) Act 1985</w:t>
            </w:r>
            <w:r>
              <w:t xml:space="preserve"> s. 3</w:t>
            </w:r>
          </w:p>
        </w:tc>
        <w:tc>
          <w:tcPr>
            <w:tcW w:w="1135" w:type="dxa"/>
          </w:tcPr>
          <w:p>
            <w:pPr>
              <w:pStyle w:val="nTable"/>
              <w:spacing w:after="40"/>
            </w:pPr>
            <w:r>
              <w:t>98 of 1985</w:t>
            </w:r>
          </w:p>
        </w:tc>
        <w:tc>
          <w:tcPr>
            <w:tcW w:w="1136"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74" w:type="dxa"/>
            <w:gridSpan w:val="2"/>
          </w:tcPr>
          <w:p>
            <w:pPr>
              <w:pStyle w:val="nTable"/>
              <w:spacing w:after="40"/>
            </w:pPr>
            <w:r>
              <w:rPr>
                <w:i/>
              </w:rPr>
              <w:t>Acts Amendment (Education) Act 1988</w:t>
            </w:r>
            <w:r>
              <w:t xml:space="preserve"> Pt. 9</w:t>
            </w:r>
          </w:p>
        </w:tc>
        <w:tc>
          <w:tcPr>
            <w:tcW w:w="1135" w:type="dxa"/>
          </w:tcPr>
          <w:p>
            <w:pPr>
              <w:pStyle w:val="nTable"/>
              <w:spacing w:after="40"/>
            </w:pPr>
            <w:r>
              <w:t>7 of 1988</w:t>
            </w:r>
          </w:p>
        </w:tc>
        <w:tc>
          <w:tcPr>
            <w:tcW w:w="1136" w:type="dxa"/>
            <w:gridSpan w:val="2"/>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74" w:type="dxa"/>
            <w:gridSpan w:val="2"/>
          </w:tcPr>
          <w:p>
            <w:pPr>
              <w:pStyle w:val="nTable"/>
              <w:keepNext/>
              <w:spacing w:after="40"/>
            </w:pPr>
            <w:r>
              <w:rPr>
                <w:i/>
              </w:rPr>
              <w:t>Acts Amendment and Repeal (Post</w:t>
            </w:r>
            <w:r>
              <w:rPr>
                <w:i/>
              </w:rPr>
              <w:noBreakHyphen/>
              <w:t>Secondary Education) Act 1989</w:t>
            </w:r>
            <w:r>
              <w:t xml:space="preserve"> Pt. 6</w:t>
            </w:r>
          </w:p>
        </w:tc>
        <w:tc>
          <w:tcPr>
            <w:tcW w:w="1135" w:type="dxa"/>
          </w:tcPr>
          <w:p>
            <w:pPr>
              <w:pStyle w:val="nTable"/>
              <w:keepNext/>
              <w:spacing w:after="40"/>
            </w:pPr>
            <w:r>
              <w:t>48 of 1989</w:t>
            </w:r>
          </w:p>
        </w:tc>
        <w:tc>
          <w:tcPr>
            <w:tcW w:w="1136" w:type="dxa"/>
            <w:gridSpan w:val="2"/>
          </w:tcPr>
          <w:p>
            <w:pPr>
              <w:pStyle w:val="nTable"/>
              <w:spacing w:after="40"/>
            </w:pPr>
            <w:r>
              <w:t>9 Jan 1990</w:t>
            </w:r>
          </w:p>
        </w:tc>
        <w:tc>
          <w:tcPr>
            <w:tcW w:w="2551" w:type="dxa"/>
          </w:tcPr>
          <w:p>
            <w:pPr>
              <w:pStyle w:val="nTable"/>
              <w:spacing w:after="40"/>
            </w:pPr>
            <w:r>
              <w:t>1 Jan 1990 (see s. 2)</w:t>
            </w:r>
          </w:p>
        </w:tc>
      </w:tr>
      <w:tr>
        <w:trPr>
          <w:cantSplit/>
        </w:trPr>
        <w:tc>
          <w:tcPr>
            <w:tcW w:w="2274" w:type="dxa"/>
            <w:gridSpan w:val="2"/>
          </w:tcPr>
          <w:p>
            <w:pPr>
              <w:pStyle w:val="nTable"/>
              <w:spacing w:after="40"/>
            </w:pPr>
            <w:r>
              <w:rPr>
                <w:i/>
              </w:rPr>
              <w:t>Guardianship and Administration Act 1990</w:t>
            </w:r>
            <w:r>
              <w:t xml:space="preserve"> s. 123</w:t>
            </w:r>
          </w:p>
        </w:tc>
        <w:tc>
          <w:tcPr>
            <w:tcW w:w="1135" w:type="dxa"/>
          </w:tcPr>
          <w:p>
            <w:pPr>
              <w:pStyle w:val="nTable"/>
              <w:spacing w:after="40"/>
            </w:pPr>
            <w:r>
              <w:t>24 of 1990</w:t>
            </w:r>
          </w:p>
        </w:tc>
        <w:tc>
          <w:tcPr>
            <w:tcW w:w="1136" w:type="dxa"/>
            <w:gridSpan w:val="2"/>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74" w:type="dxa"/>
            <w:gridSpan w:val="2"/>
          </w:tcPr>
          <w:p>
            <w:pPr>
              <w:pStyle w:val="nTable"/>
              <w:keepNext/>
              <w:spacing w:after="40"/>
            </w:pPr>
            <w:r>
              <w:rPr>
                <w:i/>
              </w:rPr>
              <w:t>Financial Administration and Audit Amendment Act 1990</w:t>
            </w:r>
            <w:r>
              <w:t xml:space="preserve"> s. 39(3)</w:t>
            </w:r>
          </w:p>
        </w:tc>
        <w:tc>
          <w:tcPr>
            <w:tcW w:w="1135" w:type="dxa"/>
          </w:tcPr>
          <w:p>
            <w:pPr>
              <w:pStyle w:val="nTable"/>
              <w:keepNext/>
              <w:spacing w:after="40"/>
            </w:pPr>
            <w:r>
              <w:t>92 of 1990</w:t>
            </w:r>
          </w:p>
        </w:tc>
        <w:tc>
          <w:tcPr>
            <w:tcW w:w="1136" w:type="dxa"/>
            <w:gridSpan w:val="2"/>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74" w:type="dxa"/>
            <w:gridSpan w:val="2"/>
          </w:tcPr>
          <w:p>
            <w:pPr>
              <w:pStyle w:val="nTable"/>
              <w:spacing w:after="40"/>
            </w:pPr>
            <w:r>
              <w:rPr>
                <w:i/>
              </w:rPr>
              <w:t>Financial Administration Legislation Amendment Act 1993</w:t>
            </w:r>
            <w:r>
              <w:t xml:space="preserve"> s. 11</w:t>
            </w:r>
          </w:p>
        </w:tc>
        <w:tc>
          <w:tcPr>
            <w:tcW w:w="1135" w:type="dxa"/>
          </w:tcPr>
          <w:p>
            <w:pPr>
              <w:pStyle w:val="nTable"/>
              <w:spacing w:after="40"/>
            </w:pPr>
            <w:r>
              <w:t>6 of 1993</w:t>
            </w:r>
          </w:p>
        </w:tc>
        <w:tc>
          <w:tcPr>
            <w:tcW w:w="1136"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74" w:type="dxa"/>
            <w:gridSpan w:val="2"/>
          </w:tcPr>
          <w:p>
            <w:pPr>
              <w:pStyle w:val="nTable"/>
              <w:spacing w:after="40"/>
            </w:pPr>
            <w:r>
              <w:rPr>
                <w:i/>
              </w:rPr>
              <w:t>Voluntary Membership of Student Guilds and Associations Act 1994</w:t>
            </w:r>
            <w:r>
              <w:t xml:space="preserve"> Pt. 5 </w:t>
            </w:r>
            <w:r>
              <w:rPr>
                <w:vertAlign w:val="superscript"/>
              </w:rPr>
              <w:t>5</w:t>
            </w:r>
          </w:p>
        </w:tc>
        <w:tc>
          <w:tcPr>
            <w:tcW w:w="1135" w:type="dxa"/>
          </w:tcPr>
          <w:p>
            <w:pPr>
              <w:pStyle w:val="nTable"/>
              <w:spacing w:after="40"/>
            </w:pPr>
            <w:r>
              <w:t>91 of 1994</w:t>
            </w:r>
          </w:p>
        </w:tc>
        <w:tc>
          <w:tcPr>
            <w:tcW w:w="1136" w:type="dxa"/>
            <w:gridSpan w:val="2"/>
          </w:tcPr>
          <w:p>
            <w:pPr>
              <w:pStyle w:val="nTable"/>
              <w:spacing w:after="40"/>
            </w:pPr>
            <w:r>
              <w:t>5 Jan 1995</w:t>
            </w:r>
          </w:p>
        </w:tc>
        <w:tc>
          <w:tcPr>
            <w:tcW w:w="2551" w:type="dxa"/>
          </w:tcPr>
          <w:p>
            <w:pPr>
              <w:pStyle w:val="nTable"/>
              <w:spacing w:after="40"/>
            </w:pPr>
            <w:r>
              <w:t>5 Jan 1995 (see s. 2)</w:t>
            </w:r>
          </w:p>
        </w:tc>
      </w:tr>
      <w:tr>
        <w:trPr>
          <w:cantSplit/>
        </w:trPr>
        <w:tc>
          <w:tcPr>
            <w:tcW w:w="2274" w:type="dxa"/>
            <w:gridSpan w:val="2"/>
          </w:tcPr>
          <w:p>
            <w:pPr>
              <w:pStyle w:val="nTable"/>
              <w:spacing w:after="40"/>
            </w:pPr>
            <w:r>
              <w:rPr>
                <w:i/>
              </w:rPr>
              <w:t>Sentencing (Consequential Provisions) Act 1995</w:t>
            </w:r>
            <w:r>
              <w:t xml:space="preserve"> Pt. 54</w:t>
            </w:r>
          </w:p>
        </w:tc>
        <w:tc>
          <w:tcPr>
            <w:tcW w:w="1135" w:type="dxa"/>
          </w:tcPr>
          <w:p>
            <w:pPr>
              <w:pStyle w:val="nTable"/>
              <w:spacing w:after="40"/>
            </w:pPr>
            <w:r>
              <w:t>78 of 1995</w:t>
            </w:r>
          </w:p>
        </w:tc>
        <w:tc>
          <w:tcPr>
            <w:tcW w:w="1136"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4" w:type="dxa"/>
            <w:gridSpan w:val="2"/>
          </w:tcPr>
          <w:p>
            <w:pPr>
              <w:pStyle w:val="nTable"/>
              <w:spacing w:after="40"/>
            </w:pPr>
            <w:r>
              <w:rPr>
                <w:i/>
              </w:rPr>
              <w:t>Education Amendment Act 1996</w:t>
            </w:r>
            <w:r>
              <w:t xml:space="preserve"> s. 16(8)</w:t>
            </w:r>
          </w:p>
        </w:tc>
        <w:tc>
          <w:tcPr>
            <w:tcW w:w="1135" w:type="dxa"/>
          </w:tcPr>
          <w:p>
            <w:pPr>
              <w:pStyle w:val="nTable"/>
              <w:spacing w:after="40"/>
            </w:pPr>
            <w:r>
              <w:t>22 of 1996</w:t>
            </w:r>
          </w:p>
        </w:tc>
        <w:tc>
          <w:tcPr>
            <w:tcW w:w="1136" w:type="dxa"/>
            <w:gridSpan w:val="2"/>
          </w:tcPr>
          <w:p>
            <w:pPr>
              <w:pStyle w:val="nTable"/>
              <w:spacing w:after="40"/>
            </w:pPr>
            <w:r>
              <w:t>11 Jul 1996</w:t>
            </w:r>
          </w:p>
        </w:tc>
        <w:tc>
          <w:tcPr>
            <w:tcW w:w="2551" w:type="dxa"/>
          </w:tcPr>
          <w:p>
            <w:pPr>
              <w:pStyle w:val="nTable"/>
              <w:spacing w:after="40"/>
            </w:pPr>
            <w:r>
              <w:t>11 Jul 1996 (see s. 2(1))</w:t>
            </w:r>
          </w:p>
        </w:tc>
      </w:tr>
      <w:tr>
        <w:trPr>
          <w:cantSplit/>
        </w:trPr>
        <w:tc>
          <w:tcPr>
            <w:tcW w:w="2274" w:type="dxa"/>
            <w:gridSpan w:val="2"/>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6" w:type="dxa"/>
            <w:gridSpan w:val="2"/>
          </w:tcPr>
          <w:p>
            <w:pPr>
              <w:pStyle w:val="nTable"/>
              <w:spacing w:after="40"/>
            </w:pPr>
            <w:r>
              <w:t>25 Oct 1996</w:t>
            </w:r>
          </w:p>
        </w:tc>
        <w:tc>
          <w:tcPr>
            <w:tcW w:w="2551" w:type="dxa"/>
          </w:tcPr>
          <w:p>
            <w:pPr>
              <w:pStyle w:val="nTable"/>
              <w:spacing w:after="40"/>
            </w:pPr>
            <w:r>
              <w:t>25 Oct 1996 (see s. 2(1))</w:t>
            </w:r>
          </w:p>
        </w:tc>
      </w:tr>
      <w:tr>
        <w:trPr>
          <w:cantSplit/>
        </w:trPr>
        <w:tc>
          <w:tcPr>
            <w:tcW w:w="2274" w:type="dxa"/>
            <w:gridSpan w:val="2"/>
          </w:tcPr>
          <w:p>
            <w:pPr>
              <w:pStyle w:val="nTable"/>
              <w:spacing w:after="40"/>
            </w:pPr>
            <w:r>
              <w:rPr>
                <w:i/>
              </w:rPr>
              <w:t>Trustees Amendment Act 1997</w:t>
            </w:r>
            <w:r>
              <w:t xml:space="preserve"> s. 18</w:t>
            </w:r>
          </w:p>
        </w:tc>
        <w:tc>
          <w:tcPr>
            <w:tcW w:w="1135" w:type="dxa"/>
          </w:tcPr>
          <w:p>
            <w:pPr>
              <w:pStyle w:val="nTable"/>
              <w:spacing w:after="40"/>
            </w:pPr>
            <w:r>
              <w:t>1 of 1997</w:t>
            </w:r>
          </w:p>
        </w:tc>
        <w:tc>
          <w:tcPr>
            <w:tcW w:w="1136" w:type="dxa"/>
            <w:gridSpan w:val="2"/>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74" w:type="dxa"/>
            <w:gridSpan w:val="2"/>
          </w:tcPr>
          <w:p>
            <w:pPr>
              <w:pStyle w:val="nTable"/>
              <w:spacing w:after="40"/>
            </w:pPr>
            <w:r>
              <w:rPr>
                <w:i/>
              </w:rPr>
              <w:t>Acts Amendment (Land Administration) Act 1997</w:t>
            </w:r>
            <w:r>
              <w:t xml:space="preserve"> Pt. 45</w:t>
            </w:r>
          </w:p>
        </w:tc>
        <w:tc>
          <w:tcPr>
            <w:tcW w:w="1135" w:type="dxa"/>
          </w:tcPr>
          <w:p>
            <w:pPr>
              <w:pStyle w:val="nTable"/>
              <w:spacing w:after="40"/>
            </w:pPr>
            <w:r>
              <w:t>31 of 1997</w:t>
            </w:r>
          </w:p>
        </w:tc>
        <w:tc>
          <w:tcPr>
            <w:tcW w:w="1136"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74" w:type="dxa"/>
            <w:gridSpan w:val="2"/>
          </w:tcPr>
          <w:p>
            <w:pPr>
              <w:pStyle w:val="nTable"/>
              <w:spacing w:after="40"/>
            </w:pPr>
            <w:r>
              <w:rPr>
                <w:i/>
              </w:rPr>
              <w:t>Statutes (Repeals and Minor Amendments) Act 1997</w:t>
            </w:r>
            <w:r>
              <w:t xml:space="preserve"> s. 92</w:t>
            </w:r>
          </w:p>
        </w:tc>
        <w:tc>
          <w:tcPr>
            <w:tcW w:w="1135" w:type="dxa"/>
          </w:tcPr>
          <w:p>
            <w:pPr>
              <w:pStyle w:val="nTable"/>
              <w:keepNext/>
              <w:keepLines/>
              <w:spacing w:after="40"/>
            </w:pPr>
            <w:r>
              <w:t>57 of 1997</w:t>
            </w:r>
          </w:p>
        </w:tc>
        <w:tc>
          <w:tcPr>
            <w:tcW w:w="1136"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2274" w:type="dxa"/>
            <w:gridSpan w:val="2"/>
          </w:tcPr>
          <w:p>
            <w:pPr>
              <w:pStyle w:val="nTable"/>
              <w:spacing w:after="40"/>
            </w:pPr>
            <w:r>
              <w:rPr>
                <w:i/>
              </w:rPr>
              <w:t>Statutes (Repeals and Minor Amendments) Act (No. 2) 1998</w:t>
            </w:r>
            <w:r>
              <w:t xml:space="preserve"> s. 54</w:t>
            </w:r>
          </w:p>
        </w:tc>
        <w:tc>
          <w:tcPr>
            <w:tcW w:w="1135" w:type="dxa"/>
          </w:tcPr>
          <w:p>
            <w:pPr>
              <w:pStyle w:val="nTable"/>
              <w:keepNext/>
              <w:keepLines/>
              <w:spacing w:after="40"/>
            </w:pPr>
            <w:r>
              <w:t>10 of 1998</w:t>
            </w:r>
          </w:p>
        </w:tc>
        <w:tc>
          <w:tcPr>
            <w:tcW w:w="1136" w:type="dxa"/>
            <w:gridSpan w:val="2"/>
          </w:tcPr>
          <w:p>
            <w:pPr>
              <w:pStyle w:val="nTable"/>
              <w:spacing w:after="40"/>
            </w:pPr>
            <w:r>
              <w:t>30 Apr 1998</w:t>
            </w:r>
          </w:p>
        </w:tc>
        <w:tc>
          <w:tcPr>
            <w:tcW w:w="2551" w:type="dxa"/>
          </w:tcPr>
          <w:p>
            <w:pPr>
              <w:pStyle w:val="nTable"/>
              <w:spacing w:after="40"/>
            </w:pPr>
            <w:r>
              <w:t>30 Apr 1998 (see s. 2(1))</w:t>
            </w:r>
          </w:p>
        </w:tc>
      </w:tr>
      <w:tr>
        <w:trPr>
          <w:cantSplit/>
        </w:trPr>
        <w:tc>
          <w:tcPr>
            <w:tcW w:w="7096" w:type="dxa"/>
            <w:gridSpan w:val="6"/>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74" w:type="dxa"/>
            <w:gridSpan w:val="2"/>
          </w:tcPr>
          <w:p>
            <w:pPr>
              <w:pStyle w:val="nTable"/>
              <w:spacing w:after="40"/>
              <w:rPr>
                <w:i/>
              </w:rPr>
            </w:pPr>
            <w:r>
              <w:rPr>
                <w:i/>
              </w:rPr>
              <w:t>School Education Act 1999</w:t>
            </w:r>
            <w:r>
              <w:t xml:space="preserve"> s. 247</w:t>
            </w:r>
          </w:p>
        </w:tc>
        <w:tc>
          <w:tcPr>
            <w:tcW w:w="1135" w:type="dxa"/>
          </w:tcPr>
          <w:p>
            <w:pPr>
              <w:pStyle w:val="nTable"/>
              <w:keepNext/>
              <w:keepLines/>
              <w:spacing w:after="40"/>
            </w:pPr>
            <w:r>
              <w:t>36 of 1999</w:t>
            </w:r>
          </w:p>
        </w:tc>
        <w:tc>
          <w:tcPr>
            <w:tcW w:w="1136" w:type="dxa"/>
            <w:gridSpan w:val="2"/>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4" w:type="dxa"/>
            <w:gridSpan w:val="2"/>
          </w:tcPr>
          <w:p>
            <w:pPr>
              <w:pStyle w:val="nTable"/>
              <w:spacing w:after="40"/>
            </w:pPr>
            <w:r>
              <w:rPr>
                <w:i/>
              </w:rPr>
              <w:t xml:space="preserve">Universities Legislation Amendment Act 2000 </w:t>
            </w:r>
            <w:r>
              <w:t>Pt. 2</w:t>
            </w:r>
          </w:p>
        </w:tc>
        <w:tc>
          <w:tcPr>
            <w:tcW w:w="1135" w:type="dxa"/>
          </w:tcPr>
          <w:p>
            <w:pPr>
              <w:pStyle w:val="nTable"/>
              <w:keepNext/>
              <w:keepLines/>
              <w:spacing w:after="40"/>
            </w:pPr>
            <w:r>
              <w:t>75 of 2000</w:t>
            </w:r>
          </w:p>
        </w:tc>
        <w:tc>
          <w:tcPr>
            <w:tcW w:w="1136" w:type="dxa"/>
            <w:gridSpan w:val="2"/>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74" w:type="dxa"/>
            <w:gridSpan w:val="2"/>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5" w:type="dxa"/>
          </w:tcPr>
          <w:p>
            <w:pPr>
              <w:pStyle w:val="nTable"/>
              <w:keepNext/>
              <w:keepLines/>
              <w:spacing w:after="40"/>
            </w:pPr>
            <w:r>
              <w:t>44 of 2002</w:t>
            </w:r>
          </w:p>
        </w:tc>
        <w:tc>
          <w:tcPr>
            <w:tcW w:w="1136" w:type="dxa"/>
            <w:gridSpan w:val="2"/>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74" w:type="dxa"/>
            <w:gridSpan w:val="2"/>
          </w:tcPr>
          <w:p>
            <w:pPr>
              <w:pStyle w:val="nTable"/>
              <w:spacing w:after="40"/>
              <w:rPr>
                <w:snapToGrid w:val="0"/>
              </w:rPr>
            </w:pPr>
            <w:r>
              <w:rPr>
                <w:i/>
                <w:snapToGrid w:val="0"/>
              </w:rPr>
              <w:t>Statutes (Repeals and Minor Amendments) Act 2003</w:t>
            </w:r>
            <w:r>
              <w:rPr>
                <w:snapToGrid w:val="0"/>
              </w:rPr>
              <w:t xml:space="preserve"> s. 86</w:t>
            </w:r>
          </w:p>
        </w:tc>
        <w:tc>
          <w:tcPr>
            <w:tcW w:w="1135" w:type="dxa"/>
          </w:tcPr>
          <w:p>
            <w:pPr>
              <w:pStyle w:val="nTable"/>
              <w:keepNext/>
              <w:keepLines/>
              <w:spacing w:after="40"/>
            </w:pPr>
            <w:r>
              <w:t>74 of 2003</w:t>
            </w:r>
          </w:p>
        </w:tc>
        <w:tc>
          <w:tcPr>
            <w:tcW w:w="1136" w:type="dxa"/>
            <w:gridSpan w:val="2"/>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74"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keepNext/>
              <w:keepLines/>
              <w:spacing w:after="40"/>
            </w:pPr>
            <w:r>
              <w:rPr>
                <w:snapToGrid w:val="0"/>
              </w:rPr>
              <w:t>84 of 2004</w:t>
            </w:r>
          </w:p>
        </w:tc>
        <w:tc>
          <w:tcPr>
            <w:tcW w:w="1136" w:type="dxa"/>
            <w:gridSpan w:val="2"/>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96" w:type="dxa"/>
            <w:gridSpan w:val="6"/>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74" w:type="dxa"/>
            <w:gridSpan w:val="2"/>
          </w:tcPr>
          <w:p>
            <w:pPr>
              <w:pStyle w:val="nTable"/>
              <w:spacing w:after="40"/>
              <w:rPr>
                <w:vertAlign w:val="superscript"/>
              </w:rPr>
            </w:pPr>
            <w:r>
              <w:rPr>
                <w:i/>
              </w:rPr>
              <w:t xml:space="preserve">Universities Legislation Amendment Act 2005 </w:t>
            </w:r>
            <w:r>
              <w:t>Pt. 4 </w:t>
            </w:r>
            <w:r>
              <w:rPr>
                <w:vertAlign w:val="superscript"/>
              </w:rPr>
              <w:t>6</w:t>
            </w:r>
          </w:p>
        </w:tc>
        <w:tc>
          <w:tcPr>
            <w:tcW w:w="1135" w:type="dxa"/>
          </w:tcPr>
          <w:p>
            <w:pPr>
              <w:pStyle w:val="nTable"/>
              <w:keepNext/>
              <w:keepLines/>
              <w:spacing w:after="40"/>
            </w:pPr>
            <w:r>
              <w:t>8 of 2005</w:t>
            </w:r>
          </w:p>
        </w:tc>
        <w:tc>
          <w:tcPr>
            <w:tcW w:w="1136" w:type="dxa"/>
            <w:gridSpan w:val="2"/>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74" w:type="dxa"/>
            <w:gridSpan w:val="2"/>
          </w:tcPr>
          <w:p>
            <w:pPr>
              <w:pStyle w:val="nTable"/>
              <w:spacing w:after="40"/>
              <w:rPr>
                <w:i/>
              </w:rPr>
            </w:pPr>
            <w:r>
              <w:rPr>
                <w:i/>
                <w:snapToGrid w:val="0"/>
              </w:rPr>
              <w:t xml:space="preserve">Financial Legislation Amendment and Repeal Act 2006 </w:t>
            </w:r>
            <w:r>
              <w:rPr>
                <w:snapToGrid w:val="0"/>
              </w:rPr>
              <w:t>s. 4 and Sch. 1 cl. 111</w:t>
            </w:r>
          </w:p>
        </w:tc>
        <w:tc>
          <w:tcPr>
            <w:tcW w:w="1135" w:type="dxa"/>
          </w:tcPr>
          <w:p>
            <w:pPr>
              <w:pStyle w:val="nTable"/>
              <w:keepNext/>
              <w:keepLines/>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74" w:type="dxa"/>
            <w:gridSpan w:val="2"/>
          </w:tcPr>
          <w:p>
            <w:pPr>
              <w:pStyle w:val="nTable"/>
              <w:spacing w:after="40"/>
              <w:rPr>
                <w:iCs/>
                <w:snapToGrid w:val="0"/>
              </w:rPr>
            </w:pPr>
            <w:r>
              <w:rPr>
                <w:i/>
                <w:snapToGrid w:val="0"/>
              </w:rPr>
              <w:t>Acts Amendment (Bankruptcy) Act 2009</w:t>
            </w:r>
            <w:r>
              <w:rPr>
                <w:iCs/>
                <w:snapToGrid w:val="0"/>
              </w:rPr>
              <w:t xml:space="preserve"> s. 58</w:t>
            </w:r>
          </w:p>
        </w:tc>
        <w:tc>
          <w:tcPr>
            <w:tcW w:w="1135" w:type="dxa"/>
          </w:tcPr>
          <w:p>
            <w:pPr>
              <w:pStyle w:val="nTable"/>
              <w:spacing w:after="40"/>
            </w:pPr>
            <w:r>
              <w:t>18 of 2009</w:t>
            </w:r>
          </w:p>
        </w:tc>
        <w:tc>
          <w:tcPr>
            <w:tcW w:w="1136"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7096" w:type="dxa"/>
            <w:gridSpan w:val="6"/>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r>
        <w:trPr>
          <w:cantSplit/>
        </w:trPr>
        <w:tc>
          <w:tcPr>
            <w:tcW w:w="2268" w:type="dxa"/>
            <w:tcBorders>
              <w:bottom w:val="single" w:sz="4" w:space="0" w:color="auto"/>
            </w:tcBorders>
          </w:tcPr>
          <w:p>
            <w:pPr>
              <w:pStyle w:val="nTable"/>
              <w:spacing w:before="240" w:after="40"/>
              <w:ind w:right="113"/>
              <w:rPr>
                <w:i/>
                <w:snapToGrid w:val="0"/>
              </w:rPr>
            </w:pPr>
            <w:r>
              <w:rPr>
                <w:i/>
                <w:snapToGrid w:val="0"/>
              </w:rPr>
              <w:t>Universities Legislation Amendment Act 2016</w:t>
            </w:r>
            <w:r>
              <w:rPr>
                <w:snapToGrid w:val="0"/>
              </w:rPr>
              <w:t xml:space="preserve"> Pt. 4 (other than s. 106)</w:t>
            </w:r>
          </w:p>
        </w:tc>
        <w:tc>
          <w:tcPr>
            <w:tcW w:w="1141" w:type="dxa"/>
            <w:gridSpan w:val="2"/>
            <w:tcBorders>
              <w:bottom w:val="single" w:sz="4" w:space="0" w:color="auto"/>
            </w:tcBorders>
          </w:tcPr>
          <w:p>
            <w:pPr>
              <w:pStyle w:val="nTable"/>
              <w:keepNext/>
              <w:keepLines/>
              <w:spacing w:after="40"/>
            </w:pPr>
            <w:r>
              <w:t>32 of 2016</w:t>
            </w:r>
          </w:p>
        </w:tc>
        <w:tc>
          <w:tcPr>
            <w:tcW w:w="1113" w:type="dxa"/>
            <w:tcBorders>
              <w:bottom w:val="single" w:sz="4" w:space="0" w:color="auto"/>
            </w:tcBorders>
          </w:tcPr>
          <w:p>
            <w:pPr>
              <w:pStyle w:val="nTable"/>
              <w:keepNext/>
              <w:keepLines/>
              <w:spacing w:after="40"/>
            </w:pPr>
            <w:r>
              <w:t>19 Oct 2016</w:t>
            </w:r>
          </w:p>
        </w:tc>
        <w:tc>
          <w:tcPr>
            <w:tcW w:w="2575" w:type="dxa"/>
            <w:gridSpan w:val="2"/>
            <w:tcBorders>
              <w:bottom w:val="single" w:sz="4" w:space="0" w:color="auto"/>
            </w:tcBorders>
          </w:tcPr>
          <w:p>
            <w:pPr>
              <w:pStyle w:val="nTable"/>
              <w:keepNext/>
              <w:keepLines/>
              <w:spacing w:after="40"/>
            </w:pPr>
            <w:r>
              <w:t xml:space="preserve">2 Jan 2017 (see s. 2(b) and </w:t>
            </w:r>
            <w:r>
              <w:rPr>
                <w:i/>
              </w:rPr>
              <w:t>Gazette</w:t>
            </w:r>
            <w:r>
              <w:t xml:space="preserve"> 9 Dec 2016 p. 5557)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523925710"/>
      <w:r>
        <w:t>Provisions that have not come into operation</w:t>
      </w:r>
      <w:bookmarkEnd w:id="9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s. 106</w:t>
            </w:r>
            <w:r>
              <w:rPr>
                <w:snapToGrid w:val="0"/>
                <w:vertAlign w:val="superscript"/>
              </w:rPr>
              <w:t> 7</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1 Oct 2017 (see s. 2(b) and </w:t>
            </w:r>
            <w:r>
              <w:rPr>
                <w:i/>
              </w:rPr>
              <w:t>Gazette</w:t>
            </w:r>
            <w:r>
              <w:t xml:space="preserve"> 9 Dec 2016 p. 5557)</w:t>
            </w:r>
          </w:p>
        </w:tc>
      </w:tr>
    </w:tbl>
    <w:p>
      <w:pPr>
        <w:pStyle w:val="nSubsection"/>
        <w:rPr>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7</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s. 106 had not come into operation. It reads as follows:</w:t>
      </w:r>
    </w:p>
    <w:p>
      <w:pPr>
        <w:pStyle w:val="BlankOpen"/>
      </w:pPr>
    </w:p>
    <w:p>
      <w:pPr>
        <w:pStyle w:val="nzHeading5"/>
      </w:pPr>
      <w:r>
        <w:rPr>
          <w:rStyle w:val="CharSectno"/>
        </w:rPr>
        <w:t>106</w:t>
      </w:r>
      <w:r>
        <w:t>.</w:t>
      </w:r>
      <w:r>
        <w:tab/>
        <w:t>Section 19 replaced</w:t>
      </w:r>
    </w:p>
    <w:p>
      <w:pPr>
        <w:pStyle w:val="nzSubsection"/>
      </w:pPr>
      <w:r>
        <w:tab/>
      </w:r>
      <w:r>
        <w:tab/>
        <w:t>Delete section 19 and insert:</w:t>
      </w:r>
    </w:p>
    <w:p>
      <w:pPr>
        <w:pStyle w:val="BlankOpen"/>
      </w:pPr>
    </w:p>
    <w:p>
      <w:pPr>
        <w:pStyle w:val="nzHeading5"/>
      </w:pPr>
      <w:r>
        <w:t>19A.</w:t>
      </w:r>
      <w:r>
        <w:tab/>
        <w:t>Remuneration and allowances for Senate members</w:t>
      </w:r>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funds of the University.</w:t>
      </w:r>
    </w:p>
    <w:p>
      <w:pPr>
        <w:pStyle w:val="BlankClose"/>
      </w:pPr>
    </w:p>
    <w:p>
      <w:pPr>
        <w:rPr>
          <w:b/>
        </w:rPr>
      </w:pPr>
    </w:p>
    <w:p>
      <w:pPr>
        <w:rPr>
          <w:b/>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94" w:name="_Toc523925711"/>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3(1)</w:t>
      </w:r>
    </w:p>
    <w:p>
      <w:pPr>
        <w:pStyle w:val="DefinedTerms"/>
      </w:pPr>
      <w:r>
        <w:t>Academic Council</w:t>
      </w:r>
      <w:r>
        <w:tab/>
        <w:t>3(1)</w:t>
      </w:r>
    </w:p>
    <w:p>
      <w:pPr>
        <w:pStyle w:val="DefinedTerms"/>
      </w:pPr>
      <w:r>
        <w:t>advance determination</w:t>
      </w:r>
      <w:r>
        <w:tab/>
        <w:t>32E</w:t>
      </w:r>
    </w:p>
    <w:p>
      <w:pPr>
        <w:pStyle w:val="DefinedTerms"/>
      </w:pPr>
      <w:r>
        <w:t>approval</w:t>
      </w:r>
      <w:r>
        <w:tab/>
        <w:t>32E</w:t>
      </w:r>
    </w:p>
    <w:p>
      <w:pPr>
        <w:pStyle w:val="DefinedTerms"/>
      </w:pPr>
      <w:r>
        <w:t>authorised person</w:t>
      </w:r>
      <w:r>
        <w:tab/>
        <w:t>24(1A)</w:t>
      </w:r>
    </w:p>
    <w:p>
      <w:pPr>
        <w:pStyle w:val="DefinedTerms"/>
      </w:pPr>
      <w:r>
        <w:t>casual vacancy</w:t>
      </w:r>
      <w:r>
        <w:tab/>
        <w:t>3(1)</w:t>
      </w:r>
    </w:p>
    <w:p>
      <w:pPr>
        <w:pStyle w:val="DefinedTerms"/>
      </w:pPr>
      <w:r>
        <w:t>Chancellor</w:t>
      </w:r>
      <w:r>
        <w:tab/>
        <w:t>3(1)</w:t>
      </w:r>
    </w:p>
    <w:p>
      <w:pPr>
        <w:pStyle w:val="DefinedTerms"/>
      </w:pPr>
      <w:r>
        <w:t>commencement day</w:t>
      </w:r>
      <w:r>
        <w:tab/>
        <w:t>35(1), 36, 39(1)</w:t>
      </w:r>
    </w:p>
    <w:p>
      <w:pPr>
        <w:pStyle w:val="DefinedTerms"/>
      </w:pPr>
      <w:r>
        <w:t>commercial arrangement</w:t>
      </w:r>
      <w:r>
        <w:tab/>
        <w:t>32E</w:t>
      </w:r>
    </w:p>
    <w:p>
      <w:pPr>
        <w:pStyle w:val="DefinedTerms"/>
      </w:pPr>
      <w:r>
        <w:t>commercial purpose</w:t>
      </w:r>
      <w:r>
        <w:tab/>
        <w:t>32E</w:t>
      </w:r>
    </w:p>
    <w:p>
      <w:pPr>
        <w:pStyle w:val="DefinedTerms"/>
      </w:pPr>
      <w:r>
        <w:t>contractor</w:t>
      </w:r>
      <w:r>
        <w:tab/>
        <w:t>24(1A)</w:t>
      </w:r>
    </w:p>
    <w:p>
      <w:pPr>
        <w:pStyle w:val="DefinedTerms"/>
      </w:pPr>
      <w:r>
        <w:t>debt paper</w:t>
      </w:r>
      <w:r>
        <w:tab/>
        <w:t>32A(1)</w:t>
      </w:r>
    </w:p>
    <w:p>
      <w:pPr>
        <w:pStyle w:val="DefinedTerms"/>
      </w:pPr>
      <w:r>
        <w:t>Department</w:t>
      </w:r>
      <w:r>
        <w:tab/>
        <w:t>32Q(1)</w:t>
      </w:r>
    </w:p>
    <w:p>
      <w:pPr>
        <w:pStyle w:val="DefinedTerms"/>
      </w:pPr>
      <w:r>
        <w:t>Deputy Chancellor</w:t>
      </w:r>
      <w:r>
        <w:tab/>
        <w:t>3(1)</w:t>
      </w:r>
    </w:p>
    <w:p>
      <w:pPr>
        <w:pStyle w:val="DefinedTerms"/>
      </w:pPr>
      <w:r>
        <w:t>examination</w:t>
      </w:r>
      <w:r>
        <w:tab/>
        <w:t>3(1)</w:t>
      </w:r>
    </w:p>
    <w:p>
      <w:pPr>
        <w:pStyle w:val="DefinedTerms"/>
      </w:pPr>
      <w:r>
        <w:t>former section 27</w:t>
      </w:r>
      <w:r>
        <w:tab/>
        <w:t>39(1)</w:t>
      </w:r>
    </w:p>
    <w:p>
      <w:pPr>
        <w:pStyle w:val="DefinedTerms"/>
      </w:pPr>
      <w:r>
        <w:t>Guild</w:t>
      </w:r>
      <w:r>
        <w:tab/>
        <w:t>3(1)</w:t>
      </w:r>
    </w:p>
    <w:p>
      <w:pPr>
        <w:pStyle w:val="DefinedTerms"/>
      </w:pPr>
      <w:r>
        <w:t>lease</w:t>
      </w:r>
      <w:r>
        <w:tab/>
        <w:t>32E</w:t>
      </w:r>
    </w:p>
    <w:p>
      <w:pPr>
        <w:pStyle w:val="DefinedTerms"/>
      </w:pPr>
      <w:r>
        <w:t>limited company</w:t>
      </w:r>
      <w:r>
        <w:tab/>
        <w:t>32E</w:t>
      </w:r>
    </w:p>
    <w:p>
      <w:pPr>
        <w:pStyle w:val="DefinedTerms"/>
      </w:pPr>
      <w:r>
        <w:t>participate</w:t>
      </w:r>
      <w:r>
        <w:tab/>
        <w:t>32E</w:t>
      </w:r>
    </w:p>
    <w:p>
      <w:pPr>
        <w:pStyle w:val="DefinedTerms"/>
      </w:pPr>
      <w:r>
        <w:t>participate in a commercial arrangement</w:t>
      </w:r>
      <w:r>
        <w:tab/>
        <w:t>32E</w:t>
      </w:r>
    </w:p>
    <w:p>
      <w:pPr>
        <w:pStyle w:val="DefinedTerms"/>
      </w:pPr>
      <w:r>
        <w:t>payment agreement</w:t>
      </w:r>
      <w:r>
        <w:tab/>
        <w:t>32E</w:t>
      </w:r>
    </w:p>
    <w:p>
      <w:pPr>
        <w:pStyle w:val="DefinedTerms"/>
      </w:pPr>
      <w:r>
        <w:t>prescribed</w:t>
      </w:r>
      <w:r>
        <w:tab/>
        <w:t>3(1)</w:t>
      </w:r>
    </w:p>
    <w:p>
      <w:pPr>
        <w:pStyle w:val="DefinedTerms"/>
      </w:pPr>
      <w:r>
        <w:t>regulation</w:t>
      </w:r>
      <w:r>
        <w:tab/>
        <w:t>3(1)</w:t>
      </w:r>
    </w:p>
    <w:p>
      <w:pPr>
        <w:pStyle w:val="DefinedTerms"/>
      </w:pPr>
      <w:r>
        <w:t>regulations</w:t>
      </w:r>
      <w:r>
        <w:tab/>
        <w:t>32P(1)</w:t>
      </w:r>
    </w:p>
    <w:p>
      <w:pPr>
        <w:pStyle w:val="DefinedTerms"/>
      </w:pPr>
      <w:r>
        <w:t>relevant lease</w:t>
      </w:r>
      <w:r>
        <w:tab/>
        <w:t>35(1)</w:t>
      </w:r>
    </w:p>
    <w:p>
      <w:pPr>
        <w:pStyle w:val="DefinedTerms"/>
      </w:pPr>
      <w:r>
        <w:t>residential accommodation</w:t>
      </w:r>
      <w:r>
        <w:tab/>
        <w:t>3(1)</w:t>
      </w:r>
    </w:p>
    <w:p>
      <w:pPr>
        <w:pStyle w:val="DefinedTerms"/>
      </w:pPr>
      <w:r>
        <w:t>Statute</w:t>
      </w:r>
      <w:r>
        <w:tab/>
        <w:t>3(1)</w:t>
      </w:r>
    </w:p>
    <w:p>
      <w:pPr>
        <w:pStyle w:val="DefinedTerms"/>
      </w:pPr>
      <w:r>
        <w:t>student</w:t>
      </w:r>
      <w:r>
        <w:tab/>
        <w:t>3(1)</w:t>
      </w:r>
    </w:p>
    <w:p>
      <w:pPr>
        <w:pStyle w:val="DefinedTerms"/>
      </w:pPr>
      <w:r>
        <w:t>Treasurer</w:t>
      </w:r>
      <w:r>
        <w:tab/>
        <w:t>3(1)</w:t>
      </w:r>
    </w:p>
    <w:p>
      <w:pPr>
        <w:pStyle w:val="DefinedTerms"/>
      </w:pPr>
      <w:r>
        <w:t>university development proposal</w:t>
      </w:r>
      <w:r>
        <w:tab/>
        <w:t>32E</w:t>
      </w:r>
    </w:p>
    <w:p>
      <w:pPr>
        <w:pStyle w:val="DefinedTerms"/>
      </w:pPr>
      <w:r>
        <w:t>University land</w:t>
      </w:r>
      <w:r>
        <w:tab/>
        <w:t>3(1)</w:t>
      </w:r>
    </w:p>
    <w:p>
      <w:pPr>
        <w:pStyle w:val="DefinedTerms"/>
      </w:pPr>
      <w:r>
        <w:t>university purposes</w:t>
      </w:r>
      <w:r>
        <w:tab/>
        <w:t>35(1)</w:t>
      </w:r>
    </w:p>
    <w:p>
      <w:pPr>
        <w:pStyle w:val="DefinedTerms"/>
      </w:pPr>
      <w:r>
        <w:t>University’s South Street campus</w:t>
      </w:r>
      <w:r>
        <w:tab/>
        <w:t>35(1)</w:t>
      </w:r>
    </w:p>
    <w:p>
      <w:pPr>
        <w:pStyle w:val="DefinedTerms"/>
      </w:pPr>
      <w:r>
        <w:t>Vice</w:t>
      </w:r>
      <w:r>
        <w:noBreakHyphen/>
        <w:t>Chancellor</w:t>
      </w:r>
      <w:r>
        <w:tab/>
        <w:t>3(1)</w:t>
      </w:r>
    </w:p>
    <w:p>
      <w:pPr>
        <w:pStyle w:val="DefinedTerms"/>
      </w:pPr>
      <w:r>
        <w:t>Visitor</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1448"/>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 w:name="WAFER_20170131111448" w:val="RemoveTocBookmarks,RemoveUnusedBookmarks,RemoveLanguageTags,UsedStyles,ResetPageSize"/>
    <w:docVar w:name="WAFER_20170131111448_GUID" w:val="3c1eaf49-016d-41c7-b419-26399f1bf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A8D84-9286-417C-9D97-6C29FAE2F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17094</Words>
  <Characters>82226</Characters>
  <Application>Microsoft Office Word</Application>
  <DocSecurity>0</DocSecurity>
  <Lines>2418</Lines>
  <Paragraphs>1398</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97922</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1973 - 03-c0-02</dc:title>
  <dc:subject/>
  <dc:creator/>
  <cp:keywords/>
  <dc:description/>
  <cp:lastModifiedBy>svcMRProcess</cp:lastModifiedBy>
  <cp:revision>4</cp:revision>
  <cp:lastPrinted>2010-06-28T06:45:00Z</cp:lastPrinted>
  <dcterms:created xsi:type="dcterms:W3CDTF">2018-09-05T07:44:00Z</dcterms:created>
  <dcterms:modified xsi:type="dcterms:W3CDTF">2018-09-05T07:44:00Z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AsAtDate">
    <vt:lpwstr>02 Jan 2017</vt:lpwstr>
  </property>
  <property fmtid="{D5CDD505-2E9C-101B-9397-08002B2CF9AE}" pid="8" name="Suffix">
    <vt:lpwstr>03-c0-02</vt:lpwstr>
  </property>
  <property fmtid="{D5CDD505-2E9C-101B-9397-08002B2CF9AE}" pid="9" name="CommencementDate">
    <vt:lpwstr>20170102</vt:lpwstr>
  </property>
</Properties>
</file>