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(NEPM-UPM)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(NEPM-UPM)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_Toc471991444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_Toc471991445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_Toc471991446 \h </w:instrText>
      </w:r>
      <w:r>
        <w:fldChar w:fldCharType="separate"/>
      </w:r>
      <w:r>
        <w:t>1</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_Toc471991447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Responsibilities of certain brand owners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5.</w:t>
      </w:r>
      <w:r>
        <w:tab/>
        <w:t>Application of this Part</w:t>
      </w:r>
      <w:r>
        <w:tab/>
      </w:r>
      <w:r>
        <w:fldChar w:fldCharType="begin"/>
      </w:r>
      <w:r>
        <w:instrText xml:space="preserve"> PAGEREF _Toc471991450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Action plans</w:t>
      </w:r>
    </w:p>
    <w:p>
      <w:pPr>
        <w:pStyle w:val="TOC8"/>
        <w:rPr>
          <w:rFonts w:asciiTheme="minorHAnsi" w:eastAsiaTheme="minorEastAsia" w:hAnsiTheme="minorHAnsi" w:cstheme="minorBidi"/>
          <w:szCs w:val="22"/>
        </w:rPr>
      </w:pPr>
      <w:r>
        <w:t>6.</w:t>
      </w:r>
      <w:r>
        <w:tab/>
        <w:t>Action plans</w:t>
      </w:r>
      <w:r>
        <w:tab/>
      </w:r>
      <w:r>
        <w:fldChar w:fldCharType="begin"/>
      </w:r>
      <w:r>
        <w:instrText xml:space="preserve"> PAGEREF _Toc471991452 \h </w:instrText>
      </w:r>
      <w:r>
        <w:fldChar w:fldCharType="separate"/>
      </w:r>
      <w:r>
        <w:t>5</w:t>
      </w:r>
      <w:r>
        <w:fldChar w:fldCharType="end"/>
      </w:r>
    </w:p>
    <w:p>
      <w:pPr>
        <w:pStyle w:val="TOC8"/>
        <w:rPr>
          <w:rFonts w:asciiTheme="minorHAnsi" w:eastAsiaTheme="minorEastAsia" w:hAnsiTheme="minorHAnsi" w:cstheme="minorBidi"/>
          <w:szCs w:val="22"/>
        </w:rPr>
      </w:pPr>
      <w:r>
        <w:t>7.</w:t>
      </w:r>
      <w:r>
        <w:tab/>
        <w:t>Approval of action plans</w:t>
      </w:r>
      <w:r>
        <w:tab/>
      </w:r>
      <w:r>
        <w:fldChar w:fldCharType="begin"/>
      </w:r>
      <w:r>
        <w:instrText xml:space="preserve"> PAGEREF _Toc471991453 \h </w:instrText>
      </w:r>
      <w:r>
        <w:fldChar w:fldCharType="separate"/>
      </w:r>
      <w:r>
        <w:t>7</w:t>
      </w:r>
      <w:r>
        <w:fldChar w:fldCharType="end"/>
      </w:r>
    </w:p>
    <w:p>
      <w:pPr>
        <w:pStyle w:val="TOC8"/>
        <w:rPr>
          <w:rFonts w:asciiTheme="minorHAnsi" w:eastAsiaTheme="minorEastAsia" w:hAnsiTheme="minorHAnsi" w:cstheme="minorBidi"/>
          <w:szCs w:val="22"/>
        </w:rPr>
      </w:pPr>
      <w:r>
        <w:t>8.</w:t>
      </w:r>
      <w:r>
        <w:tab/>
        <w:t>Review of action plans</w:t>
      </w:r>
      <w:r>
        <w:tab/>
      </w:r>
      <w:r>
        <w:fldChar w:fldCharType="begin"/>
      </w:r>
      <w:r>
        <w:instrText xml:space="preserve"> PAGEREF _Toc471991454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Targets</w:t>
      </w:r>
    </w:p>
    <w:p>
      <w:pPr>
        <w:pStyle w:val="TOC8"/>
        <w:rPr>
          <w:rFonts w:asciiTheme="minorHAnsi" w:eastAsiaTheme="minorEastAsia" w:hAnsiTheme="minorHAnsi" w:cstheme="minorBidi"/>
          <w:szCs w:val="22"/>
        </w:rPr>
      </w:pPr>
      <w:r>
        <w:t>9.</w:t>
      </w:r>
      <w:r>
        <w:tab/>
        <w:t>Targets</w:t>
      </w:r>
      <w:r>
        <w:tab/>
      </w:r>
      <w:r>
        <w:fldChar w:fldCharType="begin"/>
      </w:r>
      <w:r>
        <w:instrText xml:space="preserve"> PAGEREF _Toc471991456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Record keeping</w:t>
      </w:r>
    </w:p>
    <w:p>
      <w:pPr>
        <w:pStyle w:val="TOC8"/>
        <w:rPr>
          <w:rFonts w:asciiTheme="minorHAnsi" w:eastAsiaTheme="minorEastAsia" w:hAnsiTheme="minorHAnsi" w:cstheme="minorBidi"/>
          <w:szCs w:val="22"/>
        </w:rPr>
      </w:pPr>
      <w:r>
        <w:t>10.</w:t>
      </w:r>
      <w:r>
        <w:tab/>
        <w:t>Brand owner to keep information</w:t>
      </w:r>
      <w:r>
        <w:tab/>
      </w:r>
      <w:r>
        <w:fldChar w:fldCharType="begin"/>
      </w:r>
      <w:r>
        <w:instrText xml:space="preserve"> PAGEREF _Toc471991458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Compliance notice</w:t>
      </w:r>
    </w:p>
    <w:p>
      <w:pPr>
        <w:pStyle w:val="TOC8"/>
        <w:rPr>
          <w:rFonts w:asciiTheme="minorHAnsi" w:eastAsiaTheme="minorEastAsia" w:hAnsiTheme="minorHAnsi" w:cstheme="minorBidi"/>
          <w:szCs w:val="22"/>
        </w:rPr>
      </w:pPr>
      <w:r>
        <w:t>11.</w:t>
      </w:r>
      <w:r>
        <w:tab/>
        <w:t>Authorised person may give notice to comply</w:t>
      </w:r>
      <w:r>
        <w:tab/>
      </w:r>
      <w:r>
        <w:fldChar w:fldCharType="begin"/>
      </w:r>
      <w:r>
        <w:instrText xml:space="preserve"> PAGEREF _Toc471991460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Operators of materials recovery systems to give information to the CEO</w:t>
      </w:r>
    </w:p>
    <w:p>
      <w:pPr>
        <w:pStyle w:val="TOC8"/>
        <w:rPr>
          <w:rFonts w:asciiTheme="minorHAnsi" w:eastAsiaTheme="minorEastAsia" w:hAnsiTheme="minorHAnsi" w:cstheme="minorBidi"/>
          <w:szCs w:val="22"/>
        </w:rPr>
      </w:pPr>
      <w:r>
        <w:t>12.</w:t>
      </w:r>
      <w:r>
        <w:tab/>
        <w:t>Local governments</w:t>
      </w:r>
      <w:r>
        <w:tab/>
      </w:r>
      <w:r>
        <w:fldChar w:fldCharType="begin"/>
      </w:r>
      <w:r>
        <w:instrText xml:space="preserve"> PAGEREF _Toc471991462 \h </w:instrText>
      </w:r>
      <w:r>
        <w:fldChar w:fldCharType="separate"/>
      </w:r>
      <w:r>
        <w:t>11</w:t>
      </w:r>
      <w:r>
        <w:fldChar w:fldCharType="end"/>
      </w:r>
    </w:p>
    <w:p>
      <w:pPr>
        <w:pStyle w:val="TOC8"/>
        <w:rPr>
          <w:rFonts w:asciiTheme="minorHAnsi" w:eastAsiaTheme="minorEastAsia" w:hAnsiTheme="minorHAnsi" w:cstheme="minorBidi"/>
          <w:szCs w:val="22"/>
        </w:rPr>
      </w:pPr>
      <w:r>
        <w:t>13.</w:t>
      </w:r>
      <w:r>
        <w:tab/>
        <w:t>Other operators</w:t>
      </w:r>
      <w:r>
        <w:tab/>
      </w:r>
      <w:r>
        <w:fldChar w:fldCharType="begin"/>
      </w:r>
      <w:r>
        <w:instrText xml:space="preserve"> PAGEREF _Toc471991463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14.</w:t>
      </w:r>
      <w:r>
        <w:tab/>
        <w:t>Appeals</w:t>
      </w:r>
      <w:r>
        <w:tab/>
      </w:r>
      <w:r>
        <w:fldChar w:fldCharType="begin"/>
      </w:r>
      <w:r>
        <w:instrText xml:space="preserve"> PAGEREF _Toc471991465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review of measure</w:t>
      </w:r>
    </w:p>
    <w:p>
      <w:pPr>
        <w:pStyle w:val="TOC8"/>
        <w:rPr>
          <w:rFonts w:asciiTheme="minorHAnsi" w:eastAsiaTheme="minorEastAsia" w:hAnsiTheme="minorHAnsi" w:cstheme="minorBidi"/>
          <w:szCs w:val="22"/>
        </w:rPr>
      </w:pPr>
      <w:r>
        <w:t>15.</w:t>
      </w:r>
      <w:r>
        <w:tab/>
        <w:t>Revocation, variance or replacement of measure</w:t>
      </w:r>
      <w:r>
        <w:tab/>
      </w:r>
      <w:r>
        <w:fldChar w:fldCharType="begin"/>
      </w:r>
      <w:r>
        <w:instrText xml:space="preserve"> PAGEREF _Toc471991467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_Toc471991469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_Toc471991470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pPr>
      <w:r>
        <w:t>Environmental Protection (NEPM</w:t>
      </w:r>
      <w:r>
        <w:noBreakHyphen/>
        <w:t>UPM) Regulations 2013</w:t>
      </w:r>
    </w:p>
    <w:p>
      <w:pPr>
        <w:pStyle w:val="Heading2"/>
        <w:pageBreakBefore w:val="0"/>
        <w:spacing w:before="240"/>
      </w:pPr>
      <w:bookmarkStart w:id="3" w:name="_Toc47199144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91444"/>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Environmental Protection (NEPM</w:t>
      </w:r>
      <w:r>
        <w:rPr>
          <w:i/>
        </w:rPr>
        <w:noBreakHyphen/>
        <w:t>UPM) Regulations 2013</w:t>
      </w:r>
      <w:r>
        <w:t>.</w:t>
      </w:r>
    </w:p>
    <w:p>
      <w:pPr>
        <w:pStyle w:val="Heading5"/>
        <w:rPr>
          <w:spacing w:val="-2"/>
        </w:rPr>
      </w:pPr>
      <w:bookmarkStart w:id="6" w:name="_Toc47199144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471991446"/>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brand owner</w:t>
      </w:r>
      <w:r>
        <w:t xml:space="preserve"> means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tab/>
      </w:r>
      <w:r>
        <w:rPr>
          <w:rStyle w:val="CharDefText"/>
        </w:rPr>
        <w:t>consumer packaging</w:t>
      </w:r>
      <w:r>
        <w:t xml:space="preserve"> means all packaging products, including distribution packaging, made of any material, or combination of materials, for the containment, protection, marketing or handling of consumer products;</w:t>
      </w:r>
    </w:p>
    <w:p>
      <w:pPr>
        <w:pStyle w:val="Defstart"/>
      </w:pPr>
      <w:r>
        <w:tab/>
      </w:r>
      <w:r>
        <w:rPr>
          <w:rStyle w:val="CharDefText"/>
        </w:rPr>
        <w:t>Covenant</w:t>
      </w:r>
      <w:r>
        <w:t xml:space="preserve"> means the Australian Packaging Covenant of July 2010;</w:t>
      </w:r>
    </w:p>
    <w:p>
      <w:pPr>
        <w:pStyle w:val="Defstart"/>
      </w:pPr>
      <w: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tab/>
      </w:r>
      <w:r>
        <w:rPr>
          <w:rStyle w:val="CharDefText"/>
        </w:rPr>
        <w:t>landfill</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required to be licensed under the Act Part V, whether or not that licence is in force; or</w:t>
      </w:r>
    </w:p>
    <w:p>
      <w:pPr>
        <w:pStyle w:val="Defpara"/>
      </w:pPr>
      <w:r>
        <w:tab/>
        <w:t>(c)</w:t>
      </w:r>
      <w:r>
        <w:tab/>
        <w:t xml:space="preserve">premises to which the </w:t>
      </w:r>
      <w:r>
        <w:rPr>
          <w:i/>
        </w:rPr>
        <w:t>Environmental Protection (Rural Landfill) Regulations 2002</w:t>
      </w:r>
      <w:r>
        <w:t xml:space="preserve"> apply;</w:t>
      </w:r>
    </w:p>
    <w:p>
      <w:pPr>
        <w:pStyle w:val="Defstart"/>
      </w:pPr>
      <w: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tab/>
      </w:r>
      <w:r>
        <w:rPr>
          <w:rStyle w:val="CharDefText"/>
        </w:rPr>
        <w:t>plastic bag</w:t>
      </w:r>
      <w:r>
        <w:t xml:space="preserve"> includes a single use lightweight plastic carry bag made from virgin or recycled plastic;</w:t>
      </w:r>
    </w:p>
    <w:p>
      <w:pPr>
        <w:pStyle w:val="Defstart"/>
      </w:pPr>
      <w: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tab/>
      </w:r>
      <w:r>
        <w:rPr>
          <w:rStyle w:val="CharDefText"/>
        </w:rPr>
        <w:t>recovery rate</w:t>
      </w:r>
      <w:r>
        <w:rPr>
          <w:bCs/>
        </w:rPr>
        <w:t>, in relation to</w:t>
      </w:r>
      <w:r>
        <w:t xml:space="preserve"> a type of consumer packaging listed in column 1 of the Tables to regulation 9(1) and (2), means the rate determined using the equation — </w:t>
      </w:r>
    </w:p>
    <w:p>
      <w:pPr>
        <w:pStyle w:val="Defstart"/>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WR</m:t>
              </m:r>
            </m:num>
            <m:den>
              <m:r>
                <w:rPr>
                  <w:rFonts w:ascii="Cambria Math" w:hAnsi="Cambria Math"/>
                </w:rPr>
                <m:t>WS</m:t>
              </m:r>
            </m:den>
          </m:f>
          <m:r>
            <w:rPr>
              <w:rFonts w:ascii="Cambria Math" w:hAnsi="Cambria Math"/>
            </w:rPr>
            <m:t>×100%</m:t>
          </m:r>
        </m:oMath>
      </m:oMathPara>
    </w:p>
    <w:p>
      <w:pPr>
        <w:pStyle w:val="Defstart"/>
      </w:pPr>
      <w:r>
        <w:tab/>
        <w:t xml:space="preserve">where — </w:t>
      </w:r>
    </w:p>
    <w:p>
      <w:pPr>
        <w:pStyle w:val="Defpara"/>
      </w:pPr>
      <w:r>
        <w:tab/>
      </w:r>
      <w:r>
        <w:rPr>
          <w:rStyle w:val="CharDefText"/>
        </w:rPr>
        <w:t>R</w:t>
      </w:r>
      <w:r>
        <w:tab/>
        <w:t>is the recovery rate;</w:t>
      </w:r>
    </w:p>
    <w:p>
      <w:pPr>
        <w:pStyle w:val="Defpara"/>
      </w:pPr>
      <w:r>
        <w:tab/>
      </w:r>
      <w:r>
        <w:rPr>
          <w:rStyle w:val="CharDefText"/>
        </w:rPr>
        <w:t>WR</w:t>
      </w:r>
      <w:r>
        <w:tab/>
        <w:t>is the weight of the consumer packaging recovered from the post</w:t>
      </w:r>
      <w:r>
        <w:noBreakHyphen/>
        <w:t>consumer waste stream;</w:t>
      </w:r>
    </w:p>
    <w:p>
      <w:pPr>
        <w:pStyle w:val="Defpara"/>
      </w:pPr>
      <w:r>
        <w:tab/>
      </w:r>
      <w:r>
        <w:rPr>
          <w:rStyle w:val="CharDefText"/>
        </w:rPr>
        <w:t>WS</w:t>
      </w:r>
      <w:r>
        <w:tab/>
        <w:t xml:space="preserve">is the weight of the consumer packaging sold as packaging within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recyclable material</w:t>
      </w:r>
      <w:r>
        <w:t xml:space="preserve"> means material reasonably able to be recovered, reprocessed and used as raw material for the manufacture of a new product;</w:t>
      </w:r>
    </w:p>
    <w:p>
      <w:pPr>
        <w:pStyle w:val="Defstart"/>
      </w:pPr>
      <w:r>
        <w:tab/>
      </w:r>
      <w:r>
        <w:rPr>
          <w:rStyle w:val="CharDefText"/>
        </w:rPr>
        <w:t>recycle</w:t>
      </w:r>
      <w:r>
        <w:t xml:space="preserve"> means recover a thing and use it as a raw material to produce another thing;</w:t>
      </w:r>
    </w:p>
    <w:p>
      <w:pPr>
        <w:pStyle w:val="Defstart"/>
      </w:pPr>
      <w: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8" w:name="_Toc471991447"/>
      <w:r>
        <w:rPr>
          <w:rStyle w:val="CharSectno"/>
        </w:rPr>
        <w:t>4</w:t>
      </w:r>
      <w:r>
        <w:t>.</w:t>
      </w:r>
      <w:r>
        <w:tab/>
        <w:t>Purpose</w:t>
      </w:r>
      <w:bookmarkEnd w:id="8"/>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 2011</w:t>
      </w:r>
      <w:r>
        <w:t>.</w:t>
      </w:r>
    </w:p>
    <w:p>
      <w:pPr>
        <w:pStyle w:val="Heading2"/>
        <w:rPr>
          <w:rStyle w:val="CharPartText"/>
        </w:rPr>
      </w:pPr>
      <w:bookmarkStart w:id="9" w:name="_Toc471991448"/>
      <w:r>
        <w:rPr>
          <w:rStyle w:val="CharPartNo"/>
        </w:rPr>
        <w:t>Part 2</w:t>
      </w:r>
      <w:r>
        <w:t> — </w:t>
      </w:r>
      <w:r>
        <w:rPr>
          <w:rStyle w:val="CharPartText"/>
        </w:rPr>
        <w:t>Responsibilities of certain brand owners</w:t>
      </w:r>
      <w:bookmarkEnd w:id="9"/>
    </w:p>
    <w:p>
      <w:pPr>
        <w:pStyle w:val="Heading3"/>
        <w:rPr>
          <w:rStyle w:val="CharDivText"/>
        </w:rPr>
      </w:pPr>
      <w:bookmarkStart w:id="10" w:name="_Toc471991449"/>
      <w:r>
        <w:rPr>
          <w:rStyle w:val="CharDivNo"/>
        </w:rPr>
        <w:t>Division 1</w:t>
      </w:r>
      <w:r>
        <w:t> — </w:t>
      </w:r>
      <w:r>
        <w:rPr>
          <w:rStyle w:val="CharDivText"/>
        </w:rPr>
        <w:t>Application</w:t>
      </w:r>
      <w:bookmarkEnd w:id="10"/>
    </w:p>
    <w:p>
      <w:pPr>
        <w:pStyle w:val="Heading5"/>
      </w:pPr>
      <w:bookmarkStart w:id="11" w:name="_Toc471991450"/>
      <w:r>
        <w:rPr>
          <w:rStyle w:val="CharSectno"/>
        </w:rPr>
        <w:t>5</w:t>
      </w:r>
      <w:r>
        <w:t>.</w:t>
      </w:r>
      <w:r>
        <w:tab/>
        <w:t>Application of this Part</w:t>
      </w:r>
      <w:bookmarkEnd w:id="11"/>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rPr>
          <w:rStyle w:val="CharDivText"/>
        </w:rPr>
      </w:pPr>
      <w:bookmarkStart w:id="12" w:name="_Toc471991451"/>
      <w:r>
        <w:rPr>
          <w:rStyle w:val="CharDivNo"/>
        </w:rPr>
        <w:t>Division 2</w:t>
      </w:r>
      <w:r>
        <w:t> — </w:t>
      </w:r>
      <w:r>
        <w:rPr>
          <w:rStyle w:val="CharDivText"/>
        </w:rPr>
        <w:t>Action plans</w:t>
      </w:r>
      <w:bookmarkEnd w:id="12"/>
    </w:p>
    <w:p>
      <w:pPr>
        <w:pStyle w:val="Heading5"/>
      </w:pPr>
      <w:bookmarkStart w:id="13" w:name="_Toc471991452"/>
      <w:r>
        <w:rPr>
          <w:rStyle w:val="CharSectno"/>
        </w:rPr>
        <w:t>6</w:t>
      </w:r>
      <w:r>
        <w:t>.</w:t>
      </w:r>
      <w:r>
        <w:tab/>
        <w:t>Action plans</w:t>
      </w:r>
      <w:bookmarkEnd w:id="13"/>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8(2)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 xml:space="preserve">The action plan must contain the following information — </w:t>
      </w:r>
    </w:p>
    <w:p>
      <w:pPr>
        <w:pStyle w:val="Indenta"/>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9.</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w:t>
      </w:r>
    </w:p>
    <w:p>
      <w:pPr>
        <w:pStyle w:val="Indenti"/>
      </w:pPr>
      <w:r>
        <w:tab/>
        <w:t>(ii)</w:t>
      </w:r>
      <w:r>
        <w:tab/>
        <w:t>for use within the State as a secondary resource;</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14" w:name="_Toc471991453"/>
      <w:r>
        <w:rPr>
          <w:rStyle w:val="CharSectno"/>
        </w:rPr>
        <w:t>7</w:t>
      </w:r>
      <w:r>
        <w:t>.</w:t>
      </w:r>
      <w:r>
        <w:tab/>
        <w:t>Approval of action plans</w:t>
      </w:r>
      <w:bookmarkEnd w:id="14"/>
    </w:p>
    <w:p>
      <w:pPr>
        <w:pStyle w:val="Subsection"/>
      </w:pPr>
      <w:r>
        <w:tab/>
        <w:t>(1)</w:t>
      </w:r>
      <w:r>
        <w:tab/>
        <w:t xml:space="preserve">If a person submits an action plan to the CEO under regulation 6(1),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15" w:name="_Toc471991454"/>
      <w:r>
        <w:rPr>
          <w:rStyle w:val="CharSectno"/>
        </w:rPr>
        <w:t>8</w:t>
      </w:r>
      <w:r>
        <w:t>.</w:t>
      </w:r>
      <w:r>
        <w:tab/>
        <w:t>Review of action plans</w:t>
      </w:r>
      <w:bookmarkEnd w:id="15"/>
    </w:p>
    <w:p>
      <w:pPr>
        <w:pStyle w:val="Subsection"/>
      </w:pPr>
      <w:r>
        <w:tab/>
        <w:t>(1)</w:t>
      </w:r>
      <w:r>
        <w:tab/>
        <w:t>The CEO may review an action plan approved under regulation 7(1)(b)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rPr>
          <w:rStyle w:val="CharDivText"/>
        </w:rPr>
      </w:pPr>
      <w:bookmarkStart w:id="16" w:name="_Toc471991455"/>
      <w:r>
        <w:rPr>
          <w:rStyle w:val="CharDivNo"/>
        </w:rPr>
        <w:t>Division 3</w:t>
      </w:r>
      <w:r>
        <w:t> — </w:t>
      </w:r>
      <w:r>
        <w:rPr>
          <w:rStyle w:val="CharDivText"/>
        </w:rPr>
        <w:t>Targets</w:t>
      </w:r>
      <w:bookmarkEnd w:id="16"/>
    </w:p>
    <w:p>
      <w:pPr>
        <w:pStyle w:val="Heading5"/>
      </w:pPr>
      <w:bookmarkStart w:id="17" w:name="_Toc471991456"/>
      <w:r>
        <w:rPr>
          <w:rStyle w:val="CharSectno"/>
        </w:rPr>
        <w:t>9</w:t>
      </w:r>
      <w:r>
        <w:t>.</w:t>
      </w:r>
      <w:r>
        <w:tab/>
        <w:t>Targets</w:t>
      </w:r>
      <w:bookmarkEnd w:id="17"/>
    </w:p>
    <w:p>
      <w:pPr>
        <w:pStyle w:val="Subsection"/>
      </w:pPr>
      <w:r>
        <w:tab/>
        <w:t>(1)</w:t>
      </w:r>
      <w:r>
        <w:tab/>
        <w:t>Subject to subregulation (2), a brand owner to which this Part applies must ensure that in each financial year the recovery rate for the type of its consumer packaging listed in column 1 of the Table is not less than that listed in column 2 of that Table opposite the type of consumer packaging.</w:t>
      </w:r>
    </w:p>
    <w:p>
      <w:pPr>
        <w:pStyle w:val="Penstart"/>
      </w:pPr>
      <w:r>
        <w:tab/>
        <w:t>Penalty: a fine of $5 000.</w:t>
      </w:r>
    </w:p>
    <w:p>
      <w:pPr>
        <w:pStyle w:val="THeading"/>
      </w:pPr>
      <w: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NAm"/>
              <w:jc w:val="center"/>
              <w:rPr>
                <w:b/>
              </w:rPr>
            </w:pPr>
            <w:r>
              <w:rPr>
                <w:b/>
              </w:rPr>
              <w:t>Consumer packaging</w:t>
            </w:r>
          </w:p>
        </w:tc>
        <w:tc>
          <w:tcPr>
            <w:tcW w:w="3403" w:type="dxa"/>
            <w:tcBorders>
              <w:top w:val="single" w:sz="4" w:space="0" w:color="auto"/>
              <w:bottom w:val="single" w:sz="4" w:space="0" w:color="auto"/>
            </w:tcBorders>
          </w:tcPr>
          <w:p>
            <w:pPr>
              <w:pStyle w:val="TableNAm"/>
              <w:jc w:val="center"/>
              <w:rPr>
                <w:b/>
              </w:rPr>
            </w:pPr>
            <w:r>
              <w:rPr>
                <w:b/>
              </w:rPr>
              <w:t>Recovery rate</w:t>
            </w:r>
          </w:p>
        </w:tc>
      </w:tr>
      <w:tr>
        <w:tc>
          <w:tcPr>
            <w:tcW w:w="2692" w:type="dxa"/>
          </w:tcPr>
          <w:p>
            <w:pPr>
              <w:pStyle w:val="TableNAm"/>
            </w:pPr>
            <w:r>
              <w:t>Aluminium</w:t>
            </w:r>
          </w:p>
        </w:tc>
        <w:tc>
          <w:tcPr>
            <w:tcW w:w="3403" w:type="dxa"/>
          </w:tcPr>
          <w:p>
            <w:pPr>
              <w:pStyle w:val="TableNAm"/>
              <w:jc w:val="center"/>
            </w:pPr>
            <w:r>
              <w:t>75%</w:t>
            </w:r>
          </w:p>
        </w:tc>
      </w:tr>
      <w:tr>
        <w:tc>
          <w:tcPr>
            <w:tcW w:w="2692" w:type="dxa"/>
          </w:tcPr>
          <w:p>
            <w:pPr>
              <w:pStyle w:val="TableNAm"/>
            </w:pPr>
            <w:r>
              <w:t>Glass</w:t>
            </w:r>
          </w:p>
        </w:tc>
        <w:tc>
          <w:tcPr>
            <w:tcW w:w="3403" w:type="dxa"/>
          </w:tcPr>
          <w:p>
            <w:pPr>
              <w:pStyle w:val="TableNAm"/>
              <w:jc w:val="center"/>
            </w:pPr>
            <w:r>
              <w:t>60%</w:t>
            </w:r>
          </w:p>
        </w:tc>
      </w:tr>
      <w:tr>
        <w:tc>
          <w:tcPr>
            <w:tcW w:w="2692" w:type="dxa"/>
          </w:tcPr>
          <w:p>
            <w:pPr>
              <w:pStyle w:val="TableNAm"/>
            </w:pPr>
            <w:r>
              <w:t>Paper and cardboard</w:t>
            </w:r>
          </w:p>
        </w:tc>
        <w:tc>
          <w:tcPr>
            <w:tcW w:w="3403" w:type="dxa"/>
          </w:tcPr>
          <w:p>
            <w:pPr>
              <w:pStyle w:val="TableNAm"/>
              <w:jc w:val="center"/>
            </w:pPr>
            <w:r>
              <w:t>80%</w:t>
            </w:r>
          </w:p>
        </w:tc>
      </w:tr>
      <w:tr>
        <w:tc>
          <w:tcPr>
            <w:tcW w:w="2692" w:type="dxa"/>
          </w:tcPr>
          <w:p>
            <w:pPr>
              <w:pStyle w:val="TableNAm"/>
            </w:pPr>
            <w:r>
              <w:t>Plastics: high</w:t>
            </w:r>
            <w:r>
              <w:noBreakHyphen/>
              <w:t>density polyethylene (HDPE)</w:t>
            </w:r>
          </w:p>
        </w:tc>
        <w:tc>
          <w:tcPr>
            <w:tcW w:w="3403" w:type="dxa"/>
          </w:tcPr>
          <w:p>
            <w:pPr>
              <w:pStyle w:val="TableNAm"/>
              <w:jc w:val="center"/>
            </w:pPr>
            <w:r>
              <w:br/>
              <w:t>60%</w:t>
            </w:r>
          </w:p>
        </w:tc>
      </w:tr>
      <w:tr>
        <w:tc>
          <w:tcPr>
            <w:tcW w:w="2692" w:type="dxa"/>
          </w:tcPr>
          <w:p>
            <w:pPr>
              <w:pStyle w:val="TableNAm"/>
            </w:pPr>
            <w:r>
              <w:t>Plastics: polyethylene terephthalate (PET)</w:t>
            </w:r>
          </w:p>
        </w:tc>
        <w:tc>
          <w:tcPr>
            <w:tcW w:w="3403" w:type="dxa"/>
          </w:tcPr>
          <w:p>
            <w:pPr>
              <w:pStyle w:val="TableNAm"/>
              <w:jc w:val="center"/>
            </w:pPr>
            <w:r>
              <w:br/>
              <w:t>60%</w:t>
            </w:r>
          </w:p>
        </w:tc>
      </w:tr>
      <w:tr>
        <w:tc>
          <w:tcPr>
            <w:tcW w:w="2692" w:type="dxa"/>
          </w:tcPr>
          <w:p>
            <w:pPr>
              <w:pStyle w:val="TableNAm"/>
            </w:pPr>
            <w:r>
              <w:t>Plastics other than high</w:t>
            </w:r>
            <w:r>
              <w:noBreakHyphen/>
              <w:t>density polyethylene (HDPE) and polyethylene terephthalate (PET)</w:t>
            </w:r>
          </w:p>
        </w:tc>
        <w:tc>
          <w:tcPr>
            <w:tcW w:w="3403" w:type="dxa"/>
          </w:tcPr>
          <w:p>
            <w:pPr>
              <w:pStyle w:val="TableNAm"/>
              <w:jc w:val="center"/>
            </w:pPr>
            <w:r>
              <w:br/>
            </w:r>
            <w:r>
              <w:br/>
            </w:r>
            <w:r>
              <w:br/>
            </w:r>
            <w:r>
              <w:br/>
              <w:t>35%</w:t>
            </w:r>
          </w:p>
        </w:tc>
      </w:tr>
      <w:tr>
        <w:tc>
          <w:tcPr>
            <w:tcW w:w="2692" w:type="dxa"/>
            <w:tcBorders>
              <w:bottom w:val="single" w:sz="4" w:space="0" w:color="auto"/>
            </w:tcBorders>
          </w:tcPr>
          <w:p>
            <w:pPr>
              <w:pStyle w:val="TableNAm"/>
            </w:pPr>
            <w:r>
              <w:t>Steel</w:t>
            </w:r>
          </w:p>
        </w:tc>
        <w:tc>
          <w:tcPr>
            <w:tcW w:w="3403" w:type="dxa"/>
            <w:tcBorders>
              <w:bottom w:val="single" w:sz="4" w:space="0" w:color="auto"/>
            </w:tcBorders>
          </w:tcPr>
          <w:p>
            <w:pPr>
              <w:pStyle w:val="TableNAm"/>
              <w:jc w:val="center"/>
            </w:pPr>
            <w:r>
              <w:t>65%</w:t>
            </w:r>
          </w:p>
        </w:tc>
      </w:tr>
    </w:tbl>
    <w:p>
      <w:pPr>
        <w:pStyle w:val="Subsection"/>
      </w:pPr>
      <w:r>
        <w:tab/>
        <w:t>(2)</w:t>
      </w:r>
      <w:r>
        <w:tab/>
        <w:t>A brand owner to which this Part applies must ensure that, by the start of the 2015 financial year, the recovery rate for all of its consumer packaging is not less than 70%.</w:t>
      </w:r>
    </w:p>
    <w:p>
      <w:pPr>
        <w:pStyle w:val="Penstart"/>
      </w:pPr>
      <w:r>
        <w:tab/>
        <w:t>Penalty: a fine of $5 000.</w:t>
      </w:r>
    </w:p>
    <w:p>
      <w:pPr>
        <w:pStyle w:val="Heading3"/>
        <w:rPr>
          <w:rStyle w:val="CharDivText"/>
        </w:rPr>
      </w:pPr>
      <w:bookmarkStart w:id="18" w:name="_Toc471991457"/>
      <w:r>
        <w:rPr>
          <w:rStyle w:val="CharDivNo"/>
        </w:rPr>
        <w:t>Division 4</w:t>
      </w:r>
      <w:r>
        <w:t> — </w:t>
      </w:r>
      <w:r>
        <w:rPr>
          <w:rStyle w:val="CharDivText"/>
        </w:rPr>
        <w:t>Record keeping</w:t>
      </w:r>
      <w:bookmarkEnd w:id="18"/>
    </w:p>
    <w:p>
      <w:pPr>
        <w:pStyle w:val="Heading5"/>
      </w:pPr>
      <w:bookmarkStart w:id="19" w:name="_Toc471991458"/>
      <w:r>
        <w:rPr>
          <w:rStyle w:val="CharSectno"/>
        </w:rPr>
        <w:t>10</w:t>
      </w:r>
      <w:r>
        <w:t>.</w:t>
      </w:r>
      <w:r>
        <w:tab/>
        <w:t>Brand owner to keep information</w:t>
      </w:r>
      <w:bookmarkEnd w:id="19"/>
    </w:p>
    <w:p>
      <w:pPr>
        <w:pStyle w:val="Subsection"/>
      </w:pPr>
      <w:r>
        <w:tab/>
        <w:t>(1)</w:t>
      </w:r>
      <w:r>
        <w:tab/>
        <w:t xml:space="preserve">In this regulation — </w:t>
      </w:r>
    </w:p>
    <w:p>
      <w:pPr>
        <w:pStyle w:val="Defstart"/>
      </w:pPr>
      <w:r>
        <w:tab/>
      </w:r>
      <w:r>
        <w:rPr>
          <w:rStyle w:val="CharDefText"/>
        </w:rPr>
        <w:t>consumer packaging material</w:t>
      </w:r>
      <w:r>
        <w:t xml:space="preserve"> means the principal components of the container and does not include incidental components, such as labels or closures.</w:t>
      </w:r>
    </w:p>
    <w:p>
      <w:pPr>
        <w:pStyle w:val="Subsection"/>
      </w:pPr>
      <w:r>
        <w:tab/>
        <w:t>(2)</w:t>
      </w:r>
      <w:r>
        <w:tab/>
        <w:t xml:space="preserve">A brand owner to which this Part applies must, for each financial year, keep for at least 5 years the following information for consumer packaging material used by the brand owner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(3)</w:t>
      </w:r>
      <w:r>
        <w:tab/>
        <w:t>A brand owner to which this Part applies must, if requested in writing by the CEO, give the information mentioned in subregulation (2) to the CEO within 28 days after the day the CEO requests it.</w:t>
      </w:r>
    </w:p>
    <w:p>
      <w:pPr>
        <w:pStyle w:val="Penstart"/>
      </w:pPr>
      <w:r>
        <w:tab/>
        <w:t>Penalty: a fine of $5 000.</w:t>
      </w:r>
    </w:p>
    <w:p>
      <w:pPr>
        <w:pStyle w:val="Heading3"/>
        <w:rPr>
          <w:rStyle w:val="CharDivText"/>
        </w:rPr>
      </w:pPr>
      <w:bookmarkStart w:id="20" w:name="_Toc471991459"/>
      <w:r>
        <w:rPr>
          <w:rStyle w:val="CharDivNo"/>
        </w:rPr>
        <w:t>Division 5</w:t>
      </w:r>
      <w:r>
        <w:t> — </w:t>
      </w:r>
      <w:r>
        <w:rPr>
          <w:rStyle w:val="CharDivText"/>
        </w:rPr>
        <w:t>Compliance notice</w:t>
      </w:r>
      <w:bookmarkEnd w:id="20"/>
    </w:p>
    <w:p>
      <w:pPr>
        <w:pStyle w:val="Heading5"/>
      </w:pPr>
      <w:bookmarkStart w:id="21" w:name="_Toc471991460"/>
      <w:r>
        <w:rPr>
          <w:rStyle w:val="CharSectno"/>
        </w:rPr>
        <w:t>11</w:t>
      </w:r>
      <w:r>
        <w:t>.</w:t>
      </w:r>
      <w:r>
        <w:tab/>
        <w:t>Authorised person may give notice to comply</w:t>
      </w:r>
      <w:bookmarkEnd w:id="21"/>
    </w:p>
    <w:p>
      <w:pPr>
        <w:pStyle w:val="Subsection"/>
      </w:pPr>
      <w:r>
        <w:tab/>
        <w:t>(1)</w:t>
      </w:r>
      <w:r>
        <w:tab/>
        <w:t>If an authorised person believes on reasonable grounds that a brand owner has contravened regulation 6 or 10,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6 or 10 unless the brand owner — </w:t>
      </w:r>
    </w:p>
    <w:p>
      <w:pPr>
        <w:pStyle w:val="Indenta"/>
        <w:keepNext/>
      </w:pPr>
      <w:r>
        <w:tab/>
        <w:t>(a)</w:t>
      </w:r>
      <w:r>
        <w:tab/>
        <w:t>is given a notice under subregulation (1); and</w:t>
      </w:r>
    </w:p>
    <w:p>
      <w:pPr>
        <w:pStyle w:val="Indenta"/>
        <w:keepNext/>
      </w:pPr>
      <w:r>
        <w:tab/>
        <w:t>(b)</w:t>
      </w:r>
      <w:r>
        <w:tab/>
        <w:t>does not comply with the notice.</w:t>
      </w:r>
    </w:p>
    <w:p>
      <w:pPr>
        <w:pStyle w:val="Heading2"/>
        <w:rPr>
          <w:rStyle w:val="CharPartText"/>
        </w:rPr>
      </w:pPr>
      <w:bookmarkStart w:id="22" w:name="_Toc471991461"/>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22"/>
    </w:p>
    <w:p>
      <w:pPr>
        <w:pStyle w:val="Heading5"/>
      </w:pPr>
      <w:bookmarkStart w:id="23" w:name="_Toc471991462"/>
      <w:r>
        <w:rPr>
          <w:rStyle w:val="CharSectno"/>
        </w:rPr>
        <w:t>12</w:t>
      </w:r>
      <w:r>
        <w:t>.</w:t>
      </w:r>
      <w:r>
        <w:tab/>
        <w:t>Local governments</w:t>
      </w:r>
      <w:bookmarkEnd w:id="23"/>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24" w:name="_Toc471991463"/>
      <w:r>
        <w:rPr>
          <w:rStyle w:val="CharSectno"/>
        </w:rPr>
        <w:t>13</w:t>
      </w:r>
      <w:r>
        <w:t>.</w:t>
      </w:r>
      <w:r>
        <w:tab/>
        <w:t>Other operators</w:t>
      </w:r>
      <w:bookmarkEnd w:id="24"/>
    </w:p>
    <w:p>
      <w:pPr>
        <w:pStyle w:val="Subsection"/>
      </w:pPr>
      <w:r>
        <w:tab/>
        <w:t>(1)</w:t>
      </w:r>
      <w:r>
        <w:tab/>
        <w:t>This regulation applies where a local government or group of local governments has a new or novated contract with a person to operate a materials recovery system.</w:t>
      </w:r>
    </w:p>
    <w:p>
      <w:pPr>
        <w:pStyle w:val="Subsection"/>
      </w:pPr>
      <w:r>
        <w:tab/>
        <w:t>(2)</w:t>
      </w:r>
      <w:r>
        <w:tab/>
        <w:t>This regulation does not apply if a person under a contract described in subregulation (1) has provided the information referred to in regulation 12(2)(a) to (2)(f) to a local government or group of local governments under a contractual requirement.</w:t>
      </w:r>
    </w:p>
    <w:p>
      <w:pPr>
        <w:pStyle w:val="Subsection"/>
      </w:pPr>
      <w:r>
        <w:tab/>
        <w:t>(3)</w:t>
      </w:r>
      <w:r>
        <w:tab/>
        <w:t>Subject to subregulation (2), a person under a contract described in subregulation (1) must, within 2 months after the end of each financial year in which the system operates, give the CEO the information referred to in regulation 12(2)(a) to (2)(f).</w:t>
      </w:r>
    </w:p>
    <w:p>
      <w:pPr>
        <w:pStyle w:val="Penstart"/>
      </w:pPr>
      <w:r>
        <w:tab/>
        <w:t>Penalty: a fine of $5 000.</w:t>
      </w:r>
    </w:p>
    <w:p>
      <w:pPr>
        <w:pStyle w:val="Heading2"/>
        <w:rPr>
          <w:rStyle w:val="CharPartText"/>
        </w:rPr>
      </w:pPr>
      <w:bookmarkStart w:id="25" w:name="_Toc471991464"/>
      <w:r>
        <w:rPr>
          <w:rStyle w:val="CharPartNo"/>
        </w:rPr>
        <w:t>Part 4</w:t>
      </w:r>
      <w:r>
        <w:rPr>
          <w:rStyle w:val="CharDivNo"/>
        </w:rPr>
        <w:t> </w:t>
      </w:r>
      <w:r>
        <w:t>—</w:t>
      </w:r>
      <w:r>
        <w:rPr>
          <w:rStyle w:val="CharDivText"/>
        </w:rPr>
        <w:t> </w:t>
      </w:r>
      <w:r>
        <w:rPr>
          <w:rStyle w:val="CharPartText"/>
        </w:rPr>
        <w:t>Appeals</w:t>
      </w:r>
      <w:bookmarkEnd w:id="25"/>
    </w:p>
    <w:p>
      <w:pPr>
        <w:pStyle w:val="Heading5"/>
      </w:pPr>
      <w:bookmarkStart w:id="26" w:name="_Toc471991465"/>
      <w:r>
        <w:rPr>
          <w:rStyle w:val="CharSectno"/>
        </w:rPr>
        <w:t>14</w:t>
      </w:r>
      <w:r>
        <w:t>.</w:t>
      </w:r>
      <w:r>
        <w:tab/>
        <w:t>Appeals</w:t>
      </w:r>
      <w:bookmarkEnd w:id="26"/>
    </w:p>
    <w:p>
      <w:pPr>
        <w:pStyle w:val="Subsection"/>
      </w:pPr>
      <w:r>
        <w:tab/>
        <w:t>(1)</w:t>
      </w:r>
      <w:r>
        <w:tab/>
        <w:t xml:space="preserve">A brand owner aggrieved by — </w:t>
      </w:r>
    </w:p>
    <w:p>
      <w:pPr>
        <w:pStyle w:val="Indenta"/>
      </w:pPr>
      <w:r>
        <w:tab/>
        <w:t>(a)</w:t>
      </w:r>
      <w:r>
        <w:tab/>
        <w:t>the rejection of an action plan under regulation 7(1)(c); or</w:t>
      </w:r>
    </w:p>
    <w:p>
      <w:pPr>
        <w:pStyle w:val="Indenta"/>
      </w:pPr>
      <w:r>
        <w:tab/>
        <w:t>(b)</w:t>
      </w:r>
      <w:r>
        <w:tab/>
        <w:t>a decision of the CEO under regulation 8(1),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rPr>
          <w:rStyle w:val="CharDivText"/>
        </w:rPr>
      </w:pPr>
      <w:bookmarkStart w:id="27" w:name="_Toc471991466"/>
      <w:r>
        <w:rPr>
          <w:rStyle w:val="CharPartNo"/>
        </w:rPr>
        <w:t>Part 5</w:t>
      </w:r>
      <w:r>
        <w:rPr>
          <w:rStyle w:val="CharDivNo"/>
        </w:rPr>
        <w:t> </w:t>
      </w:r>
      <w:r>
        <w:t>—</w:t>
      </w:r>
      <w:r>
        <w:rPr>
          <w:rStyle w:val="CharDivText"/>
        </w:rPr>
        <w:t> </w:t>
      </w:r>
      <w:r>
        <w:rPr>
          <w:rStyle w:val="CharPartText"/>
        </w:rPr>
        <w:t>Effect of review of measure</w:t>
      </w:r>
      <w:bookmarkEnd w:id="27"/>
    </w:p>
    <w:p>
      <w:pPr>
        <w:pStyle w:val="Heading5"/>
      </w:pPr>
      <w:bookmarkStart w:id="28" w:name="_Toc471991467"/>
      <w:r>
        <w:rPr>
          <w:rStyle w:val="CharSectno"/>
        </w:rPr>
        <w:t>15</w:t>
      </w:r>
      <w:r>
        <w:t>.</w:t>
      </w:r>
      <w:r>
        <w:tab/>
        <w:t>Revocation, variance or replacement of measure</w:t>
      </w:r>
      <w:bookmarkEnd w:id="28"/>
    </w:p>
    <w:p>
      <w:pPr>
        <w:pStyle w:val="Subsection"/>
      </w:pPr>
      <w:r>
        <w:tab/>
      </w:r>
      <w:r>
        <w:tab/>
        <w:t xml:space="preserve">These regulations cease to have effect if the NEPM cited as the </w:t>
      </w:r>
      <w:r>
        <w:rPr>
          <w:i/>
          <w:iCs/>
        </w:rPr>
        <w:t>National Environment Protection (Used Packaging Materials) Measure 2011</w:t>
      </w:r>
      <w:r>
        <w:t xml:space="preserve"> — </w:t>
      </w:r>
    </w:p>
    <w:p>
      <w:pPr>
        <w:pStyle w:val="Indenta"/>
      </w:pPr>
      <w:r>
        <w:tab/>
        <w:t>(a)</w:t>
      </w:r>
      <w:r>
        <w:tab/>
        <w:t xml:space="preserve">is revoked or varied by the National Environmental Protection Council under the </w:t>
      </w:r>
      <w:r>
        <w:rPr>
          <w:i/>
        </w:rPr>
        <w:t>National Environmental Protection Council (Western Australia) Act 1990</w:t>
      </w:r>
      <w:r>
        <w:t xml:space="preserve"> section 20(1); or </w:t>
      </w:r>
    </w:p>
    <w:p>
      <w:pPr>
        <w:pStyle w:val="Indenta"/>
      </w:pPr>
      <w:r>
        <w:tab/>
        <w:t>(b)</w:t>
      </w:r>
      <w:r>
        <w:tab/>
        <w:t xml:space="preserve">is replaced by a national environmental protection measure made by the National Environmental Protection Council under the </w:t>
      </w:r>
      <w:r>
        <w:rPr>
          <w:i/>
        </w:rPr>
        <w:t>National Environmental Protection Council (Western Australia) Act 1990</w:t>
      </w:r>
      <w:r>
        <w:t xml:space="preserve"> section 14(1).</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9" w:name="_Toc471991468"/>
      <w:r>
        <w:t>Notes</w:t>
      </w:r>
      <w:bookmarkEnd w:id="29"/>
    </w:p>
    <w:p>
      <w:pPr>
        <w:pStyle w:val="nSubsection"/>
        <w:rPr>
          <w:snapToGrid w:val="0"/>
        </w:rPr>
      </w:pPr>
      <w:r>
        <w:rPr>
          <w:snapToGrid w:val="0"/>
          <w:vertAlign w:val="superscript"/>
        </w:rPr>
        <w:t>1</w:t>
      </w:r>
      <w:r>
        <w:rPr>
          <w:snapToGrid w:val="0"/>
        </w:rPr>
        <w:tab/>
        <w:t xml:space="preserve">This is a compilation of the </w:t>
      </w:r>
      <w:r>
        <w:rPr>
          <w:i/>
        </w:rPr>
        <w:t>Environmental Protection (NEPM</w:t>
      </w:r>
      <w:r>
        <w:rPr>
          <w:i/>
        </w:rPr>
        <w:noBreakHyphen/>
        <w:t>UPM) Regulations 2013.</w:t>
      </w:r>
      <w:r>
        <w:t xml:space="preserve">  </w:t>
      </w:r>
      <w:r>
        <w:rPr>
          <w:snapToGrid w:val="0"/>
        </w:rPr>
        <w:t xml:space="preserve">The following table contains information about those regulations </w:t>
      </w:r>
      <w:r>
        <w:rPr>
          <w:snapToGrid w:val="0"/>
          <w:vertAlign w:val="superscript"/>
        </w:rPr>
        <w:t>1a</w:t>
      </w:r>
      <w:r>
        <w:rPr>
          <w:snapToGrid w:val="0"/>
        </w:rPr>
        <w:t>.</w:t>
      </w:r>
    </w:p>
    <w:p>
      <w:pPr>
        <w:pStyle w:val="nHeading3"/>
      </w:pPr>
      <w:bookmarkStart w:id="30" w:name="_Toc471991469"/>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(NEPM</w:t>
            </w:r>
            <w:r>
              <w:rPr>
                <w:i/>
              </w:rPr>
              <w:noBreakHyphen/>
              <w:t>UPM) Regulations 2013</w:t>
            </w:r>
          </w:p>
        </w:tc>
        <w:tc>
          <w:tcPr>
            <w:tcW w:w="1276" w:type="dxa"/>
          </w:tcPr>
          <w:p>
            <w:pPr>
              <w:pStyle w:val="nTable"/>
              <w:spacing w:after="40"/>
            </w:pPr>
            <w:r>
              <w:t>24 Sep 2013 p. 4399-416</w:t>
            </w:r>
          </w:p>
        </w:tc>
        <w:tc>
          <w:tcPr>
            <w:tcW w:w="2693" w:type="dxa"/>
          </w:tcPr>
          <w:p>
            <w:pPr>
              <w:pStyle w:val="nTable"/>
              <w:spacing w:after="40"/>
            </w:pPr>
            <w:r>
              <w:t>r. 1 and 2: 24 Sep 2013 (see r. 2(a));</w:t>
            </w:r>
            <w:r>
              <w:br/>
              <w:t>Regulations other than r. 1 and 2: 25 Sep 2013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471991470"/>
      <w:r>
        <w:t>Provisions that have not come into operation</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(Public Health) Regulations 2016</w:t>
            </w:r>
            <w:r>
              <w:t xml:space="preserve"> Pt. 5 </w:t>
            </w:r>
            <w:r>
              <w:rPr>
                <w:vertAlign w:val="superscript"/>
              </w:rPr>
              <w:t>2</w:t>
            </w:r>
          </w:p>
        </w:tc>
        <w:tc>
          <w:tcPr>
            <w:tcW w:w="1276" w:type="dxa"/>
          </w:tcPr>
          <w:p>
            <w:pPr>
              <w:pStyle w:val="nTable"/>
              <w:spacing w:after="40"/>
            </w:pPr>
            <w:r>
              <w:t>10 Jan 2017 p. 191-7</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5</w:t>
      </w:r>
      <w:r>
        <w:rPr>
          <w:snapToGrid w:val="0"/>
        </w:rPr>
        <w:t xml:space="preserve"> had not come into operation.  It reads as follows:</w:t>
      </w:r>
    </w:p>
    <w:p>
      <w:pPr>
        <w:pStyle w:val="BlankOpen"/>
      </w:pPr>
    </w:p>
    <w:p>
      <w:pPr>
        <w:pStyle w:val="nzHeading2"/>
      </w:pPr>
      <w:bookmarkStart w:id="32" w:name="_Toc465324777"/>
      <w:bookmarkStart w:id="33" w:name="_Toc465324801"/>
      <w:bookmarkStart w:id="34" w:name="_Toc465324825"/>
      <w:bookmarkStart w:id="35" w:name="_Toc465324849"/>
      <w:bookmarkStart w:id="36" w:name="_Toc465324873"/>
      <w:bookmarkStart w:id="37" w:name="_Toc465324897"/>
      <w:bookmarkStart w:id="38" w:name="_Toc465324921"/>
      <w:bookmarkStart w:id="39" w:name="_Toc465947039"/>
      <w:r>
        <w:rPr>
          <w:rStyle w:val="CharPartNo"/>
        </w:rPr>
        <w:t>Part 5</w:t>
      </w:r>
      <w:r>
        <w:rPr>
          <w:rStyle w:val="CharDivNo"/>
        </w:rPr>
        <w:t> </w:t>
      </w:r>
      <w:r>
        <w:t>—</w:t>
      </w:r>
      <w:r>
        <w:rPr>
          <w:rStyle w:val="CharDivText"/>
        </w:rPr>
        <w:t> </w:t>
      </w:r>
      <w:r>
        <w:rPr>
          <w:rStyle w:val="CharPartText"/>
          <w:i/>
        </w:rPr>
        <w:t>Environmental Protection (NEPM</w:t>
      </w:r>
      <w:r>
        <w:rPr>
          <w:rStyle w:val="CharPartText"/>
          <w:i/>
        </w:rPr>
        <w:noBreakHyphen/>
        <w:t>UPM) Regulations 2013</w:t>
      </w:r>
      <w:r>
        <w:rPr>
          <w:rStyle w:val="CharPartText"/>
        </w:rPr>
        <w:t xml:space="preserve"> amended</w:t>
      </w:r>
      <w:bookmarkEnd w:id="32"/>
      <w:bookmarkEnd w:id="33"/>
      <w:bookmarkEnd w:id="34"/>
      <w:bookmarkEnd w:id="35"/>
      <w:bookmarkEnd w:id="36"/>
      <w:bookmarkEnd w:id="37"/>
      <w:bookmarkEnd w:id="38"/>
      <w:bookmarkEnd w:id="39"/>
    </w:p>
    <w:p>
      <w:pPr>
        <w:pStyle w:val="nzHeading5"/>
        <w:rPr>
          <w:snapToGrid w:val="0"/>
        </w:rPr>
      </w:pPr>
      <w:bookmarkStart w:id="40" w:name="_Toc465947040"/>
      <w:r>
        <w:rPr>
          <w:rStyle w:val="CharSectno"/>
        </w:rPr>
        <w:t>10</w:t>
      </w:r>
      <w:r>
        <w:rPr>
          <w:snapToGrid w:val="0"/>
        </w:rPr>
        <w:t>.</w:t>
      </w:r>
      <w:r>
        <w:rPr>
          <w:snapToGrid w:val="0"/>
        </w:rPr>
        <w:tab/>
        <w:t>Regulations amended</w:t>
      </w:r>
      <w:bookmarkEnd w:id="40"/>
    </w:p>
    <w:p>
      <w:pPr>
        <w:pStyle w:val="nzSubsection"/>
      </w:pPr>
      <w:r>
        <w:tab/>
      </w:r>
      <w:r>
        <w:tab/>
        <w:t>This Part</w:t>
      </w:r>
      <w:r>
        <w:rPr>
          <w:spacing w:val="-2"/>
        </w:rPr>
        <w:t xml:space="preserve"> amends</w:t>
      </w:r>
      <w:r>
        <w:t xml:space="preserve"> the </w:t>
      </w:r>
      <w:r>
        <w:rPr>
          <w:rStyle w:val="CharPartText"/>
          <w:i/>
        </w:rPr>
        <w:t>Environmental Protection (NEPM</w:t>
      </w:r>
      <w:r>
        <w:rPr>
          <w:rStyle w:val="CharPartText"/>
          <w:i/>
        </w:rPr>
        <w:noBreakHyphen/>
        <w:t>UPM) Regulations 2013</w:t>
      </w:r>
      <w:r>
        <w:t>.</w:t>
      </w:r>
    </w:p>
    <w:p>
      <w:pPr>
        <w:pStyle w:val="nzHeading5"/>
      </w:pPr>
      <w:bookmarkStart w:id="41" w:name="_Toc465947041"/>
      <w:r>
        <w:rPr>
          <w:rStyle w:val="CharSectno"/>
        </w:rPr>
        <w:t>11</w:t>
      </w:r>
      <w:r>
        <w:t>.</w:t>
      </w:r>
      <w:r>
        <w:tab/>
        <w:t>Regulation 3 amended</w:t>
      </w:r>
      <w:bookmarkEnd w:id="41"/>
    </w:p>
    <w:p>
      <w:pPr>
        <w:pStyle w:val="nzSubsection"/>
      </w:pPr>
      <w:r>
        <w:tab/>
      </w:r>
      <w:r>
        <w:tab/>
        <w:t xml:space="preserve">In regulation 3 in the definition of </w:t>
      </w:r>
      <w:r>
        <w:rPr>
          <w:b/>
          <w:i/>
        </w:rPr>
        <w:t>landfill</w:t>
      </w:r>
      <w:r>
        <w:t xml:space="preserve"> paragraph (a)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3" w:name="_Toc471991471"/>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brand owner</w:t>
      </w:r>
      <w:r>
        <w:tab/>
        <w:t>3</w:t>
      </w:r>
    </w:p>
    <w:p>
      <w:pPr>
        <w:pStyle w:val="DefinedTerms"/>
      </w:pPr>
      <w:r>
        <w:t>consumer packaging</w:t>
      </w:r>
      <w:r>
        <w:tab/>
        <w:t>3</w:t>
      </w:r>
    </w:p>
    <w:p>
      <w:pPr>
        <w:pStyle w:val="DefinedTerms"/>
      </w:pPr>
      <w:r>
        <w:t>consumer packaging material</w:t>
      </w:r>
      <w:r>
        <w:tab/>
        <w:t>10(1)</w:t>
      </w:r>
    </w:p>
    <w:p>
      <w:pPr>
        <w:pStyle w:val="DefinedTerms"/>
      </w:pPr>
      <w:r>
        <w:t>Covenant</w:t>
      </w:r>
      <w:r>
        <w:tab/>
        <w:t>3</w:t>
      </w:r>
    </w:p>
    <w:p>
      <w:pPr>
        <w:pStyle w:val="DefinedTerms"/>
      </w:pPr>
      <w:r>
        <w:t>distribution packaging</w:t>
      </w:r>
      <w:r>
        <w:tab/>
        <w:t>3</w:t>
      </w:r>
    </w:p>
    <w:p>
      <w:pPr>
        <w:pStyle w:val="DefinedTerms"/>
      </w:pPr>
      <w:r>
        <w:t>landfill</w:t>
      </w:r>
      <w:r>
        <w:tab/>
        <w:t>3</w:t>
      </w:r>
    </w:p>
    <w:p>
      <w:pPr>
        <w:pStyle w:val="DefinedTerms"/>
      </w:pPr>
      <w:r>
        <w:t>materials recovery system</w:t>
      </w:r>
      <w:r>
        <w:tab/>
        <w:t>3</w:t>
      </w:r>
    </w:p>
    <w:p>
      <w:pPr>
        <w:pStyle w:val="DefinedTerms"/>
      </w:pPr>
      <w:r>
        <w:t>owner’s packaging</w:t>
      </w:r>
      <w:r>
        <w:tab/>
        <w:t>6(3)</w:t>
      </w:r>
    </w:p>
    <w:p>
      <w:pPr>
        <w:pStyle w:val="DefinedTerms"/>
      </w:pPr>
      <w:r>
        <w:t>plastic bag</w:t>
      </w:r>
      <w:r>
        <w:tab/>
        <w:t>3</w:t>
      </w:r>
    </w:p>
    <w:p>
      <w:pPr>
        <w:pStyle w:val="DefinedTerms"/>
      </w:pPr>
      <w:r>
        <w:t>preferred order</w:t>
      </w:r>
      <w:r>
        <w:tab/>
        <w:t>6(5)</w:t>
      </w:r>
    </w:p>
    <w:p>
      <w:pPr>
        <w:pStyle w:val="DefinedTerms"/>
      </w:pPr>
      <w:r>
        <w:t>premises</w:t>
      </w:r>
      <w:r>
        <w:tab/>
        <w:t>3</w:t>
      </w:r>
    </w:p>
    <w:p>
      <w:pPr>
        <w:pStyle w:val="DefinedTerms"/>
      </w:pPr>
      <w:r>
        <w:t>R</w:t>
      </w:r>
      <w:r>
        <w:tab/>
        <w:t>3</w:t>
      </w:r>
    </w:p>
    <w:p>
      <w:pPr>
        <w:pStyle w:val="DefinedTerms"/>
      </w:pPr>
      <w:r>
        <w:t>recovery rate</w:t>
      </w:r>
      <w:r>
        <w:tab/>
        <w:t>3</w:t>
      </w:r>
    </w:p>
    <w:p>
      <w:pPr>
        <w:pStyle w:val="DefinedTerms"/>
      </w:pPr>
      <w:r>
        <w:t>recyclable material</w:t>
      </w:r>
      <w:r>
        <w:tab/>
        <w:t>3</w:t>
      </w:r>
    </w:p>
    <w:p>
      <w:pPr>
        <w:pStyle w:val="DefinedTerms"/>
      </w:pPr>
      <w:r>
        <w:t>recycle</w:t>
      </w:r>
      <w:r>
        <w:tab/>
        <w:t>3</w:t>
      </w:r>
    </w:p>
    <w:p>
      <w:pPr>
        <w:pStyle w:val="DefinedTerms"/>
      </w:pPr>
      <w:r>
        <w:t>reuse</w:t>
      </w:r>
      <w:r>
        <w:tab/>
        <w:t>3</w:t>
      </w:r>
    </w:p>
    <w:p>
      <w:pPr>
        <w:pStyle w:val="DefinedTerms"/>
      </w:pPr>
      <w:r>
        <w:t>secondary resource</w:t>
      </w:r>
      <w:r>
        <w:tab/>
        <w:t>3</w:t>
      </w:r>
    </w:p>
    <w:p>
      <w:pPr>
        <w:pStyle w:val="DefinedTerms"/>
      </w:pPr>
      <w:r>
        <w:t>signatory</w:t>
      </w:r>
      <w:r>
        <w:tab/>
        <w:t>3</w:t>
      </w:r>
    </w:p>
    <w:p>
      <w:pPr>
        <w:pStyle w:val="DefinedTerms"/>
      </w:pPr>
      <w:r>
        <w:t>WR</w:t>
      </w:r>
      <w:r>
        <w:tab/>
        <w:t>3</w:t>
      </w:r>
    </w:p>
    <w:p>
      <w:pPr>
        <w:pStyle w:val="DefinedTerms"/>
      </w:pPr>
      <w:r>
        <w:t>WS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040"/>
    <w:docVar w:name="WAFER_20150429111226" w:val="ResetPageSize,UpdateArrangement,UpdateNTable"/>
    <w:docVar w:name="WAFER_20150429111226_GUID" w:val="c49d5244-aeed-4bd0-ba9f-3e0105c54093"/>
    <w:docVar w:name="WAFER_20151105124701" w:val="UpdateStyles,UsedStyles"/>
    <w:docVar w:name="WAFER_20151105124701_GUID" w:val="5f6b6cfd-1105-4500-9005-14d5fbe7b391"/>
    <w:docVar w:name="WAFER_20170111145040" w:val="RemoveTocBookmarks,RemoveUnusedBookmarks,RemoveLanguageTags,UsedStyles,ResetPageSize"/>
    <w:docVar w:name="WAFER_20170111145040_GUID" w:val="a531a47d-fa3e-4d54-b299-3abd7fbd1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0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2A225-1E93-4A8F-859B-209DBBC2C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3113</Words>
  <Characters>15598</Characters>
  <Application>Microsoft Office Word</Application>
  <DocSecurity>0</DocSecurity>
  <Lines>503</Lines>
  <Paragraphs>334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2013 - 00-b0-00</dc:title>
  <dc:subject/>
  <dc:creator/>
  <cp:keywords/>
  <dc:description/>
  <cp:lastModifiedBy>svcMRProcess</cp:lastModifiedBy>
  <cp:revision>4</cp:revision>
  <cp:lastPrinted>2013-04-03T03:31:00Z</cp:lastPrinted>
  <dcterms:created xsi:type="dcterms:W3CDTF">2018-09-19T01:13:00Z</dcterms:created>
  <dcterms:modified xsi:type="dcterms:W3CDTF">2018-09-19T01:13:00Z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45039</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00-b0-00</vt:lpwstr>
  </property>
  <property fmtid="{D5CDD505-2E9C-101B-9397-08002B2CF9AE}" pid="6" name="CommencementDate">
    <vt:lpwstr>20170110</vt:lpwstr>
  </property>
</Properties>
</file>