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87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Road Traffic Act 1974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outlineLvl w:val="0"/>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87"/>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_Toc472087040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_Toc472087041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Repeal</w:t>
      </w:r>
      <w:r>
        <w:tab/>
      </w:r>
      <w:r>
        <w:fldChar w:fldCharType="begin"/>
      </w:r>
      <w:r>
        <w:instrText xml:space="preserve"> PAGEREF _Toc472087042 \h </w:instrText>
      </w:r>
      <w:r>
        <w:fldChar w:fldCharType="separate"/>
      </w:r>
      <w:r>
        <w:t>2</w:t>
      </w:r>
      <w:r>
        <w:fldChar w:fldCharType="end"/>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_Toc472087043 \h </w:instrText>
      </w:r>
      <w:r>
        <w:fldChar w:fldCharType="separate"/>
      </w:r>
      <w:r>
        <w:t>2</w:t>
      </w:r>
      <w:r>
        <w:fldChar w:fldCharType="end"/>
      </w:r>
    </w:p>
    <w:p>
      <w:pPr>
        <w:pStyle w:val="TOC2"/>
        <w:tabs>
          <w:tab w:val="right" w:leader="dot" w:pos="7087"/>
        </w:tabs>
        <w:rPr>
          <w:rFonts w:asciiTheme="minorHAnsi" w:eastAsiaTheme="minorEastAsia" w:hAnsiTheme="minorHAnsi" w:cstheme="minorBidi"/>
          <w:b w:val="0"/>
          <w:sz w:val="22"/>
          <w:szCs w:val="22"/>
        </w:rPr>
      </w:pPr>
      <w:r>
        <w:t>Part V — Regulation of traffic</w:t>
      </w:r>
    </w:p>
    <w:p>
      <w:pPr>
        <w:pStyle w:val="TOC4"/>
        <w:tabs>
          <w:tab w:val="right" w:leader="dot" w:pos="7087"/>
        </w:tabs>
        <w:rPr>
          <w:rFonts w:asciiTheme="minorHAnsi" w:eastAsiaTheme="minorEastAsia" w:hAnsiTheme="minorHAnsi" w:cstheme="minorBidi"/>
          <w:b w:val="0"/>
          <w:szCs w:val="22"/>
        </w:rPr>
      </w:pPr>
      <w:r>
        <w:t>Division 1AA — Terms used in this Part</w:t>
      </w:r>
    </w:p>
    <w:p>
      <w:pPr>
        <w:pStyle w:val="TOC8"/>
        <w:rPr>
          <w:rFonts w:asciiTheme="minorHAnsi" w:eastAsiaTheme="minorEastAsia" w:hAnsiTheme="minorHAnsi" w:cstheme="minorBidi"/>
          <w:szCs w:val="22"/>
        </w:rPr>
      </w:pPr>
      <w:r>
        <w:t>49AAA.</w:t>
      </w:r>
      <w:r>
        <w:tab/>
        <w:t>Terms used</w:t>
      </w:r>
      <w:r>
        <w:tab/>
      </w:r>
      <w:r>
        <w:fldChar w:fldCharType="begin"/>
      </w:r>
      <w:r>
        <w:instrText xml:space="preserve"> PAGEREF _Toc472087046 \h </w:instrText>
      </w:r>
      <w:r>
        <w:fldChar w:fldCharType="separate"/>
      </w:r>
      <w:r>
        <w:t>4</w:t>
      </w:r>
      <w:r>
        <w:fldChar w:fldCharType="end"/>
      </w:r>
    </w:p>
    <w:p>
      <w:pPr>
        <w:pStyle w:val="TOC4"/>
        <w:tabs>
          <w:tab w:val="right" w:leader="dot" w:pos="7087"/>
        </w:tabs>
        <w:rPr>
          <w:rFonts w:asciiTheme="minorHAnsi" w:eastAsiaTheme="minorEastAsia" w:hAnsiTheme="minorHAnsi" w:cstheme="minorBidi"/>
          <w:b w:val="0"/>
          <w:szCs w:val="22"/>
        </w:rPr>
      </w:pPr>
      <w:r>
        <w:t>Division 1A — When person taken to be instructor or in charge of vehicle</w:t>
      </w:r>
    </w:p>
    <w:p>
      <w:pPr>
        <w:pStyle w:val="TOC8"/>
        <w:rPr>
          <w:rFonts w:asciiTheme="minorHAnsi" w:eastAsiaTheme="minorEastAsia" w:hAnsiTheme="minorHAnsi" w:cstheme="minorBidi"/>
          <w:szCs w:val="22"/>
        </w:rPr>
      </w:pPr>
      <w:r>
        <w:t>49AA.</w:t>
      </w:r>
      <w:r>
        <w:tab/>
        <w:t>Circumstances in which person taken to be instructor or in charge of motor vehicle</w:t>
      </w:r>
      <w:r>
        <w:tab/>
      </w:r>
      <w:r>
        <w:fldChar w:fldCharType="begin"/>
      </w:r>
      <w:r>
        <w:instrText xml:space="preserve"> PAGEREF _Toc472087048 \h </w:instrText>
      </w:r>
      <w:r>
        <w:fldChar w:fldCharType="separate"/>
      </w:r>
      <w:r>
        <w:t>5</w:t>
      </w:r>
      <w:r>
        <w:fldChar w:fldCharType="end"/>
      </w:r>
    </w:p>
    <w:p>
      <w:pPr>
        <w:pStyle w:val="TOC4"/>
        <w:tabs>
          <w:tab w:val="right" w:leader="dot" w:pos="7087"/>
        </w:tabs>
        <w:rPr>
          <w:rFonts w:asciiTheme="minorHAnsi" w:eastAsiaTheme="minorEastAsia" w:hAnsiTheme="minorHAnsi" w:cstheme="minorBidi"/>
          <w:b w:val="0"/>
          <w:szCs w:val="22"/>
        </w:rPr>
      </w:pPr>
      <w:r>
        <w:t>Division 1 — Driving of vehicles: general offences</w:t>
      </w:r>
    </w:p>
    <w:p>
      <w:pPr>
        <w:pStyle w:val="TOC8"/>
        <w:rPr>
          <w:rFonts w:asciiTheme="minorHAnsi" w:eastAsiaTheme="minorEastAsia" w:hAnsiTheme="minorHAnsi" w:cstheme="minorBidi"/>
          <w:szCs w:val="22"/>
        </w:rPr>
      </w:pPr>
      <w:r>
        <w:t>49AB.</w:t>
      </w:r>
      <w:r>
        <w:tab/>
        <w:t>Term used: circumstances of aggravation</w:t>
      </w:r>
      <w:r>
        <w:tab/>
      </w:r>
      <w:r>
        <w:fldChar w:fldCharType="begin"/>
      </w:r>
      <w:r>
        <w:instrText xml:space="preserve"> PAGEREF _Toc472087050 \h </w:instrText>
      </w:r>
      <w:r>
        <w:fldChar w:fldCharType="separate"/>
      </w:r>
      <w:r>
        <w:t>6</w:t>
      </w:r>
      <w:r>
        <w:fldChar w:fldCharType="end"/>
      </w:r>
    </w:p>
    <w:p>
      <w:pPr>
        <w:pStyle w:val="TOC8"/>
        <w:rPr>
          <w:rFonts w:asciiTheme="minorHAnsi" w:eastAsiaTheme="minorEastAsia" w:hAnsiTheme="minorHAnsi" w:cstheme="minorBidi"/>
          <w:szCs w:val="22"/>
        </w:rPr>
      </w:pPr>
      <w:r>
        <w:t>49.</w:t>
      </w:r>
      <w:r>
        <w:tab/>
        <w:t>Driving while unlicensed or disqualified</w:t>
      </w:r>
      <w:r>
        <w:tab/>
      </w:r>
      <w:r>
        <w:fldChar w:fldCharType="begin"/>
      </w:r>
      <w:r>
        <w:instrText xml:space="preserve"> PAGEREF _Toc472087051 \h </w:instrText>
      </w:r>
      <w:r>
        <w:fldChar w:fldCharType="separate"/>
      </w:r>
      <w:r>
        <w:t>6</w:t>
      </w:r>
      <w:r>
        <w:fldChar w:fldCharType="end"/>
      </w:r>
    </w:p>
    <w:p>
      <w:pPr>
        <w:pStyle w:val="TOC8"/>
        <w:rPr>
          <w:rFonts w:asciiTheme="minorHAnsi" w:eastAsiaTheme="minorEastAsia" w:hAnsiTheme="minorHAnsi" w:cstheme="minorBidi"/>
          <w:szCs w:val="22"/>
        </w:rPr>
      </w:pPr>
      <w:r>
        <w:t>49A.</w:t>
      </w:r>
      <w:r>
        <w:tab/>
        <w:t>Person breaching s. 49(1)(a) having lost licence etc. due to penalty enforcement laws, police may caution etc.</w:t>
      </w:r>
      <w:r>
        <w:tab/>
      </w:r>
      <w:r>
        <w:fldChar w:fldCharType="begin"/>
      </w:r>
      <w:r>
        <w:instrText xml:space="preserve"> PAGEREF _Toc472087052 \h </w:instrText>
      </w:r>
      <w:r>
        <w:fldChar w:fldCharType="separate"/>
      </w:r>
      <w:r>
        <w:t>10</w:t>
      </w:r>
      <w:r>
        <w:fldChar w:fldCharType="end"/>
      </w:r>
    </w:p>
    <w:p>
      <w:pPr>
        <w:pStyle w:val="TOC8"/>
        <w:rPr>
          <w:rFonts w:asciiTheme="minorHAnsi" w:eastAsiaTheme="minorEastAsia" w:hAnsiTheme="minorHAnsi" w:cstheme="minorBidi"/>
          <w:szCs w:val="22"/>
        </w:rPr>
      </w:pPr>
      <w:r>
        <w:t>50A.</w:t>
      </w:r>
      <w:r>
        <w:tab/>
        <w:t>Driver using foreign country’s driver’s licence etc. to carry it etc.</w:t>
      </w:r>
      <w:r>
        <w:tab/>
      </w:r>
      <w:r>
        <w:fldChar w:fldCharType="begin"/>
      </w:r>
      <w:r>
        <w:instrText xml:space="preserve"> PAGEREF _Toc472087053 \h </w:instrText>
      </w:r>
      <w:r>
        <w:fldChar w:fldCharType="separate"/>
      </w:r>
      <w:r>
        <w:t>11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Driver in incident occasioning bodily harm to stop, ensure assistance and give information</w:t>
      </w:r>
      <w:r>
        <w:tab/>
      </w:r>
      <w:r>
        <w:fldChar w:fldCharType="begin"/>
      </w:r>
      <w:r>
        <w:instrText xml:space="preserve"> PAGEREF _Toc472087054 \h </w:instrText>
      </w:r>
      <w:r>
        <w:fldChar w:fldCharType="separate"/>
      </w:r>
      <w:r>
        <w:t>12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Driver in incident occasioning property damage to stop and give information</w:t>
      </w:r>
      <w:r>
        <w:tab/>
      </w:r>
      <w:r>
        <w:fldChar w:fldCharType="begin"/>
      </w:r>
      <w:r>
        <w:instrText xml:space="preserve"> PAGEREF _Toc472087055 \h </w:instrText>
      </w:r>
      <w:r>
        <w:fldChar w:fldCharType="separate"/>
      </w:r>
      <w:r>
        <w:t>14</w:t>
      </w:r>
      <w:r>
        <w:fldChar w:fldCharType="end"/>
      </w:r>
    </w:p>
    <w:p>
      <w:pPr>
        <w:pStyle w:val="TOC8"/>
        <w:rPr>
          <w:rFonts w:asciiTheme="minorHAnsi" w:eastAsiaTheme="minorEastAsia" w:hAnsiTheme="minorHAnsi" w:cstheme="minorBidi"/>
          <w:szCs w:val="22"/>
        </w:rPr>
      </w:pPr>
      <w:r>
        <w:t>56.</w:t>
      </w:r>
      <w:r>
        <w:tab/>
        <w:t>Driver in incident occasioning bodily harm or property damage to report incident to police</w:t>
      </w:r>
      <w:r>
        <w:tab/>
      </w:r>
      <w:r>
        <w:fldChar w:fldCharType="begin"/>
      </w:r>
      <w:r>
        <w:instrText xml:space="preserve"> PAGEREF _Toc472087056 \h </w:instrText>
      </w:r>
      <w:r>
        <w:fldChar w:fldCharType="separate"/>
      </w:r>
      <w:r>
        <w:t>15</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Owner etc. of vehicle occasioning bodily harm etc. to help police identify driver etc.</w:t>
      </w:r>
      <w:r>
        <w:tab/>
      </w:r>
      <w:r>
        <w:fldChar w:fldCharType="begin"/>
      </w:r>
      <w:r>
        <w:instrText xml:space="preserve"> PAGEREF _Toc472087057 \h </w:instrText>
      </w:r>
      <w:r>
        <w:fldChar w:fldCharType="separate"/>
      </w:r>
      <w:r>
        <w:t>16</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Dangerous driving causing death or grievous bodily harm</w:t>
      </w:r>
      <w:r>
        <w:tab/>
      </w:r>
      <w:r>
        <w:fldChar w:fldCharType="begin"/>
      </w:r>
      <w:r>
        <w:instrText xml:space="preserve"> PAGEREF _Toc472087058 \h </w:instrText>
      </w:r>
      <w:r>
        <w:fldChar w:fldCharType="separate"/>
      </w:r>
      <w:r>
        <w:t>17</w:t>
      </w:r>
      <w:r>
        <w:fldChar w:fldCharType="end"/>
      </w:r>
    </w:p>
    <w:p>
      <w:pPr>
        <w:pStyle w:val="TOC8"/>
        <w:rPr>
          <w:rFonts w:asciiTheme="minorHAnsi" w:eastAsiaTheme="minorEastAsia" w:hAnsiTheme="minorHAnsi" w:cstheme="minorBidi"/>
          <w:szCs w:val="22"/>
        </w:rPr>
      </w:pPr>
      <w:r>
        <w:t>59A</w:t>
      </w:r>
      <w:r>
        <w:rPr>
          <w:snapToGrid w:val="0"/>
        </w:rPr>
        <w:t>.</w:t>
      </w:r>
      <w:r>
        <w:rPr>
          <w:snapToGrid w:val="0"/>
        </w:rPr>
        <w:tab/>
        <w:t>Dangerous driving causing bodily harm</w:t>
      </w:r>
      <w:r>
        <w:tab/>
      </w:r>
      <w:r>
        <w:fldChar w:fldCharType="begin"/>
      </w:r>
      <w:r>
        <w:instrText xml:space="preserve"> PAGEREF _Toc472087059 \h </w:instrText>
      </w:r>
      <w:r>
        <w:fldChar w:fldCharType="separate"/>
      </w:r>
      <w:r>
        <w:t>20</w:t>
      </w:r>
      <w:r>
        <w:fldChar w:fldCharType="end"/>
      </w:r>
    </w:p>
    <w:p>
      <w:pPr>
        <w:pStyle w:val="TOC8"/>
        <w:rPr>
          <w:rFonts w:asciiTheme="minorHAnsi" w:eastAsiaTheme="minorEastAsia" w:hAnsiTheme="minorHAnsi" w:cstheme="minorBidi"/>
          <w:szCs w:val="22"/>
        </w:rPr>
      </w:pPr>
      <w:r>
        <w:t>59BA.</w:t>
      </w:r>
      <w:r>
        <w:tab/>
        <w:t>Careless driving causing death, grievous bodily harm or bodily harm</w:t>
      </w:r>
      <w:r>
        <w:tab/>
      </w:r>
      <w:r>
        <w:fldChar w:fldCharType="begin"/>
      </w:r>
      <w:r>
        <w:instrText xml:space="preserve"> PAGEREF _Toc472087060 \h </w:instrText>
      </w:r>
      <w:r>
        <w:fldChar w:fldCharType="separate"/>
      </w:r>
      <w:r>
        <w:t>22</w:t>
      </w:r>
      <w:r>
        <w:fldChar w:fldCharType="end"/>
      </w:r>
    </w:p>
    <w:p>
      <w:pPr>
        <w:pStyle w:val="TOC8"/>
        <w:rPr>
          <w:rFonts w:asciiTheme="minorHAnsi" w:eastAsiaTheme="minorEastAsia" w:hAnsiTheme="minorHAnsi" w:cstheme="minorBidi"/>
          <w:szCs w:val="22"/>
        </w:rPr>
      </w:pPr>
      <w:r>
        <w:t>59B.</w:t>
      </w:r>
      <w:r>
        <w:tab/>
        <w:t>Ancillary matters and defences for sections 59, 59A and 59BA</w:t>
      </w:r>
      <w:r>
        <w:tab/>
      </w:r>
      <w:r>
        <w:fldChar w:fldCharType="begin"/>
      </w:r>
      <w:r>
        <w:instrText xml:space="preserve"> PAGEREF _Toc472087061 \h </w:instrText>
      </w:r>
      <w:r>
        <w:fldChar w:fldCharType="separate"/>
      </w:r>
      <w:r>
        <w:t>23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Driving in reckless manner</w:t>
      </w:r>
      <w:r>
        <w:tab/>
      </w:r>
      <w:r>
        <w:fldChar w:fldCharType="begin"/>
      </w:r>
      <w:r>
        <w:instrText xml:space="preserve"> PAGEREF _Toc472087062 \h </w:instrText>
      </w:r>
      <w:r>
        <w:fldChar w:fldCharType="separate"/>
      </w:r>
      <w:r>
        <w:t>24</w:t>
      </w:r>
      <w:r>
        <w:fldChar w:fldCharType="end"/>
      </w:r>
    </w:p>
    <w:p>
      <w:pPr>
        <w:pStyle w:val="TOC8"/>
        <w:rPr>
          <w:rFonts w:asciiTheme="minorHAnsi" w:eastAsiaTheme="minorEastAsia" w:hAnsiTheme="minorHAnsi" w:cstheme="minorBidi"/>
          <w:szCs w:val="22"/>
        </w:rPr>
      </w:pPr>
      <w:r>
        <w:t>60A.</w:t>
      </w:r>
      <w:r>
        <w:tab/>
        <w:t>Driving at reckless speed</w:t>
      </w:r>
      <w:r>
        <w:tab/>
      </w:r>
      <w:r>
        <w:fldChar w:fldCharType="begin"/>
      </w:r>
      <w:r>
        <w:instrText xml:space="preserve"> PAGEREF _Toc472087063 \h </w:instrText>
      </w:r>
      <w:r>
        <w:fldChar w:fldCharType="separate"/>
      </w:r>
      <w:r>
        <w:t>25</w:t>
      </w:r>
      <w:r>
        <w:fldChar w:fldCharType="end"/>
      </w:r>
    </w:p>
    <w:p>
      <w:pPr>
        <w:pStyle w:val="TOC8"/>
        <w:rPr>
          <w:rFonts w:asciiTheme="minorHAnsi" w:eastAsiaTheme="minorEastAsia" w:hAnsiTheme="minorHAnsi" w:cstheme="minorBidi"/>
          <w:szCs w:val="22"/>
        </w:rPr>
      </w:pPr>
      <w:r>
        <w:t>60B.</w:t>
      </w:r>
      <w:r>
        <w:tab/>
        <w:t>Penalties for offences against sections 60 and 60A</w:t>
      </w:r>
      <w:r>
        <w:tab/>
      </w:r>
      <w:r>
        <w:fldChar w:fldCharType="begin"/>
      </w:r>
      <w:r>
        <w:instrText xml:space="preserve"> PAGEREF _Toc472087064 \h </w:instrText>
      </w:r>
      <w:r>
        <w:fldChar w:fldCharType="separate"/>
      </w:r>
      <w:r>
        <w:t>25</w:t>
      </w:r>
      <w:r>
        <w:fldChar w:fldCharType="end"/>
      </w:r>
    </w:p>
    <w:p>
      <w:pPr>
        <w:pStyle w:val="TOC8"/>
        <w:rPr>
          <w:rFonts w:asciiTheme="minorHAnsi" w:eastAsiaTheme="minorEastAsia" w:hAnsiTheme="minorHAnsi" w:cstheme="minorBidi"/>
          <w:szCs w:val="22"/>
        </w:rPr>
      </w:pPr>
      <w:r>
        <w:t>60C.</w:t>
      </w:r>
      <w:r>
        <w:tab/>
        <w:t>Arrest without warrant for driving in reckless manner or at reckless speed</w:t>
      </w:r>
      <w:r>
        <w:tab/>
      </w:r>
      <w:r>
        <w:fldChar w:fldCharType="begin"/>
      </w:r>
      <w:r>
        <w:instrText xml:space="preserve"> PAGEREF _Toc472087065 \h </w:instrText>
      </w:r>
      <w:r>
        <w:fldChar w:fldCharType="separate"/>
      </w:r>
      <w:r>
        <w:t>27</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Dangerous driving</w:t>
      </w:r>
      <w:r>
        <w:tab/>
      </w:r>
      <w:r>
        <w:fldChar w:fldCharType="begin"/>
      </w:r>
      <w:r>
        <w:instrText xml:space="preserve"> PAGEREF _Toc472087066 \h </w:instrText>
      </w:r>
      <w:r>
        <w:fldChar w:fldCharType="separate"/>
      </w:r>
      <w:r>
        <w:t>27</w:t>
      </w:r>
      <w:r>
        <w:fldChar w:fldCharType="end"/>
      </w:r>
    </w:p>
    <w:p>
      <w:pPr>
        <w:pStyle w:val="TOC8"/>
        <w:rPr>
          <w:rFonts w:asciiTheme="minorHAnsi" w:eastAsiaTheme="minorEastAsia" w:hAnsiTheme="minorHAnsi" w:cstheme="minorBidi"/>
          <w:szCs w:val="22"/>
        </w:rPr>
      </w:pPr>
      <w:r>
        <w:t>61A.</w:t>
      </w:r>
      <w:r>
        <w:tab/>
        <w:t>Defence for police officers driving in reckless manner in certain circumstances</w:t>
      </w:r>
      <w:r>
        <w:tab/>
      </w:r>
      <w:r>
        <w:fldChar w:fldCharType="begin"/>
      </w:r>
      <w:r>
        <w:instrText xml:space="preserve"> PAGEREF _Toc472087067 \h </w:instrText>
      </w:r>
      <w:r>
        <w:fldChar w:fldCharType="separate"/>
      </w:r>
      <w:r>
        <w:t>29</w:t>
      </w:r>
      <w:r>
        <w:fldChar w:fldCharType="end"/>
      </w:r>
    </w:p>
    <w:p>
      <w:pPr>
        <w:pStyle w:val="TOC8"/>
        <w:rPr>
          <w:rFonts w:asciiTheme="minorHAnsi" w:eastAsiaTheme="minorEastAsia" w:hAnsiTheme="minorHAnsi" w:cstheme="minorBidi"/>
          <w:szCs w:val="22"/>
        </w:rPr>
      </w:pPr>
      <w:r>
        <w:t>61B.</w:t>
      </w:r>
      <w:r>
        <w:tab/>
        <w:t>Defence for certain officers driving at reckless speed</w:t>
      </w:r>
      <w:r>
        <w:tab/>
      </w:r>
      <w:r>
        <w:fldChar w:fldCharType="begin"/>
      </w:r>
      <w:r>
        <w:instrText xml:space="preserve"> PAGEREF _Toc472087068 \h </w:instrText>
      </w:r>
      <w:r>
        <w:fldChar w:fldCharType="separate"/>
      </w:r>
      <w:r>
        <w:t>29</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Careless driving</w:t>
      </w:r>
      <w:r>
        <w:tab/>
      </w:r>
      <w:r>
        <w:fldChar w:fldCharType="begin"/>
      </w:r>
      <w:r>
        <w:instrText xml:space="preserve"> PAGEREF _Toc472087069 \h </w:instrText>
      </w:r>
      <w:r>
        <w:fldChar w:fldCharType="separate"/>
      </w:r>
      <w:r>
        <w:t>30</w:t>
      </w:r>
      <w:r>
        <w:fldChar w:fldCharType="end"/>
      </w:r>
    </w:p>
    <w:p>
      <w:pPr>
        <w:pStyle w:val="TOC8"/>
        <w:rPr>
          <w:rFonts w:asciiTheme="minorHAnsi" w:eastAsiaTheme="minorEastAsia" w:hAnsiTheme="minorHAnsi" w:cstheme="minorBidi"/>
          <w:szCs w:val="22"/>
        </w:rPr>
      </w:pPr>
      <w:r>
        <w:t>62A.</w:t>
      </w:r>
      <w:r>
        <w:tab/>
        <w:t>Causing excessive noise or smoke from vehicle’s tyres</w:t>
      </w:r>
      <w:r>
        <w:tab/>
      </w:r>
      <w:r>
        <w:fldChar w:fldCharType="begin"/>
      </w:r>
      <w:r>
        <w:instrText xml:space="preserve"> PAGEREF _Toc472087070 \h </w:instrText>
      </w:r>
      <w:r>
        <w:fldChar w:fldCharType="separate"/>
      </w:r>
      <w:r>
        <w:t>30</w:t>
      </w:r>
      <w:r>
        <w:fldChar w:fldCharType="end"/>
      </w:r>
    </w:p>
    <w:p>
      <w:pPr>
        <w:pStyle w:val="TOC4"/>
        <w:tabs>
          <w:tab w:val="right" w:leader="dot" w:pos="7087"/>
        </w:tabs>
        <w:rPr>
          <w:rFonts w:asciiTheme="minorHAnsi" w:eastAsiaTheme="minorEastAsia" w:hAnsiTheme="minorHAnsi" w:cstheme="minorBidi"/>
          <w:b w:val="0"/>
          <w:szCs w:val="22"/>
        </w:rPr>
      </w:pPr>
      <w:r>
        <w:t>Division 2A — Providing driving instruction to learner drivers: alcohol and drug related offences</w:t>
      </w:r>
    </w:p>
    <w:p>
      <w:pPr>
        <w:pStyle w:val="TOC8"/>
        <w:rPr>
          <w:rFonts w:asciiTheme="minorHAnsi" w:eastAsiaTheme="minorEastAsia" w:hAnsiTheme="minorHAnsi" w:cstheme="minorBidi"/>
          <w:szCs w:val="22"/>
        </w:rPr>
      </w:pPr>
      <w:r>
        <w:t>62B.</w:t>
      </w:r>
      <w:r>
        <w:tab/>
        <w:t>Providing driving instruction: blood alcohol content</w:t>
      </w:r>
      <w:r>
        <w:tab/>
      </w:r>
      <w:r>
        <w:fldChar w:fldCharType="begin"/>
      </w:r>
      <w:r>
        <w:instrText xml:space="preserve"> PAGEREF _Toc472087072 \h </w:instrText>
      </w:r>
      <w:r>
        <w:fldChar w:fldCharType="separate"/>
      </w:r>
      <w:r>
        <w:t>31</w:t>
      </w:r>
      <w:r>
        <w:fldChar w:fldCharType="end"/>
      </w:r>
    </w:p>
    <w:p>
      <w:pPr>
        <w:pStyle w:val="TOC8"/>
        <w:rPr>
          <w:rFonts w:asciiTheme="minorHAnsi" w:eastAsiaTheme="minorEastAsia" w:hAnsiTheme="minorHAnsi" w:cstheme="minorBidi"/>
          <w:szCs w:val="22"/>
        </w:rPr>
      </w:pPr>
      <w:r>
        <w:t>62C.</w:t>
      </w:r>
      <w:r>
        <w:tab/>
        <w:t>Providing driving instruction with prescribed illicit drug in oral fluid or blood</w:t>
      </w:r>
      <w:r>
        <w:tab/>
      </w:r>
      <w:r>
        <w:fldChar w:fldCharType="begin"/>
      </w:r>
      <w:r>
        <w:instrText xml:space="preserve"> PAGEREF _Toc472087073 \h </w:instrText>
      </w:r>
      <w:r>
        <w:fldChar w:fldCharType="separate"/>
      </w:r>
      <w:r>
        <w:t>33</w:t>
      </w:r>
      <w:r>
        <w:fldChar w:fldCharType="end"/>
      </w:r>
    </w:p>
    <w:p>
      <w:pPr>
        <w:pStyle w:val="TOC4"/>
        <w:tabs>
          <w:tab w:val="right" w:leader="dot" w:pos="7087"/>
        </w:tabs>
        <w:rPr>
          <w:rFonts w:asciiTheme="minorHAnsi" w:eastAsiaTheme="minorEastAsia" w:hAnsiTheme="minorHAnsi" w:cstheme="minorBidi"/>
          <w:b w:val="0"/>
          <w:szCs w:val="22"/>
        </w:rPr>
      </w:pPr>
      <w:r>
        <w:t>Division 2 — Driving of vehicles: alcohol and drug related offences</w:t>
      </w:r>
    </w:p>
    <w:p>
      <w:pPr>
        <w:pStyle w:val="TOC8"/>
        <w:rPr>
          <w:rFonts w:asciiTheme="minorHAnsi" w:eastAsiaTheme="minorEastAsia" w:hAnsiTheme="minorHAnsi" w:cstheme="minorBidi"/>
          <w:szCs w:val="22"/>
        </w:rPr>
      </w:pPr>
      <w:r>
        <w:t>63</w:t>
      </w:r>
      <w:r>
        <w:rPr>
          <w:snapToGrid w:val="0"/>
        </w:rPr>
        <w:t>.</w:t>
      </w:r>
      <w:r>
        <w:rPr>
          <w:snapToGrid w:val="0"/>
        </w:rPr>
        <w:tab/>
        <w:t>Driving under the influence of alcohol etc.</w:t>
      </w:r>
      <w:r>
        <w:tab/>
      </w:r>
      <w:r>
        <w:fldChar w:fldCharType="begin"/>
      </w:r>
      <w:r>
        <w:instrText xml:space="preserve"> PAGEREF _Toc472087075 \h </w:instrText>
      </w:r>
      <w:r>
        <w:fldChar w:fldCharType="separate"/>
      </w:r>
      <w:r>
        <w:t>33</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Driving with blood alcohol content of or above 0.08</w:t>
      </w:r>
      <w:r>
        <w:tab/>
      </w:r>
      <w:r>
        <w:fldChar w:fldCharType="begin"/>
      </w:r>
      <w:r>
        <w:instrText xml:space="preserve"> PAGEREF _Toc472087076 \h </w:instrText>
      </w:r>
      <w:r>
        <w:fldChar w:fldCharType="separate"/>
      </w:r>
      <w:r>
        <w:t>37</w:t>
      </w:r>
      <w:r>
        <w:fldChar w:fldCharType="end"/>
      </w:r>
    </w:p>
    <w:p>
      <w:pPr>
        <w:pStyle w:val="TOC8"/>
        <w:rPr>
          <w:rFonts w:asciiTheme="minorHAnsi" w:eastAsiaTheme="minorEastAsia" w:hAnsiTheme="minorHAnsi" w:cstheme="minorBidi"/>
          <w:szCs w:val="22"/>
        </w:rPr>
      </w:pPr>
      <w:r>
        <w:t>64AA</w:t>
      </w:r>
      <w:r>
        <w:rPr>
          <w:snapToGrid w:val="0"/>
        </w:rPr>
        <w:t>.</w:t>
      </w:r>
      <w:r>
        <w:rPr>
          <w:snapToGrid w:val="0"/>
        </w:rPr>
        <w:tab/>
        <w:t>Driving with blood alcohol content of or above 0.05</w:t>
      </w:r>
      <w:r>
        <w:tab/>
      </w:r>
      <w:r>
        <w:fldChar w:fldCharType="begin"/>
      </w:r>
      <w:r>
        <w:instrText xml:space="preserve"> PAGEREF _Toc472087077 \h </w:instrText>
      </w:r>
      <w:r>
        <w:fldChar w:fldCharType="separate"/>
      </w:r>
      <w:r>
        <w:t>38</w:t>
      </w:r>
      <w:r>
        <w:fldChar w:fldCharType="end"/>
      </w:r>
    </w:p>
    <w:p>
      <w:pPr>
        <w:pStyle w:val="TOC8"/>
        <w:rPr>
          <w:rFonts w:asciiTheme="minorHAnsi" w:eastAsiaTheme="minorEastAsia" w:hAnsiTheme="minorHAnsi" w:cstheme="minorBidi"/>
          <w:szCs w:val="22"/>
        </w:rPr>
      </w:pPr>
      <w:r>
        <w:t>64A</w:t>
      </w:r>
      <w:r>
        <w:rPr>
          <w:snapToGrid w:val="0"/>
        </w:rPr>
        <w:t>.</w:t>
      </w:r>
      <w:r>
        <w:rPr>
          <w:snapToGrid w:val="0"/>
        </w:rPr>
        <w:tab/>
        <w:t>Certain persons driving with blood alcohol content of or above 0.02</w:t>
      </w:r>
      <w:r>
        <w:tab/>
      </w:r>
      <w:r>
        <w:fldChar w:fldCharType="begin"/>
      </w:r>
      <w:r>
        <w:instrText xml:space="preserve"> PAGEREF _Toc472087078 \h </w:instrText>
      </w:r>
      <w:r>
        <w:fldChar w:fldCharType="separate"/>
      </w:r>
      <w:r>
        <w:t>40</w:t>
      </w:r>
      <w:r>
        <w:fldChar w:fldCharType="end"/>
      </w:r>
    </w:p>
    <w:p>
      <w:pPr>
        <w:pStyle w:val="TOC8"/>
        <w:rPr>
          <w:rFonts w:asciiTheme="minorHAnsi" w:eastAsiaTheme="minorEastAsia" w:hAnsiTheme="minorHAnsi" w:cstheme="minorBidi"/>
          <w:szCs w:val="22"/>
        </w:rPr>
      </w:pPr>
      <w:r>
        <w:t>64AAA.</w:t>
      </w:r>
      <w:r>
        <w:tab/>
        <w:t>Certain persons driving with any blood alcohol content</w:t>
      </w:r>
      <w:r>
        <w:tab/>
      </w:r>
      <w:r>
        <w:fldChar w:fldCharType="begin"/>
      </w:r>
      <w:r>
        <w:instrText xml:space="preserve"> PAGEREF _Toc472087079 \h </w:instrText>
      </w:r>
      <w:r>
        <w:fldChar w:fldCharType="separate"/>
      </w:r>
      <w:r>
        <w:t>43</w:t>
      </w:r>
      <w:r>
        <w:fldChar w:fldCharType="end"/>
      </w:r>
    </w:p>
    <w:p>
      <w:pPr>
        <w:pStyle w:val="TOC8"/>
        <w:rPr>
          <w:rFonts w:asciiTheme="minorHAnsi" w:eastAsiaTheme="minorEastAsia" w:hAnsiTheme="minorHAnsi" w:cstheme="minorBidi"/>
          <w:szCs w:val="22"/>
        </w:rPr>
      </w:pPr>
      <w:r>
        <w:t>64AB.</w:t>
      </w:r>
      <w:r>
        <w:tab/>
      </w:r>
      <w:r>
        <w:rPr>
          <w:snapToGrid w:val="0"/>
        </w:rPr>
        <w:t>Driving while impaired by drugs</w:t>
      </w:r>
      <w:r>
        <w:tab/>
      </w:r>
      <w:r>
        <w:fldChar w:fldCharType="begin"/>
      </w:r>
      <w:r>
        <w:instrText xml:space="preserve"> PAGEREF _Toc472087080 \h </w:instrText>
      </w:r>
      <w:r>
        <w:fldChar w:fldCharType="separate"/>
      </w:r>
      <w:r>
        <w:t>44</w:t>
      </w:r>
      <w:r>
        <w:fldChar w:fldCharType="end"/>
      </w:r>
    </w:p>
    <w:p>
      <w:pPr>
        <w:pStyle w:val="TOC8"/>
        <w:rPr>
          <w:rFonts w:asciiTheme="minorHAnsi" w:eastAsiaTheme="minorEastAsia" w:hAnsiTheme="minorHAnsi" w:cstheme="minorBidi"/>
          <w:szCs w:val="22"/>
        </w:rPr>
      </w:pPr>
      <w:r>
        <w:t>64AC.</w:t>
      </w:r>
      <w:r>
        <w:tab/>
      </w:r>
      <w:r>
        <w:rPr>
          <w:snapToGrid w:val="0"/>
        </w:rPr>
        <w:t>Driving with prescribed illicit drug in oral fluid or blood</w:t>
      </w:r>
      <w:r>
        <w:tab/>
      </w:r>
      <w:r>
        <w:fldChar w:fldCharType="begin"/>
      </w:r>
      <w:r>
        <w:instrText xml:space="preserve"> PAGEREF _Toc472087081 \h </w:instrText>
      </w:r>
      <w:r>
        <w:fldChar w:fldCharType="separate"/>
      </w:r>
      <w:r>
        <w:t>47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Terms used in s. 59 to 73</w:t>
      </w:r>
      <w:r>
        <w:tab/>
      </w:r>
      <w:r>
        <w:fldChar w:fldCharType="begin"/>
      </w:r>
      <w:r>
        <w:instrText xml:space="preserve"> PAGEREF _Toc472087082 \h </w:instrText>
      </w:r>
      <w:r>
        <w:fldChar w:fldCharType="separate"/>
      </w:r>
      <w:r>
        <w:t>48</w:t>
      </w:r>
      <w:r>
        <w:fldChar w:fldCharType="end"/>
      </w:r>
    </w:p>
    <w:p>
      <w:pPr>
        <w:pStyle w:val="TOC8"/>
        <w:rPr>
          <w:rFonts w:asciiTheme="minorHAnsi" w:eastAsiaTheme="minorEastAsia" w:hAnsiTheme="minorHAnsi" w:cstheme="minorBidi"/>
          <w:szCs w:val="22"/>
        </w:rPr>
      </w:pPr>
      <w:r>
        <w:t>65A.</w:t>
      </w:r>
      <w:r>
        <w:tab/>
        <w:t>Using breath sample to find blood alcohol content</w:t>
      </w:r>
      <w:r>
        <w:tab/>
      </w:r>
      <w:r>
        <w:fldChar w:fldCharType="begin"/>
      </w:r>
      <w:r>
        <w:instrText xml:space="preserve"> PAGEREF _Toc472087083 \h </w:instrText>
      </w:r>
      <w:r>
        <w:fldChar w:fldCharType="separate"/>
      </w:r>
      <w:r>
        <w:t>50</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Breath, blood or urine sample, police powers to require etc.</w:t>
      </w:r>
      <w:r>
        <w:tab/>
      </w:r>
      <w:r>
        <w:fldChar w:fldCharType="begin"/>
      </w:r>
      <w:r>
        <w:instrText xml:space="preserve"> PAGEREF _Toc472087084 \h </w:instrText>
      </w:r>
      <w:r>
        <w:fldChar w:fldCharType="separate"/>
      </w:r>
      <w:r>
        <w:t>51</w:t>
      </w:r>
      <w:r>
        <w:fldChar w:fldCharType="end"/>
      </w:r>
    </w:p>
    <w:p>
      <w:pPr>
        <w:pStyle w:val="TOC8"/>
        <w:rPr>
          <w:rFonts w:asciiTheme="minorHAnsi" w:eastAsiaTheme="minorEastAsia" w:hAnsiTheme="minorHAnsi" w:cstheme="minorBidi"/>
          <w:szCs w:val="22"/>
        </w:rPr>
      </w:pPr>
      <w:r>
        <w:t>66A.</w:t>
      </w:r>
      <w:r>
        <w:tab/>
        <w:t>Drug impairment, police powers to require driver assessment for etc.</w:t>
      </w:r>
      <w:r>
        <w:tab/>
      </w:r>
      <w:r>
        <w:fldChar w:fldCharType="begin"/>
      </w:r>
      <w:r>
        <w:instrText xml:space="preserve"> PAGEREF _Toc472087085 \h </w:instrText>
      </w:r>
      <w:r>
        <w:fldChar w:fldCharType="separate"/>
      </w:r>
      <w:r>
        <w:t>57</w:t>
      </w:r>
      <w:r>
        <w:fldChar w:fldCharType="end"/>
      </w:r>
    </w:p>
    <w:p>
      <w:pPr>
        <w:pStyle w:val="TOC8"/>
        <w:rPr>
          <w:rFonts w:asciiTheme="minorHAnsi" w:eastAsiaTheme="minorEastAsia" w:hAnsiTheme="minorHAnsi" w:cstheme="minorBidi"/>
          <w:szCs w:val="22"/>
        </w:rPr>
      </w:pPr>
      <w:r>
        <w:t>66B.</w:t>
      </w:r>
      <w:r>
        <w:tab/>
        <w:t>Blood or urine sample for drug analysis, police powers to require etc.</w:t>
      </w:r>
      <w:r>
        <w:tab/>
      </w:r>
      <w:r>
        <w:fldChar w:fldCharType="begin"/>
      </w:r>
      <w:r>
        <w:instrText xml:space="preserve"> PAGEREF _Toc472087086 \h </w:instrText>
      </w:r>
      <w:r>
        <w:fldChar w:fldCharType="separate"/>
      </w:r>
      <w:r>
        <w:t>59</w:t>
      </w:r>
      <w:r>
        <w:fldChar w:fldCharType="end"/>
      </w:r>
    </w:p>
    <w:p>
      <w:pPr>
        <w:pStyle w:val="TOC8"/>
        <w:rPr>
          <w:rFonts w:asciiTheme="minorHAnsi" w:eastAsiaTheme="minorEastAsia" w:hAnsiTheme="minorHAnsi" w:cstheme="minorBidi"/>
          <w:szCs w:val="22"/>
        </w:rPr>
      </w:pPr>
      <w:r>
        <w:t>66C.</w:t>
      </w:r>
      <w:r>
        <w:tab/>
        <w:t>P</w:t>
      </w:r>
      <w:r>
        <w:rPr>
          <w:snapToGrid w:val="0"/>
        </w:rPr>
        <w:t>reliminary oral fluid test, police powers to require etc.</w:t>
      </w:r>
      <w:r>
        <w:tab/>
      </w:r>
      <w:r>
        <w:fldChar w:fldCharType="begin"/>
      </w:r>
      <w:r>
        <w:instrText xml:space="preserve"> PAGEREF _Toc472087087 \h </w:instrText>
      </w:r>
      <w:r>
        <w:fldChar w:fldCharType="separate"/>
      </w:r>
      <w:r>
        <w:t>60</w:t>
      </w:r>
      <w:r>
        <w:fldChar w:fldCharType="end"/>
      </w:r>
    </w:p>
    <w:p>
      <w:pPr>
        <w:pStyle w:val="TOC8"/>
        <w:rPr>
          <w:rFonts w:asciiTheme="minorHAnsi" w:eastAsiaTheme="minorEastAsia" w:hAnsiTheme="minorHAnsi" w:cstheme="minorBidi"/>
          <w:szCs w:val="22"/>
        </w:rPr>
      </w:pPr>
      <w:r>
        <w:t>66D.</w:t>
      </w:r>
      <w:r>
        <w:tab/>
        <w:t>Oral fluid sample, police powers to require etc.</w:t>
      </w:r>
      <w:r>
        <w:tab/>
      </w:r>
      <w:r>
        <w:fldChar w:fldCharType="begin"/>
      </w:r>
      <w:r>
        <w:instrText xml:space="preserve"> PAGEREF _Toc472087088 \h </w:instrText>
      </w:r>
      <w:r>
        <w:fldChar w:fldCharType="separate"/>
      </w:r>
      <w:r>
        <w:t>62</w:t>
      </w:r>
      <w:r>
        <w:fldChar w:fldCharType="end"/>
      </w:r>
    </w:p>
    <w:p>
      <w:pPr>
        <w:pStyle w:val="TOC8"/>
        <w:rPr>
          <w:rFonts w:asciiTheme="minorHAnsi" w:eastAsiaTheme="minorEastAsia" w:hAnsiTheme="minorHAnsi" w:cstheme="minorBidi"/>
          <w:szCs w:val="22"/>
        </w:rPr>
      </w:pPr>
      <w:r>
        <w:t>66E.</w:t>
      </w:r>
      <w:r>
        <w:tab/>
        <w:t>Blood sample instead of oral fluid sample, police powers to require etc.</w:t>
      </w:r>
      <w:r>
        <w:tab/>
      </w:r>
      <w:r>
        <w:fldChar w:fldCharType="begin"/>
      </w:r>
      <w:r>
        <w:instrText xml:space="preserve"> PAGEREF _Toc472087089 \h </w:instrText>
      </w:r>
      <w:r>
        <w:fldChar w:fldCharType="separate"/>
      </w:r>
      <w:r>
        <w:t>63</w:t>
      </w:r>
      <w:r>
        <w:fldChar w:fldCharType="end"/>
      </w:r>
    </w:p>
    <w:p>
      <w:pPr>
        <w:pStyle w:val="TOC8"/>
        <w:rPr>
          <w:rFonts w:asciiTheme="minorHAnsi" w:eastAsiaTheme="minorEastAsia" w:hAnsiTheme="minorHAnsi" w:cstheme="minorBidi"/>
          <w:szCs w:val="22"/>
        </w:rPr>
      </w:pPr>
      <w:r>
        <w:t>66F.</w:t>
      </w:r>
      <w:r>
        <w:tab/>
        <w:t>M</w:t>
      </w:r>
      <w:r>
        <w:rPr>
          <w:snapToGrid w:val="0"/>
        </w:rPr>
        <w:t>edical practitioners and</w:t>
      </w:r>
      <w:r>
        <w:t xml:space="preserve"> registered nurses</w:t>
      </w:r>
      <w:r>
        <w:rPr>
          <w:snapToGrid w:val="0"/>
        </w:rPr>
        <w:t xml:space="preserve"> authorised to take blood samples for s. 66, 66B and 66E etc.</w:t>
      </w:r>
      <w:r>
        <w:tab/>
      </w:r>
      <w:r>
        <w:fldChar w:fldCharType="begin"/>
      </w:r>
      <w:r>
        <w:instrText xml:space="preserve"> PAGEREF _Toc472087090 \h </w:instrText>
      </w:r>
      <w:r>
        <w:fldChar w:fldCharType="separate"/>
      </w:r>
      <w:r>
        <w:t>64</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Failure to comply with s. 66 requirement to provide sample, allow sample to be taken or to accompany police officer</w:t>
      </w:r>
      <w:r>
        <w:tab/>
      </w:r>
      <w:r>
        <w:fldChar w:fldCharType="begin"/>
      </w:r>
      <w:r>
        <w:instrText xml:space="preserve"> PAGEREF _Toc472087091 \h </w:instrText>
      </w:r>
      <w:r>
        <w:fldChar w:fldCharType="separate"/>
      </w:r>
      <w:r>
        <w:t>64</w:t>
      </w:r>
      <w:r>
        <w:fldChar w:fldCharType="end"/>
      </w:r>
    </w:p>
    <w:p>
      <w:pPr>
        <w:pStyle w:val="TOC8"/>
        <w:rPr>
          <w:rFonts w:asciiTheme="minorHAnsi" w:eastAsiaTheme="minorEastAsia" w:hAnsiTheme="minorHAnsi" w:cstheme="minorBidi"/>
          <w:szCs w:val="22"/>
        </w:rPr>
      </w:pPr>
      <w:r>
        <w:t>67AA</w:t>
      </w:r>
      <w:r>
        <w:rPr>
          <w:snapToGrid w:val="0"/>
        </w:rPr>
        <w:t>.</w:t>
      </w:r>
      <w:r>
        <w:rPr>
          <w:snapToGrid w:val="0"/>
        </w:rPr>
        <w:tab/>
        <w:t>Failure to comply with s. 66A or 66B requirement to do driver assessment or provide blood or urine sample</w:t>
      </w:r>
      <w:r>
        <w:tab/>
      </w:r>
      <w:r>
        <w:fldChar w:fldCharType="begin"/>
      </w:r>
      <w:r>
        <w:instrText xml:space="preserve"> PAGEREF _Toc472087092 \h </w:instrText>
      </w:r>
      <w:r>
        <w:fldChar w:fldCharType="separate"/>
      </w:r>
      <w:r>
        <w:t>67</w:t>
      </w:r>
      <w:r>
        <w:fldChar w:fldCharType="end"/>
      </w:r>
    </w:p>
    <w:p>
      <w:pPr>
        <w:pStyle w:val="TOC8"/>
        <w:rPr>
          <w:rFonts w:asciiTheme="minorHAnsi" w:eastAsiaTheme="minorEastAsia" w:hAnsiTheme="minorHAnsi" w:cstheme="minorBidi"/>
          <w:szCs w:val="22"/>
        </w:rPr>
      </w:pPr>
      <w:r>
        <w:t>67AB</w:t>
      </w:r>
      <w:r>
        <w:rPr>
          <w:snapToGrid w:val="0"/>
        </w:rPr>
        <w:t>.</w:t>
      </w:r>
      <w:r>
        <w:rPr>
          <w:snapToGrid w:val="0"/>
        </w:rPr>
        <w:tab/>
        <w:t>Failure to comply with s. 66D or 66E requirement to provide oral fluid or blood sample</w:t>
      </w:r>
      <w:r>
        <w:tab/>
      </w:r>
      <w:r>
        <w:fldChar w:fldCharType="begin"/>
      </w:r>
      <w:r>
        <w:instrText xml:space="preserve"> PAGEREF _Toc472087093 \h </w:instrText>
      </w:r>
      <w:r>
        <w:fldChar w:fldCharType="separate"/>
      </w:r>
      <w:r>
        <w:t>69</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Failure to comply with other requirements of police officer</w:t>
      </w:r>
      <w:r>
        <w:tab/>
      </w:r>
      <w:r>
        <w:fldChar w:fldCharType="begin"/>
      </w:r>
      <w:r>
        <w:instrText xml:space="preserve"> PAGEREF _Toc472087094 \h </w:instrText>
      </w:r>
      <w:r>
        <w:fldChar w:fldCharType="separate"/>
      </w:r>
      <w:r>
        <w:t>70</w:t>
      </w:r>
      <w:r>
        <w:fldChar w:fldCharType="end"/>
      </w:r>
    </w:p>
    <w:p>
      <w:pPr>
        <w:pStyle w:val="TOC8"/>
        <w:rPr>
          <w:rFonts w:asciiTheme="minorHAnsi" w:eastAsiaTheme="minorEastAsia" w:hAnsiTheme="minorHAnsi" w:cstheme="minorBidi"/>
          <w:szCs w:val="22"/>
        </w:rPr>
      </w:pPr>
      <w:r>
        <w:t>68A.</w:t>
      </w:r>
      <w:r>
        <w:tab/>
        <w:t>Failure to comply with s. 66, 66C, 66D or 66E requirement: instructors</w:t>
      </w:r>
      <w:r>
        <w:tab/>
      </w:r>
      <w:r>
        <w:fldChar w:fldCharType="begin"/>
      </w:r>
      <w:r>
        <w:instrText xml:space="preserve"> PAGEREF _Toc472087095 \h </w:instrText>
      </w:r>
      <w:r>
        <w:fldChar w:fldCharType="separate"/>
      </w:r>
      <w:r>
        <w:t>72</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Breath sample, analysis of etc.</w:t>
      </w:r>
      <w:r>
        <w:tab/>
      </w:r>
      <w:r>
        <w:fldChar w:fldCharType="begin"/>
      </w:r>
      <w:r>
        <w:instrText xml:space="preserve"> PAGEREF _Toc472087096 \h </w:instrText>
      </w:r>
      <w:r>
        <w:fldChar w:fldCharType="separate"/>
      </w:r>
      <w:r>
        <w:t>73</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Blood sample, taking and analysis of</w:t>
      </w:r>
      <w:r>
        <w:tab/>
      </w:r>
      <w:r>
        <w:fldChar w:fldCharType="begin"/>
      </w:r>
      <w:r>
        <w:instrText xml:space="preserve"> PAGEREF _Toc472087097 \h </w:instrText>
      </w:r>
      <w:r>
        <w:fldChar w:fldCharType="separate"/>
      </w:r>
      <w:r>
        <w:t>75</w:t>
      </w:r>
      <w:r>
        <w:fldChar w:fldCharType="end"/>
      </w:r>
    </w:p>
    <w:p>
      <w:pPr>
        <w:pStyle w:val="TOC8"/>
        <w:rPr>
          <w:rFonts w:asciiTheme="minorHAnsi" w:eastAsiaTheme="minorEastAsia" w:hAnsiTheme="minorHAnsi" w:cstheme="minorBidi"/>
          <w:szCs w:val="22"/>
        </w:rPr>
      </w:pPr>
      <w:r>
        <w:t>69A</w:t>
      </w:r>
      <w:r>
        <w:rPr>
          <w:snapToGrid w:val="0"/>
        </w:rPr>
        <w:t>.</w:t>
      </w:r>
      <w:r>
        <w:rPr>
          <w:snapToGrid w:val="0"/>
        </w:rPr>
        <w:tab/>
        <w:t>Urine sample, taking of</w:t>
      </w:r>
      <w:r>
        <w:tab/>
      </w:r>
      <w:r>
        <w:fldChar w:fldCharType="begin"/>
      </w:r>
      <w:r>
        <w:instrText xml:space="preserve"> PAGEREF _Toc472087098 \h </w:instrText>
      </w:r>
      <w:r>
        <w:fldChar w:fldCharType="separate"/>
      </w:r>
      <w:r>
        <w:t>77</w:t>
      </w:r>
      <w:r>
        <w:fldChar w:fldCharType="end"/>
      </w:r>
    </w:p>
    <w:p>
      <w:pPr>
        <w:pStyle w:val="TOC8"/>
        <w:rPr>
          <w:rFonts w:asciiTheme="minorHAnsi" w:eastAsiaTheme="minorEastAsia" w:hAnsiTheme="minorHAnsi" w:cstheme="minorBidi"/>
          <w:szCs w:val="22"/>
        </w:rPr>
      </w:pPr>
      <w:r>
        <w:t>69B.</w:t>
      </w:r>
      <w:r>
        <w:tab/>
        <w:t>Oral fluid sample, taking of</w:t>
      </w:r>
      <w:r>
        <w:tab/>
      </w:r>
      <w:r>
        <w:fldChar w:fldCharType="begin"/>
      </w:r>
      <w:r>
        <w:instrText xml:space="preserve"> PAGEREF _Toc472087099 \h </w:instrText>
      </w:r>
      <w:r>
        <w:fldChar w:fldCharType="separate"/>
      </w:r>
      <w:r>
        <w:t>77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Evidentiary provisions</w:t>
      </w:r>
      <w:r>
        <w:tab/>
      </w:r>
      <w:r>
        <w:fldChar w:fldCharType="begin"/>
      </w:r>
      <w:r>
        <w:instrText xml:space="preserve"> PAGEREF _Toc472087100 \h </w:instrText>
      </w:r>
      <w:r>
        <w:fldChar w:fldCharType="separate"/>
      </w:r>
      <w:r>
        <w:t>77</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Blood alcohol content at material time, how calculated</w:t>
      </w:r>
      <w:r>
        <w:tab/>
      </w:r>
      <w:r>
        <w:fldChar w:fldCharType="begin"/>
      </w:r>
      <w:r>
        <w:instrText xml:space="preserve"> PAGEREF _Toc472087101 \h </w:instrText>
      </w:r>
      <w:r>
        <w:fldChar w:fldCharType="separate"/>
      </w:r>
      <w:r>
        <w:t>87</w:t>
      </w:r>
      <w:r>
        <w:fldChar w:fldCharType="end"/>
      </w:r>
    </w:p>
    <w:p>
      <w:pPr>
        <w:pStyle w:val="TOC8"/>
        <w:rPr>
          <w:rFonts w:asciiTheme="minorHAnsi" w:eastAsiaTheme="minorEastAsia" w:hAnsiTheme="minorHAnsi" w:cstheme="minorBidi"/>
          <w:szCs w:val="22"/>
        </w:rPr>
      </w:pPr>
      <w:r>
        <w:t>71A.</w:t>
      </w:r>
      <w:r>
        <w:tab/>
        <w:t>Samples not to be used to obtain DNA</w:t>
      </w:r>
      <w:r>
        <w:tab/>
      </w:r>
      <w:r>
        <w:fldChar w:fldCharType="begin"/>
      </w:r>
      <w:r>
        <w:instrText xml:space="preserve"> PAGEREF _Toc472087102 \h </w:instrText>
      </w:r>
      <w:r>
        <w:fldChar w:fldCharType="separate"/>
      </w:r>
      <w:r>
        <w:t>89</w:t>
      </w:r>
      <w:r>
        <w:fldChar w:fldCharType="end"/>
      </w:r>
    </w:p>
    <w:p>
      <w:pPr>
        <w:pStyle w:val="TOC8"/>
        <w:rPr>
          <w:rFonts w:asciiTheme="minorHAnsi" w:eastAsiaTheme="minorEastAsia" w:hAnsiTheme="minorHAnsi" w:cstheme="minorBidi"/>
          <w:szCs w:val="22"/>
        </w:rPr>
      </w:pPr>
      <w:r>
        <w:t>71B.</w:t>
      </w:r>
      <w:r>
        <w:tab/>
        <w:t>Preventing use of vehicle by alleged offender, police powers for</w:t>
      </w:r>
      <w:r>
        <w:tab/>
      </w:r>
      <w:r>
        <w:fldChar w:fldCharType="begin"/>
      </w:r>
      <w:r>
        <w:instrText xml:space="preserve"> PAGEREF _Toc472087103 \h </w:instrText>
      </w:r>
      <w:r>
        <w:fldChar w:fldCharType="separate"/>
      </w:r>
      <w:r>
        <w:t>89</w:t>
      </w:r>
      <w:r>
        <w:fldChar w:fldCharType="end"/>
      </w:r>
    </w:p>
    <w:p>
      <w:pPr>
        <w:pStyle w:val="TOC8"/>
        <w:rPr>
          <w:rFonts w:asciiTheme="minorHAnsi" w:eastAsiaTheme="minorEastAsia" w:hAnsiTheme="minorHAnsi" w:cstheme="minorBidi"/>
          <w:szCs w:val="22"/>
        </w:rPr>
      </w:pPr>
      <w:r>
        <w:t>71C.</w:t>
      </w:r>
      <w:r>
        <w:tab/>
        <w:t>Disqualification by police officer</w:t>
      </w:r>
      <w:r>
        <w:tab/>
      </w:r>
      <w:r>
        <w:fldChar w:fldCharType="begin"/>
      </w:r>
      <w:r>
        <w:instrText xml:space="preserve"> PAGEREF _Toc472087104 \h </w:instrText>
      </w:r>
      <w:r>
        <w:fldChar w:fldCharType="separate"/>
      </w:r>
      <w:r>
        <w:t>91</w:t>
      </w:r>
      <w:r>
        <w:fldChar w:fldCharType="end"/>
      </w:r>
    </w:p>
    <w:p>
      <w:pPr>
        <w:pStyle w:val="TOC8"/>
        <w:rPr>
          <w:rFonts w:asciiTheme="minorHAnsi" w:eastAsiaTheme="minorEastAsia" w:hAnsiTheme="minorHAnsi" w:cstheme="minorBidi"/>
          <w:szCs w:val="22"/>
        </w:rPr>
      </w:pPr>
      <w:r>
        <w:t>71D.</w:t>
      </w:r>
      <w:r>
        <w:tab/>
        <w:t>Disqualification notice (s. 71C), consequences of</w:t>
      </w:r>
      <w:r>
        <w:tab/>
      </w:r>
      <w:r>
        <w:fldChar w:fldCharType="begin"/>
      </w:r>
      <w:r>
        <w:instrText xml:space="preserve"> PAGEREF _Toc472087105 \h </w:instrText>
      </w:r>
      <w:r>
        <w:fldChar w:fldCharType="separate"/>
      </w:r>
      <w:r>
        <w:t>93</w:t>
      </w:r>
      <w:r>
        <w:fldChar w:fldCharType="end"/>
      </w:r>
    </w:p>
    <w:p>
      <w:pPr>
        <w:pStyle w:val="TOC8"/>
        <w:rPr>
          <w:rFonts w:asciiTheme="minorHAnsi" w:eastAsiaTheme="minorEastAsia" w:hAnsiTheme="minorHAnsi" w:cstheme="minorBidi"/>
          <w:szCs w:val="22"/>
        </w:rPr>
      </w:pPr>
      <w:r>
        <w:t>71E.</w:t>
      </w:r>
      <w:r>
        <w:tab/>
        <w:t>Revocation of disqualification notice by police officer</w:t>
      </w:r>
      <w:r>
        <w:tab/>
      </w:r>
      <w:r>
        <w:fldChar w:fldCharType="begin"/>
      </w:r>
      <w:r>
        <w:instrText xml:space="preserve"> PAGEREF _Toc472087106 \h </w:instrText>
      </w:r>
      <w:r>
        <w:fldChar w:fldCharType="separate"/>
      </w:r>
      <w:r>
        <w:t>93</w:t>
      </w:r>
      <w:r>
        <w:fldChar w:fldCharType="end"/>
      </w:r>
    </w:p>
    <w:p>
      <w:pPr>
        <w:pStyle w:val="TOC8"/>
        <w:rPr>
          <w:rFonts w:asciiTheme="minorHAnsi" w:eastAsiaTheme="minorEastAsia" w:hAnsiTheme="minorHAnsi" w:cstheme="minorBidi"/>
          <w:szCs w:val="22"/>
        </w:rPr>
      </w:pPr>
      <w:r>
        <w:t>71F.</w:t>
      </w:r>
      <w:r>
        <w:tab/>
        <w:t>Disqualification notice (s. 71C), court may order police to revoke</w:t>
      </w:r>
      <w:r>
        <w:tab/>
      </w:r>
      <w:r>
        <w:fldChar w:fldCharType="begin"/>
      </w:r>
      <w:r>
        <w:instrText xml:space="preserve"> PAGEREF _Toc472087107 \h </w:instrText>
      </w:r>
      <w:r>
        <w:fldChar w:fldCharType="separate"/>
      </w:r>
      <w:r>
        <w:t>94</w:t>
      </w:r>
      <w:r>
        <w:fldChar w:fldCharType="end"/>
      </w:r>
    </w:p>
    <w:p>
      <w:pPr>
        <w:pStyle w:val="TOC8"/>
        <w:rPr>
          <w:rFonts w:asciiTheme="minorHAnsi" w:eastAsiaTheme="minorEastAsia" w:hAnsiTheme="minorHAnsi" w:cstheme="minorBidi"/>
          <w:szCs w:val="22"/>
        </w:rPr>
      </w:pPr>
      <w:r>
        <w:t>71G.</w:t>
      </w:r>
      <w:r>
        <w:tab/>
        <w:t>Disqualification notice (s. 71C) automatically revoked on acquittal etc.</w:t>
      </w:r>
      <w:r>
        <w:tab/>
      </w:r>
      <w:r>
        <w:fldChar w:fldCharType="begin"/>
      </w:r>
      <w:r>
        <w:instrText xml:space="preserve"> PAGEREF _Toc472087108 \h </w:instrText>
      </w:r>
      <w:r>
        <w:fldChar w:fldCharType="separate"/>
      </w:r>
      <w:r>
        <w:t>95</w:t>
      </w:r>
      <w:r>
        <w:fldChar w:fldCharType="end"/>
      </w:r>
    </w:p>
    <w:p>
      <w:pPr>
        <w:pStyle w:val="TOC8"/>
        <w:rPr>
          <w:rFonts w:asciiTheme="minorHAnsi" w:eastAsiaTheme="minorEastAsia" w:hAnsiTheme="minorHAnsi" w:cstheme="minorBidi"/>
          <w:szCs w:val="22"/>
        </w:rPr>
      </w:pPr>
      <w:r>
        <w:t>71H.</w:t>
      </w:r>
      <w:r>
        <w:tab/>
        <w:t>Period of disqualification under s. 71C notice to be taken into account in sentencing</w:t>
      </w:r>
      <w:r>
        <w:tab/>
      </w:r>
      <w:r>
        <w:fldChar w:fldCharType="begin"/>
      </w:r>
      <w:r>
        <w:instrText xml:space="preserve"> PAGEREF _Toc472087109 \h </w:instrText>
      </w:r>
      <w:r>
        <w:fldChar w:fldCharType="separate"/>
      </w:r>
      <w:r>
        <w:t>95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Taking and testing samples: regulations for s. 59 to 73, and approval of apparatus and persons</w:t>
      </w:r>
      <w:r>
        <w:tab/>
      </w:r>
      <w:r>
        <w:fldChar w:fldCharType="begin"/>
      </w:r>
      <w:r>
        <w:instrText xml:space="preserve"> PAGEREF _Toc472087110 \h </w:instrText>
      </w:r>
      <w:r>
        <w:fldChar w:fldCharType="separate"/>
      </w:r>
      <w:r>
        <w:t>95</w:t>
      </w:r>
      <w:r>
        <w:fldChar w:fldCharType="end"/>
      </w:r>
    </w:p>
    <w:p>
      <w:pPr>
        <w:pStyle w:val="TOC8"/>
        <w:rPr>
          <w:rFonts w:asciiTheme="minorHAnsi" w:eastAsiaTheme="minorEastAsia" w:hAnsiTheme="minorHAnsi" w:cstheme="minorBidi"/>
          <w:szCs w:val="22"/>
        </w:rPr>
      </w:pPr>
      <w:r>
        <w:t>72A.</w:t>
      </w:r>
      <w:r>
        <w:tab/>
        <w:t>Review of 2007 amendments to Act about drugs</w:t>
      </w:r>
      <w:r>
        <w:tab/>
      </w:r>
      <w:r>
        <w:fldChar w:fldCharType="begin"/>
      </w:r>
      <w:r>
        <w:instrText xml:space="preserve"> PAGEREF _Toc472087111 \h </w:instrText>
      </w:r>
      <w:r>
        <w:fldChar w:fldCharType="separate"/>
      </w:r>
      <w:r>
        <w:t>99</w:t>
      </w:r>
      <w:r>
        <w:fldChar w:fldCharType="end"/>
      </w:r>
    </w:p>
    <w:p>
      <w:pPr>
        <w:pStyle w:val="TOC4"/>
        <w:tabs>
          <w:tab w:val="right" w:leader="dot" w:pos="7087"/>
        </w:tabs>
        <w:rPr>
          <w:rFonts w:asciiTheme="minorHAnsi" w:eastAsiaTheme="minorEastAsia" w:hAnsiTheme="minorHAnsi" w:cstheme="minorBidi"/>
          <w:b w:val="0"/>
          <w:szCs w:val="22"/>
        </w:rPr>
      </w:pPr>
      <w:r>
        <w:t>Division 3 — General matters as to driving offences</w:t>
      </w:r>
    </w:p>
    <w:p>
      <w:pPr>
        <w:pStyle w:val="TOC8"/>
        <w:rPr>
          <w:rFonts w:asciiTheme="minorHAnsi" w:eastAsiaTheme="minorEastAsia" w:hAnsiTheme="minorHAnsi" w:cstheme="minorBidi"/>
          <w:szCs w:val="22"/>
        </w:rPr>
      </w:pPr>
      <w:r>
        <w:t>73</w:t>
      </w:r>
      <w:r>
        <w:rPr>
          <w:snapToGrid w:val="0"/>
        </w:rPr>
        <w:t>.</w:t>
      </w:r>
      <w:r>
        <w:rPr>
          <w:snapToGrid w:val="0"/>
        </w:rPr>
        <w:tab/>
        <w:t>Certain offences extend to driving or attempting to drive in public places</w:t>
      </w:r>
      <w:r>
        <w:tab/>
      </w:r>
      <w:r>
        <w:fldChar w:fldCharType="begin"/>
      </w:r>
      <w:r>
        <w:instrText xml:space="preserve"> PAGEREF _Toc472087113 \h </w:instrText>
      </w:r>
      <w:r>
        <w:fldChar w:fldCharType="separate"/>
      </w:r>
      <w:r>
        <w:t>100</w:t>
      </w:r>
      <w:r>
        <w:fldChar w:fldCharType="end"/>
      </w:r>
    </w:p>
    <w:p>
      <w:pPr>
        <w:pStyle w:val="TOC4"/>
        <w:tabs>
          <w:tab w:val="right" w:leader="dot" w:pos="7087"/>
        </w:tabs>
        <w:rPr>
          <w:rFonts w:asciiTheme="minorHAnsi" w:eastAsiaTheme="minorEastAsia" w:hAnsiTheme="minorHAnsi" w:cstheme="minorBidi"/>
          <w:b w:val="0"/>
          <w:szCs w:val="22"/>
        </w:rPr>
      </w:pPr>
      <w:r>
        <w:t>Division 4 — Impounding and confiscation of vehicles for certain offences</w:t>
      </w:r>
    </w:p>
    <w:p>
      <w:pPr>
        <w:pStyle w:val="TOC6"/>
        <w:tabs>
          <w:tab w:val="right" w:leader="dot" w:pos="708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78A.</w:t>
      </w:r>
      <w:r>
        <w:tab/>
        <w:t>Terms used</w:t>
      </w:r>
      <w:r>
        <w:tab/>
      </w:r>
      <w:r>
        <w:fldChar w:fldCharType="begin"/>
      </w:r>
      <w:r>
        <w:instrText xml:space="preserve"> PAGEREF _Toc472087116 \h </w:instrText>
      </w:r>
      <w:r>
        <w:fldChar w:fldCharType="separate"/>
      </w:r>
      <w:r>
        <w:t>101</w:t>
      </w:r>
      <w:r>
        <w:fldChar w:fldCharType="end"/>
      </w:r>
    </w:p>
    <w:p>
      <w:pPr>
        <w:pStyle w:val="TOC8"/>
        <w:rPr>
          <w:rFonts w:asciiTheme="minorHAnsi" w:eastAsiaTheme="minorEastAsia" w:hAnsiTheme="minorHAnsi" w:cstheme="minorBidi"/>
          <w:szCs w:val="22"/>
        </w:rPr>
      </w:pPr>
      <w:r>
        <w:t>78B.</w:t>
      </w:r>
      <w:r>
        <w:tab/>
        <w:t>Penalties etc. not affected by impounding etc.</w:t>
      </w:r>
      <w:r>
        <w:tab/>
      </w:r>
      <w:r>
        <w:fldChar w:fldCharType="begin"/>
      </w:r>
      <w:r>
        <w:instrText xml:space="preserve"> PAGEREF _Toc472087117 \h </w:instrText>
      </w:r>
      <w:r>
        <w:fldChar w:fldCharType="separate"/>
      </w:r>
      <w:r>
        <w:t>105</w:t>
      </w:r>
      <w:r>
        <w:fldChar w:fldCharType="end"/>
      </w:r>
    </w:p>
    <w:p>
      <w:pPr>
        <w:pStyle w:val="TOC8"/>
        <w:rPr>
          <w:rFonts w:asciiTheme="minorHAnsi" w:eastAsiaTheme="minorEastAsia" w:hAnsiTheme="minorHAnsi" w:cstheme="minorBidi"/>
          <w:szCs w:val="22"/>
        </w:rPr>
      </w:pPr>
      <w:r>
        <w:t>78C</w:t>
      </w:r>
      <w:r>
        <w:rPr>
          <w:snapToGrid w:val="0"/>
        </w:rPr>
        <w:t>.</w:t>
      </w:r>
      <w:r>
        <w:rPr>
          <w:snapToGrid w:val="0"/>
        </w:rPr>
        <w:tab/>
        <w:t>Police powers for this Division</w:t>
      </w:r>
      <w:r>
        <w:tab/>
      </w:r>
      <w:r>
        <w:fldChar w:fldCharType="begin"/>
      </w:r>
      <w:r>
        <w:instrText xml:space="preserve"> PAGEREF _Toc472087118 \h </w:instrText>
      </w:r>
      <w:r>
        <w:fldChar w:fldCharType="separate"/>
      </w:r>
      <w:r>
        <w:t>105</w:t>
      </w:r>
      <w:r>
        <w:fldChar w:fldCharType="end"/>
      </w:r>
    </w:p>
    <w:p>
      <w:pPr>
        <w:pStyle w:val="TOC8"/>
        <w:rPr>
          <w:rFonts w:asciiTheme="minorHAnsi" w:eastAsiaTheme="minorEastAsia" w:hAnsiTheme="minorHAnsi" w:cstheme="minorBidi"/>
          <w:szCs w:val="22"/>
        </w:rPr>
      </w:pPr>
      <w:r>
        <w:t>78D.</w:t>
      </w:r>
      <w:r>
        <w:tab/>
        <w:t>Contracts for conveying, storing etc. impounded etc. vehicles</w:t>
      </w:r>
      <w:r>
        <w:tab/>
      </w:r>
      <w:r>
        <w:fldChar w:fldCharType="begin"/>
      </w:r>
      <w:r>
        <w:instrText xml:space="preserve"> PAGEREF _Toc472087119 \h </w:instrText>
      </w:r>
      <w:r>
        <w:fldChar w:fldCharType="separate"/>
      </w:r>
      <w:r>
        <w:t>107</w:t>
      </w:r>
      <w:r>
        <w:fldChar w:fldCharType="end"/>
      </w:r>
    </w:p>
    <w:p>
      <w:pPr>
        <w:pStyle w:val="TOC8"/>
        <w:rPr>
          <w:rFonts w:asciiTheme="minorHAnsi" w:eastAsiaTheme="minorEastAsia" w:hAnsiTheme="minorHAnsi" w:cstheme="minorBidi"/>
          <w:szCs w:val="22"/>
        </w:rPr>
      </w:pPr>
      <w:r>
        <w:t>78E.</w:t>
      </w:r>
      <w:r>
        <w:tab/>
        <w:t>Expenses owed to Commissioner, recovery of</w:t>
      </w:r>
      <w:r>
        <w:tab/>
      </w:r>
      <w:r>
        <w:fldChar w:fldCharType="begin"/>
      </w:r>
      <w:r>
        <w:instrText xml:space="preserve"> PAGEREF _Toc472087120 \h </w:instrText>
      </w:r>
      <w:r>
        <w:fldChar w:fldCharType="separate"/>
      </w:r>
      <w:r>
        <w:t>108</w:t>
      </w:r>
      <w:r>
        <w:fldChar w:fldCharType="end"/>
      </w:r>
    </w:p>
    <w:p>
      <w:pPr>
        <w:pStyle w:val="TOC8"/>
        <w:rPr>
          <w:rFonts w:asciiTheme="minorHAnsi" w:eastAsiaTheme="minorEastAsia" w:hAnsiTheme="minorHAnsi" w:cstheme="minorBidi"/>
          <w:szCs w:val="22"/>
        </w:rPr>
      </w:pPr>
      <w:r>
        <w:t>78F.</w:t>
      </w:r>
      <w:r>
        <w:tab/>
        <w:t>Right of Commissioner of Police to be heard in proceedings under this Division</w:t>
      </w:r>
      <w:r>
        <w:tab/>
      </w:r>
      <w:r>
        <w:fldChar w:fldCharType="begin"/>
      </w:r>
      <w:r>
        <w:instrText xml:space="preserve"> PAGEREF _Toc472087121 \h </w:instrText>
      </w:r>
      <w:r>
        <w:fldChar w:fldCharType="separate"/>
      </w:r>
      <w:r>
        <w:t>108</w:t>
      </w:r>
      <w:r>
        <w:fldChar w:fldCharType="end"/>
      </w:r>
    </w:p>
    <w:p>
      <w:pPr>
        <w:pStyle w:val="TOC6"/>
        <w:tabs>
          <w:tab w:val="right" w:leader="dot" w:pos="7087"/>
        </w:tabs>
        <w:rPr>
          <w:rFonts w:asciiTheme="minorHAnsi" w:eastAsiaTheme="minorEastAsia" w:hAnsiTheme="minorHAnsi" w:cstheme="minorBidi"/>
          <w:b w:val="0"/>
          <w:sz w:val="22"/>
          <w:szCs w:val="22"/>
        </w:rPr>
      </w:pPr>
      <w:r>
        <w:t>Subdivision 2 — Impounding of vehicles by police for certain offences</w:t>
      </w:r>
    </w:p>
    <w:p>
      <w:pPr>
        <w:pStyle w:val="TOC8"/>
        <w:rPr>
          <w:rFonts w:asciiTheme="minorHAnsi" w:eastAsiaTheme="minorEastAsia" w:hAnsiTheme="minorHAnsi" w:cstheme="minorBidi"/>
          <w:szCs w:val="22"/>
        </w:rPr>
      </w:pPr>
      <w:r>
        <w:t>79.</w:t>
      </w:r>
      <w:r>
        <w:tab/>
        <w:t>Impounding offence (driving), police powers to impound vehicle used in</w:t>
      </w:r>
      <w:r>
        <w:tab/>
      </w:r>
      <w:r>
        <w:fldChar w:fldCharType="begin"/>
      </w:r>
      <w:r>
        <w:instrText xml:space="preserve"> PAGEREF _Toc472087123 \h </w:instrText>
      </w:r>
      <w:r>
        <w:fldChar w:fldCharType="separate"/>
      </w:r>
      <w:r>
        <w:t>108</w:t>
      </w:r>
      <w:r>
        <w:fldChar w:fldCharType="end"/>
      </w:r>
    </w:p>
    <w:p>
      <w:pPr>
        <w:pStyle w:val="TOC8"/>
        <w:rPr>
          <w:rFonts w:asciiTheme="minorHAnsi" w:eastAsiaTheme="minorEastAsia" w:hAnsiTheme="minorHAnsi" w:cstheme="minorBidi"/>
          <w:szCs w:val="22"/>
        </w:rPr>
      </w:pPr>
      <w:r>
        <w:t>79A.</w:t>
      </w:r>
      <w:r>
        <w:tab/>
        <w:t>Impounding offence (driver’s licence), police powers to impound vehicle used in</w:t>
      </w:r>
      <w:r>
        <w:tab/>
      </w:r>
      <w:r>
        <w:fldChar w:fldCharType="begin"/>
      </w:r>
      <w:r>
        <w:instrText xml:space="preserve"> PAGEREF _Toc472087124 \h </w:instrText>
      </w:r>
      <w:r>
        <w:fldChar w:fldCharType="separate"/>
      </w:r>
      <w:r>
        <w:t>110</w:t>
      </w:r>
      <w:r>
        <w:fldChar w:fldCharType="end"/>
      </w:r>
    </w:p>
    <w:p>
      <w:pPr>
        <w:pStyle w:val="TOC8"/>
        <w:rPr>
          <w:rFonts w:asciiTheme="minorHAnsi" w:eastAsiaTheme="minorEastAsia" w:hAnsiTheme="minorHAnsi" w:cstheme="minorBidi"/>
          <w:szCs w:val="22"/>
        </w:rPr>
      </w:pPr>
      <w:r>
        <w:t>79BA.</w:t>
      </w:r>
      <w:r>
        <w:tab/>
        <w:t>Notice to surrender vehicle for impoundment, issue of etc.</w:t>
      </w:r>
      <w:r>
        <w:tab/>
      </w:r>
      <w:r>
        <w:fldChar w:fldCharType="begin"/>
      </w:r>
      <w:r>
        <w:instrText xml:space="preserve"> PAGEREF _Toc472087125 \h </w:instrText>
      </w:r>
      <w:r>
        <w:fldChar w:fldCharType="separate"/>
      </w:r>
      <w:r>
        <w:t>110</w:t>
      </w:r>
      <w:r>
        <w:fldChar w:fldCharType="end"/>
      </w:r>
    </w:p>
    <w:p>
      <w:pPr>
        <w:pStyle w:val="TOC8"/>
        <w:rPr>
          <w:rFonts w:asciiTheme="minorHAnsi" w:eastAsiaTheme="minorEastAsia" w:hAnsiTheme="minorHAnsi" w:cstheme="minorBidi"/>
          <w:szCs w:val="22"/>
        </w:rPr>
      </w:pPr>
      <w:r>
        <w:t>79BB.</w:t>
      </w:r>
      <w:r>
        <w:tab/>
        <w:t>Consequences of surrender notice</w:t>
      </w:r>
      <w:r>
        <w:tab/>
      </w:r>
      <w:r>
        <w:fldChar w:fldCharType="begin"/>
      </w:r>
      <w:r>
        <w:instrText xml:space="preserve"> PAGEREF _Toc472087126 \h </w:instrText>
      </w:r>
      <w:r>
        <w:fldChar w:fldCharType="separate"/>
      </w:r>
      <w:r>
        <w:t>112</w:t>
      </w:r>
      <w:r>
        <w:fldChar w:fldCharType="end"/>
      </w:r>
    </w:p>
    <w:p>
      <w:pPr>
        <w:pStyle w:val="TOC8"/>
        <w:rPr>
          <w:rFonts w:asciiTheme="minorHAnsi" w:eastAsiaTheme="minorEastAsia" w:hAnsiTheme="minorHAnsi" w:cstheme="minorBidi"/>
          <w:szCs w:val="22"/>
        </w:rPr>
      </w:pPr>
      <w:r>
        <w:t>79BCA.</w:t>
      </w:r>
      <w:r>
        <w:tab/>
        <w:t>Surrender substitute vehicle notice</w:t>
      </w:r>
      <w:r>
        <w:tab/>
      </w:r>
      <w:r>
        <w:fldChar w:fldCharType="begin"/>
      </w:r>
      <w:r>
        <w:instrText xml:space="preserve"> PAGEREF _Toc472087127 \h </w:instrText>
      </w:r>
      <w:r>
        <w:fldChar w:fldCharType="separate"/>
      </w:r>
      <w:r>
        <w:t>113</w:t>
      </w:r>
      <w:r>
        <w:fldChar w:fldCharType="end"/>
      </w:r>
    </w:p>
    <w:p>
      <w:pPr>
        <w:pStyle w:val="TOC8"/>
        <w:rPr>
          <w:rFonts w:asciiTheme="minorHAnsi" w:eastAsiaTheme="minorEastAsia" w:hAnsiTheme="minorHAnsi" w:cstheme="minorBidi"/>
          <w:szCs w:val="22"/>
        </w:rPr>
      </w:pPr>
      <w:r>
        <w:t>79BCB.</w:t>
      </w:r>
      <w:r>
        <w:tab/>
        <w:t>Consequences of surrender substitute vehicle notice</w:t>
      </w:r>
      <w:r>
        <w:tab/>
      </w:r>
      <w:r>
        <w:fldChar w:fldCharType="begin"/>
      </w:r>
      <w:r>
        <w:instrText xml:space="preserve"> PAGEREF _Toc472087128 \h </w:instrText>
      </w:r>
      <w:r>
        <w:fldChar w:fldCharType="separate"/>
      </w:r>
      <w:r>
        <w:t>116</w:t>
      </w:r>
      <w:r>
        <w:fldChar w:fldCharType="end"/>
      </w:r>
    </w:p>
    <w:p>
      <w:pPr>
        <w:pStyle w:val="TOC8"/>
        <w:rPr>
          <w:rFonts w:asciiTheme="minorHAnsi" w:eastAsiaTheme="minorEastAsia" w:hAnsiTheme="minorHAnsi" w:cstheme="minorBidi"/>
          <w:szCs w:val="22"/>
        </w:rPr>
      </w:pPr>
      <w:r>
        <w:t>79BCC.</w:t>
      </w:r>
      <w:r>
        <w:tab/>
        <w:t>Cancelling notice under s. 79BA, 79BCA or 79BCD</w:t>
      </w:r>
      <w:r>
        <w:tab/>
      </w:r>
      <w:r>
        <w:fldChar w:fldCharType="begin"/>
      </w:r>
      <w:r>
        <w:instrText xml:space="preserve"> PAGEREF _Toc472087129 \h </w:instrText>
      </w:r>
      <w:r>
        <w:fldChar w:fldCharType="separate"/>
      </w:r>
      <w:r>
        <w:t>117</w:t>
      </w:r>
      <w:r>
        <w:fldChar w:fldCharType="end"/>
      </w:r>
    </w:p>
    <w:p>
      <w:pPr>
        <w:pStyle w:val="TOC8"/>
        <w:rPr>
          <w:rFonts w:asciiTheme="minorHAnsi" w:eastAsiaTheme="minorEastAsia" w:hAnsiTheme="minorHAnsi" w:cstheme="minorBidi"/>
          <w:szCs w:val="22"/>
        </w:rPr>
      </w:pPr>
      <w:r>
        <w:t>79BCD.</w:t>
      </w:r>
      <w:r>
        <w:tab/>
        <w:t>Surrender alternative vehicle notice</w:t>
      </w:r>
      <w:r>
        <w:tab/>
      </w:r>
      <w:r>
        <w:fldChar w:fldCharType="begin"/>
      </w:r>
      <w:r>
        <w:instrText xml:space="preserve"> PAGEREF _Toc472087130 \h </w:instrText>
      </w:r>
      <w:r>
        <w:fldChar w:fldCharType="separate"/>
      </w:r>
      <w:r>
        <w:t>118</w:t>
      </w:r>
      <w:r>
        <w:fldChar w:fldCharType="end"/>
      </w:r>
    </w:p>
    <w:p>
      <w:pPr>
        <w:pStyle w:val="TOC8"/>
        <w:rPr>
          <w:rFonts w:asciiTheme="minorHAnsi" w:eastAsiaTheme="minorEastAsia" w:hAnsiTheme="minorHAnsi" w:cstheme="minorBidi"/>
          <w:szCs w:val="22"/>
        </w:rPr>
      </w:pPr>
      <w:r>
        <w:t>79BCE.</w:t>
      </w:r>
      <w:r>
        <w:tab/>
        <w:t>Consequences of surrender alternative vehicle notice</w:t>
      </w:r>
      <w:r>
        <w:tab/>
      </w:r>
      <w:r>
        <w:fldChar w:fldCharType="begin"/>
      </w:r>
      <w:r>
        <w:instrText xml:space="preserve"> PAGEREF _Toc472087131 \h </w:instrText>
      </w:r>
      <w:r>
        <w:fldChar w:fldCharType="separate"/>
      </w:r>
      <w:r>
        <w:t>120</w:t>
      </w:r>
      <w:r>
        <w:fldChar w:fldCharType="end"/>
      </w:r>
    </w:p>
    <w:p>
      <w:pPr>
        <w:pStyle w:val="TOC8"/>
        <w:rPr>
          <w:rFonts w:asciiTheme="minorHAnsi" w:eastAsiaTheme="minorEastAsia" w:hAnsiTheme="minorHAnsi" w:cstheme="minorBidi"/>
          <w:szCs w:val="22"/>
        </w:rPr>
      </w:pPr>
      <w:r>
        <w:t>79BC.</w:t>
      </w:r>
      <w:r>
        <w:tab/>
        <w:t>Acquittal etc. of pending charge of impounding offence (driving), effect of</w:t>
      </w:r>
      <w:r>
        <w:tab/>
      </w:r>
      <w:r>
        <w:fldChar w:fldCharType="begin"/>
      </w:r>
      <w:r>
        <w:instrText xml:space="preserve"> PAGEREF _Toc472087132 \h </w:instrText>
      </w:r>
      <w:r>
        <w:fldChar w:fldCharType="separate"/>
      </w:r>
      <w:r>
        <w:t>121</w:t>
      </w:r>
      <w:r>
        <w:fldChar w:fldCharType="end"/>
      </w:r>
    </w:p>
    <w:p>
      <w:pPr>
        <w:pStyle w:val="TOC8"/>
        <w:rPr>
          <w:rFonts w:asciiTheme="minorHAnsi" w:eastAsiaTheme="minorEastAsia" w:hAnsiTheme="minorHAnsi" w:cstheme="minorBidi"/>
          <w:szCs w:val="22"/>
        </w:rPr>
      </w:pPr>
      <w:r>
        <w:t>79BD.</w:t>
      </w:r>
      <w:r>
        <w:tab/>
        <w:t>Suspension of vehicle licence on Commissioner’s request</w:t>
      </w:r>
      <w:r>
        <w:tab/>
      </w:r>
      <w:r>
        <w:fldChar w:fldCharType="begin"/>
      </w:r>
      <w:r>
        <w:instrText xml:space="preserve"> PAGEREF _Toc472087133 \h </w:instrText>
      </w:r>
      <w:r>
        <w:fldChar w:fldCharType="separate"/>
      </w:r>
      <w:r>
        <w:t>122</w:t>
      </w:r>
      <w:r>
        <w:fldChar w:fldCharType="end"/>
      </w:r>
    </w:p>
    <w:p>
      <w:pPr>
        <w:pStyle w:val="TOC8"/>
        <w:rPr>
          <w:rFonts w:asciiTheme="minorHAnsi" w:eastAsiaTheme="minorEastAsia" w:hAnsiTheme="minorHAnsi" w:cstheme="minorBidi"/>
          <w:szCs w:val="22"/>
        </w:rPr>
      </w:pPr>
      <w:r>
        <w:t>79B.</w:t>
      </w:r>
      <w:r>
        <w:tab/>
        <w:t>Notice of impounding, police to issue etc.</w:t>
      </w:r>
      <w:r>
        <w:tab/>
      </w:r>
      <w:r>
        <w:fldChar w:fldCharType="begin"/>
      </w:r>
      <w:r>
        <w:instrText xml:space="preserve"> PAGEREF _Toc472087134 \h </w:instrText>
      </w:r>
      <w:r>
        <w:fldChar w:fldCharType="separate"/>
      </w:r>
      <w:r>
        <w:t>123</w:t>
      </w:r>
      <w:r>
        <w:fldChar w:fldCharType="end"/>
      </w:r>
    </w:p>
    <w:p>
      <w:pPr>
        <w:pStyle w:val="TOC8"/>
        <w:rPr>
          <w:rFonts w:asciiTheme="minorHAnsi" w:eastAsiaTheme="minorEastAsia" w:hAnsiTheme="minorHAnsi" w:cstheme="minorBidi"/>
          <w:szCs w:val="22"/>
        </w:rPr>
      </w:pPr>
      <w:r>
        <w:t>79C.</w:t>
      </w:r>
      <w:r>
        <w:tab/>
        <w:t>Senior officer to be informed etc. if vehicle impounded</w:t>
      </w:r>
      <w:r>
        <w:tab/>
      </w:r>
      <w:r>
        <w:fldChar w:fldCharType="begin"/>
      </w:r>
      <w:r>
        <w:instrText xml:space="preserve"> PAGEREF _Toc472087135 \h </w:instrText>
      </w:r>
      <w:r>
        <w:fldChar w:fldCharType="separate"/>
      </w:r>
      <w:r>
        <w:t>127</w:t>
      </w:r>
      <w:r>
        <w:fldChar w:fldCharType="end"/>
      </w:r>
    </w:p>
    <w:p>
      <w:pPr>
        <w:pStyle w:val="TOC8"/>
        <w:rPr>
          <w:rFonts w:asciiTheme="minorHAnsi" w:eastAsiaTheme="minorEastAsia" w:hAnsiTheme="minorHAnsi" w:cstheme="minorBidi"/>
          <w:szCs w:val="22"/>
        </w:rPr>
      </w:pPr>
      <w:r>
        <w:t>79D.</w:t>
      </w:r>
      <w:r>
        <w:tab/>
        <w:t>Release of impounded vehicle</w:t>
      </w:r>
      <w:r>
        <w:tab/>
      </w:r>
      <w:r>
        <w:fldChar w:fldCharType="begin"/>
      </w:r>
      <w:r>
        <w:instrText xml:space="preserve"> PAGEREF _Toc472087136 \h </w:instrText>
      </w:r>
      <w:r>
        <w:fldChar w:fldCharType="separate"/>
      </w:r>
      <w:r>
        <w:t>129</w:t>
      </w:r>
      <w:r>
        <w:fldChar w:fldCharType="end"/>
      </w:r>
    </w:p>
    <w:p>
      <w:pPr>
        <w:pStyle w:val="TOC8"/>
        <w:rPr>
          <w:rFonts w:asciiTheme="minorHAnsi" w:eastAsiaTheme="minorEastAsia" w:hAnsiTheme="minorHAnsi" w:cstheme="minorBidi"/>
          <w:szCs w:val="22"/>
        </w:rPr>
      </w:pPr>
      <w:r>
        <w:t>79E.</w:t>
      </w:r>
      <w:r>
        <w:tab/>
        <w:t>Liability for police expenses for impounding</w:t>
      </w:r>
      <w:r>
        <w:tab/>
      </w:r>
      <w:r>
        <w:fldChar w:fldCharType="begin"/>
      </w:r>
      <w:r>
        <w:instrText xml:space="preserve"> PAGEREF _Toc472087137 \h </w:instrText>
      </w:r>
      <w:r>
        <w:fldChar w:fldCharType="separate"/>
      </w:r>
      <w:r>
        <w:t>135</w:t>
      </w:r>
      <w:r>
        <w:fldChar w:fldCharType="end"/>
      </w:r>
    </w:p>
    <w:p>
      <w:pPr>
        <w:pStyle w:val="TOC6"/>
        <w:tabs>
          <w:tab w:val="right" w:leader="dot" w:pos="7087"/>
        </w:tabs>
        <w:rPr>
          <w:rFonts w:asciiTheme="minorHAnsi" w:eastAsiaTheme="minorEastAsia" w:hAnsiTheme="minorHAnsi" w:cstheme="minorBidi"/>
          <w:b w:val="0"/>
          <w:sz w:val="22"/>
          <w:szCs w:val="22"/>
        </w:rPr>
      </w:pPr>
      <w:r>
        <w:t>Subdivision 3 — Impounding and confiscation of vehicles by court order</w:t>
      </w:r>
    </w:p>
    <w:p>
      <w:pPr>
        <w:pStyle w:val="TOC8"/>
        <w:rPr>
          <w:rFonts w:asciiTheme="minorHAnsi" w:eastAsiaTheme="minorEastAsia" w:hAnsiTheme="minorHAnsi" w:cstheme="minorBidi"/>
          <w:szCs w:val="22"/>
        </w:rPr>
      </w:pPr>
      <w:r>
        <w:t>80A.</w:t>
      </w:r>
      <w:r>
        <w:tab/>
        <w:t>Confiscation of vehicles used in certain impounding offences (driving)</w:t>
      </w:r>
      <w:r>
        <w:tab/>
      </w:r>
      <w:r>
        <w:fldChar w:fldCharType="begin"/>
      </w:r>
      <w:r>
        <w:instrText xml:space="preserve"> PAGEREF _Toc472087139 \h </w:instrText>
      </w:r>
      <w:r>
        <w:fldChar w:fldCharType="separate"/>
      </w:r>
      <w:r>
        <w:t>135</w:t>
      </w:r>
      <w:r>
        <w:fldChar w:fldCharType="end"/>
      </w:r>
    </w:p>
    <w:p>
      <w:pPr>
        <w:pStyle w:val="TOC8"/>
        <w:rPr>
          <w:rFonts w:asciiTheme="minorHAnsi" w:eastAsiaTheme="minorEastAsia" w:hAnsiTheme="minorHAnsi" w:cstheme="minorBidi"/>
          <w:szCs w:val="22"/>
        </w:rPr>
      </w:pPr>
      <w:r>
        <w:t>80B.</w:t>
      </w:r>
      <w:r>
        <w:tab/>
      </w:r>
      <w:r>
        <w:rPr>
          <w:snapToGrid w:val="0"/>
        </w:rPr>
        <w:t>Impounding offence (driver’s licence) by previous offender, court may impound vehicle of</w:t>
      </w:r>
      <w:r>
        <w:tab/>
      </w:r>
      <w:r>
        <w:fldChar w:fldCharType="begin"/>
      </w:r>
      <w:r>
        <w:instrText xml:space="preserve"> PAGEREF _Toc472087140 \h </w:instrText>
      </w:r>
      <w:r>
        <w:fldChar w:fldCharType="separate"/>
      </w:r>
      <w:r>
        <w:t>136</w:t>
      </w:r>
      <w:r>
        <w:fldChar w:fldCharType="end"/>
      </w:r>
    </w:p>
    <w:p>
      <w:pPr>
        <w:pStyle w:val="TOC8"/>
        <w:rPr>
          <w:rFonts w:asciiTheme="minorHAnsi" w:eastAsiaTheme="minorEastAsia" w:hAnsiTheme="minorHAnsi" w:cstheme="minorBidi"/>
          <w:szCs w:val="22"/>
        </w:rPr>
      </w:pPr>
      <w:r>
        <w:t>80C.</w:t>
      </w:r>
      <w:r>
        <w:tab/>
        <w:t>Impounding offence (</w:t>
      </w:r>
      <w:r>
        <w:rPr>
          <w:snapToGrid w:val="0"/>
        </w:rPr>
        <w:t>driver’s licence) by previous offender, court may confiscate vehicle of</w:t>
      </w:r>
      <w:r>
        <w:tab/>
      </w:r>
      <w:r>
        <w:fldChar w:fldCharType="begin"/>
      </w:r>
      <w:r>
        <w:instrText xml:space="preserve"> PAGEREF _Toc472087141 \h </w:instrText>
      </w:r>
      <w:r>
        <w:fldChar w:fldCharType="separate"/>
      </w:r>
      <w:r>
        <w:t>137</w:t>
      </w:r>
      <w:r>
        <w:fldChar w:fldCharType="end"/>
      </w:r>
    </w:p>
    <w:p>
      <w:pPr>
        <w:pStyle w:val="TOC8"/>
        <w:rPr>
          <w:rFonts w:asciiTheme="minorHAnsi" w:eastAsiaTheme="minorEastAsia" w:hAnsiTheme="minorHAnsi" w:cstheme="minorBidi"/>
          <w:szCs w:val="22"/>
        </w:rPr>
      </w:pPr>
      <w:r>
        <w:t>80CA.</w:t>
      </w:r>
      <w:r>
        <w:tab/>
        <w:t>Road rage offence, court may impound offender’s vehicle for</w:t>
      </w:r>
      <w:r>
        <w:tab/>
      </w:r>
      <w:r>
        <w:fldChar w:fldCharType="begin"/>
      </w:r>
      <w:r>
        <w:instrText xml:space="preserve"> PAGEREF _Toc472087142 \h </w:instrText>
      </w:r>
      <w:r>
        <w:fldChar w:fldCharType="separate"/>
      </w:r>
      <w:r>
        <w:t>137</w:t>
      </w:r>
      <w:r>
        <w:fldChar w:fldCharType="end"/>
      </w:r>
    </w:p>
    <w:p>
      <w:pPr>
        <w:pStyle w:val="TOC8"/>
        <w:rPr>
          <w:rFonts w:asciiTheme="minorHAnsi" w:eastAsiaTheme="minorEastAsia" w:hAnsiTheme="minorHAnsi" w:cstheme="minorBidi"/>
          <w:szCs w:val="22"/>
        </w:rPr>
      </w:pPr>
      <w:r>
        <w:t>80CB.</w:t>
      </w:r>
      <w:r>
        <w:tab/>
        <w:t>Road rage offence, court may confiscate offender’s vehicle for</w:t>
      </w:r>
      <w:r>
        <w:tab/>
      </w:r>
      <w:r>
        <w:fldChar w:fldCharType="begin"/>
      </w:r>
      <w:r>
        <w:instrText xml:space="preserve"> PAGEREF _Toc472087143 \h </w:instrText>
      </w:r>
      <w:r>
        <w:fldChar w:fldCharType="separate"/>
      </w:r>
      <w:r>
        <w:t>138</w:t>
      </w:r>
      <w:r>
        <w:fldChar w:fldCharType="end"/>
      </w:r>
    </w:p>
    <w:p>
      <w:pPr>
        <w:pStyle w:val="TOC8"/>
        <w:rPr>
          <w:rFonts w:asciiTheme="minorHAnsi" w:eastAsiaTheme="minorEastAsia" w:hAnsiTheme="minorHAnsi" w:cstheme="minorBidi"/>
          <w:szCs w:val="22"/>
        </w:rPr>
      </w:pPr>
      <w:r>
        <w:t>80D.</w:t>
      </w:r>
      <w:r>
        <w:tab/>
        <w:t>Effect of confiscation under s. 80A, 80C or 80CB</w:t>
      </w:r>
      <w:r>
        <w:tab/>
      </w:r>
      <w:r>
        <w:fldChar w:fldCharType="begin"/>
      </w:r>
      <w:r>
        <w:instrText xml:space="preserve"> PAGEREF _Toc472087144 \h </w:instrText>
      </w:r>
      <w:r>
        <w:fldChar w:fldCharType="separate"/>
      </w:r>
      <w:r>
        <w:t>138</w:t>
      </w:r>
      <w:r>
        <w:fldChar w:fldCharType="end"/>
      </w:r>
    </w:p>
    <w:p>
      <w:pPr>
        <w:pStyle w:val="TOC8"/>
        <w:rPr>
          <w:rFonts w:asciiTheme="minorHAnsi" w:eastAsiaTheme="minorEastAsia" w:hAnsiTheme="minorHAnsi" w:cstheme="minorBidi"/>
          <w:szCs w:val="22"/>
        </w:rPr>
      </w:pPr>
      <w:r>
        <w:t>80E.</w:t>
      </w:r>
      <w:r>
        <w:tab/>
        <w:t>Confiscation under s. 80A not to be of stolen, hired or lent vehicle</w:t>
      </w:r>
      <w:r>
        <w:tab/>
      </w:r>
      <w:r>
        <w:fldChar w:fldCharType="begin"/>
      </w:r>
      <w:r>
        <w:instrText xml:space="preserve"> PAGEREF _Toc472087145 \h </w:instrText>
      </w:r>
      <w:r>
        <w:fldChar w:fldCharType="separate"/>
      </w:r>
      <w:r>
        <w:t>138</w:t>
      </w:r>
      <w:r>
        <w:fldChar w:fldCharType="end"/>
      </w:r>
    </w:p>
    <w:p>
      <w:pPr>
        <w:pStyle w:val="TOC8"/>
        <w:rPr>
          <w:rFonts w:asciiTheme="minorHAnsi" w:eastAsiaTheme="minorEastAsia" w:hAnsiTheme="minorHAnsi" w:cstheme="minorBidi"/>
          <w:szCs w:val="22"/>
        </w:rPr>
      </w:pPr>
      <w:r>
        <w:t>80FA.</w:t>
      </w:r>
      <w:r>
        <w:tab/>
        <w:t>When court may order impounding instead of confiscation</w:t>
      </w:r>
      <w:r>
        <w:tab/>
      </w:r>
      <w:r>
        <w:fldChar w:fldCharType="begin"/>
      </w:r>
      <w:r>
        <w:instrText xml:space="preserve"> PAGEREF _Toc472087146 \h </w:instrText>
      </w:r>
      <w:r>
        <w:fldChar w:fldCharType="separate"/>
      </w:r>
      <w:r>
        <w:t>139</w:t>
      </w:r>
      <w:r>
        <w:fldChar w:fldCharType="end"/>
      </w:r>
    </w:p>
    <w:p>
      <w:pPr>
        <w:pStyle w:val="TOC8"/>
        <w:rPr>
          <w:rFonts w:asciiTheme="minorHAnsi" w:eastAsiaTheme="minorEastAsia" w:hAnsiTheme="minorHAnsi" w:cstheme="minorBidi"/>
          <w:szCs w:val="22"/>
        </w:rPr>
      </w:pPr>
      <w:r>
        <w:t>80F.</w:t>
      </w:r>
      <w:r>
        <w:tab/>
        <w:t>Impounding or confiscation order to specify time and place for surrender of vehicle</w:t>
      </w:r>
      <w:r>
        <w:tab/>
      </w:r>
      <w:r>
        <w:fldChar w:fldCharType="begin"/>
      </w:r>
      <w:r>
        <w:instrText xml:space="preserve"> PAGEREF _Toc472087147 \h </w:instrText>
      </w:r>
      <w:r>
        <w:fldChar w:fldCharType="separate"/>
      </w:r>
      <w:r>
        <w:t>139</w:t>
      </w:r>
      <w:r>
        <w:fldChar w:fldCharType="end"/>
      </w:r>
    </w:p>
    <w:p>
      <w:pPr>
        <w:pStyle w:val="TOC8"/>
        <w:rPr>
          <w:rFonts w:asciiTheme="minorHAnsi" w:eastAsiaTheme="minorEastAsia" w:hAnsiTheme="minorHAnsi" w:cstheme="minorBidi"/>
          <w:szCs w:val="22"/>
        </w:rPr>
      </w:pPr>
      <w:r>
        <w:t>80GA.</w:t>
      </w:r>
      <w:r>
        <w:tab/>
        <w:t>Application for s. 80B to 80CB order, which vehicle can be subject of</w:t>
      </w:r>
      <w:r>
        <w:tab/>
      </w:r>
      <w:r>
        <w:fldChar w:fldCharType="begin"/>
      </w:r>
      <w:r>
        <w:instrText xml:space="preserve"> PAGEREF _Toc472087148 \h </w:instrText>
      </w:r>
      <w:r>
        <w:fldChar w:fldCharType="separate"/>
      </w:r>
      <w:r>
        <w:t>140</w:t>
      </w:r>
      <w:r>
        <w:fldChar w:fldCharType="end"/>
      </w:r>
    </w:p>
    <w:p>
      <w:pPr>
        <w:pStyle w:val="TOC8"/>
        <w:rPr>
          <w:rFonts w:asciiTheme="minorHAnsi" w:eastAsiaTheme="minorEastAsia" w:hAnsiTheme="minorHAnsi" w:cstheme="minorBidi"/>
          <w:szCs w:val="22"/>
        </w:rPr>
      </w:pPr>
      <w:r>
        <w:t>80G.</w:t>
      </w:r>
      <w:r>
        <w:tab/>
        <w:t>Procedure and grounds for making orders under s. 80A to 80CB</w:t>
      </w:r>
      <w:r>
        <w:tab/>
      </w:r>
      <w:r>
        <w:fldChar w:fldCharType="begin"/>
      </w:r>
      <w:r>
        <w:instrText xml:space="preserve"> PAGEREF _Toc472087149 \h </w:instrText>
      </w:r>
      <w:r>
        <w:fldChar w:fldCharType="separate"/>
      </w:r>
      <w:r>
        <w:t>140</w:t>
      </w:r>
      <w:r>
        <w:fldChar w:fldCharType="end"/>
      </w:r>
    </w:p>
    <w:p>
      <w:pPr>
        <w:pStyle w:val="TOC8"/>
        <w:rPr>
          <w:rFonts w:asciiTheme="minorHAnsi" w:eastAsiaTheme="minorEastAsia" w:hAnsiTheme="minorHAnsi" w:cstheme="minorBidi"/>
          <w:szCs w:val="22"/>
        </w:rPr>
      </w:pPr>
      <w:r>
        <w:t>80H.</w:t>
      </w:r>
      <w:r>
        <w:tab/>
        <w:t>Liability for police expenses for court ordered impounding</w:t>
      </w:r>
      <w:r>
        <w:tab/>
      </w:r>
      <w:r>
        <w:fldChar w:fldCharType="begin"/>
      </w:r>
      <w:r>
        <w:instrText xml:space="preserve"> PAGEREF _Toc472087150 \h </w:instrText>
      </w:r>
      <w:r>
        <w:fldChar w:fldCharType="separate"/>
      </w:r>
      <w:r>
        <w:t>143</w:t>
      </w:r>
      <w:r>
        <w:fldChar w:fldCharType="end"/>
      </w:r>
    </w:p>
    <w:p>
      <w:pPr>
        <w:pStyle w:val="TOC6"/>
        <w:tabs>
          <w:tab w:val="right" w:leader="dot" w:pos="7087"/>
        </w:tabs>
        <w:rPr>
          <w:rFonts w:asciiTheme="minorHAnsi" w:eastAsiaTheme="minorEastAsia" w:hAnsiTheme="minorHAnsi" w:cstheme="minorBidi"/>
          <w:b w:val="0"/>
          <w:sz w:val="22"/>
          <w:szCs w:val="22"/>
        </w:rPr>
      </w:pPr>
      <w:r>
        <w:t>Subdivision 4 — Vehicles impounded or confiscated under Subdivision 2 or 3</w:t>
      </w:r>
    </w:p>
    <w:p>
      <w:pPr>
        <w:pStyle w:val="TOC8"/>
        <w:rPr>
          <w:rFonts w:asciiTheme="minorHAnsi" w:eastAsiaTheme="minorEastAsia" w:hAnsiTheme="minorHAnsi" w:cstheme="minorBidi"/>
          <w:szCs w:val="22"/>
        </w:rPr>
      </w:pPr>
      <w:r>
        <w:t>80IA.</w:t>
      </w:r>
      <w:r>
        <w:tab/>
        <w:t>Release of vehicle after impounding period</w:t>
      </w:r>
      <w:r>
        <w:tab/>
      </w:r>
      <w:r>
        <w:fldChar w:fldCharType="begin"/>
      </w:r>
      <w:r>
        <w:instrText xml:space="preserve"> PAGEREF _Toc472087152 \h </w:instrText>
      </w:r>
      <w:r>
        <w:fldChar w:fldCharType="separate"/>
      </w:r>
      <w:r>
        <w:t>144</w:t>
      </w:r>
      <w:r>
        <w:fldChar w:fldCharType="end"/>
      </w:r>
    </w:p>
    <w:p>
      <w:pPr>
        <w:pStyle w:val="TOC8"/>
        <w:rPr>
          <w:rFonts w:asciiTheme="minorHAnsi" w:eastAsiaTheme="minorEastAsia" w:hAnsiTheme="minorHAnsi" w:cstheme="minorBidi"/>
          <w:szCs w:val="22"/>
        </w:rPr>
      </w:pPr>
      <w:r>
        <w:t>80IB.</w:t>
      </w:r>
      <w:r>
        <w:tab/>
        <w:t>Impounding expenses, payment of before vehicle released</w:t>
      </w:r>
      <w:r>
        <w:tab/>
      </w:r>
      <w:r>
        <w:fldChar w:fldCharType="begin"/>
      </w:r>
      <w:r>
        <w:instrText xml:space="preserve"> PAGEREF _Toc472087153 \h </w:instrText>
      </w:r>
      <w:r>
        <w:fldChar w:fldCharType="separate"/>
      </w:r>
      <w:r>
        <w:t>144</w:t>
      </w:r>
      <w:r>
        <w:fldChar w:fldCharType="end"/>
      </w:r>
    </w:p>
    <w:p>
      <w:pPr>
        <w:pStyle w:val="TOC8"/>
        <w:rPr>
          <w:rFonts w:asciiTheme="minorHAnsi" w:eastAsiaTheme="minorEastAsia" w:hAnsiTheme="minorHAnsi" w:cstheme="minorBidi"/>
          <w:szCs w:val="22"/>
        </w:rPr>
      </w:pPr>
      <w:r>
        <w:t>80I</w:t>
      </w:r>
      <w:r>
        <w:rPr>
          <w:snapToGrid w:val="0"/>
        </w:rPr>
        <w:t>.</w:t>
      </w:r>
      <w:r>
        <w:rPr>
          <w:snapToGrid w:val="0"/>
        </w:rPr>
        <w:tab/>
        <w:t>Storage expenses after impounding period ends</w:t>
      </w:r>
      <w:r>
        <w:tab/>
      </w:r>
      <w:r>
        <w:fldChar w:fldCharType="begin"/>
      </w:r>
      <w:r>
        <w:instrText xml:space="preserve"> PAGEREF _Toc472087154 \h </w:instrText>
      </w:r>
      <w:r>
        <w:fldChar w:fldCharType="separate"/>
      </w:r>
      <w:r>
        <w:t>145</w:t>
      </w:r>
      <w:r>
        <w:fldChar w:fldCharType="end"/>
      </w:r>
    </w:p>
    <w:p>
      <w:pPr>
        <w:pStyle w:val="TOC8"/>
        <w:rPr>
          <w:rFonts w:asciiTheme="minorHAnsi" w:eastAsiaTheme="minorEastAsia" w:hAnsiTheme="minorHAnsi" w:cstheme="minorBidi"/>
          <w:szCs w:val="22"/>
        </w:rPr>
      </w:pPr>
      <w:r>
        <w:t>80JA.</w:t>
      </w:r>
      <w:r>
        <w:tab/>
        <w:t>Disposal, with consent, of vehicles impounded under s. 79 or 79A</w:t>
      </w:r>
      <w:r>
        <w:tab/>
      </w:r>
      <w:r>
        <w:fldChar w:fldCharType="begin"/>
      </w:r>
      <w:r>
        <w:instrText xml:space="preserve"> PAGEREF _Toc472087155 \h </w:instrText>
      </w:r>
      <w:r>
        <w:fldChar w:fldCharType="separate"/>
      </w:r>
      <w:r>
        <w:t>146</w:t>
      </w:r>
      <w:r>
        <w:fldChar w:fldCharType="end"/>
      </w:r>
    </w:p>
    <w:p>
      <w:pPr>
        <w:pStyle w:val="TOC8"/>
        <w:rPr>
          <w:rFonts w:asciiTheme="minorHAnsi" w:eastAsiaTheme="minorEastAsia" w:hAnsiTheme="minorHAnsi" w:cstheme="minorBidi"/>
          <w:szCs w:val="22"/>
        </w:rPr>
      </w:pPr>
      <w:r>
        <w:t>80J.</w:t>
      </w:r>
      <w:r>
        <w:tab/>
        <w:t>Sale of confiscated and uncollected vehicles and items</w:t>
      </w:r>
      <w:r>
        <w:tab/>
      </w:r>
      <w:r>
        <w:fldChar w:fldCharType="begin"/>
      </w:r>
      <w:r>
        <w:instrText xml:space="preserve"> PAGEREF _Toc472087156 \h </w:instrText>
      </w:r>
      <w:r>
        <w:fldChar w:fldCharType="separate"/>
      </w:r>
      <w:r>
        <w:t>149</w:t>
      </w:r>
      <w:r>
        <w:fldChar w:fldCharType="end"/>
      </w:r>
    </w:p>
    <w:p>
      <w:pPr>
        <w:pStyle w:val="TOC8"/>
        <w:rPr>
          <w:rFonts w:asciiTheme="minorHAnsi" w:eastAsiaTheme="minorEastAsia" w:hAnsiTheme="minorHAnsi" w:cstheme="minorBidi"/>
          <w:szCs w:val="22"/>
        </w:rPr>
      </w:pPr>
      <w:r>
        <w:t>80K.</w:t>
      </w:r>
      <w:r>
        <w:tab/>
        <w:t>Police expenses more than sale proceeds, liability for</w:t>
      </w:r>
      <w:r>
        <w:tab/>
      </w:r>
      <w:r>
        <w:fldChar w:fldCharType="begin"/>
      </w:r>
      <w:r>
        <w:instrText xml:space="preserve"> PAGEREF _Toc472087157 \h </w:instrText>
      </w:r>
      <w:r>
        <w:fldChar w:fldCharType="separate"/>
      </w:r>
      <w:r>
        <w:t>151</w:t>
      </w:r>
      <w:r>
        <w:fldChar w:fldCharType="end"/>
      </w:r>
    </w:p>
    <w:p>
      <w:pPr>
        <w:pStyle w:val="TOC8"/>
        <w:rPr>
          <w:rFonts w:asciiTheme="minorHAnsi" w:eastAsiaTheme="minorEastAsia" w:hAnsiTheme="minorHAnsi" w:cstheme="minorBidi"/>
          <w:szCs w:val="22"/>
        </w:rPr>
      </w:pPr>
      <w:r>
        <w:t>80LA.</w:t>
      </w:r>
      <w:r>
        <w:tab/>
        <w:t>Liability for police expenses for uncollected vehicle more than sale proceeds</w:t>
      </w:r>
      <w:r>
        <w:tab/>
      </w:r>
      <w:r>
        <w:fldChar w:fldCharType="begin"/>
      </w:r>
      <w:r>
        <w:instrText xml:space="preserve"> PAGEREF _Toc472087158 \h </w:instrText>
      </w:r>
      <w:r>
        <w:fldChar w:fldCharType="separate"/>
      </w:r>
      <w:r>
        <w:t>152</w:t>
      </w:r>
      <w:r>
        <w:fldChar w:fldCharType="end"/>
      </w:r>
    </w:p>
    <w:p>
      <w:pPr>
        <w:pStyle w:val="TOC8"/>
        <w:rPr>
          <w:rFonts w:asciiTheme="minorHAnsi" w:eastAsiaTheme="minorEastAsia" w:hAnsiTheme="minorHAnsi" w:cstheme="minorBidi"/>
          <w:szCs w:val="22"/>
        </w:rPr>
      </w:pPr>
      <w:r>
        <w:t>80L.</w:t>
      </w:r>
      <w:r>
        <w:tab/>
        <w:t>Transfer of vehicle licence to State in some cases</w:t>
      </w:r>
      <w:r>
        <w:tab/>
      </w:r>
      <w:r>
        <w:fldChar w:fldCharType="begin"/>
      </w:r>
      <w:r>
        <w:instrText xml:space="preserve"> PAGEREF _Toc472087159 \h </w:instrText>
      </w:r>
      <w:r>
        <w:fldChar w:fldCharType="separate"/>
      </w:r>
      <w:r>
        <w:t>152</w:t>
      </w:r>
      <w:r>
        <w:fldChar w:fldCharType="end"/>
      </w:r>
    </w:p>
    <w:p>
      <w:pPr>
        <w:pStyle w:val="TOC8"/>
        <w:rPr>
          <w:rFonts w:asciiTheme="minorHAnsi" w:eastAsiaTheme="minorEastAsia" w:hAnsiTheme="minorHAnsi" w:cstheme="minorBidi"/>
          <w:szCs w:val="22"/>
        </w:rPr>
      </w:pPr>
      <w:r>
        <w:t>80M.</w:t>
      </w:r>
      <w:r>
        <w:tab/>
        <w:t>Compensation for certain vehicles or items disposed of under s. 80J</w:t>
      </w:r>
      <w:r>
        <w:tab/>
      </w:r>
      <w:r>
        <w:fldChar w:fldCharType="begin"/>
      </w:r>
      <w:r>
        <w:instrText xml:space="preserve"> PAGEREF _Toc472087160 \h </w:instrText>
      </w:r>
      <w:r>
        <w:fldChar w:fldCharType="separate"/>
      </w:r>
      <w:r>
        <w:t>153</w:t>
      </w:r>
      <w:r>
        <w:fldChar w:fldCharType="end"/>
      </w:r>
    </w:p>
    <w:p>
      <w:pPr>
        <w:pStyle w:val="TOC6"/>
        <w:tabs>
          <w:tab w:val="right" w:leader="dot" w:pos="7087"/>
        </w:tabs>
        <w:rPr>
          <w:rFonts w:asciiTheme="minorHAnsi" w:eastAsiaTheme="minorEastAsia" w:hAnsiTheme="minorHAnsi" w:cstheme="minorBidi"/>
          <w:b w:val="0"/>
          <w:sz w:val="22"/>
          <w:szCs w:val="22"/>
        </w:rPr>
      </w:pPr>
      <w:r>
        <w:t>Subdivision 5 — Impounding and confiscation of unlicensed motor cycles used on roads</w:t>
      </w:r>
    </w:p>
    <w:p>
      <w:pPr>
        <w:pStyle w:val="TOC8"/>
        <w:rPr>
          <w:rFonts w:asciiTheme="minorHAnsi" w:eastAsiaTheme="minorEastAsia" w:hAnsiTheme="minorHAnsi" w:cstheme="minorBidi"/>
          <w:szCs w:val="22"/>
        </w:rPr>
      </w:pPr>
      <w:r>
        <w:t>80N.</w:t>
      </w:r>
      <w:r>
        <w:tab/>
        <w:t>Terms used</w:t>
      </w:r>
      <w:r>
        <w:tab/>
      </w:r>
      <w:r>
        <w:fldChar w:fldCharType="begin"/>
      </w:r>
      <w:r>
        <w:instrText xml:space="preserve"> PAGEREF _Toc472087162 \h </w:instrText>
      </w:r>
      <w:r>
        <w:fldChar w:fldCharType="separate"/>
      </w:r>
      <w:r>
        <w:t>155</w:t>
      </w:r>
      <w:r>
        <w:fldChar w:fldCharType="end"/>
      </w:r>
    </w:p>
    <w:p>
      <w:pPr>
        <w:pStyle w:val="TOC8"/>
        <w:rPr>
          <w:rFonts w:asciiTheme="minorHAnsi" w:eastAsiaTheme="minorEastAsia" w:hAnsiTheme="minorHAnsi" w:cstheme="minorBidi"/>
          <w:szCs w:val="22"/>
        </w:rPr>
      </w:pPr>
      <w:r>
        <w:t>80O.</w:t>
      </w:r>
      <w:r>
        <w:tab/>
        <w:t>Police power to impound unlicensed motor cycle used on road</w:t>
      </w:r>
      <w:r>
        <w:tab/>
      </w:r>
      <w:r>
        <w:fldChar w:fldCharType="begin"/>
      </w:r>
      <w:r>
        <w:instrText xml:space="preserve"> PAGEREF _Toc472087163 \h </w:instrText>
      </w:r>
      <w:r>
        <w:fldChar w:fldCharType="separate"/>
      </w:r>
      <w:r>
        <w:t>155</w:t>
      </w:r>
      <w:r>
        <w:fldChar w:fldCharType="end"/>
      </w:r>
    </w:p>
    <w:p>
      <w:pPr>
        <w:pStyle w:val="TOC8"/>
        <w:rPr>
          <w:rFonts w:asciiTheme="minorHAnsi" w:eastAsiaTheme="minorEastAsia" w:hAnsiTheme="minorHAnsi" w:cstheme="minorBidi"/>
          <w:szCs w:val="22"/>
        </w:rPr>
      </w:pPr>
      <w:r>
        <w:t>80P.</w:t>
      </w:r>
      <w:r>
        <w:tab/>
        <w:t>Surrender notice</w:t>
      </w:r>
      <w:r>
        <w:tab/>
      </w:r>
      <w:r>
        <w:fldChar w:fldCharType="begin"/>
      </w:r>
      <w:r>
        <w:instrText xml:space="preserve"> PAGEREF _Toc472087164 \h </w:instrText>
      </w:r>
      <w:r>
        <w:fldChar w:fldCharType="separate"/>
      </w:r>
      <w:r>
        <w:t>157</w:t>
      </w:r>
      <w:r>
        <w:fldChar w:fldCharType="end"/>
      </w:r>
    </w:p>
    <w:p>
      <w:pPr>
        <w:pStyle w:val="TOC8"/>
        <w:rPr>
          <w:rFonts w:asciiTheme="minorHAnsi" w:eastAsiaTheme="minorEastAsia" w:hAnsiTheme="minorHAnsi" w:cstheme="minorBidi"/>
          <w:szCs w:val="22"/>
        </w:rPr>
      </w:pPr>
      <w:r>
        <w:t>80Q.</w:t>
      </w:r>
      <w:r>
        <w:tab/>
        <w:t>Consequences of surrender notice</w:t>
      </w:r>
      <w:r>
        <w:tab/>
      </w:r>
      <w:r>
        <w:fldChar w:fldCharType="begin"/>
      </w:r>
      <w:r>
        <w:instrText xml:space="preserve"> PAGEREF _Toc472087165 \h </w:instrText>
      </w:r>
      <w:r>
        <w:fldChar w:fldCharType="separate"/>
      </w:r>
      <w:r>
        <w:t>158</w:t>
      </w:r>
      <w:r>
        <w:fldChar w:fldCharType="end"/>
      </w:r>
    </w:p>
    <w:p>
      <w:pPr>
        <w:pStyle w:val="TOC8"/>
        <w:rPr>
          <w:rFonts w:asciiTheme="minorHAnsi" w:eastAsiaTheme="minorEastAsia" w:hAnsiTheme="minorHAnsi" w:cstheme="minorBidi"/>
          <w:szCs w:val="22"/>
        </w:rPr>
      </w:pPr>
      <w:r>
        <w:t>80R.</w:t>
      </w:r>
      <w:r>
        <w:tab/>
        <w:t>Senior police officer to be informed if vehicle impounded</w:t>
      </w:r>
      <w:r>
        <w:tab/>
      </w:r>
      <w:r>
        <w:fldChar w:fldCharType="begin"/>
      </w:r>
      <w:r>
        <w:instrText xml:space="preserve"> PAGEREF _Toc472087166 \h </w:instrText>
      </w:r>
      <w:r>
        <w:fldChar w:fldCharType="separate"/>
      </w:r>
      <w:r>
        <w:t>159</w:t>
      </w:r>
      <w:r>
        <w:fldChar w:fldCharType="end"/>
      </w:r>
    </w:p>
    <w:p>
      <w:pPr>
        <w:pStyle w:val="TOC8"/>
        <w:rPr>
          <w:rFonts w:asciiTheme="minorHAnsi" w:eastAsiaTheme="minorEastAsia" w:hAnsiTheme="minorHAnsi" w:cstheme="minorBidi"/>
          <w:szCs w:val="22"/>
        </w:rPr>
      </w:pPr>
      <w:r>
        <w:t>80S.</w:t>
      </w:r>
      <w:r>
        <w:tab/>
        <w:t>Claims of right to possession</w:t>
      </w:r>
      <w:r>
        <w:tab/>
      </w:r>
      <w:r>
        <w:fldChar w:fldCharType="begin"/>
      </w:r>
      <w:r>
        <w:instrText xml:space="preserve"> PAGEREF _Toc472087167 \h </w:instrText>
      </w:r>
      <w:r>
        <w:fldChar w:fldCharType="separate"/>
      </w:r>
      <w:r>
        <w:t>160</w:t>
      </w:r>
      <w:r>
        <w:fldChar w:fldCharType="end"/>
      </w:r>
    </w:p>
    <w:p>
      <w:pPr>
        <w:pStyle w:val="TOC8"/>
        <w:rPr>
          <w:rFonts w:asciiTheme="minorHAnsi" w:eastAsiaTheme="minorEastAsia" w:hAnsiTheme="minorHAnsi" w:cstheme="minorBidi"/>
          <w:szCs w:val="22"/>
        </w:rPr>
      </w:pPr>
      <w:r>
        <w:t>80T.</w:t>
      </w:r>
      <w:r>
        <w:tab/>
        <w:t>Confiscation</w:t>
      </w:r>
      <w:r>
        <w:tab/>
      </w:r>
      <w:r>
        <w:fldChar w:fldCharType="begin"/>
      </w:r>
      <w:r>
        <w:instrText xml:space="preserve"> PAGEREF _Toc472087168 \h </w:instrText>
      </w:r>
      <w:r>
        <w:fldChar w:fldCharType="separate"/>
      </w:r>
      <w:r>
        <w:t>161</w:t>
      </w:r>
      <w:r>
        <w:fldChar w:fldCharType="end"/>
      </w:r>
    </w:p>
    <w:p>
      <w:pPr>
        <w:pStyle w:val="TOC8"/>
        <w:rPr>
          <w:rFonts w:asciiTheme="minorHAnsi" w:eastAsiaTheme="minorEastAsia" w:hAnsiTheme="minorHAnsi" w:cstheme="minorBidi"/>
          <w:szCs w:val="22"/>
        </w:rPr>
      </w:pPr>
      <w:r>
        <w:t>80U.</w:t>
      </w:r>
      <w:r>
        <w:tab/>
        <w:t>Liability for police expenses</w:t>
      </w:r>
      <w:r>
        <w:tab/>
      </w:r>
      <w:r>
        <w:fldChar w:fldCharType="begin"/>
      </w:r>
      <w:r>
        <w:instrText xml:space="preserve"> PAGEREF _Toc472087169 \h </w:instrText>
      </w:r>
      <w:r>
        <w:fldChar w:fldCharType="separate"/>
      </w:r>
      <w:r>
        <w:t>161</w:t>
      </w:r>
      <w:r>
        <w:fldChar w:fldCharType="end"/>
      </w:r>
    </w:p>
    <w:p>
      <w:pPr>
        <w:pStyle w:val="TOC8"/>
        <w:rPr>
          <w:rFonts w:asciiTheme="minorHAnsi" w:eastAsiaTheme="minorEastAsia" w:hAnsiTheme="minorHAnsi" w:cstheme="minorBidi"/>
          <w:szCs w:val="22"/>
        </w:rPr>
      </w:pPr>
      <w:r>
        <w:t>80V.</w:t>
      </w:r>
      <w:r>
        <w:tab/>
        <w:t>Sale or other disposal of confiscated motor cycle and items on it</w:t>
      </w:r>
      <w:r>
        <w:tab/>
      </w:r>
      <w:r>
        <w:fldChar w:fldCharType="begin"/>
      </w:r>
      <w:r>
        <w:instrText xml:space="preserve"> PAGEREF _Toc472087170 \h </w:instrText>
      </w:r>
      <w:r>
        <w:fldChar w:fldCharType="separate"/>
      </w:r>
      <w:r>
        <w:t>161</w:t>
      </w:r>
      <w:r>
        <w:fldChar w:fldCharType="end"/>
      </w:r>
    </w:p>
    <w:p>
      <w:pPr>
        <w:pStyle w:val="TOC8"/>
        <w:rPr>
          <w:rFonts w:asciiTheme="minorHAnsi" w:eastAsiaTheme="minorEastAsia" w:hAnsiTheme="minorHAnsi" w:cstheme="minorBidi"/>
          <w:szCs w:val="22"/>
        </w:rPr>
      </w:pPr>
      <w:r>
        <w:t>80W.</w:t>
      </w:r>
      <w:r>
        <w:tab/>
        <w:t>Liability for police expenses exceeding sale proceeds</w:t>
      </w:r>
      <w:r>
        <w:tab/>
      </w:r>
      <w:r>
        <w:fldChar w:fldCharType="begin"/>
      </w:r>
      <w:r>
        <w:instrText xml:space="preserve"> PAGEREF _Toc472087171 \h </w:instrText>
      </w:r>
      <w:r>
        <w:fldChar w:fldCharType="separate"/>
      </w:r>
      <w:r>
        <w:t>163</w:t>
      </w:r>
      <w:r>
        <w:fldChar w:fldCharType="end"/>
      </w:r>
    </w:p>
    <w:p>
      <w:pPr>
        <w:pStyle w:val="TOC2"/>
        <w:tabs>
          <w:tab w:val="right" w:leader="dot" w:pos="7087"/>
        </w:tabs>
        <w:rPr>
          <w:rFonts w:asciiTheme="minorHAnsi" w:eastAsiaTheme="minorEastAsia" w:hAnsiTheme="minorHAnsi" w:cstheme="minorBidi"/>
          <w:b w:val="0"/>
          <w:sz w:val="22"/>
          <w:szCs w:val="22"/>
        </w:rPr>
      </w:pPr>
      <w:r>
        <w:t>Part VA — Events on roads</w:t>
      </w:r>
    </w:p>
    <w:p>
      <w:pPr>
        <w:pStyle w:val="TOC8"/>
        <w:rPr>
          <w:rFonts w:asciiTheme="minorHAnsi" w:eastAsiaTheme="minorEastAsia" w:hAnsiTheme="minorHAnsi" w:cstheme="minorBidi"/>
          <w:szCs w:val="22"/>
        </w:rPr>
      </w:pPr>
      <w:r>
        <w:t>81A</w:t>
      </w:r>
      <w:r>
        <w:rPr>
          <w:snapToGrid w:val="0"/>
        </w:rPr>
        <w:t>.</w:t>
      </w:r>
      <w:r>
        <w:rPr>
          <w:snapToGrid w:val="0"/>
        </w:rPr>
        <w:tab/>
        <w:t>Terms used</w:t>
      </w:r>
      <w:r>
        <w:tab/>
      </w:r>
      <w:r>
        <w:fldChar w:fldCharType="begin"/>
      </w:r>
      <w:r>
        <w:instrText xml:space="preserve"> PAGEREF _Toc472087173 \h </w:instrText>
      </w:r>
      <w:r>
        <w:fldChar w:fldCharType="separate"/>
      </w:r>
      <w:r>
        <w:t>164</w:t>
      </w:r>
      <w:r>
        <w:fldChar w:fldCharType="end"/>
      </w:r>
    </w:p>
    <w:p>
      <w:pPr>
        <w:pStyle w:val="TOC8"/>
        <w:rPr>
          <w:rFonts w:asciiTheme="minorHAnsi" w:eastAsiaTheme="minorEastAsia" w:hAnsiTheme="minorHAnsi" w:cstheme="minorBidi"/>
          <w:szCs w:val="22"/>
        </w:rPr>
      </w:pPr>
      <w:r>
        <w:t>81B</w:t>
      </w:r>
      <w:r>
        <w:rPr>
          <w:snapToGrid w:val="0"/>
        </w:rPr>
        <w:t>.</w:t>
      </w:r>
      <w:r>
        <w:rPr>
          <w:snapToGrid w:val="0"/>
        </w:rPr>
        <w:tab/>
        <w:t>Order for road closure for event, application for</w:t>
      </w:r>
      <w:r>
        <w:tab/>
      </w:r>
      <w:r>
        <w:fldChar w:fldCharType="begin"/>
      </w:r>
      <w:r>
        <w:instrText xml:space="preserve"> PAGEREF _Toc472087174 \h </w:instrText>
      </w:r>
      <w:r>
        <w:fldChar w:fldCharType="separate"/>
      </w:r>
      <w:r>
        <w:t>164</w:t>
      </w:r>
      <w:r>
        <w:fldChar w:fldCharType="end"/>
      </w:r>
    </w:p>
    <w:p>
      <w:pPr>
        <w:pStyle w:val="TOC8"/>
        <w:rPr>
          <w:rFonts w:asciiTheme="minorHAnsi" w:eastAsiaTheme="minorEastAsia" w:hAnsiTheme="minorHAnsi" w:cstheme="minorBidi"/>
          <w:szCs w:val="22"/>
        </w:rPr>
      </w:pPr>
      <w:r>
        <w:t>81C</w:t>
      </w:r>
      <w:r>
        <w:rPr>
          <w:snapToGrid w:val="0"/>
        </w:rPr>
        <w:t>.</w:t>
      </w:r>
      <w:r>
        <w:rPr>
          <w:snapToGrid w:val="0"/>
        </w:rPr>
        <w:tab/>
        <w:t>Order for road closure for event, making</w:t>
      </w:r>
      <w:r>
        <w:tab/>
      </w:r>
      <w:r>
        <w:fldChar w:fldCharType="begin"/>
      </w:r>
      <w:r>
        <w:instrText xml:space="preserve"> PAGEREF _Toc472087175 \h </w:instrText>
      </w:r>
      <w:r>
        <w:fldChar w:fldCharType="separate"/>
      </w:r>
      <w:r>
        <w:t>165</w:t>
      </w:r>
      <w:r>
        <w:fldChar w:fldCharType="end"/>
      </w:r>
    </w:p>
    <w:p>
      <w:pPr>
        <w:pStyle w:val="TOC8"/>
        <w:rPr>
          <w:rFonts w:asciiTheme="minorHAnsi" w:eastAsiaTheme="minorEastAsia" w:hAnsiTheme="minorHAnsi" w:cstheme="minorBidi"/>
          <w:szCs w:val="22"/>
        </w:rPr>
      </w:pPr>
      <w:r>
        <w:t>81D</w:t>
      </w:r>
      <w:r>
        <w:rPr>
          <w:snapToGrid w:val="0"/>
        </w:rPr>
        <w:t>.</w:t>
      </w:r>
      <w:r>
        <w:rPr>
          <w:snapToGrid w:val="0"/>
        </w:rPr>
        <w:tab/>
        <w:t>Road closure, how effected by local government</w:t>
      </w:r>
      <w:r>
        <w:tab/>
      </w:r>
      <w:r>
        <w:fldChar w:fldCharType="begin"/>
      </w:r>
      <w:r>
        <w:instrText xml:space="preserve"> PAGEREF _Toc472087176 \h </w:instrText>
      </w:r>
      <w:r>
        <w:fldChar w:fldCharType="separate"/>
      </w:r>
      <w:r>
        <w:t>166</w:t>
      </w:r>
      <w:r>
        <w:fldChar w:fldCharType="end"/>
      </w:r>
    </w:p>
    <w:p>
      <w:pPr>
        <w:pStyle w:val="TOC8"/>
        <w:rPr>
          <w:rFonts w:asciiTheme="minorHAnsi" w:eastAsiaTheme="minorEastAsia" w:hAnsiTheme="minorHAnsi" w:cstheme="minorBidi"/>
          <w:szCs w:val="22"/>
        </w:rPr>
      </w:pPr>
      <w:r>
        <w:t>81E</w:t>
      </w:r>
      <w:r>
        <w:rPr>
          <w:snapToGrid w:val="0"/>
        </w:rPr>
        <w:t>.</w:t>
      </w:r>
      <w:r>
        <w:rPr>
          <w:snapToGrid w:val="0"/>
        </w:rPr>
        <w:tab/>
        <w:t>Road closure order, effect of</w:t>
      </w:r>
      <w:r>
        <w:tab/>
      </w:r>
      <w:r>
        <w:fldChar w:fldCharType="begin"/>
      </w:r>
      <w:r>
        <w:instrText xml:space="preserve"> PAGEREF _Toc472087177 \h </w:instrText>
      </w:r>
      <w:r>
        <w:fldChar w:fldCharType="separate"/>
      </w:r>
      <w:r>
        <w:t>166</w:t>
      </w:r>
      <w:r>
        <w:fldChar w:fldCharType="end"/>
      </w:r>
    </w:p>
    <w:p>
      <w:pPr>
        <w:pStyle w:val="TOC8"/>
        <w:rPr>
          <w:rFonts w:asciiTheme="minorHAnsi" w:eastAsiaTheme="minorEastAsia" w:hAnsiTheme="minorHAnsi" w:cstheme="minorBidi"/>
          <w:szCs w:val="22"/>
        </w:rPr>
      </w:pPr>
      <w:r>
        <w:t>81F</w:t>
      </w:r>
      <w:r>
        <w:rPr>
          <w:snapToGrid w:val="0"/>
        </w:rPr>
        <w:t>.</w:t>
      </w:r>
      <w:r>
        <w:rPr>
          <w:snapToGrid w:val="0"/>
        </w:rPr>
        <w:tab/>
        <w:t>Offences</w:t>
      </w:r>
      <w:r>
        <w:tab/>
      </w:r>
      <w:r>
        <w:fldChar w:fldCharType="begin"/>
      </w:r>
      <w:r>
        <w:instrText xml:space="preserve"> PAGEREF _Toc472087178 \h </w:instrText>
      </w:r>
      <w:r>
        <w:fldChar w:fldCharType="separate"/>
      </w:r>
      <w:r>
        <w:t>167</w:t>
      </w:r>
      <w:r>
        <w:fldChar w:fldCharType="end"/>
      </w:r>
    </w:p>
    <w:p>
      <w:pPr>
        <w:pStyle w:val="TOC2"/>
        <w:tabs>
          <w:tab w:val="right" w:leader="dot" w:pos="708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90</w:t>
      </w:r>
      <w:r>
        <w:rPr>
          <w:snapToGrid w:val="0"/>
        </w:rPr>
        <w:t>.</w:t>
      </w:r>
      <w:r>
        <w:rPr>
          <w:snapToGrid w:val="0"/>
        </w:rPr>
        <w:tab/>
        <w:t>Unlawfully interfering with parts of motor vehicles</w:t>
      </w:r>
      <w:r>
        <w:tab/>
      </w:r>
      <w:r>
        <w:fldChar w:fldCharType="begin"/>
      </w:r>
      <w:r>
        <w:instrText xml:space="preserve"> PAGEREF _Toc472087180 \h </w:instrText>
      </w:r>
      <w:r>
        <w:fldChar w:fldCharType="separate"/>
      </w:r>
      <w:r>
        <w:t>168</w:t>
      </w:r>
      <w:r>
        <w:fldChar w:fldCharType="end"/>
      </w:r>
    </w:p>
    <w:p>
      <w:pPr>
        <w:pStyle w:val="TOC2"/>
        <w:tabs>
          <w:tab w:val="right" w:leader="dot" w:pos="7087"/>
        </w:tabs>
        <w:rPr>
          <w:rFonts w:asciiTheme="minorHAnsi" w:eastAsiaTheme="minorEastAsia" w:hAnsiTheme="minorHAnsi" w:cstheme="minorBidi"/>
          <w:b w:val="0"/>
          <w:sz w:val="22"/>
          <w:szCs w:val="22"/>
        </w:rPr>
      </w:pPr>
      <w:r>
        <w:t>Part VII — Offences and penalties</w:t>
      </w:r>
    </w:p>
    <w:p>
      <w:pPr>
        <w:pStyle w:val="TOC8"/>
        <w:rPr>
          <w:rFonts w:asciiTheme="minorHAnsi" w:eastAsiaTheme="minorEastAsia" w:hAnsiTheme="minorHAnsi" w:cstheme="minorBidi"/>
          <w:szCs w:val="22"/>
        </w:rPr>
      </w:pPr>
      <w:r>
        <w:t>106.</w:t>
      </w:r>
      <w:r>
        <w:tab/>
        <w:t>Sentencing for certain offences</w:t>
      </w:r>
      <w:r>
        <w:tab/>
      </w:r>
      <w:r>
        <w:fldChar w:fldCharType="begin"/>
      </w:r>
      <w:r>
        <w:instrText xml:space="preserve"> PAGEREF _Toc472087182 \h </w:instrText>
      </w:r>
      <w:r>
        <w:fldChar w:fldCharType="separate"/>
      </w:r>
      <w:r>
        <w:t>169</w:t>
      </w:r>
      <w:r>
        <w:fldChar w:fldCharType="end"/>
      </w:r>
    </w:p>
    <w:p>
      <w:pPr>
        <w:pStyle w:val="TOC8"/>
        <w:rPr>
          <w:rFonts w:asciiTheme="minorHAnsi" w:eastAsiaTheme="minorEastAsia" w:hAnsiTheme="minorHAnsi" w:cstheme="minorBidi"/>
          <w:szCs w:val="22"/>
        </w:rPr>
      </w:pPr>
      <w:r>
        <w:t>106A.</w:t>
      </w:r>
      <w:r>
        <w:tab/>
        <w:t>Mandatory disqualification</w:t>
      </w:r>
      <w:r>
        <w:tab/>
      </w:r>
      <w:r>
        <w:fldChar w:fldCharType="begin"/>
      </w:r>
      <w:r>
        <w:instrText xml:space="preserve"> PAGEREF _Toc472087183 \h </w:instrText>
      </w:r>
      <w:r>
        <w:fldChar w:fldCharType="separate"/>
      </w:r>
      <w:r>
        <w:t>171</w:t>
      </w:r>
      <w:r>
        <w:fldChar w:fldCharType="end"/>
      </w:r>
    </w:p>
    <w:p>
      <w:pPr>
        <w:pStyle w:val="TOC2"/>
        <w:tabs>
          <w:tab w:val="right" w:leader="dot" w:pos="7087"/>
        </w:tabs>
        <w:rPr>
          <w:rFonts w:asciiTheme="minorHAnsi" w:eastAsiaTheme="minorEastAsia" w:hAnsiTheme="minorHAnsi" w:cstheme="minorBidi"/>
          <w:b w:val="0"/>
          <w:sz w:val="22"/>
          <w:szCs w:val="22"/>
        </w:rPr>
      </w:pPr>
      <w:r>
        <w:t>Part VIII — Transitional and savings provisions</w:t>
      </w:r>
    </w:p>
    <w:p>
      <w:pPr>
        <w:pStyle w:val="TOC8"/>
        <w:rPr>
          <w:rFonts w:asciiTheme="minorHAnsi" w:eastAsiaTheme="minorEastAsia" w:hAnsiTheme="minorHAnsi" w:cstheme="minorBidi"/>
          <w:szCs w:val="22"/>
        </w:rPr>
      </w:pPr>
      <w:r>
        <w:t>108</w:t>
      </w:r>
      <w:r>
        <w:rPr>
          <w:snapToGrid w:val="0"/>
        </w:rPr>
        <w:t>.</w:t>
      </w:r>
      <w:r>
        <w:rPr>
          <w:snapToGrid w:val="0"/>
        </w:rPr>
        <w:tab/>
        <w:t xml:space="preserve">Savings as to </w:t>
      </w:r>
      <w:r>
        <w:rPr>
          <w:i/>
          <w:snapToGrid w:val="0"/>
        </w:rPr>
        <w:t>Traffic Act 1919</w:t>
      </w:r>
      <w:r>
        <w:tab/>
      </w:r>
      <w:r>
        <w:fldChar w:fldCharType="begin"/>
      </w:r>
      <w:r>
        <w:instrText xml:space="preserve"> PAGEREF _Toc472087185 \h </w:instrText>
      </w:r>
      <w:r>
        <w:fldChar w:fldCharType="separate"/>
      </w:r>
      <w:r>
        <w:t>173</w:t>
      </w:r>
      <w:r>
        <w:fldChar w:fldCharType="end"/>
      </w:r>
    </w:p>
    <w:p>
      <w:pPr>
        <w:pStyle w:val="TOC8"/>
        <w:rPr>
          <w:rFonts w:asciiTheme="minorHAnsi" w:eastAsiaTheme="minorEastAsia" w:hAnsiTheme="minorHAnsi" w:cstheme="minorBidi"/>
          <w:szCs w:val="22"/>
        </w:rPr>
      </w:pPr>
      <w:r>
        <w:t>109.</w:t>
      </w:r>
      <w:r>
        <w:tab/>
        <w:t xml:space="preserve">Transitional and savings provisions for the </w:t>
      </w:r>
      <w:r>
        <w:rPr>
          <w:i/>
        </w:rPr>
        <w:t>Road Traffic Amendment (Impounding and Confiscation of Vehicles) Act 2016</w:t>
      </w:r>
      <w:r>
        <w:tab/>
      </w:r>
      <w:r>
        <w:fldChar w:fldCharType="begin"/>
      </w:r>
      <w:r>
        <w:instrText xml:space="preserve"> PAGEREF _Toc472087186 \h </w:instrText>
      </w:r>
      <w:r>
        <w:fldChar w:fldCharType="separate"/>
      </w:r>
      <w:r>
        <w:t>173</w:t>
      </w:r>
      <w:r>
        <w:fldChar w:fldCharType="end"/>
      </w:r>
    </w:p>
    <w:p>
      <w:pPr>
        <w:pStyle w:val="TOC2"/>
        <w:tabs>
          <w:tab w:val="right" w:leader="dot" w:pos="7087"/>
        </w:tabs>
        <w:rPr>
          <w:rFonts w:asciiTheme="minorHAnsi" w:eastAsiaTheme="minorEastAsia" w:hAnsiTheme="minorHAnsi" w:cstheme="minorBidi"/>
          <w:b w:val="0"/>
          <w:sz w:val="22"/>
          <w:szCs w:val="22"/>
        </w:rPr>
      </w:pPr>
      <w:r>
        <w:t>Part IX — Regulations</w:t>
      </w:r>
    </w:p>
    <w:p>
      <w:pPr>
        <w:pStyle w:val="TOC8"/>
        <w:rPr>
          <w:rFonts w:asciiTheme="minorHAnsi" w:eastAsiaTheme="minorEastAsia" w:hAnsiTheme="minorHAnsi" w:cstheme="minorBidi"/>
          <w:szCs w:val="22"/>
        </w:rPr>
      </w:pPr>
      <w:r>
        <w:t>111</w:t>
      </w:r>
      <w:r>
        <w:rPr>
          <w:snapToGrid w:val="0"/>
        </w:rPr>
        <w:t>.</w:t>
      </w:r>
      <w:r>
        <w:rPr>
          <w:snapToGrid w:val="0"/>
        </w:rPr>
        <w:tab/>
        <w:t>Regulations etc.</w:t>
      </w:r>
      <w:r>
        <w:tab/>
      </w:r>
      <w:r>
        <w:fldChar w:fldCharType="begin"/>
      </w:r>
      <w:r>
        <w:instrText xml:space="preserve"> PAGEREF _Toc472087188 \h </w:instrText>
      </w:r>
      <w:r>
        <w:fldChar w:fldCharType="separate"/>
      </w:r>
      <w:r>
        <w:t>175</w:t>
      </w:r>
      <w:r>
        <w:fldChar w:fldCharType="end"/>
      </w:r>
    </w:p>
    <w:p>
      <w:pPr>
        <w:pStyle w:val="TOC8"/>
        <w:rPr>
          <w:rFonts w:asciiTheme="minorHAnsi" w:eastAsiaTheme="minorEastAsia" w:hAnsiTheme="minorHAnsi" w:cstheme="minorBidi"/>
          <w:szCs w:val="22"/>
        </w:rPr>
      </w:pPr>
      <w:r>
        <w:t>111AB.</w:t>
      </w:r>
      <w:r>
        <w:tab/>
        <w:t>Exemption from specified regulations, regulations may allow grant of</w:t>
      </w:r>
      <w:r>
        <w:tab/>
      </w:r>
      <w:r>
        <w:fldChar w:fldCharType="begin"/>
      </w:r>
      <w:r>
        <w:instrText xml:space="preserve"> PAGEREF _Toc472087189 \h </w:instrText>
      </w:r>
      <w:r>
        <w:fldChar w:fldCharType="separate"/>
      </w:r>
      <w:r>
        <w:t>177</w:t>
      </w:r>
      <w:r>
        <w:fldChar w:fldCharType="end"/>
      </w:r>
    </w:p>
    <w:p>
      <w:pPr>
        <w:pStyle w:val="TOC2"/>
        <w:tabs>
          <w:tab w:val="right" w:leader="dot" w:pos="708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_Toc472087191 \h </w:instrText>
      </w:r>
      <w:r>
        <w:fldChar w:fldCharType="separate"/>
      </w:r>
      <w:r>
        <w:t>179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_Toc472087192 \h </w:instrText>
      </w:r>
      <w:r>
        <w:fldChar w:fldCharType="separate"/>
      </w:r>
      <w:r>
        <w:t>194</w:t>
      </w:r>
      <w:r>
        <w:fldChar w:fldCharType="end"/>
      </w:r>
    </w:p>
    <w:p>
      <w:pPr>
        <w:pStyle w:val="TOC2"/>
        <w:tabs>
          <w:tab w:val="right" w:leader="dot" w:pos="7087"/>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fmt="lowerRoman" w:start="1"/>
          <w:cols w:space="720"/>
          <w:noEndnote/>
          <w:titlePg/>
          <w:docGrid w:linePitch="326"/>
        </w:sectPr>
      </w:pPr>
    </w:p>
    <w:p>
      <w:pPr>
        <w:pStyle w:val="WA"/>
        <w:spacing w:before="12"/>
      </w:pPr>
      <w:r>
        <w:t>Western Australia</w:t>
      </w:r>
    </w:p>
    <w:p>
      <w:pPr>
        <w:pStyle w:val="NameofActReg"/>
        <w:spacing w:before="1400" w:after="800"/>
        <w:outlineLvl w:val="0"/>
      </w:pPr>
      <w:r>
        <w:t>Road Traffic Act 1974</w:t>
      </w:r>
    </w:p>
    <w:p>
      <w:pPr>
        <w:pStyle w:val="LongTitle"/>
        <w:rPr>
          <w:snapToGrid w:val="0"/>
        </w:rPr>
      </w:pPr>
      <w:r>
        <w:rPr>
          <w:snapToGrid w:val="0"/>
        </w:rPr>
        <w:t xml:space="preserve">An Act to </w:t>
      </w:r>
      <w:r>
        <w:t>make provision in relation to the driving and use of vehicles, the regulation of traffic</w:t>
      </w:r>
      <w:r>
        <w:rPr>
          <w:snapToGrid w:val="0"/>
        </w:rPr>
        <w:t xml:space="preserve"> and for incidental and other purposes.</w:t>
      </w:r>
    </w:p>
    <w:p>
      <w:pPr>
        <w:pStyle w:val="Footnotesection"/>
        <w:keepLines w:val="0"/>
        <w:ind w:left="890" w:hanging="890"/>
      </w:pPr>
      <w:r>
        <w:tab/>
        <w:t>[Long title amended by No. 8 of 2012 s. 5.]</w:t>
      </w:r>
    </w:p>
    <w:p>
      <w:pPr>
        <w:pStyle w:val="Heading2"/>
      </w:pPr>
      <w:bookmarkStart w:id="3" w:name="_Toc468192027"/>
      <w:bookmarkStart w:id="4" w:name="_Toc472087039"/>
      <w:r>
        <w:rPr>
          <w:rStyle w:val="CharPartNo"/>
        </w:rPr>
        <w:t>Part I</w:t>
      </w:r>
      <w:r>
        <w:rPr>
          <w:rStyle w:val="CharDivNo"/>
        </w:rPr>
        <w:t> </w:t>
      </w:r>
      <w:r>
        <w:t>—</w:t>
      </w:r>
      <w:r>
        <w:rPr>
          <w:rStyle w:val="CharDivText"/>
        </w:rPr>
        <w:t> </w:t>
      </w:r>
      <w:r>
        <w:rPr>
          <w:rStyle w:val="CharPartText"/>
        </w:rPr>
        <w:t>Preliminary</w:t>
      </w:r>
      <w:bookmarkEnd w:id="3"/>
      <w:bookmarkEnd w:id="4"/>
    </w:p>
    <w:p>
      <w:pPr>
        <w:pStyle w:val="Heading5"/>
        <w:spacing w:before="260"/>
        <w:rPr>
          <w:snapToGrid w:val="0"/>
        </w:rPr>
      </w:pPr>
      <w:bookmarkStart w:id="5" w:name="_Toc472087040"/>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spacing w:before="260"/>
        <w:rPr>
          <w:snapToGrid w:val="0"/>
        </w:rPr>
      </w:pPr>
      <w:bookmarkStart w:id="6" w:name="_Toc472087041"/>
      <w:r>
        <w:rPr>
          <w:rStyle w:val="CharSectno"/>
        </w:rPr>
        <w:t>2</w:t>
      </w:r>
      <w:r>
        <w:rPr>
          <w:snapToGrid w:val="0"/>
        </w:rPr>
        <w:t>.</w:t>
      </w:r>
      <w:r>
        <w:rPr>
          <w:snapToGrid w:val="0"/>
        </w:rPr>
        <w:tab/>
        <w:t>Commencement</w:t>
      </w:r>
      <w:bookmarkEnd w:id="6"/>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spacing w:before="260"/>
      </w:pPr>
      <w:r>
        <w:t>[</w:t>
      </w:r>
      <w:r>
        <w:rPr>
          <w:b/>
        </w:rPr>
        <w:t>3.</w:t>
      </w:r>
      <w:r>
        <w:tab/>
        <w:t>Deleted by No. 82 of 1982 s. 4.]</w:t>
      </w:r>
    </w:p>
    <w:p>
      <w:pPr>
        <w:pStyle w:val="Heading5"/>
        <w:spacing w:before="260"/>
        <w:rPr>
          <w:snapToGrid w:val="0"/>
        </w:rPr>
      </w:pPr>
      <w:bookmarkStart w:id="7" w:name="_Toc472087042"/>
      <w:r>
        <w:rPr>
          <w:rStyle w:val="CharSectno"/>
        </w:rPr>
        <w:t>4</w:t>
      </w:r>
      <w:r>
        <w:rPr>
          <w:snapToGrid w:val="0"/>
        </w:rPr>
        <w:t>.</w:t>
      </w:r>
      <w:r>
        <w:rPr>
          <w:snapToGrid w:val="0"/>
        </w:rPr>
        <w:tab/>
        <w:t>Repeal</w:t>
      </w:r>
      <w:bookmarkEnd w:id="7"/>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pPr>
      <w:bookmarkStart w:id="8" w:name="_Toc472087043"/>
      <w:r>
        <w:rPr>
          <w:rStyle w:val="CharSectno"/>
        </w:rPr>
        <w:t>5</w:t>
      </w:r>
      <w:r>
        <w:t>.</w:t>
      </w:r>
      <w:r>
        <w:tab/>
        <w:t>Terms used</w:t>
      </w:r>
      <w:bookmarkEnd w:id="8"/>
    </w:p>
    <w:p>
      <w:pPr>
        <w:pStyle w:val="Subsection"/>
      </w:pPr>
      <w:r>
        <w:tab/>
      </w:r>
      <w:r>
        <w:tab/>
        <w:t xml:space="preserve">The </w:t>
      </w:r>
      <w:r>
        <w:rPr>
          <w:i/>
          <w:iCs/>
        </w:rPr>
        <w:t>Road Traffic (Administration) Act 2008</w:t>
      </w:r>
      <w:r>
        <w:t xml:space="preserve"> Part 1 Division 2 provides for the meanings of some terms and abbreviations in this Act.</w:t>
      </w:r>
    </w:p>
    <w:p>
      <w:pPr>
        <w:pStyle w:val="Footnotesection"/>
        <w:keepLines w:val="0"/>
        <w:ind w:left="890" w:hanging="890"/>
      </w:pPr>
      <w:r>
        <w:tab/>
        <w:t>[Section 5 inserted by No. 8 of 2012 s. 6.]</w:t>
      </w:r>
    </w:p>
    <w:p>
      <w:pPr>
        <w:pStyle w:val="Footnotesection"/>
        <w:keepLines w:val="0"/>
        <w:spacing w:before="220"/>
        <w:ind w:left="890" w:hanging="890"/>
      </w:pPr>
      <w:r>
        <w:t>[</w:t>
      </w:r>
      <w:r>
        <w:rPr>
          <w:b/>
        </w:rPr>
        <w:t>5A.</w:t>
      </w:r>
      <w:r>
        <w:tab/>
        <w:t>Deleted by No. 8 of 2012 s. 7.]</w:t>
      </w:r>
    </w:p>
    <w:p>
      <w:pPr>
        <w:pStyle w:val="Ednotepart"/>
        <w:tabs>
          <w:tab w:val="left" w:pos="1320"/>
        </w:tabs>
      </w:pPr>
      <w:r>
        <w:t>[Part II (s. 6-15A) deleted by No. 8 of 2012 s. 8.]</w:t>
      </w:r>
    </w:p>
    <w:p>
      <w:pPr>
        <w:pStyle w:val="Ednotepart"/>
        <w:tabs>
          <w:tab w:val="left" w:pos="1320"/>
        </w:tabs>
      </w:pPr>
      <w:r>
        <w:t>[Part IIA deleted by No. 5 of 2002 s. 15.]</w:t>
      </w:r>
    </w:p>
    <w:p>
      <w:pPr>
        <w:pStyle w:val="Ednotepart"/>
        <w:tabs>
          <w:tab w:val="left" w:pos="1440"/>
        </w:tabs>
        <w:ind w:left="1440" w:hanging="1440"/>
      </w:pPr>
      <w:r>
        <w:t>[Part III:</w:t>
      </w:r>
      <w:r>
        <w:tab/>
        <w:t>s. 15, 17-20, 22, 23A-29 deleted by No. 8 of 2012 s. 8;</w:t>
      </w:r>
      <w:r>
        <w:br/>
        <w:t>s. 16 deleted by No. 28 of 2001 s. 7;</w:t>
      </w:r>
      <w:r>
        <w:br/>
        <w:t>s. 21 deleted by No. 21 of 1995 s. 7;</w:t>
      </w:r>
      <w:r>
        <w:br/>
        <w:t>s. 23 deleted by No. 39 of 2000 s. 11.]</w:t>
      </w:r>
    </w:p>
    <w:p>
      <w:pPr>
        <w:pStyle w:val="Ednotepart"/>
        <w:tabs>
          <w:tab w:val="left" w:pos="1440"/>
        </w:tabs>
        <w:ind w:left="1440" w:hanging="1440"/>
      </w:pPr>
      <w:r>
        <w:t>[Part IV:</w:t>
      </w:r>
      <w:r>
        <w:tab/>
        <w:t>s. 30-37 and 39-41 deleted by No. 8 of 2012 s. 8;</w:t>
      </w:r>
      <w:r>
        <w:br/>
        <w:t>s. 38 deleted by No. 39 of 2009 s. 6.]</w:t>
      </w:r>
    </w:p>
    <w:p>
      <w:pPr>
        <w:pStyle w:val="Ednotepart"/>
        <w:tabs>
          <w:tab w:val="left" w:pos="1440"/>
        </w:tabs>
        <w:ind w:left="1440" w:hanging="1440"/>
      </w:pPr>
      <w:r>
        <w:t>[Part IVA:</w:t>
      </w:r>
      <w:r>
        <w:tab/>
        <w:t>s. 41A-44D, 47, 48 and 48A deleted by No. 8 of 2012 s. 8;</w:t>
      </w:r>
      <w:r>
        <w:br/>
        <w:t>s. 45, 46 deleted by No. 18 of 2011 s. 11;</w:t>
      </w:r>
      <w:r>
        <w:br/>
        <w:t>s. 48B</w:t>
      </w:r>
      <w:r>
        <w:noBreakHyphen/>
        <w:t>48F deleted by No. 54 of 2006 s. 6.]</w:t>
      </w:r>
    </w:p>
    <w:p>
      <w:pPr>
        <w:pStyle w:val="Heading2"/>
        <w:spacing w:before="120"/>
      </w:pPr>
      <w:bookmarkStart w:id="9" w:name="_Toc468192032"/>
      <w:bookmarkStart w:id="10" w:name="_Toc472087044"/>
      <w:r>
        <w:rPr>
          <w:rStyle w:val="CharPartNo"/>
        </w:rPr>
        <w:t>Part V</w:t>
      </w:r>
      <w:r>
        <w:t> — </w:t>
      </w:r>
      <w:r>
        <w:rPr>
          <w:rStyle w:val="CharPartText"/>
        </w:rPr>
        <w:t>Regulation of traffic</w:t>
      </w:r>
      <w:bookmarkEnd w:id="9"/>
      <w:bookmarkEnd w:id="10"/>
    </w:p>
    <w:p>
      <w:pPr>
        <w:pStyle w:val="Footnoteheading"/>
        <w:spacing w:before="80"/>
      </w:pPr>
      <w:r>
        <w:tab/>
        <w:t>[Heading inserted by No. 76 of 1996 s. 11.]</w:t>
      </w:r>
    </w:p>
    <w:p>
      <w:pPr>
        <w:pStyle w:val="Heading3"/>
      </w:pPr>
      <w:bookmarkStart w:id="11" w:name="_Toc468192033"/>
      <w:bookmarkStart w:id="12" w:name="_Toc472087045"/>
      <w:r>
        <w:rPr>
          <w:rStyle w:val="CharDivNo"/>
        </w:rPr>
        <w:t>Division 1AA</w:t>
      </w:r>
      <w:r>
        <w:t> — </w:t>
      </w:r>
      <w:r>
        <w:rPr>
          <w:rStyle w:val="CharDivText"/>
        </w:rPr>
        <w:t>Terms used in this Part</w:t>
      </w:r>
      <w:bookmarkEnd w:id="11"/>
      <w:bookmarkEnd w:id="12"/>
    </w:p>
    <w:p>
      <w:pPr>
        <w:pStyle w:val="Footnoteheading"/>
      </w:pPr>
      <w:r>
        <w:tab/>
        <w:t>[Heading inserted by No. 25 of 2016 s. 42.]</w:t>
      </w:r>
    </w:p>
    <w:p>
      <w:pPr>
        <w:pStyle w:val="Heading5"/>
      </w:pPr>
      <w:bookmarkStart w:id="13" w:name="_Toc472087046"/>
      <w:r>
        <w:rPr>
          <w:rStyle w:val="CharSectno"/>
        </w:rPr>
        <w:t>49AAA</w:t>
      </w:r>
      <w:r>
        <w:t>.</w:t>
      </w:r>
      <w:r>
        <w:tab/>
        <w:t>Terms used</w:t>
      </w:r>
      <w:bookmarkEnd w:id="13"/>
    </w:p>
    <w:p>
      <w:pPr>
        <w:pStyle w:val="Subsection"/>
      </w:pPr>
      <w:r>
        <w:tab/>
      </w:r>
      <w:r>
        <w:tab/>
        <w:t xml:space="preserve">In this Part — </w:t>
      </w:r>
    </w:p>
    <w:p>
      <w:pPr>
        <w:pStyle w:val="Defstart"/>
      </w:pPr>
      <w:r>
        <w:tab/>
      </w:r>
      <w:r>
        <w:rPr>
          <w:rStyle w:val="CharDefText"/>
        </w:rPr>
        <w:t>above the speed limit</w:t>
      </w:r>
      <w:r>
        <w:t>, in relation to the driving of a vehicle, means driving the vehicle at a speed that exceeds the speed limit applicable to the driver, the vehicle or the length of road where it is being driven;</w:t>
      </w:r>
    </w:p>
    <w:p>
      <w:pPr>
        <w:pStyle w:val="Defstart"/>
      </w:pPr>
      <w:r>
        <w:tab/>
      </w:r>
      <w:r>
        <w:rPr>
          <w:rStyle w:val="CharDefText"/>
        </w:rPr>
        <w:t>confiscation zone</w:t>
      </w:r>
      <w:r>
        <w:t xml:space="preserve"> means — </w:t>
      </w:r>
    </w:p>
    <w:p>
      <w:pPr>
        <w:pStyle w:val="Defpara"/>
      </w:pPr>
      <w:r>
        <w:tab/>
        <w:t>(a)</w:t>
      </w:r>
      <w:r>
        <w:tab/>
        <w:t>in relation to a vehicle, a length of road where the speed limit applicable to the vehicle, or the length of road, is 50 km/h or less; or</w:t>
      </w:r>
    </w:p>
    <w:p>
      <w:pPr>
        <w:pStyle w:val="Defpara"/>
      </w:pPr>
      <w:r>
        <w:tab/>
        <w:t>(b)</w:t>
      </w:r>
      <w:r>
        <w:tab/>
        <w:t>a school zone;</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Defstart"/>
      </w:pPr>
      <w:r>
        <w:tab/>
      </w:r>
      <w:r>
        <w:rPr>
          <w:rStyle w:val="CharDefText"/>
        </w:rPr>
        <w:t>instructor</w:t>
      </w:r>
      <w:r>
        <w:t xml:space="preserve"> means a person who may give driving instruction under the </w:t>
      </w:r>
      <w:r>
        <w:rPr>
          <w:i/>
        </w:rPr>
        <w:t>Road Traffic (Authorisation to Drive) Act 2008</w:t>
      </w:r>
      <w:r>
        <w:t xml:space="preserve"> section 10(2);</w:t>
      </w:r>
    </w:p>
    <w:p>
      <w:pPr>
        <w:pStyle w:val="Defstart"/>
      </w:pPr>
      <w:r>
        <w:tab/>
      </w:r>
      <w:r>
        <w:rPr>
          <w:rStyle w:val="CharDefText"/>
        </w:rPr>
        <w:t>learner driver</w:t>
      </w:r>
      <w:r>
        <w:t xml:space="preserve"> means — </w:t>
      </w:r>
    </w:p>
    <w:p>
      <w:pPr>
        <w:pStyle w:val="Defpara"/>
      </w:pPr>
      <w:r>
        <w:tab/>
        <w:t>(a)</w:t>
      </w:r>
      <w:r>
        <w:tab/>
        <w:t>the holder of a learner’s permit; or</w:t>
      </w:r>
    </w:p>
    <w:p>
      <w:pPr>
        <w:pStyle w:val="Defpara"/>
      </w:pPr>
      <w:r>
        <w:tab/>
        <w:t>(b)</w:t>
      </w:r>
      <w:r>
        <w:tab/>
        <w:t xml:space="preserve">a person authorised to drive under the </w:t>
      </w:r>
      <w:r>
        <w:rPr>
          <w:i/>
        </w:rPr>
        <w:t>Road Traffic (Authorisation to Drive) Act 2008</w:t>
      </w:r>
      <w:r>
        <w:t xml:space="preserve"> section 6;</w:t>
      </w:r>
    </w:p>
    <w:p>
      <w:pPr>
        <w:pStyle w:val="Defstart"/>
      </w:pPr>
      <w:r>
        <w:tab/>
      </w:r>
      <w:r>
        <w:rPr>
          <w:rStyle w:val="CharDefText"/>
        </w:rPr>
        <w:t>motor cycle</w:t>
      </w:r>
      <w:r>
        <w:t xml:space="preserve"> means a motor vehicle that has 2 wheels and includes —</w:t>
      </w:r>
    </w:p>
    <w:p>
      <w:pPr>
        <w:pStyle w:val="Defpara"/>
      </w:pPr>
      <w:r>
        <w:tab/>
        <w:t>(a)</w:t>
      </w:r>
      <w:r>
        <w:tab/>
        <w:t>a 2-wheeled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r>
      <w:r>
        <w:rPr>
          <w:rStyle w:val="CharDefText"/>
        </w:rPr>
        <w:t>provide driving instruction</w:t>
      </w:r>
      <w:r>
        <w:t xml:space="preserve"> means to provide or attempt to provide driving instruction to a learner driver who is driving a motor vehicle;</w:t>
      </w:r>
    </w:p>
    <w:p>
      <w:pPr>
        <w:pStyle w:val="Defstart"/>
      </w:pPr>
      <w:r>
        <w:tab/>
      </w:r>
      <w:r>
        <w:rPr>
          <w:rStyle w:val="CharDefText"/>
        </w:rPr>
        <w:t>school zone</w:t>
      </w:r>
      <w:r>
        <w:t xml:space="preserve"> means a length of road designated as a school zone under a road law;</w:t>
      </w:r>
    </w:p>
    <w:p>
      <w:pPr>
        <w:pStyle w:val="Defstart"/>
      </w:pPr>
      <w:r>
        <w:tab/>
      </w:r>
      <w:r>
        <w:rPr>
          <w:rStyle w:val="CharDefText"/>
        </w:rPr>
        <w:t>speed limit</w:t>
      </w:r>
      <w:r>
        <w:t xml:space="preserve"> means a speed limit set under a road law.</w:t>
      </w:r>
    </w:p>
    <w:p>
      <w:pPr>
        <w:pStyle w:val="Footnotesection"/>
      </w:pPr>
      <w:r>
        <w:tab/>
        <w:t>[Section 49AAA inserted by No. 25 of 2016 s. 42; amended by No. 51 of 2016 s. 4.]</w:t>
      </w:r>
    </w:p>
    <w:p>
      <w:pPr>
        <w:pStyle w:val="Heading3"/>
      </w:pPr>
      <w:bookmarkStart w:id="14" w:name="_Toc468192035"/>
      <w:bookmarkStart w:id="15" w:name="_Toc472087047"/>
      <w:r>
        <w:rPr>
          <w:rStyle w:val="CharDivNo"/>
        </w:rPr>
        <w:t>Division 1A</w:t>
      </w:r>
      <w:r>
        <w:t> — </w:t>
      </w:r>
      <w:r>
        <w:rPr>
          <w:rStyle w:val="CharDivText"/>
        </w:rPr>
        <w:t>When person taken to be instructor or in charge of vehicle</w:t>
      </w:r>
      <w:bookmarkEnd w:id="14"/>
      <w:bookmarkEnd w:id="15"/>
    </w:p>
    <w:p>
      <w:pPr>
        <w:pStyle w:val="Footnoteheading"/>
      </w:pPr>
      <w:r>
        <w:tab/>
        <w:t>[Heading inserted by No. 25 of 2016 s. 42.]</w:t>
      </w:r>
    </w:p>
    <w:p>
      <w:pPr>
        <w:pStyle w:val="Heading5"/>
      </w:pPr>
      <w:bookmarkStart w:id="16" w:name="_Toc472087048"/>
      <w:r>
        <w:rPr>
          <w:rStyle w:val="CharSectno"/>
        </w:rPr>
        <w:t>49AA</w:t>
      </w:r>
      <w:r>
        <w:t>.</w:t>
      </w:r>
      <w:r>
        <w:tab/>
        <w:t>Circumstances in which person taken to be instructor or in charge of motor vehicle</w:t>
      </w:r>
      <w:bookmarkEnd w:id="16"/>
    </w:p>
    <w:p>
      <w:pPr>
        <w:pStyle w:val="Subsection"/>
      </w:pPr>
      <w:r>
        <w:tab/>
        <w:t>(1)</w:t>
      </w:r>
      <w:r>
        <w:tab/>
        <w:t xml:space="preserve">For the purposes of this Part, unless the contrary is shown, a person is to be taken to be an instructor providing driving instruction to a learner driver if the person is — </w:t>
      </w:r>
    </w:p>
    <w:p>
      <w:pPr>
        <w:pStyle w:val="Indenta"/>
      </w:pPr>
      <w:r>
        <w:tab/>
        <w:t>(a)</w:t>
      </w:r>
      <w:r>
        <w:tab/>
        <w:t>seated beside the learner driver in a motor vehicle driven by the learner driver; or</w:t>
      </w:r>
    </w:p>
    <w:p>
      <w:pPr>
        <w:pStyle w:val="Indenta"/>
      </w:pPr>
      <w:r>
        <w:tab/>
        <w:t>(b)</w:t>
      </w:r>
      <w:r>
        <w:tab/>
        <w:t xml:space="preserve">if there is no seat directly beside the learner driver — </w:t>
      </w:r>
    </w:p>
    <w:p>
      <w:pPr>
        <w:pStyle w:val="Indenti"/>
      </w:pPr>
      <w:r>
        <w:tab/>
        <w:t>(i)</w:t>
      </w:r>
      <w:r>
        <w:tab/>
        <w:t>seated in the seat nearest the learner driver that faces forward in a motor vehicle driven by the learner driver; or</w:t>
      </w:r>
    </w:p>
    <w:p>
      <w:pPr>
        <w:pStyle w:val="Indenti"/>
      </w:pPr>
      <w:r>
        <w:tab/>
        <w:t>(ii)</w:t>
      </w:r>
      <w:r>
        <w:tab/>
        <w:t>standing near the learner driver in a motor vehicle driven by the learner driver;</w:t>
      </w:r>
    </w:p>
    <w:p>
      <w:pPr>
        <w:pStyle w:val="Indenta"/>
      </w:pPr>
      <w:r>
        <w:tab/>
      </w:r>
      <w:r>
        <w:tab/>
        <w:t>or</w:t>
      </w:r>
    </w:p>
    <w:p>
      <w:pPr>
        <w:pStyle w:val="Indenta"/>
      </w:pPr>
      <w:r>
        <w:tab/>
        <w:t>(c)</w:t>
      </w:r>
      <w:r>
        <w:tab/>
        <w:t>riding in a side car attached, or on a pillion seat fitted, to a motor cycle driven by the learner driver.</w:t>
      </w:r>
    </w:p>
    <w:p>
      <w:pPr>
        <w:pStyle w:val="Subsection"/>
      </w:pPr>
      <w:r>
        <w:tab/>
        <w:t>(2)</w:t>
      </w:r>
      <w:r>
        <w:tab/>
        <w:t>Without limiting the circumstances in which a person is in charge of a motor vehicle, an instructor providing driving instruction to a learner driver is, for the purposes of this Part (other than sections 49AB and 66A), to be taken to be in charge of the motor vehicle driven by the learner driver.</w:t>
      </w:r>
    </w:p>
    <w:p>
      <w:pPr>
        <w:pStyle w:val="Subsection"/>
      </w:pPr>
      <w:r>
        <w:tab/>
        <w:t>(3)</w:t>
      </w:r>
      <w:r>
        <w:tab/>
        <w:t>Subsection (2) does not affect any liability of a learner driver for any offence committed by that person while driving or being in charge of a vehicle.</w:t>
      </w:r>
    </w:p>
    <w:p>
      <w:pPr>
        <w:pStyle w:val="Footnotesection"/>
      </w:pPr>
      <w:r>
        <w:tab/>
        <w:t>[Section 49AA inserted by No. 25 of 2016 s. 42.]</w:t>
      </w:r>
    </w:p>
    <w:p>
      <w:pPr>
        <w:pStyle w:val="Heading3"/>
        <w:spacing w:before="200"/>
      </w:pPr>
      <w:bookmarkStart w:id="17" w:name="_Toc468192037"/>
      <w:bookmarkStart w:id="18" w:name="_Toc472087049"/>
      <w:r>
        <w:rPr>
          <w:rStyle w:val="CharDivNo"/>
        </w:rPr>
        <w:t>Division 1</w:t>
      </w:r>
      <w:r>
        <w:t> — </w:t>
      </w:r>
      <w:r>
        <w:rPr>
          <w:rStyle w:val="CharDivText"/>
        </w:rPr>
        <w:t>Driving of vehicles: general offences</w:t>
      </w:r>
      <w:bookmarkEnd w:id="17"/>
      <w:bookmarkEnd w:id="18"/>
    </w:p>
    <w:p>
      <w:pPr>
        <w:pStyle w:val="Footnoteheading"/>
        <w:spacing w:before="80"/>
      </w:pPr>
      <w:r>
        <w:tab/>
        <w:t>[Heading inserted by No. 10 of 2004 s. 6.]</w:t>
      </w:r>
    </w:p>
    <w:p>
      <w:pPr>
        <w:pStyle w:val="Heading5"/>
        <w:spacing w:before="180"/>
      </w:pPr>
      <w:bookmarkStart w:id="19" w:name="_Toc472087050"/>
      <w:r>
        <w:rPr>
          <w:rStyle w:val="CharSectno"/>
        </w:rPr>
        <w:t>49AB</w:t>
      </w:r>
      <w:r>
        <w:t>.</w:t>
      </w:r>
      <w:r>
        <w:tab/>
        <w:t>Term used: circumstances of aggravation</w:t>
      </w:r>
      <w:bookmarkEnd w:id="19"/>
    </w:p>
    <w:p>
      <w:pPr>
        <w:pStyle w:val="Subsection"/>
      </w:pPr>
      <w:r>
        <w:tab/>
        <w:t>(1A)</w:t>
      </w:r>
      <w:r>
        <w:tab/>
        <w:t>In this section an instructor providing driving instruction to a learner driver is not to be taken, under section 49AA, to be in charge of the motor vehicle driven by the learner driver.</w:t>
      </w:r>
    </w:p>
    <w:p>
      <w:pPr>
        <w:pStyle w:val="Subsection"/>
      </w:pPr>
      <w:r>
        <w:tab/>
        <w:t>(1)</w:t>
      </w:r>
      <w:r>
        <w:tab/>
        <w:t xml:space="preserve">For the purposes of this Division, a person commits an offence in </w:t>
      </w:r>
      <w:r>
        <w:rPr>
          <w:rStyle w:val="CharDefText"/>
        </w:rPr>
        <w:t>circumstances of aggravation</w:t>
      </w:r>
      <w:r>
        <w:t xml:space="preserve"> if at the time of the alleged offence — </w:t>
      </w:r>
    </w:p>
    <w:p>
      <w:pPr>
        <w:pStyle w:val="Indenta"/>
      </w:pPr>
      <w:r>
        <w:tab/>
        <w:t>(a)</w:t>
      </w:r>
      <w:r>
        <w:tab/>
        <w:t>the person was unlawfully driving the vehicle concerned without the consent of the owner or person in charge of the vehicle; or</w:t>
      </w:r>
    </w:p>
    <w:p>
      <w:pPr>
        <w:pStyle w:val="Indenta"/>
      </w:pPr>
      <w:r>
        <w:tab/>
        <w:t>(b)</w:t>
      </w:r>
      <w:r>
        <w:tab/>
        <w:t>the person was driving the vehicle concerned on a road at 45 km/h or more above the speed limit; or</w:t>
      </w:r>
    </w:p>
    <w:p>
      <w:pPr>
        <w:pStyle w:val="Indenta"/>
      </w:pPr>
      <w:r>
        <w:tab/>
        <w:t>(c)</w:t>
      </w:r>
      <w:r>
        <w:tab/>
        <w:t>the person was driving the vehicle concerned to escape pursuit by a police officer.</w:t>
      </w:r>
    </w:p>
    <w:p>
      <w:pPr>
        <w:pStyle w:val="Subsection"/>
        <w:spacing w:before="120"/>
      </w:pPr>
      <w:r>
        <w:tab/>
        <w:t>(2)</w:t>
      </w:r>
      <w:r>
        <w:tab/>
        <w:t>For the purposes of subsection (1)(c) it does not matter whether the pursuit was proceeding, or had been suspended or terminated, at the time of the alleged offence.</w:t>
      </w:r>
    </w:p>
    <w:p>
      <w:pPr>
        <w:pStyle w:val="Footnotesection"/>
        <w:keepLines w:val="0"/>
        <w:spacing w:before="80"/>
        <w:ind w:left="890" w:hanging="890"/>
      </w:pPr>
      <w:r>
        <w:tab/>
        <w:t>[Section 49AB inserted by No. 59 of 2012 s. 4; amended by No. 59 of 2012 s. 12; No. 25 of 2016 s. 43; No. 51 of 2016 s. 6.]</w:t>
      </w:r>
    </w:p>
    <w:p>
      <w:pPr>
        <w:pStyle w:val="Heading5"/>
      </w:pPr>
      <w:bookmarkStart w:id="20" w:name="_Toc472087051"/>
      <w:r>
        <w:rPr>
          <w:rStyle w:val="CharSectno"/>
        </w:rPr>
        <w:t>49</w:t>
      </w:r>
      <w:r>
        <w:t>.</w:t>
      </w:r>
      <w:r>
        <w:tab/>
        <w:t>Driving while unlicensed or disqualified</w:t>
      </w:r>
      <w:bookmarkEnd w:id="20"/>
    </w:p>
    <w:p>
      <w:pPr>
        <w:pStyle w:val="Subsection"/>
      </w:pPr>
      <w:r>
        <w:tab/>
        <w:t>(1)</w:t>
      </w:r>
      <w:r>
        <w:tab/>
        <w:t>A person who —</w:t>
      </w:r>
    </w:p>
    <w:p>
      <w:pPr>
        <w:pStyle w:val="Indenta"/>
      </w:pPr>
      <w:r>
        <w:tab/>
        <w:t>(a)</w:t>
      </w:r>
      <w:r>
        <w:tab/>
        <w:t xml:space="preserve">drives a motor vehicle on a road while not authorised under the </w:t>
      </w:r>
      <w:r>
        <w:rPr>
          <w:i/>
          <w:iCs/>
        </w:rPr>
        <w:t>Road Traffic (Authorisation to Drive) Act 2008</w:t>
      </w:r>
      <w:r>
        <w:t xml:space="preserve"> Part 2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 for this subsection:</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(ca), (c) or (da) applies —</w:t>
      </w:r>
    </w:p>
    <w:p>
      <w:pPr>
        <w:pStyle w:val="Pensubpara"/>
      </w:pPr>
      <w:r>
        <w:tab/>
        <w:t>(i)</w:t>
      </w:r>
      <w:r>
        <w:tab/>
        <w:t xml:space="preserve">for a first offence, a fine of not less than 8 PU or more than 40 PU, and imprisonment for not more than 12 months; </w:t>
      </w:r>
    </w:p>
    <w:p>
      <w:pPr>
        <w:pStyle w:val="Pensubpara"/>
        <w:keepNext/>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 xml:space="preserve">regulations referred to in the </w:t>
      </w:r>
      <w:r>
        <w:rPr>
          <w:i/>
          <w:iCs/>
        </w:rPr>
        <w:t>Road Traffic (Authorisation to Drive) Act 2008</w:t>
      </w:r>
      <w:r>
        <w:t xml:space="preserve"> section 11(1);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at the time of the commission of the offence, is disqualified from holding or obtaining an Australian driver licence of a kind required, other than for the reason described in paragraph (d), whether or not the person has ever held an Australian driver licence of the kind required; or</w:t>
      </w:r>
    </w:p>
    <w:p>
      <w:pPr>
        <w:pStyle w:val="Indenta"/>
      </w:pPr>
      <w:r>
        <w:tab/>
        <w:t>(ca)</w:t>
      </w:r>
      <w:r>
        <w:tab/>
        <w:t>who has held an Australian driver licence of a kind required but ceased to hold the licence of that kind most recently held other than —</w:t>
      </w:r>
    </w:p>
    <w:p>
      <w:pPr>
        <w:pStyle w:val="Indenti"/>
      </w:pPr>
      <w:r>
        <w:tab/>
        <w:t>(i)</w:t>
      </w:r>
      <w:r>
        <w:tab/>
        <w:t>because the person had, before the time of the commission of the offence, voluntarily surrendered the licence most recently held; or</w:t>
      </w:r>
    </w:p>
    <w:p>
      <w:pPr>
        <w:pStyle w:val="Indenti"/>
      </w:pPr>
      <w:r>
        <w:tab/>
        <w:t>(ii)</w:t>
      </w:r>
      <w:r>
        <w:tab/>
        <w:t>because the licence expired; or</w:t>
      </w:r>
    </w:p>
    <w:p>
      <w:pPr>
        <w:pStyle w:val="Indenti"/>
      </w:pPr>
      <w:r>
        <w:tab/>
        <w:t>(iii)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(da)</w:t>
      </w:r>
      <w:r>
        <w:tab/>
        <w:t xml:space="preserve">who is a member of a class of persons prescribed for the purposes of this paragraph by regulations made for the purposes of the </w:t>
      </w:r>
      <w:r>
        <w:rPr>
          <w:i/>
        </w:rPr>
        <w:t>Road Traffic (Authorisation to Drive) Act 2008</w:t>
      </w:r>
      <w:r>
        <w:t xml:space="preserve"> section 5A; or</w:t>
      </w:r>
    </w:p>
    <w:p>
      <w:pPr>
        <w:pStyle w:val="Indenta"/>
        <w:keepNext/>
      </w:pPr>
      <w:r>
        <w:tab/>
        <w:t>(d)</w:t>
      </w:r>
      <w:r>
        <w:tab/>
        <w:t>who is no longer authorised to drive because of penalty enforcement laws, as described in subsection (9),</w:t>
      </w:r>
    </w:p>
    <w:p>
      <w:pPr>
        <w:pStyle w:val="Subsection"/>
      </w:pPr>
      <w:r>
        <w:tab/>
      </w:r>
      <w:r>
        <w:tab/>
        <w:t>a police officer may, without a warrant, arrest the person.</w:t>
      </w:r>
    </w:p>
    <w:p>
      <w:pPr>
        <w:pStyle w:val="Subsection"/>
      </w:pPr>
      <w:r>
        <w:tab/>
        <w:t>(4)</w:t>
      </w:r>
      <w:r>
        <w:tab/>
        <w:t>A person who would only come within a description in subsection (3)(a), (b), (ca) or (c) because of a decision for the review of which an application had been made is excluded from that description if the application had been made, but not determined, when the offence under subsection (1)(a) was committed.</w:t>
      </w:r>
    </w:p>
    <w:p>
      <w:pPr>
        <w:pStyle w:val="Subsection"/>
      </w:pPr>
      <w:r>
        <w:tab/>
        <w:t>(5)</w:t>
      </w:r>
      <w:r>
        <w:tab/>
        <w:t xml:space="preserve">If a person to whom the CEO has been ordered under the </w:t>
      </w:r>
      <w:r>
        <w:rPr>
          <w:i/>
          <w:iCs/>
        </w:rPr>
        <w:t>Road Traffic (Authorisation to Drive) Act 2008</w:t>
      </w:r>
      <w:r>
        <w:t xml:space="preserve"> section 30(1)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(ca)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(ca)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ind w:left="890" w:hanging="890"/>
      </w:pPr>
      <w:r>
        <w:tab/>
        <w:t>[Section 49 inserted by No. 54 of 2006 s. 7; amended by No. 8 of 2012 s. 10 and 37; No. 2 of 2015 s. 11; No. 25 of 2016 s. 62.]</w:t>
      </w:r>
    </w:p>
    <w:p>
      <w:pPr>
        <w:pStyle w:val="Heading5"/>
        <w:spacing w:before="240"/>
      </w:pPr>
      <w:bookmarkStart w:id="21" w:name="_Toc472087052"/>
      <w:r>
        <w:rPr>
          <w:rStyle w:val="CharSectno"/>
        </w:rPr>
        <w:t>49A</w:t>
      </w:r>
      <w:r>
        <w:t>.</w:t>
      </w:r>
      <w:r>
        <w:tab/>
        <w:t>Person breaching s. 49(1)(a) having lost licence etc. due to penalty enforcement laws, police may caution etc.</w:t>
      </w:r>
      <w:bookmarkEnd w:id="21"/>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spacing w:before="120"/>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spacing w:before="180"/>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ind w:left="890" w:hanging="890"/>
      </w:pPr>
      <w:r>
        <w:tab/>
        <w:t>[Section 49A inserted by No. 54 of 2006 s. 8.]</w:t>
      </w:r>
    </w:p>
    <w:p>
      <w:pPr>
        <w:pStyle w:val="Footnotesection"/>
        <w:ind w:left="890" w:hanging="890"/>
      </w:pPr>
      <w:r>
        <w:tab/>
        <w:t>[Section 49A. Modifications to be applied in order to give effect to Cross</w:t>
      </w:r>
      <w:r>
        <w:noBreakHyphen/>
        <w:t>border Justice Act 2008: section altered 1 Nov 2009. See endnote 1M.]</w:t>
      </w:r>
    </w:p>
    <w:p>
      <w:pPr>
        <w:pStyle w:val="Ednotesection"/>
        <w:spacing w:before="200"/>
      </w:pPr>
      <w:r>
        <w:t>[</w:t>
      </w:r>
      <w:r>
        <w:rPr>
          <w:b/>
        </w:rPr>
        <w:t>50.</w:t>
      </w:r>
      <w:r>
        <w:tab/>
        <w:t>Deleted by No. 25 of 2016 s. 4.]</w:t>
      </w:r>
    </w:p>
    <w:p>
      <w:pPr>
        <w:pStyle w:val="Heading5"/>
      </w:pPr>
      <w:bookmarkStart w:id="22" w:name="_Toc472087053"/>
      <w:r>
        <w:rPr>
          <w:rStyle w:val="CharSectno"/>
        </w:rPr>
        <w:t>50A</w:t>
      </w:r>
      <w:r>
        <w:t>.</w:t>
      </w:r>
      <w:r>
        <w:tab/>
        <w:t>Driver using foreign country’s driver’s licence etc. to carry it etc.</w:t>
      </w:r>
      <w:bookmarkEnd w:id="22"/>
    </w:p>
    <w:p>
      <w:pPr>
        <w:pStyle w:val="Subsection"/>
      </w:pPr>
      <w:r>
        <w:tab/>
        <w:t>(1)</w:t>
      </w:r>
      <w:r>
        <w:tab/>
        <w:t xml:space="preserve">A person whose authority to drive depends on a licence or authorisation granted under the law of an external licensing authority (as defined in the </w:t>
      </w:r>
      <w:r>
        <w:rPr>
          <w:i/>
        </w:rPr>
        <w:t>Road Traffic (Authorisation to Drive) Act 2008</w:t>
      </w:r>
      <w:r>
        <w:t xml:space="preserve"> section 3(1))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CEO;</w:t>
      </w:r>
    </w:p>
    <w:p>
      <w:pPr>
        <w:pStyle w:val="Indenta"/>
      </w:pPr>
      <w:r>
        <w:tab/>
      </w:r>
      <w:r>
        <w:tab/>
        <w:t>and</w:t>
      </w:r>
    </w:p>
    <w:p>
      <w:pPr>
        <w:pStyle w:val="Indenta"/>
      </w:pPr>
      <w:r>
        <w:tab/>
        <w:t>(b)</w:t>
      </w:r>
      <w:r>
        <w:tab/>
        <w:t>to produce that document for inspection at the request of any police officer.</w:t>
      </w:r>
    </w:p>
    <w:p>
      <w:pPr>
        <w:pStyle w:val="Subsection"/>
        <w:spacing w:before="180"/>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ind w:left="890" w:hanging="890"/>
      </w:pPr>
      <w:r>
        <w:tab/>
        <w:t>[Section 50A inserted by No. 54 of 2006 s. 10; amended by No. 8 of 2012 s. 11A (as amended by No. 10 of 2015 s. 14), 36 and 37.]</w:t>
      </w:r>
    </w:p>
    <w:p>
      <w:pPr>
        <w:pStyle w:val="Ednotesection"/>
        <w:spacing w:before="200"/>
      </w:pPr>
      <w:r>
        <w:t>[</w:t>
      </w:r>
      <w:r>
        <w:rPr>
          <w:b/>
        </w:rPr>
        <w:t>51.</w:t>
      </w:r>
      <w:r>
        <w:tab/>
        <w:t>Deleted by No. 8 of 2012 s. 11.]</w:t>
      </w:r>
    </w:p>
    <w:p>
      <w:pPr>
        <w:pStyle w:val="Ednotesection"/>
        <w:spacing w:before="200"/>
      </w:pPr>
      <w:r>
        <w:t>[</w:t>
      </w:r>
      <w:r>
        <w:rPr>
          <w:b/>
        </w:rPr>
        <w:t>52.</w:t>
      </w:r>
      <w:r>
        <w:tab/>
        <w:t>Deleted by No. 76 of 1996 s. 14.]</w:t>
      </w:r>
    </w:p>
    <w:p>
      <w:pPr>
        <w:pStyle w:val="Ednotesection"/>
        <w:spacing w:before="200"/>
      </w:pPr>
      <w:r>
        <w:t>[</w:t>
      </w:r>
      <w:r>
        <w:rPr>
          <w:b/>
        </w:rPr>
        <w:t>53.</w:t>
      </w:r>
      <w:r>
        <w:tab/>
        <w:t>Deleted by No. 8 of 2012 s. 11.]</w:t>
      </w:r>
    </w:p>
    <w:p>
      <w:pPr>
        <w:pStyle w:val="Heading5"/>
        <w:spacing w:before="200"/>
        <w:rPr>
          <w:snapToGrid w:val="0"/>
        </w:rPr>
      </w:pPr>
      <w:bookmarkStart w:id="23" w:name="_Toc472087054"/>
      <w:r>
        <w:rPr>
          <w:rStyle w:val="CharSectno"/>
        </w:rPr>
        <w:t>54</w:t>
      </w:r>
      <w:r>
        <w:rPr>
          <w:snapToGrid w:val="0"/>
        </w:rPr>
        <w:t>.</w:t>
      </w:r>
      <w:r>
        <w:rPr>
          <w:snapToGrid w:val="0"/>
        </w:rPr>
        <w:tab/>
        <w:t>Driver in incident occasioning bodily harm to stop, ensure assistance and give information</w:t>
      </w:r>
      <w:bookmarkEnd w:id="23"/>
    </w:p>
    <w:p>
      <w:pPr>
        <w:pStyle w:val="Subsection"/>
        <w:spacing w:before="180"/>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pPr>
      <w:r>
        <w:tab/>
        <w:t xml:space="preserve">Penalty for this subsection: imprisonment for — </w:t>
      </w:r>
    </w:p>
    <w:p>
      <w:pPr>
        <w:pStyle w:val="Penpara"/>
      </w:pPr>
      <w:r>
        <w:tab/>
        <w:t>(a)</w:t>
      </w:r>
      <w:r>
        <w:tab/>
        <w:t>20 years, if the incident occasioned death and, in any event, the court convicting the person must order that the person be disqualified from holding or obtaining a driver’s licence for a period of not less than 2 years;</w:t>
      </w:r>
    </w:p>
    <w:p>
      <w:pPr>
        <w:pStyle w:val="Penpara"/>
      </w:pPr>
      <w:r>
        <w:tab/>
        <w:t>(b)</w:t>
      </w:r>
      <w:r>
        <w:tab/>
        <w:t>14 years, if the incident occasioned grievous bodily harm but not death and, in any event, the court convicting the person must order that the person be disqualified from holding or obtaining a driver’s licence for a period of not less than 2 years;</w:t>
      </w:r>
    </w:p>
    <w:p>
      <w:pPr>
        <w:pStyle w:val="Penpara"/>
      </w:pPr>
      <w:r>
        <w:tab/>
        <w:t>(c)</w:t>
      </w:r>
      <w:r>
        <w:tab/>
        <w:t>10 years, in any other case and, in any event, the court convicting the person must order that the person be disqualified from holding or obtaining a driver’s licence for a period of not less than 12 months.</w:t>
      </w:r>
    </w:p>
    <w:p>
      <w:pPr>
        <w:pStyle w:val="Penstart"/>
      </w:pPr>
      <w:r>
        <w:tab/>
        <w:t>Summary conviction penalty in a case to which paragraph (c) applies: imprisonment for 3 years and, in any event, the court convicting the person must order that the person be disqualified from holding or obtaining a driver’s licence for a period of not less than 12 months.</w:t>
      </w:r>
    </w:p>
    <w:p>
      <w:pPr>
        <w:pStyle w:val="Ednotesubsection"/>
      </w:pPr>
      <w:r>
        <w:tab/>
        <w:t>[(4)</w:t>
      </w:r>
      <w:r>
        <w:tab/>
        <w:t>deleted]</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w:t>
      </w:r>
      <w:r>
        <w:t>police officer</w:t>
      </w:r>
      <w:r>
        <w:rPr>
          <w:snapToGrid w:val="0"/>
        </w:rPr>
        <w:t xml:space="preserve">, </w:t>
      </w:r>
      <w:r>
        <w:t>give the driver’s name and address and, if known to the driver, the name and address of a responsible person for the vehicle.</w:t>
      </w:r>
    </w:p>
    <w:p>
      <w:pPr>
        <w:pStyle w:val="Penstart"/>
        <w:spacing w:before="160"/>
      </w:pPr>
      <w:r>
        <w:tab/>
        <w:t>Penalty for this subsection: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 amended by No. 8 of 2012 s. 37; No. 25 of 2016 s. 5.]</w:t>
      </w:r>
    </w:p>
    <w:p>
      <w:pPr>
        <w:pStyle w:val="Heading5"/>
        <w:rPr>
          <w:snapToGrid w:val="0"/>
        </w:rPr>
      </w:pPr>
      <w:bookmarkStart w:id="24" w:name="_Toc472087055"/>
      <w:r>
        <w:rPr>
          <w:rStyle w:val="CharSectno"/>
        </w:rPr>
        <w:t>55</w:t>
      </w:r>
      <w:r>
        <w:rPr>
          <w:snapToGrid w:val="0"/>
        </w:rPr>
        <w:t>.</w:t>
      </w:r>
      <w:r>
        <w:rPr>
          <w:snapToGrid w:val="0"/>
        </w:rPr>
        <w:tab/>
        <w:t>Driver in incident occasioning property damage to stop and give information</w:t>
      </w:r>
      <w:bookmarkEnd w:id="24"/>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w:t>
      </w:r>
      <w:r>
        <w:t>police officer</w:t>
      </w:r>
      <w:r>
        <w:rPr>
          <w:snapToGrid w:val="0"/>
        </w:rPr>
        <w:t xml:space="preserv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 amended by No. 8 of 2012 s. 37.]</w:t>
      </w:r>
    </w:p>
    <w:p>
      <w:pPr>
        <w:pStyle w:val="Heading5"/>
        <w:spacing w:before="260"/>
      </w:pPr>
      <w:bookmarkStart w:id="25" w:name="_Toc472087056"/>
      <w:r>
        <w:rPr>
          <w:rStyle w:val="CharSectno"/>
        </w:rPr>
        <w:t>56</w:t>
      </w:r>
      <w:r>
        <w:t>.</w:t>
      </w:r>
      <w:r>
        <w:tab/>
        <w:t>Driver in incident occasioning bodily harm or property damage to report incident to police</w:t>
      </w:r>
      <w:bookmarkEnd w:id="25"/>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the driver or another person,</w:t>
      </w:r>
      <w:r>
        <w:rPr>
          <w:snapToGrid w:val="0"/>
        </w:rPr>
        <w:t xml:space="preserve"> the driver must report the incident forthwith</w:t>
      </w:r>
      <w:r>
        <w:t xml:space="preserve"> to — </w:t>
      </w:r>
      <w:r>
        <w:rPr>
          <w:snapToGrid w:val="0"/>
        </w:rPr>
        <w:t xml:space="preserve"> </w:t>
      </w:r>
    </w:p>
    <w:p>
      <w:pPr>
        <w:pStyle w:val="Indenta"/>
      </w:pPr>
      <w:r>
        <w:tab/>
        <w:t>(a)</w:t>
      </w:r>
      <w:r>
        <w:tab/>
        <w:t>the officer in charge of a police station; or</w:t>
      </w:r>
    </w:p>
    <w:p>
      <w:pPr>
        <w:pStyle w:val="Indenta"/>
      </w:pPr>
      <w:r>
        <w:tab/>
        <w:t>(b)</w:t>
      </w:r>
      <w:r>
        <w:tab/>
        <w:t>the Commissioner of Police in a manner approved by the Commissioner.</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w:t>
      </w:r>
      <w:r>
        <w:t xml:space="preserve"> to —</w:t>
      </w:r>
    </w:p>
    <w:p>
      <w:pPr>
        <w:pStyle w:val="Indenta"/>
      </w:pPr>
      <w:r>
        <w:tab/>
        <w:t>(a)</w:t>
      </w:r>
      <w:r>
        <w:tab/>
        <w:t>the officer in charge of a police station; or</w:t>
      </w:r>
    </w:p>
    <w:p>
      <w:pPr>
        <w:pStyle w:val="Indenta"/>
      </w:pPr>
      <w:r>
        <w:tab/>
        <w:t>(b)</w:t>
      </w:r>
      <w:r>
        <w:tab/>
        <w:t>the Commissioner of Police in a manner approved by the Commissioner.</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spacing w:before="180"/>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 xml:space="preserve">a </w:t>
      </w:r>
      <w:r>
        <w:t>police officer</w:t>
      </w:r>
      <w:r>
        <w:rPr>
          <w:snapToGrid w:val="0"/>
        </w:rPr>
        <w:t xml:space="preserv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keepNext/>
      </w:pPr>
      <w:r>
        <w:tab/>
        <w:t>(b)</w:t>
      </w:r>
      <w:r>
        <w:tab/>
      </w:r>
      <w:r>
        <w:rPr>
          <w:snapToGrid w:val="0"/>
        </w:rPr>
        <w:t>that the owner, in each case, of any property damaged was present or represented at the place where and at the time when, or immediately after, the incident occurred.</w:t>
      </w:r>
    </w:p>
    <w:p>
      <w:pPr>
        <w:pStyle w:val="Footnotesection"/>
        <w:ind w:left="890" w:hanging="890"/>
      </w:pPr>
      <w:r>
        <w:tab/>
        <w:t>[Section 56 inserted by No. 39 of 2007 s. 20; amended by No. 8 of 2012 s. 37; No. 25 of 2016 s. 6.]</w:t>
      </w:r>
    </w:p>
    <w:p>
      <w:pPr>
        <w:pStyle w:val="Footnotesection"/>
        <w:ind w:left="890" w:hanging="890"/>
      </w:pPr>
      <w:r>
        <w:tab/>
        <w:t>[Section 56. Modifications to be applied in order to give effect to Cross</w:t>
      </w:r>
      <w:r>
        <w:noBreakHyphen/>
        <w:t>border Justice Act 2008: section altered 1 Nov 2009. See endnote 1M.]</w:t>
      </w:r>
    </w:p>
    <w:p>
      <w:pPr>
        <w:pStyle w:val="Heading5"/>
        <w:rPr>
          <w:snapToGrid w:val="0"/>
        </w:rPr>
      </w:pPr>
      <w:bookmarkStart w:id="26" w:name="_Toc472087057"/>
      <w:r>
        <w:rPr>
          <w:rStyle w:val="CharSectno"/>
        </w:rPr>
        <w:t>57</w:t>
      </w:r>
      <w:r>
        <w:rPr>
          <w:snapToGrid w:val="0"/>
        </w:rPr>
        <w:t>.</w:t>
      </w:r>
      <w:r>
        <w:rPr>
          <w:snapToGrid w:val="0"/>
        </w:rPr>
        <w:tab/>
        <w:t>Owner etc. of vehicle occasioning bodily harm etc. to help police identify driver etc.</w:t>
      </w:r>
      <w:bookmarkEnd w:id="26"/>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w:t>
      </w:r>
      <w:r>
        <w:t>police officer</w:t>
      </w:r>
      <w:r>
        <w:rPr>
          <w:snapToGrid w:val="0"/>
        </w:rPr>
        <w:t>,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police officer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ind w:left="890" w:hanging="890"/>
      </w:pPr>
      <w:r>
        <w:tab/>
        <w:t>[Section 57 amended by No. 105 of 1981 s. 19; No. 11 of 1988 s. 24; No. 50 of 1997 s. 13; No. 39 of 2000 s. 31; No. 39 of 2007 s. 21; No. 8 of 2012 s. 37.]</w:t>
      </w:r>
    </w:p>
    <w:p>
      <w:pPr>
        <w:pStyle w:val="Ednotesection"/>
        <w:spacing w:before="240"/>
      </w:pPr>
      <w:r>
        <w:t>[</w:t>
      </w:r>
      <w:r>
        <w:rPr>
          <w:b/>
        </w:rPr>
        <w:t xml:space="preserve">58, 58A.  </w:t>
      </w:r>
      <w:r>
        <w:t>Deleted by No. 8 of 2012 s. 12.]</w:t>
      </w:r>
    </w:p>
    <w:p>
      <w:pPr>
        <w:pStyle w:val="Heading5"/>
        <w:spacing w:before="240"/>
        <w:rPr>
          <w:snapToGrid w:val="0"/>
        </w:rPr>
      </w:pPr>
      <w:bookmarkStart w:id="27" w:name="_Toc472087058"/>
      <w:r>
        <w:rPr>
          <w:rStyle w:val="CharSectno"/>
        </w:rPr>
        <w:t>59</w:t>
      </w:r>
      <w:r>
        <w:rPr>
          <w:snapToGrid w:val="0"/>
        </w:rPr>
        <w:t>.</w:t>
      </w:r>
      <w:r>
        <w:rPr>
          <w:snapToGrid w:val="0"/>
        </w:rPr>
        <w:tab/>
        <w:t>Dangerous driving causing death or grievous bodily harm</w:t>
      </w:r>
      <w:bookmarkEnd w:id="27"/>
    </w:p>
    <w:p>
      <w:pPr>
        <w:pStyle w:val="Subsection"/>
        <w:spacing w:before="180"/>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80"/>
      </w:pPr>
      <w:r>
        <w:tab/>
      </w:r>
      <w:r>
        <w:tab/>
        <w:t>the driver commits a crime and is liable to the penalty in subsection (3).</w:t>
      </w:r>
    </w:p>
    <w:p>
      <w:pPr>
        <w:pStyle w:val="Penstart"/>
      </w:pPr>
      <w:r>
        <w:tab/>
        <w:t>Summary conviction penalty in a case in which the incident does not occasion the death of another person: imprisonment for 3 years or a fine of 720 PU and in any event the court convicting the person shall order that he be disqualified from holding or obtaining a driver’s licence for a period of not less than 2 years.</w:t>
      </w:r>
    </w:p>
    <w:p>
      <w:pPr>
        <w:pStyle w:val="Subsection"/>
      </w:pPr>
      <w:r>
        <w:tab/>
        <w:t>(2A)</w:t>
      </w:r>
      <w:r>
        <w:tab/>
        <w:t xml:space="preserve">For an offence against this section that was committed before the day on which the </w:t>
      </w:r>
      <w:r>
        <w:rPr>
          <w:i/>
          <w:snapToGrid w:val="0"/>
        </w:rPr>
        <w:t>Manslaughter Legislation Amendment Act 2011</w:t>
      </w:r>
      <w:r>
        <w:t xml:space="preserve"> section 6(1) came into operation</w:t>
      </w:r>
      <w:r>
        <w:rPr>
          <w:vertAlign w:val="superscript"/>
        </w:rPr>
        <w:t> 1</w:t>
      </w:r>
      <w:r>
        <w:t xml:space="preserve"> amending subsection (1), subsection (1) applies as if that amendment had not been made.</w:t>
      </w:r>
    </w:p>
    <w:p>
      <w:pPr>
        <w:pStyle w:val="Subsection"/>
        <w:spacing w:before="180"/>
        <w:rPr>
          <w:snapToGrid w:val="0"/>
        </w:rPr>
      </w:pPr>
      <w:r>
        <w:rPr>
          <w:snapToGrid w:val="0"/>
        </w:rPr>
        <w:tab/>
        <w:t>(2)</w:t>
      </w:r>
      <w:r>
        <w:rPr>
          <w:snapToGrid w:val="0"/>
        </w:rPr>
        <w:tab/>
        <w:t>For the purposes of this section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spacing w:before="18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100"/>
        <w:rPr>
          <w:snapToGrid w:val="0"/>
        </w:rPr>
      </w:pPr>
      <w:r>
        <w:rPr>
          <w:snapToGrid w:val="0"/>
        </w:rPr>
        <w:tab/>
        <w:t>(a)</w:t>
      </w:r>
      <w:r>
        <w:rPr>
          <w:snapToGrid w:val="0"/>
        </w:rPr>
        <w:tab/>
      </w:r>
      <w:r>
        <w:t>if the offence is against subsection (1)(a), (ba) or (bb), or the offence is against subsection (1)(b) and is committed in circumstances of aggravation</w:t>
      </w:r>
      <w:r>
        <w:rPr>
          <w:snapToGrid w:val="0"/>
        </w:rPr>
        <w:t>, to a fine of any amount and to imprisonment for —</w:t>
      </w:r>
    </w:p>
    <w:p>
      <w:pPr>
        <w:pStyle w:val="Indenti"/>
        <w:spacing w:before="100"/>
        <w:rPr>
          <w:snapToGrid w:val="0"/>
        </w:rPr>
      </w:pPr>
      <w:r>
        <w:rPr>
          <w:snapToGrid w:val="0"/>
        </w:rPr>
        <w:tab/>
        <w:t>(i)</w:t>
      </w:r>
      <w:r>
        <w:rPr>
          <w:snapToGrid w:val="0"/>
        </w:rPr>
        <w:tab/>
        <w:t>20 years, if the person has caused the death of another person; or</w:t>
      </w:r>
    </w:p>
    <w:p>
      <w:pPr>
        <w:pStyle w:val="Indenti"/>
        <w:spacing w:before="100"/>
      </w:pPr>
      <w:r>
        <w:rPr>
          <w:snapToGrid w:val="0"/>
        </w:rPr>
        <w:tab/>
        <w:t>(ii)</w:t>
      </w:r>
      <w:r>
        <w:rPr>
          <w:snapToGrid w:val="0"/>
        </w:rPr>
        <w:tab/>
        <w:t>14 years, if the person has caused grievous bodily harm to another person;</w:t>
      </w:r>
    </w:p>
    <w:p>
      <w:pPr>
        <w:pStyle w:val="Indenta"/>
        <w:spacing w:before="100"/>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keepNext/>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pPr>
      <w:r>
        <w:tab/>
        <w:t>(4A)</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12 months; and</w:t>
      </w:r>
    </w:p>
    <w:p>
      <w:pPr>
        <w:pStyle w:val="Indenta"/>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59BA(1),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 No. 58 of 2011 s. 6; No. 59 of 2012 s. 6; No. 2 of 2015 s. 4; No. 25 of 2016 s. 23.]</w:t>
      </w:r>
    </w:p>
    <w:p>
      <w:pPr>
        <w:pStyle w:val="Heading5"/>
        <w:rPr>
          <w:snapToGrid w:val="0"/>
        </w:rPr>
      </w:pPr>
      <w:bookmarkStart w:id="28" w:name="_Toc472087059"/>
      <w:r>
        <w:rPr>
          <w:rStyle w:val="CharSectno"/>
        </w:rPr>
        <w:t>59A</w:t>
      </w:r>
      <w:r>
        <w:rPr>
          <w:snapToGrid w:val="0"/>
        </w:rPr>
        <w:t>.</w:t>
      </w:r>
      <w:r>
        <w:rPr>
          <w:snapToGrid w:val="0"/>
        </w:rPr>
        <w:tab/>
        <w:t>Dangerous driving causing bodily harm</w:t>
      </w:r>
      <w:bookmarkEnd w:id="28"/>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keepNext/>
        <w:keepLines/>
        <w:rPr>
          <w:snapToGrid w:val="0"/>
        </w:rPr>
      </w:pPr>
      <w:r>
        <w:rPr>
          <w:snapToGrid w:val="0"/>
        </w:rPr>
        <w:tab/>
        <w:t>(2)</w:t>
      </w:r>
      <w:r>
        <w:rPr>
          <w:snapToGrid w:val="0"/>
        </w:rPr>
        <w:tab/>
        <w:t>For the purposes of this section —</w:t>
      </w:r>
    </w:p>
    <w:p>
      <w:pPr>
        <w:pStyle w:val="Ednotepara"/>
        <w:keepNext/>
        <w:keepLines/>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 xml:space="preserve">for a first offence, to a fine of </w:t>
      </w:r>
      <w:r>
        <w:t>180</w:t>
      </w:r>
      <w:r>
        <w:rPr>
          <w:snapToGrid w:val="0"/>
        </w:rPr>
        <w:t xml:space="preserve">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 xml:space="preserve">for a second or subsequent offence, to a fine of </w:t>
      </w:r>
      <w:r>
        <w:t>360</w:t>
      </w:r>
      <w:r>
        <w:rPr>
          <w:snapToGrid w:val="0"/>
        </w:rPr>
        <w:t xml:space="preserve"> PU or to imprisonment for 18 months; and, in any event, the court convicting that person shall order that he be disqualified from holding or obtaining a driver’s licence for a period of not less than 18 months.</w:t>
      </w:r>
    </w:p>
    <w:p>
      <w:pPr>
        <w:pStyle w:val="Subsection"/>
      </w:pPr>
      <w:r>
        <w:tab/>
        <w:t>(3a)</w:t>
      </w:r>
      <w:r>
        <w:tab/>
        <w:t>In the case of an offence under subsection (1)(a), (ba) or (bb), or an offence under subsection (1)(b) committed in circumstances of aggravation, the offence is a crime and a person convicted of it is liable to a fine of any amount and imprisonment for 10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3 years or a fine of 720 PU and in any event the court convicting the person shall order that he be disqualified from holding or obtaining a driver’s licence for a period of not less than 18 months.</w:t>
      </w:r>
    </w:p>
    <w:p>
      <w:pPr>
        <w:pStyle w:val="Subsection"/>
      </w:pPr>
      <w:r>
        <w:tab/>
        <w:t>(4A)</w:t>
      </w:r>
      <w:r>
        <w:tab/>
        <w:t xml:space="preserve">A court sentencing a person for an offence against this section committed in the circumstance of aggravation referred to in section 49AB(1)(c) must — </w:t>
      </w:r>
    </w:p>
    <w:p>
      <w:pPr>
        <w:pStyle w:val="Indenta"/>
        <w:spacing w:before="60"/>
      </w:pPr>
      <w:r>
        <w:tab/>
        <w:t>(a)</w:t>
      </w:r>
      <w:r>
        <w:tab/>
        <w:t>sentence the person to a term of imprisonment of at least 6 months; and</w:t>
      </w:r>
    </w:p>
    <w:p>
      <w:pPr>
        <w:pStyle w:val="Indenta"/>
        <w:spacing w:before="60"/>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rPr>
      </w:pPr>
      <w:r>
        <w:rPr>
          <w:snapToGrid w:val="0"/>
        </w:rPr>
        <w:tab/>
        <w:t>(4)</w:t>
      </w:r>
      <w:r>
        <w:rPr>
          <w:snapToGrid w:val="0"/>
        </w:rPr>
        <w:tab/>
        <w:t xml:space="preserve">A person charged with an offence against this section may, instead of being convicted of that offence, be convicted of an offence against section </w:t>
      </w:r>
      <w:r>
        <w:rPr>
          <w:snapToGrid w:val="0"/>
          <w:spacing w:val="-4"/>
        </w:rPr>
        <w:t>59BA(1),</w:t>
      </w:r>
      <w:r>
        <w:rPr>
          <w:snapToGrid w:val="0"/>
        </w:rPr>
        <w:t> 61 or 62.</w:t>
      </w:r>
    </w:p>
    <w:p>
      <w:pPr>
        <w:pStyle w:val="Footnotesection"/>
        <w:ind w:left="890" w:hanging="890"/>
      </w:pPr>
      <w:r>
        <w:tab/>
        <w:t>[Section 59A inserted by No. 89 of 1978 s. 13; amended by No. 82 of 1982 s. 10; No. 11 of 1988 s. 24; No. 50 of 1997 s. 13; No. 50 of 2003 s. 92(2); No. 44 of 2004 s. 6; No. 39 of 2007 s. 23; No. 59 of 2012 s. 7; No. 2 of 2015 s. 5; No. 25 of 2016 s. 24.]</w:t>
      </w:r>
    </w:p>
    <w:p>
      <w:pPr>
        <w:pStyle w:val="Heading5"/>
      </w:pPr>
      <w:bookmarkStart w:id="29" w:name="_Toc472087060"/>
      <w:r>
        <w:rPr>
          <w:rStyle w:val="CharSectno"/>
        </w:rPr>
        <w:t>59BA</w:t>
      </w:r>
      <w:r>
        <w:t>.</w:t>
      </w:r>
      <w:r>
        <w:tab/>
        <w:t>Careless driving causing death, grievous bodily harm or bodily harm</w:t>
      </w:r>
      <w:bookmarkEnd w:id="29"/>
    </w:p>
    <w:p>
      <w:pPr>
        <w:pStyle w:val="Subsection"/>
      </w:pPr>
      <w:r>
        <w:tab/>
        <w:t>(1)</w:t>
      </w:r>
      <w:r>
        <w:tab/>
        <w:t xml:space="preserve">If a motor vehicle driven by a person (the </w:t>
      </w:r>
      <w:r>
        <w:rPr>
          <w:rStyle w:val="CharDefText"/>
        </w:rPr>
        <w:t>driver</w:t>
      </w:r>
      <w:r>
        <w:t>) is involved in an incident occasioning the death of, or grievous bodily harm or bodily harm to, another person and the driver was, at the time of the incident, driving the motor vehicle without due care and attention, the driver commits an offence.</w:t>
      </w:r>
    </w:p>
    <w:p>
      <w:pPr>
        <w:pStyle w:val="Penstart"/>
      </w:pPr>
      <w:r>
        <w:tab/>
        <w:t>Penalty for this subsection: imprisonment for 3 years or a fine of 720 PU and, in any event, the court convicting the person must order that the person be disqualified from holding or obtaining a driver’s licence for a period of not less than 3 months.</w:t>
      </w:r>
    </w:p>
    <w:p>
      <w:pPr>
        <w:pStyle w:val="Subsection"/>
      </w:pPr>
      <w:r>
        <w:tab/>
        <w:t>(2)</w:t>
      </w:r>
      <w:r>
        <w:tab/>
        <w:t>For the purposes of subsection (1) —</w:t>
      </w:r>
    </w:p>
    <w:p>
      <w:pPr>
        <w:pStyle w:val="Indenta"/>
      </w:pPr>
      <w:r>
        <w:tab/>
        <w:t>(a)</w:t>
      </w:r>
      <w:r>
        <w:tab/>
        <w:t>it is immaterial that the death, grievous bodily harm or bodily harm might have been avoided by proper precaution on the part of a person other than the person charged or might have been prevented by proper care or treatment; and</w:t>
      </w:r>
    </w:p>
    <w:p>
      <w:pPr>
        <w:pStyle w:val="Indenta"/>
      </w:pPr>
      <w:r>
        <w:tab/>
        <w:t>(b)</w:t>
      </w:r>
      <w:r>
        <w:tab/>
        <w:t>when an incident occasions grievous bodily harm to a person and that person receives surgical or medical treatment, and death results either from the harm or the treatment, the incident is deemed to have occasioned the death of that person, although the immediate cause of death was the surgical or medical treatment if the treatment was reasonably proper in the circumstances and was applied in good faith.</w:t>
      </w:r>
    </w:p>
    <w:p>
      <w:pPr>
        <w:pStyle w:val="Subsection"/>
      </w:pPr>
      <w:r>
        <w:tab/>
        <w:t>(3)</w:t>
      </w:r>
      <w:r>
        <w:tab/>
        <w:t>A person charged with an offence against subsection (1) may, instead of being convicted of that offence, be convicted of an offence against section 62.</w:t>
      </w:r>
    </w:p>
    <w:p>
      <w:pPr>
        <w:pStyle w:val="Footnotesection"/>
      </w:pPr>
      <w:r>
        <w:tab/>
        <w:t>[Section 59BA inserted by No. 25 of 2016 s. 25.]</w:t>
      </w:r>
    </w:p>
    <w:p>
      <w:pPr>
        <w:pStyle w:val="Heading5"/>
        <w:spacing w:before="240"/>
      </w:pPr>
      <w:bookmarkStart w:id="30" w:name="_Toc472087061"/>
      <w:r>
        <w:rPr>
          <w:rStyle w:val="CharSectno"/>
        </w:rPr>
        <w:t>59B</w:t>
      </w:r>
      <w:r>
        <w:t>.</w:t>
      </w:r>
      <w:r>
        <w:tab/>
        <w:t>Ancillary matters and defences for sections 59, 59A and 59BA</w:t>
      </w:r>
      <w:bookmarkEnd w:id="30"/>
      <w:r>
        <w:rPr>
          <w:b w:val="0"/>
        </w:rPr>
        <w:t xml:space="preserve"> </w:t>
      </w:r>
    </w:p>
    <w:p>
      <w:pPr>
        <w:pStyle w:val="Subsection"/>
        <w:rPr>
          <w:snapToGrid w:val="0"/>
        </w:rPr>
      </w:pPr>
      <w:r>
        <w:tab/>
        <w:t>(1)</w:t>
      </w:r>
      <w:r>
        <w:tab/>
        <w:t>For the purposes of sections 59, 59A and 59BA(1),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keepNext/>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spacing w:before="180"/>
        <w:rPr>
          <w:snapToGrid w:val="0"/>
        </w:rPr>
      </w:pPr>
      <w:r>
        <w:tab/>
        <w:t>(2)</w:t>
      </w:r>
      <w:r>
        <w:tab/>
        <w:t>For the purposes of sections 59, 59A and 59BA(1),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Ednotesubsection"/>
        <w:spacing w:before="180"/>
      </w:pPr>
      <w:r>
        <w:tab/>
        <w:t>[(3), (4)</w:t>
      </w:r>
      <w:r>
        <w:tab/>
      </w:r>
      <w:smartTag w:uri="urn:schemas-microsoft-com:office:smarttags" w:element="State">
        <w:smartTag w:uri="urn:schemas-microsoft-com:office:smarttags" w:element="place">
          <w:r>
            <w:t>del</w:t>
          </w:r>
        </w:smartTag>
      </w:smartTag>
      <w:r>
        <w:t>eted]</w:t>
      </w:r>
    </w:p>
    <w:p>
      <w:pPr>
        <w:pStyle w:val="Subsection"/>
        <w:spacing w:before="180"/>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80"/>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keepNext/>
      </w:pPr>
      <w:r>
        <w:rPr>
          <w:snapToGrid w:val="0"/>
        </w:rPr>
        <w:tab/>
        <w:t>(b)</w:t>
      </w:r>
      <w:r>
        <w:rPr>
          <w:snapToGrid w:val="0"/>
        </w:rPr>
        <w:tab/>
        <w:t>to the manner (which expression includes speed) in which the motor vehicle was driven.</w:t>
      </w:r>
    </w:p>
    <w:p>
      <w:pPr>
        <w:pStyle w:val="Subsection"/>
      </w:pPr>
      <w:r>
        <w:tab/>
        <w:t>(7)</w:t>
      </w:r>
      <w:r>
        <w:tab/>
        <w:t>In any proceeding for an offence against section 59BA(1) it is a defence for the person charged to prove that the death, grievous bodily harm or bodily harm occasioned by the incident was not in any way attributable to the level of care and attention with which the motor vehicle was driven.</w:t>
      </w:r>
    </w:p>
    <w:p>
      <w:pPr>
        <w:pStyle w:val="Footnotesection"/>
      </w:pPr>
      <w:r>
        <w:tab/>
        <w:t>[Section 59B inserted by No. 44 of 2004 s. 7; amended by No. 39 of 2007 s. 4; No. 59 of 2012 s. 8; No. 25 of 2016 s. 26.]</w:t>
      </w:r>
    </w:p>
    <w:p>
      <w:pPr>
        <w:pStyle w:val="Heading5"/>
        <w:rPr>
          <w:snapToGrid w:val="0"/>
        </w:rPr>
      </w:pPr>
      <w:bookmarkStart w:id="31" w:name="_Toc472087062"/>
      <w:r>
        <w:rPr>
          <w:rStyle w:val="CharSectno"/>
        </w:rPr>
        <w:t>60</w:t>
      </w:r>
      <w:r>
        <w:rPr>
          <w:snapToGrid w:val="0"/>
        </w:rPr>
        <w:t>.</w:t>
      </w:r>
      <w:r>
        <w:rPr>
          <w:snapToGrid w:val="0"/>
        </w:rPr>
        <w:tab/>
        <w:t>Driving in reckless manner</w:t>
      </w:r>
      <w:bookmarkEnd w:id="31"/>
    </w:p>
    <w:p>
      <w:pPr>
        <w:pStyle w:val="Subsection"/>
      </w:pPr>
      <w:r>
        <w:tab/>
        <w:t>(1)</w:t>
      </w:r>
      <w:r>
        <w:tab/>
        <w:t xml:space="preserve">For the purposes of this section, a motor vehicle is driven in a </w:t>
      </w:r>
      <w:r>
        <w:rPr>
          <w:rStyle w:val="CharDefText"/>
        </w:rPr>
        <w:t>reckless manner</w:t>
      </w:r>
      <w:r>
        <w:t xml:space="preserve"> if it is driven in a manner (which expression includes speed) that is inherently dangerous or that is, having regard to all the circumstances of the case, dangerous to the public or to any person.</w:t>
      </w:r>
    </w:p>
    <w:p>
      <w:pPr>
        <w:pStyle w:val="Subsection"/>
      </w:pPr>
      <w:r>
        <w:tab/>
        <w:t>(1A)</w:t>
      </w:r>
      <w:r>
        <w:tab/>
        <w:t xml:space="preserve">A person commits an offence if the person wilfully drives a motor vehicle in a reckless manner in — </w:t>
      </w:r>
    </w:p>
    <w:p>
      <w:pPr>
        <w:pStyle w:val="Indenta"/>
      </w:pPr>
      <w:r>
        <w:tab/>
        <w:t>(a)</w:t>
      </w:r>
      <w:r>
        <w:tab/>
        <w:t>a confiscation zone; or</w:t>
      </w:r>
    </w:p>
    <w:p>
      <w:pPr>
        <w:pStyle w:val="Indenta"/>
      </w:pPr>
      <w:r>
        <w:tab/>
        <w:t>(b)</w:t>
      </w:r>
      <w:r>
        <w:tab/>
        <w:t>any other place.</w:t>
      </w:r>
    </w:p>
    <w:p>
      <w:pPr>
        <w:pStyle w:val="Ednotesubsection"/>
      </w:pPr>
      <w:r>
        <w:tab/>
        <w:t>[(1b), (1c), (1D) deleted]</w:t>
      </w:r>
    </w:p>
    <w:p>
      <w:pPr>
        <w:pStyle w:val="Subsection"/>
      </w:pPr>
      <w:r>
        <w:rPr>
          <w:snapToGrid w:val="0"/>
        </w:rPr>
        <w:tab/>
        <w:t>(2)</w:t>
      </w:r>
      <w:r>
        <w:rPr>
          <w:snapToGrid w:val="0"/>
        </w:rPr>
        <w:tab/>
        <w:t xml:space="preserve">A person charged with an offence against this section may, instead of being convicted of that offence, be convicted of an offence against </w:t>
      </w:r>
      <w:r>
        <w:t>section 60A, 61, 62 or 62A.</w:t>
      </w:r>
    </w:p>
    <w:p>
      <w:pPr>
        <w:pStyle w:val="Ednotesubsection"/>
      </w:pPr>
      <w:r>
        <w:tab/>
        <w:t>[(3)</w:t>
      </w:r>
      <w:r>
        <w:noBreakHyphen/>
        <w:t>(7)</w:t>
      </w:r>
      <w:r>
        <w:tab/>
        <w:t>deleted]</w:t>
      </w:r>
    </w:p>
    <w:p>
      <w:pPr>
        <w:pStyle w:val="Footnotesection"/>
        <w:ind w:left="890" w:hanging="890"/>
      </w:pPr>
      <w:r>
        <w:tab/>
        <w:t>[Section 60 amended by No. 11 of 1988 s. 24; No. 78 of 1995 s. 147; No. 50 of 1997 s. 13; No. 50 of 2003 s. 92(2); No. 10 of 2004 s. 8; No. 54 of 2006 s. 12; No. 24 of 2008 s. 4; No. 23 of 2009 s. 5; No. 8 of 2012 s. 37; No. 59 of 2012 s. 9; No. 51 of 2016 s. 7.]</w:t>
      </w:r>
    </w:p>
    <w:p>
      <w:pPr>
        <w:pStyle w:val="Heading5"/>
      </w:pPr>
      <w:bookmarkStart w:id="32" w:name="_Toc472068368"/>
      <w:bookmarkStart w:id="33" w:name="_Toc472087063"/>
      <w:r>
        <w:rPr>
          <w:rStyle w:val="CharSectno"/>
        </w:rPr>
        <w:t>60A</w:t>
      </w:r>
      <w:r>
        <w:t>.</w:t>
      </w:r>
      <w:r>
        <w:tab/>
        <w:t>Driving at reckless speed</w:t>
      </w:r>
      <w:bookmarkEnd w:id="32"/>
      <w:bookmarkEnd w:id="33"/>
    </w:p>
    <w:p>
      <w:pPr>
        <w:pStyle w:val="Subsection"/>
      </w:pPr>
      <w:r>
        <w:tab/>
        <w:t>(1)</w:t>
      </w:r>
      <w:r>
        <w:tab/>
        <w:t>A person commits an offence if the person drives a motor vehicle at a speed of 155 km/h or more on any other length of road.</w:t>
      </w:r>
    </w:p>
    <w:p>
      <w:pPr>
        <w:pStyle w:val="Subsection"/>
      </w:pPr>
      <w:r>
        <w:tab/>
        <w:t>(2)</w:t>
      </w:r>
      <w:r>
        <w:tab/>
        <w:t xml:space="preserve">A person commits an offence if the person drives a motor vehicle at 45 km/h or more above the speed limit — </w:t>
      </w:r>
    </w:p>
    <w:p>
      <w:pPr>
        <w:pStyle w:val="Indenta"/>
      </w:pPr>
      <w:r>
        <w:tab/>
        <w:t>(a)</w:t>
      </w:r>
      <w:r>
        <w:tab/>
        <w:t>in a confiscation zone; or</w:t>
      </w:r>
    </w:p>
    <w:p>
      <w:pPr>
        <w:pStyle w:val="Indenta"/>
      </w:pPr>
      <w:r>
        <w:tab/>
        <w:t>(b)</w:t>
      </w:r>
      <w:r>
        <w:tab/>
        <w:t>on any other length of road.</w:t>
      </w:r>
    </w:p>
    <w:p>
      <w:pPr>
        <w:pStyle w:val="Subsection"/>
      </w:pPr>
      <w:r>
        <w:tab/>
        <w:t>(3)</w:t>
      </w:r>
      <w:r>
        <w:tab/>
        <w:t>A person charged with an offence against this section may, instead of being convicted of that offence, be convicted of an offence against section 60(1A), 61 or 62.</w:t>
      </w:r>
    </w:p>
    <w:p>
      <w:pPr>
        <w:pStyle w:val="Footnotesection"/>
      </w:pPr>
      <w:r>
        <w:tab/>
        <w:t>[Section 60A inserted by No. 51 of 2016 s. 8.]</w:t>
      </w:r>
    </w:p>
    <w:p>
      <w:pPr>
        <w:pStyle w:val="Heading5"/>
      </w:pPr>
      <w:bookmarkStart w:id="34" w:name="_Toc472068369"/>
      <w:bookmarkStart w:id="35" w:name="_Toc472087064"/>
      <w:r>
        <w:rPr>
          <w:rStyle w:val="CharSectno"/>
        </w:rPr>
        <w:t>60B</w:t>
      </w:r>
      <w:r>
        <w:t>.</w:t>
      </w:r>
      <w:r>
        <w:tab/>
        <w:t>Penalties for offences against sections 60 and 60A</w:t>
      </w:r>
      <w:bookmarkEnd w:id="34"/>
      <w:bookmarkEnd w:id="35"/>
    </w:p>
    <w:p>
      <w:pPr>
        <w:pStyle w:val="Subsection"/>
      </w:pPr>
      <w:r>
        <w:tab/>
        <w:t>(1)</w:t>
      </w:r>
      <w:r>
        <w:tab/>
        <w:t xml:space="preserve">In this section — </w:t>
      </w:r>
    </w:p>
    <w:p>
      <w:pPr>
        <w:pStyle w:val="Defstart"/>
      </w:pPr>
      <w:r>
        <w:tab/>
      </w:r>
      <w:r>
        <w:rPr>
          <w:rStyle w:val="CharDefText"/>
        </w:rPr>
        <w:t>offence</w:t>
      </w:r>
      <w:r>
        <w:t xml:space="preserve"> means an offence against section 60 or 60A.</w:t>
      </w:r>
    </w:p>
    <w:p>
      <w:pPr>
        <w:pStyle w:val="Subsection"/>
      </w:pPr>
      <w:r>
        <w:tab/>
        <w:t>(2)</w:t>
      </w:r>
      <w:r>
        <w:tab/>
        <w:t>A person convicted of an offence is liable —</w:t>
      </w:r>
    </w:p>
    <w:p>
      <w:pPr>
        <w:pStyle w:val="Indenta"/>
      </w:pPr>
      <w:r>
        <w:tab/>
        <w:t>(a)</w:t>
      </w:r>
      <w:r>
        <w:tab/>
        <w:t>for a first offence, to a fine of 120 PU or to imprisonment for 9 months; and</w:t>
      </w:r>
    </w:p>
    <w:p>
      <w:pPr>
        <w:pStyle w:val="Indenta"/>
      </w:pPr>
      <w:r>
        <w:tab/>
        <w:t>(b)</w:t>
      </w:r>
      <w:r>
        <w:tab/>
        <w:t>for a second offence, to a fine of 180 PU or to imprisonment for 9 months; and</w:t>
      </w:r>
    </w:p>
    <w:p>
      <w:pPr>
        <w:pStyle w:val="Indenta"/>
      </w:pPr>
      <w:r>
        <w:tab/>
        <w:t>(c)</w:t>
      </w:r>
      <w:r>
        <w:tab/>
        <w:t>for a third or subsequent offence, to a fine of 240 PU or to imprisonment for 12 months.</w:t>
      </w:r>
    </w:p>
    <w:p>
      <w:pPr>
        <w:pStyle w:val="Subsection"/>
      </w:pPr>
      <w:r>
        <w:tab/>
        <w:t>(3)</w:t>
      </w:r>
      <w:r>
        <w:tab/>
        <w:t>In any event, a court convicting a person —</w:t>
      </w:r>
    </w:p>
    <w:p>
      <w:pPr>
        <w:pStyle w:val="Indenta"/>
      </w:pPr>
      <w:r>
        <w:tab/>
        <w:t>(a)</w:t>
      </w:r>
      <w:r>
        <w:tab/>
        <w:t>of a first offence, must order that the person be disqualified from holding or obtaining a driver’s licence for a period of not less than 6 months; and</w:t>
      </w:r>
    </w:p>
    <w:p>
      <w:pPr>
        <w:pStyle w:val="Indenta"/>
      </w:pPr>
      <w:r>
        <w:tab/>
        <w:t>(b)</w:t>
      </w:r>
      <w:r>
        <w:tab/>
        <w:t>of a second offence, must order that the person be disqualified from holding or obtaining a driver’s licence for a period of not less than 12 months; and</w:t>
      </w:r>
    </w:p>
    <w:p>
      <w:pPr>
        <w:pStyle w:val="Indenta"/>
      </w:pPr>
      <w:r>
        <w:tab/>
        <w:t>(c)</w:t>
      </w:r>
      <w:r>
        <w:tab/>
        <w:t>of a third or subsequent offence, must order that the person be permanently disqualified from holding or obtaining a driver’s licence.</w:t>
      </w:r>
    </w:p>
    <w:p>
      <w:pPr>
        <w:pStyle w:val="Subsection"/>
      </w:pPr>
      <w:r>
        <w:tab/>
        <w:t>(4)</w:t>
      </w:r>
      <w:r>
        <w:tab/>
        <w:t>If an offence is committed in the circumstance of aggravation referred to in section 49AB(1)(c), the offence is a crime.</w:t>
      </w:r>
    </w:p>
    <w:p>
      <w:pPr>
        <w:pStyle w:val="Penstart"/>
      </w:pPr>
      <w:r>
        <w:tab/>
        <w:t>Penalty for this subsection: imprisonment for 5 years.</w:t>
      </w:r>
    </w:p>
    <w:p>
      <w:pPr>
        <w:pStyle w:val="Penstart"/>
      </w:pPr>
      <w:r>
        <w:tab/>
        <w:t>Summary conviction penalty for this subsection: imprisonment for 2 years.</w:t>
      </w:r>
    </w:p>
    <w:p>
      <w:pPr>
        <w:pStyle w:val="Subsection"/>
      </w:pPr>
      <w:r>
        <w:tab/>
        <w:t>(5)</w:t>
      </w:r>
      <w:r>
        <w:tab/>
        <w:t xml:space="preserve">A court sentencing a person for an offence committed in the circumstance of aggravation referred to in section 49AB(1)(c) must — </w:t>
      </w:r>
    </w:p>
    <w:p>
      <w:pPr>
        <w:pStyle w:val="Indenta"/>
      </w:pPr>
      <w:r>
        <w:tab/>
        <w:t>(a)</w:t>
      </w:r>
      <w:r>
        <w:tab/>
        <w:t>sentence the person to a term of imprisonment of at least 6 months; and</w:t>
      </w:r>
    </w:p>
    <w:p>
      <w:pPr>
        <w:pStyle w:val="Indenta"/>
      </w:pPr>
      <w:r>
        <w:tab/>
        <w:t>(b)</w:t>
      </w:r>
      <w:r>
        <w:tab/>
        <w:t>not suspend the term of imprisonment; and</w:t>
      </w:r>
    </w:p>
    <w:p>
      <w:pPr>
        <w:pStyle w:val="Indenta"/>
      </w:pPr>
      <w:r>
        <w:tab/>
        <w:t>(c)</w:t>
      </w:r>
      <w:r>
        <w:tab/>
        <w:t>for a first or second offence — order that the offender is disqualified from holding or obtaining a driver’s licence for a period of not less than 2 years; and</w:t>
      </w:r>
    </w:p>
    <w:p>
      <w:pPr>
        <w:pStyle w:val="Indenta"/>
      </w:pPr>
      <w:r>
        <w:tab/>
        <w:t>(d)</w:t>
      </w:r>
      <w:r>
        <w:tab/>
        <w:t>for a third or subsequent offence — order that the offender is permanently disqualified from holding or obtaining a driver’s licence.</w:t>
      </w:r>
    </w:p>
    <w:p>
      <w:pPr>
        <w:pStyle w:val="Subsection"/>
      </w:pPr>
      <w:r>
        <w:tab/>
        <w:t>(6)</w:t>
      </w:r>
      <w:r>
        <w:tab/>
        <w:t xml:space="preserve">Subsection (5) applies whether the person was convicted on indictment or summarily and despite the </w:t>
      </w:r>
      <w:r>
        <w:rPr>
          <w:i/>
        </w:rPr>
        <w:t>Sentencing Act 1995</w:t>
      </w:r>
      <w:r>
        <w:t xml:space="preserve"> Part 5.</w:t>
      </w:r>
    </w:p>
    <w:p>
      <w:pPr>
        <w:pStyle w:val="Subsection"/>
      </w:pPr>
      <w:r>
        <w:tab/>
        <w:t>(7)</w:t>
      </w:r>
      <w:r>
        <w:tab/>
        <w:t>A reference in subsection (5)(c) or (d) to an offence is a reference to the offence whether or not committed in the circumstance of aggravation referred to in section 49AB(1)(c).</w:t>
      </w:r>
    </w:p>
    <w:p>
      <w:pPr>
        <w:pStyle w:val="Footnotesection"/>
      </w:pPr>
      <w:bookmarkStart w:id="36" w:name="_Toc472068370"/>
      <w:r>
        <w:tab/>
        <w:t>[Section 60B inserted by No. 51 of 2016 s. 8.]</w:t>
      </w:r>
    </w:p>
    <w:p>
      <w:pPr>
        <w:pStyle w:val="Heading5"/>
      </w:pPr>
      <w:bookmarkStart w:id="37" w:name="_Toc472087065"/>
      <w:r>
        <w:rPr>
          <w:rStyle w:val="CharSectno"/>
        </w:rPr>
        <w:t>60C</w:t>
      </w:r>
      <w:r>
        <w:t>.</w:t>
      </w:r>
      <w:r>
        <w:tab/>
        <w:t>Arrest without warrant for driving in reckless manner or at reckless speed</w:t>
      </w:r>
      <w:bookmarkEnd w:id="36"/>
      <w:bookmarkEnd w:id="37"/>
    </w:p>
    <w:p>
      <w:pPr>
        <w:pStyle w:val="Subsection"/>
      </w:pPr>
      <w:r>
        <w:tab/>
      </w:r>
      <w:r>
        <w:tab/>
        <w:t>A police officer who reasonably suspects that a person has committed an offence against section 60 or 60A may, without a warrant, arrest the person.</w:t>
      </w:r>
    </w:p>
    <w:p>
      <w:pPr>
        <w:pStyle w:val="Footnotesection"/>
      </w:pPr>
      <w:r>
        <w:tab/>
        <w:t>[Section 60C inserted by No. 51 of 2016 s. 8.]</w:t>
      </w:r>
    </w:p>
    <w:p>
      <w:pPr>
        <w:pStyle w:val="Heading5"/>
        <w:rPr>
          <w:snapToGrid w:val="0"/>
        </w:rPr>
      </w:pPr>
      <w:bookmarkStart w:id="38" w:name="_Toc472087066"/>
      <w:r>
        <w:rPr>
          <w:rStyle w:val="CharSectno"/>
        </w:rPr>
        <w:t>61</w:t>
      </w:r>
      <w:r>
        <w:rPr>
          <w:snapToGrid w:val="0"/>
        </w:rPr>
        <w:t>.</w:t>
      </w:r>
      <w:r>
        <w:rPr>
          <w:snapToGrid w:val="0"/>
        </w:rPr>
        <w:tab/>
        <w:t>Dangerous driving</w:t>
      </w:r>
      <w:bookmarkEnd w:id="38"/>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pPr>
      <w:r>
        <w:tab/>
        <w:t>(a)</w:t>
      </w:r>
      <w:r>
        <w:tab/>
        <w:t xml:space="preserve">unless paragraph (b) applies — </w:t>
      </w:r>
    </w:p>
    <w:p>
      <w:pPr>
        <w:pStyle w:val="Indenti"/>
      </w:pPr>
      <w:r>
        <w:tab/>
        <w:t>(i)</w:t>
      </w:r>
      <w:r>
        <w:tab/>
        <w:t>for a first offence — to a fine of 60 PU;</w:t>
      </w:r>
    </w:p>
    <w:p>
      <w:pPr>
        <w:pStyle w:val="Indenti"/>
      </w:pPr>
      <w:r>
        <w:tab/>
        <w:t>(ii)</w:t>
      </w:r>
      <w:r>
        <w:tab/>
        <w:t>for a subsequent offence — to a fine of 120 PU or to imprisonment for 9 months; and, in any event, the court convicting the person must order that the offender is disqualified from holding or obtaining a driver’s licence for a period of not less than 12 months;</w:t>
      </w:r>
    </w:p>
    <w:p>
      <w:pPr>
        <w:pStyle w:val="Indenta"/>
      </w:pPr>
      <w:r>
        <w:tab/>
        <w:t>(b)</w:t>
      </w:r>
      <w:r>
        <w:tab/>
        <w:t>if the offence is committed in the circumstance of aggravation referred to in section 49AB(1)(c) — to a fine of 720 PU or to imprisonment for 3 years; and, in any event, the court convicting the person must order that the offender is disqualified from holding or obtaining a driver’s licence for a period of not less than 2 years.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60, as in force from time to time, or 60A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ind w:left="890" w:hanging="890"/>
      </w:pPr>
      <w:r>
        <w:tab/>
        <w:t>[Section 61 amended by No. 11 of 1988 s. 24; No. 78 of 1995 s. 147; No. 50 of 1997 s. 13; No. 50 of 2003 s. 92(2); No. 54 of 2006 s. 13; No. 23 of 2009 s. 6; No. 59 of 2012 s. 10; No. 51 of 2016 s. 9.]</w:t>
      </w:r>
    </w:p>
    <w:p>
      <w:pPr>
        <w:pStyle w:val="Heading5"/>
        <w:keepNext w:val="0"/>
        <w:keepLines w:val="0"/>
        <w:pageBreakBefore/>
        <w:spacing w:before="0"/>
      </w:pPr>
      <w:bookmarkStart w:id="39" w:name="_Toc472087067"/>
      <w:r>
        <w:rPr>
          <w:rStyle w:val="CharSectno"/>
        </w:rPr>
        <w:t>61A</w:t>
      </w:r>
      <w:r>
        <w:t>.</w:t>
      </w:r>
      <w:r>
        <w:tab/>
        <w:t>Defence for police officers driving in reckless manner in certain circumstances</w:t>
      </w:r>
      <w:bookmarkEnd w:id="39"/>
    </w:p>
    <w:p>
      <w:pPr>
        <w:pStyle w:val="Subsection"/>
      </w:pPr>
      <w:r>
        <w:tab/>
        <w:t>(1)</w:t>
      </w:r>
      <w:r>
        <w:tab/>
        <w:t xml:space="preserve">It is a defence to a prosecution for an offence against section 59(1)(b), 59A(1)(b), 60(1A) or 61(1) if the accused satisfies the court that, at the time of the alleged commission of the offence — </w:t>
      </w:r>
    </w:p>
    <w:p>
      <w:pPr>
        <w:pStyle w:val="Indenta"/>
      </w:pPr>
      <w:r>
        <w:tab/>
        <w:t>(a)</w:t>
      </w:r>
      <w:r>
        <w:tab/>
        <w:t>the accused was on official duty as a police officer; and</w:t>
      </w:r>
    </w:p>
    <w:p>
      <w:pPr>
        <w:pStyle w:val="Indenta"/>
      </w:pPr>
      <w:r>
        <w:tab/>
        <w:t>(b)</w:t>
      </w:r>
      <w:r>
        <w:tab/>
        <w:t>the driving was substantially in accordance with the Commissioner’s policies and guidelines relating to driving, applicable at the time of the driving, and any direction given under such a policy or guideline; and</w:t>
      </w:r>
    </w:p>
    <w:p>
      <w:pPr>
        <w:pStyle w:val="Indenta"/>
      </w:pPr>
      <w:r>
        <w:tab/>
        <w:t>(c)</w:t>
      </w:r>
      <w:r>
        <w:tab/>
        <w:t>having regard to all of the circumstances of the case, it was reasonable, and in the public interest, for the accused to have driven the motor vehicle in the manner that he or she did.</w:t>
      </w:r>
    </w:p>
    <w:p>
      <w:pPr>
        <w:pStyle w:val="Subsection"/>
      </w:pPr>
      <w:r>
        <w:tab/>
        <w:t>(2)</w:t>
      </w:r>
      <w:r>
        <w:tab/>
        <w:t>Subsection (1) does not affect the application of any other defence the accused may have.</w:t>
      </w:r>
    </w:p>
    <w:p>
      <w:pPr>
        <w:pStyle w:val="Footnotesection"/>
      </w:pPr>
      <w:r>
        <w:tab/>
        <w:t>[Section 61A inserted by No. 59 of 2012 s. 11; amended by No. 59 of 2012 s. 12; No. 51 of 2016 s. 10.]</w:t>
      </w:r>
    </w:p>
    <w:p>
      <w:pPr>
        <w:pStyle w:val="Heading5"/>
      </w:pPr>
      <w:bookmarkStart w:id="40" w:name="_Toc472068374"/>
      <w:bookmarkStart w:id="41" w:name="_Toc472087068"/>
      <w:r>
        <w:rPr>
          <w:rStyle w:val="CharSectno"/>
        </w:rPr>
        <w:t>61B</w:t>
      </w:r>
      <w:r>
        <w:t>.</w:t>
      </w:r>
      <w:r>
        <w:tab/>
        <w:t>Defence for certain officers driving at reckless speed</w:t>
      </w:r>
      <w:bookmarkEnd w:id="40"/>
      <w:bookmarkEnd w:id="41"/>
    </w:p>
    <w:p>
      <w:pPr>
        <w:pStyle w:val="Subsection"/>
      </w:pPr>
      <w:r>
        <w:tab/>
      </w:r>
      <w:r>
        <w:tab/>
        <w:t>The driver of a motor vehicle is not guilty of an offence under section 60A if —</w:t>
      </w:r>
    </w:p>
    <w:p>
      <w:pPr>
        <w:pStyle w:val="Indenta"/>
      </w:pPr>
      <w:r>
        <w:tab/>
        <w:t>(a)</w:t>
      </w:r>
      <w:r>
        <w:tab/>
        <w:t>either —</w:t>
      </w:r>
    </w:p>
    <w:p>
      <w:pPr>
        <w:pStyle w:val="Indenti"/>
      </w:pPr>
      <w:r>
        <w:tab/>
        <w:t>(i)</w:t>
      </w:r>
      <w:r>
        <w:tab/>
        <w:t>the driver is on official duty as a police officer and the driving is substantially in accordance with the Commissioner’s policies and guidelines relating to driving, applicable at the time of the driving, and any direction given under such a policy or guideline;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pPr>
      <w:r>
        <w:tab/>
        <w:t>(c)</w:t>
      </w:r>
      <w:r>
        <w:tab/>
        <w:t>the vehicle is displaying a blue or red flashing light or sounding an alarm unless, in the circumstances, it is reasonable for a light not to be displayed or an alarm not to be sounded.</w:t>
      </w:r>
    </w:p>
    <w:p>
      <w:pPr>
        <w:pStyle w:val="Footnotesection"/>
      </w:pPr>
      <w:r>
        <w:tab/>
        <w:t>[Section 61B inserted by No. 51 of 2016 s. 11.]</w:t>
      </w:r>
    </w:p>
    <w:p>
      <w:pPr>
        <w:pStyle w:val="Heading5"/>
        <w:spacing w:before="180"/>
        <w:rPr>
          <w:snapToGrid w:val="0"/>
        </w:rPr>
      </w:pPr>
      <w:bookmarkStart w:id="42" w:name="_Toc472087069"/>
      <w:r>
        <w:rPr>
          <w:rStyle w:val="CharSectno"/>
        </w:rPr>
        <w:t>62</w:t>
      </w:r>
      <w:r>
        <w:rPr>
          <w:snapToGrid w:val="0"/>
        </w:rPr>
        <w:t>.</w:t>
      </w:r>
      <w:r>
        <w:rPr>
          <w:snapToGrid w:val="0"/>
        </w:rPr>
        <w:tab/>
        <w:t>Careless driving</w:t>
      </w:r>
      <w:bookmarkEnd w:id="42"/>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r>
      <w:r>
        <w:t>Penalty: a fine of 30 PU.</w:t>
      </w:r>
    </w:p>
    <w:p>
      <w:pPr>
        <w:pStyle w:val="Footnotesection"/>
        <w:ind w:left="890" w:hanging="890"/>
      </w:pPr>
      <w:r>
        <w:tab/>
        <w:t>[Section 62 amended by No. 11 of 1988 s. 24; No. 50 of 1997 s. 13; No. 25 of 2016 s. 27.]</w:t>
      </w:r>
    </w:p>
    <w:p>
      <w:pPr>
        <w:pStyle w:val="Heading5"/>
      </w:pPr>
      <w:bookmarkStart w:id="43" w:name="_Toc472068376"/>
      <w:bookmarkStart w:id="44" w:name="_Toc472087070"/>
      <w:r>
        <w:rPr>
          <w:rStyle w:val="CharSectno"/>
        </w:rPr>
        <w:t>62A</w:t>
      </w:r>
      <w:r>
        <w:t>.</w:t>
      </w:r>
      <w:r>
        <w:tab/>
        <w:t>Causing excessive noise or smoke from vehicle’s tyres</w:t>
      </w:r>
      <w:bookmarkEnd w:id="43"/>
      <w:bookmarkEnd w:id="44"/>
    </w:p>
    <w:p>
      <w:pPr>
        <w:pStyle w:val="Subsection"/>
      </w:pPr>
      <w:r>
        <w:tab/>
      </w:r>
      <w:r>
        <w:tab/>
        <w:t>A person commits an offence if the person wilfully drives a motor vehicle so as to cause one or more of its tyres to create smoke or excessive noise in or on, or leave a substance on the driving surface of —</w:t>
      </w:r>
    </w:p>
    <w:p>
      <w:pPr>
        <w:pStyle w:val="Indenta"/>
      </w:pPr>
      <w:r>
        <w:tab/>
        <w:t>(a)</w:t>
      </w:r>
      <w:r>
        <w:tab/>
        <w:t>a confiscation zone; or</w:t>
      </w:r>
    </w:p>
    <w:p>
      <w:pPr>
        <w:pStyle w:val="Indenta"/>
      </w:pPr>
      <w:r>
        <w:tab/>
        <w:t>(b)</w:t>
      </w:r>
      <w:r>
        <w:tab/>
        <w:t>any other length of road; or</w:t>
      </w:r>
    </w:p>
    <w:p>
      <w:pPr>
        <w:pStyle w:val="Indenta"/>
      </w:pPr>
      <w:r>
        <w:tab/>
        <w:t>(c)</w:t>
      </w:r>
      <w:r>
        <w:tab/>
        <w:t>a carpark.</w:t>
      </w:r>
    </w:p>
    <w:p>
      <w:pPr>
        <w:pStyle w:val="Penstart"/>
      </w:pPr>
      <w:r>
        <w:tab/>
        <w:t>Penalty: a fine of 30 PU.</w:t>
      </w:r>
    </w:p>
    <w:p>
      <w:pPr>
        <w:pStyle w:val="Footnotesection"/>
      </w:pPr>
      <w:r>
        <w:tab/>
        <w:t>[Section 62A inserted by No. 51 of 2016 s. 12.]</w:t>
      </w:r>
    </w:p>
    <w:p>
      <w:pPr>
        <w:pStyle w:val="Penstart"/>
      </w:pPr>
    </w:p>
    <w:p>
      <w:pPr>
        <w:pStyle w:val="Heading3"/>
      </w:pPr>
      <w:bookmarkStart w:id="45" w:name="_Toc468192055"/>
      <w:bookmarkStart w:id="46" w:name="_Toc472087071"/>
      <w:r>
        <w:rPr>
          <w:rStyle w:val="CharDivNo"/>
        </w:rPr>
        <w:t>Division 2A</w:t>
      </w:r>
      <w:r>
        <w:t> — </w:t>
      </w:r>
      <w:r>
        <w:rPr>
          <w:rStyle w:val="CharDivText"/>
        </w:rPr>
        <w:t>Providing driving instruction to learner drivers: alcohol and drug related offences</w:t>
      </w:r>
      <w:bookmarkEnd w:id="45"/>
      <w:bookmarkEnd w:id="46"/>
    </w:p>
    <w:p>
      <w:pPr>
        <w:pStyle w:val="Footnoteheading"/>
      </w:pPr>
      <w:r>
        <w:tab/>
        <w:t>[Heading inserted by No. 25 of 2016 s. 44.]</w:t>
      </w:r>
    </w:p>
    <w:p>
      <w:pPr>
        <w:pStyle w:val="Heading5"/>
      </w:pPr>
      <w:bookmarkStart w:id="47" w:name="_Toc472087072"/>
      <w:r>
        <w:rPr>
          <w:rStyle w:val="CharSectno"/>
        </w:rPr>
        <w:t>62B</w:t>
      </w:r>
      <w:r>
        <w:t>.</w:t>
      </w:r>
      <w:r>
        <w:tab/>
        <w:t>Providing driving instruction: blood alcohol content</w:t>
      </w:r>
      <w:bookmarkEnd w:id="47"/>
    </w:p>
    <w:p>
      <w:pPr>
        <w:pStyle w:val="Subsection"/>
      </w:pPr>
      <w:r>
        <w:tab/>
        <w:t>(1)</w:t>
      </w:r>
      <w:r>
        <w:tab/>
        <w:t>An instructor who provides driving instruction to a learner driver while having a blood alcohol content of or above 0.05 g of alcohol per 100 ml of blood commits an offence.</w:t>
      </w:r>
    </w:p>
    <w:p>
      <w:pPr>
        <w:pStyle w:val="Penstart"/>
      </w:pPr>
      <w:r>
        <w:tab/>
        <w:t>Penalty for this subsection: a fine of not less than 6 PU or more than 10 PU.</w:t>
      </w:r>
    </w:p>
    <w:p>
      <w:pPr>
        <w:pStyle w:val="Subsection"/>
      </w:pPr>
      <w:r>
        <w:tab/>
        <w:t>(2)</w:t>
      </w:r>
      <w:r>
        <w:tab/>
        <w:t xml:space="preserve">Subsection (4) applies to an instructor who — </w:t>
      </w:r>
    </w:p>
    <w:p>
      <w:pPr>
        <w:pStyle w:val="Indenta"/>
      </w:pPr>
      <w:r>
        <w:tab/>
        <w:t>(a)</w:t>
      </w:r>
      <w:r>
        <w:tab/>
        <w:t xml:space="preserve">holds an extraordinary licence as defined in the </w:t>
      </w:r>
      <w:r>
        <w:rPr>
          <w:i/>
        </w:rPr>
        <w:t>Road Traffic (Authorisation to Drive) Act 2008</w:t>
      </w:r>
      <w:r>
        <w:t xml:space="preserve"> section 3(1); or</w:t>
      </w:r>
    </w:p>
    <w:p>
      <w:pPr>
        <w:pStyle w:val="Indenta"/>
      </w:pPr>
      <w:r>
        <w:tab/>
        <w:t>(b)</w:t>
      </w:r>
      <w:r>
        <w:tab/>
        <w:t xml:space="preserve">has, within the last 3 years, ceased to be subject to an order disqualifying the instructor from holding or obtaining a driver’s licence imposed for an offence against section 63 or 67, or for a second or subsequent offence against section 64, committed after the commencement of the </w:t>
      </w:r>
      <w:r>
        <w:rPr>
          <w:i/>
        </w:rPr>
        <w:t>Road Traffic Amendment Act 1997</w:t>
      </w:r>
      <w:r>
        <w:t>; or</w:t>
      </w:r>
    </w:p>
    <w:p>
      <w:pPr>
        <w:pStyle w:val="Indenta"/>
      </w:pPr>
      <w:r>
        <w:tab/>
        <w:t>(c)</w:t>
      </w:r>
      <w:r>
        <w:tab/>
        <w:t xml:space="preserve">has, within the last 3 years, been granted a driver’s licence in a case where the instructor did not hold a driver’s licence because it had been cancelled under a cancellation provision as a result of an order disqualifying the instructor from holding or obtaining a driver’s licence imposed for an offence against section 63 or 67, or for a second or subsequent offence against section 64, committed after the commencement of the </w:t>
      </w:r>
      <w:r>
        <w:rPr>
          <w:i/>
        </w:rPr>
        <w:t>Road Traffic Amendment Act 1997</w:t>
      </w:r>
      <w:r>
        <w:t>; or</w:t>
      </w:r>
    </w:p>
    <w:p>
      <w:pPr>
        <w:pStyle w:val="Indenta"/>
      </w:pPr>
      <w:r>
        <w:tab/>
        <w:t>(d)</w:t>
      </w:r>
      <w:r>
        <w:tab/>
        <w:t xml:space="preserve">is a member of a class of persons prescribed for the purposes of section 64A(2)(g) by regulations made for the purposes of the </w:t>
      </w:r>
      <w:r>
        <w:rPr>
          <w:i/>
        </w:rPr>
        <w:t>Road Traffic (Authorisation to Drive) Act 2008</w:t>
      </w:r>
      <w:r>
        <w:t xml:space="preserve"> section 5A.</w:t>
      </w:r>
    </w:p>
    <w:p>
      <w:pPr>
        <w:pStyle w:val="Subsection"/>
      </w:pPr>
      <w:r>
        <w:tab/>
        <w:t>(3)</w:t>
      </w:r>
      <w:r>
        <w:tab/>
        <w:t xml:space="preserve">In subsection (2)(c) — </w:t>
      </w:r>
    </w:p>
    <w:p>
      <w:pPr>
        <w:pStyle w:val="Defstart"/>
      </w:pPr>
      <w:r>
        <w:tab/>
      </w:r>
      <w:r>
        <w:rPr>
          <w:rStyle w:val="CharDefText"/>
        </w:rPr>
        <w:t>cancellation provision</w:t>
      </w:r>
      <w:r>
        <w:t xml:space="preserve"> means — </w:t>
      </w:r>
    </w:p>
    <w:p>
      <w:pPr>
        <w:pStyle w:val="Defpara"/>
      </w:pPr>
      <w:r>
        <w:tab/>
        <w:t>(a)</w:t>
      </w:r>
      <w:r>
        <w:tab/>
        <w:t xml:space="preserve">a provision of the </w:t>
      </w:r>
      <w:r>
        <w:rPr>
          <w:i/>
        </w:rPr>
        <w:t>Road Traffic (Authorisation to Drive) Act 2008</w:t>
      </w:r>
      <w:r>
        <w:t xml:space="preserve"> Part 3 Division 2 under which a driver’s licence may be cancelled; or</w:t>
      </w:r>
    </w:p>
    <w:p>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pPr>
        <w:pStyle w:val="Subsection"/>
      </w:pPr>
      <w:r>
        <w:tab/>
        <w:t>(4)</w:t>
      </w:r>
      <w:r>
        <w:tab/>
        <w:t>An instructor to whom this subsection applies who provides driving instruction to a learner driver while having any blood alcohol content commits an offence.</w:t>
      </w:r>
    </w:p>
    <w:p>
      <w:pPr>
        <w:pStyle w:val="Penstart"/>
      </w:pPr>
      <w:r>
        <w:tab/>
        <w:t>Penalty for this subsection: a fine of not less than 6 PU or more than 10 PU.</w:t>
      </w:r>
    </w:p>
    <w:p>
      <w:pPr>
        <w:pStyle w:val="Subsection"/>
      </w:pPr>
      <w:r>
        <w:tab/>
        <w:t>(5)</w:t>
      </w:r>
      <w:r>
        <w:tab/>
        <w:t xml:space="preserve">An instructor who provides driving instruction to a learner driver in respect of a motor vehicle that has a GCM that is 22.5 tonnes or more while having any blood alcohol content commits an offence. </w:t>
      </w:r>
    </w:p>
    <w:p>
      <w:pPr>
        <w:pStyle w:val="Penstart"/>
      </w:pPr>
      <w:r>
        <w:tab/>
        <w:t>Penalty for this subsection: a fine of not less than 6 PU or more than 10 PU.</w:t>
      </w:r>
    </w:p>
    <w:p>
      <w:pPr>
        <w:pStyle w:val="Subsection"/>
      </w:pPr>
      <w:r>
        <w:tab/>
        <w:t>(6)</w:t>
      </w:r>
      <w:r>
        <w:tab/>
        <w:t xml:space="preserve">It is a defence to a charge of an offence against subsection (4) or (5)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Subsection"/>
      </w:pPr>
      <w:r>
        <w:tab/>
        <w:t>(7)</w:t>
      </w:r>
      <w:r>
        <w:tab/>
        <w:t>A person charged with an offence against subsection (1) may, instead of being convicted of that offence, be convicted of an offence against subsection (4) or (5) if, at the time of the alleged offence, the person was a person to whom subsection (4) or (5) applied.</w:t>
      </w:r>
    </w:p>
    <w:p>
      <w:pPr>
        <w:pStyle w:val="Footnotesection"/>
      </w:pPr>
      <w:r>
        <w:tab/>
        <w:t>[Section 62B inserted by No. 25 of 2016 s. 44; amended by No. 25 of 2016 s. 45.]</w:t>
      </w:r>
    </w:p>
    <w:p>
      <w:pPr>
        <w:pStyle w:val="Heading5"/>
      </w:pPr>
      <w:bookmarkStart w:id="48" w:name="_Toc472087073"/>
      <w:r>
        <w:rPr>
          <w:rStyle w:val="CharSectno"/>
        </w:rPr>
        <w:t>62C</w:t>
      </w:r>
      <w:r>
        <w:t>.</w:t>
      </w:r>
      <w:r>
        <w:tab/>
        <w:t>Providing driving instruction with prescribed illicit drug in oral fluid or blood</w:t>
      </w:r>
      <w:bookmarkEnd w:id="48"/>
    </w:p>
    <w:p>
      <w:pPr>
        <w:pStyle w:val="Subsection"/>
      </w:pPr>
      <w:r>
        <w:tab/>
        <w:t>(1)</w:t>
      </w:r>
      <w:r>
        <w:tab/>
        <w:t xml:space="preserve">An instructor who provides driving instruction to a learner driver while a prescribed illicit drug is present in the instructor’s oral fluid or blood commits an offence. </w:t>
      </w:r>
    </w:p>
    <w:p>
      <w:pPr>
        <w:pStyle w:val="Penstart"/>
      </w:pPr>
      <w:r>
        <w:tab/>
        <w:t>Penalty for this subsection: a fine of not less than 6 PU or more than 10 PU.</w:t>
      </w:r>
    </w:p>
    <w:p>
      <w:pPr>
        <w:pStyle w:val="Subsection"/>
      </w:pPr>
      <w:r>
        <w:tab/>
        <w:t>(2)</w:t>
      </w:r>
      <w:r>
        <w:tab/>
        <w:t>If in any proceeding for an offence against this section it is proved that a certain drug was present in the accused’s body at any time within 4 hours after the time that the accused was providing the driving instruction, the presence of that drug in the accused’s body at the time the accused was providing the driving instruction is to be taken to be proved in the absence of proof to the contrary.</w:t>
      </w:r>
    </w:p>
    <w:p>
      <w:pPr>
        <w:pStyle w:val="Subsection"/>
      </w:pPr>
      <w:r>
        <w:tab/>
        <w:t>(3)</w:t>
      </w:r>
      <w:r>
        <w:tab/>
        <w:t xml:space="preserve">If a person takes a prescribed illicit drug mistakenly believing it to be another drug, that mistake is not a defence in any proceeding for an offence against this section if that other drug is also a drug within the meaning of paragraph (a) or (b) of the definition of </w:t>
      </w:r>
      <w:r>
        <w:rPr>
          <w:b/>
          <w:i/>
        </w:rPr>
        <w:t>drug</w:t>
      </w:r>
      <w:r>
        <w:t xml:space="preserve"> in section 65.</w:t>
      </w:r>
    </w:p>
    <w:p>
      <w:pPr>
        <w:pStyle w:val="Footnotesection"/>
      </w:pPr>
      <w:r>
        <w:tab/>
        <w:t>[Section 62C inserted by No. 25 of 2016 s. 44.]</w:t>
      </w:r>
    </w:p>
    <w:p>
      <w:pPr>
        <w:pStyle w:val="Heading3"/>
        <w:spacing w:before="220"/>
      </w:pPr>
      <w:bookmarkStart w:id="49" w:name="_Toc468192058"/>
      <w:bookmarkStart w:id="50" w:name="_Toc472087074"/>
      <w:r>
        <w:rPr>
          <w:rStyle w:val="CharDivNo"/>
        </w:rPr>
        <w:t>Division 2</w:t>
      </w:r>
      <w:r>
        <w:t> — </w:t>
      </w:r>
      <w:r>
        <w:rPr>
          <w:rStyle w:val="CharDivText"/>
        </w:rPr>
        <w:t>Driving of vehicles: alcohol and drug related offences</w:t>
      </w:r>
      <w:bookmarkEnd w:id="49"/>
      <w:bookmarkEnd w:id="50"/>
    </w:p>
    <w:p>
      <w:pPr>
        <w:pStyle w:val="Footnoteheading"/>
        <w:spacing w:before="80"/>
      </w:pPr>
      <w:r>
        <w:tab/>
        <w:t>[Heading inserted by No. 10 of 2004 s. 9.]</w:t>
      </w:r>
    </w:p>
    <w:p>
      <w:pPr>
        <w:pStyle w:val="Heading5"/>
        <w:rPr>
          <w:snapToGrid w:val="0"/>
        </w:rPr>
      </w:pPr>
      <w:bookmarkStart w:id="51" w:name="_Toc472087075"/>
      <w:r>
        <w:rPr>
          <w:rStyle w:val="CharSectno"/>
        </w:rPr>
        <w:t>63</w:t>
      </w:r>
      <w:r>
        <w:rPr>
          <w:snapToGrid w:val="0"/>
        </w:rPr>
        <w:t>.</w:t>
      </w:r>
      <w:r>
        <w:rPr>
          <w:snapToGrid w:val="0"/>
        </w:rPr>
        <w:tab/>
        <w:t>Driving under the influence of alcohol etc.</w:t>
      </w:r>
      <w:bookmarkEnd w:id="51"/>
    </w:p>
    <w:p>
      <w:pPr>
        <w:pStyle w:val="Subsection"/>
      </w:pPr>
      <w:r>
        <w:tab/>
        <w:t>(1)</w:t>
      </w:r>
      <w:r>
        <w:tab/>
        <w:t xml:space="preserve">A person who drives or attempts to drive a motor vehicle — </w:t>
      </w:r>
    </w:p>
    <w:p>
      <w:pPr>
        <w:pStyle w:val="Indenta"/>
      </w:pPr>
      <w:r>
        <w:tab/>
        <w:t>(a)</w:t>
      </w:r>
      <w:r>
        <w:tab/>
        <w:t>while under the influence of alcohol to such an extent as to be incapable of having proper control of the vehicle; or</w:t>
      </w:r>
    </w:p>
    <w:p>
      <w:pPr>
        <w:pStyle w:val="Indenta"/>
      </w:pPr>
      <w:r>
        <w:tab/>
        <w:t>(b)</w:t>
      </w:r>
      <w:r>
        <w:tab/>
        <w:t>while under the influence of drugs to such an extent as to be incapable of having proper control of the vehicle; or</w:t>
      </w:r>
    </w:p>
    <w:p>
      <w:pPr>
        <w:pStyle w:val="Indenta"/>
      </w:pPr>
      <w:r>
        <w:tab/>
        <w:t>(c)</w:t>
      </w:r>
      <w:r>
        <w:tab/>
        <w:t>while under the influence of alcohol and drugs to such an extent as to be incapable of having proper control of the vehicle,</w:t>
      </w:r>
    </w:p>
    <w:p>
      <w:pPr>
        <w:pStyle w:val="Subsection"/>
      </w:pPr>
      <w:r>
        <w:tab/>
      </w:r>
      <w:r>
        <w:tab/>
        <w:t>commits an offence, and the offender may be arrested without warrant.</w:t>
      </w:r>
    </w:p>
    <w:p>
      <w:pPr>
        <w:pStyle w:val="Subsection"/>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 third or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keepLines/>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keepNext/>
      </w:pPr>
      <w:r>
        <w:tab/>
        <w:t>(6)</w:t>
      </w:r>
      <w:r>
        <w:tab/>
        <w:t xml:space="preserve">A person charged with an offence against this section may, instead of being convicted of that offence, be convicted of — </w:t>
      </w:r>
    </w:p>
    <w:p>
      <w:pPr>
        <w:pStyle w:val="Indenta"/>
      </w:pPr>
      <w:r>
        <w:tab/>
        <w:t>(a)</w:t>
      </w:r>
      <w:r>
        <w:tab/>
        <w:t>an offence against section 64, 64AA, 64AB or 64AC;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Subsection"/>
        <w:rPr>
          <w:snapToGrid w:val="0"/>
        </w:rPr>
      </w:pPr>
      <w:r>
        <w:rPr>
          <w:snapToGrid w:val="0"/>
        </w:rPr>
        <w:tab/>
        <w:t>(7)</w:t>
      </w:r>
      <w:r>
        <w:rPr>
          <w:snapToGrid w:val="0"/>
        </w:rPr>
        <w:tab/>
        <w:t xml:space="preserve">In any proceedings for an offence </w:t>
      </w:r>
      <w:r>
        <w:t xml:space="preserve">against subsection (1)(b), </w:t>
      </w:r>
      <w:r>
        <w:rPr>
          <w:snapToGrid w:val="0"/>
        </w:rPr>
        <w:t>it is a defence for the accused to prove —</w:t>
      </w:r>
    </w:p>
    <w:p>
      <w:pPr>
        <w:pStyle w:val="Indenta"/>
      </w:pPr>
      <w:r>
        <w:tab/>
        <w:t>(a)</w:t>
      </w:r>
      <w:r>
        <w:tab/>
        <w:t xml:space="preserve">that the drugs, under the influence of which the accused is alleged or appears on the evidence to be,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keepLines w:val="0"/>
        <w:ind w:left="890" w:hanging="890"/>
      </w:pPr>
      <w:r>
        <w:tab/>
        <w:t>[Section 63 amended by No. 82 of 1982 s. 11; No. 11 of 1988 s. 24; No. 13 of 1992 s. 7; No. 50 of 1997 s. 13; No. 9 of 2003 s. 54; No. 50 of 2003 s. 92(2); No. 84 of 2004 s. 82; No. 50 of 2006 Sch. 3 cl. 20(2); No. 54 of 2006 s. 14 and 17(3) and (4); No. 6 of 2007 s. 5; No. 39 of 2007 s. 5 and 31; No. 35 of 2010 s. 151; No. 14 of 2011 s. 5; No. 2 of 2015 s. 6.]</w:t>
      </w:r>
    </w:p>
    <w:p>
      <w:pPr>
        <w:pStyle w:val="Heading5"/>
        <w:keepNext w:val="0"/>
        <w:keepLines w:val="0"/>
        <w:spacing w:before="240"/>
        <w:rPr>
          <w:snapToGrid w:val="0"/>
        </w:rPr>
      </w:pPr>
      <w:bookmarkStart w:id="52" w:name="_Toc472087076"/>
      <w:r>
        <w:rPr>
          <w:rStyle w:val="CharSectno"/>
        </w:rPr>
        <w:t>64</w:t>
      </w:r>
      <w:r>
        <w:rPr>
          <w:snapToGrid w:val="0"/>
        </w:rPr>
        <w:t>.</w:t>
      </w:r>
      <w:r>
        <w:rPr>
          <w:snapToGrid w:val="0"/>
        </w:rPr>
        <w:tab/>
        <w:t>Driving with blood alcohol content of or above 0.08</w:t>
      </w:r>
      <w:bookmarkEnd w:id="52"/>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 g of alcohol per 100 ml of blood</w:t>
      </w:r>
      <w:r>
        <w:rPr>
          <w:snapToGrid w:val="0"/>
        </w:rPr>
        <w:t xml:space="preserve"> commits an </w:t>
      </w:r>
      <w:r>
        <w:t>offence, and the offender may be arrested without warrant.</w:t>
      </w:r>
    </w:p>
    <w:p>
      <w:pPr>
        <w:pStyle w:val="Subsection"/>
        <w:keepNext/>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tcPr>
          <w:p>
            <w:pPr>
              <w:pStyle w:val="TableNAm"/>
              <w:spacing w:before="0"/>
              <w:rPr>
                <w:b/>
                <w:sz w:val="18"/>
                <w:szCs w:val="18"/>
              </w:rPr>
            </w:pPr>
          </w:p>
        </w:tc>
        <w:tc>
          <w:tcPr>
            <w:tcW w:w="1204" w:type="dxa"/>
          </w:tcPr>
          <w:p>
            <w:pPr>
              <w:pStyle w:val="TableNAm"/>
              <w:spacing w:before="0"/>
              <w:rPr>
                <w:b/>
                <w:sz w:val="18"/>
                <w:szCs w:val="18"/>
              </w:rPr>
            </w:pPr>
            <w:r>
              <w:rPr>
                <w:b/>
                <w:sz w:val="18"/>
                <w:szCs w:val="18"/>
              </w:rPr>
              <w:t>First offence</w:t>
            </w:r>
          </w:p>
        </w:tc>
        <w:tc>
          <w:tcPr>
            <w:tcW w:w="1205" w:type="dxa"/>
          </w:tcPr>
          <w:p>
            <w:pPr>
              <w:pStyle w:val="TableNAm"/>
              <w:spacing w:before="0"/>
              <w:rPr>
                <w:b/>
                <w:sz w:val="18"/>
                <w:szCs w:val="18"/>
              </w:rPr>
            </w:pPr>
            <w:r>
              <w:rPr>
                <w:b/>
                <w:sz w:val="18"/>
                <w:szCs w:val="18"/>
              </w:rPr>
              <w:t>Second offence</w:t>
            </w:r>
          </w:p>
        </w:tc>
        <w:tc>
          <w:tcPr>
            <w:tcW w:w="1418"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10 PU</w:t>
            </w:r>
            <w:r>
              <w:rPr>
                <w:sz w:val="18"/>
                <w:szCs w:val="18"/>
              </w:rPr>
              <w:br/>
              <w:t>30 PU</w:t>
            </w:r>
            <w:r>
              <w:rPr>
                <w:sz w:val="18"/>
                <w:szCs w:val="18"/>
              </w:rPr>
              <w:br/>
              <w:t>6 months</w:t>
            </w:r>
          </w:p>
        </w:tc>
        <w:tc>
          <w:tcPr>
            <w:tcW w:w="1205" w:type="dxa"/>
          </w:tcPr>
          <w:p>
            <w:pPr>
              <w:pStyle w:val="TableNAm"/>
              <w:rPr>
                <w:sz w:val="18"/>
                <w:szCs w:val="18"/>
              </w:rPr>
            </w:pPr>
            <w:r>
              <w:rPr>
                <w:sz w:val="18"/>
                <w:szCs w:val="18"/>
              </w:rPr>
              <w:t>12 PU</w:t>
            </w:r>
            <w:r>
              <w:rPr>
                <w:sz w:val="18"/>
                <w:szCs w:val="18"/>
              </w:rPr>
              <w:br/>
              <w:t>30 PU</w:t>
            </w:r>
            <w:r>
              <w:rPr>
                <w:sz w:val="18"/>
                <w:szCs w:val="18"/>
              </w:rPr>
              <w:br/>
              <w:t>8 months</w:t>
            </w:r>
          </w:p>
        </w:tc>
        <w:tc>
          <w:tcPr>
            <w:tcW w:w="1418" w:type="dxa"/>
          </w:tcPr>
          <w:p>
            <w:pPr>
              <w:pStyle w:val="TableNAm"/>
              <w:rPr>
                <w:sz w:val="18"/>
                <w:szCs w:val="18"/>
              </w:rPr>
            </w:pPr>
            <w:r>
              <w:rPr>
                <w:sz w:val="18"/>
                <w:szCs w:val="18"/>
              </w:rPr>
              <w:t>12 PU</w:t>
            </w:r>
            <w:r>
              <w:rPr>
                <w:sz w:val="18"/>
                <w:szCs w:val="18"/>
              </w:rPr>
              <w:br/>
              <w:t>30 PU</w:t>
            </w:r>
            <w:r>
              <w:rPr>
                <w:sz w:val="18"/>
                <w:szCs w:val="18"/>
              </w:rPr>
              <w:br/>
              <w:t>10 months</w:t>
            </w:r>
          </w:p>
        </w:tc>
      </w:tr>
      <w:tr>
        <w:trPr>
          <w:cantSplit/>
        </w:trPr>
        <w:tc>
          <w:tcPr>
            <w:tcW w:w="1559" w:type="dxa"/>
          </w:tcPr>
          <w:p>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11 PU</w:t>
            </w:r>
            <w:r>
              <w:rPr>
                <w:sz w:val="18"/>
                <w:szCs w:val="18"/>
              </w:rPr>
              <w:br/>
              <w:t>30 PU</w:t>
            </w:r>
            <w:r>
              <w:rPr>
                <w:sz w:val="18"/>
                <w:szCs w:val="18"/>
              </w:rPr>
              <w:br/>
              <w:t>7 months</w:t>
            </w:r>
          </w:p>
        </w:tc>
        <w:tc>
          <w:tcPr>
            <w:tcW w:w="1205" w:type="dxa"/>
          </w:tcPr>
          <w:p>
            <w:pPr>
              <w:pStyle w:val="TableNAm"/>
              <w:rPr>
                <w:sz w:val="18"/>
                <w:szCs w:val="18"/>
              </w:rPr>
            </w:pPr>
            <w:r>
              <w:rPr>
                <w:sz w:val="18"/>
                <w:szCs w:val="18"/>
              </w:rPr>
              <w:t>18 PU</w:t>
            </w:r>
            <w:r>
              <w:rPr>
                <w:sz w:val="18"/>
                <w:szCs w:val="18"/>
              </w:rPr>
              <w:br/>
              <w:t>30 PU</w:t>
            </w:r>
            <w:r>
              <w:rPr>
                <w:sz w:val="18"/>
                <w:szCs w:val="18"/>
              </w:rPr>
              <w:br/>
              <w:t>10 months</w:t>
            </w:r>
          </w:p>
        </w:tc>
        <w:tc>
          <w:tcPr>
            <w:tcW w:w="1418" w:type="dxa"/>
          </w:tcPr>
          <w:p>
            <w:pPr>
              <w:pStyle w:val="TableNAm"/>
              <w:rPr>
                <w:sz w:val="18"/>
                <w:szCs w:val="18"/>
              </w:rPr>
            </w:pPr>
            <w:r>
              <w:rPr>
                <w:sz w:val="18"/>
                <w:szCs w:val="18"/>
              </w:rPr>
              <w:t>18 PU</w:t>
            </w:r>
            <w:r>
              <w:rPr>
                <w:sz w:val="18"/>
                <w:szCs w:val="18"/>
              </w:rPr>
              <w:br/>
              <w:t>30 PU</w:t>
            </w:r>
            <w:r>
              <w:rPr>
                <w:sz w:val="18"/>
                <w:szCs w:val="18"/>
              </w:rPr>
              <w:br/>
              <w:t>13 months</w:t>
            </w:r>
          </w:p>
        </w:tc>
      </w:tr>
      <w:tr>
        <w:trPr>
          <w:cantSplit/>
        </w:trPr>
        <w:tc>
          <w:tcPr>
            <w:tcW w:w="1559" w:type="dxa"/>
          </w:tcPr>
          <w:p>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13 PU</w:t>
            </w:r>
            <w:r>
              <w:rPr>
                <w:sz w:val="18"/>
                <w:szCs w:val="18"/>
              </w:rPr>
              <w:br/>
              <w:t>30 PU</w:t>
            </w:r>
            <w:r>
              <w:rPr>
                <w:sz w:val="18"/>
                <w:szCs w:val="18"/>
              </w:rPr>
              <w:br/>
              <w:t>8 months</w:t>
            </w:r>
          </w:p>
        </w:tc>
        <w:tc>
          <w:tcPr>
            <w:tcW w:w="1205" w:type="dxa"/>
          </w:tcPr>
          <w:p>
            <w:pPr>
              <w:pStyle w:val="TableNAm"/>
              <w:rPr>
                <w:sz w:val="18"/>
                <w:szCs w:val="18"/>
              </w:rPr>
            </w:pPr>
            <w:r>
              <w:rPr>
                <w:sz w:val="18"/>
                <w:szCs w:val="18"/>
              </w:rPr>
              <w:t>24 PU</w:t>
            </w:r>
            <w:r>
              <w:rPr>
                <w:sz w:val="18"/>
                <w:szCs w:val="18"/>
              </w:rPr>
              <w:br/>
              <w:t>40 PU</w:t>
            </w:r>
            <w:r>
              <w:rPr>
                <w:sz w:val="18"/>
                <w:szCs w:val="18"/>
              </w:rPr>
              <w:br/>
              <w:t>14 months</w:t>
            </w:r>
          </w:p>
        </w:tc>
        <w:tc>
          <w:tcPr>
            <w:tcW w:w="1418" w:type="dxa"/>
          </w:tcPr>
          <w:p>
            <w:pPr>
              <w:pStyle w:val="TableNAm"/>
              <w:rPr>
                <w:sz w:val="18"/>
                <w:szCs w:val="18"/>
              </w:rPr>
            </w:pPr>
            <w:r>
              <w:rPr>
                <w:sz w:val="18"/>
                <w:szCs w:val="18"/>
              </w:rPr>
              <w:t>24 PU</w:t>
            </w:r>
            <w:r>
              <w:rPr>
                <w:sz w:val="18"/>
                <w:szCs w:val="18"/>
              </w:rPr>
              <w:br/>
              <w:t>40 PU</w:t>
            </w:r>
            <w:r>
              <w:rPr>
                <w:sz w:val="18"/>
                <w:szCs w:val="18"/>
              </w:rPr>
              <w:br/>
              <w:t>17 months</w:t>
            </w:r>
          </w:p>
        </w:tc>
      </w:tr>
      <w:tr>
        <w:trPr>
          <w:cantSplit/>
        </w:trPr>
        <w:tc>
          <w:tcPr>
            <w:tcW w:w="1559" w:type="dxa"/>
          </w:tcPr>
          <w:p>
            <w:pPr>
              <w:pStyle w:val="TableNAm"/>
              <w:rPr>
                <w:sz w:val="18"/>
                <w:szCs w:val="18"/>
              </w:rPr>
            </w:pPr>
            <w:r>
              <w:rPr>
                <w:spacing w:val="40"/>
                <w:sz w:val="18"/>
                <w:szCs w:val="18"/>
              </w:rPr>
              <w:t>≥</w:t>
            </w:r>
            <w:r>
              <w:rPr>
                <w:sz w:val="18"/>
                <w:szCs w:val="18"/>
              </w:rPr>
              <w:t xml:space="preserve"> 0.13</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204" w:type="dxa"/>
          </w:tcPr>
          <w:p>
            <w:pPr>
              <w:pStyle w:val="TableNAm"/>
              <w:rPr>
                <w:sz w:val="18"/>
                <w:szCs w:val="18"/>
              </w:rPr>
            </w:pPr>
            <w:r>
              <w:rPr>
                <w:sz w:val="18"/>
                <w:szCs w:val="18"/>
              </w:rPr>
              <w:t>15 PU</w:t>
            </w:r>
            <w:r>
              <w:rPr>
                <w:sz w:val="18"/>
                <w:szCs w:val="18"/>
              </w:rPr>
              <w:br/>
              <w:t>30 PU</w:t>
            </w:r>
            <w:r>
              <w:rPr>
                <w:sz w:val="18"/>
                <w:szCs w:val="18"/>
              </w:rPr>
              <w:br/>
              <w:t>9 months</w:t>
            </w:r>
          </w:p>
        </w:tc>
        <w:tc>
          <w:tcPr>
            <w:tcW w:w="1205" w:type="dxa"/>
          </w:tcPr>
          <w:p>
            <w:pPr>
              <w:pStyle w:val="TableNAm"/>
              <w:rPr>
                <w:sz w:val="18"/>
                <w:szCs w:val="18"/>
              </w:rPr>
            </w:pPr>
            <w:r>
              <w:rPr>
                <w:sz w:val="18"/>
                <w:szCs w:val="18"/>
              </w:rPr>
              <w:t>32 PU</w:t>
            </w:r>
            <w:r>
              <w:rPr>
                <w:sz w:val="18"/>
                <w:szCs w:val="18"/>
              </w:rPr>
              <w:br/>
              <w:t>50 PU</w:t>
            </w:r>
            <w:r>
              <w:rPr>
                <w:sz w:val="18"/>
                <w:szCs w:val="18"/>
              </w:rPr>
              <w:br/>
              <w:t>18 months</w:t>
            </w:r>
          </w:p>
        </w:tc>
        <w:tc>
          <w:tcPr>
            <w:tcW w:w="1418" w:type="dxa"/>
          </w:tcPr>
          <w:p>
            <w:pPr>
              <w:pStyle w:val="TableNAm"/>
              <w:rPr>
                <w:sz w:val="18"/>
                <w:szCs w:val="18"/>
              </w:rPr>
            </w:pPr>
            <w:r>
              <w:rPr>
                <w:sz w:val="18"/>
                <w:szCs w:val="18"/>
              </w:rPr>
              <w:t>32 PU</w:t>
            </w:r>
            <w:r>
              <w:rPr>
                <w:sz w:val="18"/>
                <w:szCs w:val="18"/>
              </w:rPr>
              <w:br/>
              <w:t>60 PU</w:t>
            </w:r>
            <w:r>
              <w:rPr>
                <w:sz w:val="18"/>
                <w:szCs w:val="18"/>
              </w:rPr>
              <w:br/>
              <w:t>30 months</w:t>
            </w:r>
          </w:p>
        </w:tc>
      </w:tr>
    </w:tbl>
    <w:p>
      <w:pPr>
        <w:pStyle w:val="MiscellaneousBody"/>
        <w:tabs>
          <w:tab w:val="left" w:pos="993"/>
          <w:tab w:val="left" w:pos="1701"/>
        </w:tabs>
        <w:spacing w:before="12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spacing w:before="180"/>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pPr>
      <w:r>
        <w:tab/>
        <w:t>(4)</w:t>
      </w:r>
      <w:r>
        <w:tab/>
        <w:t xml:space="preserve">A person charged with an offence against this section may, instead of being convicted of that offence, be convicted of — </w:t>
      </w:r>
    </w:p>
    <w:p>
      <w:pPr>
        <w:pStyle w:val="Indenta"/>
      </w:pPr>
      <w:r>
        <w:tab/>
        <w:t>(a)</w:t>
      </w:r>
      <w:r>
        <w:tab/>
        <w:t>an offence against section 64AA; or</w:t>
      </w:r>
    </w:p>
    <w:p>
      <w:pPr>
        <w:pStyle w:val="Indenta"/>
      </w:pPr>
      <w:r>
        <w:tab/>
        <w:t>(b)</w:t>
      </w:r>
      <w:r>
        <w:tab/>
        <w:t>an offence against section 64A(1) or 64AAA(1) if, at the time of the alleged offence, the person was a person to whom section 64A(1) applied; or</w:t>
      </w:r>
    </w:p>
    <w:p>
      <w:pPr>
        <w:pStyle w:val="Indenta"/>
      </w:pPr>
      <w:r>
        <w:tab/>
        <w:t>(c)</w:t>
      </w:r>
      <w:r>
        <w:tab/>
        <w:t>an offence against section 64A(4) or 64AAA(2) if, at the time of the alleged offence, the motor vehicle concerned was a motor vehicle to which section 64A(4) applied.</w:t>
      </w:r>
    </w:p>
    <w:p>
      <w:pPr>
        <w:pStyle w:val="Footnotesection"/>
        <w:keepLines w:val="0"/>
        <w:ind w:left="890" w:hanging="890"/>
      </w:pPr>
      <w:r>
        <w:tab/>
        <w:t>[Section 64 amended by No. 71 of 1979 s. 9; No. 82 of 1982 s. 12; No. 11 of 1988 s. 24; No. 13 of 1992 s. 8; No. 50 of 1997 s. 6; No. 54 of 2006 s. 15 and 17(3) and (4); No. 39 of 2007 s. 6 and 32; No. 51 of 2010 s. 6; No. 14 of 2011 s. 6.]</w:t>
      </w:r>
    </w:p>
    <w:p>
      <w:pPr>
        <w:pStyle w:val="Heading5"/>
        <w:rPr>
          <w:snapToGrid w:val="0"/>
        </w:rPr>
      </w:pPr>
      <w:bookmarkStart w:id="53" w:name="_Toc472087077"/>
      <w:r>
        <w:rPr>
          <w:rStyle w:val="CharSectno"/>
        </w:rPr>
        <w:t>64AA</w:t>
      </w:r>
      <w:r>
        <w:rPr>
          <w:snapToGrid w:val="0"/>
        </w:rPr>
        <w:t>.</w:t>
      </w:r>
      <w:r>
        <w:rPr>
          <w:snapToGrid w:val="0"/>
        </w:rPr>
        <w:tab/>
        <w:t>Driving with blood alcohol content of or above 0.05</w:t>
      </w:r>
      <w:bookmarkEnd w:id="53"/>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 g of alcohol per 100 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w:t>
      </w:r>
      <w:r>
        <w:t xml:space="preserve"> 10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Next/>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trPr>
          <w:cantSplit/>
          <w:tblHeader/>
        </w:trPr>
        <w:tc>
          <w:tcPr>
            <w:tcW w:w="1559" w:type="dxa"/>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tcPr>
          <w:p>
            <w:pPr>
              <w:pStyle w:val="TableNAm"/>
              <w:spacing w:before="0"/>
              <w:rPr>
                <w:b/>
                <w:sz w:val="18"/>
                <w:szCs w:val="18"/>
              </w:rPr>
            </w:pPr>
          </w:p>
        </w:tc>
        <w:tc>
          <w:tcPr>
            <w:tcW w:w="1967" w:type="dxa"/>
          </w:tcPr>
          <w:p>
            <w:pPr>
              <w:pStyle w:val="TableNAm"/>
              <w:spacing w:before="0"/>
              <w:rPr>
                <w:b/>
                <w:sz w:val="18"/>
                <w:szCs w:val="18"/>
              </w:rPr>
            </w:pPr>
            <w:r>
              <w:rPr>
                <w:b/>
                <w:sz w:val="18"/>
                <w:szCs w:val="18"/>
              </w:rPr>
              <w:t>Second offence</w:t>
            </w:r>
          </w:p>
        </w:tc>
        <w:tc>
          <w:tcPr>
            <w:tcW w:w="1827" w:type="dxa"/>
          </w:tcPr>
          <w:p>
            <w:pPr>
              <w:pStyle w:val="TableNAm"/>
              <w:spacing w:before="0"/>
              <w:rPr>
                <w:b/>
                <w:sz w:val="18"/>
                <w:szCs w:val="18"/>
              </w:rPr>
            </w:pPr>
            <w:r>
              <w:rPr>
                <w:b/>
                <w:sz w:val="18"/>
                <w:szCs w:val="18"/>
              </w:rPr>
              <w:t>Subsequent offence</w:t>
            </w:r>
          </w:p>
        </w:tc>
      </w:tr>
      <w:tr>
        <w:trPr>
          <w:cantSplit/>
        </w:trPr>
        <w:tc>
          <w:tcPr>
            <w:tcW w:w="1559" w:type="dxa"/>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10 PU</w:t>
            </w:r>
            <w:r>
              <w:rPr>
                <w:sz w:val="18"/>
                <w:szCs w:val="18"/>
              </w:rPr>
              <w:br/>
              <w:t>20 PU</w:t>
            </w:r>
            <w:r>
              <w:rPr>
                <w:sz w:val="18"/>
                <w:szCs w:val="18"/>
              </w:rPr>
              <w:br/>
              <w:t>6 months</w:t>
            </w:r>
          </w:p>
        </w:tc>
        <w:tc>
          <w:tcPr>
            <w:tcW w:w="1827" w:type="dxa"/>
          </w:tcPr>
          <w:p>
            <w:pPr>
              <w:pStyle w:val="TableNAm"/>
              <w:rPr>
                <w:sz w:val="18"/>
                <w:szCs w:val="18"/>
              </w:rPr>
            </w:pPr>
            <w:r>
              <w:rPr>
                <w:sz w:val="18"/>
                <w:szCs w:val="18"/>
              </w:rPr>
              <w:t>10 PU</w:t>
            </w:r>
            <w:r>
              <w:rPr>
                <w:sz w:val="18"/>
                <w:szCs w:val="18"/>
              </w:rPr>
              <w:br/>
              <w:t>20 PU</w:t>
            </w:r>
            <w:r>
              <w:rPr>
                <w:sz w:val="18"/>
                <w:szCs w:val="18"/>
              </w:rPr>
              <w:br/>
              <w:t>8 months</w:t>
            </w:r>
          </w:p>
        </w:tc>
      </w:tr>
      <w:tr>
        <w:trPr>
          <w:cantSplit/>
        </w:trPr>
        <w:tc>
          <w:tcPr>
            <w:tcW w:w="1559" w:type="dxa"/>
          </w:tcPr>
          <w:p>
            <w:pPr>
              <w:pStyle w:val="TableNAm"/>
              <w:rPr>
                <w:sz w:val="18"/>
                <w:szCs w:val="18"/>
              </w:rPr>
            </w:pPr>
            <w:r>
              <w:rPr>
                <w:spacing w:val="40"/>
                <w:sz w:val="18"/>
                <w:szCs w:val="18"/>
              </w:rPr>
              <w:t>≥</w:t>
            </w:r>
            <w:r>
              <w:rPr>
                <w:sz w:val="18"/>
                <w:szCs w:val="18"/>
              </w:rPr>
              <w:t xml:space="preserve"> 0.07</w:t>
            </w:r>
          </w:p>
        </w:tc>
        <w:tc>
          <w:tcPr>
            <w:tcW w:w="709" w:type="dxa"/>
          </w:tcPr>
          <w:p>
            <w:pPr>
              <w:pStyle w:val="TableNAm"/>
              <w:rPr>
                <w:sz w:val="18"/>
                <w:szCs w:val="18"/>
              </w:rPr>
            </w:pPr>
            <w:r>
              <w:rPr>
                <w:sz w:val="18"/>
                <w:szCs w:val="18"/>
              </w:rPr>
              <w:t>Min:</w:t>
            </w:r>
            <w:r>
              <w:rPr>
                <w:sz w:val="18"/>
                <w:szCs w:val="18"/>
              </w:rPr>
              <w:br/>
              <w:t>Max:</w:t>
            </w:r>
            <w:r>
              <w:rPr>
                <w:sz w:val="18"/>
                <w:szCs w:val="18"/>
              </w:rPr>
              <w:br/>
              <w:t>Disq:</w:t>
            </w:r>
          </w:p>
        </w:tc>
        <w:tc>
          <w:tcPr>
            <w:tcW w:w="1967" w:type="dxa"/>
          </w:tcPr>
          <w:p>
            <w:pPr>
              <w:pStyle w:val="TableNAm"/>
              <w:rPr>
                <w:sz w:val="18"/>
                <w:szCs w:val="18"/>
              </w:rPr>
            </w:pPr>
            <w:r>
              <w:rPr>
                <w:sz w:val="18"/>
                <w:szCs w:val="18"/>
              </w:rPr>
              <w:t>12 PU</w:t>
            </w:r>
            <w:r>
              <w:rPr>
                <w:sz w:val="18"/>
                <w:szCs w:val="18"/>
              </w:rPr>
              <w:br/>
              <w:t>20 PU</w:t>
            </w:r>
            <w:r>
              <w:rPr>
                <w:sz w:val="18"/>
                <w:szCs w:val="18"/>
              </w:rPr>
              <w:br/>
              <w:t>8 months</w:t>
            </w:r>
          </w:p>
        </w:tc>
        <w:tc>
          <w:tcPr>
            <w:tcW w:w="1827" w:type="dxa"/>
          </w:tcPr>
          <w:p>
            <w:pPr>
              <w:pStyle w:val="TableNAm"/>
              <w:rPr>
                <w:sz w:val="18"/>
                <w:szCs w:val="18"/>
              </w:rPr>
            </w:pPr>
            <w:r>
              <w:rPr>
                <w:sz w:val="18"/>
                <w:szCs w:val="18"/>
              </w:rPr>
              <w:t>12 PU</w:t>
            </w:r>
            <w:r>
              <w:rPr>
                <w:sz w:val="18"/>
                <w:szCs w:val="18"/>
              </w:rPr>
              <w:br/>
              <w:t>20 PU</w:t>
            </w:r>
            <w:r>
              <w:rPr>
                <w:sz w:val="18"/>
                <w:szCs w:val="18"/>
              </w:rPr>
              <w:br/>
              <w:t>10 months</w:t>
            </w:r>
          </w:p>
        </w:tc>
      </w:tr>
    </w:tbl>
    <w:p>
      <w:pPr>
        <w:pStyle w:val="MiscellaneousBody"/>
        <w:tabs>
          <w:tab w:val="left" w:pos="993"/>
          <w:tab w:val="left" w:pos="1701"/>
        </w:tabs>
        <w:spacing w:before="80"/>
        <w:rPr>
          <w:sz w:val="22"/>
        </w:rPr>
      </w:pPr>
      <w:r>
        <w:tab/>
      </w:r>
      <w:r>
        <w:rPr>
          <w:sz w:val="22"/>
        </w:rPr>
        <w:t>Note:</w:t>
      </w:r>
      <w:r>
        <w:rPr>
          <w:sz w:val="22"/>
        </w:rPr>
        <w:tab/>
      </w:r>
      <w:r>
        <w:rPr>
          <w:spacing w:val="40"/>
          <w:sz w:val="22"/>
        </w:rPr>
        <w:t>≥</w:t>
      </w:r>
      <w:r>
        <w:rPr>
          <w:sz w:val="22"/>
        </w:rPr>
        <w:t xml:space="preserve"> signifies of or above</w:t>
      </w:r>
    </w:p>
    <w:p>
      <w:pPr>
        <w:pStyle w:val="MiscellaneousBody"/>
        <w:tabs>
          <w:tab w:val="left" w:pos="1418"/>
          <w:tab w:val="left" w:pos="1701"/>
          <w:tab w:val="left" w:pos="2127"/>
        </w:tabs>
        <w:spacing w:before="0"/>
      </w:pPr>
      <w:r>
        <w:rPr>
          <w:sz w:val="22"/>
        </w:rPr>
        <w:tab/>
      </w:r>
      <w:r>
        <w:rPr>
          <w:sz w:val="22"/>
        </w:rPr>
        <w:tab/>
      </w:r>
      <w:r>
        <w:rPr>
          <w:spacing w:val="40"/>
          <w:sz w:val="22"/>
        </w:rPr>
        <w:t>&lt;</w:t>
      </w:r>
      <w:r>
        <w:rPr>
          <w:sz w:val="22"/>
        </w:rPr>
        <w:t xml:space="preserve">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64A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pPr>
      <w:r>
        <w:tab/>
        <w:t>(3)</w:t>
      </w:r>
      <w:r>
        <w:tab/>
        <w:t xml:space="preserve">A person charged with an offence against this section may, instead of being convicted of that offence, be convicted of — </w:t>
      </w:r>
    </w:p>
    <w:p>
      <w:pPr>
        <w:pStyle w:val="Indenta"/>
      </w:pPr>
      <w:r>
        <w:tab/>
        <w:t>(a)</w:t>
      </w:r>
      <w:r>
        <w:tab/>
        <w:t>an offence against section 64A(1) or 64AAA(1) if, at the time of the alleged offence, the person was a person to whom section 64A(1) applied; or</w:t>
      </w:r>
    </w:p>
    <w:p>
      <w:pPr>
        <w:pStyle w:val="Indenta"/>
      </w:pPr>
      <w:r>
        <w:tab/>
        <w:t>(b)</w:t>
      </w:r>
      <w:r>
        <w:tab/>
        <w:t>an offence against section 64A(4) or 64AAA(2) if, at the time of the alleged offence, the motor vehicle concerned was a motor vehicle to which section 64A(4) applied.</w:t>
      </w:r>
    </w:p>
    <w:p>
      <w:pPr>
        <w:pStyle w:val="Footnotesection"/>
        <w:keepLines w:val="0"/>
        <w:spacing w:before="80"/>
        <w:ind w:left="890" w:hanging="890"/>
      </w:pPr>
      <w:r>
        <w:tab/>
        <w:t>[Section 64AA inserted by No. 13 of 1992 s. 9; amended by No. 50 of 1997 s. 7; No. 54 of 2006 s. 16, 17(3) and (4); No. 39 of 2007 s. 7, 17 and 33; No. 14 of 2011 s. 7; No. 2 of 2015 s. 7.]</w:t>
      </w:r>
    </w:p>
    <w:p>
      <w:pPr>
        <w:pStyle w:val="Heading5"/>
        <w:spacing w:before="240"/>
        <w:rPr>
          <w:snapToGrid w:val="0"/>
        </w:rPr>
      </w:pPr>
      <w:bookmarkStart w:id="54" w:name="_Toc472087078"/>
      <w:r>
        <w:rPr>
          <w:rStyle w:val="CharSectno"/>
        </w:rPr>
        <w:t>64A</w:t>
      </w:r>
      <w:r>
        <w:rPr>
          <w:snapToGrid w:val="0"/>
        </w:rPr>
        <w:t>.</w:t>
      </w:r>
      <w:r>
        <w:rPr>
          <w:snapToGrid w:val="0"/>
        </w:rPr>
        <w:tab/>
        <w:t>Certain persons driving with blood alcohol content of or above 0.02</w:t>
      </w:r>
      <w:bookmarkEnd w:id="54"/>
    </w:p>
    <w:p>
      <w:pPr>
        <w:pStyle w:val="Subsection"/>
      </w:pPr>
      <w:r>
        <w:tab/>
        <w:t>(1A)</w:t>
      </w:r>
      <w:r>
        <w:tab/>
        <w:t xml:space="preserve">In this section — </w:t>
      </w:r>
    </w:p>
    <w:p>
      <w:pPr>
        <w:pStyle w:val="Defstart"/>
      </w:pPr>
      <w:r>
        <w:tab/>
      </w:r>
      <w:r>
        <w:rPr>
          <w:rStyle w:val="CharDefText"/>
        </w:rPr>
        <w:t>cancellation provision</w:t>
      </w:r>
      <w:r>
        <w:t xml:space="preserve"> means — </w:t>
      </w:r>
    </w:p>
    <w:p>
      <w:pPr>
        <w:pStyle w:val="Defpara"/>
      </w:pPr>
      <w:r>
        <w:tab/>
        <w:t>(a)</w:t>
      </w:r>
      <w:r>
        <w:tab/>
        <w:t xml:space="preserve">a provision of the </w:t>
      </w:r>
      <w:r>
        <w:rPr>
          <w:i/>
        </w:rPr>
        <w:t>Road Traffic (Authorisation to Drive) Act 2008</w:t>
      </w:r>
      <w:r>
        <w:t xml:space="preserve"> Part 3 Division 2 under which a driver’s licence may be cancelled; or</w:t>
      </w:r>
    </w:p>
    <w:p>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 g of alcohol per 100 ml of blood</w:t>
      </w:r>
      <w:r>
        <w:rPr>
          <w:snapToGrid w:val="0"/>
        </w:rPr>
        <w:t xml:space="preserve"> commits an offence.</w:t>
      </w:r>
    </w:p>
    <w:p>
      <w:pPr>
        <w:pStyle w:val="Penstart"/>
        <w:rPr>
          <w:snapToGrid w:val="0"/>
        </w:rPr>
      </w:pPr>
      <w:r>
        <w:rPr>
          <w:snapToGrid w:val="0"/>
        </w:rPr>
        <w:tab/>
        <w:t xml:space="preserve">Penalty: Not less than </w:t>
      </w:r>
      <w:r>
        <w:t>3 PU</w:t>
      </w:r>
      <w:r>
        <w:rPr>
          <w:snapToGrid w:val="0"/>
        </w:rPr>
        <w:t xml:space="preserve"> or more than 6 PU; and, in any event, the court convicting a person shall order that he be disqualified from holding or obtaining a driver’s licence for a period of not less than 3 months.</w:t>
      </w:r>
    </w:p>
    <w:p>
      <w:pPr>
        <w:pStyle w:val="Subsection"/>
      </w:pPr>
      <w:r>
        <w:tab/>
        <w:t>(2)</w:t>
      </w:r>
      <w:r>
        <w:tab/>
        <w:t xml:space="preserve">Subsection (1) applies to a person who — </w:t>
      </w:r>
    </w:p>
    <w:p>
      <w:pPr>
        <w:pStyle w:val="Indenta"/>
      </w:pPr>
      <w:r>
        <w:tab/>
        <w:t>(a)</w:t>
      </w:r>
      <w:r>
        <w:tab/>
        <w:t xml:space="preserve">is a novice driver as defined in the </w:t>
      </w:r>
      <w:r>
        <w:rPr>
          <w:i/>
        </w:rPr>
        <w:t xml:space="preserve">Road Traffic (Authorisation to Drive) Act 2008 </w:t>
      </w:r>
      <w:r>
        <w:t>section 40(2); or</w:t>
      </w:r>
    </w:p>
    <w:p>
      <w:pPr>
        <w:pStyle w:val="Ednotepara"/>
        <w:keepNext/>
        <w:spacing w:before="80"/>
        <w:ind w:left="1610" w:hanging="1610"/>
      </w:pPr>
      <w:r>
        <w:tab/>
        <w:t>[(b)</w:t>
      </w:r>
      <w:r>
        <w:tab/>
      </w:r>
      <w:smartTag w:uri="urn:schemas-microsoft-com:office:smarttags" w:element="State">
        <w:smartTag w:uri="urn:schemas-microsoft-com:office:smarttags" w:element="place">
          <w:r>
            <w:t>del</w:t>
          </w:r>
        </w:smartTag>
      </w:smartTag>
      <w:r>
        <w:t>eted]</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 or</w:t>
      </w:r>
    </w:p>
    <w:p>
      <w:pPr>
        <w:pStyle w:val="Indenta"/>
      </w:pPr>
      <w:r>
        <w:tab/>
        <w:t>(d)</w:t>
      </w:r>
      <w:r>
        <w:tab/>
        <w:t xml:space="preserve">does not hold a driver’s licence because it has been cancelled under a cancellation provision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 or</w:t>
      </w:r>
    </w:p>
    <w:p>
      <w:pPr>
        <w:pStyle w:val="Indenta"/>
      </w:pPr>
      <w:r>
        <w:tab/>
        <w:t>(e)</w:t>
      </w:r>
      <w:r>
        <w:tab/>
        <w:t xml:space="preserve">holds an extraordinary licence as defined in the </w:t>
      </w:r>
      <w:r>
        <w:rPr>
          <w:i/>
          <w:iCs/>
        </w:rPr>
        <w:t>Road Traffic (Authorisation to Drive) Act 2008</w:t>
      </w:r>
      <w:r>
        <w:t xml:space="preserve"> section 3(1); or</w:t>
      </w:r>
    </w:p>
    <w:p>
      <w:pPr>
        <w:pStyle w:val="Indenta"/>
      </w:pPr>
      <w:r>
        <w:tab/>
        <w:t>(f)</w:t>
      </w:r>
      <w:r>
        <w:tab/>
        <w:t>is a recently disqualified driver; or</w:t>
      </w:r>
    </w:p>
    <w:p>
      <w:pPr>
        <w:pStyle w:val="Indenta"/>
      </w:pPr>
      <w:r>
        <w:tab/>
        <w:t>(g)</w:t>
      </w:r>
      <w:r>
        <w:tab/>
        <w:t xml:space="preserve">is a member of a class of persons prescribed for the purposes of this paragraph by regulations made for the purposes of the </w:t>
      </w:r>
      <w:r>
        <w:rPr>
          <w:i/>
        </w:rPr>
        <w:t xml:space="preserve">Road Traffic (Authorisation to Drive) Act 2008 </w:t>
      </w:r>
      <w:r>
        <w:t>section 5A.</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a cancellation provision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pPr>
      <w:r>
        <w:tab/>
        <w:t>(4)</w:t>
      </w:r>
      <w:r>
        <w:tab/>
        <w:t>A person who drives or attempts to drive a motor vehicle to which this subsection applies while having a blood alcohol content of or above 0.02 g of alcohol per 100 ml of blood commits an offence.</w:t>
      </w:r>
    </w:p>
    <w:p>
      <w:pPr>
        <w:pStyle w:val="Penstart"/>
      </w:pPr>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p>
    <w:p>
      <w:pPr>
        <w:pStyle w:val="Subsection"/>
      </w:pPr>
      <w:r>
        <w:tab/>
        <w:t>(4A)</w:t>
      </w:r>
      <w:r>
        <w:tab/>
        <w:t xml:space="preserve">Subsection (4) does not apply to a person who drives or attempts to drive a motor vehicle described in subsection (5)(a)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keepNext/>
      </w:pPr>
      <w:r>
        <w:tab/>
        <w:t>(5)</w:t>
      </w:r>
      <w:r>
        <w:tab/>
        <w:t xml:space="preserve">Subsection (4) applies to a motor vehicle — </w:t>
      </w:r>
    </w:p>
    <w:p>
      <w:pPr>
        <w:pStyle w:val="Indenta"/>
      </w:pPr>
      <w:r>
        <w:tab/>
        <w:t>(a)</w:t>
      </w:r>
      <w:r>
        <w:tab/>
        <w:t>that is equipped to seat more than 12 adult persons (including the driver), if, at the relevant time, the vehicle is carrying passengers, whether or not the passengers are being carried for hire or reward;</w:t>
      </w:r>
      <w:r>
        <w:rPr>
          <w:iCs/>
        </w:rPr>
        <w:t xml:space="preserve"> </w:t>
      </w:r>
      <w:r>
        <w:t>or</w:t>
      </w:r>
    </w:p>
    <w:p>
      <w:pPr>
        <w:pStyle w:val="Indenta"/>
      </w:pPr>
      <w:r>
        <w:tab/>
        <w:t>(b)</w:t>
      </w:r>
      <w:r>
        <w:tab/>
        <w:t xml:space="preserve">that is an omnibus as defined in the </w:t>
      </w:r>
      <w:r>
        <w:rPr>
          <w:i/>
        </w:rPr>
        <w:t>Transport Co</w:t>
      </w:r>
      <w:r>
        <w:rPr>
          <w:i/>
        </w:rPr>
        <w:noBreakHyphen/>
        <w:t>ordination Act 1966</w:t>
      </w:r>
      <w:r>
        <w:rPr>
          <w:iCs/>
        </w:rPr>
        <w:t xml:space="preserve"> section 4(1), but is not a vehicle referred to in paragraph (a), if,</w:t>
      </w:r>
      <w:r>
        <w:t xml:space="preserve"> at the relevant time, the vehicle is carrying passengers for hire or reward; or</w:t>
      </w:r>
    </w:p>
    <w:p>
      <w:pPr>
        <w:pStyle w:val="Indenta"/>
      </w:pPr>
      <w:r>
        <w:tab/>
        <w:t>(c)</w:t>
      </w:r>
      <w:r>
        <w:tab/>
        <w:t xml:space="preserve">on which taxi plates issued under the </w:t>
      </w:r>
      <w:r>
        <w:rPr>
          <w:i/>
        </w:rPr>
        <w:t>Taxi Act </w:t>
      </w:r>
      <w:r>
        <w:rPr>
          <w:i/>
          <w:iCs/>
        </w:rPr>
        <w:t>1994</w:t>
      </w:r>
      <w:r>
        <w:t xml:space="preserve"> are being used, or in respect of which a taxi</w:t>
      </w:r>
      <w:r>
        <w:noBreakHyphen/>
        <w:t xml:space="preserve">car licence has been issued under the </w:t>
      </w:r>
      <w:r>
        <w:rPr>
          <w:i/>
        </w:rPr>
        <w:t>Transport Co</w:t>
      </w:r>
      <w:r>
        <w:rPr>
          <w:i/>
        </w:rPr>
        <w:noBreakHyphen/>
        <w:t>ordination Act 1966</w:t>
      </w:r>
      <w:r>
        <w:t xml:space="preserve"> Part IIIB, if, at the relevant time, the vehicle is carrying passengers for hire or reward; or</w:t>
      </w:r>
    </w:p>
    <w:p>
      <w:pPr>
        <w:pStyle w:val="Indenta"/>
      </w:pPr>
      <w:r>
        <w:tab/>
        <w:t>(d)</w:t>
      </w:r>
      <w:r>
        <w:tab/>
        <w:t>that has a GCM that is 22.5 tonnes or more; or</w:t>
      </w:r>
    </w:p>
    <w:p>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Ednotesubsection"/>
      </w:pPr>
      <w:r>
        <w:tab/>
        <w:t>[(6)</w:t>
      </w:r>
      <w:r>
        <w:tab/>
        <w:t>deleted]</w:t>
      </w:r>
    </w:p>
    <w:p>
      <w:pPr>
        <w:pStyle w:val="Subsection"/>
      </w:pPr>
      <w:r>
        <w:tab/>
        <w:t>(7)</w:t>
      </w:r>
      <w:r>
        <w:tab/>
        <w:t>A person charged with an offence against subsection (1) may, instead of being convicted of that offence, be convicted of an offence against section 64AAA(1).</w:t>
      </w:r>
    </w:p>
    <w:p>
      <w:pPr>
        <w:pStyle w:val="Subsection"/>
      </w:pPr>
      <w:r>
        <w:tab/>
        <w:t>(8)</w:t>
      </w:r>
      <w:r>
        <w:tab/>
        <w:t>A person charged with an offence against subsection (4) may, instead of being convicted of that offence, be convicted of an offence against section 64AAA(2).</w:t>
      </w:r>
    </w:p>
    <w:p>
      <w:pPr>
        <w:pStyle w:val="Footnotesection"/>
        <w:keepLines w:val="0"/>
        <w:ind w:left="890" w:hanging="890"/>
      </w:pPr>
      <w:r>
        <w:tab/>
        <w:t>[Section 64A inserted by No. 82 of 1982 s. 13; amended by No. 11 of 1988 s. 22; No. 13 of 1992 s. 10; No. 50 of 1997 s. 8; No. 28 of 2001 s. 23(2); No. 54 of 2006 s. 17(1) and (2); No. 39 of 2007 s. 8 and 34; No. 14 of 2011 s. 8; No. 8 of 2012 s. 13 (as amended by No. 10 of 2015 s. 15); No. 22 of 2012 s. 138; No. 2 of 2015 s. 12; No. 25 of 2016 s. 7.]</w:t>
      </w:r>
    </w:p>
    <w:p>
      <w:pPr>
        <w:pStyle w:val="Heading5"/>
      </w:pPr>
      <w:bookmarkStart w:id="55" w:name="_Toc472087079"/>
      <w:r>
        <w:rPr>
          <w:rStyle w:val="CharSectno"/>
        </w:rPr>
        <w:t>64AAA</w:t>
      </w:r>
      <w:r>
        <w:t>.</w:t>
      </w:r>
      <w:r>
        <w:tab/>
        <w:t>Certain persons driving with any blood alcohol content</w:t>
      </w:r>
      <w:bookmarkEnd w:id="55"/>
    </w:p>
    <w:p>
      <w:pPr>
        <w:pStyle w:val="Subsection"/>
      </w:pPr>
      <w:r>
        <w:tab/>
        <w:t>(1)</w:t>
      </w:r>
      <w:r>
        <w:tab/>
        <w:t>A person to whom section 64A(1) applies who drives or attempts to drive a motor vehicle while having any blood alcohol content commits an offence.</w:t>
      </w:r>
    </w:p>
    <w:p>
      <w:pPr>
        <w:pStyle w:val="Penstart"/>
      </w:pPr>
      <w:r>
        <w:tab/>
        <w:t>Penalty: not less than 3 PU or more than 6 PU.</w:t>
      </w:r>
    </w:p>
    <w:p>
      <w:pPr>
        <w:pStyle w:val="Subsection"/>
      </w:pPr>
      <w:r>
        <w:tab/>
        <w:t>(2)</w:t>
      </w:r>
      <w:r>
        <w:tab/>
        <w:t>A person who drives or attempts to drive a motor vehicle to which section 64A(4) applies while having any blood alcohol content commits an offence.</w:t>
      </w:r>
    </w:p>
    <w:p>
      <w:pPr>
        <w:pStyle w:val="Penstart"/>
      </w:pPr>
      <w:r>
        <w:tab/>
        <w:t xml:space="preserve">Penalty: </w:t>
      </w:r>
      <w:r>
        <w:rPr>
          <w:snapToGrid w:val="0"/>
        </w:rPr>
        <w:t>not less than 3 PU or more than 6 PU.</w:t>
      </w:r>
    </w:p>
    <w:p>
      <w:pPr>
        <w:pStyle w:val="Subsection"/>
        <w:keepNext/>
      </w:pPr>
      <w:r>
        <w:tab/>
        <w:t>(2A)</w:t>
      </w:r>
      <w:r>
        <w:tab/>
        <w:t xml:space="preserve">Subsection (2) does not apply to a person who drives or attempts to drive a motor vehicle described in section 64A(5)(a)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pPr>
      <w:r>
        <w:tab/>
        <w:t>(3)</w:t>
      </w:r>
      <w:r>
        <w:tab/>
        <w:t xml:space="preserve">It is a defence to a charge of an offence against subsection (1) or (2)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14 of 2011 s. 9; amended by No. 22 of 2012 s. 139.]</w:t>
      </w:r>
    </w:p>
    <w:p>
      <w:pPr>
        <w:pStyle w:val="Heading5"/>
        <w:rPr>
          <w:snapToGrid w:val="0"/>
        </w:rPr>
      </w:pPr>
      <w:bookmarkStart w:id="56" w:name="_Toc472087080"/>
      <w:r>
        <w:rPr>
          <w:rStyle w:val="CharSectno"/>
        </w:rPr>
        <w:t>64AB</w:t>
      </w:r>
      <w:r>
        <w:t>.</w:t>
      </w:r>
      <w:r>
        <w:tab/>
      </w:r>
      <w:r>
        <w:rPr>
          <w:snapToGrid w:val="0"/>
        </w:rPr>
        <w:t>Driving while impaired by drugs</w:t>
      </w:r>
      <w:bookmarkEnd w:id="56"/>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18 PU or more than 50 PU; and, in any event, the court convicting the person shall order that the person be disqualified from holding or obtaining a driver’s licence for a period of not less than 10 months; and</w:t>
      </w:r>
    </w:p>
    <w:p>
      <w:pPr>
        <w:pStyle w:val="Indenta"/>
      </w:pPr>
      <w:r>
        <w:tab/>
        <w:t>(b)</w:t>
      </w:r>
      <w:r>
        <w:tab/>
        <w:t>for a second offence, to a fine of not less than 42 PU or more than 70 PU or to imprisonment for 9 months; and, in any event, the court convicting the person shall order that the person be disqualified from holding or obtaining a driver’s licence for a period of not less than 30 months; and</w:t>
      </w:r>
    </w:p>
    <w:p>
      <w:pPr>
        <w:pStyle w:val="Indenta"/>
      </w:pPr>
      <w:r>
        <w:tab/>
        <w:t>(c)</w:t>
      </w:r>
      <w:r>
        <w:tab/>
        <w:t>for a third or subsequent offence, to a fine of not less than 42 PU or more than 100 PU or to imprisonment for 18 months; and, in any event, the court convicting the person shall order that the person be permanently disqualified from holding or obtaining a driver’s licence.</w:t>
      </w:r>
    </w:p>
    <w:p>
      <w:pPr>
        <w:pStyle w:val="Subsection"/>
        <w:keepLines/>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spacing w:before="60"/>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 amended by No. 35 of 2010 s. 152; No. 14 of 2011 s. 10.]</w:t>
      </w:r>
    </w:p>
    <w:p>
      <w:pPr>
        <w:pStyle w:val="Heading5"/>
        <w:spacing w:before="180"/>
        <w:rPr>
          <w:snapToGrid w:val="0"/>
        </w:rPr>
      </w:pPr>
      <w:bookmarkStart w:id="57" w:name="_Toc472087081"/>
      <w:r>
        <w:rPr>
          <w:rStyle w:val="CharSectno"/>
        </w:rPr>
        <w:t>64AC</w:t>
      </w:r>
      <w:r>
        <w:t>.</w:t>
      </w:r>
      <w:r>
        <w:tab/>
      </w:r>
      <w:r>
        <w:rPr>
          <w:snapToGrid w:val="0"/>
        </w:rPr>
        <w:t>Driving with prescribed illicit drug in oral fluid or blood</w:t>
      </w:r>
      <w:bookmarkEnd w:id="57"/>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spacing w:before="80"/>
        <w:ind w:left="890" w:hanging="890"/>
      </w:pPr>
      <w:r>
        <w:tab/>
        <w:t>[Section 64AC inserted by No. 6 of 2007 s. 6; amended by No. 14 of 2011 s. 11.]</w:t>
      </w:r>
    </w:p>
    <w:p>
      <w:pPr>
        <w:pStyle w:val="Heading5"/>
        <w:spacing w:before="180"/>
        <w:rPr>
          <w:snapToGrid w:val="0"/>
        </w:rPr>
      </w:pPr>
      <w:bookmarkStart w:id="58" w:name="_Toc472087082"/>
      <w:r>
        <w:rPr>
          <w:rStyle w:val="CharSectno"/>
        </w:rPr>
        <w:t>65</w:t>
      </w:r>
      <w:r>
        <w:rPr>
          <w:snapToGrid w:val="0"/>
        </w:rPr>
        <w:t>.</w:t>
      </w:r>
      <w:r>
        <w:rPr>
          <w:snapToGrid w:val="0"/>
        </w:rPr>
        <w:tab/>
        <w:t>Terms used in s. 59 to 73</w:t>
      </w:r>
      <w:bookmarkEnd w:id="58"/>
    </w:p>
    <w:p>
      <w:pPr>
        <w:pStyle w:val="Subsection"/>
        <w:spacing w:before="120"/>
        <w:rPr>
          <w:snapToGrid w:val="0"/>
        </w:rPr>
      </w:pPr>
      <w:r>
        <w:rPr>
          <w:snapToGrid w:val="0"/>
        </w:rPr>
        <w:tab/>
      </w:r>
      <w:r>
        <w:rPr>
          <w:snapToGrid w:val="0"/>
        </w:rPr>
        <w:tab/>
        <w:t xml:space="preserve">For the purposes of </w:t>
      </w:r>
      <w:r>
        <w:t xml:space="preserve">sections 59 </w:t>
      </w:r>
      <w:r>
        <w:rPr>
          <w:snapToGrid w:val="0"/>
        </w:rPr>
        <w:t>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Commissioner of Police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 ml of blood;</w:t>
      </w:r>
    </w:p>
    <w:p>
      <w:pPr>
        <w:pStyle w:val="Defstart"/>
      </w:pPr>
      <w:r>
        <w:rPr>
          <w:b/>
        </w:rPr>
        <w:tab/>
      </w:r>
      <w:r>
        <w:rPr>
          <w:rStyle w:val="CharDefText"/>
        </w:rPr>
        <w:t>breath analysing equipment</w:t>
      </w:r>
      <w:r>
        <w:t xml:space="preserve"> means apparatus of a type approved by the Minister under section 72(2)(a)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police officer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keepNex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pPr>
      <w:r>
        <w:rPr>
          <w:b/>
        </w:rPr>
        <w:tab/>
      </w:r>
      <w:r>
        <w:rPr>
          <w:rStyle w:val="CharDefText"/>
        </w:rPr>
        <w:t>preliminary test</w:t>
      </w:r>
      <w:r>
        <w:t xml:space="preserve"> means a test of a sample of a person’s breath by means of apparatus of a type approved by the Minister under section 72(2)(b)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 by No. 82 of 1982 s. 14; No. 121 of 1987 s. 5; No. 19 of 1990 s. 8; No. 39 of 2000 s. 34; No. 44 of 2004 s. 8; No. 50 of 2006 Sch. 3 cl. 20(3); No. 6 of 2007 s. 7; No. 10 of 2007 s. 43; No. 39 of 2007 s. 9; No. 22 of 2008 Sch. 3 cl. 51; No. 35 of 2010 s. 153; No. 8 of 2012 s. 37; No. 25 of 2016 s. 8.]</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spacing w:before="240"/>
      </w:pPr>
      <w:bookmarkStart w:id="59" w:name="_Toc472087083"/>
      <w:r>
        <w:rPr>
          <w:rStyle w:val="CharSectno"/>
        </w:rPr>
        <w:t>65A</w:t>
      </w:r>
      <w:r>
        <w:t>.</w:t>
      </w:r>
      <w:r>
        <w:tab/>
        <w:t>Using breath sample to find blood alcohol content</w:t>
      </w:r>
      <w:bookmarkEnd w:id="59"/>
    </w:p>
    <w:p>
      <w:pPr>
        <w:pStyle w:val="Subsection"/>
        <w:spacing w:before="180"/>
      </w:pPr>
      <w:r>
        <w:tab/>
        <w:t>(1)</w:t>
      </w:r>
      <w:r>
        <w:tab/>
        <w:t>For the purposes of sections 59 to 73, inclusive, if the concentration of alcohol in a person’s breath is a particular number of grams of alcohol per 210 litres of breath the person’s blood alcohol content is to be regarded as being that number of grams of alcohol per 100 ml of blood.</w:t>
      </w:r>
    </w:p>
    <w:p>
      <w:pPr>
        <w:pStyle w:val="Subsection"/>
        <w:spacing w:before="180"/>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80"/>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ind w:left="890" w:hanging="890"/>
      </w:pPr>
      <w:r>
        <w:tab/>
        <w:t>[Section 65A inserted by No. 39 of 2007 s. 10; amended by No. 25 of 2016 s. 9.]</w:t>
      </w:r>
    </w:p>
    <w:p>
      <w:pPr>
        <w:pStyle w:val="Heading5"/>
        <w:keepNext w:val="0"/>
        <w:keepLines w:val="0"/>
        <w:pageBreakBefore/>
        <w:spacing w:before="0"/>
        <w:rPr>
          <w:snapToGrid w:val="0"/>
        </w:rPr>
      </w:pPr>
      <w:bookmarkStart w:id="60" w:name="_Toc472087084"/>
      <w:r>
        <w:rPr>
          <w:rStyle w:val="CharSectno"/>
        </w:rPr>
        <w:t>66</w:t>
      </w:r>
      <w:r>
        <w:rPr>
          <w:snapToGrid w:val="0"/>
        </w:rPr>
        <w:t>.</w:t>
      </w:r>
      <w:r>
        <w:rPr>
          <w:snapToGrid w:val="0"/>
        </w:rPr>
        <w:tab/>
        <w:t>Breath, blood or urine sample, police powers to require etc.</w:t>
      </w:r>
      <w:bookmarkEnd w:id="60"/>
    </w:p>
    <w:p>
      <w:pPr>
        <w:pStyle w:val="Subsection"/>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r>
      <w:r>
        <w:rPr>
          <w:snapToGrid w:val="0"/>
          <w:spacing w:val="-4"/>
        </w:rPr>
        <w:t>call upon the driver of a motor vehicle to stop the vehicle;</w:t>
      </w:r>
    </w:p>
    <w:p>
      <w:pPr>
        <w:pStyle w:val="Indenta"/>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(1a)</w:t>
      </w:r>
      <w:r>
        <w:rPr>
          <w:snapToGrid w:val="0"/>
        </w:rPr>
        <w:tab/>
        <w:t xml:space="preserve">Where a </w:t>
      </w:r>
      <w:r>
        <w:t>police officer</w:t>
      </w:r>
      <w:r>
        <w:rPr>
          <w:snapToGrid w:val="0"/>
        </w:rPr>
        <w:t>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provide a sample of his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police officer may require the person to leave the vehicle for the purpose of providing the sample.</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 xml:space="preserve">it appears to a </w:t>
      </w:r>
      <w:r>
        <w:t>police officer</w:t>
      </w:r>
      <w:r>
        <w:rPr>
          <w:snapToGrid w:val="0"/>
        </w:rPr>
        <w:t xml:space="preserve"> that the preliminary test indicates that the</w:t>
      </w:r>
      <w:r>
        <w:t xml:space="preserve"> person has a blood alcohol content of or above 0.05 g of alcohol per 100 ml of blood</w:t>
      </w:r>
      <w:r>
        <w:rPr>
          <w:snapToGrid w:val="0"/>
        </w:rPr>
        <w:t>; or</w:t>
      </w:r>
    </w:p>
    <w:p>
      <w:pPr>
        <w:pStyle w:val="Indenti"/>
        <w:rPr>
          <w:snapToGrid w:val="0"/>
        </w:rPr>
      </w:pPr>
      <w:r>
        <w:rPr>
          <w:snapToGrid w:val="0"/>
        </w:rPr>
        <w:tab/>
        <w:t>(ii)</w:t>
      </w:r>
      <w:r>
        <w:rPr>
          <w:snapToGrid w:val="0"/>
        </w:rPr>
        <w:tab/>
        <w:t xml:space="preserve">it appears to a </w:t>
      </w:r>
      <w:r>
        <w:t>police officer</w:t>
      </w:r>
      <w:r>
        <w:rPr>
          <w:snapToGrid w:val="0"/>
        </w:rPr>
        <w:t xml:space="preserve"> that the preliminary test indicates that there is alcohol present in the blood of the person and the </w:t>
      </w:r>
      <w:r>
        <w:t>police officer</w:t>
      </w:r>
      <w:r>
        <w:rPr>
          <w:snapToGrid w:val="0"/>
        </w:rPr>
        <w:t xml:space="preserve"> has reasonable grounds to believe that the person is a person to whom </w:t>
      </w:r>
      <w:r>
        <w:t>section 62B(4) or (5) or 64A(1) applies or that the motor vehicle concerned is a motor vehicle to which section 64A(4)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having been so required, refuses or fails to provide, or appears to a </w:t>
      </w:r>
      <w:r>
        <w:t>police officer</w:t>
      </w:r>
      <w:r>
        <w:rPr>
          <w:snapToGrid w:val="0"/>
        </w:rPr>
        <w:t xml:space="preserve"> to be incapable of providing a sample of his breath for a preliminary test or refuses or fails to provide, or appears to a </w:t>
      </w:r>
      <w:r>
        <w:t>police officer</w:t>
      </w:r>
      <w:r>
        <w:rPr>
          <w:snapToGrid w:val="0"/>
        </w:rPr>
        <w:t xml:space="preserve"> to be incapable of providing, a sample of his breath in sufficient quantity to enable a preliminary test to be carried out; or</w:t>
      </w:r>
    </w:p>
    <w:p>
      <w:pPr>
        <w:pStyle w:val="Indenta"/>
        <w:rPr>
          <w:snapToGrid w:val="0"/>
        </w:rPr>
      </w:pPr>
      <w:r>
        <w:rPr>
          <w:snapToGrid w:val="0"/>
        </w:rPr>
        <w:tab/>
        <w:t>(c)</w:t>
      </w:r>
      <w:r>
        <w:rPr>
          <w:snapToGrid w:val="0"/>
        </w:rPr>
        <w:tab/>
        <w:t xml:space="preserve">a </w:t>
      </w:r>
      <w:r>
        <w:t>police officer</w:t>
      </w:r>
      <w:r>
        <w:rPr>
          <w:snapToGrid w:val="0"/>
        </w:rPr>
        <w:t xml:space="preserve"> has reasonable grounds to believe that a person has committed an offence against section 63; or</w:t>
      </w:r>
    </w:p>
    <w:p>
      <w:pPr>
        <w:pStyle w:val="Indenta"/>
      </w:pPr>
      <w:r>
        <w:tab/>
        <w:t>(ca)</w:t>
      </w:r>
      <w:r>
        <w:tab/>
        <w:t>a police officer —</w:t>
      </w:r>
    </w:p>
    <w:p>
      <w:pPr>
        <w:pStyle w:val="Indenti"/>
      </w:pPr>
      <w:r>
        <w:tab/>
        <w:t>(i)</w:t>
      </w:r>
      <w:r>
        <w:tab/>
      </w:r>
      <w:r>
        <w:rPr>
          <w:snapToGrid w:val="0"/>
        </w:rPr>
        <w:t xml:space="preserve">has reasonable grounds to believe that an offence against </w:t>
      </w:r>
      <w:r>
        <w:t xml:space="preserve">section 59(1)(a), (ba) or (bb) or 59A(1)(a), (ba) or (bb) </w:t>
      </w:r>
      <w:r>
        <w:rPr>
          <w:snapToGrid w:val="0"/>
        </w:rPr>
        <w:t>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pPr>
      <w:r>
        <w:tab/>
        <w:t>(cb)</w:t>
      </w:r>
      <w:r>
        <w:tab/>
        <w:t>a police officer has reasonable grounds to believe that —</w:t>
      </w:r>
    </w:p>
    <w:p>
      <w:pPr>
        <w:pStyle w:val="Indenti"/>
      </w:pPr>
      <w:r>
        <w:tab/>
        <w:t>(i)</w:t>
      </w:r>
      <w:r>
        <w:tab/>
        <w:t>an offence against section 59(1)(a), (ba) or (bb) or 59A(1)(a), (ba) or (bb) has been committed by a learner driver; and</w:t>
      </w:r>
    </w:p>
    <w:p>
      <w:pPr>
        <w:pStyle w:val="Indenti"/>
      </w:pPr>
      <w:r>
        <w:tab/>
        <w:t>(ii)</w:t>
      </w:r>
      <w:r>
        <w:tab/>
        <w:t>a person may have been an instructor providing driving instruction to that learner driver at the time of that offence;</w:t>
      </w:r>
    </w:p>
    <w:p>
      <w:pPr>
        <w:pStyle w:val="Indenta"/>
      </w:pPr>
      <w:r>
        <w:tab/>
      </w:r>
      <w:r>
        <w:tab/>
        <w:t>or</w:t>
      </w:r>
    </w:p>
    <w:p>
      <w:pPr>
        <w:pStyle w:val="Indenta"/>
        <w:keepNext/>
        <w:rPr>
          <w:snapToGrid w:val="0"/>
        </w:rPr>
      </w:pPr>
      <w:r>
        <w:rPr>
          <w:snapToGrid w:val="0"/>
        </w:rPr>
        <w:tab/>
        <w:t>(d)</w:t>
      </w:r>
      <w:r>
        <w:rPr>
          <w:snapToGrid w:val="0"/>
        </w:rPr>
        <w:tab/>
        <w:t xml:space="preserve">a </w:t>
      </w:r>
      <w:r>
        <w:t>police officer</w:t>
      </w:r>
      <w:r>
        <w:rPr>
          <w:snapToGrid w:val="0"/>
        </w:rPr>
        <w:t>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w:t>
      </w:r>
      <w:r>
        <w:t>63; or</w:t>
      </w:r>
    </w:p>
    <w:p>
      <w:pPr>
        <w:pStyle w:val="Indenta"/>
      </w:pPr>
      <w:r>
        <w:tab/>
        <w:t>(e)</w:t>
      </w:r>
      <w:r>
        <w:tab/>
        <w:t>a police officer has reasonable grounds to believe that —</w:t>
      </w:r>
    </w:p>
    <w:p>
      <w:pPr>
        <w:pStyle w:val="Indenti"/>
      </w:pPr>
      <w:r>
        <w:tab/>
        <w:t>(i)</w:t>
      </w:r>
      <w:r>
        <w:tab/>
        <w:t>the presence of a motor vehicle has occasioned, or its use has been an immediate or proximate cause of, personal injury or damage to property; and</w:t>
      </w:r>
    </w:p>
    <w:p>
      <w:pPr>
        <w:pStyle w:val="Indenti"/>
      </w:pPr>
      <w:r>
        <w:tab/>
        <w:t>(ii)</w:t>
      </w:r>
      <w:r>
        <w:tab/>
        <w:t>a learner driver was driving or attempting to drive the motor vehicle at the time of that presence or use; and</w:t>
      </w:r>
    </w:p>
    <w:p>
      <w:pPr>
        <w:pStyle w:val="Indenti"/>
      </w:pPr>
      <w:r>
        <w:tab/>
        <w:t>(iii)</w:t>
      </w:r>
      <w:r>
        <w:tab/>
        <w:t>a person may have been an instructor providing driving instruction to the learner driver at that time; and</w:t>
      </w:r>
    </w:p>
    <w:p>
      <w:pPr>
        <w:pStyle w:val="Indenti"/>
      </w:pPr>
      <w:r>
        <w:tab/>
        <w:t>(iv)</w:t>
      </w:r>
      <w:r>
        <w:tab/>
        <w:t>at that time, the person would have committed an offence against section 63 if the person had been driving a motor vehicle,</w:t>
      </w:r>
    </w:p>
    <w:p>
      <w:pPr>
        <w:pStyle w:val="Subsection"/>
        <w:rPr>
          <w:snapToGrid w:val="0"/>
        </w:rPr>
      </w:pPr>
      <w:r>
        <w:rPr>
          <w:snapToGrid w:val="0"/>
        </w:rPr>
        <w:tab/>
      </w:r>
      <w:r>
        <w:rPr>
          <w:snapToGrid w:val="0"/>
        </w:rPr>
        <w:tab/>
        <w:t xml:space="preserve">a </w:t>
      </w:r>
      <w:r>
        <w:t>police officer</w:t>
      </w:r>
      <w:r>
        <w:rPr>
          <w:snapToGrid w:val="0"/>
        </w:rPr>
        <w:t xml:space="preserv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w:t>
      </w:r>
      <w:r>
        <w:t>police officer</w:t>
      </w:r>
      <w:r>
        <w:rPr>
          <w:snapToGrid w:val="0"/>
        </w:rPr>
        <w:t xml:space="preserve"> to a police station or some other place, and may require that person to wait at any such police station or place.</w:t>
      </w:r>
    </w:p>
    <w:p>
      <w:pPr>
        <w:pStyle w:val="Subsection"/>
        <w:rPr>
          <w:snapToGrid w:val="0"/>
        </w:rPr>
      </w:pPr>
      <w:r>
        <w:rPr>
          <w:snapToGrid w:val="0"/>
        </w:rPr>
        <w:tab/>
        <w:t>(3)</w:t>
      </w:r>
      <w:r>
        <w:rPr>
          <w:snapToGrid w:val="0"/>
        </w:rPr>
        <w:tab/>
        <w:t xml:space="preserve">A person who is required to supply a sample of his breath for a preliminary test or for analysis shall comply with that requirement by providing the sample of his breath into approved apparatus in accordance with the directions of a </w:t>
      </w:r>
      <w:r>
        <w:t>police officer</w:t>
      </w:r>
      <w:r>
        <w:rPr>
          <w:snapToGrid w:val="0"/>
        </w:rPr>
        <w:t xml:space="preserve"> or an authorised person, as the case may be.</w:t>
      </w:r>
    </w:p>
    <w:p>
      <w:pPr>
        <w:pStyle w:val="Subsection"/>
        <w:rPr>
          <w:snapToGrid w:val="0"/>
        </w:rPr>
      </w:pPr>
      <w:r>
        <w:rPr>
          <w:snapToGrid w:val="0"/>
        </w:rPr>
        <w:tab/>
        <w:t>(4)</w:t>
      </w:r>
      <w:r>
        <w:rPr>
          <w:snapToGrid w:val="0"/>
        </w:rPr>
        <w:tab/>
        <w:t xml:space="preserve">A person shall not be required under subsection (2) to provide a sample of his breath for analysis if it appears to a </w:t>
      </w:r>
      <w:r>
        <w:t>police officer</w:t>
      </w:r>
      <w:r>
        <w:rPr>
          <w:snapToGrid w:val="0"/>
        </w:rPr>
        <w:t xml:space="preserv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require a person to provide a sample of his breath for analysis under subsection (2) but is precluded from so doing by subsection (4) or section 68(11); or</w:t>
      </w:r>
    </w:p>
    <w:p>
      <w:pPr>
        <w:pStyle w:val="Indenta"/>
        <w:rPr>
          <w:snapToGrid w:val="0"/>
        </w:rPr>
      </w:pPr>
      <w:r>
        <w:rPr>
          <w:snapToGrid w:val="0"/>
        </w:rPr>
        <w:tab/>
        <w:t>(b)</w:t>
      </w:r>
      <w:r>
        <w:rPr>
          <w:snapToGrid w:val="0"/>
        </w:rPr>
        <w:tab/>
        <w:t xml:space="preserve">a </w:t>
      </w:r>
      <w:r>
        <w:t>police officer</w:t>
      </w:r>
      <w:r>
        <w:rPr>
          <w:snapToGrid w:val="0"/>
        </w:rPr>
        <w:t xml:space="preserve"> might, by virtue of subsection (1) or (1a), require a person to provide a sample of his breath for a preliminary test but it appears to the </w:t>
      </w:r>
      <w:r>
        <w:t>police officer</w:t>
      </w:r>
      <w:r>
        <w:rPr>
          <w:snapToGrid w:val="0"/>
        </w:rPr>
        <w:t xml:space="preserve"> that the physical condition of the person is such as to render him incapable of providing a sample of his breath in accordance with the directions of the </w:t>
      </w:r>
      <w:r>
        <w:t>police officer</w:t>
      </w:r>
      <w:r>
        <w:rPr>
          <w:snapToGrid w:val="0"/>
        </w:rPr>
        <w:t xml:space="preserve"> for a preliminary test,</w:t>
      </w:r>
    </w:p>
    <w:p>
      <w:pPr>
        <w:pStyle w:val="Subsection"/>
        <w:rPr>
          <w:snapToGrid w:val="0"/>
        </w:rPr>
      </w:pPr>
      <w:r>
        <w:rPr>
          <w:snapToGrid w:val="0"/>
        </w:rPr>
        <w:tab/>
      </w:r>
      <w:r>
        <w:rPr>
          <w:snapToGrid w:val="0"/>
        </w:rPr>
        <w:tab/>
        <w:t xml:space="preserve">then the </w:t>
      </w:r>
      <w:r>
        <w:t>police officer</w:t>
      </w:r>
      <w:r>
        <w:rPr>
          <w:snapToGrid w:val="0"/>
        </w:rPr>
        <w:t xml:space="preserve"> may require the person to allow a medical practitioner</w:t>
      </w:r>
      <w:r>
        <w:t xml:space="preserve"> or registered nurse</w:t>
      </w:r>
      <w:r>
        <w:rPr>
          <w:snapToGrid w:val="0"/>
        </w:rPr>
        <w:t xml:space="preserve"> </w:t>
      </w:r>
      <w:r>
        <w:t>nominated by the police officer to take a sample of the person’s blood</w:t>
      </w:r>
      <w:r>
        <w:rPr>
          <w:snapToGrid w:val="0"/>
        </w:rPr>
        <w:t xml:space="preserve"> for analysis or where the person is incapable of complying with that requirement, that </w:t>
      </w:r>
      <w:r>
        <w:t>police officer</w:t>
      </w:r>
      <w:r>
        <w:rPr>
          <w:snapToGrid w:val="0"/>
        </w:rPr>
        <w:t xml:space="preserve"> may cause a medical practitioner</w:t>
      </w:r>
      <w:r>
        <w:t xml:space="preserve"> or registered nurse</w:t>
      </w:r>
      <w:r>
        <w:rPr>
          <w:snapToGrid w:val="0"/>
        </w:rPr>
        <w:t xml:space="preserve"> to take a sample of the blood of the person for analysis.</w:t>
      </w:r>
    </w:p>
    <w:p>
      <w:pPr>
        <w:pStyle w:val="Subsection"/>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w:t>
      </w:r>
      <w:r>
        <w:t>police officer</w:t>
      </w:r>
      <w:r>
        <w:rPr>
          <w:snapToGrid w:val="0"/>
        </w:rPr>
        <w:t xml:space="preserv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by virtue of subsection (2)(c)</w:t>
      </w:r>
      <w:r>
        <w:t xml:space="preserve">, (ca), (cb), (d) or (e), </w:t>
      </w:r>
      <w:r>
        <w:rPr>
          <w:snapToGrid w:val="0"/>
        </w:rPr>
        <w:t>require a person to provide a sample of his breath for analysis but is precluded from so doing by subsection (4); and</w:t>
      </w:r>
    </w:p>
    <w:p>
      <w:pPr>
        <w:pStyle w:val="Indenta"/>
        <w:rPr>
          <w:snapToGrid w:val="0"/>
        </w:rPr>
      </w:pPr>
      <w:r>
        <w:rPr>
          <w:snapToGrid w:val="0"/>
        </w:rPr>
        <w:tab/>
        <w:t>(b)</w:t>
      </w:r>
      <w:r>
        <w:rPr>
          <w:snapToGrid w:val="0"/>
        </w:rPr>
        <w:tab/>
        <w:t xml:space="preserve">under subsection (5), the </w:t>
      </w:r>
      <w:r>
        <w:t>police officer</w:t>
      </w:r>
      <w:r>
        <w:rPr>
          <w:snapToGrid w:val="0"/>
        </w:rPr>
        <w:t xml:space="preserve"> requires the person to allow a medical practitioner</w:t>
      </w:r>
      <w:r>
        <w:t xml:space="preserve"> or registered nurse</w:t>
      </w:r>
      <w:r>
        <w:rPr>
          <w:snapToGrid w:val="0"/>
        </w:rPr>
        <w:t xml:space="preserve"> to take a sample of his blood for analysis,</w:t>
      </w:r>
    </w:p>
    <w:p>
      <w:pPr>
        <w:pStyle w:val="Subsection"/>
        <w:rPr>
          <w:snapToGrid w:val="0"/>
        </w:rPr>
      </w:pPr>
      <w:r>
        <w:rPr>
          <w:snapToGrid w:val="0"/>
        </w:rPr>
        <w:tab/>
      </w:r>
      <w:r>
        <w:rPr>
          <w:snapToGrid w:val="0"/>
        </w:rPr>
        <w:tab/>
        <w:t xml:space="preserve">the </w:t>
      </w:r>
      <w:r>
        <w:t>police officer</w:t>
      </w:r>
      <w:r>
        <w:rPr>
          <w:snapToGrid w:val="0"/>
        </w:rPr>
        <w:t xml:space="preserve"> may also require the person to provide the medical practitioner</w:t>
      </w:r>
      <w:r>
        <w:t xml:space="preserve"> or registered nurse</w:t>
      </w:r>
      <w:r>
        <w:rPr>
          <w:snapToGrid w:val="0"/>
        </w:rPr>
        <w:t xml:space="preserve"> with a sample of his urine for analysis.</w:t>
      </w:r>
    </w:p>
    <w:p>
      <w:pPr>
        <w:pStyle w:val="Ednotesubsection"/>
        <w:ind w:left="0" w:firstLine="0"/>
      </w:pPr>
      <w:r>
        <w:tab/>
        <w:t>[(7)</w:t>
      </w:r>
      <w:r>
        <w:noBreakHyphen/>
        <w:t>(9)</w:t>
      </w:r>
      <w:r>
        <w:tab/>
        <w:t>deleted]</w:t>
      </w:r>
    </w:p>
    <w:p>
      <w:pPr>
        <w:pStyle w:val="Subsection"/>
        <w:rPr>
          <w:snapToGrid w:val="0"/>
        </w:rPr>
      </w:pPr>
      <w:r>
        <w:rPr>
          <w:snapToGrid w:val="0"/>
        </w:rPr>
        <w:tab/>
        <w:t>(10)</w:t>
      </w:r>
      <w:r>
        <w:rPr>
          <w:snapToGrid w:val="0"/>
        </w:rPr>
        <w:tab/>
        <w:t xml:space="preserve">Where a person is apparently unconscious or seriously injured a </w:t>
      </w:r>
      <w:r>
        <w:t>police officer</w:t>
      </w:r>
      <w:r>
        <w:rPr>
          <w:snapToGrid w:val="0"/>
        </w:rPr>
        <w:t xml:space="preserv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xml:space="preserve">, (ca), (cb), (d) or (e) </w:t>
      </w:r>
      <w:r>
        <w:rPr>
          <w:snapToGrid w:val="0"/>
        </w:rPr>
        <w:t>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keepLines/>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spacing w:before="180"/>
        <w:rPr>
          <w:snapToGrid w:val="0"/>
        </w:rPr>
      </w:pPr>
      <w:r>
        <w:rPr>
          <w:snapToGrid w:val="0"/>
        </w:rPr>
        <w:tab/>
      </w:r>
      <w:r>
        <w:rPr>
          <w:snapToGrid w:val="0"/>
        </w:rPr>
        <w:tab/>
        <w:t xml:space="preserve">a </w:t>
      </w:r>
      <w:r>
        <w:t>police officer</w:t>
      </w:r>
      <w:r>
        <w:rPr>
          <w:snapToGrid w:val="0"/>
        </w:rPr>
        <w:t xml:space="preserve"> may require the person —</w:t>
      </w:r>
    </w:p>
    <w:p>
      <w:pPr>
        <w:pStyle w:val="Indenta"/>
        <w:spacing w:before="100"/>
        <w:rPr>
          <w:snapToGrid w:val="0"/>
        </w:rPr>
      </w:pPr>
      <w:r>
        <w:rPr>
          <w:snapToGrid w:val="0"/>
        </w:rPr>
        <w:tab/>
        <w:t>(c)</w:t>
      </w:r>
      <w:r>
        <w:rPr>
          <w:snapToGrid w:val="0"/>
        </w:rPr>
        <w:tab/>
        <w:t>to allow a medical practitioner</w:t>
      </w:r>
      <w:r>
        <w:t xml:space="preserve"> or registered nurse</w:t>
      </w:r>
      <w:r>
        <w:rPr>
          <w:snapToGrid w:val="0"/>
        </w:rPr>
        <w:t xml:space="preserve"> </w:t>
      </w:r>
      <w:r>
        <w:t>nominated by the police officer to take a sample of the person’s blood</w:t>
      </w:r>
      <w:r>
        <w:rPr>
          <w:snapToGrid w:val="0"/>
        </w:rPr>
        <w:t xml:space="preserve"> for analysis; or</w:t>
      </w:r>
    </w:p>
    <w:p>
      <w:pPr>
        <w:pStyle w:val="Indenta"/>
        <w:keepNext/>
        <w:keepLines/>
        <w:spacing w:before="100"/>
        <w:rPr>
          <w:snapToGrid w:val="0"/>
        </w:rPr>
      </w:pPr>
      <w:r>
        <w:rPr>
          <w:snapToGrid w:val="0"/>
        </w:rPr>
        <w:tab/>
        <w:t>(d)</w:t>
      </w:r>
      <w:r>
        <w:rPr>
          <w:snapToGrid w:val="0"/>
        </w:rPr>
        <w:tab/>
        <w:t>to provide a medical practitioner</w:t>
      </w:r>
      <w:r>
        <w:t xml:space="preserve"> or registered nurse</w:t>
      </w:r>
      <w:r>
        <w:rPr>
          <w:snapToGrid w:val="0"/>
        </w:rPr>
        <w:t xml:space="preserve"> </w:t>
      </w:r>
      <w:r>
        <w:t>nominated by the police officer with a sample of the person’s urine</w:t>
      </w:r>
      <w:r>
        <w:rPr>
          <w:snapToGrid w:val="0"/>
        </w:rPr>
        <w:t xml:space="preserve"> for analysis,</w:t>
      </w:r>
    </w:p>
    <w:p>
      <w:pPr>
        <w:pStyle w:val="Subsection"/>
        <w:spacing w:before="120"/>
        <w:rPr>
          <w:snapToGrid w:val="0"/>
        </w:rPr>
      </w:pPr>
      <w:r>
        <w:rPr>
          <w:snapToGrid w:val="0"/>
        </w:rPr>
        <w:tab/>
      </w:r>
      <w:r>
        <w:rPr>
          <w:snapToGrid w:val="0"/>
        </w:rPr>
        <w:tab/>
        <w:t xml:space="preserve">or to do both of those things, and for the purposes of this subsection may require the person to accompany a </w:t>
      </w:r>
      <w:r>
        <w:t>police officer</w:t>
      </w:r>
      <w:r>
        <w:rPr>
          <w:snapToGrid w:val="0"/>
        </w:rPr>
        <w:t xml:space="preserve"> to a place, and may require the person to wait at that place.</w:t>
      </w:r>
    </w:p>
    <w:p>
      <w:pPr>
        <w:pStyle w:val="Subsection"/>
        <w:spacing w:before="180"/>
        <w:rPr>
          <w:snapToGrid w:val="0"/>
        </w:rPr>
      </w:pPr>
      <w:r>
        <w:rPr>
          <w:snapToGrid w:val="0"/>
        </w:rPr>
        <w:tab/>
        <w:t>(12)</w:t>
      </w:r>
      <w:r>
        <w:rPr>
          <w:snapToGrid w:val="0"/>
        </w:rPr>
        <w:tab/>
        <w:t>A person shall not be required —</w:t>
      </w:r>
    </w:p>
    <w:p>
      <w:pPr>
        <w:pStyle w:val="Indenta"/>
        <w:spacing w:before="100"/>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0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spacing w:before="120"/>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w:t>
      </w:r>
      <w:r>
        <w:t>police officer</w:t>
      </w:r>
      <w:r>
        <w:rPr>
          <w:snapToGrid w:val="0"/>
        </w:rPr>
        <w:t xml:space="preserve"> that the sample cannot be taken or given, as the case may be, within 4 hours after the time at which driving, attempted driving, use or management of a vehicle in circumstances giving rise to the requirement is believed to have taken place.</w:t>
      </w:r>
    </w:p>
    <w:p>
      <w:pPr>
        <w:pStyle w:val="Subsection"/>
        <w:spacing w:before="120"/>
        <w:rPr>
          <w:i/>
          <w:snapToGrid w:val="0"/>
        </w:rPr>
      </w:pPr>
      <w:r>
        <w:rPr>
          <w:i/>
          <w:snapToGrid w:val="0"/>
        </w:rPr>
        <w:tab/>
      </w:r>
      <w:r>
        <w:rPr>
          <w:i/>
          <w:snapToGrid w:val="0"/>
        </w:rPr>
        <w:tab/>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 No. 8 of 2012 s. 37; No. 2 of 2015 s. 8; No. 25 of 2016 s. 47.]</w:t>
      </w:r>
    </w:p>
    <w:p>
      <w:pPr>
        <w:pStyle w:val="Footnotesection"/>
        <w:ind w:left="890" w:hanging="890"/>
      </w:pPr>
      <w:r>
        <w:tab/>
        <w:t>[Section 66. Modifications to be applied in order to give effect to Cross</w:t>
      </w:r>
      <w:r>
        <w:noBreakHyphen/>
        <w:t>border Justice Act 2008: section altered 1 Nov 2009. See endnote 1M.]</w:t>
      </w:r>
    </w:p>
    <w:p>
      <w:pPr>
        <w:pStyle w:val="Heading5"/>
        <w:spacing w:before="180"/>
      </w:pPr>
      <w:bookmarkStart w:id="61" w:name="_Toc472087085"/>
      <w:r>
        <w:rPr>
          <w:rStyle w:val="CharSectno"/>
        </w:rPr>
        <w:t>66A</w:t>
      </w:r>
      <w:r>
        <w:t>.</w:t>
      </w:r>
      <w:r>
        <w:tab/>
        <w:t>Drug impairment, police powers to require driver assessment for etc.</w:t>
      </w:r>
      <w:bookmarkEnd w:id="61"/>
    </w:p>
    <w:p>
      <w:pPr>
        <w:pStyle w:val="Subsection"/>
      </w:pPr>
      <w:r>
        <w:tab/>
        <w:t>(1A)</w:t>
      </w:r>
      <w:r>
        <w:tab/>
        <w:t>In this section an instructor providing driving instruction to a learner driver is not to be taken, under section 49AA, to be in charge of the motor vehicle driven by the learner driver.</w:t>
      </w:r>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 xml:space="preserve">any person the </w:t>
      </w:r>
      <w:r>
        <w:t>police officer</w:t>
      </w:r>
      <w:r>
        <w:rPr>
          <w:snapToGrid w:val="0"/>
        </w:rPr>
        <w:t xml:space="preserve"> has reasonable grounds to believe was the driver or person in charge of a motor vehicle,</w:t>
      </w:r>
    </w:p>
    <w:p>
      <w:pPr>
        <w:pStyle w:val="Subsection"/>
        <w:spacing w:before="120"/>
      </w:pPr>
      <w:r>
        <w:rPr>
          <w:snapToGrid w:val="0"/>
        </w:rPr>
        <w:tab/>
      </w:r>
      <w:r>
        <w:rPr>
          <w:snapToGrid w:val="0"/>
        </w:rPr>
        <w:tab/>
        <w:t xml:space="preserve">to undergo an assessment of drug impairment if </w:t>
      </w:r>
      <w:r>
        <w:t>a police officer</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80"/>
      </w:pPr>
      <w:r>
        <w:tab/>
        <w:t>(2)</w:t>
      </w:r>
      <w:r>
        <w:tab/>
        <w:t>Where a police officer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80"/>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keepNext/>
      </w:pPr>
      <w:r>
        <w:tab/>
        <w:t>(d)</w:t>
      </w:r>
      <w:r>
        <w:tab/>
        <w:t>that the person was at that time impaired by something, other than alcohol alone, affecting the person’s capacity to drive a motor vehicle,</w:t>
      </w:r>
    </w:p>
    <w:p>
      <w:pPr>
        <w:pStyle w:val="Subsection"/>
      </w:pPr>
      <w:r>
        <w:rPr>
          <w:snapToGrid w:val="0"/>
        </w:rPr>
        <w:tab/>
      </w:r>
      <w:r>
        <w:rPr>
          <w:snapToGrid w:val="0"/>
        </w:rPr>
        <w:tab/>
        <w:t xml:space="preserve">a </w:t>
      </w:r>
      <w:r>
        <w:t>police officer</w:t>
      </w:r>
      <w:r>
        <w:rPr>
          <w:snapToGrid w:val="0"/>
        </w:rPr>
        <w:t xml:space="preserv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police officer</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police officer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 xml:space="preserve">A person who is required to undergo a driver assessment shall comply with that requirement by undergoing the assessment in accordance with the directions of a </w:t>
      </w:r>
      <w:r>
        <w:t>police officer</w:t>
      </w:r>
      <w:r>
        <w:rPr>
          <w:snapToGrid w:val="0"/>
        </w:rPr>
        <w:t>.</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w:t>
      </w:r>
      <w:r>
        <w:t>police officer</w:t>
      </w:r>
      <w:r>
        <w:rPr>
          <w:snapToGrid w:val="0"/>
        </w:rPr>
        <w:t xml:space="preserv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w:t>
      </w:r>
      <w:r>
        <w:t>police officer</w:t>
      </w:r>
      <w:r>
        <w:rPr>
          <w:bCs/>
        </w:rPr>
        <w:t xml:space="preserve"> in accordance with regulations prescribing the procedure for assessing </w:t>
      </w:r>
      <w:r>
        <w:rPr>
          <w:snapToGrid w:val="0"/>
        </w:rPr>
        <w:t>drug impairment.</w:t>
      </w:r>
    </w:p>
    <w:p>
      <w:pPr>
        <w:pStyle w:val="Footnotesection"/>
        <w:ind w:left="890" w:hanging="890"/>
      </w:pPr>
      <w:r>
        <w:tab/>
        <w:t>[Section 66A inserted by No. 6 of 2007 s. 9; amended by No. 8 of 2012 s. 37; No. 25 of 2016 s. 48.]</w:t>
      </w:r>
    </w:p>
    <w:p>
      <w:pPr>
        <w:pStyle w:val="Heading5"/>
        <w:spacing w:before="180"/>
      </w:pPr>
      <w:bookmarkStart w:id="62" w:name="_Toc472087086"/>
      <w:r>
        <w:rPr>
          <w:rStyle w:val="CharSectno"/>
        </w:rPr>
        <w:t>66B</w:t>
      </w:r>
      <w:r>
        <w:t>.</w:t>
      </w:r>
      <w:r>
        <w:tab/>
        <w:t>Blood or urine sample for drug analysis, police powers to require etc.</w:t>
      </w:r>
      <w:bookmarkEnd w:id="62"/>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w:t>
      </w:r>
      <w:r>
        <w:t>police officer</w:t>
      </w:r>
      <w:r>
        <w:rPr>
          <w:snapToGrid w:val="0"/>
        </w:rPr>
        <w:t xml:space="preserv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 xml:space="preserve">a </w:t>
      </w:r>
      <w:r>
        <w:t>police officer</w:t>
      </w:r>
      <w:r>
        <w:rPr>
          <w:snapToGrid w:val="0"/>
        </w:rPr>
        <w:t xml:space="preserve"> might require a person to undergo a driver assessment but is precluded from doing so by section 66A(6)(b),</w:t>
      </w:r>
    </w:p>
    <w:p>
      <w:pPr>
        <w:pStyle w:val="Subsection"/>
        <w:rPr>
          <w:snapToGrid w:val="0"/>
        </w:rPr>
      </w:pPr>
      <w:r>
        <w:rPr>
          <w:snapToGrid w:val="0"/>
        </w:rPr>
        <w:tab/>
      </w:r>
      <w:r>
        <w:rPr>
          <w:snapToGrid w:val="0"/>
        </w:rPr>
        <w:tab/>
        <w:t xml:space="preserve">a </w:t>
      </w:r>
      <w:r>
        <w:t>police officer</w:t>
      </w:r>
      <w:r>
        <w:rPr>
          <w:snapToGrid w:val="0"/>
        </w:rPr>
        <w:t xml:space="preserv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w:t>
      </w:r>
      <w:r>
        <w:t>police officer</w:t>
      </w:r>
      <w:r>
        <w:rPr>
          <w:snapToGrid w:val="0"/>
        </w:rPr>
        <w:t xml:space="preserve">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w:t>
      </w:r>
      <w:r>
        <w:t>nominated by the police officer</w:t>
      </w:r>
      <w:r>
        <w:rPr>
          <w:snapToGrid w:val="0"/>
        </w:rPr>
        <w:t xml:space="preserve">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spacing w:before="120"/>
        <w:rPr>
          <w:snapToGrid w:val="0"/>
        </w:rPr>
      </w:pPr>
      <w:r>
        <w:rPr>
          <w:snapToGrid w:val="0"/>
        </w:rPr>
        <w:tab/>
        <w:t>(2)</w:t>
      </w:r>
      <w:r>
        <w:rPr>
          <w:snapToGrid w:val="0"/>
        </w:rPr>
        <w:tab/>
        <w:t xml:space="preserve">Where a person is incapable of complying with a requirement under subsection (1)(d), a </w:t>
      </w:r>
      <w:r>
        <w:t>police officer</w:t>
      </w:r>
      <w:r>
        <w:rPr>
          <w:snapToGrid w:val="0"/>
        </w:rPr>
        <w:t xml:space="preserve"> may cause a medical practitioner or</w:t>
      </w:r>
      <w:r>
        <w:t xml:space="preserve"> registered nurse</w:t>
      </w:r>
      <w:r>
        <w:rPr>
          <w:snapToGrid w:val="0"/>
        </w:rPr>
        <w:t xml:space="preserve"> to take a sample of the person’s blood for analysis.</w:t>
      </w:r>
    </w:p>
    <w:p>
      <w:pPr>
        <w:pStyle w:val="Subsection"/>
        <w:spacing w:before="120"/>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spacing w:before="120"/>
        <w:rPr>
          <w:snapToGrid w:val="0"/>
        </w:rPr>
      </w:pPr>
      <w:r>
        <w:rPr>
          <w:snapToGrid w:val="0"/>
        </w:rPr>
        <w:tab/>
        <w:t>(4)</w:t>
      </w:r>
      <w:r>
        <w:rPr>
          <w:snapToGrid w:val="0"/>
        </w:rPr>
        <w:tab/>
        <w:t xml:space="preserve">A </w:t>
      </w:r>
      <w:r>
        <w:t>person</w:t>
      </w:r>
      <w:r>
        <w:rPr>
          <w:snapToGrid w:val="0"/>
        </w:rPr>
        <w:t xml:space="preserve"> shall not be required — </w:t>
      </w:r>
    </w:p>
    <w:p>
      <w:pPr>
        <w:pStyle w:val="Indenta"/>
        <w:spacing w:before="60"/>
      </w:pPr>
      <w:r>
        <w:tab/>
        <w:t>(a)</w:t>
      </w:r>
      <w:r>
        <w:tab/>
        <w:t xml:space="preserve">to allow a medical practitioner or registered nurse to take a sample of </w:t>
      </w:r>
      <w:r>
        <w:rPr>
          <w:snapToGrid w:val="0"/>
        </w:rPr>
        <w:t>the person’s blood</w:t>
      </w:r>
      <w:r>
        <w:t>; or</w:t>
      </w:r>
    </w:p>
    <w:p>
      <w:pPr>
        <w:pStyle w:val="Indenta"/>
        <w:spacing w:before="60"/>
      </w:pPr>
      <w:r>
        <w:tab/>
        <w:t>(b)</w:t>
      </w:r>
      <w:r>
        <w:tab/>
        <w:t xml:space="preserve">to provide a medical practitioner or registered nurse with a sample of </w:t>
      </w:r>
      <w:r>
        <w:rPr>
          <w:snapToGrid w:val="0"/>
        </w:rPr>
        <w:t>the person’s urine</w:t>
      </w:r>
      <w:r>
        <w:t>,</w:t>
      </w:r>
    </w:p>
    <w:p>
      <w:pPr>
        <w:pStyle w:val="Subsection"/>
        <w:spacing w:before="120"/>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by No. 6 of 2007 s. 9; amended by </w:t>
      </w:r>
      <w:r>
        <w:rPr>
          <w:spacing w:val="-4"/>
        </w:rPr>
        <w:t>No. 51 of 2010 s. </w:t>
      </w:r>
      <w:r>
        <w:t>8; No. 8 of 2012 s. 37.]</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keepNext w:val="0"/>
        <w:keepLines w:val="0"/>
        <w:spacing w:before="180"/>
      </w:pPr>
      <w:bookmarkStart w:id="63" w:name="_Toc472087087"/>
      <w:r>
        <w:rPr>
          <w:rStyle w:val="CharSectno"/>
        </w:rPr>
        <w:t>66C</w:t>
      </w:r>
      <w:r>
        <w:t>.</w:t>
      </w:r>
      <w:r>
        <w:tab/>
        <w:t>P</w:t>
      </w:r>
      <w:r>
        <w:rPr>
          <w:snapToGrid w:val="0"/>
        </w:rPr>
        <w:t>reliminary oral fluid test, police powers to require etc.</w:t>
      </w:r>
      <w:bookmarkEnd w:id="63"/>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undergo a preliminary oral fluid test.</w:t>
      </w:r>
    </w:p>
    <w:p>
      <w:pPr>
        <w:pStyle w:val="Subsection"/>
        <w:keepNext/>
        <w:rPr>
          <w:snapToGrid w:val="0"/>
        </w:rPr>
      </w:pPr>
      <w:r>
        <w:rPr>
          <w:snapToGrid w:val="0"/>
        </w:rPr>
        <w:tab/>
        <w:t>(2)</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t>call upon the driver of a motor vehicle to stop the vehicle;</w:t>
      </w:r>
    </w:p>
    <w:p>
      <w:pPr>
        <w:pStyle w:val="Indenta"/>
        <w:keepNext/>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 xml:space="preserve">Where a </w:t>
      </w:r>
      <w:r>
        <w:t>police officer</w:t>
      </w:r>
      <w:r>
        <w:rPr>
          <w:snapToGrid w:val="0"/>
        </w:rPr>
        <w:t xml:space="preserv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police officer</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police officer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 xml:space="preserve">A person who is required to undergo a preliminary oral fluid test shall comply with that requirement by undergoing the test in accordance with the directions of a </w:t>
      </w:r>
      <w:r>
        <w:t>police officer</w:t>
      </w:r>
      <w:r>
        <w:rPr>
          <w:snapToGrid w:val="0"/>
        </w:rPr>
        <w:t>.</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w:t>
      </w:r>
      <w:r>
        <w:t>police officer</w:t>
      </w:r>
      <w:r>
        <w:rPr>
          <w:bCs/>
        </w:rPr>
        <w:t xml:space="preserve"> in accordance with regulations prescribing the procedure for those tests</w:t>
      </w:r>
      <w:r>
        <w:rPr>
          <w:snapToGrid w:val="0"/>
        </w:rPr>
        <w:t>.</w:t>
      </w:r>
    </w:p>
    <w:p>
      <w:pPr>
        <w:pStyle w:val="Footnotesection"/>
      </w:pPr>
      <w:r>
        <w:tab/>
        <w:t>[Section 66C inserted by No. 6 of 2007 s. 9; amended by No. 8 of 2012 s. 37.]</w:t>
      </w:r>
    </w:p>
    <w:p>
      <w:pPr>
        <w:pStyle w:val="Heading5"/>
        <w:keepNext w:val="0"/>
        <w:keepLines w:val="0"/>
        <w:pageBreakBefore/>
        <w:spacing w:before="0"/>
      </w:pPr>
      <w:bookmarkStart w:id="64" w:name="_Toc472087088"/>
      <w:r>
        <w:rPr>
          <w:rStyle w:val="CharSectno"/>
        </w:rPr>
        <w:t>66D</w:t>
      </w:r>
      <w:r>
        <w:t>.</w:t>
      </w:r>
      <w:r>
        <w:tab/>
        <w:t>Oral fluid sample, police powers to require etc.</w:t>
      </w:r>
      <w:bookmarkEnd w:id="64"/>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w:t>
      </w:r>
      <w:r>
        <w:t>police officer</w:t>
      </w:r>
      <w:r>
        <w:rPr>
          <w:snapToGrid w:val="0"/>
        </w:rPr>
        <w:t xml:space="preserv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widowControl w:val="0"/>
        <w:rPr>
          <w:snapToGrid w:val="0"/>
        </w:rPr>
      </w:pPr>
      <w:r>
        <w:rPr>
          <w:snapToGrid w:val="0"/>
        </w:rPr>
        <w:tab/>
      </w:r>
      <w:r>
        <w:rPr>
          <w:snapToGrid w:val="0"/>
        </w:rPr>
        <w:tab/>
        <w:t xml:space="preserve">a </w:t>
      </w:r>
      <w:r>
        <w:t>police officer</w:t>
      </w:r>
      <w:r>
        <w:rPr>
          <w:snapToGrid w:val="0"/>
        </w:rPr>
        <w:t xml:space="preserve"> may require the person to provide a sample of the person’s oral fluid for drug testing,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w:t>
      </w:r>
      <w:r>
        <w:t>police officer</w:t>
      </w:r>
      <w:r>
        <w:rPr>
          <w:snapToGrid w:val="0"/>
        </w:rPr>
        <w:t xml:space="preserv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by No. 6 of 2007 s. 9; amended by No. 8 of 2012 s. 37.]</w:t>
      </w:r>
    </w:p>
    <w:p>
      <w:pPr>
        <w:pStyle w:val="Footnotesection"/>
        <w:ind w:left="890" w:hanging="890"/>
      </w:pPr>
      <w:r>
        <w:tab/>
        <w:t>[Section 66D. Modifications to be applied in order to give effect to Cross</w:t>
      </w:r>
      <w:r>
        <w:noBreakHyphen/>
        <w:t>border Justice Act 2008: section altered 1 Nov 2009. See endnote 1M.]</w:t>
      </w:r>
    </w:p>
    <w:p>
      <w:pPr>
        <w:pStyle w:val="Heading5"/>
      </w:pPr>
      <w:bookmarkStart w:id="65" w:name="_Toc472087089"/>
      <w:r>
        <w:rPr>
          <w:rStyle w:val="CharSectno"/>
        </w:rPr>
        <w:t>66E</w:t>
      </w:r>
      <w:r>
        <w:t>.</w:t>
      </w:r>
      <w:r>
        <w:tab/>
        <w:t>Blood sample instead of oral fluid sample, police powers to require etc.</w:t>
      </w:r>
      <w:bookmarkEnd w:id="65"/>
    </w:p>
    <w:p>
      <w:pPr>
        <w:pStyle w:val="Subsection"/>
        <w:rPr>
          <w:snapToGrid w:val="0"/>
        </w:rPr>
      </w:pPr>
      <w:r>
        <w:rPr>
          <w:snapToGrid w:val="0"/>
        </w:rPr>
        <w:tab/>
        <w:t>(1)</w:t>
      </w:r>
      <w:r>
        <w:rPr>
          <w:snapToGrid w:val="0"/>
        </w:rPr>
        <w:tab/>
      </w:r>
      <w:r>
        <w:t>Where</w:t>
      </w:r>
      <w:r>
        <w:rPr>
          <w:snapToGrid w:val="0"/>
        </w:rPr>
        <w:t xml:space="preserve"> a </w:t>
      </w:r>
      <w:r>
        <w:t>police officer</w:t>
      </w:r>
      <w:r>
        <w:rPr>
          <w:snapToGrid w:val="0"/>
        </w:rPr>
        <w:t xml:space="preserve"> might, under section 66D(1), require a person to provide a sample of oral fluid for drug testing but is precluded from doing so by section 66D(3)(b), a </w:t>
      </w:r>
      <w:r>
        <w:t>police officer</w:t>
      </w:r>
      <w:r>
        <w:rPr>
          <w:snapToGrid w:val="0"/>
        </w:rPr>
        <w:t xml:space="preserve"> may require the person to allow a medical </w:t>
      </w:r>
      <w:r>
        <w:t>practitioner or registered nurse</w:t>
      </w:r>
      <w:r>
        <w:rPr>
          <w:snapToGrid w:val="0"/>
        </w:rPr>
        <w:t xml:space="preserve"> </w:t>
      </w:r>
      <w:r>
        <w:t>nominated by the police officer</w:t>
      </w:r>
      <w:r>
        <w:rPr>
          <w:snapToGrid w:val="0"/>
        </w:rPr>
        <w:t xml:space="preserve"> to take a sample of the person’s blood for analysis,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 xml:space="preserve">Where a person is incapable of complying with a requirement under subsection (1), a </w:t>
      </w:r>
      <w:r>
        <w:t>police officer</w:t>
      </w:r>
      <w:r>
        <w:rPr>
          <w:snapToGrid w:val="0"/>
        </w:rPr>
        <w:t xml:space="preserv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by No. 6 of 2007 s. 9; amended by </w:t>
      </w:r>
      <w:r>
        <w:rPr>
          <w:spacing w:val="-4"/>
        </w:rPr>
        <w:t>No. 51 of 2010 s. </w:t>
      </w:r>
      <w:r>
        <w:t>9; No. 8 of 2012 s. 37.]</w:t>
      </w:r>
    </w:p>
    <w:p>
      <w:pPr>
        <w:pStyle w:val="Footnotesection"/>
        <w:ind w:left="890" w:hanging="890"/>
      </w:pPr>
      <w:r>
        <w:tab/>
        <w:t>[Section 66E. Modifications to be applied in order to give effect to Cross</w:t>
      </w:r>
      <w:r>
        <w:noBreakHyphen/>
        <w:t>border Justice Act 2008: section altered 1 Nov 2009. See endnote 1M.]</w:t>
      </w:r>
    </w:p>
    <w:p>
      <w:pPr>
        <w:pStyle w:val="Heading5"/>
        <w:spacing w:before="180"/>
      </w:pPr>
      <w:bookmarkStart w:id="66" w:name="_Toc472087090"/>
      <w:r>
        <w:rPr>
          <w:rStyle w:val="CharSectno"/>
        </w:rPr>
        <w:t>66F</w:t>
      </w:r>
      <w:r>
        <w:t>.</w:t>
      </w:r>
      <w:r>
        <w:tab/>
        <w:t>M</w:t>
      </w:r>
      <w:r>
        <w:rPr>
          <w:snapToGrid w:val="0"/>
        </w:rPr>
        <w:t>edical practitioners and</w:t>
      </w:r>
      <w:r>
        <w:t xml:space="preserve"> registered nurses</w:t>
      </w:r>
      <w:r>
        <w:rPr>
          <w:snapToGrid w:val="0"/>
        </w:rPr>
        <w:t xml:space="preserve"> authorised to take blood samples for s. 66, 66B and 66E etc.</w:t>
      </w:r>
      <w:bookmarkEnd w:id="66"/>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w:t>
      </w:r>
      <w:r>
        <w:t>police officer</w:t>
      </w:r>
      <w:r>
        <w:rPr>
          <w:snapToGrid w:val="0"/>
        </w:rPr>
        <w:t xml:space="preserv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w:t>
      </w:r>
      <w:r>
        <w:t>police officer</w:t>
      </w:r>
      <w:r>
        <w:rPr>
          <w:snapToGrid w:val="0"/>
        </w:rPr>
        <w:t xml:space="preserv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 amended by No. 8 of 2012 s. 37.]</w:t>
      </w:r>
    </w:p>
    <w:p>
      <w:pPr>
        <w:pStyle w:val="Heading5"/>
        <w:spacing w:before="180"/>
        <w:rPr>
          <w:snapToGrid w:val="0"/>
        </w:rPr>
      </w:pPr>
      <w:bookmarkStart w:id="67" w:name="_Toc472087091"/>
      <w:r>
        <w:rPr>
          <w:rStyle w:val="CharSectno"/>
        </w:rPr>
        <w:t>67</w:t>
      </w:r>
      <w:r>
        <w:rPr>
          <w:snapToGrid w:val="0"/>
        </w:rPr>
        <w:t>.</w:t>
      </w:r>
      <w:r>
        <w:rPr>
          <w:snapToGrid w:val="0"/>
        </w:rPr>
        <w:tab/>
        <w:t>Failure to comply with s. 66 requirement to provide sample, allow sample to be taken or to accompany police officer</w:t>
      </w:r>
      <w:bookmarkEnd w:id="67"/>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w:t>
      </w:r>
      <w:r>
        <w:t>police officer</w:t>
      </w:r>
      <w:r>
        <w:rPr>
          <w:snapToGrid w:val="0"/>
        </w:rPr>
        <w:t xml:space="preserve"> made pursuant to section 66.</w:t>
      </w:r>
    </w:p>
    <w:p>
      <w:pPr>
        <w:pStyle w:val="Subsection"/>
        <w:rPr>
          <w:snapToGrid w:val="0"/>
        </w:rPr>
      </w:pPr>
      <w:r>
        <w:rPr>
          <w:snapToGrid w:val="0"/>
        </w:rPr>
        <w:tab/>
        <w:t>(2)</w:t>
      </w:r>
      <w:r>
        <w:rPr>
          <w:snapToGrid w:val="0"/>
        </w:rPr>
        <w:tab/>
        <w:t xml:space="preserve">A </w:t>
      </w:r>
      <w:r>
        <w:t xml:space="preserve">person, other than a person to whom section 68A(3) applies, </w:t>
      </w:r>
      <w:r>
        <w:rPr>
          <w:snapToGrid w:val="0"/>
        </w:rPr>
        <w:t>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w:t>
      </w:r>
      <w:r>
        <w:t xml:space="preserve"> analysis; or</w:t>
      </w:r>
    </w:p>
    <w:p>
      <w:pPr>
        <w:pStyle w:val="Indenta"/>
      </w:pPr>
      <w:r>
        <w:tab/>
        <w:t>(d)</w:t>
      </w:r>
      <w:r>
        <w:tab/>
        <w:t>to accompany a police officer to a police station or some other place, and to wait at that place,</w:t>
      </w:r>
    </w:p>
    <w:p>
      <w:pPr>
        <w:pStyle w:val="Subsection"/>
        <w:rPr>
          <w:snapToGrid w:val="0"/>
        </w:rPr>
      </w:pPr>
      <w:r>
        <w:rPr>
          <w:snapToGrid w:val="0"/>
        </w:rPr>
        <w:tab/>
      </w:r>
      <w:r>
        <w:rPr>
          <w:snapToGrid w:val="0"/>
        </w:rPr>
        <w:tab/>
        <w:t xml:space="preserve">commits an </w:t>
      </w:r>
      <w:r>
        <w:t>offence, and the offender may be arrested without warrant.</w:t>
      </w:r>
    </w:p>
    <w:p>
      <w:pPr>
        <w:pStyle w:val="Subsection"/>
        <w:keepNext/>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 g of alcohol per 100 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 g of alcohol per 100 ml of blood;</w:t>
      </w:r>
    </w:p>
    <w:p>
      <w:pPr>
        <w:pStyle w:val="Indenti"/>
      </w:pPr>
      <w:r>
        <w:tab/>
        <w:t>(ii)</w:t>
      </w:r>
      <w:r>
        <w:tab/>
        <w:t>in any other case, to a fine of not less than 18 PU or more than 50 PU; and, in any event, the court convicting that person shall order that the person be disqualified from holding or obtaining a driver’s licence for a period of not less than 10 months;</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that person shall order that he be disqualified from holding or obtaining a driver’s licence for a period of not less than</w:t>
      </w:r>
      <w:r>
        <w:t xml:space="preserve"> 30 months;</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police officer —</w:t>
      </w:r>
    </w:p>
    <w:p>
      <w:pPr>
        <w:pStyle w:val="Indenta"/>
      </w:pPr>
      <w:r>
        <w:tab/>
        <w:t>(a)</w:t>
      </w:r>
      <w:r>
        <w:tab/>
        <w:t>advises the person concerned that the police officer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in a case in which the incident does not occasion the death of another person: imprisonment for 18 months or a fine of 160 PU and in any event the court convicting the person shall order that he be disqualified from holding or obtaining a driver’s licence for a period of not less than 18 months.</w:t>
      </w:r>
    </w:p>
    <w:p>
      <w:pPr>
        <w:pStyle w:val="Subsection"/>
      </w:pPr>
      <w:r>
        <w:tab/>
        <w:t>(3B)</w:t>
      </w:r>
      <w:r>
        <w:tab/>
        <w:t xml:space="preserve">For an offence against this section that was committed before the day on which the </w:t>
      </w:r>
      <w:r>
        <w:rPr>
          <w:i/>
          <w:snapToGrid w:val="0"/>
        </w:rPr>
        <w:t>Manslaughter Legislation Amendment Act 2011</w:t>
      </w:r>
      <w:r>
        <w:t xml:space="preserve"> section 7(1) came into operation</w:t>
      </w:r>
      <w:r>
        <w:rPr>
          <w:vertAlign w:val="superscript"/>
        </w:rPr>
        <w:t> 1</w:t>
      </w:r>
      <w:r>
        <w:t xml:space="preserve"> amending subsection (3a), subsection (3a) applies as if that amendment had not been made.</w:t>
      </w:r>
    </w:p>
    <w:p>
      <w:pPr>
        <w:pStyle w:val="Subsection"/>
        <w:keepLines/>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 No. 51 of 2010 s. 10; No. 14 of 2011 s. 13; No. 58 of 2011 s. 7; No. 8 of 2012 s. 37; No. 25 of 2016 s. 10; No. 25 of 2016 s. 49.]</w:t>
      </w:r>
    </w:p>
    <w:p>
      <w:pPr>
        <w:pStyle w:val="Heading5"/>
        <w:spacing w:before="180"/>
        <w:rPr>
          <w:snapToGrid w:val="0"/>
        </w:rPr>
      </w:pPr>
      <w:bookmarkStart w:id="68" w:name="_Toc472087092"/>
      <w:r>
        <w:rPr>
          <w:rStyle w:val="CharSectno"/>
        </w:rPr>
        <w:t>67AA</w:t>
      </w:r>
      <w:r>
        <w:rPr>
          <w:snapToGrid w:val="0"/>
        </w:rPr>
        <w:t>.</w:t>
      </w:r>
      <w:r>
        <w:rPr>
          <w:snapToGrid w:val="0"/>
        </w:rPr>
        <w:tab/>
        <w:t>Failure to comply with s. 66A or 66B requirement to do driver assessment or provide blood or urine sample</w:t>
      </w:r>
      <w:bookmarkEnd w:id="68"/>
    </w:p>
    <w:p>
      <w:pPr>
        <w:pStyle w:val="Subsection"/>
        <w:spacing w:before="120"/>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police officer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spacing w:before="120"/>
        <w:rPr>
          <w:snapToGrid w:val="0"/>
        </w:rPr>
      </w:pPr>
      <w:r>
        <w:rPr>
          <w:snapToGrid w:val="0"/>
        </w:rPr>
        <w:tab/>
      </w:r>
      <w:r>
        <w:rPr>
          <w:snapToGrid w:val="0"/>
        </w:rPr>
        <w:tab/>
        <w:t>commits an offence.</w:t>
      </w:r>
    </w:p>
    <w:p>
      <w:pPr>
        <w:pStyle w:val="Subsection"/>
        <w:spacing w:before="120"/>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not less than </w:t>
      </w:r>
      <w:r>
        <w:t>18 PU</w:t>
      </w:r>
      <w:r>
        <w:rPr>
          <w:snapToGrid w:val="0"/>
        </w:rPr>
        <w:t xml:space="preserve"> or more than 50 PU; and, in any event, the court convicting the person shall order that the person be disqualified from holding or obtaining a driver’s licence for a period of not less than </w:t>
      </w:r>
      <w:r>
        <w:t>10 months; and</w:t>
      </w:r>
    </w:p>
    <w:p>
      <w:pPr>
        <w:pStyle w:val="Indenta"/>
        <w:rPr>
          <w:snapToGrid w:val="0"/>
        </w:rPr>
      </w:pPr>
      <w:r>
        <w:rPr>
          <w:snapToGrid w:val="0"/>
        </w:rPr>
        <w:tab/>
        <w:t>(b)</w:t>
      </w:r>
      <w:r>
        <w:rPr>
          <w:snapToGrid w:val="0"/>
        </w:rPr>
        <w:tab/>
        <w:t xml:space="preserve">for a second offence, to a fine of not less than </w:t>
      </w:r>
      <w:r>
        <w:t>42 PU</w:t>
      </w:r>
      <w:r>
        <w:rPr>
          <w:snapToGrid w:val="0"/>
        </w:rPr>
        <w:t xml:space="preserve"> or more than 70 PU or to imprisonment for 9 months; and, in any event, the court convicting the person shall order that the person be disqualified from holding or obtaining a driver’s licence for a period of not less than </w:t>
      </w:r>
      <w:r>
        <w:t>30 months; and</w:t>
      </w:r>
    </w:p>
    <w:p>
      <w:pPr>
        <w:pStyle w:val="Indenta"/>
        <w:rPr>
          <w:snapToGrid w:val="0"/>
        </w:rPr>
      </w:pPr>
      <w:r>
        <w:rPr>
          <w:snapToGrid w:val="0"/>
        </w:rPr>
        <w:tab/>
        <w:t>(c)</w:t>
      </w:r>
      <w:r>
        <w:rPr>
          <w:snapToGrid w:val="0"/>
        </w:rPr>
        <w:tab/>
        <w:t xml:space="preserve">for any subsequent offence, to a fine of not less than </w:t>
      </w:r>
      <w:r>
        <w:t>42 PU</w:t>
      </w:r>
      <w:r>
        <w:rPr>
          <w:snapToGrid w:val="0"/>
        </w:rPr>
        <w:t xml:space="preserve">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keepLines/>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 amended by No. 14 of 2011 s. 14; No. 8 of 2012 s. 37.]</w:t>
      </w:r>
    </w:p>
    <w:p>
      <w:pPr>
        <w:pStyle w:val="Heading5"/>
        <w:rPr>
          <w:snapToGrid w:val="0"/>
        </w:rPr>
      </w:pPr>
      <w:bookmarkStart w:id="69" w:name="_Toc472087093"/>
      <w:r>
        <w:rPr>
          <w:rStyle w:val="CharSectno"/>
        </w:rPr>
        <w:t>67AB</w:t>
      </w:r>
      <w:r>
        <w:rPr>
          <w:snapToGrid w:val="0"/>
        </w:rPr>
        <w:t>.</w:t>
      </w:r>
      <w:r>
        <w:rPr>
          <w:snapToGrid w:val="0"/>
        </w:rPr>
        <w:tab/>
        <w:t>Failure to comply with s. 66D or 66E requirement to provide oral fluid or blood sample</w:t>
      </w:r>
      <w:bookmarkEnd w:id="69"/>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police officer made under section 66D or 66E.</w:t>
      </w:r>
    </w:p>
    <w:p>
      <w:pPr>
        <w:pStyle w:val="Subsection"/>
        <w:rPr>
          <w:snapToGrid w:val="0"/>
        </w:rPr>
      </w:pPr>
      <w:r>
        <w:rPr>
          <w:snapToGrid w:val="0"/>
        </w:rPr>
        <w:tab/>
        <w:t>(2)</w:t>
      </w:r>
      <w:r>
        <w:rPr>
          <w:snapToGrid w:val="0"/>
        </w:rPr>
        <w:tab/>
        <w:t xml:space="preserve">A </w:t>
      </w:r>
      <w:r>
        <w:t xml:space="preserve">person, other than a person to whom section 68A(3) applies, </w:t>
      </w:r>
      <w:r>
        <w:rPr>
          <w:snapToGrid w:val="0"/>
        </w:rPr>
        <w:t xml:space="preserve">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10 PU; and</w:t>
      </w:r>
    </w:p>
    <w:p>
      <w:pPr>
        <w:pStyle w:val="Indenta"/>
      </w:pPr>
      <w:r>
        <w:tab/>
        <w:t>(b)</w:t>
      </w:r>
      <w:r>
        <w:tab/>
        <w:t>for a second or subsequent offence, to a fine of not less than 10 PU or more than 20 PU; and, in any event, the court convicting the person shall order that the person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vertAlign w:val="superscript"/>
        </w:rPr>
        <w:t xml:space="preserve"> 1 </w:t>
      </w:r>
      <w:r>
        <w:t>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 amended by No. 14 of 2011 s. 15; No. 8 of 2012 s. 37; No. 25 of 2016 s. 50.]</w:t>
      </w:r>
    </w:p>
    <w:p>
      <w:pPr>
        <w:pStyle w:val="Heading5"/>
        <w:rPr>
          <w:snapToGrid w:val="0"/>
        </w:rPr>
      </w:pPr>
      <w:bookmarkStart w:id="70" w:name="_Toc472087094"/>
      <w:r>
        <w:rPr>
          <w:rStyle w:val="CharSectno"/>
        </w:rPr>
        <w:t>67A</w:t>
      </w:r>
      <w:r>
        <w:rPr>
          <w:snapToGrid w:val="0"/>
        </w:rPr>
        <w:t>.</w:t>
      </w:r>
      <w:r>
        <w:rPr>
          <w:snapToGrid w:val="0"/>
        </w:rPr>
        <w:tab/>
        <w:t>Failure to comply with other requirements of police officer</w:t>
      </w:r>
      <w:bookmarkEnd w:id="70"/>
    </w:p>
    <w:p>
      <w:pPr>
        <w:pStyle w:val="Subsection"/>
        <w:rPr>
          <w:snapToGrid w:val="0"/>
        </w:rPr>
      </w:pPr>
      <w:r>
        <w:rPr>
          <w:snapToGrid w:val="0"/>
        </w:rPr>
        <w:tab/>
        <w:t>(1)</w:t>
      </w:r>
      <w:r>
        <w:rPr>
          <w:snapToGrid w:val="0"/>
        </w:rPr>
        <w:tab/>
        <w:t xml:space="preserve">Subject to subsection (2), a </w:t>
      </w:r>
      <w:r>
        <w:t xml:space="preserve">person, other than a person to whom section 68A(3) applies, </w:t>
      </w:r>
      <w:r>
        <w:rPr>
          <w:snapToGrid w:val="0"/>
        </w:rPr>
        <w:t xml:space="preserve">who fails to comply with any requirement of a </w:t>
      </w:r>
      <w:r>
        <w:t>police officer</w:t>
      </w:r>
      <w:r>
        <w:rPr>
          <w:snapToGrid w:val="0"/>
        </w:rPr>
        <w:t xml:space="preserv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by No. 82 of 1982 s. 16; amended by No. 121 of 1987 s. 7; No. 11 of 1988 s. 24; No. 50 of 1997 s. 13; No. 39 of 2000 s. 36; No. 84 of 2004 s. 82; No. 54 of 2006 s. 19; No. 6 of 2007 s. 11; No. 8 of 2012 s. 37; No. 25 of 2016 s. 51.]</w:t>
      </w:r>
    </w:p>
    <w:p>
      <w:pPr>
        <w:pStyle w:val="Heading5"/>
      </w:pPr>
      <w:bookmarkStart w:id="71" w:name="_Toc472087095"/>
      <w:r>
        <w:rPr>
          <w:rStyle w:val="CharSectno"/>
        </w:rPr>
        <w:t>68A</w:t>
      </w:r>
      <w:r>
        <w:t>.</w:t>
      </w:r>
      <w:r>
        <w:tab/>
        <w:t>Failure to comply with s. 66, 66C, 66D or 66E requirement: instructors</w:t>
      </w:r>
      <w:bookmarkEnd w:id="71"/>
    </w:p>
    <w:p>
      <w:pPr>
        <w:pStyle w:val="Subsection"/>
      </w:pPr>
      <w:r>
        <w:tab/>
        <w:t>(1)</w:t>
      </w:r>
      <w:r>
        <w:tab/>
        <w:t xml:space="preserve">In this section — </w:t>
      </w:r>
    </w:p>
    <w:p>
      <w:pPr>
        <w:pStyle w:val="Defstart"/>
      </w:pPr>
      <w:r>
        <w:tab/>
      </w:r>
      <w:r>
        <w:rPr>
          <w:rStyle w:val="CharDefText"/>
        </w:rPr>
        <w:t>requirement</w:t>
      </w:r>
      <w:r>
        <w:t xml:space="preserve"> means a requirement of a police officer made under section 66, 66C, 66D or 66E.</w:t>
      </w:r>
    </w:p>
    <w:p>
      <w:pPr>
        <w:pStyle w:val="Subsection"/>
      </w:pPr>
      <w:r>
        <w:tab/>
        <w:t>(2)</w:t>
      </w:r>
      <w:r>
        <w:tab/>
        <w:t xml:space="preserve">Subsection (3) applies to a person of whom a requirement was made on the basis that the person was, or that there were reasonable grounds to believe that the person was, an instructor providing driving instruction to a learner driver. </w:t>
      </w:r>
    </w:p>
    <w:p>
      <w:pPr>
        <w:pStyle w:val="Subsection"/>
      </w:pPr>
      <w:r>
        <w:tab/>
        <w:t>(3)</w:t>
      </w:r>
      <w:r>
        <w:tab/>
        <w:t>A person to whom this subsection applies who fails to comply with a requirement commits an offence.</w:t>
      </w:r>
    </w:p>
    <w:p>
      <w:pPr>
        <w:pStyle w:val="Subsection"/>
      </w:pPr>
      <w:r>
        <w:tab/>
        <w:t>(4)</w:t>
      </w:r>
      <w:r>
        <w:tab/>
        <w:t>A person convicted of an offence against this section is liable to a fine of 20 PU.</w:t>
      </w:r>
    </w:p>
    <w:p>
      <w:pPr>
        <w:pStyle w:val="Subsection"/>
      </w:pPr>
      <w:r>
        <w:tab/>
        <w:t>(5)</w:t>
      </w:r>
      <w:r>
        <w:tab/>
        <w:t>It is a defence to a prosecution for an offence against this section if the accused satisfies the court that there was some substantial reason for the accused’s failure to comply other than a desire to avoid providing information that might be used as evidence.</w:t>
      </w:r>
    </w:p>
    <w:p>
      <w:pPr>
        <w:pStyle w:val="Subsection"/>
      </w:pPr>
      <w:r>
        <w:tab/>
        <w:t>(6)</w:t>
      </w:r>
      <w:r>
        <w:tab/>
        <w:t>Without limiting the generality of subsection (5), it is a defence to a prosecution for failing to comply with a requirement under section 66, to provide a urine sample, if the accused satisfies the court that the accused attempted to comply with the requirement.</w:t>
      </w:r>
    </w:p>
    <w:p>
      <w:pPr>
        <w:pStyle w:val="Subsection"/>
      </w:pPr>
      <w:r>
        <w:tab/>
        <w:t>(7)</w:t>
      </w:r>
      <w:r>
        <w:tab/>
        <w:t xml:space="preserve">Without limiting the generality of subsection (5), it is a defence to a prosecution for failing to comply with a requirement to provide a sample of breath for a preliminary test if the accused satisfies the court that the accused complied with a requirement under section 66, to provide a sample of breath for analysis or to allow a sample of blood to be taken for analysis, that arose out of — </w:t>
      </w:r>
    </w:p>
    <w:p>
      <w:pPr>
        <w:pStyle w:val="Indenta"/>
      </w:pPr>
      <w:r>
        <w:tab/>
        <w:t>(a)</w:t>
      </w:r>
      <w:r>
        <w:tab/>
        <w:t>the accused’s failure to comply with the requirement to provide a sample of breath for a preliminary test; or</w:t>
      </w:r>
    </w:p>
    <w:p>
      <w:pPr>
        <w:pStyle w:val="Indenta"/>
      </w:pPr>
      <w:r>
        <w:tab/>
        <w:t>(b)</w:t>
      </w:r>
      <w:r>
        <w:tab/>
        <w:t>the circumstances that gave rise to the requirement to provide a sample of breath for a preliminary test.</w:t>
      </w:r>
    </w:p>
    <w:p>
      <w:pPr>
        <w:pStyle w:val="Footnotesection"/>
      </w:pPr>
      <w:r>
        <w:tab/>
        <w:t>[Section 68A inserted by No. 25 of 2016 s. 52.]</w:t>
      </w:r>
    </w:p>
    <w:p>
      <w:pPr>
        <w:pStyle w:val="Heading5"/>
        <w:rPr>
          <w:snapToGrid w:val="0"/>
        </w:rPr>
      </w:pPr>
      <w:bookmarkStart w:id="72" w:name="_Toc472087096"/>
      <w:r>
        <w:rPr>
          <w:rStyle w:val="CharSectno"/>
        </w:rPr>
        <w:t>68</w:t>
      </w:r>
      <w:r>
        <w:rPr>
          <w:snapToGrid w:val="0"/>
        </w:rPr>
        <w:t>.</w:t>
      </w:r>
      <w:r>
        <w:rPr>
          <w:snapToGrid w:val="0"/>
        </w:rPr>
        <w:tab/>
        <w:t>Breath sample, analysis of etc.</w:t>
      </w:r>
      <w:bookmarkEnd w:id="72"/>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 xml:space="preserve">Subject to subsection (11), if the breath analysing equipment is determined not to be in proper working order a </w:t>
      </w:r>
      <w:r>
        <w:t>police officer</w:t>
      </w:r>
      <w:r>
        <w:rPr>
          <w:snapToGrid w:val="0"/>
        </w:rPr>
        <w:t xml:space="preserv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rPr>
          <w:snapToGrid w:val="0"/>
        </w:rPr>
      </w:pPr>
      <w:r>
        <w:rPr>
          <w:snapToGrid w:val="0"/>
        </w:rPr>
        <w:tab/>
        <w:t>(7)</w:t>
      </w:r>
      <w:r>
        <w:rPr>
          <w:snapToGrid w:val="0"/>
        </w:rPr>
        <w:tab/>
        <w:t xml:space="preserve">Subject to subsection (11), if the breath analysing equipment does not indicate a result in the prescribed manner at the conclusion of the analysis, a </w:t>
      </w:r>
      <w:r>
        <w:t>police officer</w:t>
      </w:r>
      <w:r>
        <w:rPr>
          <w:snapToGrid w:val="0"/>
        </w:rPr>
        <w:t xml:space="preserv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 No. 8 of 2012 s. 37.]</w:t>
      </w:r>
    </w:p>
    <w:p>
      <w:pPr>
        <w:pStyle w:val="Heading5"/>
        <w:rPr>
          <w:snapToGrid w:val="0"/>
        </w:rPr>
      </w:pPr>
      <w:bookmarkStart w:id="73" w:name="_Toc472087097"/>
      <w:r>
        <w:rPr>
          <w:rStyle w:val="CharSectno"/>
        </w:rPr>
        <w:t>69</w:t>
      </w:r>
      <w:r>
        <w:rPr>
          <w:snapToGrid w:val="0"/>
        </w:rPr>
        <w:t>.</w:t>
      </w:r>
      <w:r>
        <w:rPr>
          <w:snapToGrid w:val="0"/>
        </w:rPr>
        <w:tab/>
        <w:t>Blood sample, taking and analysis of</w:t>
      </w:r>
      <w:bookmarkEnd w:id="73"/>
    </w:p>
    <w:p>
      <w:pPr>
        <w:pStyle w:val="Subsection"/>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 xml:space="preserve">mentioned person, and the other of which shall be given to a </w:t>
      </w:r>
      <w:r>
        <w:t>police officer</w:t>
      </w:r>
      <w:r>
        <w:rPr>
          <w:snapToGrid w:val="0"/>
        </w:rPr>
        <w:t>.</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 No. 8 of 2012 s. 37.]</w:t>
      </w:r>
    </w:p>
    <w:p>
      <w:pPr>
        <w:pStyle w:val="Heading5"/>
        <w:keepNext w:val="0"/>
        <w:keepLines w:val="0"/>
        <w:pageBreakBefore/>
        <w:spacing w:before="0"/>
        <w:rPr>
          <w:snapToGrid w:val="0"/>
        </w:rPr>
      </w:pPr>
      <w:bookmarkStart w:id="74" w:name="_Toc472087098"/>
      <w:r>
        <w:rPr>
          <w:rStyle w:val="CharSectno"/>
        </w:rPr>
        <w:t>69A</w:t>
      </w:r>
      <w:r>
        <w:rPr>
          <w:snapToGrid w:val="0"/>
        </w:rPr>
        <w:t>.</w:t>
      </w:r>
      <w:r>
        <w:rPr>
          <w:snapToGrid w:val="0"/>
        </w:rPr>
        <w:tab/>
        <w:t>Urine sample, taking of</w:t>
      </w:r>
      <w:bookmarkEnd w:id="74"/>
    </w:p>
    <w:p>
      <w:pPr>
        <w:pStyle w:val="Subsection"/>
        <w:spacing w:before="200"/>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 xml:space="preserve">mentioned person, and the other of which shall be given to a </w:t>
      </w:r>
      <w:r>
        <w:t>police officer</w:t>
      </w:r>
      <w:r>
        <w:rPr>
          <w:snapToGrid w:val="0"/>
        </w:rPr>
        <w:t>.</w:t>
      </w:r>
    </w:p>
    <w:p>
      <w:pPr>
        <w:pStyle w:val="Footnotesection"/>
        <w:ind w:left="890" w:hanging="890"/>
      </w:pPr>
      <w:r>
        <w:tab/>
        <w:t>[Section 69A inserted by No. 82 of 1982 s. 17; amended by No. 39 of 2000 s. 36; No. 6 of 2007 s. 13; No. 8 of 2012 s. 37.]</w:t>
      </w:r>
    </w:p>
    <w:p>
      <w:pPr>
        <w:pStyle w:val="Heading5"/>
        <w:spacing w:before="240"/>
      </w:pPr>
      <w:bookmarkStart w:id="75" w:name="_Toc472087099"/>
      <w:r>
        <w:rPr>
          <w:rStyle w:val="CharSectno"/>
        </w:rPr>
        <w:t>69B</w:t>
      </w:r>
      <w:r>
        <w:t>.</w:t>
      </w:r>
      <w:r>
        <w:tab/>
        <w:t>Oral fluid sample, taking of</w:t>
      </w:r>
      <w:bookmarkEnd w:id="75"/>
    </w:p>
    <w:p>
      <w:pPr>
        <w:pStyle w:val="Subsection"/>
        <w:spacing w:before="200"/>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 xml:space="preserve">mentioned person, and the other of which shall be given to a </w:t>
      </w:r>
      <w:r>
        <w:t>police officer</w:t>
      </w:r>
      <w:r>
        <w:rPr>
          <w:snapToGrid w:val="0"/>
        </w:rPr>
        <w:t>.</w:t>
      </w:r>
    </w:p>
    <w:p>
      <w:pPr>
        <w:pStyle w:val="Footnotesection"/>
        <w:ind w:left="890" w:hanging="890"/>
      </w:pPr>
      <w:r>
        <w:tab/>
        <w:t>[Section 69B inserted by No. 6 of 2007 s. 14; amended by No. 8 of 2012 s. 37.]</w:t>
      </w:r>
    </w:p>
    <w:p>
      <w:pPr>
        <w:pStyle w:val="Heading5"/>
        <w:spacing w:before="240"/>
        <w:rPr>
          <w:snapToGrid w:val="0"/>
        </w:rPr>
      </w:pPr>
      <w:bookmarkStart w:id="76" w:name="_Toc472087100"/>
      <w:r>
        <w:rPr>
          <w:rStyle w:val="CharSectno"/>
        </w:rPr>
        <w:t>70</w:t>
      </w:r>
      <w:r>
        <w:rPr>
          <w:snapToGrid w:val="0"/>
        </w:rPr>
        <w:t>.</w:t>
      </w:r>
      <w:r>
        <w:rPr>
          <w:snapToGrid w:val="0"/>
        </w:rPr>
        <w:tab/>
        <w:t>Evidentiary provisions</w:t>
      </w:r>
      <w:bookmarkEnd w:id="76"/>
    </w:p>
    <w:p>
      <w:pPr>
        <w:pStyle w:val="Subsection"/>
        <w:spacing w:before="200"/>
        <w:rPr>
          <w:snapToGrid w:val="0"/>
        </w:rPr>
      </w:pPr>
      <w:r>
        <w:rPr>
          <w:snapToGrid w:val="0"/>
        </w:rPr>
        <w:tab/>
        <w:t>(1)</w:t>
      </w:r>
      <w:r>
        <w:rPr>
          <w:snapToGrid w:val="0"/>
        </w:rPr>
        <w:tab/>
        <w:t>Without affecting the admissibility of any other evidence that may then be given, in any proceeding for an offence against section </w:t>
      </w:r>
      <w:r>
        <w:t>62B,</w:t>
      </w:r>
      <w:r>
        <w:rPr>
          <w:snapToGrid w:val="0"/>
        </w:rPr>
        <w:t>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widowControl w:val="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widowControl w:val="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widowControl w:val="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widowControl w:val="0"/>
        <w:rPr>
          <w:snapToGrid w:val="0"/>
        </w:rPr>
      </w:pPr>
      <w:r>
        <w:rPr>
          <w:snapToGrid w:val="0"/>
        </w:rPr>
        <w:tab/>
        <w:t>(e)</w:t>
      </w:r>
      <w:r>
        <w:rPr>
          <w:snapToGrid w:val="0"/>
        </w:rPr>
        <w:tab/>
        <w:t>the analysis of the sample of blood for alcohol by an analyst; and</w:t>
      </w:r>
    </w:p>
    <w:p>
      <w:pPr>
        <w:pStyle w:val="Indenta"/>
        <w:widowControl w:val="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 xml:space="preserve">Commissioner of Police, </w:t>
      </w:r>
      <w:r>
        <w:rPr>
          <w:snapToGrid w:val="0"/>
        </w:rPr>
        <w:t>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keepNext/>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widowControl w:val="0"/>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widowControl w:val="0"/>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widowControl w:val="0"/>
        <w:rPr>
          <w:snapToGrid w:val="0"/>
        </w:rPr>
      </w:pPr>
      <w:r>
        <w:rPr>
          <w:snapToGrid w:val="0"/>
        </w:rPr>
        <w:tab/>
        <w:t>(vii)</w:t>
      </w:r>
      <w:r>
        <w:rPr>
          <w:snapToGrid w:val="0"/>
        </w:rPr>
        <w:tab/>
        <w:t>certifying that he was at the material time an authorised person;</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widowControl w:val="0"/>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 xml:space="preserve">is prima facie evidence of the matters therein certified or set out, without proof of the signature of the person purporting to have signed it or proof that the purported signatory was </w:t>
      </w:r>
      <w:r>
        <w:t>the Commissioner of Police, the chief executive officer of the Chemistry Centre (WA), an authorised person, a technologist, a medical practitioner or registered nurse or an analyst (as is relevant).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t>62C or</w:t>
      </w:r>
      <w:r>
        <w:rPr>
          <w:rFonts w:eastAsia="Arial Unicode MS"/>
        </w:rPr>
        <w:t>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 xml:space="preserve">purporting to be signed by a </w:t>
      </w:r>
      <w:r>
        <w:t>police officer</w:t>
      </w:r>
      <w:r>
        <w:rPr>
          <w:rFonts w:eastAsia="Arial Unicode MS"/>
        </w:rPr>
        <w:t xml:space="preserv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 xml:space="preserve">purporting to be signed by a </w:t>
      </w:r>
      <w:r>
        <w:t>police officer</w:t>
      </w:r>
      <w:r>
        <w:rPr>
          <w:snapToGrid w:val="0"/>
        </w:rPr>
        <w:t xml:space="preserve"> certifying the following</w:t>
      </w:r>
      <w:r>
        <w:rPr>
          <w:rFonts w:eastAsia="Arial Unicode MS"/>
        </w:rPr>
        <w:t xml:space="preserve"> — </w:t>
      </w:r>
    </w:p>
    <w:p>
      <w:pPr>
        <w:pStyle w:val="Indenti"/>
      </w:pPr>
      <w:r>
        <w:tab/>
        <w:t>(i)</w:t>
      </w:r>
      <w:r>
        <w:tab/>
        <w:t xml:space="preserve">that the police officer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analyst, approved expert, police officer</w:t>
      </w:r>
      <w:r>
        <w:rPr>
          <w:snapToGrid w:val="0"/>
        </w:rPr>
        <w:t xml:space="preserve"> or authorised drug tester.</w:t>
      </w:r>
    </w:p>
    <w:p>
      <w:pPr>
        <w:pStyle w:val="Subsection"/>
        <w:rPr>
          <w:snapToGrid w:val="0"/>
        </w:rPr>
      </w:pPr>
      <w:r>
        <w:rPr>
          <w:snapToGrid w:val="0"/>
        </w:rPr>
        <w:tab/>
        <w:t>(3c)</w:t>
      </w:r>
      <w:r>
        <w:rPr>
          <w:snapToGrid w:val="0"/>
        </w:rPr>
        <w:tab/>
        <w:t xml:space="preserve">In any proceeding for an offence against section 67(2)(a) </w:t>
      </w:r>
      <w:r>
        <w:t>or 68A</w:t>
      </w:r>
      <w:r>
        <w:rPr>
          <w:snapToGrid w:val="0"/>
        </w:rPr>
        <w:t xml:space="preserve"> a certificate in the prescribed form purporting to be signed by the </w:t>
      </w:r>
      <w:r>
        <w:t xml:space="preserve">Commissioner of Police, </w:t>
      </w:r>
      <w:r>
        <w:rPr>
          <w:snapToGrid w:val="0"/>
        </w:rPr>
        <w:t>certifying that a person therein named is, or was at the material time, an authorised person is prima facie evidence of the matters therein certified, without proof of the signature of the person purporting to have signed it or proof that the purported signatory was</w:t>
      </w:r>
      <w:r>
        <w:t xml:space="preserve"> the Commissioner of Police.</w:t>
      </w:r>
    </w:p>
    <w:p>
      <w:pPr>
        <w:pStyle w:val="Subsection"/>
      </w:pPr>
      <w:r>
        <w:tab/>
        <w:t>(3d)</w:t>
      </w:r>
      <w:r>
        <w:tab/>
        <w:t xml:space="preserve">In any proceeding for an offence against section 67A(1) or 68A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67A or 68A.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67A or 68A.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67A or 68A.</w:t>
      </w:r>
    </w:p>
    <w:p>
      <w:pPr>
        <w:pStyle w:val="Subsection"/>
        <w:keepLines/>
        <w:rPr>
          <w:snapToGrid w:val="0"/>
        </w:rPr>
      </w:pPr>
      <w:r>
        <w:rPr>
          <w:snapToGrid w:val="0"/>
        </w:rPr>
        <w:tab/>
        <w:t>(6)</w:t>
      </w:r>
      <w:r>
        <w:rPr>
          <w:snapToGrid w:val="0"/>
        </w:rPr>
        <w:tab/>
        <w:t xml:space="preserve">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w:t>
      </w:r>
      <w:r>
        <w:t>67AA, 67A or 68A.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 No. 8 of 2012 s. 37 and 38; No. 25 of 2016 s. 11; No. 25 of 2016 s. 54.]</w:t>
      </w:r>
    </w:p>
    <w:p>
      <w:pPr>
        <w:pStyle w:val="Heading5"/>
        <w:rPr>
          <w:snapToGrid w:val="0"/>
        </w:rPr>
      </w:pPr>
      <w:bookmarkStart w:id="77" w:name="_Toc472087101"/>
      <w:r>
        <w:rPr>
          <w:rStyle w:val="CharSectno"/>
        </w:rPr>
        <w:t>71</w:t>
      </w:r>
      <w:r>
        <w:rPr>
          <w:snapToGrid w:val="0"/>
        </w:rPr>
        <w:t>.</w:t>
      </w:r>
      <w:r>
        <w:rPr>
          <w:snapToGrid w:val="0"/>
        </w:rPr>
        <w:tab/>
        <w:t>Blood alcohol content at material time, how calculated</w:t>
      </w:r>
      <w:bookmarkEnd w:id="77"/>
    </w:p>
    <w:p>
      <w:pPr>
        <w:pStyle w:val="Subsection"/>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rStyle w:val="CharDefText"/>
        </w:rPr>
        <w:t>time of sampling</w:t>
      </w:r>
      <w:r>
        <w:t>); and</w:t>
      </w:r>
    </w:p>
    <w:p>
      <w:pPr>
        <w:pStyle w:val="Indenta"/>
        <w:keepNext/>
      </w:pPr>
      <w:r>
        <w:tab/>
        <w:t>(d)</w:t>
      </w:r>
      <w:r>
        <w:tab/>
        <w:t>the person’s blood alcohol content at the time of sampling,</w:t>
      </w:r>
    </w:p>
    <w:p>
      <w:pPr>
        <w:pStyle w:val="Subsection"/>
        <w:spacing w:before="120"/>
      </w:pPr>
      <w:r>
        <w:tab/>
      </w:r>
      <w:r>
        <w:tab/>
        <w:t>so as to give effect to the presumption that after a person’s latest drink containing alcohol the person’s blood alcohol content increases at the rate of 0.016 g of alcohol per 100 ml of blood per hour for a period of 2 hours and, after that period, decreases at the rate of 0.016 g of alcohol per 100 ml of blood per hour.</w:t>
      </w:r>
    </w:p>
    <w:p>
      <w:pPr>
        <w:pStyle w:val="Subsection"/>
        <w:spacing w:before="120"/>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spacing w:before="120"/>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spacing w:before="120"/>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ind w:left="890" w:hanging="890"/>
      </w:pPr>
      <w:r>
        <w:tab/>
        <w:t>[Section 71 amended by No. 39 of 2007 s. 14.]</w:t>
      </w:r>
    </w:p>
    <w:p>
      <w:pPr>
        <w:pStyle w:val="Heading5"/>
        <w:keepNext w:val="0"/>
        <w:keepLines w:val="0"/>
        <w:pageBreakBefore/>
        <w:spacing w:before="0"/>
      </w:pPr>
      <w:bookmarkStart w:id="78" w:name="_Toc472087102"/>
      <w:r>
        <w:rPr>
          <w:rStyle w:val="CharSectno"/>
        </w:rPr>
        <w:t>71A</w:t>
      </w:r>
      <w:r>
        <w:t>.</w:t>
      </w:r>
      <w:r>
        <w:tab/>
        <w:t>Samples not to be used to obtain DNA</w:t>
      </w:r>
      <w:bookmarkEnd w:id="78"/>
    </w:p>
    <w:p>
      <w:pPr>
        <w:pStyle w:val="Subsection"/>
        <w:spacing w:before="120"/>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police officer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by No. 6 of 2007 s. 16; amended by No. 8 of 2012 s. 37.]</w:t>
      </w:r>
    </w:p>
    <w:p>
      <w:pPr>
        <w:pStyle w:val="Heading5"/>
        <w:keepNext w:val="0"/>
        <w:keepLines w:val="0"/>
      </w:pPr>
      <w:bookmarkStart w:id="79" w:name="_Toc472087103"/>
      <w:r>
        <w:rPr>
          <w:rStyle w:val="CharSectno"/>
        </w:rPr>
        <w:t>71B</w:t>
      </w:r>
      <w:r>
        <w:t>.</w:t>
      </w:r>
      <w:r>
        <w:tab/>
        <w:t>Preventing use of vehicle by alleged offender, police powers for</w:t>
      </w:r>
      <w:bookmarkEnd w:id="79"/>
    </w:p>
    <w:p>
      <w:pPr>
        <w:pStyle w:val="Subsection"/>
      </w:pPr>
      <w:r>
        <w:tab/>
        <w:t>(1)</w:t>
      </w:r>
      <w:r>
        <w:tab/>
        <w:t xml:space="preserve">If a police officer has reason to suspect that a person (the </w:t>
      </w:r>
      <w:r>
        <w:rPr>
          <w:rStyle w:val="CharDefText"/>
        </w:rPr>
        <w:t>offender</w:t>
      </w:r>
      <w:r>
        <w:t xml:space="preserve">) is driving, is attempting to drive, has driven or has attempted to drive a motor vehicle in contravention of section 63, 64, 64AA, 64A, 64AAA or 64AB, the police officer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 xml:space="preserve">to the </w:t>
      </w:r>
      <w:r>
        <w:t>police officer</w:t>
      </w:r>
      <w:r>
        <w:rPr>
          <w:rFonts w:eastAsia="Arial Unicode MS"/>
        </w:rPr>
        <w:t>;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w:t>
      </w:r>
      <w:r>
        <w:t>police officer</w:t>
      </w:r>
      <w:r>
        <w:rPr>
          <w:rFonts w:eastAsia="Arial Unicode MS"/>
        </w:rPr>
        <w:t xml:space="preserv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police officer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keepLines/>
        <w:spacing w:before="180"/>
      </w:pPr>
      <w:r>
        <w:tab/>
        <w:t>(3)</w:t>
      </w:r>
      <w:r>
        <w:tab/>
        <w:t>If keys to a motor vehicle are handed over under subsection (1)(a), a police officer may take any steps that, in the opinion of the police officer, are appropriate and practicable in order to ensure that the vehicle is not causing any obstruction to traffic and is secure.</w:t>
      </w:r>
    </w:p>
    <w:p>
      <w:pPr>
        <w:pStyle w:val="Subsection"/>
        <w:spacing w:before="180"/>
      </w:pPr>
      <w:r>
        <w:tab/>
        <w:t>(4)</w:t>
      </w:r>
      <w:r>
        <w:tab/>
        <w:t>Those steps may include moving the vehicle to a more suitable place.</w:t>
      </w:r>
    </w:p>
    <w:p>
      <w:pPr>
        <w:pStyle w:val="Subsection"/>
        <w:keepLines/>
        <w:spacing w:before="180"/>
      </w:pPr>
      <w:r>
        <w:tab/>
        <w:t>(5)</w:t>
      </w:r>
      <w:r>
        <w:tab/>
        <w:t xml:space="preserve">If a person requests a police officer to hand over to the person keys to a motor vehicle that have been handed over under subsection (1)(a), </w:t>
      </w:r>
      <w:r>
        <w:rPr>
          <w:rFonts w:eastAsia="Arial Unicode MS"/>
        </w:rPr>
        <w:t xml:space="preserve">the </w:t>
      </w:r>
      <w:r>
        <w:t>police officer</w:t>
      </w:r>
      <w:r>
        <w:rPr>
          <w:rFonts w:eastAsia="Arial Unicode MS"/>
        </w:rPr>
        <w:t xml:space="preserv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spacing w:before="180"/>
      </w:pPr>
      <w:r>
        <w:tab/>
        <w:t>(6)</w:t>
      </w:r>
      <w:r>
        <w:tab/>
        <w:t>Before keys to a motor vehicle are handed over to a person under subsection (1)(b) or (5) a police officer may, for the purposes of subsection (1)(b)(ii) or (5)(c), require the person to provide a sample of the person’s breath for a preliminary test in accordance with the directions of the police officer.</w:t>
      </w:r>
    </w:p>
    <w:p>
      <w:pPr>
        <w:pStyle w:val="Subsection"/>
        <w:spacing w:before="180"/>
      </w:pPr>
      <w:r>
        <w:tab/>
        <w:t>(7)</w:t>
      </w:r>
      <w:r>
        <w:tab/>
        <w:t xml:space="preserve">If keys to a motor vehicle are not handed over within 24 hours after a request is made under subsection (5), the offender may apply to the </w:t>
      </w:r>
      <w:smartTag w:uri="urn:schemas-microsoft-com:office:smarttags" w:element="address">
        <w:smartTag w:uri="urn:schemas-microsoft-com:office:smarttags" w:element="Street">
          <w:r>
            <w:t>Magistrates Court</w:t>
          </w:r>
        </w:smartTag>
      </w:smartTag>
      <w:r>
        <w:t>, in accordance with its rules of court, for an order for the keys to be handed over to a person named in the application.</w:t>
      </w:r>
    </w:p>
    <w:p>
      <w:pPr>
        <w:pStyle w:val="Subsection"/>
        <w:spacing w:before="180"/>
      </w:pPr>
      <w:r>
        <w:tab/>
        <w:t>(8)</w:t>
      </w:r>
      <w:r>
        <w:tab/>
        <w:t xml:space="preserve">A person who — </w:t>
      </w:r>
    </w:p>
    <w:p>
      <w:pPr>
        <w:pStyle w:val="Indenta"/>
        <w:rPr>
          <w:rFonts w:eastAsia="Arial Unicode MS"/>
        </w:rPr>
      </w:pPr>
      <w:r>
        <w:rPr>
          <w:rFonts w:eastAsia="Arial Unicode MS"/>
        </w:rPr>
        <w:tab/>
        <w:t>(a)</w:t>
      </w:r>
      <w:r>
        <w:rPr>
          <w:rFonts w:eastAsia="Arial Unicode MS"/>
        </w:rPr>
        <w:tab/>
        <w:t xml:space="preserve">contravenes any requirement made by a </w:t>
      </w:r>
      <w:r>
        <w:t>police officer</w:t>
      </w:r>
      <w:r>
        <w:rPr>
          <w:rFonts w:eastAsia="Arial Unicode MS"/>
        </w:rPr>
        <w:t xml:space="preserve"> under subsection (1); or</w:t>
      </w:r>
    </w:p>
    <w:p>
      <w:pPr>
        <w:pStyle w:val="Indenta"/>
        <w:keepNext/>
        <w:rPr>
          <w:rFonts w:eastAsia="Arial Unicode MS"/>
        </w:rPr>
      </w:pPr>
      <w:r>
        <w:rPr>
          <w:rFonts w:eastAsia="Arial Unicode MS"/>
        </w:rPr>
        <w:tab/>
        <w:t>(b)</w:t>
      </w:r>
      <w:r>
        <w:rPr>
          <w:rFonts w:eastAsia="Arial Unicode MS"/>
        </w:rPr>
        <w:tab/>
      </w:r>
      <w:r>
        <w:rPr>
          <w:rFonts w:eastAsia="Arial Unicode MS"/>
          <w:spacing w:val="-2"/>
        </w:rPr>
        <w:t xml:space="preserve">attempts in any manner to obstruct a </w:t>
      </w:r>
      <w:r>
        <w:t>police officer</w:t>
      </w:r>
      <w:r>
        <w:rPr>
          <w:rFonts w:eastAsia="Arial Unicode MS"/>
          <w:spacing w:val="-2"/>
        </w:rPr>
        <w:t xml:space="preserve"> in the exercise of any power conferred on the </w:t>
      </w:r>
      <w:r>
        <w:t>police officer</w:t>
      </w:r>
      <w:r>
        <w:rPr>
          <w:rFonts w:eastAsia="Arial Unicode MS"/>
          <w:spacing w:val="-2"/>
        </w:rPr>
        <w:t xml:space="preserve"> under subsection (1), (3) or (4),</w:t>
      </w:r>
    </w:p>
    <w:p>
      <w:pPr>
        <w:pStyle w:val="Subsection"/>
      </w:pPr>
      <w:r>
        <w:tab/>
      </w:r>
      <w:r>
        <w:tab/>
        <w:t>commits an offence.</w:t>
      </w:r>
    </w:p>
    <w:p>
      <w:pPr>
        <w:pStyle w:val="Penstart"/>
        <w:spacing w:before="60"/>
      </w:pPr>
      <w:r>
        <w:tab/>
        <w:t>Penalty: 8 PU.</w:t>
      </w:r>
    </w:p>
    <w:p>
      <w:pPr>
        <w:pStyle w:val="Footnotesection"/>
        <w:ind w:left="890" w:hanging="890"/>
      </w:pPr>
      <w:r>
        <w:tab/>
        <w:t>[Section 71B inserted by No. 6 of 2007 s. 16; amended by No. 39 of 2007 s. 38 (correction to reprint in Gazette 19 Oct 2010 p. 5202); No. 8 of 2012 s. 37.]</w:t>
      </w:r>
    </w:p>
    <w:p>
      <w:pPr>
        <w:pStyle w:val="Heading5"/>
        <w:keepNext w:val="0"/>
        <w:keepLines w:val="0"/>
        <w:spacing w:before="240"/>
      </w:pPr>
      <w:bookmarkStart w:id="80" w:name="_Toc472087104"/>
      <w:r>
        <w:rPr>
          <w:rStyle w:val="CharSectno"/>
        </w:rPr>
        <w:t>71C</w:t>
      </w:r>
      <w:r>
        <w:t>.</w:t>
      </w:r>
      <w:r>
        <w:tab/>
        <w:t>Disqualification by police officer</w:t>
      </w:r>
      <w:bookmarkEnd w:id="80"/>
    </w:p>
    <w:p>
      <w:pPr>
        <w:pStyle w:val="Subsection"/>
      </w:pPr>
      <w:r>
        <w:tab/>
        <w:t>(1)</w:t>
      </w:r>
      <w:r>
        <w:tab/>
        <w:t xml:space="preserve">This section applies if — </w:t>
      </w:r>
    </w:p>
    <w:p>
      <w:pPr>
        <w:pStyle w:val="Indenta"/>
      </w:pPr>
      <w:r>
        <w:tab/>
        <w:t>(a)</w:t>
      </w:r>
      <w:r>
        <w:tab/>
        <w:t xml:space="preserve">a police officer (the </w:t>
      </w:r>
      <w:r>
        <w:rPr>
          <w:rStyle w:val="CharDefText"/>
        </w:rPr>
        <w:t>police officer</w:t>
      </w:r>
      <w:r>
        <w:t xml:space="preserve">), as a result of an analysis of a sample of a person’s breath or blood, has reason to suspect that the person (the </w:t>
      </w:r>
      <w:r>
        <w:rPr>
          <w:rStyle w:val="CharDefText"/>
        </w:rPr>
        <w:t>alleged offender</w:t>
      </w:r>
      <w:r>
        <w:t xml:space="preserve">) has committed an offence under section 63 or 64 (the </w:t>
      </w:r>
      <w:r>
        <w:rPr>
          <w:rStyle w:val="CharDefText"/>
        </w:rPr>
        <w:t>alleged offence</w:t>
      </w:r>
      <w:r>
        <w:t>); or</w:t>
      </w:r>
    </w:p>
    <w:p>
      <w:pPr>
        <w:pStyle w:val="Indenta"/>
      </w:pPr>
      <w:r>
        <w:tab/>
        <w:t>(b)</w:t>
      </w:r>
      <w:r>
        <w:tab/>
        <w:t xml:space="preserve">a police officer (the </w:t>
      </w:r>
      <w:r>
        <w:rPr>
          <w:rStyle w:val="CharDefText"/>
        </w:rPr>
        <w:t>police officer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Subsection"/>
        <w:spacing w:before="120"/>
      </w:pPr>
      <w:r>
        <w:tab/>
        <w:t>(2)</w:t>
      </w:r>
      <w:r>
        <w:tab/>
        <w:t xml:space="preserve">If this section applies the police officer may give the alleged offender a notice that is in accordance with this section (a </w:t>
      </w:r>
      <w:r>
        <w:rPr>
          <w:rStyle w:val="CharDefText"/>
        </w:rPr>
        <w:t>disqualification notice</w:t>
      </w:r>
      <w:r>
        <w:t>) by delivering the notice to the alleged offender personally.</w:t>
      </w:r>
    </w:p>
    <w:p>
      <w:pPr>
        <w:pStyle w:val="Subsection"/>
        <w:spacing w:before="120"/>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Subsection"/>
        <w:spacing w:before="120"/>
      </w:pPr>
      <w:r>
        <w:tab/>
        <w:t>(4)</w:t>
      </w:r>
      <w:r>
        <w:tab/>
        <w:t xml:space="preserve">The disqualification notice must — </w:t>
      </w:r>
    </w:p>
    <w:p>
      <w:pPr>
        <w:pStyle w:val="Indenta"/>
      </w:pPr>
      <w:r>
        <w:tab/>
        <w:t>(a)</w:t>
      </w:r>
      <w:r>
        <w:tab/>
        <w:t>identify the provision under which the notice is given; and</w:t>
      </w:r>
    </w:p>
    <w:p>
      <w:pPr>
        <w:pStyle w:val="Indenta"/>
      </w:pPr>
      <w:r>
        <w:tab/>
        <w:t>(b)</w:t>
      </w:r>
      <w:r>
        <w:tab/>
        <w:t>specify the grounds on which the notice is given; and</w:t>
      </w:r>
    </w:p>
    <w:p>
      <w:pPr>
        <w:pStyle w:val="Indenta"/>
      </w:pPr>
      <w:r>
        <w:tab/>
        <w:t>(c)</w:t>
      </w:r>
      <w:r>
        <w:tab/>
        <w:t>identify the time and date on which the alleged offence was committed; and</w:t>
      </w:r>
    </w:p>
    <w:p>
      <w:pPr>
        <w:pStyle w:val="Indenta"/>
      </w:pPr>
      <w:r>
        <w:tab/>
        <w:t>(d)</w:t>
      </w:r>
      <w:r>
        <w:tab/>
        <w:t>identify where the alleged offence was committed; and</w:t>
      </w:r>
    </w:p>
    <w:p>
      <w:pPr>
        <w:pStyle w:val="Indenta"/>
      </w:pPr>
      <w:r>
        <w:tab/>
        <w:t>(e)</w:t>
      </w:r>
      <w:r>
        <w:tab/>
        <w:t>describe the alleged offence with reasonable clarity; and</w:t>
      </w:r>
    </w:p>
    <w:p>
      <w:pPr>
        <w:pStyle w:val="Indenta"/>
      </w:pPr>
      <w:r>
        <w:tab/>
        <w:t>(f)</w:t>
      </w:r>
      <w:r>
        <w:tab/>
        <w:t>identify the provision that creates the alleged offence.</w:t>
      </w:r>
    </w:p>
    <w:p>
      <w:pPr>
        <w:pStyle w:val="Subsection"/>
        <w:spacing w:before="120"/>
      </w:pPr>
      <w:r>
        <w:tab/>
        <w:t>(5)</w:t>
      </w:r>
      <w:r>
        <w:tab/>
        <w:t>The disqualification notice must also include a statement to the effect that section 71F contains law about the circumstances in which the alleged offender may apply to a court for an order revoking the notice.</w:t>
      </w:r>
    </w:p>
    <w:p>
      <w:pPr>
        <w:pStyle w:val="Subsection"/>
      </w:pPr>
      <w:r>
        <w:tab/>
        <w:t>(6)</w:t>
      </w:r>
      <w:r>
        <w:tab/>
        <w:t xml:space="preserve">A disqualification notice cannot be given to an alleged offender — </w:t>
      </w:r>
    </w:p>
    <w:p>
      <w:pPr>
        <w:pStyle w:val="Indenta"/>
      </w:pPr>
      <w:r>
        <w:tab/>
        <w:t>(a)</w:t>
      </w:r>
      <w:r>
        <w:tab/>
        <w:t xml:space="preserve">if the alleged offence is an offence under section 63 or 64, more than 10 days after the later of — </w:t>
      </w:r>
    </w:p>
    <w:p>
      <w:pPr>
        <w:pStyle w:val="Indenti"/>
      </w:pPr>
      <w:r>
        <w:tab/>
        <w:t>(i)</w:t>
      </w:r>
      <w:r>
        <w:tab/>
        <w:t>the day of the alleged offence; or</w:t>
      </w:r>
    </w:p>
    <w:p>
      <w:pPr>
        <w:pStyle w:val="Indenti"/>
      </w:pPr>
      <w:r>
        <w:tab/>
        <w:t>(ii)</w:t>
      </w:r>
      <w:r>
        <w:tab/>
        <w:t>if a sample of the alleged offender’s blood was taken under section 66 in connection with the alleged offence, the day on which a police officer receives an analysis result of the sample;</w:t>
      </w:r>
    </w:p>
    <w:p>
      <w:pPr>
        <w:pStyle w:val="Indenta"/>
      </w:pPr>
      <w:r>
        <w:tab/>
      </w:r>
      <w:r>
        <w:tab/>
        <w:t>or</w:t>
      </w:r>
    </w:p>
    <w:p>
      <w:pPr>
        <w:pStyle w:val="Indenta"/>
      </w:pPr>
      <w:r>
        <w:tab/>
        <w:t>(b)</w:t>
      </w:r>
      <w:r>
        <w:tab/>
        <w:t>if the alleged offence is an offence under section 67, more than 10 days after the day of the alleged offence.</w:t>
      </w:r>
    </w:p>
    <w:p>
      <w:pPr>
        <w:pStyle w:val="Subsection"/>
      </w:pPr>
      <w:r>
        <w:tab/>
        <w:t>(7)</w:t>
      </w:r>
      <w:r>
        <w:tab/>
        <w:t>If a police officer gives a person a disqualification notice the police officer must write on the notice the time and date when it was given and the time and date when the disqualification expires.</w:t>
      </w:r>
    </w:p>
    <w:p>
      <w:pPr>
        <w:pStyle w:val="Subsection"/>
      </w:pPr>
      <w:r>
        <w:tab/>
        <w:t>(8)</w:t>
      </w:r>
      <w:r>
        <w:tab/>
        <w:t>A police officer may, by written notice given to a person to whom a disqualification notice has been given, amend the disqualification notice to correct any error in the disqualification notice.</w:t>
      </w:r>
    </w:p>
    <w:p>
      <w:pPr>
        <w:pStyle w:val="Subsection"/>
      </w:pPr>
      <w:r>
        <w:tab/>
        <w:t>(9)</w:t>
      </w:r>
      <w:r>
        <w:tab/>
        <w:t>If a police officer gives a person a disqualification notice or a notice amending a disqualification notice in accordance with this section the police officer must, as soon as is practicable, cause particulars of the notice to be sent to the CEO.</w:t>
      </w:r>
    </w:p>
    <w:p>
      <w:pPr>
        <w:pStyle w:val="Footnotesection"/>
      </w:pPr>
      <w:r>
        <w:tab/>
        <w:t>[Section 71C inserted by No. 51 of 2010 s. 11; amended by No. 8 of 2012 s. 15.]</w:t>
      </w:r>
    </w:p>
    <w:p>
      <w:pPr>
        <w:pStyle w:val="Heading5"/>
      </w:pPr>
      <w:bookmarkStart w:id="81" w:name="_Toc472087105"/>
      <w:r>
        <w:rPr>
          <w:rStyle w:val="CharSectno"/>
        </w:rPr>
        <w:t>71D</w:t>
      </w:r>
      <w:r>
        <w:t>.</w:t>
      </w:r>
      <w:r>
        <w:tab/>
        <w:t>Disqualification notice (s. 71C), consequences of</w:t>
      </w:r>
      <w:bookmarkEnd w:id="81"/>
    </w:p>
    <w:p>
      <w:pPr>
        <w:pStyle w:val="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Subsection"/>
      </w:pPr>
      <w:r>
        <w:tab/>
        <w:t>(2)</w:t>
      </w:r>
      <w:r>
        <w:tab/>
        <w:t>The period of disqualification imposed under subsection (1) is concurrent with any other period for which the person is disqualified from holding or obtaining a driver’s licence.</w:t>
      </w:r>
    </w:p>
    <w:p>
      <w:pPr>
        <w:pStyle w:val="Footnotesection"/>
      </w:pPr>
      <w:r>
        <w:tab/>
        <w:t>[Section 71D inserted by No. 51 of 2010 s. 11.]</w:t>
      </w:r>
    </w:p>
    <w:p>
      <w:pPr>
        <w:pStyle w:val="Heading5"/>
      </w:pPr>
      <w:bookmarkStart w:id="82" w:name="_Toc472087106"/>
      <w:r>
        <w:rPr>
          <w:rStyle w:val="CharSectno"/>
        </w:rPr>
        <w:t>71E</w:t>
      </w:r>
      <w:r>
        <w:t>.</w:t>
      </w:r>
      <w:r>
        <w:tab/>
        <w:t>Revocation of disqualification notice by police officer</w:t>
      </w:r>
      <w:bookmarkEnd w:id="82"/>
    </w:p>
    <w:p>
      <w:pPr>
        <w:pStyle w:val="Subsection"/>
      </w:pPr>
      <w:r>
        <w:tab/>
        <w:t>(1)</w:t>
      </w:r>
      <w:r>
        <w:tab/>
        <w:t xml:space="preserve">A police officer must immediately revoke a disqualification notice if — </w:t>
      </w:r>
    </w:p>
    <w:p>
      <w:pPr>
        <w:pStyle w:val="Indenta"/>
      </w:pPr>
      <w:r>
        <w:tab/>
        <w:t>(a)</w:t>
      </w:r>
      <w:r>
        <w:tab/>
        <w:t>the police officer becomes aware that the breath analysing equipment used to analyse the sample of the person’s breath provided in connection with the offence to which the notice relates was faulty at the time of the analysis; or</w:t>
      </w:r>
    </w:p>
    <w:p>
      <w:pPr>
        <w:pStyle w:val="Indenta"/>
      </w:pPr>
      <w:r>
        <w:tab/>
        <w:t>(b)</w:t>
      </w:r>
      <w:r>
        <w:tab/>
        <w:t>a charge for the offence to which the notice relates has not been laid within 10 days after the time when the notice was given; or</w:t>
      </w:r>
    </w:p>
    <w:p>
      <w:pPr>
        <w:pStyle w:val="Indenta"/>
      </w:pPr>
      <w:r>
        <w:tab/>
        <w:t>(c)</w:t>
      </w:r>
      <w:r>
        <w:tab/>
        <w:t>a charge for the offence to which the notice relates is discontinued.</w:t>
      </w:r>
    </w:p>
    <w:p>
      <w:pPr>
        <w:pStyle w:val="Subsection"/>
      </w:pPr>
      <w:r>
        <w:tab/>
        <w:t>(2)</w:t>
      </w:r>
      <w:r>
        <w:tab/>
        <w:t xml:space="preserve">If under this section a police officer revokes a disqualification notice the police officer must, as soon as is practicable, cause notice of the revocation to be given to — </w:t>
      </w:r>
    </w:p>
    <w:p>
      <w:pPr>
        <w:pStyle w:val="Indenta"/>
      </w:pPr>
      <w:r>
        <w:tab/>
        <w:t>(a)</w:t>
      </w:r>
      <w:r>
        <w:tab/>
        <w:t>the person to whom the disqualification notice was given under section 71C; and</w:t>
      </w:r>
    </w:p>
    <w:p>
      <w:pPr>
        <w:pStyle w:val="Indenta"/>
      </w:pPr>
      <w:r>
        <w:tab/>
        <w:t>(b)</w:t>
      </w:r>
      <w:r>
        <w:tab/>
        <w:t>the CEO.</w:t>
      </w:r>
    </w:p>
    <w:p>
      <w:pPr>
        <w:pStyle w:val="Footnotesection"/>
        <w:ind w:left="890" w:hanging="890"/>
      </w:pPr>
      <w:r>
        <w:tab/>
        <w:t>[Section 71E inserted by No. 51 of 2010 s. 11; amended by No. 8 of 2012 s. 16.]</w:t>
      </w:r>
    </w:p>
    <w:p>
      <w:pPr>
        <w:pStyle w:val="Heading5"/>
      </w:pPr>
      <w:bookmarkStart w:id="83" w:name="_Toc472087107"/>
      <w:r>
        <w:rPr>
          <w:rStyle w:val="CharSectno"/>
        </w:rPr>
        <w:t>71F</w:t>
      </w:r>
      <w:r>
        <w:t>.</w:t>
      </w:r>
      <w:r>
        <w:tab/>
        <w:t>Disqualification notice (s. 71C), court may order police to revoke</w:t>
      </w:r>
      <w:bookmarkEnd w:id="83"/>
    </w:p>
    <w:p>
      <w:pPr>
        <w:pStyle w:val="Subsection"/>
      </w:pPr>
      <w:r>
        <w:tab/>
        <w:t>(1)</w:t>
      </w:r>
      <w:r>
        <w:tab/>
        <w:t xml:space="preserve">A person to whom a disqualification notice is given under section 71C may apply to the </w:t>
      </w:r>
      <w:smartTag w:uri="urn:schemas-microsoft-com:office:smarttags" w:element="Street">
        <w:smartTag w:uri="urn:schemas-microsoft-com:office:smarttags" w:element="address">
          <w:r>
            <w:t>Magistrates Court</w:t>
          </w:r>
        </w:smartTag>
      </w:smartTag>
      <w:r>
        <w:t xml:space="preserve"> or, if the person is under 18 years of age, to the Children’s Court, for an order directing the Commissioner of Police to revoke the notice.</w:t>
      </w:r>
    </w:p>
    <w:p>
      <w:pPr>
        <w:pStyle w:val="Subsection"/>
        <w:keepNext/>
      </w:pPr>
      <w:r>
        <w:tab/>
        <w:t>(2)</w:t>
      </w:r>
      <w:r>
        <w:tab/>
        <w:t xml:space="preserve">An application made under subsection (1) must — </w:t>
      </w:r>
    </w:p>
    <w:p>
      <w:pPr>
        <w:pStyle w:val="Indenta"/>
      </w:pPr>
      <w:r>
        <w:tab/>
        <w:t>(a)</w:t>
      </w:r>
      <w:r>
        <w:tab/>
        <w:t>be made in accordance with any applicable rules of court; and</w:t>
      </w:r>
    </w:p>
    <w:p>
      <w:pPr>
        <w:pStyle w:val="Indenta"/>
      </w:pPr>
      <w:r>
        <w:tab/>
        <w:t>(b)</w:t>
      </w:r>
      <w:r>
        <w:tab/>
        <w:t>include particulars of the exceptional circumstances that the applicant alleges justifies the making of the order; and</w:t>
      </w:r>
    </w:p>
    <w:p>
      <w:pPr>
        <w:pStyle w:val="Indenta"/>
      </w:pPr>
      <w:r>
        <w:tab/>
        <w:t>(c)</w:t>
      </w:r>
      <w:r>
        <w:tab/>
        <w:t>be served on the Commissioner of Police at least 14 days before it is heard and determined.</w:t>
      </w:r>
    </w:p>
    <w:p>
      <w:pPr>
        <w:pStyle w:val="Subsection"/>
      </w:pPr>
      <w:r>
        <w:tab/>
        <w:t>(3)</w:t>
      </w:r>
      <w:r>
        <w:tab/>
        <w:t>The Commissioner of Police is entitled to be heard on an application made under subsection (1).</w:t>
      </w:r>
    </w:p>
    <w:p>
      <w:pPr>
        <w:pStyle w:val="Subsection"/>
      </w:pPr>
      <w:r>
        <w:tab/>
        <w:t>(4)</w:t>
      </w:r>
      <w:r>
        <w:tab/>
        <w:t>The court may either make an order directing the Commissioner of Police to revoke the disqualification notice from the day specified in the order or refuse the application.</w:t>
      </w:r>
    </w:p>
    <w:p>
      <w:pPr>
        <w:pStyle w:val="Subsection"/>
      </w:pPr>
      <w:r>
        <w:tab/>
        <w:t>(5)</w:t>
      </w:r>
      <w:r>
        <w:tab/>
        <w:t>The court must not make an order directing the Commissioner of Police to revoke a disqualification notice unless it is satisfied that exceptional circumstances exist that justify the making of such an order.</w:t>
      </w:r>
    </w:p>
    <w:p>
      <w:pPr>
        <w:pStyle w:val="Subsection"/>
      </w:pPr>
      <w:r>
        <w:tab/>
        <w:t>(6)</w:t>
      </w:r>
      <w:r>
        <w:tab/>
        <w:t>If a court makes an order directing the Commissioner of Police to revoke a disqualification notice, the court is to cause a copy of the order to be sent to the CEO.</w:t>
      </w:r>
    </w:p>
    <w:p>
      <w:pPr>
        <w:pStyle w:val="Footnotesection"/>
      </w:pPr>
      <w:r>
        <w:tab/>
        <w:t>[Section 71F inserted by No. 51 of 2010 s. 11; amended by No. 8 of 2012 s. 17.]</w:t>
      </w:r>
    </w:p>
    <w:p>
      <w:pPr>
        <w:pStyle w:val="Heading5"/>
      </w:pPr>
      <w:bookmarkStart w:id="84" w:name="_Toc472087108"/>
      <w:r>
        <w:rPr>
          <w:rStyle w:val="CharSectno"/>
        </w:rPr>
        <w:t>71G</w:t>
      </w:r>
      <w:r>
        <w:t>.</w:t>
      </w:r>
      <w:r>
        <w:tab/>
        <w:t>Disqualification notice (s. 71C) automatically revoked on acquittal etc.</w:t>
      </w:r>
      <w:bookmarkEnd w:id="84"/>
    </w:p>
    <w:p>
      <w:pPr>
        <w:pStyle w:val="Subsection"/>
        <w:keepNext/>
        <w:keepLines/>
      </w:pPr>
      <w:r>
        <w:tab/>
        <w:t>(1)</w:t>
      </w:r>
      <w:r>
        <w:tab/>
        <w:t xml:space="preserve">If a court — </w:t>
      </w:r>
    </w:p>
    <w:p>
      <w:pPr>
        <w:pStyle w:val="Indenta"/>
      </w:pPr>
      <w:r>
        <w:tab/>
        <w:t>(a)</w:t>
      </w:r>
      <w:r>
        <w:tab/>
        <w:t>acquits a person of an offence to which a disqualification notice relates; or</w:t>
      </w:r>
    </w:p>
    <w:p>
      <w:pPr>
        <w:pStyle w:val="Indenta"/>
      </w:pPr>
      <w:r>
        <w:tab/>
        <w:t>(b)</w:t>
      </w:r>
      <w:r>
        <w:tab/>
        <w:t>dismisses a charge for an offence to which a disqualification notice relates,</w:t>
      </w:r>
    </w:p>
    <w:p>
      <w:pPr>
        <w:pStyle w:val="Subsection"/>
      </w:pPr>
      <w:r>
        <w:tab/>
      </w:r>
      <w:r>
        <w:tab/>
        <w:t>the disqualification notice is revoked.</w:t>
      </w:r>
    </w:p>
    <w:p>
      <w:pPr>
        <w:pStyle w:val="Subsection"/>
      </w:pPr>
      <w:r>
        <w:tab/>
        <w:t>(2)</w:t>
      </w:r>
      <w:r>
        <w:tab/>
        <w:t>If under this section a disqualification notice is revoked, the court is to cause particulars of the revocation to be sent to the CEO.</w:t>
      </w:r>
    </w:p>
    <w:p>
      <w:pPr>
        <w:pStyle w:val="Footnotesection"/>
      </w:pPr>
      <w:r>
        <w:tab/>
        <w:t>[Section 71G inserted by No. 51 of 2010 s. 11; amended by No. 8 of 2012 s. 18.]</w:t>
      </w:r>
    </w:p>
    <w:p>
      <w:pPr>
        <w:pStyle w:val="Heading5"/>
        <w:spacing w:before="240"/>
      </w:pPr>
      <w:bookmarkStart w:id="85" w:name="_Toc472087109"/>
      <w:r>
        <w:rPr>
          <w:rStyle w:val="CharSectno"/>
        </w:rPr>
        <w:t>71H</w:t>
      </w:r>
      <w:r>
        <w:t>.</w:t>
      </w:r>
      <w:r>
        <w:tab/>
        <w:t>Period of disqualification under s. 71C notice to be taken into account in sentencing</w:t>
      </w:r>
      <w:bookmarkEnd w:id="85"/>
    </w:p>
    <w:p>
      <w:pPr>
        <w:pStyle w:val="Subsection"/>
      </w:pPr>
      <w:r>
        <w:tab/>
        <w:t>(1)</w:t>
      </w:r>
      <w:r>
        <w:tab/>
        <w:t>This section applies if a court convicts a person of the offence to which a disqualification notice relates.</w:t>
      </w:r>
    </w:p>
    <w:p>
      <w:pPr>
        <w:pStyle w:val="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Footnotesection"/>
      </w:pPr>
      <w:r>
        <w:tab/>
        <w:t>[Section 71H inserted by No. 51 of 2010 s. 11.]</w:t>
      </w:r>
    </w:p>
    <w:p>
      <w:pPr>
        <w:pStyle w:val="Heading5"/>
        <w:spacing w:before="240"/>
        <w:rPr>
          <w:snapToGrid w:val="0"/>
        </w:rPr>
      </w:pPr>
      <w:bookmarkStart w:id="86" w:name="_Toc472087110"/>
      <w:r>
        <w:rPr>
          <w:rStyle w:val="CharSectno"/>
        </w:rPr>
        <w:t>72</w:t>
      </w:r>
      <w:r>
        <w:rPr>
          <w:snapToGrid w:val="0"/>
        </w:rPr>
        <w:t>.</w:t>
      </w:r>
      <w:r>
        <w:rPr>
          <w:snapToGrid w:val="0"/>
        </w:rPr>
        <w:tab/>
        <w:t>Taking and testing samples: regulations for s. 59 to 73, and approval of apparatus and persons</w:t>
      </w:r>
      <w:bookmarkEnd w:id="86"/>
    </w:p>
    <w:p>
      <w:pPr>
        <w:pStyle w:val="Subsection"/>
        <w:spacing w:before="18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 xml:space="preserve">sections 59 </w:t>
      </w:r>
      <w:r>
        <w:rPr>
          <w:snapToGrid w:val="0"/>
        </w:rPr>
        <w:t>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spacing w:before="180"/>
        <w:rPr>
          <w:snapToGrid w:val="0"/>
        </w:rPr>
      </w:pPr>
      <w:r>
        <w:rPr>
          <w:snapToGrid w:val="0"/>
        </w:rPr>
        <w:tab/>
      </w:r>
      <w:r>
        <w:rPr>
          <w:snapToGrid w:val="0"/>
        </w:rPr>
        <w:tab/>
        <w:t>and may, by notice so published, revoke any such approval.</w:t>
      </w:r>
    </w:p>
    <w:p>
      <w:pPr>
        <w:pStyle w:val="Subsection"/>
        <w:spacing w:before="180"/>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pPr>
      <w:r>
        <w:tab/>
        <w:t>(3A)</w:t>
      </w:r>
      <w:r>
        <w:tab/>
        <w:t xml:space="preserve">In subsections (2) and (2a) — </w:t>
      </w:r>
    </w:p>
    <w:p>
      <w:pPr>
        <w:pStyle w:val="Defstart"/>
      </w:pPr>
      <w:r>
        <w:tab/>
      </w:r>
      <w:r>
        <w:rPr>
          <w:rStyle w:val="CharDefText"/>
        </w:rPr>
        <w:t>Minister</w:t>
      </w:r>
      <w:r>
        <w:t xml:space="preserve"> means the Minister to whom the administration of the </w:t>
      </w:r>
      <w:r>
        <w:rPr>
          <w:i/>
        </w:rPr>
        <w:t>Police Act 1892</w:t>
      </w:r>
      <w:r>
        <w:t xml:space="preserve"> is committed.</w:t>
      </w:r>
    </w:p>
    <w:p>
      <w:pPr>
        <w:pStyle w:val="Subsection"/>
        <w:spacing w:before="180"/>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w:t>
      </w:r>
      <w:r>
        <w:t xml:space="preserve"> substances,</w:t>
      </w:r>
    </w:p>
    <w:p>
      <w:pPr>
        <w:pStyle w:val="Ednotepara"/>
        <w:rPr>
          <w:snapToGrid w:val="0"/>
        </w:rPr>
      </w:pPr>
      <w:r>
        <w:rPr>
          <w:snapToGrid w:val="0"/>
        </w:rPr>
        <w:tab/>
        <w:t>[(b)</w:t>
      </w:r>
      <w:r>
        <w:rPr>
          <w:snapToGrid w:val="0"/>
        </w:rPr>
        <w:tab/>
        <w:t>deleted]</w:t>
      </w:r>
    </w:p>
    <w:p>
      <w:pPr>
        <w:pStyle w:val="Subsection"/>
        <w:spacing w:before="120"/>
        <w:rPr>
          <w:snapToGrid w:val="0"/>
        </w:rPr>
      </w:pPr>
      <w:r>
        <w:rPr>
          <w:snapToGrid w:val="0"/>
        </w:rPr>
        <w:tab/>
      </w:r>
      <w:r>
        <w:rPr>
          <w:snapToGrid w:val="0"/>
        </w:rPr>
        <w:tab/>
        <w:t>and may rescind any certificate given under this subsection.</w:t>
      </w:r>
    </w:p>
    <w:p>
      <w:pPr>
        <w:pStyle w:val="Subsection"/>
      </w:pPr>
      <w:r>
        <w:tab/>
        <w:t>(4)</w:t>
      </w:r>
      <w:r>
        <w:tab/>
        <w:t xml:space="preserve">The Commissioner of Police may, from time to time — </w:t>
      </w:r>
    </w:p>
    <w:p>
      <w:pPr>
        <w:pStyle w:val="Indenta"/>
      </w:pPr>
      <w:r>
        <w:tab/>
        <w:t>(a)</w:t>
      </w:r>
      <w:r>
        <w:tab/>
        <w:t>certify a person as being competent to operate all types of breath analysing equipment; and</w:t>
      </w:r>
    </w:p>
    <w:p>
      <w:pPr>
        <w:pStyle w:val="Indenta"/>
      </w:pPr>
      <w:r>
        <w:tab/>
        <w:t>(b)</w:t>
      </w:r>
      <w:r>
        <w:tab/>
        <w:t>authorise a person to collect, and conduct drug testing of, samples of oral fluid for the purposes of section 66D; and</w:t>
      </w:r>
    </w:p>
    <w:p>
      <w:pPr>
        <w:pStyle w:val="Indenta"/>
      </w:pPr>
      <w:r>
        <w:tab/>
        <w:t>(c)</w:t>
      </w:r>
      <w:r>
        <w:tab/>
        <w:t>rescind or revoke a certificate or an authorisation.</w:t>
      </w:r>
    </w:p>
    <w:p>
      <w:pPr>
        <w:pStyle w:val="Subsection"/>
      </w:pPr>
      <w:r>
        <w:tab/>
        <w:t>(5)</w:t>
      </w:r>
      <w:r>
        <w:tab/>
        <w:t>The Commissioner of Police must not certify a person under subsection (4)(a) unless, in the Commissioner’s opinion, the person has the appropriate training to operate all types of breath analysing equipment.</w:t>
      </w:r>
    </w:p>
    <w:p>
      <w:pPr>
        <w:pStyle w:val="Subsection"/>
      </w:pPr>
      <w:r>
        <w:tab/>
        <w:t>(6)</w:t>
      </w:r>
      <w:r>
        <w:tab/>
        <w:t>The Commissioner of Police must not authorise a person under subsection (4)(b) unless, in the Commissioner’s opinion, the person has the appropriate training to collect, and conduct drug testing of, samples of oral fluid in accordance with the regulations.</w:t>
      </w:r>
    </w:p>
    <w:p>
      <w:pPr>
        <w:pStyle w:val="Subsection"/>
      </w:pPr>
      <w:r>
        <w:tab/>
        <w:t>(7)</w:t>
      </w:r>
      <w:r>
        <w:tab/>
        <w:t xml:space="preserve">If the certification of a person by the chief executive officer of the Chemistry Centre (WA) under subsection (3)(b) </w:t>
      </w:r>
      <w:r>
        <w:rPr>
          <w:snapToGrid w:val="0"/>
        </w:rPr>
        <w:t xml:space="preserve">was in effect immediately before </w:t>
      </w:r>
      <w:r>
        <w:t>commencement</w:t>
      </w:r>
      <w:r>
        <w:rPr>
          <w:snapToGrid w:val="0"/>
        </w:rPr>
        <w:t xml:space="preserve"> day, the </w:t>
      </w:r>
      <w:r>
        <w:t xml:space="preserve">certification </w:t>
      </w:r>
      <w:r>
        <w:rPr>
          <w:snapToGrid w:val="0"/>
        </w:rPr>
        <w:t xml:space="preserve">has effect, on and after </w:t>
      </w:r>
      <w:r>
        <w:t>commencement day,</w:t>
      </w:r>
      <w:r>
        <w:rPr>
          <w:snapToGrid w:val="0"/>
        </w:rPr>
        <w:t xml:space="preserve"> as if it were the certification of the person by the </w:t>
      </w:r>
      <w:r>
        <w:t>Commissioner of Police under subsection (4)(a) (including for the purposes of section 70(2)(a)).</w:t>
      </w:r>
    </w:p>
    <w:p>
      <w:pPr>
        <w:pStyle w:val="Subsection"/>
        <w:keepNext/>
      </w:pPr>
      <w:r>
        <w:tab/>
        <w:t>(8)</w:t>
      </w:r>
      <w:r>
        <w:tab/>
        <w:t xml:space="preserve">In subsection (7) — </w:t>
      </w:r>
    </w:p>
    <w:p>
      <w:pPr>
        <w:pStyle w:val="Defstart"/>
        <w:keepNext/>
      </w:pPr>
      <w:r>
        <w:tab/>
      </w:r>
      <w:r>
        <w:rPr>
          <w:rStyle w:val="CharDefText"/>
        </w:rPr>
        <w:t>commencement day</w:t>
      </w:r>
      <w:r>
        <w:t xml:space="preserve"> means the day on which the </w:t>
      </w:r>
      <w:r>
        <w:rPr>
          <w:i/>
        </w:rPr>
        <w:t>Road Traffic Legislation Amendment Act 2016</w:t>
      </w:r>
      <w:r>
        <w:t xml:space="preserve"> section 12 comes into operation.</w:t>
      </w:r>
    </w:p>
    <w:p>
      <w:pPr>
        <w:pStyle w:val="Footnotesection"/>
      </w:pPr>
      <w:r>
        <w:tab/>
        <w:t>[Section 72 amended by No. 82 of 1982 s. 19; No. 121 of 1987 s. 10; No. 19 of 1990 s. 8; No. 39 of 2000 s. 36; No. 44 of 2004 s. 11; No. 6 of 2007 s. 17; No. 10 of 2007 s. 43; No. 39 of 2007 s. 15; No. 25 of 2016 s. 12.]</w:t>
      </w:r>
    </w:p>
    <w:p>
      <w:pPr>
        <w:pStyle w:val="Heading5"/>
        <w:keepNext w:val="0"/>
        <w:keepLines w:val="0"/>
        <w:spacing w:before="180"/>
      </w:pPr>
      <w:bookmarkStart w:id="87" w:name="_Toc472087111"/>
      <w:r>
        <w:rPr>
          <w:rStyle w:val="CharSectno"/>
        </w:rPr>
        <w:t>72A</w:t>
      </w:r>
      <w:r>
        <w:t>.</w:t>
      </w:r>
      <w:r>
        <w:tab/>
        <w:t>Review of 2007 amendments to Act about drugs</w:t>
      </w:r>
      <w:bookmarkEnd w:id="87"/>
    </w:p>
    <w:p>
      <w:pPr>
        <w:pStyle w:val="Subsection"/>
        <w:spacing w:before="180"/>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spacing w:before="120"/>
      </w:pPr>
      <w:r>
        <w:tab/>
        <w:t>(2)</w:t>
      </w:r>
      <w:r>
        <w:tab/>
        <w:t>The Minister is to carry out a review of the operation and effectiveness of the amended provisions as soon as practicable after the end of the period of 12 months beginning on the commencement day.</w:t>
      </w:r>
    </w:p>
    <w:p>
      <w:pPr>
        <w:pStyle w:val="Subsection"/>
        <w:spacing w:before="120"/>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spacing w:before="180"/>
      </w:pPr>
      <w:r>
        <w:tab/>
        <w:t>(4)</w:t>
      </w:r>
      <w:r>
        <w:tab/>
        <w:t>The Minister is to prepare a report following the review and is to cause it to be laid before each House of Parliament before the end of the period of 18 months beginning on the commencement day.</w:t>
      </w:r>
    </w:p>
    <w:p>
      <w:pPr>
        <w:pStyle w:val="Subsection"/>
        <w:spacing w:before="180"/>
      </w:pPr>
      <w:r>
        <w:tab/>
        <w:t>(5)</w:t>
      </w:r>
      <w:r>
        <w:tab/>
        <w:t>If a House of Parliament is not sitting, the Minister may transmit a copy of the report to the Clerk of that House.</w:t>
      </w:r>
    </w:p>
    <w:p>
      <w:pPr>
        <w:pStyle w:val="Subsection"/>
        <w:spacing w:before="180"/>
      </w:pPr>
      <w:r>
        <w:tab/>
        <w:t>(6)</w:t>
      </w:r>
      <w:r>
        <w:tab/>
        <w:t>A copy of the report transmitted to the Clerk of a House is to be regarded as having been laid before the House.</w:t>
      </w:r>
    </w:p>
    <w:p>
      <w:pPr>
        <w:pStyle w:val="Subsection"/>
        <w:spacing w:before="180"/>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spacing w:before="180"/>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keepLines/>
      </w:pPr>
      <w:bookmarkStart w:id="88" w:name="_Toc468192096"/>
      <w:bookmarkStart w:id="89" w:name="_Toc472087112"/>
      <w:r>
        <w:rPr>
          <w:rStyle w:val="CharDivNo"/>
        </w:rPr>
        <w:t>Division 3</w:t>
      </w:r>
      <w:r>
        <w:t> — </w:t>
      </w:r>
      <w:r>
        <w:rPr>
          <w:rStyle w:val="CharDivText"/>
        </w:rPr>
        <w:t>General matters as to driving offences</w:t>
      </w:r>
      <w:bookmarkEnd w:id="88"/>
      <w:bookmarkEnd w:id="89"/>
    </w:p>
    <w:p>
      <w:pPr>
        <w:pStyle w:val="Footnoteheading"/>
        <w:keepNext/>
        <w:keepLines/>
      </w:pPr>
      <w:r>
        <w:tab/>
        <w:t>[Heading inserted by No. 10 of 2004 s. 10.]</w:t>
      </w:r>
    </w:p>
    <w:p>
      <w:pPr>
        <w:pStyle w:val="Heading5"/>
        <w:rPr>
          <w:snapToGrid w:val="0"/>
        </w:rPr>
      </w:pPr>
      <w:bookmarkStart w:id="90" w:name="_Toc472087113"/>
      <w:r>
        <w:rPr>
          <w:rStyle w:val="CharSectno"/>
        </w:rPr>
        <w:t>73</w:t>
      </w:r>
      <w:r>
        <w:rPr>
          <w:snapToGrid w:val="0"/>
        </w:rPr>
        <w:t>.</w:t>
      </w:r>
      <w:r>
        <w:rPr>
          <w:snapToGrid w:val="0"/>
        </w:rPr>
        <w:tab/>
        <w:t>Certain offences extend to driving or attempting to drive in public places</w:t>
      </w:r>
      <w:bookmarkEnd w:id="90"/>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ind w:left="890" w:hanging="890"/>
      </w:pPr>
      <w:r>
        <w:tab/>
        <w:t>[Section 73 amended by No. 10 of 2004 s. 11; No. 39 of 2007 s. 24.]</w:t>
      </w:r>
    </w:p>
    <w:p>
      <w:pPr>
        <w:pStyle w:val="Ednotesection"/>
      </w:pPr>
      <w:r>
        <w:t>[</w:t>
      </w:r>
      <w:r>
        <w:rPr>
          <w:b/>
        </w:rPr>
        <w:t>74.</w:t>
      </w:r>
      <w:r>
        <w:tab/>
        <w:t>Deleted by No. 51 of 2016 s. 13.]</w:t>
      </w:r>
    </w:p>
    <w:p>
      <w:pPr>
        <w:pStyle w:val="Ednotesection"/>
        <w:spacing w:before="160"/>
        <w:ind w:left="890" w:hanging="890"/>
      </w:pPr>
      <w:r>
        <w:rPr>
          <w:rStyle w:val="CharSectno"/>
        </w:rPr>
        <w:t xml:space="preserve"> </w:t>
      </w:r>
      <w:r>
        <w:t>[</w:t>
      </w:r>
      <w:r>
        <w:rPr>
          <w:b/>
        </w:rPr>
        <w:t>75-78.</w:t>
      </w:r>
      <w:r>
        <w:tab/>
        <w:t>Deleted by No. 8 of 2012 s. 20.]</w:t>
      </w:r>
    </w:p>
    <w:p>
      <w:pPr>
        <w:pStyle w:val="Heading3"/>
        <w:keepLines/>
        <w:spacing w:before="200"/>
      </w:pPr>
      <w:bookmarkStart w:id="91" w:name="_Toc468192099"/>
      <w:bookmarkStart w:id="92" w:name="_Toc472087114"/>
      <w:r>
        <w:rPr>
          <w:rStyle w:val="CharDivNo"/>
        </w:rPr>
        <w:t>Division 4</w:t>
      </w:r>
      <w:r>
        <w:t> — </w:t>
      </w:r>
      <w:r>
        <w:rPr>
          <w:rStyle w:val="CharDivText"/>
        </w:rPr>
        <w:t>Impounding and confiscation of vehicles for certain offences</w:t>
      </w:r>
      <w:bookmarkEnd w:id="91"/>
      <w:bookmarkEnd w:id="92"/>
    </w:p>
    <w:p>
      <w:pPr>
        <w:pStyle w:val="Footnoteheading"/>
        <w:keepNext/>
        <w:keepLines/>
      </w:pPr>
      <w:r>
        <w:tab/>
        <w:t>[Heading inserted by No. 10 of 2004 s. 13; amended by No. 4 of 2007 s. 12.]</w:t>
      </w:r>
    </w:p>
    <w:p>
      <w:pPr>
        <w:pStyle w:val="Heading4"/>
        <w:spacing w:before="200"/>
      </w:pPr>
      <w:bookmarkStart w:id="93" w:name="_Toc468192100"/>
      <w:bookmarkStart w:id="94" w:name="_Toc472087115"/>
      <w:r>
        <w:t>Subdivision 1 — Preliminary</w:t>
      </w:r>
      <w:bookmarkEnd w:id="93"/>
      <w:bookmarkEnd w:id="94"/>
    </w:p>
    <w:p>
      <w:pPr>
        <w:pStyle w:val="Footnoteheading"/>
      </w:pPr>
      <w:r>
        <w:tab/>
        <w:t>[Heading inserted by No. 10 of 2004 s. 13.]</w:t>
      </w:r>
    </w:p>
    <w:p>
      <w:pPr>
        <w:pStyle w:val="Heading5"/>
        <w:spacing w:before="180"/>
      </w:pPr>
      <w:bookmarkStart w:id="95" w:name="_Toc472087116"/>
      <w:r>
        <w:rPr>
          <w:rStyle w:val="CharSectno"/>
        </w:rPr>
        <w:t>78A</w:t>
      </w:r>
      <w:r>
        <w:t>.</w:t>
      </w:r>
      <w:r>
        <w:tab/>
        <w:t>Terms used</w:t>
      </w:r>
      <w:bookmarkEnd w:id="95"/>
    </w:p>
    <w:p>
      <w:pPr>
        <w:pStyle w:val="Subsection"/>
      </w:pPr>
      <w:r>
        <w:tab/>
        <w:t>(1)</w:t>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keepNex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 and</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w:t>
      </w:r>
      <w:r>
        <w:t>, in relation to a vehicle, means to store the vehicle following its seizure or surrender;</w:t>
      </w:r>
    </w:p>
    <w:p>
      <w:pPr>
        <w:pStyle w:val="Defstart"/>
        <w:keepNex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(ca), (c) or (da); or</w:t>
      </w:r>
    </w:p>
    <w:p>
      <w:pPr>
        <w:pStyle w:val="Indenta"/>
      </w:pPr>
      <w:r>
        <w:tab/>
        <w:t>(b)</w:t>
      </w:r>
      <w:r>
        <w:tab/>
        <w:t xml:space="preserve">an offence against the </w:t>
      </w:r>
      <w:r>
        <w:rPr>
          <w:i/>
        </w:rPr>
        <w:t>Road Traffic (Authorisation to Drive) Act 2008</w:t>
      </w:r>
      <w:r>
        <w:t xml:space="preserve"> section 38(1)(a);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keepNext/>
      </w:pPr>
      <w:r>
        <w:tab/>
      </w:r>
      <w:r>
        <w:rPr>
          <w:rStyle w:val="CharDefText"/>
        </w:rPr>
        <w:t>impounding offence (driving)</w:t>
      </w:r>
      <w:r>
        <w:t xml:space="preserve"> means — </w:t>
      </w:r>
    </w:p>
    <w:p>
      <w:pPr>
        <w:pStyle w:val="Defpara"/>
      </w:pPr>
      <w:r>
        <w:tab/>
        <w:t>(a)</w:t>
      </w:r>
      <w:r>
        <w:tab/>
        <w:t>an offence against section 60, 60A or 62A; or</w:t>
      </w:r>
    </w:p>
    <w:p>
      <w:pPr>
        <w:pStyle w:val="Defpara"/>
      </w:pPr>
      <w:r>
        <w:tab/>
        <w:t>(b)</w:t>
      </w:r>
      <w:r>
        <w:tab/>
        <w:t xml:space="preserve">an offence committed before the coming into operation of the </w:t>
      </w:r>
      <w:r>
        <w:rPr>
          <w:i/>
        </w:rPr>
        <w:t>Road Traffic Amendment (Impounding and Confiscation of Vehicles) Act 2016</w:t>
      </w:r>
      <w:r>
        <w:t xml:space="preserve"> section 14 that was an impounding offence (driving) as defined in this section as in force when the offence was committed;</w:t>
      </w:r>
    </w:p>
    <w:p>
      <w:pPr>
        <w:pStyle w:val="Defstart"/>
      </w:pPr>
      <w:r>
        <w:rPr>
          <w:b/>
        </w:rPr>
        <w:tab/>
      </w:r>
      <w:r>
        <w:rPr>
          <w:rStyle w:val="CharDefText"/>
        </w:rPr>
        <w:t>impounding or confiscation order</w:t>
      </w:r>
      <w:r>
        <w:t xml:space="preserve"> means — </w:t>
      </w:r>
    </w:p>
    <w:p>
      <w:pPr>
        <w:pStyle w:val="Defpara"/>
      </w:pPr>
      <w:r>
        <w:tab/>
        <w:t>(a)</w:t>
      </w:r>
      <w:r>
        <w:tab/>
        <w:t>a court order made under section 80A, 80B(1), 80C(1), 80CA(1), 80CB(1) or 80FA; or</w:t>
      </w:r>
    </w:p>
    <w:p>
      <w:pPr>
        <w:pStyle w:val="Defpara"/>
      </w:pPr>
      <w:r>
        <w:tab/>
        <w:t>(b)</w:t>
      </w:r>
      <w:r>
        <w:tab/>
        <w:t xml:space="preserve">a court order made before the coming into operation of the </w:t>
      </w:r>
      <w:r>
        <w:rPr>
          <w:i/>
        </w:rPr>
        <w:t>Road Traffic Amendment (Impounding and Confiscation of Vehicles) Act 2016</w:t>
      </w:r>
      <w:r>
        <w:t xml:space="preserve"> section 14 that was an impounding or confiscation order as defined in this section as in force when the order was made;</w:t>
      </w:r>
    </w:p>
    <w:p>
      <w:pPr>
        <w:pStyle w:val="Defstart"/>
      </w:pPr>
      <w:r>
        <w:rPr>
          <w:b/>
        </w:rPr>
        <w:tab/>
      </w:r>
      <w:r>
        <w:rPr>
          <w:rStyle w:val="CharDefText"/>
        </w:rPr>
        <w:t>impounding order</w:t>
      </w:r>
      <w:r>
        <w:t xml:space="preserve"> means a court order under section 80B(1), 80CA(1) or 80FA;</w:t>
      </w:r>
    </w:p>
    <w:p>
      <w:pPr>
        <w:pStyle w:val="Defstart"/>
      </w:pPr>
      <w:r>
        <w:rPr>
          <w:b/>
        </w:rPr>
        <w:tab/>
      </w:r>
      <w:r>
        <w:rPr>
          <w:rStyle w:val="CharDefText"/>
        </w:rPr>
        <w:t>impounding period</w:t>
      </w:r>
      <w:r>
        <w:t xml:space="preserve"> means the period for which the vehicle is specified to be impounded;</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tab/>
      </w:r>
      <w:r>
        <w:rPr>
          <w:rStyle w:val="CharDefText"/>
        </w:rPr>
        <w:t>reasonable expenses</w:t>
      </w:r>
      <w:r>
        <w:t>, of the Commissioner, means expenses reasonably incurred by, and currently owing to, the Commissioner;</w:t>
      </w:r>
    </w:p>
    <w:p>
      <w:pPr>
        <w:pStyle w:val="Defstart"/>
      </w:pPr>
      <w:r>
        <w:rPr>
          <w:b/>
        </w:rPr>
        <w:tab/>
      </w:r>
      <w:r>
        <w:rPr>
          <w:rStyle w:val="CharDefText"/>
        </w:rPr>
        <w:t>road rage circumstances</w:t>
      </w:r>
      <w:r>
        <w:t xml:space="preserve"> accompany the commission of an offence if — </w:t>
      </w:r>
    </w:p>
    <w:p>
      <w:pPr>
        <w:pStyle w:val="Ednotedefpara"/>
        <w:rPr>
          <w:iCs/>
        </w:rPr>
      </w:pPr>
      <w:r>
        <w:rPr>
          <w:iCs/>
        </w:rPr>
        <w:tab/>
        <w:t>[(a)</w:t>
      </w:r>
      <w:r>
        <w:rPr>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spacing w:before="60"/>
      </w:pPr>
      <w:r>
        <w:tab/>
        <w:t>(ii)</w:t>
      </w:r>
      <w:r>
        <w:tab/>
        <w:t>a victim of the offence is using the same road or place, whether as the driver of, or a passenger in, another vehicle or otherwise;</w:t>
      </w:r>
    </w:p>
    <w:p>
      <w:pPr>
        <w:pStyle w:val="Defstart"/>
      </w:pPr>
      <w:r>
        <w:rPr>
          <w:b/>
        </w:rPr>
        <w:tab/>
      </w:r>
      <w:r>
        <w:rPr>
          <w:rStyle w:val="CharDefText"/>
        </w:rPr>
        <w:t>road rage offence</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as in force from time to time, or 60A in circumstances that involve the offender driving in a manner that is dangerous to a particular victim;</w:t>
      </w:r>
    </w:p>
    <w:p>
      <w:pPr>
        <w:pStyle w:val="Defstart"/>
      </w:pPr>
      <w:r>
        <w:rPr>
          <w:b/>
        </w:rPr>
        <w:tab/>
      </w:r>
      <w:r>
        <w:rPr>
          <w:rStyle w:val="CharDefText"/>
        </w:rPr>
        <w:t>senior police officer</w:t>
      </w:r>
      <w:r>
        <w:t xml:space="preserve"> means a police officer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keepNex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Subsection"/>
      </w:pPr>
      <w:r>
        <w:tab/>
        <w:t>(2)</w:t>
      </w:r>
      <w:r>
        <w:tab/>
        <w:t xml:space="preserve">In this Division, section 60(1A) is the offence for which a vehicle was impounded if — </w:t>
      </w:r>
    </w:p>
    <w:p>
      <w:pPr>
        <w:pStyle w:val="Indenta"/>
      </w:pPr>
      <w:r>
        <w:tab/>
        <w:t>(a)</w:t>
      </w:r>
      <w:r>
        <w:tab/>
        <w:t>in relation to the driving of the vehicle, a person is charged with an offence against section 60A(1) or (2); and</w:t>
      </w:r>
    </w:p>
    <w:p>
      <w:pPr>
        <w:pStyle w:val="Indenta"/>
      </w:pPr>
      <w:r>
        <w:tab/>
        <w:t>(b)</w:t>
      </w:r>
      <w:r>
        <w:tab/>
        <w:t>under section 60A(3), the person is instead convicted of an offence against section 60(1A).</w:t>
      </w:r>
    </w:p>
    <w:p>
      <w:pPr>
        <w:pStyle w:val="Subsection"/>
      </w:pPr>
      <w:r>
        <w:tab/>
        <w:t>(3)</w:t>
      </w:r>
      <w:r>
        <w:tab/>
        <w:t xml:space="preserve">In this Division, section 60A(1) is the offence for which a vehicle was impounded if — </w:t>
      </w:r>
    </w:p>
    <w:p>
      <w:pPr>
        <w:pStyle w:val="Indenta"/>
      </w:pPr>
      <w:r>
        <w:tab/>
        <w:t>(a)</w:t>
      </w:r>
      <w:r>
        <w:tab/>
        <w:t>in relation to the driving of the vehicle, a person is charged with an offence against section 60(1A); and</w:t>
      </w:r>
    </w:p>
    <w:p>
      <w:pPr>
        <w:pStyle w:val="Indenta"/>
      </w:pPr>
      <w:r>
        <w:tab/>
        <w:t>(b)</w:t>
      </w:r>
      <w:r>
        <w:tab/>
        <w:t>under section 60(2), the person is instead convicted of an offence against section 60A(1).</w:t>
      </w:r>
    </w:p>
    <w:p>
      <w:pPr>
        <w:pStyle w:val="Subsection"/>
      </w:pPr>
      <w:r>
        <w:tab/>
        <w:t>(4)</w:t>
      </w:r>
      <w:r>
        <w:tab/>
        <w:t xml:space="preserve">In this Division, section 60A(2) is the offence for which a vehicle was impounded if — </w:t>
      </w:r>
    </w:p>
    <w:p>
      <w:pPr>
        <w:pStyle w:val="Indenta"/>
      </w:pPr>
      <w:r>
        <w:tab/>
        <w:t>(a)</w:t>
      </w:r>
      <w:r>
        <w:tab/>
        <w:t>in relation to the driving of the vehicle, a person is charged with an offence against section 60(1A); and</w:t>
      </w:r>
    </w:p>
    <w:p>
      <w:pPr>
        <w:pStyle w:val="Indenta"/>
      </w:pPr>
      <w:r>
        <w:tab/>
        <w:t>(b)</w:t>
      </w:r>
      <w:r>
        <w:tab/>
        <w:t>under section 60(2), the person is instead convicted of an offence against section 60A(2).</w:t>
      </w:r>
    </w:p>
    <w:p>
      <w:pPr>
        <w:pStyle w:val="Subsection"/>
      </w:pPr>
      <w:r>
        <w:tab/>
        <w:t>(5)</w:t>
      </w:r>
      <w:r>
        <w:tab/>
        <w:t>In this Division, section 62A, as in force from time to time, is the offence for which a vehicle was impounded if —</w:t>
      </w:r>
    </w:p>
    <w:p>
      <w:pPr>
        <w:pStyle w:val="Indenta"/>
      </w:pPr>
      <w:r>
        <w:tab/>
        <w:t>(a)</w:t>
      </w:r>
      <w:r>
        <w:tab/>
        <w:t xml:space="preserve">in relation to the driving of the vehicle, a person is charged with an offence against — </w:t>
      </w:r>
    </w:p>
    <w:p>
      <w:pPr>
        <w:pStyle w:val="Indenti"/>
      </w:pPr>
      <w:r>
        <w:tab/>
        <w:t>(i)</w:t>
      </w:r>
      <w:r>
        <w:tab/>
        <w:t xml:space="preserve">section 60(1A); or </w:t>
      </w:r>
    </w:p>
    <w:p>
      <w:pPr>
        <w:pStyle w:val="Indenti"/>
      </w:pPr>
      <w:r>
        <w:tab/>
        <w:t>(ii)</w:t>
      </w:r>
      <w:r>
        <w:tab/>
        <w:t xml:space="preserve">section 60(1) as in force before the coming into operation of the </w:t>
      </w:r>
      <w:r>
        <w:rPr>
          <w:i/>
        </w:rPr>
        <w:t>Road Traffic Amendment (Impounding and Confiscation of Vehicles) Act 2016</w:t>
      </w:r>
      <w:r>
        <w:t xml:space="preserve"> section 14; </w:t>
      </w:r>
    </w:p>
    <w:p>
      <w:pPr>
        <w:pStyle w:val="Indenta"/>
      </w:pPr>
      <w:r>
        <w:tab/>
      </w:r>
      <w:r>
        <w:tab/>
        <w:t>and</w:t>
      </w:r>
    </w:p>
    <w:p>
      <w:pPr>
        <w:pStyle w:val="Indenta"/>
      </w:pPr>
      <w:r>
        <w:tab/>
        <w:t>(b)</w:t>
      </w:r>
      <w:r>
        <w:tab/>
        <w:t>under section 60(2), the person is instead convicted of an offence against section 62A.</w:t>
      </w:r>
    </w:p>
    <w:p>
      <w:pPr>
        <w:pStyle w:val="Footnotesection"/>
      </w:pPr>
      <w:r>
        <w:tab/>
        <w:t>[Section 78A inserted by No. 10 of 2004 s. 13; amended by No. 54 of 2006 s. 25; No. 4 of 2007 s. 4, 11, 13 and 30; No. 24 of 2008 s. 5; No. 23 of 2009 s. 7; No. 14 of 2010 s. 12; No. 8 of 2012 s. 21 (as amended by No. 10 of 2015 s. 17); No. 2 of 2015 s. 13; No. 25 of 2016 s. 63; No. 51 of 2016 s. 14.]</w:t>
      </w:r>
    </w:p>
    <w:p>
      <w:pPr>
        <w:pStyle w:val="Footnotesection"/>
      </w:pPr>
      <w:r>
        <w:tab/>
        <w:t>[Section 78A. Modifications to be applied in order to give effect to Cross</w:t>
      </w:r>
      <w:r>
        <w:noBreakHyphen/>
        <w:t>border Justice Act 2008: section altered 1 Nov 2009. See endnote 1M.]</w:t>
      </w:r>
    </w:p>
    <w:p>
      <w:pPr>
        <w:pStyle w:val="Heading5"/>
        <w:spacing w:before="180"/>
      </w:pPr>
      <w:bookmarkStart w:id="96" w:name="_Toc472087117"/>
      <w:r>
        <w:rPr>
          <w:rStyle w:val="CharSectno"/>
        </w:rPr>
        <w:t>78B</w:t>
      </w:r>
      <w:r>
        <w:t>.</w:t>
      </w:r>
      <w:r>
        <w:tab/>
        <w:t>Penalties etc. not affected by impounding etc.</w:t>
      </w:r>
      <w:bookmarkEnd w:id="96"/>
    </w:p>
    <w:p>
      <w:pPr>
        <w:pStyle w:val="Subsection"/>
        <w:spacing w:before="120"/>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97" w:name="_Toc472087118"/>
      <w:r>
        <w:rPr>
          <w:rStyle w:val="CharSectno"/>
        </w:rPr>
        <w:t>78C</w:t>
      </w:r>
      <w:r>
        <w:rPr>
          <w:snapToGrid w:val="0"/>
        </w:rPr>
        <w:t>.</w:t>
      </w:r>
      <w:r>
        <w:rPr>
          <w:snapToGrid w:val="0"/>
        </w:rPr>
        <w:tab/>
        <w:t>Police powers for this Division</w:t>
      </w:r>
      <w:bookmarkEnd w:id="97"/>
    </w:p>
    <w:p>
      <w:pPr>
        <w:pStyle w:val="Subsection"/>
      </w:pPr>
      <w:r>
        <w:tab/>
        <w:t>(1)</w:t>
      </w:r>
      <w:r>
        <w:tab/>
        <w:t>A police officer and any person assisting a police officer in the exercise of a power under section 79(1), 79A(1) or 80O(2)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police officer may take possession of a vehicle for the purpose of impounding it under section 79BB(2), 79BCB(2), 79BCE(2) or 80Q(2).</w:t>
      </w:r>
    </w:p>
    <w:p>
      <w:pPr>
        <w:pStyle w:val="Subsection"/>
      </w:pPr>
      <w:r>
        <w:tab/>
        <w:t>(2)</w:t>
      </w:r>
      <w:r>
        <w:tab/>
        <w:t>A police officer and any person assisting a police officer giving effect to the impounding of a vehicle under section 79BB(2), 79BCB(2), 79BCE(2) or 80Q(2)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police officer may seize the keys to a vehicle that is —</w:t>
      </w:r>
    </w:p>
    <w:p>
      <w:pPr>
        <w:pStyle w:val="Indenta"/>
      </w:pPr>
      <w:r>
        <w:tab/>
        <w:t>(a)</w:t>
      </w:r>
      <w:r>
        <w:tab/>
        <w:t>impounded under section 79(1), 79A(1) or 80O(2); or</w:t>
      </w:r>
    </w:p>
    <w:p>
      <w:pPr>
        <w:pStyle w:val="Indenta"/>
      </w:pPr>
      <w:r>
        <w:tab/>
        <w:t>(aa)</w:t>
      </w:r>
      <w:r>
        <w:tab/>
        <w:t>impounded, or to be impounded, under section 79BB(1) or (2), 79BCB(1) or (2), 79BCE(1) or (2) or 80Q(2); or</w:t>
      </w:r>
    </w:p>
    <w:p>
      <w:pPr>
        <w:pStyle w:val="Ednotepara"/>
      </w:pPr>
      <w:r>
        <w:tab/>
        <w:t>[(ba)</w:t>
      </w:r>
      <w:r>
        <w:tab/>
        <w:t>deleted]</w:t>
      </w:r>
    </w:p>
    <w:p>
      <w:pPr>
        <w:pStyle w:val="Indenta"/>
      </w:pPr>
      <w:r>
        <w:tab/>
        <w:t>(b)</w:t>
      </w:r>
      <w:r>
        <w:tab/>
        <w:t>the subject of an impounding or confiscation order but which is not surrendered to the Commissioner within the surrender period.</w:t>
      </w:r>
    </w:p>
    <w:p>
      <w:pPr>
        <w:pStyle w:val="Subsection"/>
      </w:pPr>
      <w:r>
        <w:tab/>
        <w:t>(4)</w:t>
      </w:r>
      <w:r>
        <w:tab/>
        <w:t>If a police officer reasonably suspects that the keys to a vehicle referred to in subsection (3)(aa) or (b) are, or the vehicle is, in any premises, the police officer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keepNext/>
        <w:spacing w:before="100"/>
      </w:pPr>
      <w:r>
        <w:tab/>
        <w:t>(b)</w:t>
      </w:r>
      <w:r>
        <w:tab/>
        <w:t>in addition to the powers under any other road law in relation to the moving of vehicles.</w:t>
      </w:r>
    </w:p>
    <w:p>
      <w:pPr>
        <w:pStyle w:val="Footnotesection"/>
        <w:ind w:left="890" w:hanging="890"/>
      </w:pPr>
      <w:r>
        <w:tab/>
        <w:t>[Section 78C inserted by No. 10 of 2004 s. 13; amended by No. 4 of 2007 s. 14; No. 24 of 2008 s. 23 and 24(1); No. 23 of 2009 s. 8; No. 20 of 2010 s. 4; No. 8 of 2012 s. 22, 37 and 38; No. 51 of 2016 s. 15.]</w:t>
      </w:r>
    </w:p>
    <w:p>
      <w:pPr>
        <w:pStyle w:val="Footnotesection"/>
        <w:ind w:left="890" w:hanging="890"/>
      </w:pPr>
      <w:r>
        <w:tab/>
        <w:t>[Section 78C. Modifications to be applied in order to give effect to Cross</w:t>
      </w:r>
      <w:r>
        <w:noBreakHyphen/>
        <w:t>border Justice Act 2008: section altered 1 Nov 2009. See endnote 1M.]</w:t>
      </w:r>
    </w:p>
    <w:p>
      <w:pPr>
        <w:pStyle w:val="Heading5"/>
      </w:pPr>
      <w:bookmarkStart w:id="98" w:name="_Toc472087119"/>
      <w:r>
        <w:rPr>
          <w:rStyle w:val="CharSectno"/>
        </w:rPr>
        <w:t>78D</w:t>
      </w:r>
      <w:r>
        <w:t>.</w:t>
      </w:r>
      <w:r>
        <w:tab/>
        <w:t>Contracts for conveying, storing etc. impounded etc. vehicles</w:t>
      </w:r>
      <w:bookmarkEnd w:id="98"/>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79BCE, 80O(2) or 80Q(1) or (2)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80JA, 80J or 80V;</w:t>
      </w:r>
    </w:p>
    <w:p>
      <w:pPr>
        <w:pStyle w:val="Indenta"/>
      </w:pPr>
      <w:r>
        <w:tab/>
        <w:t>(c)</w:t>
      </w:r>
      <w:r>
        <w:tab/>
        <w:t>otherwise assisting the Commissioner and police officers in the performance of their respective functions under this Division.</w:t>
      </w:r>
    </w:p>
    <w:p>
      <w:pPr>
        <w:pStyle w:val="Footnotesection"/>
        <w:spacing w:before="100"/>
        <w:ind w:left="890" w:hanging="890"/>
      </w:pPr>
      <w:r>
        <w:tab/>
        <w:t>[Section 78D inserted by No. 10 of 2004 s. 13; amended by No. 4 of 2007 s. 15; No. 24 of 2008 s. 23 and 24(2); No. 23 of 2009 s. 9; No. 20 of 2010 s. 5; No. 8 of 2012 s. 23; No. 51 of 2016 s. 16.]</w:t>
      </w:r>
    </w:p>
    <w:p>
      <w:pPr>
        <w:pStyle w:val="Heading5"/>
        <w:spacing w:before="180"/>
      </w:pPr>
      <w:bookmarkStart w:id="99" w:name="_Toc472087120"/>
      <w:r>
        <w:rPr>
          <w:rStyle w:val="CharSectno"/>
        </w:rPr>
        <w:t>78E</w:t>
      </w:r>
      <w:r>
        <w:t>.</w:t>
      </w:r>
      <w:r>
        <w:tab/>
        <w:t>Expenses owed to Commissioner, recovery of</w:t>
      </w:r>
      <w:bookmarkEnd w:id="99"/>
    </w:p>
    <w:p>
      <w:pPr>
        <w:pStyle w:val="Subsection"/>
        <w:spacing w:before="120"/>
      </w:pPr>
      <w:r>
        <w:tab/>
      </w:r>
      <w:r>
        <w:tab/>
        <w:t>The Commissioner may recover expenses for which a person is liable under section 79E, 80H, 80I, 80K, 80LA or 80W from that person in a court of competent jurisdiction as a debt due to the Commissioner.</w:t>
      </w:r>
    </w:p>
    <w:p>
      <w:pPr>
        <w:pStyle w:val="Footnotesection"/>
        <w:spacing w:before="100"/>
        <w:ind w:left="890" w:hanging="890"/>
      </w:pPr>
      <w:r>
        <w:tab/>
        <w:t>[Section 78E inserted by No. 10 of 2004 s. 13; amended by No. 23 of 2009 s. 10; No. 51 of 2016 s. 17.]</w:t>
      </w:r>
    </w:p>
    <w:p>
      <w:pPr>
        <w:pStyle w:val="Heading5"/>
      </w:pPr>
      <w:bookmarkStart w:id="100" w:name="_Toc472068383"/>
      <w:bookmarkStart w:id="101" w:name="_Toc472087121"/>
      <w:bookmarkStart w:id="102" w:name="_Toc468192106"/>
      <w:r>
        <w:rPr>
          <w:rStyle w:val="CharSectno"/>
        </w:rPr>
        <w:t>78F</w:t>
      </w:r>
      <w:r>
        <w:t>.</w:t>
      </w:r>
      <w:r>
        <w:tab/>
        <w:t>Right of Commissioner of Police to be heard in proceedings under this Division</w:t>
      </w:r>
      <w:bookmarkEnd w:id="100"/>
      <w:bookmarkEnd w:id="101"/>
    </w:p>
    <w:p>
      <w:pPr>
        <w:pStyle w:val="Subsection"/>
      </w:pPr>
      <w:r>
        <w:tab/>
        <w:t>(1)</w:t>
      </w:r>
      <w:r>
        <w:tab/>
        <w:t>The Commissioner of Police has a right to be heard in proceedings under this Division.</w:t>
      </w:r>
    </w:p>
    <w:p>
      <w:pPr>
        <w:pStyle w:val="Subsection"/>
      </w:pPr>
      <w:r>
        <w:tab/>
        <w:t>(2)</w:t>
      </w:r>
      <w:r>
        <w:tab/>
        <w:t>The Commissioner of Police may be represented in those proceedings by any person the Commissioner authorises for that purpose.</w:t>
      </w:r>
    </w:p>
    <w:p>
      <w:pPr>
        <w:pStyle w:val="Footnotesection"/>
      </w:pPr>
      <w:r>
        <w:tab/>
        <w:t>[Section 78F inserted by No. 51 of 2016 s. 18.]</w:t>
      </w:r>
    </w:p>
    <w:p>
      <w:pPr>
        <w:pStyle w:val="BlankClose"/>
      </w:pPr>
    </w:p>
    <w:p>
      <w:pPr>
        <w:pStyle w:val="Heading4"/>
        <w:keepLines/>
        <w:spacing w:before="200"/>
      </w:pPr>
      <w:bookmarkStart w:id="103" w:name="_Toc472087122"/>
      <w:r>
        <w:t>Subdivision 2 — Impounding of vehicles by police</w:t>
      </w:r>
      <w:bookmarkEnd w:id="102"/>
      <w:r>
        <w:t xml:space="preserve"> for certain offences</w:t>
      </w:r>
      <w:bookmarkEnd w:id="103"/>
    </w:p>
    <w:p>
      <w:pPr>
        <w:pStyle w:val="Footnoteheading"/>
        <w:keepNext/>
        <w:keepLines/>
      </w:pPr>
      <w:r>
        <w:tab/>
        <w:t>[Heading inserted by No. 10 of 2004 s. 13; amended by No. 51 of 2016 s. 19.]</w:t>
      </w:r>
    </w:p>
    <w:p>
      <w:pPr>
        <w:pStyle w:val="Heading5"/>
        <w:spacing w:before="180"/>
      </w:pPr>
      <w:bookmarkStart w:id="104" w:name="_Toc472087123"/>
      <w:r>
        <w:rPr>
          <w:rStyle w:val="CharSectno"/>
        </w:rPr>
        <w:t>79</w:t>
      </w:r>
      <w:r>
        <w:t>.</w:t>
      </w:r>
      <w:r>
        <w:tab/>
        <w:t>Impounding offence (driving), police powers to impound vehicle used in</w:t>
      </w:r>
      <w:bookmarkEnd w:id="104"/>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spacing w:before="120"/>
      </w:pPr>
      <w:r>
        <w:tab/>
        <w:t>(1)</w:t>
      </w:r>
      <w:r>
        <w:tab/>
        <w:t>If a police officer reasonably suspects that, while driving a vehicle, the driver has committed an impounding offence (driving), the police officer must, unless in the circumstances it is impracticable to do so, seize and impound the vehicle within a period of 28 days after the day of the offence.</w:t>
      </w:r>
    </w:p>
    <w:p>
      <w:pPr>
        <w:pStyle w:val="Subsection"/>
        <w:spacing w:before="120"/>
      </w:pPr>
      <w:r>
        <w:tab/>
        <w:t>(2)</w:t>
      </w:r>
      <w:r>
        <w:tab/>
        <w:t xml:space="preserve">The period for which the vehicle is impounded ends — </w:t>
      </w:r>
    </w:p>
    <w:p>
      <w:pPr>
        <w:pStyle w:val="Indenta"/>
      </w:pPr>
      <w:r>
        <w:tab/>
        <w:t>(a)</w:t>
      </w:r>
      <w:r>
        <w:tab/>
        <w:t>unless the police officer specifies a longer period under paragraph (b) or the Commissioner extends the period under subsection (3), on the 28th day after the day on which the vehicle is impounded;</w:t>
      </w:r>
    </w:p>
    <w:p>
      <w:pPr>
        <w:pStyle w:val="Indenta"/>
      </w:pPr>
      <w:r>
        <w:tab/>
        <w:t>(b)</w:t>
      </w:r>
      <w:r>
        <w:tab/>
        <w:t>if, under subsection (3A), the police officer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police officer reasonably believes that the driver of the vehicle is a previous offender, the police officer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police officer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pPr>
      <w:r>
        <w:tab/>
        <w:t>(4)</w:t>
      </w:r>
      <w:r>
        <w:tab/>
        <w:t>The giving of a notice under section 79B(1) does not prevent the Commissioner from, under subsection (3), extending the period for which the vehicle is impounded.</w:t>
      </w:r>
    </w:p>
    <w:p>
      <w:pPr>
        <w:pStyle w:val="Subsection"/>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 No. 8 of 2012 s. 37 and 38; No. 51 of 2016 s. 20.]</w:t>
      </w:r>
    </w:p>
    <w:p>
      <w:pPr>
        <w:pStyle w:val="Heading5"/>
        <w:spacing w:before="180"/>
      </w:pPr>
      <w:bookmarkStart w:id="105" w:name="_Toc472087124"/>
      <w:r>
        <w:rPr>
          <w:rStyle w:val="CharSectno"/>
        </w:rPr>
        <w:t>79A</w:t>
      </w:r>
      <w:r>
        <w:t>.</w:t>
      </w:r>
      <w:r>
        <w:tab/>
        <w:t>Impounding offence (driver’s licence), police powers to impound vehicle used in</w:t>
      </w:r>
      <w:bookmarkEnd w:id="105"/>
    </w:p>
    <w:p>
      <w:pPr>
        <w:pStyle w:val="Subsection"/>
        <w:spacing w:before="120"/>
      </w:pPr>
      <w:r>
        <w:tab/>
        <w:t>(1)</w:t>
      </w:r>
      <w:r>
        <w:tab/>
        <w:t>If a police officer reasonably suspects that, while driving a vehicle, the driver has committed an impounding offence (driver’s licence), the police officer must, unless in the circumstances it is impracticable to do so, seize and impound the vehicle within a period of 28 days after the day of the offence.</w:t>
      </w:r>
    </w:p>
    <w:p>
      <w:pPr>
        <w:pStyle w:val="Subsection"/>
      </w:pPr>
      <w:r>
        <w:tab/>
        <w:t>(2)</w:t>
      </w:r>
      <w:r>
        <w:tab/>
        <w:t>The period for which the vehicle is impounded ends on the 28</w:t>
      </w:r>
      <w:r>
        <w:rPr>
          <w:vertAlign w:val="superscript"/>
        </w:rPr>
        <w:t>th</w:t>
      </w:r>
      <w:r>
        <w:t> day after the day on which the vehicle is impounded.</w:t>
      </w:r>
    </w:p>
    <w:p>
      <w:pPr>
        <w:pStyle w:val="Footnotesection"/>
      </w:pPr>
      <w:r>
        <w:tab/>
        <w:t>[Section 79A inserted by No. 23 of 2009 s. 12; amended by No. 8 of 2012 s. 37 and 38; No. 51 of 2016 s. 21.]</w:t>
      </w:r>
    </w:p>
    <w:p>
      <w:pPr>
        <w:pStyle w:val="Heading5"/>
        <w:spacing w:before="240"/>
      </w:pPr>
      <w:bookmarkStart w:id="106" w:name="_Toc472087125"/>
      <w:r>
        <w:rPr>
          <w:rStyle w:val="CharSectno"/>
        </w:rPr>
        <w:t>79BA</w:t>
      </w:r>
      <w:r>
        <w:t>.</w:t>
      </w:r>
      <w:r>
        <w:tab/>
        <w:t>Notice to surrender vehicle for impoundment, issue of etc.</w:t>
      </w:r>
      <w:bookmarkEnd w:id="106"/>
    </w:p>
    <w:p>
      <w:pPr>
        <w:pStyle w:val="Subsection"/>
      </w:pPr>
      <w:r>
        <w:tab/>
        <w:t>(1)</w:t>
      </w:r>
      <w:r>
        <w:tab/>
        <w:t>This section applies if —</w:t>
      </w:r>
    </w:p>
    <w:p>
      <w:pPr>
        <w:pStyle w:val="Indenta"/>
      </w:pPr>
      <w:r>
        <w:tab/>
        <w:t>(a)</w:t>
      </w:r>
      <w:r>
        <w:tab/>
        <w:t xml:space="preserve">a police officer (the </w:t>
      </w:r>
      <w:r>
        <w:rPr>
          <w:rStyle w:val="CharDefText"/>
        </w:rPr>
        <w:t>police officer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pPr>
      <w:r>
        <w:tab/>
        <w:t>(b)</w:t>
      </w:r>
      <w:r>
        <w:tab/>
        <w:t>the police officer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police officer forms the necessary suspicion the impounding can most conveniently be achieved by giving a notice under this section.</w:t>
      </w:r>
    </w:p>
    <w:p>
      <w:pPr>
        <w:pStyle w:val="Subsection"/>
      </w:pPr>
      <w:r>
        <w:tab/>
        <w:t>(2)</w:t>
      </w:r>
      <w:r>
        <w:tab/>
        <w:t xml:space="preserve">If this section applies the police officer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keepLines/>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keepNext/>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 (6); and</w:t>
      </w:r>
    </w:p>
    <w:p>
      <w:pPr>
        <w:pStyle w:val="Indenta"/>
      </w:pPr>
      <w:r>
        <w:tab/>
        <w:t>(c)</w:t>
      </w:r>
      <w:r>
        <w:tab/>
        <w:t>a statement to the effect that failure to comply with the notice will result in the vehicle being impounded under section 79BB(2).</w:t>
      </w:r>
    </w:p>
    <w:p>
      <w:pPr>
        <w:pStyle w:val="Footnotesection"/>
      </w:pPr>
      <w:r>
        <w:tab/>
        <w:t>[Section 79BA inserted by No. 23 of 2009 s. 12; amended by No. 8 of 2012 s. 24 and 38; No. 51 of 2016 s. 22.]</w:t>
      </w:r>
    </w:p>
    <w:p>
      <w:pPr>
        <w:pStyle w:val="Heading5"/>
        <w:spacing w:before="240"/>
      </w:pPr>
      <w:bookmarkStart w:id="107" w:name="_Toc472087126"/>
      <w:r>
        <w:rPr>
          <w:rStyle w:val="CharSectno"/>
        </w:rPr>
        <w:t>79BB</w:t>
      </w:r>
      <w:r>
        <w:t>.</w:t>
      </w:r>
      <w:r>
        <w:tab/>
        <w:t>Consequences of surrender notice</w:t>
      </w:r>
      <w:bookmarkEnd w:id="107"/>
    </w:p>
    <w:p>
      <w:pPr>
        <w:pStyle w:val="Subsection"/>
        <w:spacing w:before="180"/>
      </w:pPr>
      <w:r>
        <w:tab/>
        <w:t>(1)</w:t>
      </w:r>
      <w:r>
        <w:tab/>
        <w:t>If a responsible person for a vehicle who is given a surrender notice surrenders the vehicle according to the notice, the vehicle must be impounded for a period that commences at the time when the vehicle is surrendered.</w:t>
      </w:r>
    </w:p>
    <w:p>
      <w:pPr>
        <w:pStyle w:val="Subsection"/>
        <w:spacing w:before="180"/>
      </w:pPr>
      <w:r>
        <w:tab/>
        <w:t>(2)</w:t>
      </w:r>
      <w:r>
        <w:tab/>
        <w:t>If a responsible person for a vehicle who is given a surrender notice fails to surrender the vehicle according to the notice, the vehicle must be impounded for a period that commences at the time when a police officer takes possession of the vehicle for the purpose of impounding it.</w:t>
      </w:r>
    </w:p>
    <w:p>
      <w:pPr>
        <w:pStyle w:val="Subsection"/>
        <w:spacing w:before="180"/>
      </w:pPr>
      <w:r>
        <w:tab/>
        <w:t>(3)</w:t>
      </w:r>
      <w:r>
        <w:tab/>
        <w:t>The time when the period for which a vehicle is impounded under subsection (1) or (2) commences is not required to be within a period of 28 days after the day of the offence.</w:t>
      </w:r>
    </w:p>
    <w:p>
      <w:pPr>
        <w:pStyle w:val="Subsection"/>
        <w:spacing w:before="180"/>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notice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notice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pPr>
      <w:r>
        <w:tab/>
        <w:t>[Section 79BB inserted by No. 23 of 2009 s. 12; amended by No. 8 of 2012 s. 37; No. 51 of 2016 s. 23.]</w:t>
      </w:r>
    </w:p>
    <w:p>
      <w:pPr>
        <w:pStyle w:val="Heading5"/>
        <w:spacing w:before="240"/>
      </w:pPr>
      <w:bookmarkStart w:id="108" w:name="_Toc472087127"/>
      <w:r>
        <w:rPr>
          <w:rStyle w:val="CharSectno"/>
        </w:rPr>
        <w:t>79BCA</w:t>
      </w:r>
      <w:r>
        <w:t>.</w:t>
      </w:r>
      <w:r>
        <w:tab/>
        <w:t>Surrender substitute vehicle notice</w:t>
      </w:r>
      <w:bookmarkEnd w:id="108"/>
    </w:p>
    <w:p>
      <w:pPr>
        <w:pStyle w:val="Subsection"/>
        <w:spacing w:before="180"/>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80"/>
      </w:pPr>
      <w:r>
        <w:tab/>
        <w:t>(2)</w:t>
      </w:r>
      <w:r>
        <w:tab/>
        <w:t xml:space="preserve">If this section applies, a police officer may give the alleged offender, personally or by registered post, a notice in accordance with this section (a </w:t>
      </w:r>
      <w:r>
        <w:rPr>
          <w:rStyle w:val="CharDefText"/>
        </w:rPr>
        <w:t>surrender substitute vehicle notice</w:t>
      </w:r>
      <w:r>
        <w:t>).</w:t>
      </w:r>
    </w:p>
    <w:p>
      <w:pPr>
        <w:pStyle w:val="Subsection"/>
        <w:spacing w:before="180"/>
      </w:pPr>
      <w:r>
        <w:tab/>
        <w:t>(3)</w:t>
      </w:r>
      <w:r>
        <w:tab/>
        <w:t>The surrender substitute vehicle notice cannot be given after 28 days after the date of the release of the initially impounded vehicle.</w:t>
      </w:r>
    </w:p>
    <w:p>
      <w:pPr>
        <w:pStyle w:val="Subsection"/>
        <w:spacing w:before="180"/>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keepNext/>
        <w:spacing w:before="180"/>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pPr>
      <w:r>
        <w:tab/>
      </w:r>
      <w:r>
        <w:tab/>
        <w:t>and</w:t>
      </w:r>
    </w:p>
    <w:p>
      <w:pPr>
        <w:pStyle w:val="Indenta"/>
      </w:pPr>
      <w:r>
        <w:tab/>
        <w:t>(i)</w:t>
      </w:r>
      <w:r>
        <w:tab/>
        <w:t>the place at which, and the time of day during which, the vehicle and its keys are required to be surrendered under this Division; and</w:t>
      </w:r>
    </w:p>
    <w:p>
      <w:pPr>
        <w:pStyle w:val="Indenta"/>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79BCB(5) and (6); and</w:t>
      </w:r>
    </w:p>
    <w:p>
      <w:pPr>
        <w:pStyle w:val="Indenta"/>
      </w:pPr>
      <w:r>
        <w:tab/>
        <w:t>(c)</w:t>
      </w:r>
      <w:r>
        <w:tab/>
        <w:t>a statement to the effect that failure to comply with the notice will result in the vehicle being impounded under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police officer issuing the notice.</w:t>
      </w:r>
    </w:p>
    <w:p>
      <w:pPr>
        <w:pStyle w:val="Footnotesection"/>
      </w:pPr>
      <w:r>
        <w:tab/>
        <w:t>[Section 79BCA inserted by No. 20 of 2010 s. 6; amended by No. 8 of 2012 s. 37; No. 51 of 2016 s. 24.]</w:t>
      </w:r>
    </w:p>
    <w:p>
      <w:pPr>
        <w:pStyle w:val="Heading5"/>
        <w:keepNext w:val="0"/>
        <w:keepLines w:val="0"/>
        <w:spacing w:before="180"/>
      </w:pPr>
      <w:bookmarkStart w:id="109" w:name="_Toc472087128"/>
      <w:r>
        <w:rPr>
          <w:rStyle w:val="CharSectno"/>
        </w:rPr>
        <w:t>79BCB</w:t>
      </w:r>
      <w:r>
        <w:t>.</w:t>
      </w:r>
      <w:r>
        <w:tab/>
        <w:t>Consequences of surrender substitute vehicle notice</w:t>
      </w:r>
      <w:bookmarkEnd w:id="109"/>
    </w:p>
    <w:p>
      <w:pPr>
        <w:pStyle w:val="Subsection"/>
      </w:pPr>
      <w:r>
        <w:tab/>
        <w:t>(1)</w:t>
      </w:r>
      <w:r>
        <w:tab/>
        <w:t>If a responsible person who is given a surrender substitute vehicle notice under section 79BCA surrenders the substitute vehicle specified in the notice according to the notice, the vehicle must be impounded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must be impounded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substitute vehicle notice under section 79BCA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substitute vehicle notice under section 79BCA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pPr>
      <w:r>
        <w:tab/>
        <w:t>[Section 79BCB inserted by No. 20 of 2010 s. 6; amended by No. 8 of 2012 s. 37; No. 51 of 2016 s. 25.]</w:t>
      </w:r>
    </w:p>
    <w:p>
      <w:pPr>
        <w:pStyle w:val="Heading5"/>
      </w:pPr>
      <w:bookmarkStart w:id="110" w:name="_Toc472087129"/>
      <w:r>
        <w:rPr>
          <w:rStyle w:val="CharSectno"/>
        </w:rPr>
        <w:t>79BCC</w:t>
      </w:r>
      <w:r>
        <w:t>.</w:t>
      </w:r>
      <w:r>
        <w:tab/>
        <w:t>Cancelling notice under s. 79BA, 79BCA or 79BCD</w:t>
      </w:r>
      <w:bookmarkEnd w:id="110"/>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 xml:space="preserve">the vehicle’s condition is such that it no longer functions as a vehicle and a licence could not be granted for it under the </w:t>
      </w:r>
      <w:r>
        <w:rPr>
          <w:i/>
        </w:rPr>
        <w:t>Road Traffic (Vehicles) Act 2012</w:t>
      </w:r>
      <w:r>
        <w:t xml:space="preserve"> Part 2,</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ind w:left="890" w:hanging="890"/>
      </w:pPr>
      <w:r>
        <w:tab/>
        <w:t>[Section 79BCC inserted by No. 20 of 2010 s. 6; amended by No. 51 of 2016 s. 26.]</w:t>
      </w:r>
    </w:p>
    <w:p>
      <w:pPr>
        <w:pStyle w:val="Heading5"/>
      </w:pPr>
      <w:bookmarkStart w:id="111" w:name="_Toc472087130"/>
      <w:r>
        <w:rPr>
          <w:rStyle w:val="CharSectno"/>
        </w:rPr>
        <w:t>79BCD</w:t>
      </w:r>
      <w:r>
        <w:t>.</w:t>
      </w:r>
      <w:r>
        <w:tab/>
        <w:t>Surrender alternative vehicle notice</w:t>
      </w:r>
      <w:bookmarkEnd w:id="111"/>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 xml:space="preserve">If this section applies, a police officer may give the alleged offender, personally or by registered post, a notice in accordance with this section (a </w:t>
      </w:r>
      <w:r>
        <w:rPr>
          <w:rStyle w:val="CharDefText"/>
        </w:rPr>
        <w:t>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spacing w:before="120"/>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 (6); and</w:t>
      </w:r>
    </w:p>
    <w:p>
      <w:pPr>
        <w:pStyle w:val="Indenta"/>
      </w:pPr>
      <w:r>
        <w:tab/>
        <w:t>(c)</w:t>
      </w:r>
      <w:r>
        <w:tab/>
        <w:t>a statement to the effect that failure to comply with the notice will result in the vehicle being impounded under section 79BCE(2).</w:t>
      </w:r>
    </w:p>
    <w:p>
      <w:pPr>
        <w:pStyle w:val="Subsection"/>
      </w:pPr>
      <w:r>
        <w:tab/>
        <w:t>(7)</w:t>
      </w:r>
      <w:r>
        <w:tab/>
        <w:t>If the alleged offender is a responsible person for 2 or more other vehicles, the surrender alternative vehicle notice must specify only one of them as the alternative vehicle, being the one decided by the police officer issuing the notice.</w:t>
      </w:r>
    </w:p>
    <w:p>
      <w:pPr>
        <w:pStyle w:val="Footnotesection"/>
        <w:ind w:left="890" w:hanging="890"/>
      </w:pPr>
      <w:r>
        <w:tab/>
        <w:t>[Section 79BCD inserted by No. 20 of 2010 s. 6; amended by No. 8 of 2012 s. 37; No. 51 of 2016 s. 27.]</w:t>
      </w:r>
    </w:p>
    <w:p>
      <w:pPr>
        <w:pStyle w:val="Heading5"/>
      </w:pPr>
      <w:bookmarkStart w:id="112" w:name="_Toc472087131"/>
      <w:r>
        <w:rPr>
          <w:rStyle w:val="CharSectno"/>
        </w:rPr>
        <w:t>79BCE</w:t>
      </w:r>
      <w:r>
        <w:t>.</w:t>
      </w:r>
      <w:r>
        <w:tab/>
        <w:t>Consequences of surrender alternative vehicle notice</w:t>
      </w:r>
      <w:bookmarkEnd w:id="112"/>
    </w:p>
    <w:p>
      <w:pPr>
        <w:pStyle w:val="Subsection"/>
      </w:pPr>
      <w:r>
        <w:tab/>
        <w:t>(1)</w:t>
      </w:r>
      <w:r>
        <w:tab/>
        <w:t>If a responsible person who is given a surrender alternative vehicle notice under section 79BCD surrenders the alternative vehicle specified in the notice according to the notice, the vehicle must be impounded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must be impounded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alternative vehicle notice under section 79BCD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alternative vehicle notice under section 79BCD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ind w:left="890" w:hanging="890"/>
      </w:pPr>
      <w:r>
        <w:tab/>
        <w:t>[Section 79BCE inserted by No. 20 of 2010 s. 6; amended by No. 8 of 2012 s. 37; No. 51 of 2016 s. 28.]</w:t>
      </w:r>
    </w:p>
    <w:p>
      <w:pPr>
        <w:pStyle w:val="Heading5"/>
        <w:spacing w:before="180"/>
      </w:pPr>
      <w:bookmarkStart w:id="113" w:name="_Toc472087132"/>
      <w:r>
        <w:rPr>
          <w:rStyle w:val="CharSectno"/>
        </w:rPr>
        <w:t>79BC</w:t>
      </w:r>
      <w:r>
        <w:t>.</w:t>
      </w:r>
      <w:r>
        <w:tab/>
        <w:t>Acquittal etc. of pending charge of impounding offence (driving), effect of</w:t>
      </w:r>
      <w:bookmarkEnd w:id="113"/>
    </w:p>
    <w:p>
      <w:pPr>
        <w:pStyle w:val="Subsection"/>
      </w:pPr>
      <w:r>
        <w:tab/>
        <w:t>(1)</w:t>
      </w:r>
      <w:r>
        <w:tab/>
        <w:t>This section applies if —</w:t>
      </w:r>
    </w:p>
    <w:p>
      <w:pPr>
        <w:pStyle w:val="Indenta"/>
        <w:spacing w:before="60"/>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spacing w:before="60"/>
      </w:pPr>
      <w:r>
        <w:tab/>
        <w:t>(b)</w:t>
      </w:r>
      <w:r>
        <w:tab/>
        <w:t>the driver is acquitted of or discharged from the charge; and</w:t>
      </w:r>
    </w:p>
    <w:p>
      <w:pPr>
        <w:pStyle w:val="Indenta"/>
        <w:spacing w:before="60"/>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CEO,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r>
        <w:tab/>
        <w:t>[Section 79BC inserted by No. 23 of 2009 s. 12; amended by No. 8 of 2012 s. 36.]</w:t>
      </w:r>
    </w:p>
    <w:p>
      <w:pPr>
        <w:pStyle w:val="Heading5"/>
      </w:pPr>
      <w:bookmarkStart w:id="114" w:name="_Toc472087133"/>
      <w:r>
        <w:rPr>
          <w:rStyle w:val="CharSectno"/>
        </w:rPr>
        <w:t>79BD</w:t>
      </w:r>
      <w:r>
        <w:t>.</w:t>
      </w:r>
      <w:r>
        <w:tab/>
        <w:t>Suspension of vehicle licence on Commissioner’s request</w:t>
      </w:r>
      <w:bookmarkEnd w:id="114"/>
    </w:p>
    <w:p>
      <w:pPr>
        <w:pStyle w:val="Subsection"/>
        <w:keepNext/>
        <w:keepLines/>
      </w:pPr>
      <w:r>
        <w:tab/>
        <w:t>(1)</w:t>
      </w:r>
      <w:r>
        <w:tab/>
        <w:t>If —</w:t>
      </w:r>
    </w:p>
    <w:p>
      <w:pPr>
        <w:pStyle w:val="Indenta"/>
      </w:pPr>
      <w:r>
        <w:tab/>
        <w:t>(a)</w:t>
      </w:r>
      <w:r>
        <w:tab/>
        <w:t>a responsible person for a vehicle who is given a surrender notice under section 79BA fails to surrender the vehicle specified in the notice according to the notice; or</w:t>
      </w:r>
    </w:p>
    <w:p>
      <w:pPr>
        <w:pStyle w:val="Indenta"/>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CEO to suspend the licence in respect of the vehicle until the vehicle is impounded under this Division or the Commissioner requests the CEO to revoke the suspension.</w:t>
      </w:r>
    </w:p>
    <w:p>
      <w:pPr>
        <w:pStyle w:val="Subsection"/>
      </w:pPr>
      <w:r>
        <w:tab/>
        <w:t>(2)</w:t>
      </w:r>
      <w:r>
        <w:tab/>
        <w:t>The Commissioner is required, on being satisfied that a circumstance described in a paragraph of section 79D(2) exists, to request the CEO to revoke the suspension and may, if for any other reason the Commissioner considers it appropriate to do so, request the CEO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pPr>
      <w:r>
        <w:tab/>
        <w:t>(4)</w:t>
      </w:r>
      <w:r>
        <w:tab/>
        <w:t>The suspension does not extend the period for which the licence may be valid or effective beyond the expiration of the period for which the licence was expressed to be granted or renewed.</w:t>
      </w:r>
    </w:p>
    <w:p>
      <w:pPr>
        <w:pStyle w:val="Footnotesection"/>
        <w:spacing w:before="100"/>
      </w:pPr>
      <w:r>
        <w:tab/>
        <w:t xml:space="preserve">[Section 79BD inserted by No. 23 of 2009 s. 12; amended by No. 20 of 2010 s. 7; No. 8 of 2012 s. 36.] </w:t>
      </w:r>
    </w:p>
    <w:p>
      <w:pPr>
        <w:pStyle w:val="Heading5"/>
        <w:keepNext w:val="0"/>
        <w:keepLines w:val="0"/>
        <w:spacing w:before="240"/>
      </w:pPr>
      <w:bookmarkStart w:id="115" w:name="_Toc472087134"/>
      <w:r>
        <w:rPr>
          <w:rStyle w:val="CharSectno"/>
        </w:rPr>
        <w:t>79B</w:t>
      </w:r>
      <w:r>
        <w:t>.</w:t>
      </w:r>
      <w:r>
        <w:tab/>
        <w:t>Notice of impounding, police to issue etc.</w:t>
      </w:r>
      <w:bookmarkEnd w:id="115"/>
    </w:p>
    <w:p>
      <w:pPr>
        <w:pStyle w:val="Subsection"/>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CEO.</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keepNext/>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spacing w:before="60"/>
      </w:pPr>
      <w:r>
        <w:tab/>
        <w:t>(b)</w:t>
      </w:r>
      <w:r>
        <w:tab/>
        <w:t>the alternative vehicle sufficient to identify it; and</w:t>
      </w:r>
    </w:p>
    <w:p>
      <w:pPr>
        <w:pStyle w:val="Indenta"/>
        <w:spacing w:before="60"/>
      </w:pPr>
      <w:r>
        <w:tab/>
        <w:t>(c)</w:t>
      </w:r>
      <w:r>
        <w:tab/>
        <w:t>the time when the alternative vehicle was impounded; and</w:t>
      </w:r>
    </w:p>
    <w:p>
      <w:pPr>
        <w:pStyle w:val="Indenta"/>
        <w:spacing w:before="60"/>
      </w:pPr>
      <w:r>
        <w:tab/>
        <w:t>(d)</w:t>
      </w:r>
      <w:r>
        <w:tab/>
        <w:t>the address of the place where the alternative vehicle is stored; and</w:t>
      </w:r>
    </w:p>
    <w:p>
      <w:pPr>
        <w:pStyle w:val="Indenta"/>
        <w:spacing w:before="60"/>
      </w:pPr>
      <w:r>
        <w:tab/>
        <w:t>(e)</w:t>
      </w:r>
      <w:r>
        <w:tab/>
        <w:t>the length of the impounding period for the alternative vehicle which is to be the period specified in the surrender alternative vehicle notice under section 79BCD(5)(g); and</w:t>
      </w:r>
    </w:p>
    <w:p>
      <w:pPr>
        <w:pStyle w:val="Indenta"/>
        <w:spacing w:before="60"/>
      </w:pPr>
      <w:r>
        <w:tab/>
        <w:t>(f)</w:t>
      </w:r>
      <w:r>
        <w:tab/>
        <w:t>the grounds on which the alternative vehicle may be released under section 79D; and</w:t>
      </w:r>
    </w:p>
    <w:p>
      <w:pPr>
        <w:pStyle w:val="Indenta"/>
        <w:spacing w:before="60"/>
      </w:pPr>
      <w:r>
        <w:tab/>
        <w:t>(g)</w:t>
      </w:r>
      <w:r>
        <w:tab/>
        <w:t>how, when and to whom the alternative vehicle can be released; and</w:t>
      </w:r>
    </w:p>
    <w:p>
      <w:pPr>
        <w:pStyle w:val="Indenta"/>
        <w:spacing w:before="60"/>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spacing w:before="60"/>
      </w:pPr>
      <w:r>
        <w:tab/>
        <w:t>(a)</w:t>
      </w:r>
      <w:r>
        <w:tab/>
        <w:t xml:space="preserve">the impounded vehicle; and </w:t>
      </w:r>
    </w:p>
    <w:p>
      <w:pPr>
        <w:pStyle w:val="Indenta"/>
        <w:spacing w:before="60"/>
      </w:pPr>
      <w:r>
        <w:tab/>
        <w:t>(b)</w:t>
      </w:r>
      <w:r>
        <w:tab/>
        <w:t>the time when the vehicle was impounded and when the impounding period would end if it were not extended; and</w:t>
      </w:r>
    </w:p>
    <w:p>
      <w:pPr>
        <w:pStyle w:val="Indenta"/>
        <w:spacing w:before="60"/>
      </w:pPr>
      <w:r>
        <w:tab/>
        <w:t>(c)</w:t>
      </w:r>
      <w:r>
        <w:tab/>
        <w:t>the charge or previous conviction because of which the impounding period is extended; and</w:t>
      </w:r>
    </w:p>
    <w:p>
      <w:pPr>
        <w:pStyle w:val="Indenta"/>
        <w:spacing w:before="60"/>
      </w:pPr>
      <w:r>
        <w:tab/>
        <w:t>(d)</w:t>
      </w:r>
      <w:r>
        <w:tab/>
        <w:t>the powers of a court under sections 80A, 80B, 80C and 80FA in relation to the impounding and confiscation of vehicles.</w:t>
      </w:r>
    </w:p>
    <w:p>
      <w:pPr>
        <w:pStyle w:val="Footnotesection"/>
        <w:ind w:left="890" w:hanging="890"/>
      </w:pPr>
      <w:r>
        <w:tab/>
        <w:t>[Section 79B inserted by No. 10 of 2004 s. 13; amended by No. 4 of 2007 s. 31(1); No. 24 of 2008 s. 9 and 23; No. 23 of 2009 s. 13; No. 20 of 2010 s. 8; No. 8 of 2012 s. 36.]</w:t>
      </w:r>
    </w:p>
    <w:p>
      <w:pPr>
        <w:pStyle w:val="Heading5"/>
      </w:pPr>
      <w:bookmarkStart w:id="116" w:name="_Toc472087135"/>
      <w:r>
        <w:rPr>
          <w:rStyle w:val="CharSectno"/>
        </w:rPr>
        <w:t>79C</w:t>
      </w:r>
      <w:r>
        <w:t>.</w:t>
      </w:r>
      <w:r>
        <w:tab/>
        <w:t>Senior officer to be informed etc. if vehicle impounded</w:t>
      </w:r>
      <w:bookmarkEnd w:id="116"/>
    </w:p>
    <w:p>
      <w:pPr>
        <w:pStyle w:val="Subsection"/>
      </w:pPr>
      <w:r>
        <w:tab/>
        <w:t>(1)</w:t>
      </w:r>
      <w:r>
        <w:tab/>
        <w:t>A police officer, other than a senior police officer, who seizes and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date of the seizure and impounding, or the giving of the notice, as the case requires; and</w:t>
      </w:r>
    </w:p>
    <w:p>
      <w:pPr>
        <w:pStyle w:val="Indenta"/>
      </w:pPr>
      <w:r>
        <w:tab/>
        <w:t>(a)</w:t>
      </w:r>
      <w:r>
        <w:tab/>
        <w:t>the grounds on which the police officer suspects the matters mentioned in section 79(1) or 79A(1), as is relevant to the case; and</w:t>
      </w:r>
    </w:p>
    <w:p>
      <w:pPr>
        <w:pStyle w:val="Indenta"/>
      </w:pPr>
      <w:r>
        <w:tab/>
        <w:t>(b)</w:t>
      </w:r>
      <w:r>
        <w:tab/>
        <w:t>if the police officer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police officer is to make enquiries so as to satisfy him or herself — </w:t>
      </w:r>
    </w:p>
    <w:p>
      <w:pPr>
        <w:pStyle w:val="Indenta"/>
      </w:pPr>
      <w:r>
        <w:tab/>
        <w:t>(a)</w:t>
      </w:r>
      <w:r>
        <w:tab/>
        <w:t>that there are reasonable grounds for the police officer to suspect the matters mentioned in section 79(1) or 79A(1), as the case requires; and</w:t>
      </w:r>
    </w:p>
    <w:p>
      <w:pPr>
        <w:pStyle w:val="Indenta"/>
      </w:pPr>
      <w:r>
        <w:tab/>
        <w:t>(b)</w:t>
      </w:r>
      <w:r>
        <w:tab/>
        <w:t>if the police officer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police officer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police officer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ind w:left="890" w:hanging="890"/>
      </w:pPr>
      <w:r>
        <w:tab/>
        <w:t xml:space="preserve">[Section 79C inserted by No. 10 of 2004 s. 13; amended by No. 4 of 2007 s. 31; No. 24 of 2008 s. 10 and 23; No. 23 of 2009 s. 14; No. 20 of 2010 s. 9; No. 8 of 2012 s. 37 and 38; No. 51 of 2016 s. 29.] </w:t>
      </w:r>
    </w:p>
    <w:p>
      <w:pPr>
        <w:pStyle w:val="Heading5"/>
      </w:pPr>
      <w:bookmarkStart w:id="117" w:name="_Toc472087136"/>
      <w:r>
        <w:rPr>
          <w:rStyle w:val="CharSectno"/>
        </w:rPr>
        <w:t>79D</w:t>
      </w:r>
      <w:r>
        <w:t>.</w:t>
      </w:r>
      <w:r>
        <w:tab/>
        <w:t>Release of impounded vehicle</w:t>
      </w:r>
      <w:bookmarkEnd w:id="117"/>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pPr>
      <w:r>
        <w:tab/>
        <w:t>(b)</w:t>
      </w:r>
      <w:r>
        <w:tab/>
        <w:t>in respect of which a taxi</w:t>
      </w:r>
      <w:r>
        <w:noBreakHyphen/>
        <w:t xml:space="preserve">car licence has been issued under the </w:t>
      </w:r>
      <w:r>
        <w:rPr>
          <w:i/>
        </w:rPr>
        <w:t>Transport Co</w:t>
      </w:r>
      <w:r>
        <w:rPr>
          <w:i/>
        </w:rPr>
        <w:noBreakHyphen/>
        <w:t>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holds the taxi</w:t>
      </w:r>
      <w:r>
        <w:noBreakHyphen/>
        <w:t xml:space="preserve">car licence issued under the </w:t>
      </w:r>
      <w:r>
        <w:rPr>
          <w:i/>
        </w:rPr>
        <w:t>Transport Co</w:t>
      </w:r>
      <w:r>
        <w:rPr>
          <w:i/>
        </w:rPr>
        <w:noBreakHyphen/>
        <w:t>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police officer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keepNext/>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spacing w:before="60"/>
      </w:pPr>
      <w:r>
        <w:tab/>
        <w:t>(ii)</w:t>
      </w:r>
      <w:r>
        <w:tab/>
        <w:t xml:space="preserve">the person who allegedly committed the offence (the </w:t>
      </w:r>
      <w:r>
        <w:rPr>
          <w:rStyle w:val="CharDefText"/>
        </w:rPr>
        <w:t>alleged offender</w:t>
      </w:r>
      <w:r>
        <w:t>) was an employee or contractor of the business owner; and</w:t>
      </w:r>
    </w:p>
    <w:p>
      <w:pPr>
        <w:pStyle w:val="Indenti"/>
        <w:spacing w:before="60"/>
      </w:pPr>
      <w:r>
        <w:tab/>
        <w:t>(iii)</w:t>
      </w:r>
      <w:r>
        <w:tab/>
        <w:t>the alleged offender was driving the vehicle with the consent of the business owner or an agent of the business owner; and</w:t>
      </w:r>
    </w:p>
    <w:p>
      <w:pPr>
        <w:pStyle w:val="Indenti"/>
        <w:spacing w:before="60"/>
      </w:pPr>
      <w:r>
        <w:tab/>
        <w:t>(iv)</w:t>
      </w:r>
      <w:r>
        <w:tab/>
        <w:t>the person who consented to the alleged offender driving the vehicle had complied with subsection (4); and</w:t>
      </w:r>
    </w:p>
    <w:p>
      <w:pPr>
        <w:pStyle w:val="Indenti"/>
        <w:keepNext/>
        <w:spacing w:before="60"/>
      </w:pPr>
      <w:r>
        <w:tab/>
        <w:t>(v)</w:t>
      </w:r>
      <w:r>
        <w:tab/>
        <w:t>the alleged offender was not a responsible person for the vehicle;</w:t>
      </w:r>
    </w:p>
    <w:p>
      <w:pPr>
        <w:pStyle w:val="Indenta"/>
        <w:spacing w:before="60"/>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spacing w:before="60"/>
      </w:pPr>
      <w:r>
        <w:tab/>
        <w:t>(i)</w:t>
      </w:r>
      <w:r>
        <w:tab/>
        <w:t>the vehicle was a taxi; and</w:t>
      </w:r>
    </w:p>
    <w:p>
      <w:pPr>
        <w:pStyle w:val="Indenti"/>
        <w:spacing w:before="60"/>
      </w:pPr>
      <w:r>
        <w:tab/>
        <w:t>(ii)</w:t>
      </w:r>
      <w:r>
        <w:tab/>
        <w:t xml:space="preserve">the person who allegedly committed the offence (the </w:t>
      </w:r>
      <w:r>
        <w:rPr>
          <w:rStyle w:val="CharDefText"/>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spacing w:before="60"/>
      </w:pPr>
      <w:r>
        <w:tab/>
        <w:t>(iii)</w:t>
      </w:r>
      <w:r>
        <w:tab/>
        <w:t>the taxi operator or agent who entered into the agreement with the alleged offender had complied with subsection (5); and</w:t>
      </w:r>
    </w:p>
    <w:p>
      <w:pPr>
        <w:pStyle w:val="Indenti"/>
        <w:keepNext/>
        <w:spacing w:before="60"/>
      </w:pPr>
      <w:r>
        <w:tab/>
        <w:t>(iv)</w:t>
      </w:r>
      <w:r>
        <w:tab/>
        <w:t>the alleged offender was not a responsible person for the vehicle;</w:t>
      </w:r>
    </w:p>
    <w:p>
      <w:pPr>
        <w:pStyle w:val="Indenta"/>
        <w:spacing w:before="60"/>
      </w:pPr>
      <w:r>
        <w:tab/>
      </w:r>
      <w:r>
        <w:tab/>
        <w:t>or</w:t>
      </w:r>
    </w:p>
    <w:p>
      <w:pPr>
        <w:pStyle w:val="Indenta"/>
        <w:spacing w:before="60"/>
      </w:pPr>
      <w:r>
        <w:tab/>
        <w:t>(i)</w:t>
      </w:r>
      <w:r>
        <w:tab/>
        <w:t xml:space="preserve">a senior police officer is satisfied that, at the time the offence in respect of which the vehicle was impounded was committed — </w:t>
      </w:r>
    </w:p>
    <w:p>
      <w:pPr>
        <w:pStyle w:val="Indenti"/>
        <w:spacing w:before="60"/>
      </w:pPr>
      <w:r>
        <w:tab/>
        <w:t>(i)</w:t>
      </w:r>
      <w:r>
        <w:tab/>
        <w:t xml:space="preserve">the vehicle was licensed under the </w:t>
      </w:r>
      <w:r>
        <w:rPr>
          <w:i/>
        </w:rPr>
        <w:t>Transport Co</w:t>
      </w:r>
      <w:r>
        <w:rPr>
          <w:i/>
        </w:rPr>
        <w:noBreakHyphen/>
        <w:t>ordination Act 1966</w:t>
      </w:r>
      <w:r>
        <w:t xml:space="preserve"> to be operated as an omnibus; and</w:t>
      </w:r>
    </w:p>
    <w:p>
      <w:pPr>
        <w:pStyle w:val="Indenti"/>
      </w:pPr>
      <w:r>
        <w:tab/>
        <w:t>(ii)</w:t>
      </w:r>
      <w:r>
        <w:tab/>
        <w:t xml:space="preserve">the person who allegedly committed the offence (the </w:t>
      </w:r>
      <w:r>
        <w:rPr>
          <w:rStyle w:val="CharDefText"/>
        </w:rPr>
        <w:t>alleged offender</w:t>
      </w:r>
      <w:r>
        <w:t>) was an employee or contractor of the holder of that licence; and</w:t>
      </w:r>
    </w:p>
    <w:p>
      <w:pPr>
        <w:pStyle w:val="Indenti"/>
        <w:keepNext/>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spacing w:before="120"/>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pPr>
      <w:r>
        <w:tab/>
        <w:t>(4)</w:t>
      </w:r>
      <w:r>
        <w:tab/>
        <w:t xml:space="preserve">For the purposes of subsection (2)(g)(iv) and (i)(iv), a person who consents to an employee or contractor driving a vehicle must — </w:t>
      </w:r>
    </w:p>
    <w:p>
      <w:pPr>
        <w:pStyle w:val="Indenta"/>
        <w:spacing w:before="60"/>
      </w:pPr>
      <w:r>
        <w:tab/>
        <w:t>(a)</w:t>
      </w:r>
      <w:r>
        <w:tab/>
        <w:t>ensure the driver has a driver’s licence that authorises him or her to drive the vehicle; and</w:t>
      </w:r>
    </w:p>
    <w:p>
      <w:pPr>
        <w:pStyle w:val="Indenta"/>
        <w:spacing w:before="60"/>
      </w:pPr>
      <w:r>
        <w:tab/>
        <w:t>(b)</w:t>
      </w:r>
      <w:r>
        <w:tab/>
        <w:t>ensure the driver has been instructed to obey the law when driving the vehicle.</w:t>
      </w:r>
    </w:p>
    <w:p>
      <w:pPr>
        <w:pStyle w:val="Subsection"/>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pPr>
      <w:r>
        <w:tab/>
        <w:t>(7)</w:t>
      </w:r>
      <w:r>
        <w:tab/>
        <w:t>A police officer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ind w:left="890" w:hanging="890"/>
      </w:pPr>
      <w:r>
        <w:tab/>
        <w:t>[Section 79D inserted by No. 10 of 2004 s. 13; amended by No. 4 of 2007 s. 6; No. 24 of 2008 s. 11 and 23; No. 23 of 2009 s. 15; No. 20 of 2010 s. 10; No. 8 of 2012 s. 37.]</w:t>
      </w:r>
    </w:p>
    <w:p>
      <w:pPr>
        <w:pStyle w:val="Heading5"/>
      </w:pPr>
      <w:bookmarkStart w:id="118" w:name="_Toc472087137"/>
      <w:r>
        <w:rPr>
          <w:rStyle w:val="CharSectno"/>
        </w:rPr>
        <w:t>79E</w:t>
      </w:r>
      <w:r>
        <w:t>.</w:t>
      </w:r>
      <w:r>
        <w:tab/>
        <w:t>Liability for police expenses for impounding</w:t>
      </w:r>
      <w:bookmarkEnd w:id="118"/>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reasonable expenses of the Commissioner in impounding the vehicle and any substitute vehicle impounded under section 79BCB and any alternative vehicle impounded under section 79BCE.</w:t>
      </w:r>
    </w:p>
    <w:p>
      <w:pPr>
        <w:pStyle w:val="Footnotesection"/>
        <w:ind w:left="890" w:hanging="890"/>
      </w:pPr>
      <w:r>
        <w:tab/>
        <w:t>[Section 79E inserted by No. 23 of 2009 s. 16; amended by No. 20 of 2010 s. 11; No. 51 of 2016 s. 30.]</w:t>
      </w:r>
    </w:p>
    <w:p>
      <w:pPr>
        <w:pStyle w:val="Heading4"/>
        <w:keepLines/>
      </w:pPr>
      <w:bookmarkStart w:id="119" w:name="_Toc468192122"/>
      <w:bookmarkStart w:id="120" w:name="_Toc472087138"/>
      <w:r>
        <w:t>Subdivision 3 — Impounding and confiscation of vehicles by court order</w:t>
      </w:r>
      <w:bookmarkEnd w:id="119"/>
      <w:bookmarkEnd w:id="120"/>
    </w:p>
    <w:p>
      <w:pPr>
        <w:pStyle w:val="Footnoteheading"/>
        <w:keepNext/>
        <w:keepLines/>
      </w:pPr>
      <w:r>
        <w:tab/>
        <w:t>[Heading inserted by No. 10 of 2004 s. 13.]</w:t>
      </w:r>
    </w:p>
    <w:p>
      <w:pPr>
        <w:pStyle w:val="Ednotesection"/>
        <w:keepNext/>
        <w:keepLines/>
      </w:pPr>
      <w:r>
        <w:t>[</w:t>
      </w:r>
      <w:r>
        <w:rPr>
          <w:b/>
          <w:bCs/>
        </w:rPr>
        <w:t>80.</w:t>
      </w:r>
      <w:r>
        <w:rPr>
          <w:b/>
          <w:bCs/>
        </w:rPr>
        <w:tab/>
      </w:r>
      <w:r>
        <w:t>Deleted by No. 23 of 2009 s. 17.]</w:t>
      </w:r>
    </w:p>
    <w:p>
      <w:pPr>
        <w:pStyle w:val="Heading5"/>
      </w:pPr>
      <w:bookmarkStart w:id="121" w:name="_Toc472068397"/>
      <w:bookmarkStart w:id="122" w:name="_Toc472087139"/>
      <w:r>
        <w:rPr>
          <w:rStyle w:val="CharSectno"/>
        </w:rPr>
        <w:t>80A</w:t>
      </w:r>
      <w:r>
        <w:t>.</w:t>
      </w:r>
      <w:r>
        <w:tab/>
        <w:t>Confiscation of vehicles used in certain impounding offences (driving)</w:t>
      </w:r>
      <w:bookmarkEnd w:id="121"/>
      <w:bookmarkEnd w:id="122"/>
    </w:p>
    <w:p>
      <w:pPr>
        <w:pStyle w:val="Subsection"/>
      </w:pPr>
      <w:r>
        <w:tab/>
        <w:t>(1)</w:t>
      </w:r>
      <w:r>
        <w:tab/>
        <w:t>A court that convicts a person of an impounding offence (driving) may, by order and in accordance with subsection (2), (3) or (4), confiscate the vehicle used in the offence.</w:t>
      </w:r>
    </w:p>
    <w:p>
      <w:pPr>
        <w:pStyle w:val="Subsection"/>
      </w:pPr>
      <w:r>
        <w:tab/>
        <w:t>(2)</w:t>
      </w:r>
      <w:r>
        <w:tab/>
        <w:t>A court may make an order if it is satisfied that —</w:t>
      </w:r>
    </w:p>
    <w:p>
      <w:pPr>
        <w:pStyle w:val="Indenta"/>
      </w:pPr>
      <w:r>
        <w:tab/>
        <w:t>(a)</w:t>
      </w:r>
      <w:r>
        <w:tab/>
        <w:t>the offence was committed in a school zone; or</w:t>
      </w:r>
    </w:p>
    <w:p>
      <w:pPr>
        <w:pStyle w:val="Indenta"/>
      </w:pPr>
      <w:r>
        <w:tab/>
        <w:t>(b)</w:t>
      </w:r>
      <w:r>
        <w:tab/>
        <w:t>the offence was committed in a confiscation zone other than a school zone and the commission of the offence resulted in, or was likely to result in —</w:t>
      </w:r>
    </w:p>
    <w:p>
      <w:pPr>
        <w:pStyle w:val="Indenti"/>
      </w:pPr>
      <w:r>
        <w:tab/>
        <w:t>(i)</w:t>
      </w:r>
      <w:r>
        <w:tab/>
        <w:t>members of the public experiencing harassment, intimidation, fear or alarm; or</w:t>
      </w:r>
    </w:p>
    <w:p>
      <w:pPr>
        <w:pStyle w:val="Indenti"/>
      </w:pPr>
      <w:r>
        <w:tab/>
        <w:t>(ii)</w:t>
      </w:r>
      <w:r>
        <w:tab/>
        <w:t>damage to any property, including the road;</w:t>
      </w:r>
    </w:p>
    <w:p>
      <w:pPr>
        <w:pStyle w:val="Indenta"/>
      </w:pPr>
      <w:r>
        <w:tab/>
      </w:r>
      <w:r>
        <w:tab/>
        <w:t>or</w:t>
      </w:r>
    </w:p>
    <w:p>
      <w:pPr>
        <w:pStyle w:val="Indenta"/>
      </w:pPr>
      <w:r>
        <w:tab/>
        <w:t>(c)</w:t>
      </w:r>
      <w:r>
        <w:tab/>
        <w:t>the commission of the offence involved the driving of the vehicle at 90 km/h or more above the speed limit.</w:t>
      </w:r>
    </w:p>
    <w:p>
      <w:pPr>
        <w:pStyle w:val="Subsection"/>
      </w:pPr>
      <w:r>
        <w:tab/>
        <w:t>(3)</w:t>
      </w:r>
      <w:r>
        <w:tab/>
        <w:t xml:space="preserve">The court may make the order if it is satisfied that — </w:t>
      </w:r>
    </w:p>
    <w:p>
      <w:pPr>
        <w:pStyle w:val="Indenta"/>
      </w:pPr>
      <w:r>
        <w:tab/>
        <w:t>(a)</w:t>
      </w:r>
      <w:r>
        <w:tab/>
        <w:t>the offence was committed in a confiscation zone; and</w:t>
      </w:r>
    </w:p>
    <w:p>
      <w:pPr>
        <w:pStyle w:val="Indenta"/>
      </w:pPr>
      <w:r>
        <w:tab/>
        <w:t>(b)</w:t>
      </w:r>
      <w:r>
        <w:tab/>
        <w:t>in the 5 years before the day on which the offence was committed the person was convicted of a previous impounding offence (driving) which was committed in a confiscation zone.</w:t>
      </w:r>
    </w:p>
    <w:p>
      <w:pPr>
        <w:pStyle w:val="Subsection"/>
      </w:pPr>
      <w:r>
        <w:tab/>
        <w:t>(4)</w:t>
      </w:r>
      <w:r>
        <w:tab/>
        <w:t>The court may make the order if it is satisfied that in the 5 years before the day on which the offence was committed the person was convicted of 2 previous impounding offences (driving).</w:t>
      </w:r>
    </w:p>
    <w:p>
      <w:pPr>
        <w:pStyle w:val="Footnotesection"/>
      </w:pPr>
      <w:r>
        <w:tab/>
        <w:t>[Section 80A inserted by No. 51 of 2016 s. 31.]</w:t>
      </w:r>
    </w:p>
    <w:p>
      <w:pPr>
        <w:pStyle w:val="Heading5"/>
        <w:rPr>
          <w:snapToGrid w:val="0"/>
        </w:rPr>
      </w:pPr>
      <w:bookmarkStart w:id="123" w:name="_Toc472087140"/>
      <w:r>
        <w:rPr>
          <w:rStyle w:val="CharSectno"/>
        </w:rPr>
        <w:t>80B</w:t>
      </w:r>
      <w:r>
        <w:t>.</w:t>
      </w:r>
      <w:r>
        <w:tab/>
      </w:r>
      <w:r>
        <w:rPr>
          <w:snapToGrid w:val="0"/>
        </w:rPr>
        <w:t>Impounding offence (driver’s licence) by previous offender, court may impound vehicle of</w:t>
      </w:r>
      <w:bookmarkEnd w:id="123"/>
    </w:p>
    <w:p>
      <w:pPr>
        <w:pStyle w:val="Subsection"/>
        <w:spacing w:before="120"/>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spacing w:before="60"/>
      </w:pPr>
      <w:r>
        <w:tab/>
        <w:t>(a)</w:t>
      </w:r>
      <w:r>
        <w:tab/>
        <w:t>the vehicle is surrendered; or</w:t>
      </w:r>
    </w:p>
    <w:p>
      <w:pPr>
        <w:pStyle w:val="Indenta"/>
        <w:spacing w:before="60"/>
      </w:pPr>
      <w:r>
        <w:tab/>
        <w:t>(b)</w:t>
      </w:r>
      <w:r>
        <w:tab/>
        <w:t>under section 78C, the vehicle is conveyed to the place where it is to be stored,</w:t>
      </w:r>
    </w:p>
    <w:p>
      <w:pPr>
        <w:pStyle w:val="Subsection"/>
        <w:spacing w:before="100"/>
        <w:rPr>
          <w:snapToGrid w:val="0"/>
        </w:rPr>
      </w:pPr>
      <w:r>
        <w:tab/>
      </w:r>
      <w:r>
        <w:tab/>
        <w:t xml:space="preserve">and being such period, </w:t>
      </w:r>
      <w:r>
        <w:rPr>
          <w:snapToGrid w:val="0"/>
        </w:rPr>
        <w:t>not exceeding 3 months, as is specified in the order.</w:t>
      </w:r>
    </w:p>
    <w:p>
      <w:pPr>
        <w:pStyle w:val="Subsection"/>
        <w:spacing w:before="1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spacing w:before="80"/>
        <w:ind w:left="890" w:hanging="890"/>
      </w:pPr>
      <w:r>
        <w:tab/>
        <w:t>[Section 80B inserted by No. 10 of 2004 s. 13; amended by No. 24 of 2008 s. 12.]</w:t>
      </w:r>
    </w:p>
    <w:p>
      <w:pPr>
        <w:pStyle w:val="Heading5"/>
        <w:spacing w:before="160"/>
        <w:rPr>
          <w:snapToGrid w:val="0"/>
        </w:rPr>
      </w:pPr>
      <w:bookmarkStart w:id="124" w:name="_Toc472087141"/>
      <w:r>
        <w:rPr>
          <w:rStyle w:val="CharSectno"/>
        </w:rPr>
        <w:t>80C</w:t>
      </w:r>
      <w:r>
        <w:t>.</w:t>
      </w:r>
      <w:r>
        <w:tab/>
        <w:t>Impounding offence (</w:t>
      </w:r>
      <w:r>
        <w:rPr>
          <w:snapToGrid w:val="0"/>
        </w:rPr>
        <w:t>driver’s licence) by previous offender, court may confiscate vehicle of</w:t>
      </w:r>
      <w:bookmarkEnd w:id="124"/>
    </w:p>
    <w:p>
      <w:pPr>
        <w:pStyle w:val="Subsection"/>
        <w:spacing w:before="10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10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80"/>
        <w:ind w:left="890" w:hanging="890"/>
      </w:pPr>
      <w:r>
        <w:tab/>
        <w:t>[Section 80C inserted by No. 10 of 2004 s. 13; amended by No. 24 of 2008 s. 13.]</w:t>
      </w:r>
    </w:p>
    <w:p>
      <w:pPr>
        <w:pStyle w:val="Heading5"/>
        <w:keepNext w:val="0"/>
        <w:keepLines w:val="0"/>
        <w:spacing w:before="160"/>
      </w:pPr>
      <w:bookmarkStart w:id="125" w:name="_Toc472087142"/>
      <w:r>
        <w:rPr>
          <w:rStyle w:val="CharSectno"/>
        </w:rPr>
        <w:t>80CA</w:t>
      </w:r>
      <w:r>
        <w:t>.</w:t>
      </w:r>
      <w:r>
        <w:tab/>
        <w:t>Road rage offence, court may impound offender’s vehicle for</w:t>
      </w:r>
      <w:bookmarkEnd w:id="125"/>
    </w:p>
    <w:p>
      <w:pPr>
        <w:pStyle w:val="Subsection"/>
        <w:spacing w:before="100"/>
      </w:pPr>
      <w:r>
        <w:tab/>
        <w:t>(1)</w:t>
      </w:r>
      <w:r>
        <w:tab/>
        <w:t xml:space="preserve">A court that convicts a person of a road rage offence may, by order, impound a vehicle referred to in section 80GA for a period starting on the date on which — </w:t>
      </w:r>
    </w:p>
    <w:p>
      <w:pPr>
        <w:pStyle w:val="Indenta"/>
        <w:spacing w:before="60"/>
      </w:pPr>
      <w:r>
        <w:tab/>
        <w:t>(a)</w:t>
      </w:r>
      <w:r>
        <w:tab/>
        <w:t>the vehicle is surrendered; or</w:t>
      </w:r>
    </w:p>
    <w:p>
      <w:pPr>
        <w:pStyle w:val="Indenta"/>
        <w:keepNext/>
        <w:keepLines/>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spacing w:before="80"/>
      </w:pPr>
      <w:r>
        <w:tab/>
        <w:t>[(2)</w:t>
      </w:r>
      <w:r>
        <w:tab/>
        <w:t>deleted]</w:t>
      </w:r>
    </w:p>
    <w:p>
      <w:pPr>
        <w:pStyle w:val="Footnotesection"/>
        <w:ind w:left="890" w:hanging="890"/>
      </w:pPr>
      <w:r>
        <w:tab/>
        <w:t>[Section 80CA inserted by No. 4 of 2007 s. 16; amended by No. 24 of 2008 s. 14.]</w:t>
      </w:r>
    </w:p>
    <w:p>
      <w:pPr>
        <w:pStyle w:val="Heading5"/>
        <w:spacing w:before="180"/>
      </w:pPr>
      <w:bookmarkStart w:id="126" w:name="_Toc472087143"/>
      <w:r>
        <w:rPr>
          <w:rStyle w:val="CharSectno"/>
        </w:rPr>
        <w:t>80CB</w:t>
      </w:r>
      <w:r>
        <w:t>.</w:t>
      </w:r>
      <w:r>
        <w:tab/>
        <w:t>Road rage offence, court may confiscate offender’s vehicle for</w:t>
      </w:r>
      <w:bookmarkEnd w:id="126"/>
    </w:p>
    <w:p>
      <w:pPr>
        <w:pStyle w:val="Subsection"/>
      </w:pPr>
      <w:r>
        <w:tab/>
        <w:t>(1)</w:t>
      </w:r>
      <w:r>
        <w:tab/>
        <w:t>A court that convicts a person of a road rage offence may, by order, confiscate a vehicle referred to in section 80GA.</w:t>
      </w:r>
    </w:p>
    <w:p>
      <w:pPr>
        <w:pStyle w:val="Ednotesubsection"/>
        <w:spacing w:before="80"/>
      </w:pPr>
      <w:r>
        <w:tab/>
        <w:t>[(2)</w:t>
      </w:r>
      <w:r>
        <w:tab/>
        <w:t>deleted]</w:t>
      </w:r>
    </w:p>
    <w:p>
      <w:pPr>
        <w:pStyle w:val="Footnotesection"/>
        <w:spacing w:before="80"/>
        <w:ind w:left="890" w:hanging="890"/>
      </w:pPr>
      <w:r>
        <w:tab/>
        <w:t>[Section 80CB inserted by No. 4 of 2007 s. 16; amended by No. 24 of 2008 s. 15.]</w:t>
      </w:r>
    </w:p>
    <w:p>
      <w:pPr>
        <w:pStyle w:val="Heading5"/>
      </w:pPr>
      <w:bookmarkStart w:id="127" w:name="_Toc472087144"/>
      <w:r>
        <w:rPr>
          <w:rStyle w:val="CharSectno"/>
        </w:rPr>
        <w:t>80D</w:t>
      </w:r>
      <w:r>
        <w:t>.</w:t>
      </w:r>
      <w:r>
        <w:tab/>
        <w:t>Effect of confiscation under s. 80A, 80C or 80CB</w:t>
      </w:r>
      <w:bookmarkEnd w:id="127"/>
    </w:p>
    <w:p>
      <w:pPr>
        <w:pStyle w:val="Subsection"/>
        <w:spacing w:before="120"/>
        <w:rPr>
          <w:snapToGrid w:val="0"/>
        </w:rPr>
      </w:pPr>
      <w:r>
        <w:tab/>
        <w:t>(1)</w:t>
      </w:r>
      <w:r>
        <w:tab/>
        <w:t>The property in a vehicle that is confiscated under section 80A, as in force at any time, 80C(1) or 80CB(1) vests absolutely in the State when the order is made, free from all interests, rights, titles or claims</w:t>
      </w:r>
      <w:r>
        <w:rPr>
          <w:snapToGrid w:val="0"/>
        </w:rPr>
        <w:t xml:space="preserve"> in or to the ownership or possession of the vehicle.</w:t>
      </w:r>
    </w:p>
    <w:p>
      <w:pPr>
        <w:pStyle w:val="Subsection"/>
        <w:spacing w:before="120"/>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spacing w:before="80"/>
        <w:ind w:left="890" w:hanging="890"/>
      </w:pPr>
      <w:r>
        <w:tab/>
        <w:t>[Section 80D inserted by No. 10 of 2004 s. 13; amended by No. 4 of 2007 s. 17; No. 51 of 2016 s. 32.]</w:t>
      </w:r>
    </w:p>
    <w:p>
      <w:pPr>
        <w:pStyle w:val="Heading5"/>
        <w:spacing w:before="180"/>
      </w:pPr>
      <w:bookmarkStart w:id="128" w:name="_Toc472087145"/>
      <w:r>
        <w:rPr>
          <w:rStyle w:val="CharSectno"/>
        </w:rPr>
        <w:t>80E</w:t>
      </w:r>
      <w:r>
        <w:t>.</w:t>
      </w:r>
      <w:r>
        <w:tab/>
        <w:t>Confiscation under s. 80A not to be of stolen, hired or lent vehicle</w:t>
      </w:r>
      <w:bookmarkEnd w:id="128"/>
    </w:p>
    <w:p>
      <w:pPr>
        <w:pStyle w:val="Subsection"/>
        <w:spacing w:before="120"/>
      </w:pPr>
      <w:r>
        <w:tab/>
        <w:t>(1)</w:t>
      </w:r>
      <w:r>
        <w:tab/>
        <w:t>A court is not to make an order under section 80A if it is satisfied that at the time that the offence for which the person is convicted was committed, the vehicle was a stolen vehicle or a hired vehicle.</w:t>
      </w:r>
    </w:p>
    <w:p>
      <w:pPr>
        <w:pStyle w:val="Subsection"/>
        <w:spacing w:before="120"/>
      </w:pPr>
      <w:r>
        <w:tab/>
        <w:t>(2)</w:t>
      </w:r>
      <w:r>
        <w:tab/>
        <w:t>A court is not to make an order under section 80A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 No. 51 of 2016 s. 33.]</w:t>
      </w:r>
    </w:p>
    <w:p>
      <w:pPr>
        <w:pStyle w:val="Heading5"/>
        <w:spacing w:before="180"/>
      </w:pPr>
      <w:bookmarkStart w:id="129" w:name="_Toc472087146"/>
      <w:r>
        <w:rPr>
          <w:rStyle w:val="CharSectno"/>
        </w:rPr>
        <w:t>80FA</w:t>
      </w:r>
      <w:r>
        <w:t>.</w:t>
      </w:r>
      <w:r>
        <w:tab/>
        <w:t>When court may order impounding instead of confiscation</w:t>
      </w:r>
      <w:bookmarkEnd w:id="129"/>
    </w:p>
    <w:p>
      <w:pPr>
        <w:pStyle w:val="Subsection"/>
        <w:spacing w:before="120"/>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spacing w:before="120"/>
      </w:pPr>
      <w:r>
        <w:tab/>
        <w:t>(2)</w:t>
      </w:r>
      <w:r>
        <w:tab/>
        <w:t>In circumstances in which a court could, by order under section 80A,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 No. 51 of 2016 s. 34.]</w:t>
      </w:r>
    </w:p>
    <w:p>
      <w:pPr>
        <w:pStyle w:val="Heading5"/>
        <w:spacing w:before="240"/>
      </w:pPr>
      <w:bookmarkStart w:id="130" w:name="_Toc472087147"/>
      <w:r>
        <w:rPr>
          <w:rStyle w:val="CharSectno"/>
        </w:rPr>
        <w:t>80F</w:t>
      </w:r>
      <w:r>
        <w:t>.</w:t>
      </w:r>
      <w:r>
        <w:tab/>
        <w:t>Impounding or confiscation order to specify time and place for surrender of vehicle</w:t>
      </w:r>
      <w:bookmarkEnd w:id="130"/>
    </w:p>
    <w:p>
      <w:pPr>
        <w:pStyle w:val="Subsection"/>
        <w:keepNext/>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131" w:name="_Toc472087148"/>
      <w:r>
        <w:rPr>
          <w:rStyle w:val="CharSectno"/>
        </w:rPr>
        <w:t>80GA</w:t>
      </w:r>
      <w:r>
        <w:t>.</w:t>
      </w:r>
      <w:r>
        <w:tab/>
        <w:t>Application for s. 80B to 80CB order, which vehicle can be subject of</w:t>
      </w:r>
      <w:bookmarkEnd w:id="131"/>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ind w:left="890" w:hanging="890"/>
      </w:pPr>
      <w:r>
        <w:tab/>
        <w:t>[Section 80GA inserted by No. 24 of 2008 s. 19.]</w:t>
      </w:r>
    </w:p>
    <w:p>
      <w:pPr>
        <w:pStyle w:val="Heading5"/>
        <w:spacing w:before="180"/>
      </w:pPr>
      <w:bookmarkStart w:id="132" w:name="_Toc472087149"/>
      <w:r>
        <w:rPr>
          <w:rStyle w:val="CharSectno"/>
        </w:rPr>
        <w:t>80G</w:t>
      </w:r>
      <w:r>
        <w:t>.</w:t>
      </w:r>
      <w:r>
        <w:tab/>
        <w:t>Procedure and grounds for making orders under s. 80A to 80CB</w:t>
      </w:r>
      <w:bookmarkEnd w:id="132"/>
    </w:p>
    <w:p>
      <w:pPr>
        <w:pStyle w:val="Subsection"/>
        <w:spacing w:before="12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order</w:t>
      </w:r>
      <w:r>
        <w:t xml:space="preserve"> means an order under section 80A, 80B(1), 80C(1), 80CA(1) or 80CB(1).</w:t>
      </w:r>
    </w:p>
    <w:p>
      <w:pPr>
        <w:pStyle w:val="Subsection"/>
        <w:spacing w:before="120"/>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keepNext/>
      </w:pPr>
      <w:r>
        <w:tab/>
        <w:t>(3A)</w:t>
      </w:r>
      <w:r>
        <w:tab/>
        <w:t xml:space="preserve">Despite subsections (2) and (3), the court may make an order on its own initiative in proceedings referred to in subsection (2)(b), in which case subsection (3) applies as if — </w:t>
      </w:r>
    </w:p>
    <w:p>
      <w:pPr>
        <w:pStyle w:val="Indenta"/>
      </w:pPr>
      <w:r>
        <w:tab/>
        <w:t>(a)</w:t>
      </w:r>
      <w:r>
        <w:tab/>
        <w:t>references to the Commissioner were references to the court; and</w:t>
      </w:r>
    </w:p>
    <w:p>
      <w:pPr>
        <w:pStyle w:val="Indenta"/>
      </w:pPr>
      <w:r>
        <w:tab/>
        <w:t>(b)</w:t>
      </w:r>
      <w:r>
        <w:tab/>
        <w:t>references to an intention to make an application were references to an intention to make an order.</w:t>
      </w:r>
    </w:p>
    <w:p>
      <w:pPr>
        <w:pStyle w:val="Subsection"/>
        <w:keepNext/>
        <w:spacing w:before="120"/>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whether or not to make an order other than an order under section 80A(3) or (4),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make an order that may be made under section 80A(3) or (4)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do a restricted act in respect of the vehicle unless a court has made an order approving of the proposed act.</w:t>
      </w:r>
    </w:p>
    <w:p>
      <w:pPr>
        <w:pStyle w:val="Penstart"/>
      </w:pPr>
      <w:r>
        <w:tab/>
        <w:t>Penalty for this subsection: a fine of 50 PU.</w:t>
      </w:r>
    </w:p>
    <w:p>
      <w:pPr>
        <w:pStyle w:val="Subsection"/>
        <w:keepNext/>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CEO in writing that the Commissioner intends to apply for an order in respect of a particular vehicle, the CEO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 No. 8 of 2012 s. 36; No. 51 of 2016 s. 35.]</w:t>
      </w:r>
    </w:p>
    <w:p>
      <w:pPr>
        <w:pStyle w:val="Heading5"/>
      </w:pPr>
      <w:bookmarkStart w:id="133" w:name="_Toc472087150"/>
      <w:r>
        <w:rPr>
          <w:rStyle w:val="CharSectno"/>
        </w:rPr>
        <w:t>80H</w:t>
      </w:r>
      <w:r>
        <w:t>.</w:t>
      </w:r>
      <w:r>
        <w:tab/>
        <w:t>Liability for police expenses for court</w:t>
      </w:r>
      <w:r>
        <w:noBreakHyphen/>
        <w:t>ordered impounding</w:t>
      </w:r>
      <w:bookmarkEnd w:id="133"/>
    </w:p>
    <w:p>
      <w:pPr>
        <w:pStyle w:val="Subsection"/>
      </w:pPr>
      <w:r>
        <w:tab/>
        <w:t>(1)</w:t>
      </w:r>
      <w:r>
        <w:tab/>
        <w:t>If a vehicle is impounded on an impounding order, the person because of whose conviction the vehicle was impounded is liable to pay to the Commissioner all reasonable expenses of the Commissioner by way of giving effect to the order.</w:t>
      </w:r>
    </w:p>
    <w:p>
      <w:pPr>
        <w:pStyle w:val="Ednotesubsection"/>
        <w:spacing w:before="120"/>
      </w:pPr>
      <w:r>
        <w:tab/>
        <w:t>[(2)</w:t>
      </w:r>
      <w:r>
        <w:tab/>
        <w:t>deleted]</w:t>
      </w:r>
    </w:p>
    <w:p>
      <w:pPr>
        <w:pStyle w:val="Footnotesection"/>
      </w:pPr>
      <w:r>
        <w:tab/>
        <w:t>[Section 80H inserted by No. 10 of 2004 s. 13; amended by No. 4 of 2007 s. 8 and 21; No. 24 of 2008 s. 25; No. 51 of 2016 s. 36.]</w:t>
      </w:r>
    </w:p>
    <w:p>
      <w:pPr>
        <w:pStyle w:val="Heading4"/>
      </w:pPr>
      <w:bookmarkStart w:id="134" w:name="_Toc472068404"/>
      <w:bookmarkStart w:id="135" w:name="_Toc472087151"/>
      <w:bookmarkStart w:id="136" w:name="_Toc468192135"/>
      <w:r>
        <w:t>Subdivision 4 — Vehicles impounded or confiscated under Subdivision 2 or 3</w:t>
      </w:r>
      <w:bookmarkEnd w:id="134"/>
      <w:bookmarkEnd w:id="135"/>
    </w:p>
    <w:p>
      <w:pPr>
        <w:pStyle w:val="Footnoteheading"/>
      </w:pPr>
      <w:r>
        <w:tab/>
        <w:t>[Heading inserted by No. 51 of 2016 s. 37.]</w:t>
      </w:r>
    </w:p>
    <w:p>
      <w:pPr>
        <w:pStyle w:val="Heading5"/>
      </w:pPr>
      <w:bookmarkStart w:id="137" w:name="_Toc472087152"/>
      <w:bookmarkEnd w:id="136"/>
      <w:r>
        <w:rPr>
          <w:rStyle w:val="CharSectno"/>
        </w:rPr>
        <w:t>80IA</w:t>
      </w:r>
      <w:r>
        <w:t>.</w:t>
      </w:r>
      <w:r>
        <w:tab/>
        <w:t>Release of vehicle after impounding period</w:t>
      </w:r>
      <w:bookmarkEnd w:id="137"/>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pPr>
      <w:bookmarkStart w:id="138" w:name="_Toc472087153"/>
      <w:r>
        <w:rPr>
          <w:rStyle w:val="CharSectno"/>
        </w:rPr>
        <w:t>80IB</w:t>
      </w:r>
      <w:r>
        <w:t>.</w:t>
      </w:r>
      <w:r>
        <w:tab/>
        <w:t>Impounding expenses, payment of before vehicle released</w:t>
      </w:r>
      <w:bookmarkEnd w:id="138"/>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reasonable expenses of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keepLines/>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spacing w:before="180"/>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acquitted of that offence, or the charge is withdrawn or dismissed.</w:t>
      </w:r>
    </w:p>
    <w:p>
      <w:pPr>
        <w:pStyle w:val="Footnotesection"/>
        <w:ind w:left="890" w:hanging="890"/>
      </w:pPr>
      <w:r>
        <w:tab/>
        <w:t>[Section 80IB inserted by No. 4 of 2007 s. 9; amended by No. 24 of 2008 s. 23 and 25; No. 23 of 2009 s. 22; No. 20 of 2010 s. 12; No. 51 of 2016 s. 38.]</w:t>
      </w:r>
    </w:p>
    <w:p>
      <w:pPr>
        <w:pStyle w:val="Heading5"/>
        <w:rPr>
          <w:snapToGrid w:val="0"/>
        </w:rPr>
      </w:pPr>
      <w:bookmarkStart w:id="139" w:name="_Toc472087154"/>
      <w:r>
        <w:rPr>
          <w:rStyle w:val="CharSectno"/>
        </w:rPr>
        <w:t>80I</w:t>
      </w:r>
      <w:r>
        <w:rPr>
          <w:snapToGrid w:val="0"/>
        </w:rPr>
        <w:t>.</w:t>
      </w:r>
      <w:r>
        <w:rPr>
          <w:snapToGrid w:val="0"/>
        </w:rPr>
        <w:tab/>
        <w:t>Storage expenses after impounding period ends</w:t>
      </w:r>
      <w:bookmarkEnd w:id="139"/>
    </w:p>
    <w:p>
      <w:pPr>
        <w:pStyle w:val="Subsection"/>
      </w:pPr>
      <w:r>
        <w:tab/>
        <w:t>(1A)</w:t>
      </w:r>
      <w:r>
        <w:tab/>
        <w:t xml:space="preserve">If a vehicle is impounded under Subdivision 2 or on an impounding order and a person is convicted of the offence for which the vehicle was impounded, that person is liable to pay to the Commissioner an amount specified by the Commissioner as being equivalent to all reasonable expenses of the Commissioner in storing the vehicle after the impounding period ends (the </w:t>
      </w:r>
      <w:r>
        <w:rPr>
          <w:rStyle w:val="CharDefText"/>
        </w:rPr>
        <w:t>post</w:t>
      </w:r>
      <w:r>
        <w:rPr>
          <w:rStyle w:val="CharDefText"/>
        </w:rPr>
        <w:noBreakHyphen/>
        <w:t>impoundment expenses</w:t>
      </w:r>
      <w:r>
        <w:t>).</w:t>
      </w:r>
    </w:p>
    <w:p>
      <w:pPr>
        <w:pStyle w:val="Subsection"/>
      </w:pPr>
      <w:r>
        <w:tab/>
        <w:t>(1)</w:t>
      </w:r>
      <w:r>
        <w:tab/>
        <w:t>The Commissioner may refuse to release a vehicle impounded under Subdivision 2 or on an impounding order until the Commissioner is paid the post</w:t>
      </w:r>
      <w:r>
        <w:noBreakHyphen/>
        <w:t>impoundment expenses for the vehicle.</w:t>
      </w:r>
    </w:p>
    <w:p>
      <w:pPr>
        <w:pStyle w:val="Subsection"/>
      </w:pPr>
      <w:r>
        <w:tab/>
        <w:t>(2A)</w:t>
      </w:r>
      <w:r>
        <w:tab/>
        <w:t>If the vehicle impounded under Subdivision 2 is a substitute vehicle impounded under section 79BCB, the post</w:t>
      </w:r>
      <w:r>
        <w:noBreakHyphen/>
        <w:t>impoundment expenses are both the expenses incurred in storing the substitute vehicle and any unpaid expenses incurred in storing the initially impounded vehicle (as defined in section 79BCA(1)).</w:t>
      </w:r>
    </w:p>
    <w:p>
      <w:pPr>
        <w:pStyle w:val="Subsection"/>
      </w:pPr>
      <w:r>
        <w:tab/>
        <w:t>(2)</w:t>
      </w:r>
      <w:r>
        <w:tab/>
        <w:t>The post</w:t>
      </w:r>
      <w:r>
        <w:noBreakHyphen/>
        <w:t>impoundment expenses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 No. 51 of 2016 s. 39.]</w:t>
      </w:r>
    </w:p>
    <w:p>
      <w:pPr>
        <w:pStyle w:val="Heading5"/>
      </w:pPr>
      <w:bookmarkStart w:id="140" w:name="_Toc472087155"/>
      <w:r>
        <w:rPr>
          <w:rStyle w:val="CharSectno"/>
        </w:rPr>
        <w:t>80JA</w:t>
      </w:r>
      <w:r>
        <w:t>.</w:t>
      </w:r>
      <w:r>
        <w:tab/>
        <w:t>Disposal, with consent, of vehicles impounded under s. 79 or 79A</w:t>
      </w:r>
      <w:bookmarkEnd w:id="140"/>
    </w:p>
    <w:p>
      <w:pPr>
        <w:pStyle w:val="Subsection"/>
      </w:pPr>
      <w:r>
        <w:tab/>
        <w:t>(1)</w:t>
      </w:r>
      <w:r>
        <w:tab/>
        <w:t>In this section —</w:t>
      </w:r>
    </w:p>
    <w:p>
      <w:pPr>
        <w:pStyle w:val="Defstart"/>
      </w:pPr>
      <w:r>
        <w:tab/>
      </w:r>
      <w:r>
        <w:rPr>
          <w:rStyle w:val="CharDefText"/>
        </w:rPr>
        <w:t>impounded vehicle</w:t>
      </w:r>
      <w:r>
        <w:t xml:space="preserve"> means a vehicle that is impounded under section 79 or 79A.</w:t>
      </w:r>
    </w:p>
    <w:p>
      <w:pPr>
        <w:pStyle w:val="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spacing w:before="120"/>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spacing w:before="120"/>
      </w:pPr>
      <w:r>
        <w:tab/>
        <w:t>(6)</w:t>
      </w:r>
      <w:r>
        <w:tab/>
        <w:t>The Commissioner may require a person who has an interest in an impounded vehicle to provide information to the Commissioner for the purposes of this section in a statutory declaration.</w:t>
      </w:r>
    </w:p>
    <w:p>
      <w:pPr>
        <w:pStyle w:val="Subsection"/>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reasonable expenses of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keepNext/>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pPr>
      <w:r>
        <w:tab/>
        <w:t>(c)</w:t>
      </w:r>
      <w:r>
        <w:tab/>
        <w:t>the person charged with that offence is acquitted,</w:t>
      </w:r>
    </w:p>
    <w:p>
      <w:pPr>
        <w:pStyle w:val="Subsection"/>
      </w:pPr>
      <w:r>
        <w:tab/>
      </w:r>
      <w:r>
        <w:tab/>
        <w:t>the Commissioner must pay to the person or persons referred to in subsection (8)(d) in accordance with that paragraph an amount equal to the amounts paid under subsection (8)(a), (b) and (c).</w:t>
      </w:r>
    </w:p>
    <w:p>
      <w:pPr>
        <w:pStyle w:val="Footnotesection"/>
        <w:ind w:left="890" w:hanging="890"/>
      </w:pPr>
      <w:r>
        <w:tab/>
        <w:t>[Section 80JA inserted by No. 23 of 2009 s. 24; amended by No. 51 of 2016 s. 40.]</w:t>
      </w:r>
    </w:p>
    <w:p>
      <w:pPr>
        <w:pStyle w:val="Heading5"/>
        <w:spacing w:before="240"/>
      </w:pPr>
      <w:bookmarkStart w:id="141" w:name="_Toc472087156"/>
      <w:r>
        <w:rPr>
          <w:rStyle w:val="CharSectno"/>
        </w:rPr>
        <w:t>80J</w:t>
      </w:r>
      <w:r>
        <w:t>.</w:t>
      </w:r>
      <w:r>
        <w:tab/>
        <w:t>Sale of confiscated and uncollected vehicles and items</w:t>
      </w:r>
      <w:bookmarkEnd w:id="141"/>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 as in force at any time, 80C(1) or 80CB(1);</w:t>
      </w:r>
    </w:p>
    <w:p>
      <w:pPr>
        <w:pStyle w:val="Defstart"/>
      </w:pPr>
      <w:r>
        <w:tab/>
      </w:r>
      <w:r>
        <w:rPr>
          <w:rStyle w:val="CharDefText"/>
        </w:rPr>
        <w:t>expenses</w:t>
      </w:r>
      <w:r>
        <w:t xml:space="preserve"> means the reasonable expenses of the Commissioner;</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7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or an item unless 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Ednotepara"/>
      </w:pPr>
      <w:r>
        <w:tab/>
        <w:t>[(b)</w:t>
      </w:r>
      <w:r>
        <w:tab/>
        <w:t>deleted]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 xml:space="preserve">The owner of an uncollected vehicle may apply to the </w:t>
      </w:r>
      <w:smartTag w:uri="urn:schemas-microsoft-com:office:smarttags" w:element="Street">
        <w:smartTag w:uri="urn:schemas-microsoft-com:office:smarttags" w:element="address">
          <w:r>
            <w:t>Magistrates Court</w:t>
          </w:r>
        </w:smartTag>
      </w:smartTag>
      <w:r>
        <w:t xml:space="preserve"> for an order that the sale or disposal of the vehicle under subsection (2) not take place until after such time as is specified in the order but no later than 3 months after the day of the order.</w:t>
      </w:r>
    </w:p>
    <w:p>
      <w:pPr>
        <w:pStyle w:val="Subsection"/>
      </w:pPr>
      <w:r>
        <w:tab/>
        <w:t>(6)</w:t>
      </w:r>
      <w:r>
        <w:tab/>
        <w:t xml:space="preserve">The owner of an item may apply to the </w:t>
      </w:r>
      <w:smartTag w:uri="urn:schemas-microsoft-com:office:smarttags" w:element="Street">
        <w:smartTag w:uri="urn:schemas-microsoft-com:office:smarttags" w:element="address">
          <w:r>
            <w:t>Magistrates Court</w:t>
          </w:r>
        </w:smartTag>
      </w:smartTag>
      <w:r>
        <w:t xml:space="preserve">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in satisfaction of an unpaid amount for which a person is liable under section 80I;</w:t>
      </w:r>
    </w:p>
    <w:p>
      <w:pPr>
        <w:pStyle w:val="Indenta"/>
      </w:pPr>
      <w:r>
        <w:tab/>
        <w:t>(ga)</w:t>
      </w:r>
      <w:r>
        <w:tab/>
        <w:t>in satisfaction of an unpaid amount of a judgment debt arising out of a liability under section 80I;</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keepNext/>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 as in force at any time,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12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spacing w:before="100"/>
        <w:ind w:left="890" w:hanging="890"/>
      </w:pPr>
      <w:r>
        <w:tab/>
        <w:t>[Section 80J inserted by No. 10 of 2004 s. 13; amended by No. 4 of 2007 s. 10, 23 and 31(1); No. 24 of 2008 s. 22, 23, 24(1) and 25; No. 23 of 2009 s. 25; No. 51 of 2016 s. 41.]</w:t>
      </w:r>
    </w:p>
    <w:p>
      <w:pPr>
        <w:pStyle w:val="Heading5"/>
        <w:keepNext w:val="0"/>
        <w:keepLines w:val="0"/>
        <w:spacing w:before="160"/>
      </w:pPr>
      <w:bookmarkStart w:id="142" w:name="_Toc472087157"/>
      <w:r>
        <w:rPr>
          <w:rStyle w:val="CharSectno"/>
        </w:rPr>
        <w:t>80K</w:t>
      </w:r>
      <w:r>
        <w:t>.</w:t>
      </w:r>
      <w:r>
        <w:tab/>
        <w:t>Police expenses more than sale proceeds, liability for</w:t>
      </w:r>
      <w:bookmarkEnd w:id="142"/>
    </w:p>
    <w:p>
      <w:pPr>
        <w:pStyle w:val="Subsection"/>
        <w:spacing w:before="120"/>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143" w:name="_Toc472087158"/>
      <w:r>
        <w:rPr>
          <w:rStyle w:val="CharSectno"/>
        </w:rPr>
        <w:t>80LA</w:t>
      </w:r>
      <w:r>
        <w:t>.</w:t>
      </w:r>
      <w:r>
        <w:tab/>
        <w:t>Liability for police expenses for uncollected vehicle more than sale proceeds</w:t>
      </w:r>
      <w:bookmarkEnd w:id="143"/>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reasonable expenses incurred by the Commissioner in selling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 amended by No. 51 of 2016 s. 42.]</w:t>
      </w:r>
    </w:p>
    <w:p>
      <w:pPr>
        <w:pStyle w:val="Heading5"/>
        <w:keepNext w:val="0"/>
        <w:keepLines w:val="0"/>
      </w:pPr>
      <w:bookmarkStart w:id="144" w:name="_Toc472087159"/>
      <w:r>
        <w:rPr>
          <w:rStyle w:val="CharSectno"/>
        </w:rPr>
        <w:t>80L</w:t>
      </w:r>
      <w:r>
        <w:t>.</w:t>
      </w:r>
      <w:r>
        <w:tab/>
        <w:t>Transfer of vehicle licence to State in some cases</w:t>
      </w:r>
      <w:bookmarkEnd w:id="144"/>
    </w:p>
    <w:p>
      <w:pPr>
        <w:pStyle w:val="Subsection"/>
      </w:pPr>
      <w:r>
        <w:tab/>
        <w:t>(1)</w:t>
      </w:r>
      <w:r>
        <w:tab/>
        <w:t>If a licensed vehicle is confiscated on an order under section 80A, as in force at any time, 80C(1) or 80CB(1) or is to be sold as an uncollected vehicle under section 80J(2) —</w:t>
      </w:r>
    </w:p>
    <w:p>
      <w:pPr>
        <w:pStyle w:val="Indenta"/>
      </w:pPr>
      <w:r>
        <w:tab/>
        <w:t>(a)</w:t>
      </w:r>
      <w:r>
        <w:tab/>
        <w:t>the Commissioner of Police is to give notice in writing to the CEO of that fact; and</w:t>
      </w:r>
    </w:p>
    <w:p>
      <w:pPr>
        <w:pStyle w:val="Indenta"/>
      </w:pPr>
      <w:r>
        <w:tab/>
        <w:t>(b)</w:t>
      </w:r>
      <w:r>
        <w:tab/>
        <w:t xml:space="preserve">the CEO is to transfer the vehicle’s licence to the State of </w:t>
      </w:r>
      <w:smartTag w:uri="urn:schemas-microsoft-com:office:smarttags" w:element="place">
        <w:smartTag w:uri="urn:schemas-microsoft-com:office:smarttags" w:element="State">
          <w:r>
            <w:t>Western Australia</w:t>
          </w:r>
        </w:smartTag>
      </w:smartTag>
      <w:r>
        <w:t>.</w:t>
      </w:r>
    </w:p>
    <w:p>
      <w:pPr>
        <w:pStyle w:val="Subsection"/>
      </w:pPr>
      <w:r>
        <w:tab/>
        <w:t>(2)</w:t>
      </w:r>
      <w:r>
        <w:tab/>
        <w:t xml:space="preserve">The </w:t>
      </w:r>
      <w:r>
        <w:rPr>
          <w:i/>
        </w:rPr>
        <w:t>Road Traffic (Vehicles) Act 2012</w:t>
      </w:r>
      <w:r>
        <w:t> section 10(1)(a), (2), (3), (4) and (5) do not apply if the CEO is given notice under subsection (1)(a).</w:t>
      </w:r>
    </w:p>
    <w:p>
      <w:pPr>
        <w:pStyle w:val="Footnotesection"/>
      </w:pPr>
      <w:r>
        <w:tab/>
        <w:t>[Section 80L inserted by No. 10 of 2004 s. 13; amended by No. 4 of 2007 s. 25 and 33; No. 8 of 2012 s. 25 and 36; No. 51 of 2016 s. 43.]</w:t>
      </w:r>
    </w:p>
    <w:p>
      <w:pPr>
        <w:pStyle w:val="Heading5"/>
      </w:pPr>
      <w:bookmarkStart w:id="145" w:name="_Toc472068412"/>
      <w:bookmarkStart w:id="146" w:name="_Toc472087160"/>
      <w:r>
        <w:rPr>
          <w:rStyle w:val="CharSectno"/>
        </w:rPr>
        <w:t>80M</w:t>
      </w:r>
      <w:r>
        <w:t>.</w:t>
      </w:r>
      <w:r>
        <w:tab/>
        <w:t>Compensation for certain vehicles or items disposed of under s. 80J</w:t>
      </w:r>
      <w:bookmarkEnd w:id="145"/>
      <w:bookmarkEnd w:id="146"/>
    </w:p>
    <w:p>
      <w:pPr>
        <w:pStyle w:val="Subsection"/>
      </w:pPr>
      <w:r>
        <w:tab/>
        <w:t>(1)</w:t>
      </w:r>
      <w:r>
        <w:tab/>
        <w:t xml:space="preserve">In this section — </w:t>
      </w:r>
    </w:p>
    <w:p>
      <w:pPr>
        <w:pStyle w:val="Defstart"/>
      </w:pPr>
      <w:r>
        <w:tab/>
      </w:r>
      <w:r>
        <w:rPr>
          <w:rStyle w:val="CharDefText"/>
        </w:rPr>
        <w:t>former owner</w:t>
      </w:r>
      <w:r>
        <w:t>, in relation to an uncollected vehicle sold or otherwise disposed of under section 80J, or an item in or on the vehicle, means the owner of the vehicle or item before the vehicle or item was sold or otherwise disposed of;</w:t>
      </w:r>
    </w:p>
    <w:p>
      <w:pPr>
        <w:pStyle w:val="Defstart"/>
      </w:pPr>
      <w:r>
        <w:tab/>
      </w:r>
      <w:r>
        <w:rPr>
          <w:rStyle w:val="CharDefText"/>
        </w:rPr>
        <w:t>item</w:t>
      </w:r>
      <w:r>
        <w:t xml:space="preserve"> has the meaning given in section 80J(1);</w:t>
      </w:r>
    </w:p>
    <w:p>
      <w:pPr>
        <w:pStyle w:val="Defstart"/>
      </w:pPr>
      <w:r>
        <w:tab/>
      </w:r>
      <w:r>
        <w:rPr>
          <w:rStyle w:val="CharDefText"/>
        </w:rPr>
        <w:t>uncollected vehicle</w:t>
      </w:r>
      <w:r>
        <w:t xml:space="preserve"> has the meaning given in section 80J(1).</w:t>
      </w:r>
    </w:p>
    <w:p>
      <w:pPr>
        <w:pStyle w:val="Subsection"/>
      </w:pPr>
      <w:r>
        <w:tab/>
        <w:t>(2)</w:t>
      </w:r>
      <w:r>
        <w:tab/>
        <w:t xml:space="preserve">The State is liable to pay compensation to the former owner of an uncollected vehicle, or an item, if the vehicle or item is sold or otherwise disposed of under section 80J and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acquitted of that offence, or the charge is withdrawn or dismissed.</w:t>
      </w:r>
    </w:p>
    <w:p>
      <w:pPr>
        <w:pStyle w:val="Subsection"/>
      </w:pPr>
      <w:r>
        <w:tab/>
        <w:t>(3)</w:t>
      </w:r>
      <w:r>
        <w:tab/>
        <w:t>If, before the end of the period referred to in subsection (2)(a), the Commissioner of Police is satisfied that it is unlikely that a person will be charged with committing the offence for which the uncollected vehicle was impounded, the former owner of the vehicle, or item, may be paid compensation.</w:t>
      </w:r>
    </w:p>
    <w:p>
      <w:pPr>
        <w:pStyle w:val="Subsection"/>
      </w:pPr>
      <w:r>
        <w:tab/>
        <w:t>(4)</w:t>
      </w:r>
      <w:r>
        <w:tab/>
        <w:t>A liability that the State has under subsection (2) in relation to a an uncollected vehicle, or item, is reduced by an amount paid under subsection (3) in relation to the vehicle or item.</w:t>
      </w:r>
    </w:p>
    <w:p>
      <w:pPr>
        <w:pStyle w:val="Subsection"/>
      </w:pPr>
      <w:r>
        <w:tab/>
        <w:t>(5)</w:t>
      </w:r>
      <w:r>
        <w:tab/>
        <w:t xml:space="preserve">The State may recover from a person an amount equal to the amount of compensation paid to the person under subsection (2) or (3) in a court of competent jurisdiction as a debt due to the State if — </w:t>
      </w:r>
    </w:p>
    <w:p>
      <w:pPr>
        <w:pStyle w:val="Indenta"/>
      </w:pPr>
      <w:r>
        <w:tab/>
        <w:t>(a)</w:t>
      </w:r>
      <w:r>
        <w:tab/>
        <w:t>a person is, after the payment of the compensation, convicted of the offence for which the uncollected vehicle was impounded; and</w:t>
      </w:r>
    </w:p>
    <w:p>
      <w:pPr>
        <w:pStyle w:val="Indenta"/>
      </w:pPr>
      <w:r>
        <w:tab/>
        <w:t>(b)</w:t>
      </w:r>
      <w:r>
        <w:tab/>
        <w:t>any appeal against the conviction is determined and the conviction is not quashed or overturned.</w:t>
      </w:r>
    </w:p>
    <w:p>
      <w:pPr>
        <w:pStyle w:val="Subsection"/>
      </w:pPr>
      <w:r>
        <w:tab/>
        <w:t>(6)</w:t>
      </w:r>
      <w:r>
        <w:tab/>
        <w:t xml:space="preserve">The State is liable to pay compensation to the former owner of an uncollected vehicle, or an item, if — </w:t>
      </w:r>
    </w:p>
    <w:p>
      <w:pPr>
        <w:pStyle w:val="Indenta"/>
      </w:pPr>
      <w:r>
        <w:tab/>
        <w:t>(a)</w:t>
      </w:r>
      <w:r>
        <w:tab/>
        <w:t>a person was convicted of the offence for which the vehicle was impounded; and</w:t>
      </w:r>
    </w:p>
    <w:p>
      <w:pPr>
        <w:pStyle w:val="Indenta"/>
      </w:pPr>
      <w:r>
        <w:tab/>
        <w:t>(b)</w:t>
      </w:r>
      <w:r>
        <w:tab/>
        <w:t>the person is subsequently acquitted of the offence; and</w:t>
      </w:r>
    </w:p>
    <w:p>
      <w:pPr>
        <w:pStyle w:val="Indenta"/>
      </w:pPr>
      <w:r>
        <w:tab/>
        <w:t>(c)</w:t>
      </w:r>
      <w:r>
        <w:tab/>
        <w:t xml:space="preserve">at the time of the acquittal — </w:t>
      </w:r>
    </w:p>
    <w:p>
      <w:pPr>
        <w:pStyle w:val="Indenti"/>
      </w:pPr>
      <w:r>
        <w:tab/>
        <w:t>(i)</w:t>
      </w:r>
      <w:r>
        <w:tab/>
        <w:t>no other person has been convicted of the offence for which the vehicle was impounded; or</w:t>
      </w:r>
    </w:p>
    <w:p>
      <w:pPr>
        <w:pStyle w:val="Indenti"/>
      </w:pPr>
      <w:r>
        <w:tab/>
        <w:t>(ii)</w:t>
      </w:r>
      <w:r>
        <w:tab/>
        <w:t>if a person has been charged with the offence for which the vehicle was impounded, the person is acquitted of the offence or the charge is withdrawn or dismissed.</w:t>
      </w:r>
    </w:p>
    <w:p>
      <w:pPr>
        <w:pStyle w:val="Subsection"/>
      </w:pPr>
      <w:r>
        <w:tab/>
        <w:t>(7)</w:t>
      </w:r>
      <w:r>
        <w:tab/>
        <w:t xml:space="preserve">The amount of compensation to be paid under this section — </w:t>
      </w:r>
    </w:p>
    <w:p>
      <w:pPr>
        <w:pStyle w:val="Indenta"/>
      </w:pPr>
      <w:r>
        <w:tab/>
        <w:t>(a)</w:t>
      </w:r>
      <w:r>
        <w:tab/>
        <w:t>for an uncollected vehicle, is limited to the market value of the vehicle at the time it was impounded; and</w:t>
      </w:r>
    </w:p>
    <w:p>
      <w:pPr>
        <w:pStyle w:val="Indenta"/>
      </w:pPr>
      <w:r>
        <w:tab/>
        <w:t>(b)</w:t>
      </w:r>
      <w:r>
        <w:tab/>
        <w:t xml:space="preserve">for an item, is limited to the market value of the item at the time the vehicle was impounded. </w:t>
      </w:r>
    </w:p>
    <w:p>
      <w:pPr>
        <w:pStyle w:val="Subsection"/>
      </w:pPr>
      <w:r>
        <w:tab/>
        <w:t>(8)</w:t>
      </w:r>
      <w:r>
        <w:tab/>
        <w:t xml:space="preserve">For the purposes of subsection (7), the market value of an uncollected vehicle, or an item, is — </w:t>
      </w:r>
    </w:p>
    <w:p>
      <w:pPr>
        <w:pStyle w:val="Indenta"/>
      </w:pPr>
      <w:r>
        <w:tab/>
        <w:t>(a)</w:t>
      </w:r>
      <w:r>
        <w:tab/>
        <w:t>the market value agreed between the State and the former owner of the vehicle or item; or</w:t>
      </w:r>
    </w:p>
    <w:p>
      <w:pPr>
        <w:pStyle w:val="Indenta"/>
      </w:pPr>
      <w:r>
        <w:tab/>
        <w:t>(b)</w:t>
      </w:r>
      <w:r>
        <w:tab/>
        <w:t>if no such agreement exists, the market value of the vehicle or item as determined by a court of competent jurisdiction.</w:t>
      </w:r>
    </w:p>
    <w:p>
      <w:pPr>
        <w:pStyle w:val="Footnotesection"/>
      </w:pPr>
      <w:r>
        <w:tab/>
        <w:t>[Section 80M inserted by No. 51 of 2016 s. 44.]</w:t>
      </w:r>
    </w:p>
    <w:p>
      <w:pPr>
        <w:pStyle w:val="Heading4"/>
      </w:pPr>
      <w:bookmarkStart w:id="147" w:name="_Toc472068414"/>
      <w:bookmarkStart w:id="148" w:name="_Toc472087161"/>
      <w:r>
        <w:t>Subdivision 5 — Impounding and confiscation of unlicensed motor cycles used on roads</w:t>
      </w:r>
      <w:bookmarkEnd w:id="147"/>
      <w:bookmarkEnd w:id="148"/>
    </w:p>
    <w:p>
      <w:pPr>
        <w:pStyle w:val="Footnoteheading"/>
      </w:pPr>
      <w:r>
        <w:tab/>
        <w:t>[Heading inserted by No. 51 of 2016 s. 45.]</w:t>
      </w:r>
    </w:p>
    <w:p>
      <w:pPr>
        <w:pStyle w:val="Heading5"/>
      </w:pPr>
      <w:bookmarkStart w:id="149" w:name="_Toc472068415"/>
      <w:bookmarkStart w:id="150" w:name="_Toc472087162"/>
      <w:r>
        <w:rPr>
          <w:rStyle w:val="CharSectno"/>
        </w:rPr>
        <w:t>80N</w:t>
      </w:r>
      <w:r>
        <w:t>.</w:t>
      </w:r>
      <w:r>
        <w:tab/>
        <w:t>Terms used</w:t>
      </w:r>
      <w:bookmarkEnd w:id="149"/>
      <w:bookmarkEnd w:id="150"/>
    </w:p>
    <w:p>
      <w:pPr>
        <w:pStyle w:val="Subsection"/>
      </w:pPr>
      <w:r>
        <w:tab/>
      </w:r>
      <w:r>
        <w:tab/>
        <w:t xml:space="preserve">In this Subdivision — </w:t>
      </w:r>
    </w:p>
    <w:p>
      <w:pPr>
        <w:pStyle w:val="Defstart"/>
      </w:pPr>
      <w:r>
        <w:tab/>
      </w:r>
      <w:r>
        <w:rPr>
          <w:rStyle w:val="CharDefText"/>
        </w:rPr>
        <w:t>immediate family</w:t>
      </w:r>
      <w:r>
        <w:t>, in relation to a person, means a spouse or de facto partner, child, grandchild, sibling, parent or grandparent of the person;</w:t>
      </w:r>
    </w:p>
    <w:p>
      <w:pPr>
        <w:pStyle w:val="Defstart"/>
      </w:pPr>
      <w:r>
        <w:tab/>
      </w:r>
      <w:r>
        <w:rPr>
          <w:rStyle w:val="CharDefText"/>
        </w:rPr>
        <w:t>surrender notice</w:t>
      </w:r>
      <w:r>
        <w:t xml:space="preserve"> has the meaning given in section 80P(2);</w:t>
      </w:r>
    </w:p>
    <w:p>
      <w:pPr>
        <w:pStyle w:val="Defstart"/>
      </w:pPr>
      <w:r>
        <w:tab/>
      </w:r>
      <w:r>
        <w:rPr>
          <w:rStyle w:val="CharDefText"/>
        </w:rPr>
        <w:t>suspected use</w:t>
      </w:r>
      <w:r>
        <w:t>, in relation to a motor cycle impounded under section 80O(2) or 80Q(1) or (2), means the use of the motor cycle in circumstances described in section 80O(1)(a) to (c).</w:t>
      </w:r>
    </w:p>
    <w:p>
      <w:pPr>
        <w:pStyle w:val="Footnotesection"/>
      </w:pPr>
      <w:bookmarkStart w:id="151" w:name="_Toc472068416"/>
      <w:r>
        <w:tab/>
        <w:t>[Section 80N inserted by No. 51 of 2016 s. 45.]</w:t>
      </w:r>
    </w:p>
    <w:p>
      <w:pPr>
        <w:pStyle w:val="Heading5"/>
      </w:pPr>
      <w:bookmarkStart w:id="152" w:name="_Toc472087163"/>
      <w:r>
        <w:rPr>
          <w:rStyle w:val="CharSectno"/>
        </w:rPr>
        <w:t>80O</w:t>
      </w:r>
      <w:r>
        <w:t>.</w:t>
      </w:r>
      <w:r>
        <w:tab/>
        <w:t>Police power to impound unlicensed motor cycle used on road</w:t>
      </w:r>
      <w:bookmarkEnd w:id="151"/>
      <w:bookmarkEnd w:id="152"/>
    </w:p>
    <w:p>
      <w:pPr>
        <w:pStyle w:val="Subsection"/>
      </w:pPr>
      <w:r>
        <w:tab/>
        <w:t>(1)</w:t>
      </w:r>
      <w:r>
        <w:tab/>
        <w:t xml:space="preserve">This section applies if a police officer reasonably suspects that — </w:t>
      </w:r>
    </w:p>
    <w:p>
      <w:pPr>
        <w:pStyle w:val="Indenta"/>
      </w:pPr>
      <w:r>
        <w:tab/>
        <w:t>(a)</w:t>
      </w:r>
      <w:r>
        <w:tab/>
        <w:t>a motor cycle is being used on a road; and</w:t>
      </w:r>
    </w:p>
    <w:p>
      <w:pPr>
        <w:pStyle w:val="Indenta"/>
      </w:pPr>
      <w:r>
        <w:tab/>
        <w:t>(b)</w:t>
      </w:r>
      <w:r>
        <w:tab/>
        <w:t xml:space="preserve">the use constitutes an offence under the </w:t>
      </w:r>
      <w:r>
        <w:rPr>
          <w:i/>
        </w:rPr>
        <w:t>Road Traffic (Vehicles) Act 2012</w:t>
      </w:r>
      <w:r>
        <w:t xml:space="preserve"> section 4(2); and</w:t>
      </w:r>
    </w:p>
    <w:p>
      <w:pPr>
        <w:pStyle w:val="Indenta"/>
      </w:pPr>
      <w:r>
        <w:tab/>
        <w:t>(c)</w:t>
      </w:r>
      <w:r>
        <w:tab/>
        <w:t xml:space="preserve">the motor cycle was not, at any time during the period of 2 years immediately before the day of the use — </w:t>
      </w:r>
    </w:p>
    <w:p>
      <w:pPr>
        <w:pStyle w:val="Indenti"/>
      </w:pPr>
      <w:r>
        <w:tab/>
        <w:t>(i)</w:t>
      </w:r>
      <w:r>
        <w:tab/>
        <w:t xml:space="preserve">licensed under the </w:t>
      </w:r>
      <w:r>
        <w:rPr>
          <w:i/>
        </w:rPr>
        <w:t>Road Traffic (Vehicles) Act 2012</w:t>
      </w:r>
      <w:r>
        <w:t xml:space="preserve">; or </w:t>
      </w:r>
    </w:p>
    <w:p>
      <w:pPr>
        <w:pStyle w:val="Indenti"/>
      </w:pPr>
      <w:r>
        <w:tab/>
        <w:t>(ii)</w:t>
      </w:r>
      <w:r>
        <w:tab/>
        <w:t xml:space="preserve">the subject of a permit, or number plates, issued under the </w:t>
      </w:r>
      <w:r>
        <w:rPr>
          <w:i/>
        </w:rPr>
        <w:t xml:space="preserve">Road Traffic (Vehicles) Act 2012 </w:t>
      </w:r>
      <w:r>
        <w:t>section 13.</w:t>
      </w:r>
    </w:p>
    <w:p>
      <w:pPr>
        <w:pStyle w:val="Subsection"/>
      </w:pPr>
      <w:r>
        <w:tab/>
        <w:t>(2)</w:t>
      </w:r>
      <w:r>
        <w:tab/>
        <w:t>The police officer may seize and impound the motor cycle within a period of 28 days after the day of its suspected use.</w:t>
      </w:r>
    </w:p>
    <w:p>
      <w:pPr>
        <w:pStyle w:val="Subsection"/>
      </w:pPr>
      <w:r>
        <w:tab/>
        <w:t>(3)</w:t>
      </w:r>
      <w:r>
        <w:tab/>
        <w:t xml:space="preserve">The Commissioner is to ensure that, as soon as practicable after a motor cycle is impounded under subsection (2), notice of the impounding is given to — </w:t>
      </w:r>
    </w:p>
    <w:p>
      <w:pPr>
        <w:pStyle w:val="Indenta"/>
      </w:pPr>
      <w:r>
        <w:tab/>
        <w:t>(a)</w:t>
      </w:r>
      <w:r>
        <w:tab/>
        <w:t>a responsible person for the motor cycle; and</w:t>
      </w:r>
    </w:p>
    <w:p>
      <w:pPr>
        <w:pStyle w:val="Indenta"/>
      </w:pPr>
      <w:r>
        <w:tab/>
        <w:t>(b)</w:t>
      </w:r>
      <w:r>
        <w:tab/>
        <w:t xml:space="preserve">if that person has not reached the age of 18 years, a responsible adult, as defined in the </w:t>
      </w:r>
      <w:r>
        <w:rPr>
          <w:i/>
        </w:rPr>
        <w:t>Young Offenders Act 1994</w:t>
      </w:r>
      <w:r>
        <w:t>, for the person.</w:t>
      </w:r>
    </w:p>
    <w:p>
      <w:pPr>
        <w:pStyle w:val="Subsection"/>
      </w:pPr>
      <w:r>
        <w:tab/>
        <w:t>(4)</w:t>
      </w:r>
      <w:r>
        <w:tab/>
        <w:t>The notice must be in an approved form and specify the following —</w:t>
      </w:r>
    </w:p>
    <w:p>
      <w:pPr>
        <w:pStyle w:val="Indenta"/>
      </w:pPr>
      <w:r>
        <w:tab/>
        <w:t>(a)</w:t>
      </w:r>
      <w:r>
        <w:tab/>
        <w:t>the time when the motor cycle was impounded;</w:t>
      </w:r>
    </w:p>
    <w:p>
      <w:pPr>
        <w:pStyle w:val="Indenta"/>
      </w:pPr>
      <w:r>
        <w:tab/>
        <w:t>(b)</w:t>
      </w:r>
      <w:r>
        <w:tab/>
        <w:t>the address of the place where the motor cycle is stored;</w:t>
      </w:r>
    </w:p>
    <w:p>
      <w:pPr>
        <w:pStyle w:val="Indenta"/>
      </w:pPr>
      <w:r>
        <w:tab/>
        <w:t>(c)</w:t>
      </w:r>
      <w:r>
        <w:tab/>
        <w:t>sufficient details of the motor cycle to identify it;</w:t>
      </w:r>
    </w:p>
    <w:p>
      <w:pPr>
        <w:pStyle w:val="Indenta"/>
      </w:pPr>
      <w:r>
        <w:tab/>
        <w:t>(d)</w:t>
      </w:r>
      <w:r>
        <w:tab/>
        <w:t>the time and place of the suspected use of the motor cycle;</w:t>
      </w:r>
    </w:p>
    <w:p>
      <w:pPr>
        <w:pStyle w:val="Indenta"/>
      </w:pPr>
      <w:r>
        <w:tab/>
        <w:t>(e)</w:t>
      </w:r>
      <w:r>
        <w:tab/>
        <w:t>sufficient other details of the suspected use to identify the grounds for giving the notice;</w:t>
      </w:r>
    </w:p>
    <w:p>
      <w:pPr>
        <w:pStyle w:val="Indenta"/>
      </w:pPr>
      <w:r>
        <w:tab/>
        <w:t>(f)</w:t>
      </w:r>
      <w:r>
        <w:tab/>
        <w:t>if known, the name of the driver of the motor cycle during its suspected use.</w:t>
      </w:r>
    </w:p>
    <w:p>
      <w:pPr>
        <w:pStyle w:val="Subsection"/>
        <w:keepNext/>
      </w:pPr>
      <w:r>
        <w:tab/>
        <w:t>(5)</w:t>
      </w:r>
      <w:r>
        <w:tab/>
        <w:t>The notice must also include the following —</w:t>
      </w:r>
    </w:p>
    <w:p>
      <w:pPr>
        <w:pStyle w:val="Indenta"/>
      </w:pPr>
      <w:r>
        <w:tab/>
        <w:t>(a)</w:t>
      </w:r>
      <w:r>
        <w:tab/>
        <w:t>a statement to the effect that this Subdivision contains law about the notice and the impounding of the motor cycle;</w:t>
      </w:r>
    </w:p>
    <w:p>
      <w:pPr>
        <w:pStyle w:val="Indenta"/>
      </w:pPr>
      <w:r>
        <w:tab/>
        <w:t>(b)</w:t>
      </w:r>
      <w:r>
        <w:tab/>
        <w:t>a statement as to the effect of sections 80S, 80T and 80U;</w:t>
      </w:r>
    </w:p>
    <w:p>
      <w:pPr>
        <w:pStyle w:val="Indenta"/>
      </w:pPr>
      <w:r>
        <w:tab/>
        <w:t>(c)</w:t>
      </w:r>
      <w:r>
        <w:tab/>
        <w:t>a statement as to the effect that if the motor cycle is confiscated under section 80T, it may be disposed of under section 80V;</w:t>
      </w:r>
    </w:p>
    <w:p>
      <w:pPr>
        <w:pStyle w:val="Indenta"/>
      </w:pPr>
      <w:r>
        <w:tab/>
        <w:t>(d)</w:t>
      </w:r>
      <w:r>
        <w:tab/>
        <w:t>a statement as to the effect of section 80W.</w:t>
      </w:r>
    </w:p>
    <w:p>
      <w:pPr>
        <w:pStyle w:val="Footnotesection"/>
      </w:pPr>
      <w:bookmarkStart w:id="153" w:name="_Toc472068417"/>
      <w:r>
        <w:tab/>
        <w:t>[Section 80O inserted by No. 51 of 2016 s. 45.]</w:t>
      </w:r>
    </w:p>
    <w:p>
      <w:pPr>
        <w:pStyle w:val="Heading5"/>
      </w:pPr>
      <w:bookmarkStart w:id="154" w:name="_Toc472087164"/>
      <w:r>
        <w:rPr>
          <w:rStyle w:val="CharSectno"/>
        </w:rPr>
        <w:t>80P</w:t>
      </w:r>
      <w:r>
        <w:t>.</w:t>
      </w:r>
      <w:r>
        <w:tab/>
        <w:t>Surrender notice</w:t>
      </w:r>
      <w:bookmarkEnd w:id="153"/>
      <w:bookmarkEnd w:id="154"/>
    </w:p>
    <w:p>
      <w:pPr>
        <w:pStyle w:val="Subsection"/>
      </w:pPr>
      <w:r>
        <w:tab/>
        <w:t>(1)</w:t>
      </w:r>
      <w:r>
        <w:tab/>
        <w:t xml:space="preserve">This section applies if — </w:t>
      </w:r>
    </w:p>
    <w:p>
      <w:pPr>
        <w:pStyle w:val="Indenta"/>
      </w:pPr>
      <w:r>
        <w:tab/>
        <w:t>(a)</w:t>
      </w:r>
      <w:r>
        <w:tab/>
        <w:t>a police officer reasonably suspects, in relation to a motor cycle, that the motor cycle has been used in circumstances described in section 80O(1)(a) to (c); and</w:t>
      </w:r>
    </w:p>
    <w:p>
      <w:pPr>
        <w:pStyle w:val="Indenta"/>
      </w:pPr>
      <w:r>
        <w:tab/>
        <w:t>(b)</w:t>
      </w:r>
      <w:r>
        <w:tab/>
        <w:t>it is impracticable for the police officer to impound the motor cycle under section 80O(2).</w:t>
      </w:r>
    </w:p>
    <w:p>
      <w:pPr>
        <w:pStyle w:val="Subsection"/>
      </w:pPr>
      <w:r>
        <w:tab/>
        <w:t>(2)</w:t>
      </w:r>
      <w:r>
        <w:tab/>
        <w:t xml:space="preserve">The police officer may give, personally or by registered post, a notice (a </w:t>
      </w:r>
      <w:r>
        <w:rPr>
          <w:rStyle w:val="CharDefText"/>
        </w:rPr>
        <w:t>surrender notice</w:t>
      </w:r>
      <w:r>
        <w:t xml:space="preserve">) to — </w:t>
      </w:r>
    </w:p>
    <w:p>
      <w:pPr>
        <w:pStyle w:val="Indenta"/>
      </w:pPr>
      <w:r>
        <w:tab/>
        <w:t>(a)</w:t>
      </w:r>
      <w:r>
        <w:tab/>
        <w:t>a responsible person for the motor cycle; and</w:t>
      </w:r>
    </w:p>
    <w:p>
      <w:pPr>
        <w:pStyle w:val="Indenta"/>
      </w:pPr>
      <w:r>
        <w:tab/>
        <w:t>(b)</w:t>
      </w:r>
      <w:r>
        <w:tab/>
        <w:t xml:space="preserve">if that person has not reached the age of 18 years, a responsible adult, as defined in the </w:t>
      </w:r>
      <w:r>
        <w:rPr>
          <w:i/>
        </w:rPr>
        <w:t>Young Offenders Act 1994</w:t>
      </w:r>
      <w:r>
        <w:t>, for the person.</w:t>
      </w:r>
    </w:p>
    <w:p>
      <w:pPr>
        <w:pStyle w:val="Subsection"/>
      </w:pPr>
      <w:r>
        <w:tab/>
        <w:t>(3)</w:t>
      </w:r>
      <w:r>
        <w:tab/>
        <w:t>The surrender notice cannot be given more than 28 days after the day of the suspected use of the motor cycle.</w:t>
      </w:r>
    </w:p>
    <w:p>
      <w:pPr>
        <w:pStyle w:val="Subsection"/>
      </w:pPr>
      <w:r>
        <w:tab/>
        <w:t>(4)</w:t>
      </w:r>
      <w:r>
        <w:tab/>
        <w:t>The surrender notice must be in an approved form and contain a statement to the effect that, because of the suspected use of the motor cycle, it is required to be surrendered to the Commissioner for impounding.</w:t>
      </w:r>
    </w:p>
    <w:p>
      <w:pPr>
        <w:pStyle w:val="Subsection"/>
        <w:keepNext/>
      </w:pPr>
      <w:r>
        <w:tab/>
        <w:t>(5)</w:t>
      </w:r>
      <w:r>
        <w:tab/>
        <w:t>The surrender notice must specify the following —</w:t>
      </w:r>
    </w:p>
    <w:p>
      <w:pPr>
        <w:pStyle w:val="Indenta"/>
      </w:pPr>
      <w:r>
        <w:tab/>
        <w:t>(a)</w:t>
      </w:r>
      <w:r>
        <w:tab/>
        <w:t>sufficient details of the motor cycle to identify it;</w:t>
      </w:r>
    </w:p>
    <w:p>
      <w:pPr>
        <w:pStyle w:val="Indenta"/>
      </w:pPr>
      <w:r>
        <w:tab/>
        <w:t>(b)</w:t>
      </w:r>
      <w:r>
        <w:tab/>
        <w:t>the time and place of the suspected use of the motor cycle;</w:t>
      </w:r>
    </w:p>
    <w:p>
      <w:pPr>
        <w:pStyle w:val="Indenta"/>
      </w:pPr>
      <w:r>
        <w:tab/>
        <w:t>(c)</w:t>
      </w:r>
      <w:r>
        <w:tab/>
        <w:t>sufficient other details of the suspected use to identify the grounds for giving the notice;</w:t>
      </w:r>
    </w:p>
    <w:p>
      <w:pPr>
        <w:pStyle w:val="Indenta"/>
      </w:pPr>
      <w:r>
        <w:tab/>
        <w:t>(d)</w:t>
      </w:r>
      <w:r>
        <w:tab/>
        <w:t>if known, the name of the driver of the motor cycle during its suspected use;</w:t>
      </w:r>
    </w:p>
    <w:p>
      <w:pPr>
        <w:pStyle w:val="Indenta"/>
      </w:pPr>
      <w:r>
        <w:tab/>
        <w:t>(e)</w:t>
      </w:r>
      <w:r>
        <w:tab/>
        <w:t>the place at which, and the time of day during which, the motor cycle and its keys are required to be surrendered under this Subdivision;</w:t>
      </w:r>
    </w:p>
    <w:p>
      <w:pPr>
        <w:pStyle w:val="Indenta"/>
      </w:pPr>
      <w:r>
        <w:tab/>
        <w:t>(f)</w:t>
      </w:r>
      <w:r>
        <w:tab/>
        <w:t>the last day on or before which the motor cycle and its keys are required to be surrendered, being the 7</w:t>
      </w:r>
      <w:r>
        <w:rPr>
          <w:vertAlign w:val="superscript"/>
        </w:rPr>
        <w:t>th</w:t>
      </w:r>
      <w:r>
        <w:t xml:space="preserve"> day after the day the surrender notice has been given.</w:t>
      </w:r>
    </w:p>
    <w:p>
      <w:pPr>
        <w:pStyle w:val="Subsection"/>
      </w:pPr>
      <w:r>
        <w:tab/>
        <w:t>(6)</w:t>
      </w:r>
      <w:r>
        <w:tab/>
        <w:t>The surrender notice must also include the following —</w:t>
      </w:r>
    </w:p>
    <w:p>
      <w:pPr>
        <w:pStyle w:val="Indenta"/>
      </w:pPr>
      <w:r>
        <w:tab/>
        <w:t>(a)</w:t>
      </w:r>
      <w:r>
        <w:tab/>
        <w:t>a statement to the effect that this Subdivision contains law about the notice and the impounding of the motor cycle;</w:t>
      </w:r>
    </w:p>
    <w:p>
      <w:pPr>
        <w:pStyle w:val="Indenta"/>
      </w:pPr>
      <w:r>
        <w:tab/>
        <w:t>(b)</w:t>
      </w:r>
      <w:r>
        <w:tab/>
        <w:t>a statement as to the effect of sections 80Q(1) and (2), 80S, 80T and 80U;</w:t>
      </w:r>
    </w:p>
    <w:p>
      <w:pPr>
        <w:pStyle w:val="Indenta"/>
      </w:pPr>
      <w:r>
        <w:tab/>
        <w:t>(c)</w:t>
      </w:r>
      <w:r>
        <w:tab/>
        <w:t>a statement as to the effect that if the motor cycle is confiscated under section 80T, it may be disposed of under section 80V;</w:t>
      </w:r>
    </w:p>
    <w:p>
      <w:pPr>
        <w:pStyle w:val="Indenta"/>
      </w:pPr>
      <w:r>
        <w:tab/>
        <w:t>(d)</w:t>
      </w:r>
      <w:r>
        <w:tab/>
        <w:t>a statement as to the effect of section 80W.</w:t>
      </w:r>
    </w:p>
    <w:p>
      <w:pPr>
        <w:pStyle w:val="Footnotesection"/>
      </w:pPr>
      <w:bookmarkStart w:id="155" w:name="_Toc472068418"/>
      <w:r>
        <w:tab/>
        <w:t>[Section 80P inserted by No. 51 of 2016 s. 45.]</w:t>
      </w:r>
    </w:p>
    <w:p>
      <w:pPr>
        <w:pStyle w:val="Heading5"/>
      </w:pPr>
      <w:bookmarkStart w:id="156" w:name="_Toc472087165"/>
      <w:r>
        <w:rPr>
          <w:rStyle w:val="CharSectno"/>
        </w:rPr>
        <w:t>80Q</w:t>
      </w:r>
      <w:r>
        <w:t>.</w:t>
      </w:r>
      <w:r>
        <w:tab/>
        <w:t>Consequences of surrender notice</w:t>
      </w:r>
      <w:bookmarkEnd w:id="155"/>
      <w:bookmarkEnd w:id="156"/>
    </w:p>
    <w:p>
      <w:pPr>
        <w:pStyle w:val="Subsection"/>
      </w:pPr>
      <w:r>
        <w:tab/>
        <w:t>(1)</w:t>
      </w:r>
      <w:r>
        <w:tab/>
        <w:t>If a responsible person for a motor cycle who is given a surrender notice surrenders the motor cycle according to the notice, the motor cycle must be impounded for a period that commences at the time when the motor cycle is surrendered.</w:t>
      </w:r>
    </w:p>
    <w:p>
      <w:pPr>
        <w:pStyle w:val="Subsection"/>
      </w:pPr>
      <w:r>
        <w:tab/>
        <w:t>(2)</w:t>
      </w:r>
      <w:r>
        <w:tab/>
        <w:t>If a responsible person for a motor cycle who is given a surrender notice fails to surrender the motor cycle according to the notice, the motor cycle must be impounded for a period that commences at the time when a police officer takes possession of the motor cycle for the purpose of impounding it.</w:t>
      </w:r>
    </w:p>
    <w:p>
      <w:pPr>
        <w:pStyle w:val="Subsection"/>
      </w:pPr>
      <w:r>
        <w:tab/>
        <w:t>(3)</w:t>
      </w:r>
      <w:r>
        <w:tab/>
        <w:t>A person who is given a surrender notice in relation to a motor cycle commits an offence if the person fails to comply with the notice.</w:t>
      </w:r>
    </w:p>
    <w:p>
      <w:pPr>
        <w:pStyle w:val="Penstart"/>
      </w:pPr>
      <w:r>
        <w:tab/>
        <w:t>Penalty for this subsection: a fine of 50 PU.</w:t>
      </w:r>
    </w:p>
    <w:p>
      <w:pPr>
        <w:pStyle w:val="Subsection"/>
      </w:pPr>
      <w:r>
        <w:tab/>
        <w:t>(4)</w:t>
      </w:r>
      <w:r>
        <w:tab/>
        <w:t xml:space="preserve">A person who is given a surrender notice in relation to a motor cycle commits an offence if, without the authority of a court order, the person — </w:t>
      </w:r>
    </w:p>
    <w:p>
      <w:pPr>
        <w:pStyle w:val="Indenta"/>
      </w:pPr>
      <w:r>
        <w:tab/>
        <w:t>(a)</w:t>
      </w:r>
      <w:r>
        <w:tab/>
        <w:t>disposes of an interest that the person has in the motor cycle; or</w:t>
      </w:r>
    </w:p>
    <w:p>
      <w:pPr>
        <w:pStyle w:val="Indenta"/>
      </w:pPr>
      <w:r>
        <w:tab/>
        <w:t>(b)</w:t>
      </w:r>
      <w:r>
        <w:tab/>
        <w:t>does anything, or causes or permits another person to do anything, that results or will result in a reduction in the value of the motor cycle.</w:t>
      </w:r>
    </w:p>
    <w:p>
      <w:pPr>
        <w:pStyle w:val="Penstart"/>
      </w:pPr>
      <w:r>
        <w:tab/>
        <w:t>Penalty for this subsection: a fine of 50 PU.</w:t>
      </w:r>
    </w:p>
    <w:p>
      <w:pPr>
        <w:pStyle w:val="Footnotesection"/>
      </w:pPr>
      <w:bookmarkStart w:id="157" w:name="_Toc472068419"/>
      <w:r>
        <w:tab/>
        <w:t>[Section 80Q inserted by No. 51 of 2016 s. 45.]</w:t>
      </w:r>
    </w:p>
    <w:p>
      <w:pPr>
        <w:pStyle w:val="Heading5"/>
      </w:pPr>
      <w:bookmarkStart w:id="158" w:name="_Toc472087166"/>
      <w:r>
        <w:rPr>
          <w:rStyle w:val="CharSectno"/>
        </w:rPr>
        <w:t>80R</w:t>
      </w:r>
      <w:r>
        <w:t>.</w:t>
      </w:r>
      <w:r>
        <w:tab/>
        <w:t>Senior police officer to be informed if vehicle impounded</w:t>
      </w:r>
      <w:bookmarkEnd w:id="157"/>
      <w:bookmarkEnd w:id="158"/>
    </w:p>
    <w:p>
      <w:pPr>
        <w:pStyle w:val="Subsection"/>
      </w:pPr>
      <w:r>
        <w:tab/>
        <w:t>(1)</w:t>
      </w:r>
      <w:r>
        <w:tab/>
        <w:t>A police officer, other than a senior police officer, who seizes and impounds a motor cycle under section 80O(2) or gives a surrender notice under section 80P(2) must, as soon as practicable after the notice is given, inform a senior police officer of the following —</w:t>
      </w:r>
    </w:p>
    <w:p>
      <w:pPr>
        <w:pStyle w:val="Indenta"/>
      </w:pPr>
      <w:r>
        <w:tab/>
        <w:t>(a)</w:t>
      </w:r>
      <w:r>
        <w:tab/>
        <w:t>the date the seizure and impounding or the giving of the notice, as the case requires;</w:t>
      </w:r>
    </w:p>
    <w:p>
      <w:pPr>
        <w:pStyle w:val="Indenta"/>
      </w:pPr>
      <w:r>
        <w:tab/>
        <w:t>(b)</w:t>
      </w:r>
      <w:r>
        <w:tab/>
        <w:t>the police officer’s grounds for suspecting the matters referred to in section 80O(1)(a) to (c);</w:t>
      </w:r>
    </w:p>
    <w:p>
      <w:pPr>
        <w:pStyle w:val="Indenta"/>
      </w:pPr>
      <w:r>
        <w:tab/>
        <w:t>(c)</w:t>
      </w:r>
      <w:r>
        <w:tab/>
        <w:t>whether or not the motor cycle has been seized or surrendered.</w:t>
      </w:r>
    </w:p>
    <w:p>
      <w:pPr>
        <w:pStyle w:val="Subsection"/>
      </w:pPr>
      <w:r>
        <w:tab/>
        <w:t>(2)</w:t>
      </w:r>
      <w:r>
        <w:tab/>
        <w:t>A senior police officer who is informed under subsection (1) must make enquiries as to whether there were reasonable grounds for suspecting the matters referred to in section 80O(1)(a) to (c).</w:t>
      </w:r>
    </w:p>
    <w:p>
      <w:pPr>
        <w:pStyle w:val="Subsection"/>
      </w:pPr>
      <w:r>
        <w:tab/>
        <w:t>(3)</w:t>
      </w:r>
      <w:r>
        <w:tab/>
        <w:t xml:space="preserve">If the senior police officer is not satisfied that there were reasonable grounds for suspecting the matters referred to in section 80O(1)(a) to (c), the senior police officer must, as soon as practicable — </w:t>
      </w:r>
    </w:p>
    <w:p>
      <w:pPr>
        <w:pStyle w:val="Indenta"/>
      </w:pPr>
      <w:r>
        <w:tab/>
        <w:t>(a)</w:t>
      </w:r>
      <w:r>
        <w:tab/>
        <w:t>if the motor cycle has been impounded under section 80P, cancel the surrender notice and give a written notice of the cancellation to each person to whom the notice was given; and</w:t>
      </w:r>
    </w:p>
    <w:p>
      <w:pPr>
        <w:pStyle w:val="Indenta"/>
      </w:pPr>
      <w:r>
        <w:tab/>
        <w:t>(b)</w:t>
      </w:r>
      <w:r>
        <w:tab/>
        <w:t>ensure that the motor cycle is returned to a responsible person for the motor cycle, or if no responsible person is available, to the driver of the motor cycle at the time of its suspected use.</w:t>
      </w:r>
    </w:p>
    <w:p>
      <w:pPr>
        <w:pStyle w:val="Footnotesection"/>
      </w:pPr>
      <w:bookmarkStart w:id="159" w:name="_Toc472068420"/>
      <w:r>
        <w:tab/>
        <w:t>[Section 80R inserted by No. 51 of 2016 s. 45.]</w:t>
      </w:r>
    </w:p>
    <w:p>
      <w:pPr>
        <w:pStyle w:val="Heading5"/>
      </w:pPr>
      <w:bookmarkStart w:id="160" w:name="_Toc472087167"/>
      <w:r>
        <w:rPr>
          <w:rStyle w:val="CharSectno"/>
        </w:rPr>
        <w:t>80S</w:t>
      </w:r>
      <w:r>
        <w:t>.</w:t>
      </w:r>
      <w:r>
        <w:tab/>
        <w:t>Claims of right to possession</w:t>
      </w:r>
      <w:bookmarkEnd w:id="159"/>
      <w:bookmarkEnd w:id="160"/>
    </w:p>
    <w:p>
      <w:pPr>
        <w:pStyle w:val="Subsection"/>
      </w:pPr>
      <w:r>
        <w:tab/>
        <w:t>(1)</w:t>
      </w:r>
      <w:r>
        <w:tab/>
        <w:t xml:space="preserve">A person may, within 10 days after the day on which a motor cycle is impounded under section 80O(2) or 80Q(1) or (2), give to the Commissioner a claim that — </w:t>
      </w:r>
    </w:p>
    <w:p>
      <w:pPr>
        <w:pStyle w:val="Indenta"/>
      </w:pPr>
      <w:r>
        <w:tab/>
        <w:t>(a)</w:t>
      </w:r>
      <w:r>
        <w:tab/>
        <w:t xml:space="preserve">the person — </w:t>
      </w:r>
    </w:p>
    <w:p>
      <w:pPr>
        <w:pStyle w:val="Indenti"/>
      </w:pPr>
      <w:r>
        <w:tab/>
        <w:t>(i)</w:t>
      </w:r>
      <w:r>
        <w:tab/>
        <w:t>is a responsible person for the motor cycle; and</w:t>
      </w:r>
    </w:p>
    <w:p>
      <w:pPr>
        <w:pStyle w:val="Indenti"/>
      </w:pPr>
      <w:r>
        <w:tab/>
        <w:t>(ii)</w:t>
      </w:r>
      <w:r>
        <w:tab/>
        <w:t>is not a member of the driver’s immediate family; and</w:t>
      </w:r>
    </w:p>
    <w:p>
      <w:pPr>
        <w:pStyle w:val="Indenti"/>
      </w:pPr>
      <w:r>
        <w:tab/>
        <w:t>(iii)</w:t>
      </w:r>
      <w:r>
        <w:tab/>
        <w:t>was not the driver of the motor cycle at the time of the suspected use;</w:t>
      </w:r>
    </w:p>
    <w:p>
      <w:pPr>
        <w:pStyle w:val="Indenta"/>
      </w:pPr>
      <w:r>
        <w:tab/>
      </w:r>
      <w:r>
        <w:tab/>
        <w:t>and</w:t>
      </w:r>
    </w:p>
    <w:p>
      <w:pPr>
        <w:pStyle w:val="Indenta"/>
      </w:pPr>
      <w:r>
        <w:tab/>
        <w:t>(b)</w:t>
      </w:r>
      <w:r>
        <w:tab/>
        <w:t>the suspected use of the motor cycle occurred without the knowledge and acquiescence of the person.</w:t>
      </w:r>
    </w:p>
    <w:p>
      <w:pPr>
        <w:pStyle w:val="Subsection"/>
        <w:keepNext/>
      </w:pPr>
      <w:r>
        <w:tab/>
        <w:t>(2)</w:t>
      </w:r>
      <w:r>
        <w:tab/>
        <w:t>The claim is to be in an approved form.</w:t>
      </w:r>
    </w:p>
    <w:p>
      <w:pPr>
        <w:pStyle w:val="Subsection"/>
      </w:pPr>
      <w:r>
        <w:tab/>
        <w:t>(3)</w:t>
      </w:r>
      <w:r>
        <w:tab/>
        <w:t>If the Commissioner accepts the claim, the Commissioner must, as soon as practicable, ensure that the motor cycle is returned to the claimant.</w:t>
      </w:r>
    </w:p>
    <w:p>
      <w:pPr>
        <w:pStyle w:val="Subsection"/>
      </w:pPr>
      <w:r>
        <w:tab/>
        <w:t>(4)</w:t>
      </w:r>
      <w:r>
        <w:tab/>
        <w:t>If the Commissioner rejects a claim, the Commissioner must, as soon as practicable, give a written notice of the rejection to the person making the claim.</w:t>
      </w:r>
    </w:p>
    <w:p>
      <w:pPr>
        <w:pStyle w:val="Footnotesection"/>
      </w:pPr>
      <w:bookmarkStart w:id="161" w:name="_Toc472068421"/>
      <w:r>
        <w:tab/>
        <w:t>[Section 80S inserted by No. 51 of 2016 s. 45.]</w:t>
      </w:r>
    </w:p>
    <w:p>
      <w:pPr>
        <w:pStyle w:val="Heading5"/>
      </w:pPr>
      <w:bookmarkStart w:id="162" w:name="_Toc472087168"/>
      <w:r>
        <w:rPr>
          <w:rStyle w:val="CharSectno"/>
        </w:rPr>
        <w:t>80T</w:t>
      </w:r>
      <w:r>
        <w:t>.</w:t>
      </w:r>
      <w:r>
        <w:tab/>
        <w:t>Confiscation</w:t>
      </w:r>
      <w:bookmarkEnd w:id="161"/>
      <w:bookmarkEnd w:id="162"/>
    </w:p>
    <w:p>
      <w:pPr>
        <w:pStyle w:val="Subsection"/>
      </w:pPr>
      <w:r>
        <w:tab/>
        <w:t>(1)</w:t>
      </w:r>
      <w:r>
        <w:tab/>
        <w:t xml:space="preserve">A motor cycle impounded under section 80O(2) or 80Q(1) or (2) is confiscated on the later of the following — </w:t>
      </w:r>
    </w:p>
    <w:p>
      <w:pPr>
        <w:pStyle w:val="Indenta"/>
      </w:pPr>
      <w:r>
        <w:tab/>
        <w:t>(a)</w:t>
      </w:r>
      <w:r>
        <w:tab/>
        <w:t>if the Commissioner does not receive a claim under section 80S — the 14</w:t>
      </w:r>
      <w:r>
        <w:rPr>
          <w:vertAlign w:val="superscript"/>
        </w:rPr>
        <w:t>th</w:t>
      </w:r>
      <w:r>
        <w:t> day after the motor cycle is impounded; or</w:t>
      </w:r>
    </w:p>
    <w:p>
      <w:pPr>
        <w:pStyle w:val="Indenta"/>
      </w:pPr>
      <w:r>
        <w:tab/>
        <w:t>(b)</w:t>
      </w:r>
      <w:r>
        <w:tab/>
        <w:t>if the Commissioner receives one or more claims under section 80S but rejects all of them — the day after the last of those claims is rejected.</w:t>
      </w:r>
    </w:p>
    <w:p>
      <w:pPr>
        <w:pStyle w:val="Subsection"/>
      </w:pPr>
      <w:r>
        <w:tab/>
        <w:t>(2)</w:t>
      </w:r>
      <w:r>
        <w:tab/>
        <w:t>If a motor cycle is confiscated under subsection (1), the property in the motor cycle vests absolutely in the State, free from all interests, rights, titles or claims in or to the ownership or possession of the motor cycle.</w:t>
      </w:r>
    </w:p>
    <w:p>
      <w:pPr>
        <w:pStyle w:val="Footnotesection"/>
      </w:pPr>
      <w:bookmarkStart w:id="163" w:name="_Toc472068422"/>
      <w:r>
        <w:tab/>
        <w:t>[Section 80T inserted by No. 51 of 2016 s. 45.]</w:t>
      </w:r>
    </w:p>
    <w:p>
      <w:pPr>
        <w:pStyle w:val="Heading5"/>
      </w:pPr>
      <w:bookmarkStart w:id="164" w:name="_Toc472087169"/>
      <w:r>
        <w:rPr>
          <w:rStyle w:val="CharSectno"/>
        </w:rPr>
        <w:t>80U</w:t>
      </w:r>
      <w:r>
        <w:t>.</w:t>
      </w:r>
      <w:r>
        <w:tab/>
        <w:t>Liability for police expenses</w:t>
      </w:r>
      <w:bookmarkEnd w:id="163"/>
      <w:bookmarkEnd w:id="164"/>
      <w:r>
        <w:t xml:space="preserve"> </w:t>
      </w:r>
    </w:p>
    <w:p>
      <w:pPr>
        <w:pStyle w:val="Subsection"/>
      </w:pPr>
      <w:r>
        <w:tab/>
      </w:r>
      <w:r>
        <w:tab/>
        <w:t xml:space="preserve">If a motor cycle is confiscated under section 80T(1), the driver of the motor cycle at the time of its suspected use is liable to pay to the Commissioner an amount specified by the Commissioner as being equivalent to all reasonable expenses of the Commissioner in — </w:t>
      </w:r>
    </w:p>
    <w:p>
      <w:pPr>
        <w:pStyle w:val="Indenta"/>
      </w:pPr>
      <w:r>
        <w:tab/>
        <w:t>(a)</w:t>
      </w:r>
      <w:r>
        <w:tab/>
        <w:t>impounding the motor cycle; and</w:t>
      </w:r>
    </w:p>
    <w:p>
      <w:pPr>
        <w:pStyle w:val="Indenta"/>
      </w:pPr>
      <w:r>
        <w:tab/>
        <w:t>(b)</w:t>
      </w:r>
      <w:r>
        <w:tab/>
        <w:t>storing the motor cycle after it has been confiscated but before it has been sold or otherwise disposed of under section 80V.</w:t>
      </w:r>
    </w:p>
    <w:p>
      <w:pPr>
        <w:pStyle w:val="Footnotesection"/>
      </w:pPr>
      <w:bookmarkStart w:id="165" w:name="_Toc472068423"/>
      <w:r>
        <w:tab/>
        <w:t>[Section 80U inserted by No. 51 of 2016 s. 45.]</w:t>
      </w:r>
    </w:p>
    <w:p>
      <w:pPr>
        <w:pStyle w:val="Heading5"/>
      </w:pPr>
      <w:bookmarkStart w:id="166" w:name="_Toc472087170"/>
      <w:r>
        <w:rPr>
          <w:rStyle w:val="CharSectno"/>
        </w:rPr>
        <w:t>80V</w:t>
      </w:r>
      <w:r>
        <w:t>.</w:t>
      </w:r>
      <w:r>
        <w:tab/>
        <w:t>Sale or other disposal of confiscated motor cycle and items on it</w:t>
      </w:r>
      <w:bookmarkEnd w:id="165"/>
      <w:bookmarkEnd w:id="166"/>
    </w:p>
    <w:p>
      <w:pPr>
        <w:pStyle w:val="Subsection"/>
      </w:pPr>
      <w:r>
        <w:tab/>
        <w:t>(1)</w:t>
      </w:r>
      <w:r>
        <w:tab/>
        <w:t>In this section —</w:t>
      </w:r>
    </w:p>
    <w:p>
      <w:pPr>
        <w:pStyle w:val="Defstart"/>
      </w:pPr>
      <w:r>
        <w:tab/>
      </w:r>
      <w:r>
        <w:rPr>
          <w:rStyle w:val="CharDefText"/>
        </w:rPr>
        <w:t>confiscated motor cycle</w:t>
      </w:r>
      <w:r>
        <w:t xml:space="preserve"> means a motor cycle that is confiscated under section 80T(1);</w:t>
      </w:r>
    </w:p>
    <w:p>
      <w:pPr>
        <w:pStyle w:val="Defstart"/>
        <w:rPr>
          <w:b/>
        </w:rPr>
      </w:pPr>
      <w:r>
        <w:tab/>
      </w:r>
      <w:r>
        <w:rPr>
          <w:rStyle w:val="CharDefText"/>
        </w:rPr>
        <w:t>item</w:t>
      </w:r>
      <w:r>
        <w:t>, in relation to a confiscated motor cycle, means an item that was in or on the motor cycle at the time when it was impounded under this Subdivision.</w:t>
      </w:r>
    </w:p>
    <w:p>
      <w:pPr>
        <w:pStyle w:val="Subsection"/>
      </w:pPr>
      <w:r>
        <w:tab/>
        <w:t>(2)</w:t>
      </w:r>
      <w:r>
        <w:tab/>
        <w:t>The Commissioner may sell or otherwise dispose of a confiscated motor cycle or an item.</w:t>
      </w:r>
    </w:p>
    <w:p>
      <w:pPr>
        <w:pStyle w:val="Subsection"/>
      </w:pPr>
      <w:r>
        <w:tab/>
        <w:t>(3)</w:t>
      </w:r>
      <w:r>
        <w:tab/>
        <w:t>The owner of an item may apply to the Magistrates Court for an order that the item be returned.</w:t>
      </w:r>
    </w:p>
    <w:p>
      <w:pPr>
        <w:pStyle w:val="Subsection"/>
      </w:pPr>
      <w:r>
        <w:tab/>
        <w:t>(4)</w:t>
      </w:r>
      <w:r>
        <w:tab/>
        <w:t>Proceeds of the sale or disposal under subsection (2) of a confiscated motor cycle or item are to be paid in the following order of priority —</w:t>
      </w:r>
    </w:p>
    <w:p>
      <w:pPr>
        <w:pStyle w:val="Indenta"/>
      </w:pPr>
      <w:r>
        <w:tab/>
        <w:t>(a)</w:t>
      </w:r>
      <w:r>
        <w:tab/>
        <w:t>for expenses incurred in selling the motor cycle or item;</w:t>
      </w:r>
    </w:p>
    <w:p>
      <w:pPr>
        <w:pStyle w:val="Indenta"/>
      </w:pPr>
      <w:r>
        <w:tab/>
        <w:t>(b)</w:t>
      </w:r>
      <w:r>
        <w:tab/>
        <w:t>for expenses incurred consequent on the confiscation of the motor cycle;</w:t>
      </w:r>
    </w:p>
    <w:p>
      <w:pPr>
        <w:pStyle w:val="Indenta"/>
      </w:pPr>
      <w:r>
        <w:tab/>
        <w:t>(c)</w:t>
      </w:r>
      <w:r>
        <w:tab/>
        <w:t>in satisfaction of an unpaid amount for which a person is liable under section 80U;</w:t>
      </w:r>
    </w:p>
    <w:p>
      <w:pPr>
        <w:pStyle w:val="Indenta"/>
      </w:pPr>
      <w:r>
        <w:tab/>
        <w:t>(d)</w:t>
      </w:r>
      <w:r>
        <w:tab/>
        <w:t>in satisfaction of an unpaid amount of a judgment debt arising out of a liability under section 80U;</w:t>
      </w:r>
    </w:p>
    <w:p>
      <w:pPr>
        <w:pStyle w:val="Indenta"/>
      </w:pPr>
      <w:r>
        <w:tab/>
        <w:t>(e)</w:t>
      </w:r>
      <w:r>
        <w:tab/>
        <w:t>in satisfaction of any unpaid amount known to the Commissioner —</w:t>
      </w:r>
    </w:p>
    <w:p>
      <w:pPr>
        <w:pStyle w:val="Indenti"/>
      </w:pPr>
      <w:r>
        <w:tab/>
        <w:t>(i)</w:t>
      </w:r>
      <w:r>
        <w:tab/>
        <w:t>for which the motor cycle was nominated in writing as security for the payment of that amount; and</w:t>
      </w:r>
    </w:p>
    <w:p>
      <w:pPr>
        <w:pStyle w:val="Indenti"/>
      </w:pPr>
      <w:r>
        <w:tab/>
        <w:t>(ii)</w:t>
      </w:r>
      <w:r>
        <w:tab/>
        <w:t>that, but for the confiscation of the motor cycle, would have been payable to a person other than the person convicted of the offence in respect of which the motor cycle was confiscated;</w:t>
      </w:r>
    </w:p>
    <w:p>
      <w:pPr>
        <w:pStyle w:val="Indenta"/>
      </w:pPr>
      <w:r>
        <w:tab/>
        <w:t>(f)</w:t>
      </w:r>
      <w:r>
        <w:tab/>
        <w:t xml:space="preserve">the balance, to the credit of the Road Trauma Trust Account established in accordance with the </w:t>
      </w:r>
      <w:r>
        <w:rPr>
          <w:i/>
        </w:rPr>
        <w:t>Road Safety Council Act 2002</w:t>
      </w:r>
      <w:r>
        <w:t xml:space="preserve"> section 12.</w:t>
      </w:r>
    </w:p>
    <w:p>
      <w:pPr>
        <w:pStyle w:val="Footnotesection"/>
      </w:pPr>
      <w:bookmarkStart w:id="167" w:name="_Toc472068424"/>
      <w:r>
        <w:tab/>
        <w:t>[Section 80V inserted by No. 51 of 2016 s. 45.]</w:t>
      </w:r>
    </w:p>
    <w:p>
      <w:pPr>
        <w:pStyle w:val="Heading5"/>
      </w:pPr>
      <w:bookmarkStart w:id="168" w:name="_Toc472087171"/>
      <w:r>
        <w:rPr>
          <w:rStyle w:val="CharSectno"/>
        </w:rPr>
        <w:t>80W</w:t>
      </w:r>
      <w:r>
        <w:t>.</w:t>
      </w:r>
      <w:r>
        <w:tab/>
        <w:t>Liability for police expenses exceeding sale proceeds</w:t>
      </w:r>
      <w:bookmarkEnd w:id="167"/>
      <w:bookmarkEnd w:id="168"/>
    </w:p>
    <w:p>
      <w:pPr>
        <w:pStyle w:val="Subsection"/>
      </w:pPr>
      <w:r>
        <w:tab/>
      </w:r>
      <w:r>
        <w:tab/>
        <w:t>If a motor cycle or item is sold under section 80V(2) but the proceeds of the sale are insufficient to pay the expenses specified in section 80U, the driver of the motor cycle at the time of its suspected use is liable to pay to the Commissioner the difference between the amount of those expenses and the proceeds of the sale.</w:t>
      </w:r>
    </w:p>
    <w:p>
      <w:pPr>
        <w:pStyle w:val="Footnotesection"/>
      </w:pPr>
      <w:r>
        <w:tab/>
        <w:t>[Section 80W inserted by No. 51 of 2016 s. 45.]</w:t>
      </w:r>
    </w:p>
    <w:p>
      <w:pPr>
        <w:pStyle w:val="Ednotesection"/>
      </w:pPr>
      <w:r>
        <w:t>[</w:t>
      </w:r>
      <w:r>
        <w:rPr>
          <w:b/>
        </w:rPr>
        <w:t>81.</w:t>
      </w:r>
      <w:r>
        <w:tab/>
        <w:t>Deleted by No. 76 of 1996 s. 17.]</w:t>
      </w:r>
    </w:p>
    <w:p>
      <w:pPr>
        <w:pStyle w:val="Heading2"/>
      </w:pPr>
      <w:bookmarkStart w:id="169" w:name="_Toc468192144"/>
      <w:bookmarkStart w:id="170" w:name="_Toc472087172"/>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Events on roads</w:t>
      </w:r>
      <w:bookmarkEnd w:id="169"/>
      <w:bookmarkEnd w:id="170"/>
    </w:p>
    <w:p>
      <w:pPr>
        <w:pStyle w:val="Footnoteheading"/>
        <w:tabs>
          <w:tab w:val="left" w:pos="840"/>
        </w:tabs>
      </w:pPr>
      <w:r>
        <w:tab/>
        <w:t>[Heading inserted by No. 64 of 1988 s. 4.]</w:t>
      </w:r>
    </w:p>
    <w:p>
      <w:pPr>
        <w:pStyle w:val="Heading5"/>
        <w:rPr>
          <w:snapToGrid w:val="0"/>
        </w:rPr>
      </w:pPr>
      <w:bookmarkStart w:id="171" w:name="_Toc472087173"/>
      <w:r>
        <w:rPr>
          <w:rStyle w:val="CharSectno"/>
        </w:rPr>
        <w:t>81A</w:t>
      </w:r>
      <w:r>
        <w:rPr>
          <w:snapToGrid w:val="0"/>
        </w:rPr>
        <w:t>.</w:t>
      </w:r>
      <w:r>
        <w:rPr>
          <w:snapToGrid w:val="0"/>
        </w:rPr>
        <w:tab/>
        <w:t>Terms used</w:t>
      </w:r>
      <w:bookmarkEnd w:id="171"/>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172" w:name="_Toc472087174"/>
      <w:r>
        <w:rPr>
          <w:rStyle w:val="CharSectno"/>
        </w:rPr>
        <w:t>81B</w:t>
      </w:r>
      <w:r>
        <w:rPr>
          <w:snapToGrid w:val="0"/>
        </w:rPr>
        <w:t>.</w:t>
      </w:r>
      <w:r>
        <w:rPr>
          <w:snapToGrid w:val="0"/>
        </w:rPr>
        <w:tab/>
        <w:t>Order for road closure for event, application for</w:t>
      </w:r>
      <w:bookmarkEnd w:id="172"/>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73" w:name="_Toc472087175"/>
      <w:r>
        <w:rPr>
          <w:rStyle w:val="CharSectno"/>
        </w:rPr>
        <w:t>81C</w:t>
      </w:r>
      <w:r>
        <w:rPr>
          <w:snapToGrid w:val="0"/>
        </w:rPr>
        <w:t>.</w:t>
      </w:r>
      <w:r>
        <w:rPr>
          <w:snapToGrid w:val="0"/>
        </w:rPr>
        <w:tab/>
        <w:t>Order for road closure for event, making</w:t>
      </w:r>
      <w:bookmarkEnd w:id="173"/>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174" w:name="_Toc472087176"/>
      <w:r>
        <w:rPr>
          <w:rStyle w:val="CharSectno"/>
        </w:rPr>
        <w:t>81D</w:t>
      </w:r>
      <w:r>
        <w:rPr>
          <w:snapToGrid w:val="0"/>
        </w:rPr>
        <w:t>.</w:t>
      </w:r>
      <w:r>
        <w:rPr>
          <w:snapToGrid w:val="0"/>
        </w:rPr>
        <w:tab/>
        <w:t>Road closure, how effected by local government</w:t>
      </w:r>
      <w:bookmarkEnd w:id="174"/>
    </w:p>
    <w:p>
      <w:pPr>
        <w:pStyle w:val="Subsection"/>
        <w:spacing w:before="12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80"/>
        <w:ind w:left="890" w:hanging="890"/>
      </w:pPr>
      <w:r>
        <w:tab/>
        <w:t>[Section 81D inserted by No. 64 of 1988 s. 4; amended by No. 14 of 1996 s. 4.]</w:t>
      </w:r>
    </w:p>
    <w:p>
      <w:pPr>
        <w:pStyle w:val="Heading5"/>
        <w:spacing w:before="180"/>
        <w:rPr>
          <w:snapToGrid w:val="0"/>
        </w:rPr>
      </w:pPr>
      <w:bookmarkStart w:id="175" w:name="_Toc472087177"/>
      <w:r>
        <w:rPr>
          <w:rStyle w:val="CharSectno"/>
        </w:rPr>
        <w:t>81E</w:t>
      </w:r>
      <w:r>
        <w:rPr>
          <w:snapToGrid w:val="0"/>
        </w:rPr>
        <w:t>.</w:t>
      </w:r>
      <w:r>
        <w:rPr>
          <w:snapToGrid w:val="0"/>
        </w:rPr>
        <w:tab/>
        <w:t>Road closure order, effect of</w:t>
      </w:r>
      <w:bookmarkEnd w:id="175"/>
    </w:p>
    <w:p>
      <w:pPr>
        <w:pStyle w:val="Subsection"/>
        <w:spacing w:before="1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12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spacing w:before="1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spacing w:before="60"/>
        <w:ind w:left="890" w:hanging="890"/>
      </w:pPr>
      <w:r>
        <w:tab/>
        <w:t>[Section 81E inserted by No. 64 of 1988 s. 4; amended by No. 70 of 2004 s. 82.]</w:t>
      </w:r>
    </w:p>
    <w:p>
      <w:pPr>
        <w:pStyle w:val="Heading5"/>
        <w:rPr>
          <w:snapToGrid w:val="0"/>
        </w:rPr>
      </w:pPr>
      <w:bookmarkStart w:id="176" w:name="_Toc472087178"/>
      <w:r>
        <w:rPr>
          <w:rStyle w:val="CharSectno"/>
        </w:rPr>
        <w:t>81F</w:t>
      </w:r>
      <w:r>
        <w:rPr>
          <w:snapToGrid w:val="0"/>
        </w:rPr>
        <w:t>.</w:t>
      </w:r>
      <w:r>
        <w:rPr>
          <w:snapToGrid w:val="0"/>
        </w:rPr>
        <w:tab/>
        <w:t>Offences</w:t>
      </w:r>
      <w:bookmarkEnd w:id="176"/>
    </w:p>
    <w:p>
      <w:pPr>
        <w:pStyle w:val="Subsection"/>
        <w:spacing w:before="120"/>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20"/>
        <w:rPr>
          <w:snapToGrid w:val="0"/>
        </w:rPr>
      </w:pPr>
      <w:r>
        <w:rPr>
          <w:snapToGrid w:val="0"/>
        </w:rPr>
        <w:tab/>
        <w:t>(2)</w:t>
      </w:r>
      <w:r>
        <w:rPr>
          <w:snapToGrid w:val="0"/>
        </w:rPr>
        <w:tab/>
        <w:t>Where, in any proceeding for an offence against subsection (1), it is alleged in the charge that —</w:t>
      </w:r>
    </w:p>
    <w:p>
      <w:pPr>
        <w:pStyle w:val="Indenta"/>
        <w:rPr>
          <w:snapToGrid w:val="0"/>
        </w:rPr>
      </w:pPr>
      <w:r>
        <w:rPr>
          <w:snapToGrid w:val="0"/>
        </w:rPr>
        <w:tab/>
        <w:t>(a)</w:t>
      </w:r>
      <w:r>
        <w:rPr>
          <w:snapToGrid w:val="0"/>
        </w:rPr>
        <w:tab/>
        <w:t>an order had been granted under this Part to a person or body named in the order; or</w:t>
      </w:r>
    </w:p>
    <w:p>
      <w:pPr>
        <w:pStyle w:val="Indenta"/>
        <w:rPr>
          <w:snapToGrid w:val="0"/>
        </w:rPr>
      </w:pPr>
      <w:r>
        <w:rPr>
          <w:snapToGrid w:val="0"/>
        </w:rPr>
        <w:tab/>
        <w:t>(b)</w:t>
      </w:r>
      <w:r>
        <w:rPr>
          <w:snapToGrid w:val="0"/>
        </w:rPr>
        <w:tab/>
        <w:t>a road was closed pursuant to an order,</w:t>
      </w:r>
    </w:p>
    <w:p>
      <w:pPr>
        <w:pStyle w:val="Subsection"/>
        <w:spacing w:before="12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2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rPr>
          <w:snapToGrid w:val="0"/>
        </w:rPr>
      </w:pPr>
      <w:r>
        <w:rPr>
          <w:snapToGrid w:val="0"/>
        </w:rPr>
        <w:tab/>
        <w:t>(a)</w:t>
      </w:r>
      <w:r>
        <w:rPr>
          <w:snapToGrid w:val="0"/>
        </w:rPr>
        <w:tab/>
        <w:t>no irregularity occurred on, or in relation to, the grant of the order; and</w:t>
      </w:r>
    </w:p>
    <w:p>
      <w:pPr>
        <w:pStyle w:val="Indenta"/>
        <w:rPr>
          <w:snapToGrid w:val="0"/>
        </w:rPr>
      </w:pPr>
      <w:r>
        <w:rPr>
          <w:snapToGrid w:val="0"/>
        </w:rPr>
        <w:tab/>
        <w:t>(b)</w:t>
      </w:r>
      <w:r>
        <w:rPr>
          <w:snapToGrid w:val="0"/>
        </w:rPr>
        <w:tab/>
        <w:t>the road closure substantially conformed with the terms of the order.</w:t>
      </w:r>
    </w:p>
    <w:p>
      <w:pPr>
        <w:pStyle w:val="Footnotesection"/>
        <w:keepLines w:val="0"/>
        <w:spacing w:before="60"/>
        <w:ind w:left="890" w:hanging="890"/>
      </w:pPr>
      <w:r>
        <w:tab/>
        <w:t>[Section 81F inserted by No. 64 of 1988 s. 4; amended by No. 50 of 1997 s. 13; No. 84 of 2004 s. 80 and 82.]</w:t>
      </w:r>
    </w:p>
    <w:p>
      <w:pPr>
        <w:pStyle w:val="Heading2"/>
      </w:pPr>
      <w:bookmarkStart w:id="177" w:name="_Toc468192151"/>
      <w:bookmarkStart w:id="178" w:name="_Toc472087179"/>
      <w:r>
        <w:rPr>
          <w:rStyle w:val="CharPartNo"/>
        </w:rPr>
        <w:t>Part VI</w:t>
      </w:r>
      <w:r>
        <w:rPr>
          <w:rStyle w:val="CharDivNo"/>
        </w:rPr>
        <w:t> </w:t>
      </w:r>
      <w:r>
        <w:t>—</w:t>
      </w:r>
      <w:r>
        <w:rPr>
          <w:rStyle w:val="CharDivText"/>
        </w:rPr>
        <w:t> </w:t>
      </w:r>
      <w:r>
        <w:rPr>
          <w:rStyle w:val="CharPartText"/>
        </w:rPr>
        <w:t>Miscellaneous</w:t>
      </w:r>
      <w:bookmarkEnd w:id="177"/>
      <w:bookmarkEnd w:id="178"/>
    </w:p>
    <w:p>
      <w:pPr>
        <w:pStyle w:val="Ednotesection"/>
        <w:spacing w:before="260"/>
      </w:pPr>
      <w:r>
        <w:t>[</w:t>
      </w:r>
      <w:r>
        <w:rPr>
          <w:b/>
        </w:rPr>
        <w:t>82-87.</w:t>
      </w:r>
      <w:r>
        <w:tab/>
        <w:t>Deleted by No. 8 of 2012 s. 26.]</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rPr>
          <w:snapToGrid w:val="0"/>
        </w:rPr>
      </w:pPr>
      <w:bookmarkStart w:id="179" w:name="_Toc472087180"/>
      <w:r>
        <w:rPr>
          <w:rStyle w:val="CharSectno"/>
        </w:rPr>
        <w:t>90</w:t>
      </w:r>
      <w:r>
        <w:rPr>
          <w:snapToGrid w:val="0"/>
        </w:rPr>
        <w:t>.</w:t>
      </w:r>
      <w:r>
        <w:rPr>
          <w:snapToGrid w:val="0"/>
        </w:rPr>
        <w:tab/>
        <w:t>Unlawfully interfering with parts of motor vehicles</w:t>
      </w:r>
      <w:bookmarkEnd w:id="179"/>
    </w:p>
    <w:p>
      <w:pPr>
        <w:pStyle w:val="Subsection"/>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Deleted by No. 50 of 1997 s. 11.]</w:t>
      </w:r>
    </w:p>
    <w:p>
      <w:pPr>
        <w:pStyle w:val="Ednotesection"/>
        <w:spacing w:before="260"/>
      </w:pPr>
      <w:r>
        <w:t>[</w:t>
      </w:r>
      <w:r>
        <w:rPr>
          <w:b/>
        </w:rPr>
        <w:t>92-93.</w:t>
      </w:r>
      <w:r>
        <w:tab/>
        <w:t>Deleted by No. 8 of 2012 s. 27.]</w:t>
      </w:r>
    </w:p>
    <w:p>
      <w:pPr>
        <w:pStyle w:val="Ednotesection"/>
      </w:pPr>
      <w:r>
        <w:t>[</w:t>
      </w:r>
      <w:r>
        <w:rPr>
          <w:b/>
        </w:rPr>
        <w:t>94</w:t>
      </w:r>
      <w:r>
        <w:rPr>
          <w:b/>
        </w:rPr>
        <w:noBreakHyphen/>
        <w:t>96.</w:t>
      </w:r>
      <w:r>
        <w:tab/>
        <w:t>Deleted by No. 76 of 1996 s. 18.]</w:t>
      </w:r>
    </w:p>
    <w:p>
      <w:pPr>
        <w:pStyle w:val="Ednotesection"/>
        <w:spacing w:before="260"/>
      </w:pPr>
      <w:r>
        <w:t>[</w:t>
      </w:r>
      <w:r>
        <w:rPr>
          <w:b/>
        </w:rPr>
        <w:t>97-103.</w:t>
      </w:r>
      <w:r>
        <w:tab/>
        <w:t>Deleted by No. 8 of 2012 s. 27.]</w:t>
      </w:r>
    </w:p>
    <w:p>
      <w:pPr>
        <w:pStyle w:val="Ednotesection"/>
      </w:pPr>
      <w:r>
        <w:t>[</w:t>
      </w:r>
      <w:r>
        <w:rPr>
          <w:b/>
          <w:bCs/>
        </w:rPr>
        <w:t>103A, 103B.</w:t>
      </w:r>
      <w:r>
        <w:rPr>
          <w:b/>
          <w:bCs/>
        </w:rPr>
        <w:tab/>
      </w:r>
      <w:r>
        <w:t>Deleted by No. 54 of 2006 s. 30.]</w:t>
      </w:r>
    </w:p>
    <w:p>
      <w:pPr>
        <w:pStyle w:val="Ednotepart"/>
        <w:tabs>
          <w:tab w:val="left" w:pos="1440"/>
        </w:tabs>
        <w:ind w:left="1440" w:hanging="1440"/>
      </w:pPr>
      <w:r>
        <w:t>[Part VIA (s. 104-104T) deleted by No. 8 of 2012 s. 28.]</w:t>
      </w:r>
    </w:p>
    <w:p>
      <w:pPr>
        <w:pStyle w:val="Heading2"/>
      </w:pPr>
      <w:bookmarkStart w:id="180" w:name="_Toc468192153"/>
      <w:bookmarkStart w:id="181" w:name="_Toc472087181"/>
      <w:r>
        <w:rPr>
          <w:rStyle w:val="CharPartNo"/>
        </w:rPr>
        <w:t>Part VII</w:t>
      </w:r>
      <w:r>
        <w:rPr>
          <w:rStyle w:val="CharDivNo"/>
        </w:rPr>
        <w:t> </w:t>
      </w:r>
      <w:r>
        <w:t>—</w:t>
      </w:r>
      <w:r>
        <w:rPr>
          <w:rStyle w:val="CharDivText"/>
        </w:rPr>
        <w:t> </w:t>
      </w:r>
      <w:r>
        <w:rPr>
          <w:rStyle w:val="CharPartText"/>
        </w:rPr>
        <w:t>Offences and penalties</w:t>
      </w:r>
      <w:bookmarkEnd w:id="180"/>
      <w:bookmarkEnd w:id="181"/>
    </w:p>
    <w:p>
      <w:pPr>
        <w:pStyle w:val="Ednotesection"/>
        <w:spacing w:before="180"/>
      </w:pPr>
      <w:r>
        <w:t>[</w:t>
      </w:r>
      <w:r>
        <w:rPr>
          <w:b/>
          <w:bCs/>
        </w:rPr>
        <w:t>104.</w:t>
      </w:r>
      <w:r>
        <w:rPr>
          <w:b/>
          <w:bCs/>
        </w:rPr>
        <w:tab/>
      </w:r>
      <w:r>
        <w:t>Deleted by No. 54 of 2006 s. 32.]</w:t>
      </w:r>
    </w:p>
    <w:p>
      <w:pPr>
        <w:pStyle w:val="Ednotesection"/>
        <w:spacing w:before="180"/>
      </w:pPr>
      <w:r>
        <w:t>[</w:t>
      </w:r>
      <w:r>
        <w:rPr>
          <w:b/>
        </w:rPr>
        <w:t>105.</w:t>
      </w:r>
      <w:r>
        <w:tab/>
        <w:t>Deleted by No. 8 of 2012 s. 29.]</w:t>
      </w:r>
    </w:p>
    <w:p>
      <w:pPr>
        <w:pStyle w:val="Heading5"/>
        <w:spacing w:before="180"/>
      </w:pPr>
      <w:bookmarkStart w:id="182" w:name="_Toc472087182"/>
      <w:r>
        <w:rPr>
          <w:rStyle w:val="CharSectno"/>
        </w:rPr>
        <w:t>106</w:t>
      </w:r>
      <w:r>
        <w:t>.</w:t>
      </w:r>
      <w:r>
        <w:tab/>
        <w:t>Sentencing for certain offences</w:t>
      </w:r>
      <w:bookmarkEnd w:id="182"/>
    </w:p>
    <w:p>
      <w:pPr>
        <w:pStyle w:val="Ednotesubsection"/>
        <w:spacing w:before="120"/>
      </w:pPr>
      <w:r>
        <w:tab/>
        <w:t>[(1), (2)</w:t>
      </w:r>
      <w:r>
        <w:tab/>
        <w:t>deleted]</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spacing w:before="120"/>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 No. 8 of 2012 s. 30.]</w:t>
      </w:r>
    </w:p>
    <w:p>
      <w:pPr>
        <w:pStyle w:val="Heading5"/>
      </w:pPr>
      <w:bookmarkStart w:id="183" w:name="_Toc472087183"/>
      <w:r>
        <w:rPr>
          <w:rStyle w:val="CharSectno"/>
        </w:rPr>
        <w:t>106A</w:t>
      </w:r>
      <w:r>
        <w:t>.</w:t>
      </w:r>
      <w:r>
        <w:tab/>
        <w:t>Mandatory disqualification</w:t>
      </w:r>
      <w:bookmarkEnd w:id="183"/>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Footnotesection"/>
      </w:pPr>
      <w:r>
        <w:tab/>
        <w:t>[Section 106A inserted by No. 50 of 2003 s. 28; amended by No. 51 of 2010 s. 15.]</w:t>
      </w:r>
    </w:p>
    <w:p>
      <w:pPr>
        <w:pStyle w:val="Ednotesection"/>
        <w:spacing w:before="260"/>
      </w:pPr>
      <w:r>
        <w:t>[</w:t>
      </w:r>
      <w:r>
        <w:rPr>
          <w:b/>
        </w:rPr>
        <w:t>107.</w:t>
      </w:r>
      <w:r>
        <w:tab/>
        <w:t>Deleted by No. 8 of 2012 s. 31.]</w:t>
      </w:r>
    </w:p>
    <w:p>
      <w:pPr>
        <w:pStyle w:val="Heading2"/>
        <w:rPr>
          <w:rStyle w:val="CharDivText"/>
        </w:rPr>
      </w:pPr>
      <w:bookmarkStart w:id="184" w:name="_Toc468192156"/>
      <w:bookmarkStart w:id="185" w:name="_Toc472087184"/>
      <w:r>
        <w:rPr>
          <w:rStyle w:val="CharPartNo"/>
        </w:rPr>
        <w:t>Part VIII</w:t>
      </w:r>
      <w:r>
        <w:rPr>
          <w:rStyle w:val="CharDivNo"/>
        </w:rPr>
        <w:t> </w:t>
      </w:r>
      <w:r>
        <w:t>—</w:t>
      </w:r>
      <w:r>
        <w:rPr>
          <w:rStyle w:val="CharDivText"/>
        </w:rPr>
        <w:t> </w:t>
      </w:r>
      <w:r>
        <w:rPr>
          <w:rStyle w:val="CharPartText"/>
        </w:rPr>
        <w:t>Transitional and savings provisions</w:t>
      </w:r>
      <w:bookmarkEnd w:id="184"/>
      <w:bookmarkEnd w:id="185"/>
    </w:p>
    <w:p>
      <w:pPr>
        <w:pStyle w:val="Footnoteheading"/>
      </w:pPr>
      <w:r>
        <w:tab/>
        <w:t>[Heading amended by No. 51 of 2016 s. 46.]</w:t>
      </w:r>
    </w:p>
    <w:p>
      <w:pPr>
        <w:pStyle w:val="Heading5"/>
        <w:rPr>
          <w:snapToGrid w:val="0"/>
        </w:rPr>
      </w:pPr>
      <w:bookmarkStart w:id="186" w:name="_Toc472087185"/>
      <w:r>
        <w:rPr>
          <w:rStyle w:val="CharSectno"/>
        </w:rPr>
        <w:t>108</w:t>
      </w:r>
      <w:r>
        <w:rPr>
          <w:snapToGrid w:val="0"/>
        </w:rPr>
        <w:t>.</w:t>
      </w:r>
      <w:r>
        <w:rPr>
          <w:snapToGrid w:val="0"/>
        </w:rPr>
        <w:tab/>
        <w:t xml:space="preserve">Savings as to </w:t>
      </w:r>
      <w:r>
        <w:rPr>
          <w:i/>
          <w:snapToGrid w:val="0"/>
        </w:rPr>
        <w:t>Traffic Act 1919</w:t>
      </w:r>
      <w:bookmarkEnd w:id="186"/>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pPr>
      <w:bookmarkStart w:id="187" w:name="_Toc472068427"/>
      <w:bookmarkStart w:id="188" w:name="_Toc472087186"/>
      <w:r>
        <w:rPr>
          <w:rStyle w:val="CharSectno"/>
        </w:rPr>
        <w:t>109</w:t>
      </w:r>
      <w:r>
        <w:t>.</w:t>
      </w:r>
      <w:r>
        <w:tab/>
        <w:t xml:space="preserve">Transitional and savings provisions for the </w:t>
      </w:r>
      <w:r>
        <w:rPr>
          <w:i/>
        </w:rPr>
        <w:t>Road Traffic Amendment (Impounding and Confiscation of Vehicles) Act 2016</w:t>
      </w:r>
      <w:bookmarkEnd w:id="187"/>
      <w:bookmarkEnd w:id="188"/>
    </w:p>
    <w:p>
      <w:pPr>
        <w:pStyle w:val="Subsection"/>
      </w:pPr>
      <w:r>
        <w:tab/>
        <w:t>(1)</w:t>
      </w:r>
      <w:r>
        <w:tab/>
        <w:t xml:space="preserve">In this section — </w:t>
      </w:r>
    </w:p>
    <w:p>
      <w:pPr>
        <w:pStyle w:val="Defstart"/>
      </w:pPr>
      <w:r>
        <w:tab/>
      </w:r>
      <w:r>
        <w:rPr>
          <w:rStyle w:val="CharDefText"/>
        </w:rPr>
        <w:t>amendment Act</w:t>
      </w:r>
      <w:r>
        <w:t xml:space="preserve"> means the </w:t>
      </w:r>
      <w:r>
        <w:rPr>
          <w:i/>
        </w:rPr>
        <w:t>Road Traffic Amendment (Impounding and Confiscation of Vehicles) Act 2016</w:t>
      </w:r>
      <w:r>
        <w:t>;</w:t>
      </w:r>
    </w:p>
    <w:p>
      <w:pPr>
        <w:pStyle w:val="Defstart"/>
      </w:pPr>
      <w:r>
        <w:tab/>
      </w:r>
      <w:r>
        <w:rPr>
          <w:rStyle w:val="CharDefText"/>
        </w:rPr>
        <w:t>commencement day</w:t>
      </w:r>
      <w:r>
        <w:t xml:space="preserve"> means — </w:t>
      </w:r>
    </w:p>
    <w:p>
      <w:pPr>
        <w:pStyle w:val="Defpara"/>
      </w:pPr>
      <w:r>
        <w:tab/>
        <w:t>(a)</w:t>
      </w:r>
      <w:r>
        <w:tab/>
        <w:t>in subsections (2) to (5), the day on which section 7 of the amendment Act comes into operation;</w:t>
      </w:r>
    </w:p>
    <w:p>
      <w:pPr>
        <w:pStyle w:val="Defpara"/>
      </w:pPr>
      <w:r>
        <w:tab/>
        <w:t>(b)</w:t>
      </w:r>
      <w:r>
        <w:tab/>
        <w:t>in subsections (6) to (9), the day on which section 31 of the amendment Act comes into operation;</w:t>
      </w:r>
    </w:p>
    <w:p>
      <w:pPr>
        <w:pStyle w:val="Defstart"/>
      </w:pPr>
      <w:r>
        <w:tab/>
      </w:r>
      <w:r>
        <w:rPr>
          <w:rStyle w:val="CharDefText"/>
        </w:rPr>
        <w:t>former</w:t>
      </w:r>
      <w:r>
        <w:t>, in relation to a provision of this Act, means the provision as it was immediately before commencement day.</w:t>
      </w:r>
    </w:p>
    <w:p>
      <w:pPr>
        <w:pStyle w:val="Subsection"/>
      </w:pPr>
      <w:r>
        <w:tab/>
        <w:t>(2)</w:t>
      </w:r>
      <w:r>
        <w:tab/>
        <w:t>An offence committed under former section 60(1) is, on and after commencement day, to be taken to be an offence under section 60(1A)(b) for the purposes of Part V.</w:t>
      </w:r>
    </w:p>
    <w:p>
      <w:pPr>
        <w:pStyle w:val="Subsection"/>
      </w:pPr>
      <w:r>
        <w:tab/>
        <w:t>(3)</w:t>
      </w:r>
      <w:r>
        <w:tab/>
        <w:t>An offence committed under former section 60(1a) is, on and after commencement day, to be taken to be an offence under section 60A(1)(b) for the purposes of Part V.</w:t>
      </w:r>
    </w:p>
    <w:p>
      <w:pPr>
        <w:pStyle w:val="Subsection"/>
      </w:pPr>
      <w:r>
        <w:tab/>
        <w:t>(4)</w:t>
      </w:r>
      <w:r>
        <w:tab/>
        <w:t>An offence committed under former section 60(1b) is, on and after commencement day, to be taken to be an offence under section 60A(2)(b) for the purposes of Part V.</w:t>
      </w:r>
    </w:p>
    <w:p>
      <w:pPr>
        <w:pStyle w:val="Subsection"/>
      </w:pPr>
      <w:r>
        <w:tab/>
        <w:t>(5)</w:t>
      </w:r>
      <w:r>
        <w:tab/>
        <w:t>An offence committed under former section 62A is, on and after commencement day, to be taken to be an offence under section 62A(b) or (c), as the case requires, for the purposes of Part V.</w:t>
      </w:r>
    </w:p>
    <w:p>
      <w:pPr>
        <w:pStyle w:val="Subsection"/>
      </w:pPr>
      <w:r>
        <w:tab/>
        <w:t>(6)</w:t>
      </w:r>
      <w:r>
        <w:tab/>
        <w:t>Section 80A(2) and (3) do not apply to, or in relation to, an offence committed before commencement day.</w:t>
      </w:r>
    </w:p>
    <w:p>
      <w:pPr>
        <w:pStyle w:val="Subsection"/>
      </w:pPr>
      <w:r>
        <w:tab/>
        <w:t>(7)</w:t>
      </w:r>
      <w:r>
        <w:tab/>
        <w:t>Section 80J applies to a vehicle impounded under Part V Division 4 Subdivision 2, or on an impounding order (as defined in section 78A), whether before, on or after commencement day.</w:t>
      </w:r>
    </w:p>
    <w:p>
      <w:pPr>
        <w:pStyle w:val="Subsection"/>
      </w:pPr>
      <w:r>
        <w:tab/>
        <w:t>(8)</w:t>
      </w:r>
      <w:r>
        <w:tab/>
        <w:t>Section 80J applies to a vehicle confiscated under former section 80A(1) as if it had been confiscated under section 80A on or after commencement day.</w:t>
      </w:r>
    </w:p>
    <w:p>
      <w:pPr>
        <w:pStyle w:val="Subsection"/>
      </w:pPr>
      <w:r>
        <w:tab/>
        <w:t>(9)</w:t>
      </w:r>
      <w:r>
        <w:tab/>
        <w:t>Section 80J applies to a vehicle confiscated under section 80C(1) or 80CB(1) whether before, on or after commencement day.</w:t>
      </w:r>
    </w:p>
    <w:p>
      <w:pPr>
        <w:pStyle w:val="Footnotesection"/>
      </w:pPr>
      <w:r>
        <w:tab/>
        <w:t>[Section 109 inserted by No. 51 of 2016 s. 47.]</w:t>
      </w:r>
    </w:p>
    <w:p>
      <w:pPr>
        <w:pStyle w:val="Ednotesection"/>
        <w:spacing w:before="260"/>
      </w:pPr>
      <w:r>
        <w:t>[</w:t>
      </w:r>
      <w:r>
        <w:rPr>
          <w:b/>
        </w:rPr>
        <w:t>110.</w:t>
      </w:r>
      <w:r>
        <w:tab/>
        <w:t>Deleted by No. 8 of 2012 s. 31.]</w:t>
      </w:r>
    </w:p>
    <w:p>
      <w:pPr>
        <w:pStyle w:val="Heading2"/>
      </w:pPr>
      <w:bookmarkStart w:id="189" w:name="_Toc468192158"/>
      <w:bookmarkStart w:id="190" w:name="_Toc472087187"/>
      <w:r>
        <w:rPr>
          <w:rStyle w:val="CharPartNo"/>
        </w:rPr>
        <w:t>Part IX</w:t>
      </w:r>
      <w:r>
        <w:rPr>
          <w:rStyle w:val="CharDivNo"/>
        </w:rPr>
        <w:t> </w:t>
      </w:r>
      <w:r>
        <w:t>—</w:t>
      </w:r>
      <w:r>
        <w:rPr>
          <w:rStyle w:val="CharDivText"/>
        </w:rPr>
        <w:t> </w:t>
      </w:r>
      <w:r>
        <w:rPr>
          <w:rStyle w:val="CharPartText"/>
        </w:rPr>
        <w:t>Regulations</w:t>
      </w:r>
      <w:bookmarkEnd w:id="189"/>
      <w:bookmarkEnd w:id="190"/>
    </w:p>
    <w:p>
      <w:pPr>
        <w:pStyle w:val="Heading5"/>
        <w:rPr>
          <w:snapToGrid w:val="0"/>
        </w:rPr>
      </w:pPr>
      <w:bookmarkStart w:id="191" w:name="_Toc472087188"/>
      <w:r>
        <w:rPr>
          <w:rStyle w:val="CharSectno"/>
        </w:rPr>
        <w:t>111</w:t>
      </w:r>
      <w:r>
        <w:rPr>
          <w:snapToGrid w:val="0"/>
        </w:rPr>
        <w:t>.</w:t>
      </w:r>
      <w:r>
        <w:rPr>
          <w:snapToGrid w:val="0"/>
        </w:rPr>
        <w:tab/>
        <w:t>Regulations etc.</w:t>
      </w:r>
      <w:bookmarkEnd w:id="191"/>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 or</w:t>
      </w:r>
    </w:p>
    <w:p>
      <w:pPr>
        <w:pStyle w:val="Indenti"/>
        <w:rPr>
          <w:snapToGrid w:val="0"/>
        </w:rPr>
      </w:pPr>
      <w:r>
        <w:rPr>
          <w:snapToGrid w:val="0"/>
        </w:rPr>
        <w:tab/>
        <w:t>(ii)</w:t>
      </w:r>
      <w:r>
        <w:rPr>
          <w:snapToGrid w:val="0"/>
        </w:rPr>
        <w:tab/>
        <w:t>restrict or prohibit the use of such roads, for such periods, as it may specify; or</w:t>
      </w:r>
    </w:p>
    <w:p>
      <w:pPr>
        <w:pStyle w:val="Indenti"/>
        <w:rPr>
          <w:snapToGrid w:val="0"/>
        </w:rPr>
      </w:pPr>
      <w:r>
        <w:rPr>
          <w:snapToGrid w:val="0"/>
        </w:rPr>
        <w:tab/>
        <w:t>(iii)</w:t>
      </w:r>
      <w:r>
        <w:rPr>
          <w:snapToGrid w:val="0"/>
        </w:rPr>
        <w:tab/>
      </w:r>
      <w:r>
        <w:t>erect</w:t>
      </w:r>
      <w:r>
        <w:rPr>
          <w:snapToGrid w:val="0"/>
        </w:rPr>
        <w:t>, establish or display traffic or road signs, road markings, traffic control signals and similar devices; or</w:t>
      </w:r>
    </w:p>
    <w:p>
      <w:pPr>
        <w:pStyle w:val="Indenti"/>
        <w:rPr>
          <w:snapToGrid w:val="0"/>
        </w:rPr>
      </w:pPr>
      <w:r>
        <w:rPr>
          <w:snapToGrid w:val="0"/>
        </w:rPr>
        <w:tab/>
        <w:t>(iiia)</w:t>
      </w:r>
      <w:r>
        <w:rPr>
          <w:snapToGrid w:val="0"/>
        </w:rPr>
        <w:tab/>
        <w:t xml:space="preserve">authorise any person or body or class of person or body to </w:t>
      </w:r>
      <w:r>
        <w:t>erect</w:t>
      </w:r>
      <w:r>
        <w:rPr>
          <w:snapToGrid w:val="0"/>
        </w:rPr>
        <w:t>, establish or display traffic or road signs, road markings, traffic control signals and similar devices, or any class or type thereof, in accordance with the instrument of authorisation;</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relating to the duties, obligations, conduct and behaviour of 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rPr>
          <w:snapToGrid w:val="0"/>
        </w:rPr>
      </w:pPr>
      <w:r>
        <w:rPr>
          <w:snapToGrid w:val="0"/>
        </w:rPr>
        <w:tab/>
      </w:r>
      <w:r>
        <w:rPr>
          <w:snapToGrid w:val="0"/>
        </w:rPr>
        <w:tab/>
        <w:t>to wear prescribed items of equipment, whether or not the items are items required to be fitted to the vehicles;</w:t>
      </w:r>
    </w:p>
    <w:p>
      <w:pPr>
        <w:pStyle w:val="Ednotepara"/>
        <w:spacing w:before="80"/>
        <w:rPr>
          <w:snapToGrid w:val="0"/>
        </w:rPr>
      </w:pPr>
      <w:r>
        <w:rPr>
          <w:snapToGrid w:val="0"/>
        </w:rPr>
        <w:tab/>
        <w:t>[(d)-(g)</w:t>
      </w:r>
      <w:r>
        <w:rPr>
          <w:snapToGrid w:val="0"/>
        </w:rPr>
        <w:tab/>
        <w:t>deleted]</w:t>
      </w:r>
    </w:p>
    <w:p>
      <w:pPr>
        <w:pStyle w:val="Indenta"/>
        <w:rPr>
          <w:snapToGrid w:val="0"/>
        </w:rPr>
      </w:pPr>
      <w:r>
        <w:rPr>
          <w:snapToGrid w:val="0"/>
        </w:rPr>
        <w:tab/>
        <w:t>(h)</w:t>
      </w:r>
      <w:r>
        <w:rPr>
          <w:snapToGrid w:val="0"/>
        </w:rPr>
        <w:tab/>
        <w:t>regulating or prohibiting the parking or standing of vehicles;</w:t>
      </w:r>
    </w:p>
    <w:p>
      <w:pPr>
        <w:pStyle w:val="Ednotepara"/>
        <w:spacing w:before="80"/>
        <w:rPr>
          <w:snapToGrid w:val="0"/>
        </w:rPr>
      </w:pPr>
      <w:r>
        <w:rPr>
          <w:snapToGrid w:val="0"/>
        </w:rPr>
        <w:tab/>
        <w:t>[(i)</w:t>
      </w:r>
      <w:r>
        <w:rPr>
          <w:snapToGrid w:val="0"/>
        </w:rPr>
        <w:tab/>
        <w:t>deleted]</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 xml:space="preserve">imposing penalties not exceeding </w:t>
      </w:r>
      <w:r>
        <w:t>a fine of 64 PU</w:t>
      </w:r>
      <w:r>
        <w:rPr>
          <w:snapToGrid w:val="0"/>
        </w:rPr>
        <w:t xml:space="preserve"> for a first offence, and not exceeding </w:t>
      </w:r>
      <w:r>
        <w:t>a fine of 96 PU</w:t>
      </w:r>
      <w:r>
        <w:rPr>
          <w:snapToGrid w:val="0"/>
        </w:rPr>
        <w:t xml:space="preserve"> for any subsequent offence, against any regulation made under this </w:t>
      </w:r>
      <w:r>
        <w:t>section;</w:t>
      </w:r>
    </w:p>
    <w:p>
      <w:pPr>
        <w:pStyle w:val="Ednotepara"/>
        <w:spacing w:before="80"/>
        <w:rPr>
          <w:snapToGrid w:val="0"/>
        </w:rPr>
      </w:pPr>
      <w:r>
        <w:rPr>
          <w:snapToGrid w:val="0"/>
        </w:rPr>
        <w:tab/>
        <w:t>[(l), (m)</w:t>
      </w:r>
      <w:r>
        <w:rPr>
          <w:snapToGrid w:val="0"/>
        </w:rPr>
        <w:tab/>
        <w:t>deleted]</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Ednotesubsection"/>
        <w:spacing w:before="120"/>
      </w:pPr>
      <w:r>
        <w:tab/>
        <w:t>[(2a), (2b)</w:t>
      </w:r>
      <w:r>
        <w:tab/>
        <w:t>deleted]</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rPr>
          <w:snapToGrid w:val="0"/>
          <w:spacing w:val="-2"/>
        </w:rPr>
      </w:pPr>
      <w:r>
        <w:rPr>
          <w:snapToGrid w:val="0"/>
          <w:spacing w:val="-2"/>
        </w:rPr>
        <w:tab/>
        <w:t>(a)</w:t>
      </w:r>
      <w:r>
        <w:rPr>
          <w:snapToGrid w:val="0"/>
          <w:spacing w:val="-2"/>
        </w:rPr>
        <w:tab/>
        <w:t>exemptions from the requirement to pay the fee or charge; or</w:t>
      </w:r>
    </w:p>
    <w:p>
      <w:pPr>
        <w:pStyle w:val="Indenta"/>
        <w:rPr>
          <w:snapToGrid w:val="0"/>
        </w:rPr>
      </w:pPr>
      <w:r>
        <w:rPr>
          <w:snapToGrid w:val="0"/>
        </w:rPr>
        <w:tab/>
        <w:t>(b)</w:t>
      </w:r>
      <w:r>
        <w:rPr>
          <w:snapToGrid w:val="0"/>
        </w:rPr>
        <w:tab/>
        <w:t>the fee or charge to be reduced or refunded (in whole or in part); or</w:t>
      </w:r>
    </w:p>
    <w:p>
      <w:pPr>
        <w:pStyle w:val="Indenta"/>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rPr>
          <w:snapToGrid w:val="0"/>
        </w:rPr>
      </w:pPr>
      <w:r>
        <w:rPr>
          <w:snapToGrid w:val="0"/>
        </w:rPr>
        <w:tab/>
        <w:t>(b)</w:t>
      </w:r>
      <w:r>
        <w:rPr>
          <w:snapToGrid w:val="0"/>
        </w:rPr>
        <w:tab/>
        <w:t xml:space="preserve">is at the discretion of the </w:t>
      </w:r>
      <w:r>
        <w:t>CEO</w:t>
      </w:r>
      <w:r>
        <w:rPr>
          <w:snapToGrid w:val="0"/>
        </w:rPr>
        <w:t xml:space="preserve"> or a specified person; or</w:t>
      </w:r>
    </w:p>
    <w:p>
      <w:pPr>
        <w:pStyle w:val="Indenta"/>
        <w:rPr>
          <w:snapToGrid w:val="0"/>
        </w:rPr>
      </w:pPr>
      <w:r>
        <w:rPr>
          <w:snapToGrid w:val="0"/>
        </w:rPr>
        <w:tab/>
        <w:t>(c)</w:t>
      </w:r>
      <w:r>
        <w:rPr>
          <w:snapToGrid w:val="0"/>
        </w:rPr>
        <w:tab/>
        <w:t>applies subject to specified requirements being satisfied; or</w:t>
      </w:r>
    </w:p>
    <w:p>
      <w:pPr>
        <w:pStyle w:val="Indenta"/>
        <w:rPr>
          <w:snapToGrid w:val="0"/>
        </w:rPr>
      </w:pPr>
      <w:r>
        <w:rPr>
          <w:snapToGrid w:val="0"/>
        </w:rPr>
        <w:tab/>
        <w:t>(d)</w:t>
      </w:r>
      <w:r>
        <w:rPr>
          <w:snapToGrid w:val="0"/>
        </w:rPr>
        <w:tab/>
        <w:t>applies subject to conditions —</w:t>
      </w:r>
    </w:p>
    <w:p>
      <w:pPr>
        <w:pStyle w:val="Indenti"/>
        <w:rPr>
          <w:snapToGrid w:val="0"/>
        </w:rPr>
      </w:pPr>
      <w:r>
        <w:rPr>
          <w:snapToGrid w:val="0"/>
        </w:rPr>
        <w:tab/>
        <w:t>(i)</w:t>
      </w:r>
      <w:r>
        <w:rPr>
          <w:snapToGrid w:val="0"/>
        </w:rPr>
        <w:tab/>
        <w:t>specified in the regulations; or</w:t>
      </w:r>
    </w:p>
    <w:p>
      <w:pPr>
        <w:pStyle w:val="Indenti"/>
        <w:rPr>
          <w:snapToGrid w:val="0"/>
        </w:rPr>
      </w:pPr>
      <w:r>
        <w:rPr>
          <w:snapToGrid w:val="0"/>
        </w:rPr>
        <w:tab/>
        <w:t>(ii)</w:t>
      </w:r>
      <w:r>
        <w:rPr>
          <w:snapToGrid w:val="0"/>
        </w:rPr>
        <w:tab/>
        <w:t xml:space="preserve">imposed by the </w:t>
      </w:r>
      <w:r>
        <w:t>CEO</w:t>
      </w:r>
      <w:r>
        <w:rPr>
          <w:snapToGrid w:val="0"/>
        </w:rPr>
        <w:t xml:space="preserve">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 No. 8 of 2012 s. 32 and 36; No. 10 of 2015 s. 5.]</w:t>
      </w:r>
    </w:p>
    <w:p>
      <w:pPr>
        <w:pStyle w:val="Ednotesection"/>
        <w:spacing w:before="260"/>
      </w:pPr>
      <w:r>
        <w:t>[</w:t>
      </w:r>
      <w:r>
        <w:rPr>
          <w:b/>
        </w:rPr>
        <w:t>111AA.</w:t>
      </w:r>
      <w:r>
        <w:tab/>
        <w:t>Deleted by No. 8 of 2012 s. 33.]</w:t>
      </w:r>
    </w:p>
    <w:p>
      <w:pPr>
        <w:pStyle w:val="Heading5"/>
        <w:spacing w:before="180"/>
      </w:pPr>
      <w:bookmarkStart w:id="192" w:name="_Toc472087189"/>
      <w:r>
        <w:rPr>
          <w:rStyle w:val="CharSectno"/>
        </w:rPr>
        <w:t>111AB</w:t>
      </w:r>
      <w:r>
        <w:t>.</w:t>
      </w:r>
      <w:r>
        <w:tab/>
        <w:t>Exemption from specified regulations, regulations may allow grant of</w:t>
      </w:r>
      <w:bookmarkEnd w:id="192"/>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CEO to grant exemptions from regulations made under section 111(2)(aa) or (c).</w:t>
      </w:r>
    </w:p>
    <w:p>
      <w:pPr>
        <w:pStyle w:val="Footnotesection"/>
      </w:pPr>
      <w:r>
        <w:tab/>
        <w:t>[Section 111AB inserted by No. 54 of 2006 s. 35(1); amended by No. 8 of 2012 s. 34 and 36.]</w:t>
      </w:r>
    </w:p>
    <w:p>
      <w:pPr>
        <w:pStyle w:val="Ednotesection"/>
        <w:spacing w:before="260"/>
      </w:pPr>
      <w:r>
        <w:t>[</w:t>
      </w:r>
      <w:r>
        <w:rPr>
          <w:b/>
        </w:rPr>
        <w:t>111A-113.</w:t>
      </w:r>
      <w:r>
        <w:tab/>
        <w:t>Deleted by No. 8 of 2012 s. 35.]</w:t>
      </w:r>
    </w:p>
    <w:p>
      <w:pPr>
        <w:pStyle w:val="yEdnoteschedule"/>
      </w:pPr>
      <w:r>
        <w:t>[First and Second Schedule deleted by No. 28 of 2001 s. 22.]</w:t>
      </w:r>
    </w:p>
    <w:p>
      <w:pPr>
        <w:pStyle w:val="CentredBaseLine"/>
        <w:jc w:val="center"/>
      </w:pPr>
      <w:r>
        <w:rPr>
          <w:noProof/>
        </w:rPr>
        <w:drawing>
          <wp:inline distT="0" distB="0" distL="0" distR="0">
            <wp:extent cx="935355" cy="173355"/>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nHeading2"/>
        <w:outlineLvl w:val="0"/>
      </w:pPr>
      <w:bookmarkStart w:id="193" w:name="_Toc468192161"/>
      <w:bookmarkStart w:id="194" w:name="_Toc472087190"/>
      <w:r>
        <w:t>Notes</w:t>
      </w:r>
      <w:bookmarkEnd w:id="193"/>
      <w:bookmarkEnd w:id="194"/>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1M, 1a</w:t>
      </w:r>
      <w:r>
        <w:rPr>
          <w:snapToGrid w:val="0"/>
        </w:rPr>
        <w:t>.  The table also contains information about any reprint.</w:t>
      </w:r>
    </w:p>
    <w:p>
      <w:pPr>
        <w:pStyle w:val="nHeading3"/>
        <w:spacing w:before="200"/>
      </w:pPr>
      <w:bookmarkStart w:id="195" w:name="_Toc472087191"/>
      <w:r>
        <w:t>Compilation table</w:t>
      </w:r>
      <w:bookmarkEnd w:id="195"/>
    </w:p>
    <w:tbl>
      <w:tblPr>
        <w:tblW w:w="7088" w:type="dxa"/>
        <w:tblInd w:w="28" w:type="dxa"/>
        <w:tblLayout w:type="fixed"/>
        <w:tblCellMar>
          <w:left w:w="56" w:type="dxa"/>
          <w:right w:w="56" w:type="dxa"/>
        </w:tblCellMar>
        <w:tblLook w:val="0000" w:firstRow="0" w:lastRow="0" w:firstColumn="0" w:lastColumn="0" w:noHBand="0" w:noVBand="0"/>
      </w:tblPr>
      <w:tblGrid>
        <w:gridCol w:w="2267"/>
        <w:gridCol w:w="1134"/>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Pr>
          <w:p>
            <w:pPr>
              <w:pStyle w:val="nTable"/>
              <w:spacing w:after="40"/>
            </w:pPr>
            <w:r>
              <w:rPr>
                <w:i/>
              </w:rPr>
              <w:t>Road Traffic Act 1974</w:t>
            </w:r>
          </w:p>
        </w:tc>
        <w:tc>
          <w:tcPr>
            <w:tcW w:w="1134" w:type="dxa"/>
          </w:tcPr>
          <w:p>
            <w:pPr>
              <w:pStyle w:val="nTable"/>
              <w:spacing w:after="40"/>
            </w:pPr>
            <w:r>
              <w:t>59 of 1974</w:t>
            </w:r>
          </w:p>
        </w:tc>
        <w:tc>
          <w:tcPr>
            <w:tcW w:w="1136" w:type="dxa"/>
          </w:tcPr>
          <w:p>
            <w:pPr>
              <w:pStyle w:val="nTable"/>
              <w:spacing w:after="40"/>
            </w:pPr>
            <w:r>
              <w:t>3 Dec 1974</w:t>
            </w:r>
          </w:p>
        </w:tc>
        <w:tc>
          <w:tcPr>
            <w:tcW w:w="2551" w:type="dxa"/>
          </w:tcPr>
          <w:p>
            <w:pPr>
              <w:pStyle w:val="nTable"/>
              <w:spacing w:after="40"/>
              <w:ind w:right="-82"/>
            </w:pPr>
            <w:r>
              <w:t>s. 4: 3 Dec 1974 (see s. 2(2)); s. 6</w:t>
            </w:r>
            <w:r>
              <w:noBreakHyphen/>
              <w:t>10 and 12: 21 Feb 1975 (see s. 2(1) and </w:t>
            </w:r>
            <w:r>
              <w:rPr>
                <w:i/>
              </w:rPr>
              <w:t>Gazette</w:t>
            </w:r>
            <w:r>
              <w:t xml:space="preserve"> 21 Feb 1975 p. 633); </w:t>
            </w:r>
            <w:r>
              <w:br/>
              <w:t>Act other than s. 4, 6</w:t>
            </w:r>
            <w:r>
              <w:noBreakHyphen/>
              <w:t xml:space="preserve">10 and 12: 1 Jun 1975 (see s. 2(1) and </w:t>
            </w:r>
            <w:r>
              <w:rPr>
                <w:i/>
              </w:rPr>
              <w:t>Gazette</w:t>
            </w:r>
            <w:r>
              <w:t xml:space="preserve"> 29 May 1975 p. 1442)</w:t>
            </w:r>
          </w:p>
        </w:tc>
      </w:tr>
      <w:tr>
        <w:trPr>
          <w:cantSplit/>
        </w:trPr>
        <w:tc>
          <w:tcPr>
            <w:tcW w:w="2267" w:type="dxa"/>
          </w:tcPr>
          <w:p>
            <w:pPr>
              <w:pStyle w:val="nTable"/>
              <w:spacing w:after="40"/>
            </w:pPr>
            <w:r>
              <w:rPr>
                <w:i/>
              </w:rPr>
              <w:t>Road Traffic Act Amendment Act 1975</w:t>
            </w:r>
          </w:p>
        </w:tc>
        <w:tc>
          <w:tcPr>
            <w:tcW w:w="1134" w:type="dxa"/>
          </w:tcPr>
          <w:p>
            <w:pPr>
              <w:pStyle w:val="nTable"/>
              <w:spacing w:after="40"/>
            </w:pPr>
            <w:r>
              <w:t>77 of 1975</w:t>
            </w:r>
          </w:p>
        </w:tc>
        <w:tc>
          <w:tcPr>
            <w:tcW w:w="1136" w:type="dxa"/>
          </w:tcPr>
          <w:p>
            <w:pPr>
              <w:pStyle w:val="nTable"/>
              <w:spacing w:after="40"/>
            </w:pPr>
            <w:r>
              <w:t>14 Nov 1975</w:t>
            </w:r>
          </w:p>
        </w:tc>
        <w:tc>
          <w:tcPr>
            <w:tcW w:w="2551" w:type="dxa"/>
          </w:tcPr>
          <w:p>
            <w:pPr>
              <w:pStyle w:val="nTable"/>
              <w:spacing w:after="40"/>
            </w:pPr>
            <w:r>
              <w:t>1 Jul 1976 (see s. 2 and </w:t>
            </w:r>
            <w:r>
              <w:rPr>
                <w:i/>
              </w:rPr>
              <w:t>Gazette</w:t>
            </w:r>
            <w:r>
              <w:t xml:space="preserve"> 12 Dec 1975 p. 4481)</w:t>
            </w:r>
          </w:p>
        </w:tc>
      </w:tr>
      <w:tr>
        <w:trPr>
          <w:cantSplit/>
        </w:trPr>
        <w:tc>
          <w:tcPr>
            <w:tcW w:w="2267" w:type="dxa"/>
          </w:tcPr>
          <w:p>
            <w:pPr>
              <w:pStyle w:val="nTable"/>
              <w:spacing w:after="40"/>
            </w:pPr>
            <w:r>
              <w:rPr>
                <w:i/>
              </w:rPr>
              <w:t>Road Traffic Act Amendment Act (No. 2) 1975</w:t>
            </w:r>
          </w:p>
        </w:tc>
        <w:tc>
          <w:tcPr>
            <w:tcW w:w="1134" w:type="dxa"/>
          </w:tcPr>
          <w:p>
            <w:pPr>
              <w:pStyle w:val="nTable"/>
              <w:spacing w:after="40"/>
            </w:pPr>
            <w:r>
              <w:t>93 of 1975</w:t>
            </w:r>
          </w:p>
        </w:tc>
        <w:tc>
          <w:tcPr>
            <w:tcW w:w="1136" w:type="dxa"/>
          </w:tcPr>
          <w:p>
            <w:pPr>
              <w:pStyle w:val="nTable"/>
              <w:spacing w:after="40"/>
            </w:pPr>
            <w:r>
              <w:t>20 Nov 1975</w:t>
            </w:r>
          </w:p>
        </w:tc>
        <w:tc>
          <w:tcPr>
            <w:tcW w:w="2551" w:type="dxa"/>
          </w:tcPr>
          <w:p>
            <w:pPr>
              <w:pStyle w:val="nTable"/>
              <w:spacing w:after="40"/>
            </w:pPr>
            <w:r>
              <w:t xml:space="preserve">20 Feb 1976 (see s. 2 and </w:t>
            </w:r>
            <w:r>
              <w:rPr>
                <w:i/>
              </w:rPr>
              <w:t>Gazette</w:t>
            </w:r>
            <w:r>
              <w:t xml:space="preserve"> 20 Feb 1976 p. 445)</w:t>
            </w:r>
          </w:p>
        </w:tc>
      </w:tr>
      <w:tr>
        <w:trPr>
          <w:cantSplit/>
        </w:trPr>
        <w:tc>
          <w:tcPr>
            <w:tcW w:w="2267" w:type="dxa"/>
          </w:tcPr>
          <w:p>
            <w:pPr>
              <w:pStyle w:val="nTable"/>
              <w:spacing w:after="40"/>
            </w:pPr>
            <w:r>
              <w:rPr>
                <w:i/>
              </w:rPr>
              <w:t>Road Traffic Act Amendment Act 1976</w:t>
            </w:r>
          </w:p>
        </w:tc>
        <w:tc>
          <w:tcPr>
            <w:tcW w:w="1134" w:type="dxa"/>
          </w:tcPr>
          <w:p>
            <w:pPr>
              <w:pStyle w:val="nTable"/>
              <w:spacing w:after="40"/>
            </w:pPr>
            <w:r>
              <w:t>17 of 1976</w:t>
            </w:r>
          </w:p>
        </w:tc>
        <w:tc>
          <w:tcPr>
            <w:tcW w:w="1136" w:type="dxa"/>
          </w:tcPr>
          <w:p>
            <w:pPr>
              <w:pStyle w:val="nTable"/>
              <w:spacing w:after="40"/>
            </w:pPr>
            <w:r>
              <w:t>3 Jun 1976</w:t>
            </w:r>
          </w:p>
        </w:tc>
        <w:tc>
          <w:tcPr>
            <w:tcW w:w="2551" w:type="dxa"/>
          </w:tcPr>
          <w:p>
            <w:pPr>
              <w:pStyle w:val="nTable"/>
              <w:spacing w:after="40"/>
            </w:pPr>
            <w:r>
              <w:t xml:space="preserve">21 Aug 1976 (see s. 2 and </w:t>
            </w:r>
            <w:r>
              <w:rPr>
                <w:i/>
              </w:rPr>
              <w:t>Gazette</w:t>
            </w:r>
            <w:r>
              <w:t xml:space="preserve"> 6 Aug 1976 p. 2658)</w:t>
            </w:r>
          </w:p>
        </w:tc>
      </w:tr>
      <w:tr>
        <w:trPr>
          <w:cantSplit/>
        </w:trPr>
        <w:tc>
          <w:tcPr>
            <w:tcW w:w="2267" w:type="dxa"/>
          </w:tcPr>
          <w:p>
            <w:pPr>
              <w:pStyle w:val="nTable"/>
              <w:spacing w:after="40"/>
            </w:pPr>
            <w:r>
              <w:rPr>
                <w:i/>
              </w:rPr>
              <w:t>Road Traffic Act Amendment Act (No. 2) 1976</w:t>
            </w:r>
          </w:p>
        </w:tc>
        <w:tc>
          <w:tcPr>
            <w:tcW w:w="1134" w:type="dxa"/>
          </w:tcPr>
          <w:p>
            <w:pPr>
              <w:pStyle w:val="nTable"/>
              <w:spacing w:after="40"/>
            </w:pPr>
            <w:r>
              <w:t>48 of 1976</w:t>
            </w:r>
          </w:p>
        </w:tc>
        <w:tc>
          <w:tcPr>
            <w:tcW w:w="1136" w:type="dxa"/>
          </w:tcPr>
          <w:p>
            <w:pPr>
              <w:pStyle w:val="nTable"/>
              <w:spacing w:after="40"/>
            </w:pPr>
            <w:r>
              <w:t>10 Sep 1976</w:t>
            </w:r>
          </w:p>
        </w:tc>
        <w:tc>
          <w:tcPr>
            <w:tcW w:w="2551" w:type="dxa"/>
          </w:tcPr>
          <w:p>
            <w:pPr>
              <w:pStyle w:val="nTable"/>
              <w:spacing w:after="40"/>
            </w:pPr>
            <w:r>
              <w:t>Act other than s. 3 and 4(a)</w:t>
            </w:r>
            <w:r>
              <w:noBreakHyphen/>
              <w:t>(f) and (h): 10 Sep 1976 (see s. 2(1));</w:t>
            </w:r>
            <w:r>
              <w:br/>
              <w:t>s. 3 and 4(a)</w:t>
            </w:r>
            <w:r>
              <w:noBreakHyphen/>
              <w:t>(f) and (h):</w:t>
            </w:r>
            <w:r>
              <w:br/>
              <w:t xml:space="preserve">1 Jun 1977 (see s. 2(2) and </w:t>
            </w:r>
            <w:r>
              <w:rPr>
                <w:i/>
              </w:rPr>
              <w:t>Gazette</w:t>
            </w:r>
            <w:r>
              <w:t xml:space="preserve"> 20 May 1977 p. 1490)</w:t>
            </w:r>
          </w:p>
        </w:tc>
      </w:tr>
      <w:tr>
        <w:trPr>
          <w:cantSplit/>
        </w:trPr>
        <w:tc>
          <w:tcPr>
            <w:tcW w:w="2267" w:type="dxa"/>
          </w:tcPr>
          <w:p>
            <w:pPr>
              <w:pStyle w:val="nTable"/>
              <w:spacing w:after="40"/>
            </w:pPr>
            <w:r>
              <w:rPr>
                <w:i/>
              </w:rPr>
              <w:t>Road Traffic Act Amendment Act (No. 3) 1976</w:t>
            </w:r>
          </w:p>
        </w:tc>
        <w:tc>
          <w:tcPr>
            <w:tcW w:w="1134" w:type="dxa"/>
          </w:tcPr>
          <w:p>
            <w:pPr>
              <w:pStyle w:val="nTable"/>
              <w:keepLines/>
              <w:spacing w:after="40"/>
            </w:pPr>
            <w:r>
              <w:t>135 of 1976</w:t>
            </w:r>
          </w:p>
        </w:tc>
        <w:tc>
          <w:tcPr>
            <w:tcW w:w="1136" w:type="dxa"/>
          </w:tcPr>
          <w:p>
            <w:pPr>
              <w:pStyle w:val="nTable"/>
              <w:keepLines/>
              <w:spacing w:after="40"/>
            </w:pPr>
            <w:r>
              <w:t>9 Dec 1976</w:t>
            </w:r>
          </w:p>
        </w:tc>
        <w:tc>
          <w:tcPr>
            <w:tcW w:w="2551" w:type="dxa"/>
          </w:tcPr>
          <w:p>
            <w:pPr>
              <w:pStyle w:val="nTable"/>
              <w:keepLines/>
              <w:spacing w:after="40"/>
            </w:pPr>
            <w:r>
              <w:t>9 Dec 1976</w:t>
            </w:r>
          </w:p>
        </w:tc>
      </w:tr>
      <w:tr>
        <w:trPr>
          <w:cantSplit/>
        </w:trPr>
        <w:tc>
          <w:tcPr>
            <w:tcW w:w="2267" w:type="dxa"/>
          </w:tcPr>
          <w:p>
            <w:pPr>
              <w:pStyle w:val="nTable"/>
              <w:spacing w:after="40"/>
            </w:pPr>
            <w:r>
              <w:rPr>
                <w:i/>
              </w:rPr>
              <w:t>Road Traffic Act Amendment Act 1977</w:t>
            </w:r>
          </w:p>
        </w:tc>
        <w:tc>
          <w:tcPr>
            <w:tcW w:w="1134" w:type="dxa"/>
          </w:tcPr>
          <w:p>
            <w:pPr>
              <w:pStyle w:val="nTable"/>
              <w:spacing w:after="40"/>
            </w:pPr>
            <w:r>
              <w:t>4 of 1977</w:t>
            </w:r>
          </w:p>
        </w:tc>
        <w:tc>
          <w:tcPr>
            <w:tcW w:w="1136" w:type="dxa"/>
          </w:tcPr>
          <w:p>
            <w:pPr>
              <w:pStyle w:val="nTable"/>
              <w:spacing w:after="40"/>
            </w:pPr>
            <w:r>
              <w:t>29 Aug 1977</w:t>
            </w:r>
          </w:p>
        </w:tc>
        <w:tc>
          <w:tcPr>
            <w:tcW w:w="2551" w:type="dxa"/>
          </w:tcPr>
          <w:p>
            <w:pPr>
              <w:pStyle w:val="nTable"/>
              <w:spacing w:after="40"/>
            </w:pPr>
            <w:r>
              <w:t>29 Aug 1977</w:t>
            </w:r>
          </w:p>
        </w:tc>
      </w:tr>
      <w:tr>
        <w:trPr>
          <w:cantSplit/>
        </w:trPr>
        <w:tc>
          <w:tcPr>
            <w:tcW w:w="2267" w:type="dxa"/>
          </w:tcPr>
          <w:p>
            <w:pPr>
              <w:pStyle w:val="nTable"/>
              <w:spacing w:after="40"/>
              <w:rPr>
                <w:vertAlign w:val="superscript"/>
              </w:rPr>
            </w:pPr>
            <w:r>
              <w:rPr>
                <w:i/>
              </w:rPr>
              <w:t>Road Traffic Act Amendment Act 1978</w:t>
            </w:r>
            <w:r>
              <w:t> </w:t>
            </w:r>
            <w:r>
              <w:rPr>
                <w:vertAlign w:val="superscript"/>
              </w:rPr>
              <w:t>3</w:t>
            </w:r>
          </w:p>
        </w:tc>
        <w:tc>
          <w:tcPr>
            <w:tcW w:w="1134" w:type="dxa"/>
          </w:tcPr>
          <w:p>
            <w:pPr>
              <w:pStyle w:val="nTable"/>
              <w:spacing w:after="40"/>
            </w:pPr>
            <w:r>
              <w:t>89 of 1978</w:t>
            </w:r>
            <w:r>
              <w:br/>
              <w:t>(as amended by No. 82 of 1982 s. 30 and 31)</w:t>
            </w:r>
          </w:p>
        </w:tc>
        <w:tc>
          <w:tcPr>
            <w:tcW w:w="1136" w:type="dxa"/>
          </w:tcPr>
          <w:p>
            <w:pPr>
              <w:pStyle w:val="nTable"/>
              <w:spacing w:after="40"/>
            </w:pPr>
            <w:r>
              <w:t>8 Nov 1978</w:t>
            </w:r>
          </w:p>
        </w:tc>
        <w:tc>
          <w:tcPr>
            <w:tcW w:w="2551" w:type="dxa"/>
          </w:tcPr>
          <w:p>
            <w:pPr>
              <w:pStyle w:val="nTable"/>
              <w:spacing w:after="40"/>
            </w:pPr>
            <w:r>
              <w:t>Act other than s. 16(a), (b) and (c), 18 and 23: 25 May 1979 (see s. 2 and </w:t>
            </w:r>
            <w:r>
              <w:rPr>
                <w:i/>
              </w:rPr>
              <w:t>Gazette</w:t>
            </w:r>
            <w:r>
              <w:t xml:space="preserve"> 25 May 1979 p. 1377); </w:t>
            </w:r>
            <w:r>
              <w:br/>
              <w:t xml:space="preserve">s. 18: 1 Jan 1980 (see s. 2 and </w:t>
            </w:r>
            <w:r>
              <w:rPr>
                <w:i/>
              </w:rPr>
              <w:t>Gazette</w:t>
            </w:r>
            <w:r>
              <w:t xml:space="preserve"> 7 Dec 1979 p. 3770)</w:t>
            </w:r>
          </w:p>
        </w:tc>
      </w:tr>
      <w:tr>
        <w:trPr>
          <w:cantSplit/>
        </w:trPr>
        <w:tc>
          <w:tcPr>
            <w:tcW w:w="2267" w:type="dxa"/>
          </w:tcPr>
          <w:p>
            <w:pPr>
              <w:pStyle w:val="nTable"/>
              <w:spacing w:after="40"/>
            </w:pPr>
            <w:r>
              <w:rPr>
                <w:i/>
              </w:rPr>
              <w:t xml:space="preserve">Acts Amendment and Repeal (Road Maintenance) Act 1979 </w:t>
            </w:r>
            <w:r>
              <w:t>Pt. II</w:t>
            </w:r>
          </w:p>
        </w:tc>
        <w:tc>
          <w:tcPr>
            <w:tcW w:w="1134" w:type="dxa"/>
          </w:tcPr>
          <w:p>
            <w:pPr>
              <w:pStyle w:val="nTable"/>
              <w:spacing w:after="40"/>
            </w:pPr>
            <w:r>
              <w:t>9 of 1979</w:t>
            </w:r>
          </w:p>
        </w:tc>
        <w:tc>
          <w:tcPr>
            <w:tcW w:w="1136" w:type="dxa"/>
          </w:tcPr>
          <w:p>
            <w:pPr>
              <w:pStyle w:val="nTable"/>
              <w:spacing w:after="40"/>
            </w:pPr>
            <w:r>
              <w:t>18 May 1979</w:t>
            </w:r>
          </w:p>
        </w:tc>
        <w:tc>
          <w:tcPr>
            <w:tcW w:w="2551" w:type="dxa"/>
          </w:tcPr>
          <w:p>
            <w:pPr>
              <w:pStyle w:val="nTable"/>
              <w:spacing w:after="40"/>
            </w:pPr>
            <w:r>
              <w:t>1 Jul 1979 (see s. 2(2))</w:t>
            </w:r>
          </w:p>
        </w:tc>
      </w:tr>
      <w:tr>
        <w:trPr>
          <w:cantSplit/>
        </w:trPr>
        <w:tc>
          <w:tcPr>
            <w:tcW w:w="2267" w:type="dxa"/>
          </w:tcPr>
          <w:p>
            <w:pPr>
              <w:pStyle w:val="nTable"/>
              <w:spacing w:after="40"/>
            </w:pPr>
            <w:r>
              <w:rPr>
                <w:i/>
              </w:rPr>
              <w:t>Road Traffic Act Amendment Act 1979</w:t>
            </w:r>
          </w:p>
        </w:tc>
        <w:tc>
          <w:tcPr>
            <w:tcW w:w="1134" w:type="dxa"/>
          </w:tcPr>
          <w:p>
            <w:pPr>
              <w:pStyle w:val="nTable"/>
              <w:spacing w:after="40"/>
            </w:pPr>
            <w:r>
              <w:t>10 of 1979</w:t>
            </w:r>
          </w:p>
        </w:tc>
        <w:tc>
          <w:tcPr>
            <w:tcW w:w="1136" w:type="dxa"/>
          </w:tcPr>
          <w:p>
            <w:pPr>
              <w:pStyle w:val="nTable"/>
              <w:spacing w:after="40"/>
            </w:pPr>
            <w:r>
              <w:t>18 May 1979</w:t>
            </w:r>
          </w:p>
        </w:tc>
        <w:tc>
          <w:tcPr>
            <w:tcW w:w="2551" w:type="dxa"/>
          </w:tcPr>
          <w:p>
            <w:pPr>
              <w:pStyle w:val="nTable"/>
              <w:spacing w:after="40"/>
            </w:pPr>
            <w:r>
              <w:t>18 May 1979</w:t>
            </w:r>
          </w:p>
        </w:tc>
      </w:tr>
      <w:tr>
        <w:trPr>
          <w:cantSplit/>
        </w:trPr>
        <w:tc>
          <w:tcPr>
            <w:tcW w:w="2267" w:type="dxa"/>
          </w:tcPr>
          <w:p>
            <w:pPr>
              <w:pStyle w:val="nTable"/>
              <w:spacing w:after="40"/>
            </w:pPr>
            <w:r>
              <w:rPr>
                <w:i/>
              </w:rPr>
              <w:t>Road Traffic Act Amendment Act (No. 2) 1979</w:t>
            </w:r>
          </w:p>
        </w:tc>
        <w:tc>
          <w:tcPr>
            <w:tcW w:w="1134" w:type="dxa"/>
          </w:tcPr>
          <w:p>
            <w:pPr>
              <w:pStyle w:val="nTable"/>
              <w:spacing w:after="40"/>
            </w:pPr>
            <w:r>
              <w:t>71 of 1979</w:t>
            </w:r>
          </w:p>
        </w:tc>
        <w:tc>
          <w:tcPr>
            <w:tcW w:w="1136" w:type="dxa"/>
          </w:tcPr>
          <w:p>
            <w:pPr>
              <w:pStyle w:val="nTable"/>
              <w:spacing w:after="40"/>
            </w:pPr>
            <w:r>
              <w:t>27 Nov 1979</w:t>
            </w:r>
          </w:p>
        </w:tc>
        <w:tc>
          <w:tcPr>
            <w:tcW w:w="2551" w:type="dxa"/>
          </w:tcPr>
          <w:p>
            <w:pPr>
              <w:pStyle w:val="nTable"/>
              <w:spacing w:after="40"/>
            </w:pPr>
            <w:r>
              <w:t>Act other than s. 4, 5, 8</w:t>
            </w:r>
            <w:r>
              <w:noBreakHyphen/>
              <w:t>11, 13, 14 and 18: 27 Nov 1979 (see s. 2(1));</w:t>
            </w:r>
            <w:r>
              <w:br/>
              <w:t>s. 8</w:t>
            </w:r>
            <w:r>
              <w:noBreakHyphen/>
              <w:t xml:space="preserve">11, 13, 14 and 18: 1 Feb 1980 (see s. 2(2) and </w:t>
            </w:r>
            <w:r>
              <w:rPr>
                <w:i/>
              </w:rPr>
              <w:t>Gazette</w:t>
            </w:r>
            <w:r>
              <w:t xml:space="preserve"> 1 Feb 1980 p. 284); </w:t>
            </w:r>
            <w:r>
              <w:br/>
              <w:t xml:space="preserve">s. 4: 15 Feb 1980 (see s. 2(2) and </w:t>
            </w:r>
            <w:r>
              <w:rPr>
                <w:i/>
              </w:rPr>
              <w:t>Gazette</w:t>
            </w:r>
            <w:r>
              <w:t xml:space="preserve"> 15 Feb 1980 p. 456);</w:t>
            </w:r>
            <w:r>
              <w:br/>
              <w:t>s. 5: 2 May 1980 (see s. 2(2) and </w:t>
            </w:r>
            <w:r>
              <w:rPr>
                <w:i/>
              </w:rPr>
              <w:t>Gazette</w:t>
            </w:r>
            <w:r>
              <w:t xml:space="preserve"> 2 May 1980 p. 1405)</w:t>
            </w:r>
          </w:p>
        </w:tc>
      </w:tr>
      <w:tr>
        <w:trPr>
          <w:cantSplit/>
        </w:trPr>
        <w:tc>
          <w:tcPr>
            <w:tcW w:w="4537" w:type="dxa"/>
            <w:gridSpan w:val="3"/>
          </w:tcPr>
          <w:p>
            <w:pPr>
              <w:pStyle w:val="nTable"/>
              <w:spacing w:after="40"/>
            </w:pPr>
            <w:r>
              <w:t xml:space="preserve">Untitled regulations published in </w:t>
            </w:r>
            <w:r>
              <w:rPr>
                <w:i/>
              </w:rPr>
              <w:t>Gazette</w:t>
            </w:r>
            <w:r>
              <w:t xml:space="preserve"> 6 Jun 1980 p. 1671</w:t>
            </w:r>
            <w:r>
              <w:noBreakHyphen/>
              <w:t>2</w:t>
            </w:r>
          </w:p>
        </w:tc>
        <w:tc>
          <w:tcPr>
            <w:tcW w:w="2551" w:type="dxa"/>
          </w:tcPr>
          <w:p>
            <w:pPr>
              <w:pStyle w:val="nTable"/>
              <w:spacing w:after="40"/>
            </w:pPr>
            <w:r>
              <w:t>6 Jun 1980</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approved 22 Jul 1980</w:t>
            </w:r>
            <w:r>
              <w:t xml:space="preserve"> (includes amendments listed above)</w:t>
            </w:r>
          </w:p>
        </w:tc>
      </w:tr>
      <w:tr>
        <w:trPr>
          <w:cantSplit/>
        </w:trPr>
        <w:tc>
          <w:tcPr>
            <w:tcW w:w="2267" w:type="dxa"/>
          </w:tcPr>
          <w:p>
            <w:pPr>
              <w:pStyle w:val="nTable"/>
              <w:spacing w:after="40"/>
            </w:pPr>
            <w:r>
              <w:rPr>
                <w:i/>
              </w:rPr>
              <w:t>Road Traffic Amendment Act 1980</w:t>
            </w:r>
          </w:p>
        </w:tc>
        <w:tc>
          <w:tcPr>
            <w:tcW w:w="1134" w:type="dxa"/>
          </w:tcPr>
          <w:p>
            <w:pPr>
              <w:pStyle w:val="nTable"/>
              <w:spacing w:after="40"/>
            </w:pPr>
            <w:r>
              <w:t>42 of 1980</w:t>
            </w:r>
          </w:p>
        </w:tc>
        <w:tc>
          <w:tcPr>
            <w:tcW w:w="1136" w:type="dxa"/>
          </w:tcPr>
          <w:p>
            <w:pPr>
              <w:pStyle w:val="nTable"/>
              <w:spacing w:after="40"/>
            </w:pPr>
            <w:r>
              <w:t>12 Nov 1980</w:t>
            </w:r>
          </w:p>
        </w:tc>
        <w:tc>
          <w:tcPr>
            <w:tcW w:w="2551" w:type="dxa"/>
          </w:tcPr>
          <w:p>
            <w:pPr>
              <w:pStyle w:val="nTable"/>
              <w:spacing w:after="40"/>
            </w:pPr>
            <w:r>
              <w:t>Act other than s. 3</w:t>
            </w:r>
            <w:r>
              <w:noBreakHyphen/>
              <w:t>6, 8, 9(a) and 10: 12 Nov 1980 (see s. 2(1));</w:t>
            </w:r>
            <w:r>
              <w:br/>
              <w:t>s. 3</w:t>
            </w:r>
            <w:r>
              <w:noBreakHyphen/>
              <w:t>6, 8, 9(a) and 10: 1 Jan 1981 (see s. 2(2))</w:t>
            </w:r>
          </w:p>
        </w:tc>
      </w:tr>
      <w:tr>
        <w:trPr>
          <w:cantSplit/>
        </w:trPr>
        <w:tc>
          <w:tcPr>
            <w:tcW w:w="2267" w:type="dxa"/>
          </w:tcPr>
          <w:p>
            <w:pPr>
              <w:pStyle w:val="nTable"/>
              <w:spacing w:after="40"/>
            </w:pPr>
            <w:r>
              <w:rPr>
                <w:i/>
              </w:rPr>
              <w:t xml:space="preserve">Acts Amendment (Motor Vehicle Pools) Act 1980 </w:t>
            </w:r>
            <w:r>
              <w:t>Pt. II</w:t>
            </w:r>
          </w:p>
        </w:tc>
        <w:tc>
          <w:tcPr>
            <w:tcW w:w="1134" w:type="dxa"/>
          </w:tcPr>
          <w:p>
            <w:pPr>
              <w:pStyle w:val="nTable"/>
              <w:spacing w:after="40"/>
            </w:pPr>
            <w:r>
              <w:t>48 of 1980</w:t>
            </w:r>
          </w:p>
        </w:tc>
        <w:tc>
          <w:tcPr>
            <w:tcW w:w="1136" w:type="dxa"/>
          </w:tcPr>
          <w:p>
            <w:pPr>
              <w:pStyle w:val="nTable"/>
              <w:spacing w:after="40"/>
            </w:pPr>
            <w:r>
              <w:t>19 Nov 1980</w:t>
            </w:r>
          </w:p>
        </w:tc>
        <w:tc>
          <w:tcPr>
            <w:tcW w:w="2551" w:type="dxa"/>
          </w:tcPr>
          <w:p>
            <w:pPr>
              <w:pStyle w:val="nTable"/>
              <w:spacing w:after="40"/>
            </w:pPr>
            <w:r>
              <w:t>19 Nov 1980</w:t>
            </w:r>
          </w:p>
        </w:tc>
      </w:tr>
      <w:tr>
        <w:trPr>
          <w:cantSplit/>
        </w:trPr>
        <w:tc>
          <w:tcPr>
            <w:tcW w:w="2267" w:type="dxa"/>
          </w:tcPr>
          <w:p>
            <w:pPr>
              <w:pStyle w:val="nTable"/>
              <w:spacing w:after="40"/>
              <w:rPr>
                <w:vertAlign w:val="superscript"/>
              </w:rPr>
            </w:pPr>
            <w:r>
              <w:rPr>
                <w:i/>
              </w:rPr>
              <w:t>Road Traffic Amendment Act (No. 2) 1980</w:t>
            </w:r>
            <w:r>
              <w:t> </w:t>
            </w:r>
            <w:r>
              <w:rPr>
                <w:vertAlign w:val="superscript"/>
              </w:rPr>
              <w:t>4</w:t>
            </w:r>
          </w:p>
        </w:tc>
        <w:tc>
          <w:tcPr>
            <w:tcW w:w="1134" w:type="dxa"/>
          </w:tcPr>
          <w:p>
            <w:pPr>
              <w:pStyle w:val="nTable"/>
              <w:spacing w:after="40"/>
            </w:pPr>
            <w:r>
              <w:t>81 of 1980</w:t>
            </w:r>
          </w:p>
        </w:tc>
        <w:tc>
          <w:tcPr>
            <w:tcW w:w="1136" w:type="dxa"/>
          </w:tcPr>
          <w:p>
            <w:pPr>
              <w:pStyle w:val="nTable"/>
              <w:spacing w:after="40"/>
            </w:pPr>
            <w:r>
              <w:t>5 Dec 1980</w:t>
            </w:r>
          </w:p>
        </w:tc>
        <w:tc>
          <w:tcPr>
            <w:tcW w:w="2551" w:type="dxa"/>
          </w:tcPr>
          <w:p>
            <w:pPr>
              <w:pStyle w:val="nTable"/>
              <w:spacing w:after="40"/>
            </w:pPr>
            <w:r>
              <w:t>5 Dec 1980</w:t>
            </w:r>
          </w:p>
        </w:tc>
      </w:tr>
      <w:tr>
        <w:trPr>
          <w:cantSplit/>
        </w:trPr>
        <w:tc>
          <w:tcPr>
            <w:tcW w:w="4537" w:type="dxa"/>
            <w:gridSpan w:val="3"/>
          </w:tcPr>
          <w:p>
            <w:pPr>
              <w:pStyle w:val="nTable"/>
              <w:spacing w:after="40"/>
            </w:pPr>
            <w:r>
              <w:rPr>
                <w:i/>
              </w:rPr>
              <w:t xml:space="preserve">Road Traffic (Fees for Vehicle Licences) Regulations 1981 </w:t>
            </w:r>
            <w:r>
              <w:t xml:space="preserve">published in </w:t>
            </w:r>
            <w:r>
              <w:rPr>
                <w:i/>
              </w:rPr>
              <w:t>Gazette</w:t>
            </w:r>
            <w:r>
              <w:t xml:space="preserve"> 29 May 1981 p. 1611</w:t>
            </w:r>
            <w:r>
              <w:noBreakHyphen/>
              <w:t>18</w:t>
            </w:r>
          </w:p>
        </w:tc>
        <w:tc>
          <w:tcPr>
            <w:tcW w:w="2551" w:type="dxa"/>
          </w:tcPr>
          <w:p>
            <w:pPr>
              <w:pStyle w:val="nTable"/>
              <w:spacing w:after="40"/>
            </w:pPr>
            <w:r>
              <w:t>29 May 1981</w:t>
            </w:r>
          </w:p>
        </w:tc>
      </w:tr>
      <w:tr>
        <w:trPr>
          <w:cantSplit/>
        </w:trPr>
        <w:tc>
          <w:tcPr>
            <w:tcW w:w="2267" w:type="dxa"/>
          </w:tcPr>
          <w:p>
            <w:pPr>
              <w:pStyle w:val="nTable"/>
              <w:spacing w:after="40"/>
            </w:pPr>
            <w:r>
              <w:rPr>
                <w:i/>
              </w:rPr>
              <w:t>Road Traffic Amendment Act 1981</w:t>
            </w:r>
          </w:p>
        </w:tc>
        <w:tc>
          <w:tcPr>
            <w:tcW w:w="1134" w:type="dxa"/>
          </w:tcPr>
          <w:p>
            <w:pPr>
              <w:pStyle w:val="nTable"/>
              <w:spacing w:after="40"/>
            </w:pPr>
            <w:r>
              <w:t>39 of 1981</w:t>
            </w:r>
          </w:p>
        </w:tc>
        <w:tc>
          <w:tcPr>
            <w:tcW w:w="1136" w:type="dxa"/>
          </w:tcPr>
          <w:p>
            <w:pPr>
              <w:pStyle w:val="nTable"/>
              <w:spacing w:after="40"/>
            </w:pPr>
            <w:r>
              <w:t>25 Aug 1981</w:t>
            </w:r>
          </w:p>
        </w:tc>
        <w:tc>
          <w:tcPr>
            <w:tcW w:w="2551" w:type="dxa"/>
          </w:tcPr>
          <w:p>
            <w:pPr>
              <w:pStyle w:val="nTable"/>
              <w:spacing w:after="40"/>
            </w:pPr>
            <w:r>
              <w:t>25 Aug 1981</w:t>
            </w:r>
          </w:p>
        </w:tc>
      </w:tr>
      <w:tr>
        <w:trPr>
          <w:cantSplit/>
        </w:trPr>
        <w:tc>
          <w:tcPr>
            <w:tcW w:w="2267" w:type="dxa"/>
          </w:tcPr>
          <w:p>
            <w:pPr>
              <w:pStyle w:val="nTable"/>
              <w:spacing w:after="40"/>
            </w:pPr>
            <w:r>
              <w:rPr>
                <w:i/>
              </w:rPr>
              <w:t>Road Traffic Amendment Act (No. 2) 1981</w:t>
            </w:r>
          </w:p>
        </w:tc>
        <w:tc>
          <w:tcPr>
            <w:tcW w:w="1134" w:type="dxa"/>
          </w:tcPr>
          <w:p>
            <w:pPr>
              <w:pStyle w:val="nTable"/>
              <w:spacing w:after="40"/>
            </w:pPr>
            <w:r>
              <w:t>71 of 1981</w:t>
            </w:r>
          </w:p>
        </w:tc>
        <w:tc>
          <w:tcPr>
            <w:tcW w:w="1136" w:type="dxa"/>
          </w:tcPr>
          <w:p>
            <w:pPr>
              <w:pStyle w:val="nTable"/>
              <w:spacing w:after="40"/>
            </w:pPr>
            <w:r>
              <w:t>30 Oct 1981</w:t>
            </w:r>
          </w:p>
        </w:tc>
        <w:tc>
          <w:tcPr>
            <w:tcW w:w="2551" w:type="dxa"/>
          </w:tcPr>
          <w:p>
            <w:pPr>
              <w:pStyle w:val="nTable"/>
              <w:spacing w:after="40"/>
            </w:pPr>
            <w:r>
              <w:t xml:space="preserve">1 Aug 1982 (see s. 2 and </w:t>
            </w:r>
            <w:r>
              <w:rPr>
                <w:i/>
              </w:rPr>
              <w:t>Gazette</w:t>
            </w:r>
            <w:r>
              <w:t xml:space="preserve"> 23 Jul 1982 p. 2842)</w:t>
            </w:r>
          </w:p>
        </w:tc>
      </w:tr>
      <w:tr>
        <w:trPr>
          <w:cantSplit/>
        </w:trPr>
        <w:tc>
          <w:tcPr>
            <w:tcW w:w="2267" w:type="dxa"/>
          </w:tcPr>
          <w:p>
            <w:pPr>
              <w:pStyle w:val="nTable"/>
              <w:spacing w:after="40"/>
            </w:pPr>
            <w:r>
              <w:rPr>
                <w:i/>
              </w:rPr>
              <w:t>Road Traffic Amendment Act (No. 4) 1981</w:t>
            </w:r>
          </w:p>
        </w:tc>
        <w:tc>
          <w:tcPr>
            <w:tcW w:w="1134" w:type="dxa"/>
          </w:tcPr>
          <w:p>
            <w:pPr>
              <w:pStyle w:val="nTable"/>
              <w:spacing w:after="40"/>
            </w:pPr>
            <w:r>
              <w:t>105 of 1981</w:t>
            </w:r>
          </w:p>
        </w:tc>
        <w:tc>
          <w:tcPr>
            <w:tcW w:w="1136" w:type="dxa"/>
          </w:tcPr>
          <w:p>
            <w:pPr>
              <w:pStyle w:val="nTable"/>
              <w:spacing w:after="40"/>
            </w:pPr>
            <w:r>
              <w:t>4 Dec 1981</w:t>
            </w:r>
          </w:p>
        </w:tc>
        <w:tc>
          <w:tcPr>
            <w:tcW w:w="2551" w:type="dxa"/>
          </w:tcPr>
          <w:p>
            <w:pPr>
              <w:pStyle w:val="nTable"/>
              <w:spacing w:after="40"/>
            </w:pPr>
            <w:r>
              <w:t xml:space="preserve">2 Feb 1982 (see s. 2 and </w:t>
            </w:r>
            <w:r>
              <w:rPr>
                <w:i/>
              </w:rPr>
              <w:t>Gazette</w:t>
            </w:r>
            <w:r>
              <w:t xml:space="preserve"> 2 Feb 1982 p. 393)</w:t>
            </w:r>
          </w:p>
        </w:tc>
      </w:tr>
      <w:tr>
        <w:trPr>
          <w:cantSplit/>
        </w:trPr>
        <w:tc>
          <w:tcPr>
            <w:tcW w:w="2267" w:type="dxa"/>
          </w:tcPr>
          <w:p>
            <w:pPr>
              <w:pStyle w:val="nTable"/>
              <w:spacing w:after="40"/>
            </w:pPr>
            <w:r>
              <w:rPr>
                <w:i/>
              </w:rPr>
              <w:t xml:space="preserve">Companies (Consequential Amendments) Act 1982 </w:t>
            </w:r>
            <w:r>
              <w:t>s. 28</w:t>
            </w:r>
          </w:p>
        </w:tc>
        <w:tc>
          <w:tcPr>
            <w:tcW w:w="1134" w:type="dxa"/>
          </w:tcPr>
          <w:p>
            <w:pPr>
              <w:pStyle w:val="nTable"/>
              <w:spacing w:after="40"/>
            </w:pPr>
            <w:r>
              <w:t>10 of 1982</w:t>
            </w:r>
          </w:p>
        </w:tc>
        <w:tc>
          <w:tcPr>
            <w:tcW w:w="1136" w:type="dxa"/>
          </w:tcPr>
          <w:p>
            <w:pPr>
              <w:pStyle w:val="nTable"/>
              <w:spacing w:after="40"/>
            </w:pPr>
            <w:r>
              <w:t>14 May 1982</w:t>
            </w:r>
          </w:p>
        </w:tc>
        <w:tc>
          <w:tcPr>
            <w:tcW w:w="2551" w:type="dxa"/>
          </w:tcPr>
          <w:p>
            <w:pPr>
              <w:pStyle w:val="nTable"/>
              <w:spacing w:after="40"/>
            </w:pPr>
            <w:r>
              <w:t xml:space="preserve">1 Jul 1982 (see s. 2(1) and </w:t>
            </w:r>
            <w:r>
              <w:rPr>
                <w:i/>
              </w:rPr>
              <w:t>Gazette</w:t>
            </w:r>
            <w:r>
              <w:t xml:space="preserve"> 25 Jun 1982 p. 2079)</w:t>
            </w:r>
          </w:p>
        </w:tc>
      </w:tr>
      <w:tr>
        <w:trPr>
          <w:cantSplit/>
        </w:trPr>
        <w:tc>
          <w:tcPr>
            <w:tcW w:w="2267" w:type="dxa"/>
          </w:tcPr>
          <w:p>
            <w:pPr>
              <w:pStyle w:val="nTable"/>
              <w:spacing w:after="40"/>
            </w:pPr>
            <w:r>
              <w:rPr>
                <w:i/>
              </w:rPr>
              <w:t xml:space="preserve">Acts Amendment (Motor Vehicle Fees) Act 1982 </w:t>
            </w:r>
            <w:r>
              <w:t>Pt. III</w:t>
            </w:r>
          </w:p>
        </w:tc>
        <w:tc>
          <w:tcPr>
            <w:tcW w:w="1134" w:type="dxa"/>
          </w:tcPr>
          <w:p>
            <w:pPr>
              <w:pStyle w:val="nTable"/>
              <w:spacing w:after="40"/>
            </w:pPr>
            <w:r>
              <w:t>25 of 1982</w:t>
            </w:r>
          </w:p>
        </w:tc>
        <w:tc>
          <w:tcPr>
            <w:tcW w:w="1136" w:type="dxa"/>
          </w:tcPr>
          <w:p>
            <w:pPr>
              <w:pStyle w:val="nTable"/>
              <w:spacing w:after="40"/>
            </w:pPr>
            <w:r>
              <w:t>27 May 1982</w:t>
            </w:r>
          </w:p>
        </w:tc>
        <w:tc>
          <w:tcPr>
            <w:tcW w:w="2551" w:type="dxa"/>
          </w:tcPr>
          <w:p>
            <w:pPr>
              <w:pStyle w:val="nTable"/>
              <w:spacing w:after="40"/>
            </w:pPr>
            <w:r>
              <w:t>1 Jul 1982 (see s. 2)</w:t>
            </w:r>
          </w:p>
        </w:tc>
      </w:tr>
      <w:tr>
        <w:trPr>
          <w:cantSplit/>
        </w:trPr>
        <w:tc>
          <w:tcPr>
            <w:tcW w:w="4537" w:type="dxa"/>
            <w:gridSpan w:val="3"/>
          </w:tcPr>
          <w:p>
            <w:pPr>
              <w:pStyle w:val="nTable"/>
              <w:spacing w:after="40"/>
            </w:pPr>
            <w:r>
              <w:rPr>
                <w:i/>
              </w:rPr>
              <w:t xml:space="preserve">Road Traffic (Fees for Vehicle Licences) Regulations 1982 </w:t>
            </w:r>
            <w:r>
              <w:t xml:space="preserve">published in </w:t>
            </w:r>
            <w:r>
              <w:rPr>
                <w:i/>
              </w:rPr>
              <w:t>Gazette</w:t>
            </w:r>
            <w:r>
              <w:t xml:space="preserve"> 28 May 1982 p. 1728</w:t>
            </w:r>
            <w:r>
              <w:noBreakHyphen/>
              <w:t>34</w:t>
            </w:r>
          </w:p>
        </w:tc>
        <w:tc>
          <w:tcPr>
            <w:tcW w:w="2551" w:type="dxa"/>
          </w:tcPr>
          <w:p>
            <w:pPr>
              <w:pStyle w:val="nTable"/>
              <w:spacing w:after="40"/>
            </w:pPr>
            <w:r>
              <w:t>28 May 1982</w:t>
            </w:r>
          </w:p>
        </w:tc>
      </w:tr>
      <w:tr>
        <w:trPr>
          <w:cantSplit/>
        </w:trPr>
        <w:tc>
          <w:tcPr>
            <w:tcW w:w="2267" w:type="dxa"/>
          </w:tcPr>
          <w:p>
            <w:pPr>
              <w:pStyle w:val="nTable"/>
              <w:spacing w:after="40"/>
            </w:pPr>
            <w:r>
              <w:rPr>
                <w:i/>
              </w:rPr>
              <w:t>Road Traffic Amendment Act 1982</w:t>
            </w:r>
          </w:p>
        </w:tc>
        <w:tc>
          <w:tcPr>
            <w:tcW w:w="1134" w:type="dxa"/>
          </w:tcPr>
          <w:p>
            <w:pPr>
              <w:pStyle w:val="nTable"/>
              <w:spacing w:after="40"/>
            </w:pPr>
            <w:r>
              <w:t>60 of 1982</w:t>
            </w:r>
          </w:p>
        </w:tc>
        <w:tc>
          <w:tcPr>
            <w:tcW w:w="1136" w:type="dxa"/>
          </w:tcPr>
          <w:p>
            <w:pPr>
              <w:pStyle w:val="nTable"/>
              <w:spacing w:after="40"/>
            </w:pPr>
            <w:r>
              <w:t>24 Sep 1982</w:t>
            </w:r>
          </w:p>
        </w:tc>
        <w:tc>
          <w:tcPr>
            <w:tcW w:w="2551" w:type="dxa"/>
          </w:tcPr>
          <w:p>
            <w:pPr>
              <w:pStyle w:val="nTable"/>
              <w:spacing w:after="40"/>
            </w:pPr>
            <w:r>
              <w:t xml:space="preserve">Act other than s. 3 and 6(a): 1 Oct 1982 (see s. 2 and </w:t>
            </w:r>
            <w:r>
              <w:rPr>
                <w:i/>
              </w:rPr>
              <w:t>Gazette</w:t>
            </w:r>
            <w:r>
              <w:t xml:space="preserve"> 1 Oct 1982 p. 3885); </w:t>
            </w:r>
            <w:r>
              <w:br/>
              <w:t xml:space="preserve">s. 3 and 6(a): 1 Nov 1982 (see s. 2 and </w:t>
            </w:r>
            <w:r>
              <w:rPr>
                <w:i/>
              </w:rPr>
              <w:t>Gazette</w:t>
            </w:r>
            <w:r>
              <w:t xml:space="preserve"> 1 Oct 1982 p. 3885)</w:t>
            </w:r>
          </w:p>
        </w:tc>
      </w:tr>
      <w:tr>
        <w:trPr>
          <w:cantSplit/>
        </w:trPr>
        <w:tc>
          <w:tcPr>
            <w:tcW w:w="2267" w:type="dxa"/>
          </w:tcPr>
          <w:p>
            <w:pPr>
              <w:pStyle w:val="nTable"/>
              <w:spacing w:after="40"/>
              <w:rPr>
                <w:vertAlign w:val="superscript"/>
              </w:rPr>
            </w:pPr>
            <w:r>
              <w:rPr>
                <w:i/>
              </w:rPr>
              <w:t>Road Traffic Amendment Act (No. 2) 1982</w:t>
            </w:r>
            <w:r>
              <w:t> </w:t>
            </w:r>
            <w:r>
              <w:rPr>
                <w:vertAlign w:val="superscript"/>
              </w:rPr>
              <w:t>5</w:t>
            </w:r>
          </w:p>
        </w:tc>
        <w:tc>
          <w:tcPr>
            <w:tcW w:w="1134" w:type="dxa"/>
          </w:tcPr>
          <w:p>
            <w:pPr>
              <w:pStyle w:val="nTable"/>
              <w:spacing w:after="40"/>
            </w:pPr>
            <w:r>
              <w:t>82 of 1982</w:t>
            </w:r>
          </w:p>
        </w:tc>
        <w:tc>
          <w:tcPr>
            <w:tcW w:w="1136" w:type="dxa"/>
          </w:tcPr>
          <w:p>
            <w:pPr>
              <w:pStyle w:val="nTable"/>
              <w:spacing w:after="40"/>
            </w:pPr>
            <w:r>
              <w:t>11 Nov 1982</w:t>
            </w:r>
          </w:p>
        </w:tc>
        <w:tc>
          <w:tcPr>
            <w:tcW w:w="2551" w:type="dxa"/>
          </w:tcPr>
          <w:p>
            <w:pPr>
              <w:pStyle w:val="nTable"/>
              <w:spacing w:after="40"/>
            </w:pPr>
            <w:r>
              <w:rPr>
                <w:spacing w:val="-2"/>
              </w:rPr>
              <w:t>Act other than s. 5, 7, 9, 11</w:t>
            </w:r>
            <w:r>
              <w:rPr>
                <w:spacing w:val="-2"/>
              </w:rPr>
              <w:noBreakHyphen/>
              <w:t>14, 15(d), (e), (g), (j), (l) and (n), 16, 17, 18(a)(ii), (b), (d) and (e), 19, 20(a)</w:t>
            </w:r>
            <w:r>
              <w:rPr>
                <w:spacing w:val="-2"/>
              </w:rPr>
              <w:noBreakHyphen/>
              <w:t>(c) and (e), 21(1), 25 and 26: 11 Nov 1982 (see s. 2(1));</w:t>
            </w:r>
            <w:r>
              <w:rPr>
                <w:spacing w:val="-2"/>
              </w:rPr>
              <w:br/>
              <w:t>s. 5, 7, 9, 11</w:t>
            </w:r>
            <w:r>
              <w:rPr>
                <w:spacing w:val="-2"/>
              </w:rPr>
              <w:noBreakHyphen/>
              <w:t>13, 14(b), 15(d), 16, 20(a)</w:t>
            </w:r>
            <w:r>
              <w:rPr>
                <w:spacing w:val="-2"/>
              </w:rPr>
              <w:noBreakHyphen/>
              <w:t>(c) and (e), 21(1), 25 and 26: 9 Dec 1982 (see s. 2(2));</w:t>
            </w:r>
            <w:r>
              <w:rPr>
                <w:spacing w:val="-2"/>
              </w:rPr>
              <w:br/>
              <w:t>s. 14(a), 15(e), (g), (j), (l), and (n), 17, 18(a)(ii), (b), (d) and (e) and 19: 1 Mar 1983 (see s. 2(3) and </w:t>
            </w:r>
            <w:r>
              <w:rPr>
                <w:i/>
                <w:spacing w:val="-2"/>
              </w:rPr>
              <w:t>Gazette</w:t>
            </w:r>
            <w:r>
              <w:rPr>
                <w:spacing w:val="-2"/>
              </w:rPr>
              <w:t xml:space="preserve"> 25 Feb 1983 p. 638)</w:t>
            </w:r>
          </w:p>
        </w:tc>
      </w:tr>
      <w:tr>
        <w:trPr>
          <w:cantSplit/>
        </w:trPr>
        <w:tc>
          <w:tcPr>
            <w:tcW w:w="4537" w:type="dxa"/>
            <w:gridSpan w:val="3"/>
          </w:tcPr>
          <w:p>
            <w:pPr>
              <w:pStyle w:val="nTable"/>
              <w:spacing w:after="40"/>
            </w:pPr>
            <w:r>
              <w:rPr>
                <w:i/>
              </w:rPr>
              <w:t xml:space="preserve">Road Traffic (Fees for Vehicle Licences) Regulations 1983 </w:t>
            </w:r>
            <w:r>
              <w:t xml:space="preserve">published in </w:t>
            </w:r>
            <w:r>
              <w:rPr>
                <w:i/>
              </w:rPr>
              <w:t>Gazette</w:t>
            </w:r>
            <w:r>
              <w:t xml:space="preserve"> 20 May 1983 p. 1525</w:t>
            </w:r>
            <w:r>
              <w:noBreakHyphen/>
              <w:t>32</w:t>
            </w:r>
          </w:p>
        </w:tc>
        <w:tc>
          <w:tcPr>
            <w:tcW w:w="2551" w:type="dxa"/>
          </w:tcPr>
          <w:p>
            <w:pPr>
              <w:pStyle w:val="nTable"/>
              <w:spacing w:after="40"/>
            </w:pPr>
            <w:r>
              <w:t>20 May 1983</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approved 9 Jul 1983</w:t>
            </w:r>
            <w:r>
              <w:t xml:space="preserve"> (includes amendments listed above)</w:t>
            </w:r>
          </w:p>
        </w:tc>
      </w:tr>
      <w:tr>
        <w:trPr>
          <w:cantSplit/>
        </w:trPr>
        <w:tc>
          <w:tcPr>
            <w:tcW w:w="4537" w:type="dxa"/>
            <w:gridSpan w:val="3"/>
          </w:tcPr>
          <w:p>
            <w:pPr>
              <w:pStyle w:val="nTable"/>
              <w:spacing w:after="40"/>
            </w:pPr>
            <w:r>
              <w:rPr>
                <w:i/>
              </w:rPr>
              <w:t>Road Traffic (Fees for Vehicle Licences) Regulations 1984</w:t>
            </w:r>
            <w:r>
              <w:t xml:space="preserve"> published in </w:t>
            </w:r>
            <w:r>
              <w:rPr>
                <w:i/>
              </w:rPr>
              <w:t>Gazette</w:t>
            </w:r>
            <w:r>
              <w:t xml:space="preserve"> 28 Jun 1984 p. 1741</w:t>
            </w:r>
            <w:r>
              <w:noBreakHyphen/>
              <w:t>51</w:t>
            </w:r>
          </w:p>
        </w:tc>
        <w:tc>
          <w:tcPr>
            <w:tcW w:w="2551" w:type="dxa"/>
          </w:tcPr>
          <w:p>
            <w:pPr>
              <w:pStyle w:val="nTable"/>
              <w:spacing w:after="40"/>
            </w:pPr>
            <w:r>
              <w:t>28 Jun 1984</w:t>
            </w:r>
          </w:p>
        </w:tc>
      </w:tr>
      <w:tr>
        <w:trPr>
          <w:cantSplit/>
        </w:trPr>
        <w:tc>
          <w:tcPr>
            <w:tcW w:w="2267" w:type="dxa"/>
          </w:tcPr>
          <w:p>
            <w:pPr>
              <w:pStyle w:val="nTable"/>
              <w:spacing w:after="40"/>
            </w:pPr>
            <w:r>
              <w:rPr>
                <w:i/>
              </w:rPr>
              <w:t>Road Traffic Amendment Act 1984</w:t>
            </w:r>
          </w:p>
        </w:tc>
        <w:tc>
          <w:tcPr>
            <w:tcW w:w="1134" w:type="dxa"/>
          </w:tcPr>
          <w:p>
            <w:pPr>
              <w:pStyle w:val="nTable"/>
              <w:spacing w:after="40"/>
            </w:pPr>
            <w:r>
              <w:t>95 of 1984</w:t>
            </w:r>
          </w:p>
        </w:tc>
        <w:tc>
          <w:tcPr>
            <w:tcW w:w="1136" w:type="dxa"/>
          </w:tcPr>
          <w:p>
            <w:pPr>
              <w:pStyle w:val="nTable"/>
              <w:spacing w:after="40"/>
            </w:pPr>
            <w:r>
              <w:t>7 Dec 1984</w:t>
            </w:r>
          </w:p>
        </w:tc>
        <w:tc>
          <w:tcPr>
            <w:tcW w:w="2551" w:type="dxa"/>
          </w:tcPr>
          <w:p>
            <w:pPr>
              <w:pStyle w:val="nTable"/>
              <w:spacing w:after="40"/>
            </w:pPr>
            <w:r>
              <w:t>4 Jan 1985</w:t>
            </w:r>
          </w:p>
        </w:tc>
      </w:tr>
      <w:tr>
        <w:trPr>
          <w:cantSplit/>
        </w:trPr>
        <w:tc>
          <w:tcPr>
            <w:tcW w:w="2267" w:type="dxa"/>
          </w:tcPr>
          <w:p>
            <w:pPr>
              <w:pStyle w:val="nTable"/>
              <w:spacing w:after="40"/>
            </w:pPr>
            <w:r>
              <w:rPr>
                <w:i/>
              </w:rPr>
              <w:t xml:space="preserve">Acts Amendment and Repeal (Credit) Act 1984 </w:t>
            </w:r>
            <w:r>
              <w:t>Pt. VII</w:t>
            </w:r>
          </w:p>
        </w:tc>
        <w:tc>
          <w:tcPr>
            <w:tcW w:w="1134" w:type="dxa"/>
          </w:tcPr>
          <w:p>
            <w:pPr>
              <w:pStyle w:val="nTable"/>
              <w:spacing w:after="40"/>
            </w:pPr>
            <w:r>
              <w:t>102 of 1984</w:t>
            </w:r>
          </w:p>
        </w:tc>
        <w:tc>
          <w:tcPr>
            <w:tcW w:w="1136" w:type="dxa"/>
          </w:tcPr>
          <w:p>
            <w:pPr>
              <w:pStyle w:val="nTable"/>
              <w:spacing w:after="40"/>
            </w:pPr>
            <w:r>
              <w:t>19 Dec 1984</w:t>
            </w:r>
          </w:p>
        </w:tc>
        <w:tc>
          <w:tcPr>
            <w:tcW w:w="2551" w:type="dxa"/>
          </w:tcPr>
          <w:p>
            <w:pPr>
              <w:pStyle w:val="nTable"/>
              <w:spacing w:after="40"/>
            </w:pPr>
            <w:r>
              <w:t xml:space="preserve">31 Mar 1985 (see s. 2 and </w:t>
            </w:r>
            <w:r>
              <w:rPr>
                <w:i/>
              </w:rPr>
              <w:t>Gazette</w:t>
            </w:r>
            <w:r>
              <w:t xml:space="preserve"> 8 Mar 1985 p. 867)</w:t>
            </w:r>
          </w:p>
        </w:tc>
      </w:tr>
      <w:tr>
        <w:trPr>
          <w:cantSplit/>
        </w:trPr>
        <w:tc>
          <w:tcPr>
            <w:tcW w:w="2267" w:type="dxa"/>
          </w:tcPr>
          <w:p>
            <w:pPr>
              <w:pStyle w:val="nTable"/>
              <w:spacing w:after="40"/>
            </w:pPr>
            <w:r>
              <w:rPr>
                <w:i/>
              </w:rPr>
              <w:t>Acts Amendment and Repeal (Transport Co</w:t>
            </w:r>
            <w:r>
              <w:rPr>
                <w:i/>
              </w:rPr>
              <w:noBreakHyphen/>
              <w:t xml:space="preserve">ordination) Act 1985 </w:t>
            </w:r>
            <w:r>
              <w:t>Pt. VI</w:t>
            </w:r>
          </w:p>
        </w:tc>
        <w:tc>
          <w:tcPr>
            <w:tcW w:w="1134" w:type="dxa"/>
          </w:tcPr>
          <w:p>
            <w:pPr>
              <w:pStyle w:val="nTable"/>
              <w:spacing w:after="40"/>
            </w:pPr>
            <w:r>
              <w:t>54 of 1985</w:t>
            </w:r>
          </w:p>
        </w:tc>
        <w:tc>
          <w:tcPr>
            <w:tcW w:w="1136" w:type="dxa"/>
          </w:tcPr>
          <w:p>
            <w:pPr>
              <w:pStyle w:val="nTable"/>
              <w:spacing w:after="40"/>
            </w:pPr>
            <w:r>
              <w:t>28 Oct 1985</w:t>
            </w:r>
          </w:p>
        </w:tc>
        <w:tc>
          <w:tcPr>
            <w:tcW w:w="2551" w:type="dxa"/>
          </w:tcPr>
          <w:p>
            <w:pPr>
              <w:pStyle w:val="nTable"/>
              <w:spacing w:after="40"/>
            </w:pPr>
            <w:r>
              <w:t>1 Jan 1986 (see s. 2 and </w:t>
            </w:r>
            <w:r>
              <w:rPr>
                <w:i/>
              </w:rPr>
              <w:t>Gazette</w:t>
            </w:r>
            <w:r>
              <w:t xml:space="preserve"> 20 Dec 1985 p. 4822)</w:t>
            </w:r>
          </w:p>
        </w:tc>
      </w:tr>
      <w:tr>
        <w:trPr>
          <w:cantSplit/>
        </w:trPr>
        <w:tc>
          <w:tcPr>
            <w:tcW w:w="2267" w:type="dxa"/>
          </w:tcPr>
          <w:p>
            <w:pPr>
              <w:pStyle w:val="nTable"/>
              <w:spacing w:after="40"/>
            </w:pPr>
            <w:r>
              <w:rPr>
                <w:i/>
              </w:rPr>
              <w:t>Road Traffic Amendment Act 1985</w:t>
            </w:r>
          </w:p>
        </w:tc>
        <w:tc>
          <w:tcPr>
            <w:tcW w:w="1134" w:type="dxa"/>
          </w:tcPr>
          <w:p>
            <w:pPr>
              <w:pStyle w:val="nTable"/>
              <w:keepNext/>
              <w:spacing w:after="40"/>
            </w:pPr>
            <w:r>
              <w:t>89 of 1985</w:t>
            </w:r>
          </w:p>
        </w:tc>
        <w:tc>
          <w:tcPr>
            <w:tcW w:w="1136" w:type="dxa"/>
          </w:tcPr>
          <w:p>
            <w:pPr>
              <w:pStyle w:val="nTable"/>
              <w:keepNext/>
              <w:spacing w:after="40"/>
            </w:pPr>
            <w:r>
              <w:t>4 Dec 1985</w:t>
            </w:r>
          </w:p>
        </w:tc>
        <w:tc>
          <w:tcPr>
            <w:tcW w:w="2551" w:type="dxa"/>
          </w:tcPr>
          <w:p>
            <w:pPr>
              <w:pStyle w:val="nTable"/>
              <w:spacing w:after="40"/>
            </w:pPr>
            <w:r>
              <w:t>4 Dec 1985 (see s. 2)</w:t>
            </w:r>
          </w:p>
        </w:tc>
      </w:tr>
      <w:tr>
        <w:trPr>
          <w:cantSplit/>
        </w:trPr>
        <w:tc>
          <w:tcPr>
            <w:tcW w:w="4537" w:type="dxa"/>
            <w:gridSpan w:val="3"/>
          </w:tcPr>
          <w:p>
            <w:pPr>
              <w:pStyle w:val="nTable"/>
              <w:spacing w:after="40"/>
            </w:pPr>
            <w:r>
              <w:rPr>
                <w:i/>
              </w:rPr>
              <w:t>Road Traffic (Fees for Vehicle Licences) Regulations 1986</w:t>
            </w:r>
            <w:r>
              <w:t xml:space="preserve"> published in </w:t>
            </w:r>
            <w:r>
              <w:rPr>
                <w:i/>
              </w:rPr>
              <w:t>Gazette</w:t>
            </w:r>
            <w:r>
              <w:t xml:space="preserve"> 30 May 1986 p. 1769</w:t>
            </w:r>
            <w:r>
              <w:noBreakHyphen/>
              <w:t>75</w:t>
            </w:r>
            <w:r>
              <w:rPr>
                <w:i/>
              </w:rPr>
              <w:t xml:space="preserve"> </w:t>
            </w:r>
            <w:r>
              <w:t>(erratum 13 Jun 1986 p. 1979)</w:t>
            </w:r>
          </w:p>
        </w:tc>
        <w:tc>
          <w:tcPr>
            <w:tcW w:w="2551" w:type="dxa"/>
          </w:tcPr>
          <w:p>
            <w:pPr>
              <w:pStyle w:val="nTable"/>
              <w:spacing w:after="40"/>
            </w:pPr>
            <w:r>
              <w:t>30 May 1986</w:t>
            </w:r>
          </w:p>
        </w:tc>
      </w:tr>
      <w:tr>
        <w:trPr>
          <w:cantSplit/>
        </w:trPr>
        <w:tc>
          <w:tcPr>
            <w:tcW w:w="2267" w:type="dxa"/>
          </w:tcPr>
          <w:p>
            <w:pPr>
              <w:pStyle w:val="nTable"/>
              <w:spacing w:after="40"/>
            </w:pPr>
            <w:r>
              <w:rPr>
                <w:i/>
              </w:rPr>
              <w:t>Road Traffic Amendment Act (No. 2) 1986</w:t>
            </w:r>
          </w:p>
        </w:tc>
        <w:tc>
          <w:tcPr>
            <w:tcW w:w="1134" w:type="dxa"/>
          </w:tcPr>
          <w:p>
            <w:pPr>
              <w:pStyle w:val="nTable"/>
              <w:keepNext/>
              <w:spacing w:after="40"/>
            </w:pPr>
            <w:r>
              <w:t>78 of 1986</w:t>
            </w:r>
          </w:p>
        </w:tc>
        <w:tc>
          <w:tcPr>
            <w:tcW w:w="1136" w:type="dxa"/>
          </w:tcPr>
          <w:p>
            <w:pPr>
              <w:pStyle w:val="nTable"/>
              <w:keepNext/>
              <w:spacing w:after="40"/>
            </w:pPr>
            <w:r>
              <w:t>4 Dec 1986</w:t>
            </w:r>
          </w:p>
        </w:tc>
        <w:tc>
          <w:tcPr>
            <w:tcW w:w="2551" w:type="dxa"/>
          </w:tcPr>
          <w:p>
            <w:pPr>
              <w:pStyle w:val="nTable"/>
              <w:spacing w:after="40"/>
            </w:pPr>
            <w:r>
              <w:t>4 Dec 1986 (see s. 2)</w:t>
            </w:r>
          </w:p>
        </w:tc>
      </w:tr>
      <w:tr>
        <w:trPr>
          <w:cantSplit/>
        </w:trPr>
        <w:tc>
          <w:tcPr>
            <w:tcW w:w="4537" w:type="dxa"/>
            <w:gridSpan w:val="3"/>
          </w:tcPr>
          <w:p>
            <w:pPr>
              <w:pStyle w:val="nTable"/>
              <w:spacing w:after="40"/>
            </w:pPr>
            <w:r>
              <w:rPr>
                <w:i/>
              </w:rPr>
              <w:t>Road Traffic (Fees for Vehicle Licences) Regulations 1987</w:t>
            </w:r>
            <w:r>
              <w:t xml:space="preserve"> published in </w:t>
            </w:r>
            <w:r>
              <w:rPr>
                <w:i/>
              </w:rPr>
              <w:t>Gazette</w:t>
            </w:r>
            <w:r>
              <w:t xml:space="preserve"> 29 May 1987 p. 2263</w:t>
            </w:r>
            <w:r>
              <w:noBreakHyphen/>
              <w:t>73</w:t>
            </w:r>
          </w:p>
        </w:tc>
        <w:tc>
          <w:tcPr>
            <w:tcW w:w="2551" w:type="dxa"/>
          </w:tcPr>
          <w:p>
            <w:pPr>
              <w:pStyle w:val="nTable"/>
              <w:spacing w:after="40"/>
            </w:pPr>
            <w:r>
              <w:t>29 May 1987</w:t>
            </w:r>
          </w:p>
        </w:tc>
      </w:tr>
      <w:tr>
        <w:trPr>
          <w:cantSplit/>
        </w:trPr>
        <w:tc>
          <w:tcPr>
            <w:tcW w:w="2267" w:type="dxa"/>
          </w:tcPr>
          <w:p>
            <w:pPr>
              <w:pStyle w:val="nTable"/>
              <w:spacing w:after="40"/>
            </w:pPr>
            <w:r>
              <w:rPr>
                <w:i/>
              </w:rPr>
              <w:t>Road Traffic Amendment Act (No. 2) 1987</w:t>
            </w:r>
            <w:r>
              <w:rPr>
                <w:vertAlign w:val="superscript"/>
              </w:rPr>
              <w:t> 6, 7</w:t>
            </w:r>
          </w:p>
        </w:tc>
        <w:tc>
          <w:tcPr>
            <w:tcW w:w="1134" w:type="dxa"/>
          </w:tcPr>
          <w:p>
            <w:pPr>
              <w:pStyle w:val="nTable"/>
              <w:spacing w:after="40"/>
            </w:pPr>
            <w:r>
              <w:t>121 of 1987 (as amended by No. 84 of 2004 s. 80 cl. 123 and No. 8 of 2009 s. 112)</w:t>
            </w:r>
          </w:p>
        </w:tc>
        <w:tc>
          <w:tcPr>
            <w:tcW w:w="1136" w:type="dxa"/>
          </w:tcPr>
          <w:p>
            <w:pPr>
              <w:pStyle w:val="nTable"/>
              <w:spacing w:after="40"/>
            </w:pPr>
            <w:r>
              <w:t>24 Dec 1987</w:t>
            </w:r>
          </w:p>
        </w:tc>
        <w:tc>
          <w:tcPr>
            <w:tcW w:w="2551" w:type="dxa"/>
          </w:tcPr>
          <w:p>
            <w:pPr>
              <w:pStyle w:val="nTable"/>
              <w:spacing w:after="40"/>
            </w:pPr>
            <w:r>
              <w:t>s. 1 and 2: 24 Dec 1987;</w:t>
            </w:r>
            <w:r>
              <w:br/>
              <w:t>s. 3</w:t>
            </w:r>
            <w:r>
              <w:noBreakHyphen/>
              <w:t>6 and 8</w:t>
            </w:r>
            <w:r>
              <w:noBreakHyphen/>
              <w:t xml:space="preserve">10: 24 Dec 1987 (see s. 2 and </w:t>
            </w:r>
            <w:r>
              <w:rPr>
                <w:i/>
              </w:rPr>
              <w:t>Gazette</w:t>
            </w:r>
            <w:r>
              <w:t xml:space="preserve"> 24 Dec 1987 p. 4561);</w:t>
            </w:r>
            <w:r>
              <w:br/>
              <w:t xml:space="preserve">s. 7: 1 Oct 1988 (see s. 2 and </w:t>
            </w:r>
            <w:r>
              <w:rPr>
                <w:i/>
              </w:rPr>
              <w:t>Gazette</w:t>
            </w:r>
            <w:r>
              <w:t xml:space="preserve"> 30 Sep 1988 p. 3967); </w:t>
            </w:r>
            <w:r>
              <w:br/>
              <w:t>s. 11(a): 21 Dec 1990 (see s. 2 and </w:t>
            </w:r>
            <w:r>
              <w:rPr>
                <w:i/>
              </w:rPr>
              <w:t xml:space="preserve">Gazette </w:t>
            </w:r>
            <w:r>
              <w:t xml:space="preserve">21 Dec 1990 p. 6212) </w:t>
            </w:r>
          </w:p>
        </w:tc>
      </w:tr>
      <w:tr>
        <w:tc>
          <w:tcPr>
            <w:tcW w:w="2267" w:type="dxa"/>
          </w:tcPr>
          <w:p>
            <w:pPr>
              <w:pStyle w:val="nTable"/>
              <w:spacing w:after="40"/>
            </w:pPr>
            <w:r>
              <w:rPr>
                <w:i/>
              </w:rPr>
              <w:t>Road Traffic Amendment Act 1988</w:t>
            </w:r>
            <w:r>
              <w:rPr>
                <w:vertAlign w:val="superscript"/>
              </w:rPr>
              <w:t> 8</w:t>
            </w:r>
          </w:p>
        </w:tc>
        <w:tc>
          <w:tcPr>
            <w:tcW w:w="1134" w:type="dxa"/>
          </w:tcPr>
          <w:p>
            <w:pPr>
              <w:pStyle w:val="nTable"/>
              <w:spacing w:after="40"/>
            </w:pPr>
            <w:r>
              <w:t>11 of 1988</w:t>
            </w:r>
          </w:p>
        </w:tc>
        <w:tc>
          <w:tcPr>
            <w:tcW w:w="1136" w:type="dxa"/>
          </w:tcPr>
          <w:p>
            <w:pPr>
              <w:pStyle w:val="nTable"/>
              <w:spacing w:after="40"/>
            </w:pPr>
            <w:r>
              <w:t>6 Sep 1988</w:t>
            </w:r>
          </w:p>
        </w:tc>
        <w:tc>
          <w:tcPr>
            <w:tcW w:w="2551" w:type="dxa"/>
          </w:tcPr>
          <w:p>
            <w:pPr>
              <w:pStyle w:val="nTable"/>
              <w:spacing w:after="40"/>
            </w:pPr>
            <w:r>
              <w:t>s. 1 and 2: 6 Sep 1988;</w:t>
            </w:r>
            <w:r>
              <w:br/>
              <w:t xml:space="preserve">s. 3, 20, 21 and 23: 28 Oct 1988 (see s. 2 and </w:t>
            </w:r>
            <w:r>
              <w:rPr>
                <w:i/>
              </w:rPr>
              <w:t>Gazette</w:t>
            </w:r>
            <w:r>
              <w:t xml:space="preserve"> 28 Oct 1988 p. 4274);</w:t>
            </w:r>
            <w:r>
              <w:br/>
              <w:t xml:space="preserve">s. 8(a) and (b): 4 Nov 1988 (see s. 2 and </w:t>
            </w:r>
            <w:r>
              <w:rPr>
                <w:i/>
              </w:rPr>
              <w:t>Gazette</w:t>
            </w:r>
            <w:r>
              <w:t xml:space="preserve"> 4 Nov 1988 p. 4365); </w:t>
            </w:r>
            <w:r>
              <w:br/>
              <w:t>s. 4</w:t>
            </w:r>
            <w:r>
              <w:noBreakHyphen/>
              <w:t>7, 9</w:t>
            </w:r>
            <w:r>
              <w:noBreakHyphen/>
              <w:t xml:space="preserve">17, 19, 22 and 24: 16 Nov 1988 (see s. 2 and </w:t>
            </w:r>
            <w:r>
              <w:rPr>
                <w:i/>
              </w:rPr>
              <w:t>Gazette</w:t>
            </w:r>
            <w:r>
              <w:t xml:space="preserve"> 16 Nov 1988 p. 4517); s. 8(c) and 18 (other than paragraph (b)): 21 Jul 1989 (see s. 2 and </w:t>
            </w:r>
            <w:r>
              <w:rPr>
                <w:i/>
              </w:rPr>
              <w:t>Gazette</w:t>
            </w:r>
            <w:r>
              <w:t xml:space="preserve"> 21 Jul 1989 p. 2212); </w:t>
            </w:r>
            <w:r>
              <w:br/>
              <w:t xml:space="preserve">s. 18(b): 19 Sep 1989 (see s. 2 and </w:t>
            </w:r>
            <w:r>
              <w:rPr>
                <w:i/>
              </w:rPr>
              <w:t>Gazette</w:t>
            </w:r>
            <w:r>
              <w:t xml:space="preserve"> 21 Jul 1989 p. 2212)</w:t>
            </w:r>
          </w:p>
        </w:tc>
      </w:tr>
      <w:tr>
        <w:trPr>
          <w:cantSplit/>
        </w:trPr>
        <w:tc>
          <w:tcPr>
            <w:tcW w:w="2267" w:type="dxa"/>
          </w:tcPr>
          <w:p>
            <w:pPr>
              <w:pStyle w:val="nTable"/>
              <w:spacing w:after="40"/>
              <w:rPr>
                <w:vertAlign w:val="superscript"/>
              </w:rPr>
            </w:pPr>
            <w:r>
              <w:rPr>
                <w:i/>
              </w:rPr>
              <w:t>Road Traffic Amendment (Random Breath Tests) Act 1988</w:t>
            </w:r>
            <w:r>
              <w:t> </w:t>
            </w:r>
            <w:r>
              <w:rPr>
                <w:vertAlign w:val="superscript"/>
              </w:rPr>
              <w:t>9</w:t>
            </w:r>
          </w:p>
        </w:tc>
        <w:tc>
          <w:tcPr>
            <w:tcW w:w="1134" w:type="dxa"/>
          </w:tcPr>
          <w:p>
            <w:pPr>
              <w:pStyle w:val="nTable"/>
              <w:spacing w:after="40"/>
            </w:pPr>
            <w:r>
              <w:t>16 of 1988</w:t>
            </w:r>
            <w:r>
              <w:br/>
              <w:t>(as amended by No. 46 of 1989 s. 4; No. 76 of 1996 s. 41 and No. 39 of 2000 s. 67)</w:t>
            </w:r>
          </w:p>
        </w:tc>
        <w:tc>
          <w:tcPr>
            <w:tcW w:w="1136" w:type="dxa"/>
          </w:tcPr>
          <w:p>
            <w:pPr>
              <w:pStyle w:val="nTable"/>
              <w:spacing w:after="40"/>
            </w:pPr>
            <w:r>
              <w:t>9 Sep 1988</w:t>
            </w:r>
          </w:p>
        </w:tc>
        <w:tc>
          <w:tcPr>
            <w:tcW w:w="2551" w:type="dxa"/>
          </w:tcPr>
          <w:p>
            <w:pPr>
              <w:pStyle w:val="nTable"/>
              <w:spacing w:after="40"/>
            </w:pPr>
            <w:r>
              <w:t>s. 1 and 2: 9 Sep 1988;</w:t>
            </w:r>
            <w:r>
              <w:br/>
              <w:t xml:space="preserve">Act other than s. 1, 2 and 5: 1 Oct 1988 (see s. 2 and </w:t>
            </w:r>
            <w:r>
              <w:rPr>
                <w:i/>
              </w:rPr>
              <w:t>Gazette</w:t>
            </w:r>
            <w:r>
              <w:t xml:space="preserve"> 30 Sep 1988 p. 3967)</w:t>
            </w:r>
          </w:p>
        </w:tc>
      </w:tr>
      <w:tr>
        <w:trPr>
          <w:cantSplit/>
        </w:trPr>
        <w:tc>
          <w:tcPr>
            <w:tcW w:w="2267" w:type="dxa"/>
          </w:tcPr>
          <w:p>
            <w:pPr>
              <w:pStyle w:val="nTable"/>
              <w:spacing w:after="40"/>
            </w:pPr>
            <w:r>
              <w:rPr>
                <w:i/>
              </w:rPr>
              <w:t>Road Traffic Amendment Act (No. 3) 1988</w:t>
            </w:r>
          </w:p>
        </w:tc>
        <w:tc>
          <w:tcPr>
            <w:tcW w:w="1134" w:type="dxa"/>
          </w:tcPr>
          <w:p>
            <w:pPr>
              <w:pStyle w:val="nTable"/>
              <w:spacing w:after="40"/>
            </w:pPr>
            <w:r>
              <w:t>32 of 1988</w:t>
            </w:r>
          </w:p>
        </w:tc>
        <w:tc>
          <w:tcPr>
            <w:tcW w:w="1136" w:type="dxa"/>
          </w:tcPr>
          <w:p>
            <w:pPr>
              <w:pStyle w:val="nTable"/>
              <w:spacing w:after="40"/>
            </w:pPr>
            <w:r>
              <w:t>24 Nov 1988</w:t>
            </w:r>
          </w:p>
        </w:tc>
        <w:tc>
          <w:tcPr>
            <w:tcW w:w="2551" w:type="dxa"/>
          </w:tcPr>
          <w:p>
            <w:pPr>
              <w:pStyle w:val="nTable"/>
              <w:spacing w:after="40"/>
            </w:pPr>
            <w:r>
              <w:t>s. 1 and 2: 24 Nov 1988;</w:t>
            </w:r>
            <w:r>
              <w:br/>
              <w:t xml:space="preserve">Act other than s. 1 and 2: 21 Jul 1989 (see s. 3 and </w:t>
            </w:r>
            <w:r>
              <w:rPr>
                <w:i/>
              </w:rPr>
              <w:t>Gazette</w:t>
            </w:r>
            <w:r>
              <w:t xml:space="preserve"> 21 Jul 1989 p. 2212)</w:t>
            </w:r>
          </w:p>
        </w:tc>
      </w:tr>
      <w:tr>
        <w:trPr>
          <w:cantSplit/>
        </w:trPr>
        <w:tc>
          <w:tcPr>
            <w:tcW w:w="2267" w:type="dxa"/>
          </w:tcPr>
          <w:p>
            <w:pPr>
              <w:pStyle w:val="nTable"/>
              <w:spacing w:after="40"/>
            </w:pPr>
            <w:r>
              <w:rPr>
                <w:i/>
              </w:rPr>
              <w:t>Road Traffic Amendment Act (No. 2) 1988</w:t>
            </w:r>
          </w:p>
        </w:tc>
        <w:tc>
          <w:tcPr>
            <w:tcW w:w="1134" w:type="dxa"/>
          </w:tcPr>
          <w:p>
            <w:pPr>
              <w:pStyle w:val="nTable"/>
              <w:spacing w:after="40"/>
            </w:pPr>
            <w:r>
              <w:t>57 of 1988</w:t>
            </w:r>
          </w:p>
        </w:tc>
        <w:tc>
          <w:tcPr>
            <w:tcW w:w="1136" w:type="dxa"/>
          </w:tcPr>
          <w:p>
            <w:pPr>
              <w:pStyle w:val="nTable"/>
              <w:spacing w:after="40"/>
            </w:pPr>
            <w:r>
              <w:t>8 Dec 1988</w:t>
            </w:r>
          </w:p>
        </w:tc>
        <w:tc>
          <w:tcPr>
            <w:tcW w:w="2551" w:type="dxa"/>
          </w:tcPr>
          <w:p>
            <w:pPr>
              <w:pStyle w:val="nTable"/>
              <w:spacing w:after="40"/>
            </w:pPr>
            <w:r>
              <w:t>s. 1 and 2: 8 Dec 1988;</w:t>
            </w:r>
            <w:r>
              <w:br/>
              <w:t xml:space="preserve">Act other than s. 1 and 2: 1 Feb 1989 (see s. 2 and </w:t>
            </w:r>
            <w:r>
              <w:rPr>
                <w:i/>
              </w:rPr>
              <w:t>Gazette</w:t>
            </w:r>
            <w:r>
              <w:t xml:space="preserve"> 23 Dec 1988 p. 4937)</w:t>
            </w:r>
          </w:p>
        </w:tc>
      </w:tr>
      <w:tr>
        <w:trPr>
          <w:cantSplit/>
        </w:trPr>
        <w:tc>
          <w:tcPr>
            <w:tcW w:w="2267" w:type="dxa"/>
          </w:tcPr>
          <w:p>
            <w:pPr>
              <w:pStyle w:val="nTable"/>
              <w:spacing w:after="40"/>
            </w:pPr>
            <w:r>
              <w:rPr>
                <w:i/>
              </w:rPr>
              <w:t>Acts Amendment (Events on Roads) Act 1988</w:t>
            </w:r>
            <w:r>
              <w:t xml:space="preserve"> Pt. 2</w:t>
            </w:r>
          </w:p>
        </w:tc>
        <w:tc>
          <w:tcPr>
            <w:tcW w:w="1134" w:type="dxa"/>
          </w:tcPr>
          <w:p>
            <w:pPr>
              <w:pStyle w:val="nTable"/>
              <w:spacing w:after="40"/>
            </w:pPr>
            <w:r>
              <w:t>64 of 1988</w:t>
            </w:r>
          </w:p>
        </w:tc>
        <w:tc>
          <w:tcPr>
            <w:tcW w:w="1136" w:type="dxa"/>
          </w:tcPr>
          <w:p>
            <w:pPr>
              <w:pStyle w:val="nTable"/>
              <w:spacing w:after="40"/>
            </w:pPr>
            <w:r>
              <w:t>8 Dec 1988</w:t>
            </w:r>
          </w:p>
        </w:tc>
        <w:tc>
          <w:tcPr>
            <w:tcW w:w="2551" w:type="dxa"/>
          </w:tcPr>
          <w:p>
            <w:pPr>
              <w:pStyle w:val="nTable"/>
              <w:spacing w:after="40"/>
            </w:pPr>
            <w:r>
              <w:t xml:space="preserve">1 Feb 1991 (see s. 2 and </w:t>
            </w:r>
            <w:r>
              <w:rPr>
                <w:i/>
              </w:rPr>
              <w:t>Gazette</w:t>
            </w:r>
            <w:r>
              <w:t xml:space="preserve"> 1 Feb 1991 p. 511)</w:t>
            </w:r>
          </w:p>
        </w:tc>
      </w:tr>
      <w:tr>
        <w:trPr>
          <w:cantSplit/>
        </w:trPr>
        <w:tc>
          <w:tcPr>
            <w:tcW w:w="2267" w:type="dxa"/>
          </w:tcPr>
          <w:p>
            <w:pPr>
              <w:pStyle w:val="nTable"/>
              <w:spacing w:after="40"/>
            </w:pPr>
            <w:r>
              <w:rPr>
                <w:i/>
              </w:rPr>
              <w:t xml:space="preserve">Acts Amendment (Children’s Court) Act 1988 </w:t>
            </w:r>
            <w:r>
              <w:t>Pt. 7</w:t>
            </w:r>
          </w:p>
        </w:tc>
        <w:tc>
          <w:tcPr>
            <w:tcW w:w="1134" w:type="dxa"/>
          </w:tcPr>
          <w:p>
            <w:pPr>
              <w:pStyle w:val="nTable"/>
              <w:spacing w:after="40"/>
            </w:pPr>
            <w:r>
              <w:t>49 of 1988</w:t>
            </w:r>
          </w:p>
        </w:tc>
        <w:tc>
          <w:tcPr>
            <w:tcW w:w="1136" w:type="dxa"/>
          </w:tcPr>
          <w:p>
            <w:pPr>
              <w:pStyle w:val="nTable"/>
              <w:spacing w:after="40"/>
            </w:pPr>
            <w:r>
              <w:t>22 Dec 1988</w:t>
            </w:r>
          </w:p>
        </w:tc>
        <w:tc>
          <w:tcPr>
            <w:tcW w:w="2551" w:type="dxa"/>
          </w:tcPr>
          <w:p>
            <w:pPr>
              <w:pStyle w:val="nTable"/>
              <w:spacing w:after="40"/>
            </w:pPr>
            <w:r>
              <w:t xml:space="preserve">1 Dec 1989 (see s. 2 and </w:t>
            </w:r>
            <w:r>
              <w:rPr>
                <w:i/>
              </w:rPr>
              <w:t>Gazette</w:t>
            </w:r>
            <w:r>
              <w:t xml:space="preserve"> 24 Nov 1989 p. 4327)</w:t>
            </w:r>
          </w:p>
        </w:tc>
      </w:tr>
      <w:tr>
        <w:trPr>
          <w:cantSplit/>
        </w:trPr>
        <w:tc>
          <w:tcPr>
            <w:tcW w:w="4537" w:type="dxa"/>
            <w:gridSpan w:val="3"/>
          </w:tcPr>
          <w:p>
            <w:pPr>
              <w:pStyle w:val="nTable"/>
              <w:spacing w:after="40"/>
            </w:pPr>
            <w:r>
              <w:rPr>
                <w:i/>
              </w:rPr>
              <w:t>Road Traffic (Fees for Vehicle Licences) Regulations 1989</w:t>
            </w:r>
            <w:r>
              <w:t xml:space="preserve"> published in </w:t>
            </w:r>
            <w:r>
              <w:rPr>
                <w:i/>
              </w:rPr>
              <w:t>Gazette</w:t>
            </w:r>
            <w:r>
              <w:t xml:space="preserve"> 11 Aug 1989 p. 2695</w:t>
            </w:r>
            <w:r>
              <w:noBreakHyphen/>
              <w:t>704</w:t>
            </w:r>
          </w:p>
        </w:tc>
        <w:tc>
          <w:tcPr>
            <w:tcW w:w="2551" w:type="dxa"/>
          </w:tcPr>
          <w:p>
            <w:pPr>
              <w:pStyle w:val="nTable"/>
              <w:spacing w:after="40"/>
            </w:pPr>
            <w:r>
              <w:t>11 Aug 1989</w:t>
            </w:r>
          </w:p>
        </w:tc>
      </w:tr>
      <w:tr>
        <w:trPr>
          <w:cantSplit/>
        </w:trPr>
        <w:tc>
          <w:tcPr>
            <w:tcW w:w="4537" w:type="dxa"/>
            <w:gridSpan w:val="3"/>
          </w:tcPr>
          <w:p>
            <w:pPr>
              <w:pStyle w:val="nTable"/>
              <w:spacing w:after="40"/>
            </w:pPr>
            <w:r>
              <w:rPr>
                <w:i/>
              </w:rPr>
              <w:t>Road Traffic (Fees for Vehicle Licences) Regulations (No. 2) 1989</w:t>
            </w:r>
            <w:r>
              <w:t xml:space="preserve"> published in </w:t>
            </w:r>
            <w:r>
              <w:rPr>
                <w:i/>
              </w:rPr>
              <w:t>Gazette</w:t>
            </w:r>
            <w:r>
              <w:t xml:space="preserve"> 22 Sep 1989 p. 3463</w:t>
            </w:r>
          </w:p>
        </w:tc>
        <w:tc>
          <w:tcPr>
            <w:tcW w:w="2551" w:type="dxa"/>
          </w:tcPr>
          <w:p>
            <w:pPr>
              <w:pStyle w:val="nTable"/>
              <w:spacing w:after="40"/>
            </w:pPr>
            <w:r>
              <w:t>22 Sep 1989</w:t>
            </w:r>
          </w:p>
        </w:tc>
      </w:tr>
      <w:tr>
        <w:trPr>
          <w:cantSplit/>
        </w:trPr>
        <w:tc>
          <w:tcPr>
            <w:tcW w:w="4537" w:type="dxa"/>
            <w:gridSpan w:val="3"/>
          </w:tcPr>
          <w:p>
            <w:pPr>
              <w:pStyle w:val="nTable"/>
              <w:spacing w:after="40"/>
            </w:pPr>
            <w:r>
              <w:rPr>
                <w:i/>
              </w:rPr>
              <w:t>Road Traffic (Fees for Vehicle Licences) Regulations (No. 3) 1989</w:t>
            </w:r>
            <w:r>
              <w:t xml:space="preserve"> published in </w:t>
            </w:r>
            <w:r>
              <w:rPr>
                <w:i/>
              </w:rPr>
              <w:t>Gazette</w:t>
            </w:r>
            <w:r>
              <w:t xml:space="preserve"> 17 Nov 1989 p. 4161</w:t>
            </w:r>
            <w:r>
              <w:noBreakHyphen/>
              <w:t>5 (erratum 8 Dec 1989 p. 4463)</w:t>
            </w:r>
          </w:p>
        </w:tc>
        <w:tc>
          <w:tcPr>
            <w:tcW w:w="2551" w:type="dxa"/>
          </w:tcPr>
          <w:p>
            <w:pPr>
              <w:pStyle w:val="nTable"/>
              <w:spacing w:after="40"/>
            </w:pPr>
            <w:r>
              <w:t>17 Nov 1989</w:t>
            </w:r>
          </w:p>
        </w:tc>
      </w:tr>
      <w:tr>
        <w:trPr>
          <w:cantSplit/>
        </w:trPr>
        <w:tc>
          <w:tcPr>
            <w:tcW w:w="2267" w:type="dxa"/>
          </w:tcPr>
          <w:p>
            <w:pPr>
              <w:pStyle w:val="nTable"/>
              <w:spacing w:after="40"/>
              <w:rPr>
                <w:vertAlign w:val="superscript"/>
              </w:rPr>
            </w:pPr>
            <w:r>
              <w:rPr>
                <w:i/>
              </w:rPr>
              <w:t>Acts Amendment (Chemistry Centre (WA)) Act 1990</w:t>
            </w:r>
            <w:r>
              <w:t xml:space="preserve"> Pt. 3 </w:t>
            </w:r>
            <w:r>
              <w:rPr>
                <w:vertAlign w:val="superscript"/>
              </w:rPr>
              <w:t>10</w:t>
            </w:r>
          </w:p>
        </w:tc>
        <w:tc>
          <w:tcPr>
            <w:tcW w:w="1134" w:type="dxa"/>
          </w:tcPr>
          <w:p>
            <w:pPr>
              <w:pStyle w:val="nTable"/>
              <w:spacing w:after="40"/>
            </w:pPr>
            <w:r>
              <w:t>19 of 1990</w:t>
            </w:r>
          </w:p>
        </w:tc>
        <w:tc>
          <w:tcPr>
            <w:tcW w:w="1136" w:type="dxa"/>
          </w:tcPr>
          <w:p>
            <w:pPr>
              <w:pStyle w:val="nTable"/>
              <w:spacing w:after="40"/>
            </w:pPr>
            <w:r>
              <w:t>24 Jul 1990</w:t>
            </w:r>
          </w:p>
        </w:tc>
        <w:tc>
          <w:tcPr>
            <w:tcW w:w="2551" w:type="dxa"/>
          </w:tcPr>
          <w:p>
            <w:pPr>
              <w:pStyle w:val="nTable"/>
              <w:spacing w:after="40"/>
            </w:pPr>
            <w:r>
              <w:t xml:space="preserve">9 Aug 1991 (see s. 2 and </w:t>
            </w:r>
            <w:r>
              <w:rPr>
                <w:i/>
              </w:rPr>
              <w:t>Gazette</w:t>
            </w:r>
            <w:r>
              <w:t xml:space="preserve"> 9 Aug 1991 p. 4101)</w:t>
            </w:r>
          </w:p>
        </w:tc>
      </w:tr>
      <w:tr>
        <w:trPr>
          <w:cantSplit/>
        </w:trPr>
        <w:tc>
          <w:tcPr>
            <w:tcW w:w="4537" w:type="dxa"/>
            <w:gridSpan w:val="3"/>
          </w:tcPr>
          <w:p>
            <w:pPr>
              <w:pStyle w:val="nTable"/>
              <w:spacing w:after="40"/>
            </w:pPr>
            <w:r>
              <w:rPr>
                <w:i/>
              </w:rPr>
              <w:t>Road Traffic (Fees for Vehicle Licences) Regulations 1990</w:t>
            </w:r>
            <w:r>
              <w:t xml:space="preserve"> published in </w:t>
            </w:r>
            <w:r>
              <w:rPr>
                <w:i/>
              </w:rPr>
              <w:t>Gazette</w:t>
            </w:r>
            <w:r>
              <w:t xml:space="preserve"> 29 Aug 1990 p. 4383</w:t>
            </w:r>
            <w:r>
              <w:noBreakHyphen/>
              <w:t>90 (erratum 7 Dec 1990 p. 6051)</w:t>
            </w:r>
          </w:p>
        </w:tc>
        <w:tc>
          <w:tcPr>
            <w:tcW w:w="2551" w:type="dxa"/>
          </w:tcPr>
          <w:p>
            <w:pPr>
              <w:pStyle w:val="nTable"/>
              <w:spacing w:after="40"/>
            </w:pPr>
            <w:r>
              <w:t>29 Aug 1990</w:t>
            </w:r>
          </w:p>
        </w:tc>
      </w:tr>
      <w:tr>
        <w:trPr>
          <w:cantSplit/>
        </w:trPr>
        <w:tc>
          <w:tcPr>
            <w:tcW w:w="4537" w:type="dxa"/>
            <w:gridSpan w:val="3"/>
          </w:tcPr>
          <w:p>
            <w:pPr>
              <w:pStyle w:val="nTable"/>
              <w:spacing w:after="40"/>
            </w:pPr>
            <w:r>
              <w:rPr>
                <w:i/>
              </w:rPr>
              <w:t>Road Traffic (Fees for Vehicle Licences) Regulations (No. 2) 1990</w:t>
            </w:r>
            <w:r>
              <w:t xml:space="preserve"> published in </w:t>
            </w:r>
            <w:r>
              <w:rPr>
                <w:i/>
              </w:rPr>
              <w:t>Gazette</w:t>
            </w:r>
            <w:r>
              <w:t xml:space="preserve"> 23 Nov 1990 p. 5850</w:t>
            </w:r>
            <w:r>
              <w:noBreakHyphen/>
              <w:t>1</w:t>
            </w:r>
          </w:p>
        </w:tc>
        <w:tc>
          <w:tcPr>
            <w:tcW w:w="2551" w:type="dxa"/>
          </w:tcPr>
          <w:p>
            <w:pPr>
              <w:pStyle w:val="nTable"/>
              <w:spacing w:after="40"/>
            </w:pPr>
            <w:r>
              <w:t>23 Nov 1990</w:t>
            </w:r>
          </w:p>
        </w:tc>
      </w:tr>
      <w:tr>
        <w:trPr>
          <w:cantSplit/>
        </w:trPr>
        <w:tc>
          <w:tcPr>
            <w:tcW w:w="2267" w:type="dxa"/>
          </w:tcPr>
          <w:p>
            <w:pPr>
              <w:pStyle w:val="nTable"/>
              <w:spacing w:after="40"/>
            </w:pPr>
            <w:r>
              <w:rPr>
                <w:i/>
              </w:rPr>
              <w:t>Road Traffic Amendment Act (No. 3) 1990</w:t>
            </w:r>
          </w:p>
        </w:tc>
        <w:tc>
          <w:tcPr>
            <w:tcW w:w="1134" w:type="dxa"/>
          </w:tcPr>
          <w:p>
            <w:pPr>
              <w:pStyle w:val="nTable"/>
              <w:spacing w:after="40"/>
            </w:pPr>
            <w:r>
              <w:t>60 of 1990</w:t>
            </w:r>
          </w:p>
        </w:tc>
        <w:tc>
          <w:tcPr>
            <w:tcW w:w="1136" w:type="dxa"/>
          </w:tcPr>
          <w:p>
            <w:pPr>
              <w:pStyle w:val="nTable"/>
              <w:spacing w:after="40"/>
            </w:pPr>
            <w:r>
              <w:t>17 Dec 1990</w:t>
            </w:r>
          </w:p>
        </w:tc>
        <w:tc>
          <w:tcPr>
            <w:tcW w:w="2551" w:type="dxa"/>
          </w:tcPr>
          <w:p>
            <w:pPr>
              <w:pStyle w:val="nTable"/>
              <w:spacing w:after="40"/>
            </w:pPr>
            <w:r>
              <w:t>s. 1 and 2: 17 Dec 1990;</w:t>
            </w:r>
            <w:r>
              <w:br/>
              <w:t xml:space="preserve">Act other than s. 1 and 2: 21 Dec 1990 (see s. 2 and </w:t>
            </w:r>
            <w:r>
              <w:rPr>
                <w:i/>
              </w:rPr>
              <w:t>Gazette</w:t>
            </w:r>
            <w:r>
              <w:t xml:space="preserve"> 21 Dec 1990 p. 6212)</w:t>
            </w:r>
          </w:p>
        </w:tc>
      </w:tr>
      <w:tr>
        <w:trPr>
          <w:cantSplit/>
        </w:trPr>
        <w:tc>
          <w:tcPr>
            <w:tcW w:w="7088" w:type="dxa"/>
            <w:gridSpan w:val="4"/>
          </w:tcPr>
          <w:p>
            <w:pPr>
              <w:pStyle w:val="nTable"/>
              <w:spacing w:after="40"/>
              <w:rPr>
                <w:i/>
              </w:rPr>
            </w:pPr>
            <w:r>
              <w:rPr>
                <w:b/>
              </w:rPr>
              <w:t xml:space="preserve">Reprint of the </w:t>
            </w:r>
            <w:r>
              <w:rPr>
                <w:b/>
                <w:i/>
              </w:rPr>
              <w:t>Road Traffic Act 1974</w:t>
            </w:r>
            <w:r>
              <w:rPr>
                <w:i/>
              </w:rPr>
              <w:t xml:space="preserve"> </w:t>
            </w:r>
            <w:r>
              <w:rPr>
                <w:b/>
              </w:rPr>
              <w:t>as at 4 Apr 1991</w:t>
            </w:r>
            <w:r>
              <w:t xml:space="preserve"> (includes amendments listed above except those in the </w:t>
            </w:r>
            <w:r>
              <w:rPr>
                <w:i/>
              </w:rPr>
              <w:t>Acts Amendment (Chemistry Centre (WA)) Act 1990</w:t>
            </w:r>
            <w:r>
              <w:t>)</w:t>
            </w:r>
          </w:p>
        </w:tc>
      </w:tr>
      <w:tr>
        <w:trPr>
          <w:cantSplit/>
        </w:trPr>
        <w:tc>
          <w:tcPr>
            <w:tcW w:w="4537" w:type="dxa"/>
            <w:gridSpan w:val="3"/>
          </w:tcPr>
          <w:p>
            <w:pPr>
              <w:pStyle w:val="nTable"/>
              <w:spacing w:after="40"/>
            </w:pPr>
            <w:r>
              <w:rPr>
                <w:i/>
              </w:rPr>
              <w:t>Road Traffic (Fees for Vehicle Licences) Regulations 1991</w:t>
            </w:r>
            <w:r>
              <w:t xml:space="preserve"> published in </w:t>
            </w:r>
            <w:r>
              <w:rPr>
                <w:i/>
              </w:rPr>
              <w:t>Gazette</w:t>
            </w:r>
            <w:r>
              <w:t xml:space="preserve"> 23 Aug 1991 p. 4417</w:t>
            </w:r>
            <w:r>
              <w:noBreakHyphen/>
              <w:t>22</w:t>
            </w:r>
          </w:p>
        </w:tc>
        <w:tc>
          <w:tcPr>
            <w:tcW w:w="2551" w:type="dxa"/>
          </w:tcPr>
          <w:p>
            <w:pPr>
              <w:pStyle w:val="nTable"/>
              <w:spacing w:after="40"/>
            </w:pPr>
            <w:r>
              <w:t>23 Aug 1991</w:t>
            </w:r>
          </w:p>
        </w:tc>
      </w:tr>
      <w:tr>
        <w:trPr>
          <w:cantSplit/>
        </w:trPr>
        <w:tc>
          <w:tcPr>
            <w:tcW w:w="4537" w:type="dxa"/>
            <w:gridSpan w:val="3"/>
          </w:tcPr>
          <w:p>
            <w:pPr>
              <w:pStyle w:val="nTable"/>
              <w:spacing w:after="40"/>
            </w:pPr>
            <w:r>
              <w:rPr>
                <w:i/>
              </w:rPr>
              <w:t>Road Traffic (Fees for Vehicle Licences) Regulations (No. 2) 1991</w:t>
            </w:r>
            <w:r>
              <w:t xml:space="preserve"> published in </w:t>
            </w:r>
            <w:r>
              <w:rPr>
                <w:i/>
              </w:rPr>
              <w:t>Gazette</w:t>
            </w:r>
            <w:r>
              <w:t xml:space="preserve"> 22 Nov 1991 p. 5958</w:t>
            </w:r>
            <w:r>
              <w:noBreakHyphen/>
              <w:t>9</w:t>
            </w:r>
          </w:p>
        </w:tc>
        <w:tc>
          <w:tcPr>
            <w:tcW w:w="2551" w:type="dxa"/>
          </w:tcPr>
          <w:p>
            <w:pPr>
              <w:pStyle w:val="nTable"/>
              <w:spacing w:after="40"/>
            </w:pPr>
            <w:r>
              <w:t>22 Nov 1991</w:t>
            </w:r>
          </w:p>
        </w:tc>
      </w:tr>
      <w:tr>
        <w:trPr>
          <w:cantSplit/>
        </w:trPr>
        <w:tc>
          <w:tcPr>
            <w:tcW w:w="2267" w:type="dxa"/>
          </w:tcPr>
          <w:p>
            <w:pPr>
              <w:pStyle w:val="nTable"/>
              <w:spacing w:after="40"/>
              <w:rPr>
                <w:vertAlign w:val="superscript"/>
              </w:rPr>
            </w:pPr>
            <w:r>
              <w:rPr>
                <w:i/>
              </w:rPr>
              <w:t>Criminal Law Amendment Act 1991</w:t>
            </w:r>
            <w:r>
              <w:t xml:space="preserve"> s. 6(2) and 21 </w:t>
            </w:r>
            <w:r>
              <w:rPr>
                <w:vertAlign w:val="superscript"/>
              </w:rPr>
              <w:t>11</w:t>
            </w:r>
          </w:p>
        </w:tc>
        <w:tc>
          <w:tcPr>
            <w:tcW w:w="1134" w:type="dxa"/>
          </w:tcPr>
          <w:p>
            <w:pPr>
              <w:pStyle w:val="nTable"/>
              <w:spacing w:after="40"/>
            </w:pPr>
            <w:r>
              <w:t>37 of 1991</w:t>
            </w:r>
          </w:p>
        </w:tc>
        <w:tc>
          <w:tcPr>
            <w:tcW w:w="1136" w:type="dxa"/>
          </w:tcPr>
          <w:p>
            <w:pPr>
              <w:pStyle w:val="nTable"/>
              <w:spacing w:after="40"/>
            </w:pPr>
            <w:r>
              <w:t>12 Dec 1991</w:t>
            </w:r>
          </w:p>
        </w:tc>
        <w:tc>
          <w:tcPr>
            <w:tcW w:w="2551" w:type="dxa"/>
          </w:tcPr>
          <w:p>
            <w:pPr>
              <w:pStyle w:val="nTable"/>
              <w:spacing w:after="40"/>
            </w:pPr>
            <w:r>
              <w:t>s. 6(2): 12 Dec 1991 (see s. 2(1));</w:t>
            </w:r>
            <w:r>
              <w:br/>
              <w:t>s. 21: 10 Feb 1992 (see s. 2(2) and </w:t>
            </w:r>
            <w:r>
              <w:rPr>
                <w:i/>
              </w:rPr>
              <w:t>Gazette</w:t>
            </w:r>
            <w:r>
              <w:t xml:space="preserve"> 31 Jan 1992 p. 477)</w:t>
            </w:r>
          </w:p>
        </w:tc>
      </w:tr>
      <w:tr>
        <w:trPr>
          <w:cantSplit/>
        </w:trPr>
        <w:tc>
          <w:tcPr>
            <w:tcW w:w="2267" w:type="dxa"/>
          </w:tcPr>
          <w:p>
            <w:pPr>
              <w:pStyle w:val="nTable"/>
              <w:spacing w:after="40"/>
            </w:pPr>
            <w:r>
              <w:rPr>
                <w:i/>
              </w:rPr>
              <w:t>Road Traffic (Bicycle Helmets) Amendment Act 1991</w:t>
            </w:r>
          </w:p>
        </w:tc>
        <w:tc>
          <w:tcPr>
            <w:tcW w:w="1134" w:type="dxa"/>
          </w:tcPr>
          <w:p>
            <w:pPr>
              <w:pStyle w:val="nTable"/>
              <w:spacing w:after="40"/>
            </w:pPr>
            <w:r>
              <w:t>46 of 1991</w:t>
            </w:r>
          </w:p>
        </w:tc>
        <w:tc>
          <w:tcPr>
            <w:tcW w:w="1136" w:type="dxa"/>
          </w:tcPr>
          <w:p>
            <w:pPr>
              <w:pStyle w:val="nTable"/>
              <w:spacing w:after="40"/>
            </w:pPr>
            <w:r>
              <w:t>17 Dec 1991</w:t>
            </w:r>
          </w:p>
        </w:tc>
        <w:tc>
          <w:tcPr>
            <w:tcW w:w="2551" w:type="dxa"/>
          </w:tcPr>
          <w:p>
            <w:pPr>
              <w:pStyle w:val="nTable"/>
              <w:spacing w:after="40"/>
            </w:pPr>
            <w:r>
              <w:t>17 Dec 1991 (see s. 2)</w:t>
            </w:r>
          </w:p>
        </w:tc>
      </w:tr>
      <w:tr>
        <w:trPr>
          <w:cantSplit/>
        </w:trPr>
        <w:tc>
          <w:tcPr>
            <w:tcW w:w="2267" w:type="dxa"/>
          </w:tcPr>
          <w:p>
            <w:pPr>
              <w:pStyle w:val="nTable"/>
              <w:spacing w:after="40"/>
            </w:pPr>
            <w:r>
              <w:rPr>
                <w:i/>
              </w:rPr>
              <w:t>Road Traffic Amendment (Power Assisted Pedal Cycles) Act 1991</w:t>
            </w:r>
          </w:p>
        </w:tc>
        <w:tc>
          <w:tcPr>
            <w:tcW w:w="1134" w:type="dxa"/>
          </w:tcPr>
          <w:p>
            <w:pPr>
              <w:pStyle w:val="nTable"/>
              <w:spacing w:after="40"/>
            </w:pPr>
            <w:r>
              <w:t>50 of 1991</w:t>
            </w:r>
          </w:p>
        </w:tc>
        <w:tc>
          <w:tcPr>
            <w:tcW w:w="1136" w:type="dxa"/>
          </w:tcPr>
          <w:p>
            <w:pPr>
              <w:pStyle w:val="nTable"/>
              <w:spacing w:after="40"/>
            </w:pPr>
            <w:r>
              <w:t>17 Dec 1991</w:t>
            </w:r>
          </w:p>
        </w:tc>
        <w:tc>
          <w:tcPr>
            <w:tcW w:w="2551" w:type="dxa"/>
          </w:tcPr>
          <w:p>
            <w:pPr>
              <w:pStyle w:val="nTable"/>
              <w:spacing w:after="40"/>
            </w:pPr>
            <w:r>
              <w:t>s. 1 and 2: 17 Dec 1991;</w:t>
            </w:r>
            <w:r>
              <w:br/>
              <w:t xml:space="preserve">Act other than s. 1 and 2: 24 Dec 1991 (see s. 2 and </w:t>
            </w:r>
            <w:r>
              <w:rPr>
                <w:i/>
              </w:rPr>
              <w:t>Gazette</w:t>
            </w:r>
            <w:r>
              <w:t xml:space="preserve"> 24 Dec 1991 p. 6395)</w:t>
            </w:r>
          </w:p>
        </w:tc>
      </w:tr>
      <w:tr>
        <w:trPr>
          <w:cantSplit/>
        </w:trPr>
        <w:tc>
          <w:tcPr>
            <w:tcW w:w="2267" w:type="dxa"/>
          </w:tcPr>
          <w:p>
            <w:pPr>
              <w:pStyle w:val="nTable"/>
              <w:spacing w:after="40"/>
            </w:pPr>
            <w:r>
              <w:rPr>
                <w:i/>
              </w:rPr>
              <w:t>Criminal Law Amendment Act 1992</w:t>
            </w:r>
            <w:r>
              <w:t xml:space="preserve"> Pt. 3</w:t>
            </w:r>
          </w:p>
        </w:tc>
        <w:tc>
          <w:tcPr>
            <w:tcW w:w="1134" w:type="dxa"/>
          </w:tcPr>
          <w:p>
            <w:pPr>
              <w:pStyle w:val="nTable"/>
              <w:spacing w:after="40"/>
            </w:pPr>
            <w:r>
              <w:t>1 of 1992</w:t>
            </w:r>
          </w:p>
        </w:tc>
        <w:tc>
          <w:tcPr>
            <w:tcW w:w="1136" w:type="dxa"/>
          </w:tcPr>
          <w:p>
            <w:pPr>
              <w:pStyle w:val="nTable"/>
              <w:spacing w:after="40"/>
            </w:pPr>
            <w:r>
              <w:t>7 Feb 1992</w:t>
            </w:r>
          </w:p>
        </w:tc>
        <w:tc>
          <w:tcPr>
            <w:tcW w:w="2551" w:type="dxa"/>
          </w:tcPr>
          <w:p>
            <w:pPr>
              <w:pStyle w:val="nTable"/>
              <w:spacing w:after="40"/>
            </w:pPr>
            <w:r>
              <w:t>9 Mar 1992 (see s. 2)</w:t>
            </w:r>
          </w:p>
        </w:tc>
      </w:tr>
      <w:tr>
        <w:trPr>
          <w:cantSplit/>
        </w:trPr>
        <w:tc>
          <w:tcPr>
            <w:tcW w:w="2267" w:type="dxa"/>
          </w:tcPr>
          <w:p>
            <w:pPr>
              <w:pStyle w:val="nTable"/>
              <w:spacing w:after="40"/>
            </w:pPr>
            <w:r>
              <w:rPr>
                <w:i/>
              </w:rPr>
              <w:t>Road Traffic Amendment Act 1992</w:t>
            </w:r>
          </w:p>
        </w:tc>
        <w:tc>
          <w:tcPr>
            <w:tcW w:w="1134" w:type="dxa"/>
          </w:tcPr>
          <w:p>
            <w:pPr>
              <w:pStyle w:val="nTable"/>
              <w:keepLines/>
              <w:spacing w:after="40"/>
            </w:pPr>
            <w:r>
              <w:t>13 of 1992</w:t>
            </w:r>
          </w:p>
        </w:tc>
        <w:tc>
          <w:tcPr>
            <w:tcW w:w="1136" w:type="dxa"/>
          </w:tcPr>
          <w:p>
            <w:pPr>
              <w:pStyle w:val="nTable"/>
              <w:keepLines/>
              <w:spacing w:after="40"/>
            </w:pPr>
            <w:r>
              <w:t>16 Jun 1992</w:t>
            </w:r>
          </w:p>
        </w:tc>
        <w:tc>
          <w:tcPr>
            <w:tcW w:w="2551" w:type="dxa"/>
          </w:tcPr>
          <w:p>
            <w:pPr>
              <w:pStyle w:val="nTable"/>
              <w:spacing w:after="40"/>
            </w:pPr>
            <w:r>
              <w:t>16 Jun 1993 (see s. 2)</w:t>
            </w:r>
          </w:p>
        </w:tc>
      </w:tr>
      <w:tr>
        <w:trPr>
          <w:cantSplit/>
        </w:trPr>
        <w:tc>
          <w:tcPr>
            <w:tcW w:w="4537" w:type="dxa"/>
            <w:gridSpan w:val="3"/>
          </w:tcPr>
          <w:p>
            <w:pPr>
              <w:pStyle w:val="nTable"/>
              <w:spacing w:after="40"/>
            </w:pPr>
            <w:r>
              <w:rPr>
                <w:i/>
              </w:rPr>
              <w:t>Road Traffic (Fees for Vehicle Licences) Regulations 1992</w:t>
            </w:r>
            <w:r>
              <w:t xml:space="preserve"> published in </w:t>
            </w:r>
            <w:r>
              <w:rPr>
                <w:i/>
              </w:rPr>
              <w:t>Gazette</w:t>
            </w:r>
            <w:r>
              <w:t xml:space="preserve"> 21 Aug 1992 p. 4162</w:t>
            </w:r>
            <w:r>
              <w:noBreakHyphen/>
              <w:t>6</w:t>
            </w:r>
          </w:p>
        </w:tc>
        <w:tc>
          <w:tcPr>
            <w:tcW w:w="2551" w:type="dxa"/>
          </w:tcPr>
          <w:p>
            <w:pPr>
              <w:pStyle w:val="nTable"/>
              <w:spacing w:after="40"/>
            </w:pPr>
            <w:r>
              <w:t>21 Aug 1992</w:t>
            </w:r>
          </w:p>
        </w:tc>
      </w:tr>
      <w:tr>
        <w:trPr>
          <w:cantSplit/>
        </w:trPr>
        <w:tc>
          <w:tcPr>
            <w:tcW w:w="4537" w:type="dxa"/>
            <w:gridSpan w:val="3"/>
          </w:tcPr>
          <w:p>
            <w:pPr>
              <w:pStyle w:val="nTable"/>
              <w:spacing w:after="40"/>
            </w:pPr>
            <w:r>
              <w:rPr>
                <w:i/>
              </w:rPr>
              <w:t>Road Traffic (Fees for Vehicle Licences) Regulations (No. 2) 1992</w:t>
            </w:r>
            <w:r>
              <w:t xml:space="preserve"> published in </w:t>
            </w:r>
            <w:r>
              <w:rPr>
                <w:i/>
              </w:rPr>
              <w:t>Gazette</w:t>
            </w:r>
            <w:r>
              <w:t xml:space="preserve"> 13 Nov 1992 p. 5591</w:t>
            </w:r>
            <w:r>
              <w:noBreakHyphen/>
              <w:t>2</w:t>
            </w:r>
          </w:p>
        </w:tc>
        <w:tc>
          <w:tcPr>
            <w:tcW w:w="2551" w:type="dxa"/>
          </w:tcPr>
          <w:p>
            <w:pPr>
              <w:pStyle w:val="nTable"/>
              <w:spacing w:after="40"/>
            </w:pPr>
            <w:r>
              <w:t>13 Nov 1992</w:t>
            </w:r>
          </w:p>
        </w:tc>
      </w:tr>
      <w:tr>
        <w:trPr>
          <w:cantSplit/>
        </w:trPr>
        <w:tc>
          <w:tcPr>
            <w:tcW w:w="2267" w:type="dxa"/>
          </w:tcPr>
          <w:p>
            <w:pPr>
              <w:pStyle w:val="nTable"/>
              <w:spacing w:after="40"/>
            </w:pPr>
            <w:r>
              <w:rPr>
                <w:i/>
              </w:rPr>
              <w:t>Financial Administration Legislation Amendment Act 1993</w:t>
            </w:r>
            <w:r>
              <w:t xml:space="preserve"> s. 6 and 11</w:t>
            </w:r>
          </w:p>
        </w:tc>
        <w:tc>
          <w:tcPr>
            <w:tcW w:w="1134" w:type="dxa"/>
          </w:tcPr>
          <w:p>
            <w:pPr>
              <w:pStyle w:val="nTable"/>
              <w:spacing w:after="40"/>
            </w:pPr>
            <w:r>
              <w:t>6 of 1993</w:t>
            </w:r>
          </w:p>
        </w:tc>
        <w:tc>
          <w:tcPr>
            <w:tcW w:w="1136" w:type="dxa"/>
          </w:tcPr>
          <w:p>
            <w:pPr>
              <w:pStyle w:val="nTable"/>
              <w:spacing w:after="40"/>
            </w:pPr>
            <w:r>
              <w:t>27 Aug 1993</w:t>
            </w:r>
          </w:p>
        </w:tc>
        <w:tc>
          <w:tcPr>
            <w:tcW w:w="2551" w:type="dxa"/>
          </w:tcPr>
          <w:p>
            <w:pPr>
              <w:pStyle w:val="nTable"/>
              <w:spacing w:after="40"/>
            </w:pPr>
            <w:r>
              <w:t>s. 11: 1 Jul 1993 (see s. 2(1));</w:t>
            </w:r>
            <w:r>
              <w:br/>
              <w:t>s. 6: 27 Aug 1993 (see s. 2(2))</w:t>
            </w:r>
          </w:p>
        </w:tc>
      </w:tr>
      <w:tr>
        <w:trPr>
          <w:cantSplit/>
        </w:trPr>
        <w:tc>
          <w:tcPr>
            <w:tcW w:w="2267" w:type="dxa"/>
          </w:tcPr>
          <w:p>
            <w:pPr>
              <w:pStyle w:val="nTable"/>
              <w:spacing w:after="40"/>
            </w:pPr>
            <w:r>
              <w:rPr>
                <w:i/>
              </w:rPr>
              <w:t>Acts Amendment (Vehicles on Roads) Act 1994</w:t>
            </w:r>
            <w:r>
              <w:t xml:space="preserve"> Pt. 3</w:t>
            </w:r>
          </w:p>
        </w:tc>
        <w:tc>
          <w:tcPr>
            <w:tcW w:w="1134" w:type="dxa"/>
          </w:tcPr>
          <w:p>
            <w:pPr>
              <w:pStyle w:val="nTable"/>
              <w:spacing w:after="40"/>
            </w:pPr>
            <w:r>
              <w:t>13 of 1994</w:t>
            </w:r>
          </w:p>
        </w:tc>
        <w:tc>
          <w:tcPr>
            <w:tcW w:w="1136" w:type="dxa"/>
          </w:tcPr>
          <w:p>
            <w:pPr>
              <w:pStyle w:val="nTable"/>
              <w:spacing w:after="40"/>
            </w:pPr>
            <w:r>
              <w:t>15 Apr 1994</w:t>
            </w:r>
          </w:p>
        </w:tc>
        <w:tc>
          <w:tcPr>
            <w:tcW w:w="2551" w:type="dxa"/>
          </w:tcPr>
          <w:p>
            <w:pPr>
              <w:pStyle w:val="nTable"/>
              <w:spacing w:after="40"/>
            </w:pPr>
            <w:r>
              <w:t xml:space="preserve">17 May 1994 (see s. 2 and </w:t>
            </w:r>
            <w:r>
              <w:rPr>
                <w:i/>
              </w:rPr>
              <w:t>Gazette</w:t>
            </w:r>
            <w:r>
              <w:t xml:space="preserve"> 17 May 1994 p. 2065)</w:t>
            </w:r>
          </w:p>
        </w:tc>
      </w:tr>
      <w:tr>
        <w:trPr>
          <w:cantSplit/>
        </w:trPr>
        <w:tc>
          <w:tcPr>
            <w:tcW w:w="2267" w:type="dxa"/>
          </w:tcPr>
          <w:p>
            <w:pPr>
              <w:pStyle w:val="nTable"/>
              <w:spacing w:after="40"/>
            </w:pPr>
            <w:r>
              <w:rPr>
                <w:i/>
              </w:rPr>
              <w:t>Taxi Act 1994</w:t>
            </w:r>
            <w:r>
              <w:t xml:space="preserve"> s. 48</w:t>
            </w:r>
          </w:p>
        </w:tc>
        <w:tc>
          <w:tcPr>
            <w:tcW w:w="1134" w:type="dxa"/>
          </w:tcPr>
          <w:p>
            <w:pPr>
              <w:pStyle w:val="nTable"/>
              <w:spacing w:after="40"/>
            </w:pPr>
            <w:r>
              <w:t>83 of 1994</w:t>
            </w:r>
          </w:p>
        </w:tc>
        <w:tc>
          <w:tcPr>
            <w:tcW w:w="1136" w:type="dxa"/>
          </w:tcPr>
          <w:p>
            <w:pPr>
              <w:pStyle w:val="nTable"/>
              <w:spacing w:after="40"/>
            </w:pPr>
            <w:r>
              <w:t>20 Dec 1994</w:t>
            </w:r>
          </w:p>
        </w:tc>
        <w:tc>
          <w:tcPr>
            <w:tcW w:w="2551" w:type="dxa"/>
          </w:tcPr>
          <w:p>
            <w:pPr>
              <w:pStyle w:val="nTable"/>
              <w:spacing w:after="40"/>
            </w:pPr>
            <w:r>
              <w:t xml:space="preserve">10 Jan 1995 (see s. 2 and </w:t>
            </w:r>
            <w:r>
              <w:rPr>
                <w:i/>
              </w:rPr>
              <w:t>Gazette</w:t>
            </w:r>
            <w:r>
              <w:t xml:space="preserve"> 10 Jan 1995 p. 73)</w:t>
            </w:r>
          </w:p>
        </w:tc>
      </w:tr>
      <w:tr>
        <w:trPr>
          <w:cantSplit/>
        </w:trPr>
        <w:tc>
          <w:tcPr>
            <w:tcW w:w="2267" w:type="dxa"/>
          </w:tcPr>
          <w:p>
            <w:pPr>
              <w:pStyle w:val="nTable"/>
              <w:spacing w:after="40"/>
            </w:pPr>
            <w:r>
              <w:rPr>
                <w:i/>
              </w:rPr>
              <w:t>Acts Amendment (Fines, Penalties and Infringement Notices) Act 1994</w:t>
            </w:r>
            <w:r>
              <w:t xml:space="preserve"> Pt. 19</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 xml:space="preserve">1 Jan 1995 (see s. 2(1) and </w:t>
            </w:r>
            <w:r>
              <w:rPr>
                <w:i/>
              </w:rPr>
              <w:t>Gazette</w:t>
            </w:r>
            <w:r>
              <w:t xml:space="preserve"> 30 Dec 1994 p. 7211)</w:t>
            </w:r>
          </w:p>
        </w:tc>
      </w:tr>
      <w:tr>
        <w:trPr>
          <w:cantSplit/>
        </w:trPr>
        <w:tc>
          <w:tcPr>
            <w:tcW w:w="7088" w:type="dxa"/>
            <w:gridSpan w:val="4"/>
          </w:tcPr>
          <w:p>
            <w:pPr>
              <w:pStyle w:val="nTable"/>
              <w:spacing w:after="40"/>
              <w:rPr>
                <w:i/>
              </w:rPr>
            </w:pPr>
            <w:r>
              <w:rPr>
                <w:b/>
              </w:rPr>
              <w:t xml:space="preserve">Reprint of the </w:t>
            </w:r>
            <w:r>
              <w:rPr>
                <w:b/>
                <w:i/>
              </w:rPr>
              <w:t xml:space="preserve">Road Traffic Act 1974 </w:t>
            </w:r>
            <w:r>
              <w:rPr>
                <w:b/>
              </w:rPr>
              <w:t>as at 1 Jun 1995</w:t>
            </w:r>
            <w:r>
              <w:t xml:space="preserve"> (includes amendments listed above)</w:t>
            </w:r>
          </w:p>
        </w:tc>
      </w:tr>
      <w:tr>
        <w:trPr>
          <w:cantSplit/>
        </w:trPr>
        <w:tc>
          <w:tcPr>
            <w:tcW w:w="2267" w:type="dxa"/>
          </w:tcPr>
          <w:p>
            <w:pPr>
              <w:pStyle w:val="nTable"/>
              <w:spacing w:after="40"/>
            </w:pPr>
            <w:r>
              <w:rPr>
                <w:i/>
              </w:rPr>
              <w:t>Road Traffic Amendment Act 1995</w:t>
            </w:r>
          </w:p>
        </w:tc>
        <w:tc>
          <w:tcPr>
            <w:tcW w:w="1134" w:type="dxa"/>
          </w:tcPr>
          <w:p>
            <w:pPr>
              <w:pStyle w:val="nTable"/>
              <w:spacing w:after="40"/>
            </w:pPr>
            <w:r>
              <w:t>21 of 1995</w:t>
            </w:r>
          </w:p>
        </w:tc>
        <w:tc>
          <w:tcPr>
            <w:tcW w:w="1136" w:type="dxa"/>
          </w:tcPr>
          <w:p>
            <w:pPr>
              <w:pStyle w:val="nTable"/>
              <w:spacing w:after="40"/>
            </w:pPr>
            <w:r>
              <w:t>13 Jul 1995</w:t>
            </w:r>
          </w:p>
        </w:tc>
        <w:tc>
          <w:tcPr>
            <w:tcW w:w="2551" w:type="dxa"/>
          </w:tcPr>
          <w:p>
            <w:pPr>
              <w:pStyle w:val="nTable"/>
              <w:spacing w:after="40"/>
            </w:pPr>
            <w:r>
              <w:t>s. 1 and 2: 13 Jul 1995;</w:t>
            </w:r>
            <w:r>
              <w:br/>
              <w:t xml:space="preserve">Act other than s. 1 and 2: 25 Nov 1995 (see s. 2 and </w:t>
            </w:r>
            <w:r>
              <w:rPr>
                <w:i/>
              </w:rPr>
              <w:t>Gazette</w:t>
            </w:r>
            <w:r>
              <w:t xml:space="preserve"> 24 Nov 1995 p. 5390)</w:t>
            </w:r>
          </w:p>
        </w:tc>
      </w:tr>
      <w:tr>
        <w:trPr>
          <w:cantSplit/>
        </w:trPr>
        <w:tc>
          <w:tcPr>
            <w:tcW w:w="2267" w:type="dxa"/>
          </w:tcPr>
          <w:p>
            <w:pPr>
              <w:pStyle w:val="nTable"/>
              <w:spacing w:after="40"/>
            </w:pPr>
            <w:r>
              <w:rPr>
                <w:i/>
              </w:rPr>
              <w:t>Acts Amendment (Vehicle Licences) Act 1995</w:t>
            </w:r>
            <w:r>
              <w:t xml:space="preserve"> Pt. 2</w:t>
            </w:r>
          </w:p>
        </w:tc>
        <w:tc>
          <w:tcPr>
            <w:tcW w:w="1134" w:type="dxa"/>
          </w:tcPr>
          <w:p>
            <w:pPr>
              <w:pStyle w:val="nTable"/>
              <w:spacing w:after="40"/>
            </w:pPr>
            <w:r>
              <w:t>57 of 1995</w:t>
            </w:r>
          </w:p>
        </w:tc>
        <w:tc>
          <w:tcPr>
            <w:tcW w:w="1136" w:type="dxa"/>
          </w:tcPr>
          <w:p>
            <w:pPr>
              <w:pStyle w:val="nTable"/>
              <w:spacing w:after="40"/>
            </w:pPr>
            <w:r>
              <w:t>20 Dec 1995</w:t>
            </w:r>
          </w:p>
        </w:tc>
        <w:tc>
          <w:tcPr>
            <w:tcW w:w="2551" w:type="dxa"/>
          </w:tcPr>
          <w:p>
            <w:pPr>
              <w:pStyle w:val="nTable"/>
              <w:spacing w:after="40"/>
            </w:pPr>
            <w:r>
              <w:t>20 Dec 1995 (see s. 2)</w:t>
            </w:r>
          </w:p>
        </w:tc>
      </w:tr>
      <w:tr>
        <w:trPr>
          <w:cantSplit/>
        </w:trPr>
        <w:tc>
          <w:tcPr>
            <w:tcW w:w="2267" w:type="dxa"/>
          </w:tcPr>
          <w:p>
            <w:pPr>
              <w:pStyle w:val="nTable"/>
              <w:spacing w:after="40"/>
            </w:pPr>
            <w:r>
              <w:rPr>
                <w:i/>
              </w:rPr>
              <w:t>Sentencing (Consequential Provisions) Act 1995</w:t>
            </w:r>
            <w:r>
              <w:t xml:space="preserve"> Pt. 71 and s. 147</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4537" w:type="dxa"/>
            <w:gridSpan w:val="3"/>
          </w:tcPr>
          <w:p>
            <w:pPr>
              <w:pStyle w:val="nTable"/>
              <w:spacing w:after="40"/>
            </w:pPr>
            <w:r>
              <w:rPr>
                <w:i/>
              </w:rPr>
              <w:t>Road Traffic (Fees for Vehicle Licences) Regulations 1996</w:t>
            </w:r>
            <w:r>
              <w:t xml:space="preserve"> published in </w:t>
            </w:r>
            <w:r>
              <w:rPr>
                <w:i/>
              </w:rPr>
              <w:t>Gazette</w:t>
            </w:r>
            <w:r>
              <w:t xml:space="preserve"> 24 May 1996 p. 2181</w:t>
            </w:r>
            <w:r>
              <w:noBreakHyphen/>
              <w:t>9</w:t>
            </w:r>
          </w:p>
        </w:tc>
        <w:tc>
          <w:tcPr>
            <w:tcW w:w="2551" w:type="dxa"/>
          </w:tcPr>
          <w:p>
            <w:pPr>
              <w:pStyle w:val="nTable"/>
              <w:spacing w:after="40"/>
            </w:pPr>
            <w:r>
              <w:t xml:space="preserve">24 May 1996 </w:t>
            </w:r>
          </w:p>
        </w:tc>
      </w:tr>
      <w:tr>
        <w:trPr>
          <w:cantSplit/>
        </w:trPr>
        <w:tc>
          <w:tcPr>
            <w:tcW w:w="2267" w:type="dxa"/>
          </w:tcPr>
          <w:p>
            <w:pPr>
              <w:pStyle w:val="nTable"/>
              <w:spacing w:after="40"/>
            </w:pPr>
            <w:r>
              <w:rPr>
                <w:i/>
              </w:rPr>
              <w:t>Local Government (Consequential Amendments) Act 1996</w:t>
            </w:r>
            <w:r>
              <w:t xml:space="preserve"> s. 4</w:t>
            </w:r>
          </w:p>
        </w:tc>
        <w:tc>
          <w:tcPr>
            <w:tcW w:w="1134" w:type="dxa"/>
          </w:tcPr>
          <w:p>
            <w:pPr>
              <w:pStyle w:val="nTable"/>
              <w:spacing w:after="40"/>
            </w:pPr>
            <w:r>
              <w:t>14 of 1996</w:t>
            </w:r>
          </w:p>
        </w:tc>
        <w:tc>
          <w:tcPr>
            <w:tcW w:w="1136" w:type="dxa"/>
          </w:tcPr>
          <w:p>
            <w:pPr>
              <w:pStyle w:val="nTable"/>
              <w:spacing w:after="40"/>
            </w:pPr>
            <w:r>
              <w:t>28 Jun 1996</w:t>
            </w:r>
          </w:p>
        </w:tc>
        <w:tc>
          <w:tcPr>
            <w:tcW w:w="2551" w:type="dxa"/>
          </w:tcPr>
          <w:p>
            <w:pPr>
              <w:pStyle w:val="nTable"/>
              <w:spacing w:after="40"/>
            </w:pPr>
            <w:r>
              <w:t>1 Jul 1996 (see s. 2)</w:t>
            </w:r>
          </w:p>
        </w:tc>
      </w:tr>
      <w:tr>
        <w:trPr>
          <w:cantSplit/>
        </w:trPr>
        <w:tc>
          <w:tcPr>
            <w:tcW w:w="2267" w:type="dxa"/>
          </w:tcPr>
          <w:p>
            <w:pPr>
              <w:pStyle w:val="nTable"/>
              <w:spacing w:after="40"/>
            </w:pPr>
            <w:r>
              <w:rPr>
                <w:i/>
              </w:rPr>
              <w:t>Consumer Credit (</w:t>
            </w:r>
            <w:smartTag w:uri="urn:schemas-microsoft-com:office:smarttags" w:element="place">
              <w:smartTag w:uri="urn:schemas-microsoft-com:office:smarttags" w:element="State">
                <w:r>
                  <w:rPr>
                    <w:i/>
                  </w:rPr>
                  <w:t>Western Australia</w:t>
                </w:r>
              </w:smartTag>
            </w:smartTag>
            <w:r>
              <w:rPr>
                <w:i/>
              </w:rPr>
              <w:t>) Act 1996</w:t>
            </w:r>
            <w:r>
              <w:t xml:space="preserve"> s. 13</w:t>
            </w:r>
          </w:p>
        </w:tc>
        <w:tc>
          <w:tcPr>
            <w:tcW w:w="1134" w:type="dxa"/>
          </w:tcPr>
          <w:p>
            <w:pPr>
              <w:pStyle w:val="nTable"/>
              <w:spacing w:after="40"/>
            </w:pPr>
            <w:r>
              <w:t>30 of 1996</w:t>
            </w:r>
          </w:p>
        </w:tc>
        <w:tc>
          <w:tcPr>
            <w:tcW w:w="1136" w:type="dxa"/>
          </w:tcPr>
          <w:p>
            <w:pPr>
              <w:pStyle w:val="nTable"/>
              <w:spacing w:after="40"/>
            </w:pPr>
            <w:r>
              <w:t>10 Sep 1996</w:t>
            </w:r>
          </w:p>
        </w:tc>
        <w:tc>
          <w:tcPr>
            <w:tcW w:w="2551" w:type="dxa"/>
          </w:tcPr>
          <w:p>
            <w:pPr>
              <w:pStyle w:val="nTable"/>
              <w:spacing w:after="40"/>
            </w:pPr>
            <w:r>
              <w:t>1 Nov 1996 (see s. 2)</w:t>
            </w:r>
          </w:p>
        </w:tc>
      </w:tr>
      <w:tr>
        <w:trPr>
          <w:cantSplit/>
        </w:trPr>
        <w:tc>
          <w:tcPr>
            <w:tcW w:w="2267" w:type="dxa"/>
          </w:tcPr>
          <w:p>
            <w:pPr>
              <w:pStyle w:val="nTable"/>
              <w:spacing w:after="40"/>
            </w:pPr>
            <w:r>
              <w:rPr>
                <w:i/>
              </w:rPr>
              <w:t>Road Traffic Amendment (Measuring Equipment) Act 1996</w:t>
            </w:r>
          </w:p>
        </w:tc>
        <w:tc>
          <w:tcPr>
            <w:tcW w:w="1134" w:type="dxa"/>
          </w:tcPr>
          <w:p>
            <w:pPr>
              <w:pStyle w:val="nTable"/>
              <w:spacing w:after="40"/>
            </w:pPr>
            <w:r>
              <w:t>37 of 1996</w:t>
            </w:r>
          </w:p>
        </w:tc>
        <w:tc>
          <w:tcPr>
            <w:tcW w:w="1136" w:type="dxa"/>
          </w:tcPr>
          <w:p>
            <w:pPr>
              <w:pStyle w:val="nTable"/>
              <w:spacing w:after="40"/>
            </w:pPr>
            <w:r>
              <w:t>27 Sep 1996</w:t>
            </w:r>
          </w:p>
        </w:tc>
        <w:tc>
          <w:tcPr>
            <w:tcW w:w="2551" w:type="dxa"/>
          </w:tcPr>
          <w:p>
            <w:pPr>
              <w:pStyle w:val="nTable"/>
              <w:spacing w:after="40"/>
            </w:pPr>
            <w:r>
              <w:t>27 Sep 1996 (see s. 2)</w:t>
            </w:r>
          </w:p>
        </w:tc>
      </w:tr>
      <w:tr>
        <w:trPr>
          <w:cantSplit/>
        </w:trPr>
        <w:tc>
          <w:tcPr>
            <w:tcW w:w="2267" w:type="dxa"/>
          </w:tcPr>
          <w:p>
            <w:pPr>
              <w:pStyle w:val="nTable"/>
              <w:spacing w:after="40"/>
            </w:pPr>
            <w:r>
              <w:rPr>
                <w:i/>
              </w:rPr>
              <w:t>Financial Legislation Amendment Act 1996</w:t>
            </w:r>
            <w:r>
              <w:t xml:space="preserve"> s. 27(3) and 64</w:t>
            </w:r>
          </w:p>
        </w:tc>
        <w:tc>
          <w:tcPr>
            <w:tcW w:w="1134" w:type="dxa"/>
          </w:tcPr>
          <w:p>
            <w:pPr>
              <w:pStyle w:val="nTable"/>
              <w:spacing w:after="40"/>
            </w:pPr>
            <w:r>
              <w:t>49 of 1996</w:t>
            </w:r>
          </w:p>
        </w:tc>
        <w:tc>
          <w:tcPr>
            <w:tcW w:w="1136" w:type="dxa"/>
          </w:tcPr>
          <w:p>
            <w:pPr>
              <w:pStyle w:val="nTable"/>
              <w:spacing w:after="40"/>
            </w:pPr>
            <w:r>
              <w:t>25 Oct 1996</w:t>
            </w:r>
          </w:p>
        </w:tc>
        <w:tc>
          <w:tcPr>
            <w:tcW w:w="2551" w:type="dxa"/>
          </w:tcPr>
          <w:p>
            <w:pPr>
              <w:pStyle w:val="nTable"/>
              <w:spacing w:after="40"/>
            </w:pPr>
            <w:r>
              <w:t>25 Oct 1996 (see s. 2)</w:t>
            </w:r>
          </w:p>
        </w:tc>
      </w:tr>
      <w:tr>
        <w:trPr>
          <w:cantSplit/>
        </w:trPr>
        <w:tc>
          <w:tcPr>
            <w:tcW w:w="2267" w:type="dxa"/>
          </w:tcPr>
          <w:p>
            <w:pPr>
              <w:pStyle w:val="nTable"/>
              <w:spacing w:after="40"/>
            </w:pPr>
            <w:r>
              <w:rPr>
                <w:i/>
              </w:rPr>
              <w:t>Road Traffic Amendment Act 1996</w:t>
            </w:r>
            <w:r>
              <w:rPr>
                <w:vertAlign w:val="superscript"/>
              </w:rPr>
              <w:t> 12, 13</w:t>
            </w:r>
          </w:p>
        </w:tc>
        <w:tc>
          <w:tcPr>
            <w:tcW w:w="1134" w:type="dxa"/>
          </w:tcPr>
          <w:p>
            <w:pPr>
              <w:pStyle w:val="nTable"/>
              <w:keepNext/>
              <w:keepLines/>
              <w:spacing w:after="40"/>
            </w:pPr>
            <w:r>
              <w:t>76 of 1996</w:t>
            </w:r>
            <w:r>
              <w:br/>
              <w:t>(as amended by No. 49 of 1996 s. 27(4); No. 54 of 2006 s. 43(2))</w:t>
            </w:r>
          </w:p>
        </w:tc>
        <w:tc>
          <w:tcPr>
            <w:tcW w:w="1136" w:type="dxa"/>
          </w:tcPr>
          <w:p>
            <w:pPr>
              <w:pStyle w:val="nTable"/>
              <w:keepNext/>
              <w:keepLines/>
              <w:spacing w:after="40"/>
              <w:rPr>
                <w:spacing w:val="-2"/>
              </w:rPr>
            </w:pPr>
            <w:r>
              <w:rPr>
                <w:spacing w:val="-2"/>
              </w:rPr>
              <w:t>14 Nov 1996</w:t>
            </w:r>
          </w:p>
        </w:tc>
        <w:tc>
          <w:tcPr>
            <w:tcW w:w="2551" w:type="dxa"/>
          </w:tcPr>
          <w:p>
            <w:pPr>
              <w:pStyle w:val="nTable"/>
              <w:spacing w:after="40"/>
            </w:pPr>
            <w:r>
              <w:t>s. 1 and 2: 14 Nov 1996;</w:t>
            </w:r>
            <w:r>
              <w:br/>
              <w:t xml:space="preserve">Act other than s. 1, 2 and 8(3): 1 Feb 1997 (see s. 2 and </w:t>
            </w:r>
            <w:r>
              <w:rPr>
                <w:i/>
                <w:iCs/>
              </w:rPr>
              <w:t>Gazette</w:t>
            </w:r>
            <w:r>
              <w:t xml:space="preserve"> 31 Jan 1997 p. 613)</w:t>
            </w:r>
          </w:p>
        </w:tc>
      </w:tr>
      <w:tr>
        <w:trPr>
          <w:cantSplit/>
        </w:trPr>
        <w:tc>
          <w:tcPr>
            <w:tcW w:w="4537" w:type="dxa"/>
            <w:gridSpan w:val="3"/>
          </w:tcPr>
          <w:p>
            <w:pPr>
              <w:pStyle w:val="nTable"/>
              <w:spacing w:after="40"/>
            </w:pPr>
            <w:r>
              <w:rPr>
                <w:i/>
              </w:rPr>
              <w:t>Road Traffic (Fees for Vehicle Licences) Regulations (No. 2) 1996</w:t>
            </w:r>
            <w:r>
              <w:t xml:space="preserve"> published in </w:t>
            </w:r>
            <w:r>
              <w:rPr>
                <w:i/>
              </w:rPr>
              <w:t>Gazette</w:t>
            </w:r>
            <w:r>
              <w:t xml:space="preserve"> 17 Dec 1996 p. 7014</w:t>
            </w:r>
            <w:r>
              <w:noBreakHyphen/>
              <w:t>15</w:t>
            </w:r>
          </w:p>
        </w:tc>
        <w:tc>
          <w:tcPr>
            <w:tcW w:w="2551" w:type="dxa"/>
          </w:tcPr>
          <w:p>
            <w:pPr>
              <w:pStyle w:val="nTable"/>
              <w:spacing w:after="40"/>
            </w:pPr>
            <w:r>
              <w:t>17 Dec 1996</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as at 25 Mar 1997</w:t>
            </w:r>
            <w:r>
              <w:t xml:space="preserve"> (includes amendments listed above)</w:t>
            </w:r>
          </w:p>
        </w:tc>
      </w:tr>
      <w:tr>
        <w:trPr>
          <w:cantSplit/>
        </w:trPr>
        <w:tc>
          <w:tcPr>
            <w:tcW w:w="4537" w:type="dxa"/>
            <w:gridSpan w:val="3"/>
          </w:tcPr>
          <w:p>
            <w:pPr>
              <w:pStyle w:val="nTable"/>
              <w:spacing w:after="40"/>
            </w:pPr>
            <w:r>
              <w:rPr>
                <w:i/>
              </w:rPr>
              <w:t>Road Traffic (Fees for Vehicle Licences) Regulations 1997</w:t>
            </w:r>
            <w:r>
              <w:t xml:space="preserve"> published in </w:t>
            </w:r>
            <w:r>
              <w:rPr>
                <w:i/>
              </w:rPr>
              <w:t>Gazette</w:t>
            </w:r>
            <w:r>
              <w:t xml:space="preserve"> 13 May 1997 p. 2344</w:t>
            </w:r>
            <w:r>
              <w:noBreakHyphen/>
              <w:t>9</w:t>
            </w:r>
          </w:p>
        </w:tc>
        <w:tc>
          <w:tcPr>
            <w:tcW w:w="2551" w:type="dxa"/>
          </w:tcPr>
          <w:p>
            <w:pPr>
              <w:pStyle w:val="nTable"/>
              <w:spacing w:after="40"/>
            </w:pPr>
            <w:r>
              <w:t>13 May 1997</w:t>
            </w:r>
          </w:p>
        </w:tc>
      </w:tr>
      <w:tr>
        <w:trPr>
          <w:cantSplit/>
        </w:trPr>
        <w:tc>
          <w:tcPr>
            <w:tcW w:w="2267" w:type="dxa"/>
          </w:tcPr>
          <w:p>
            <w:pPr>
              <w:pStyle w:val="nTable"/>
              <w:spacing w:after="40"/>
              <w:rPr>
                <w:vertAlign w:val="superscript"/>
              </w:rPr>
            </w:pPr>
            <w:r>
              <w:rPr>
                <w:i/>
              </w:rPr>
              <w:t>Road Traffic Amendment Act 1997 </w:t>
            </w:r>
            <w:r>
              <w:rPr>
                <w:vertAlign w:val="superscript"/>
              </w:rPr>
              <w:t>14</w:t>
            </w:r>
          </w:p>
        </w:tc>
        <w:tc>
          <w:tcPr>
            <w:tcW w:w="1134" w:type="dxa"/>
          </w:tcPr>
          <w:p>
            <w:pPr>
              <w:pStyle w:val="nTable"/>
              <w:spacing w:after="40"/>
            </w:pPr>
            <w:r>
              <w:t>50 of 1997</w:t>
            </w:r>
          </w:p>
        </w:tc>
        <w:tc>
          <w:tcPr>
            <w:tcW w:w="1136" w:type="dxa"/>
          </w:tcPr>
          <w:p>
            <w:pPr>
              <w:pStyle w:val="nTable"/>
              <w:spacing w:after="40"/>
            </w:pPr>
            <w:r>
              <w:t>12 Dec 1997</w:t>
            </w:r>
          </w:p>
        </w:tc>
        <w:tc>
          <w:tcPr>
            <w:tcW w:w="2551" w:type="dxa"/>
          </w:tcPr>
          <w:p>
            <w:pPr>
              <w:pStyle w:val="nTable"/>
              <w:spacing w:after="40"/>
            </w:pPr>
            <w:r>
              <w:t>s. 1 and 2: 12 Dec 1997;</w:t>
            </w:r>
            <w:r>
              <w:br/>
              <w:t xml:space="preserve">Act other than s. 1 and 2: 1 Jan 1998 (see s. 2 and </w:t>
            </w:r>
            <w:r>
              <w:rPr>
                <w:i/>
              </w:rPr>
              <w:t>Gazette</w:t>
            </w:r>
            <w:r>
              <w:t xml:space="preserve"> 23 Dec 1997 p. 7400)</w:t>
            </w:r>
          </w:p>
        </w:tc>
      </w:tr>
      <w:tr>
        <w:trPr>
          <w:cantSplit/>
        </w:trPr>
        <w:tc>
          <w:tcPr>
            <w:tcW w:w="2267" w:type="dxa"/>
          </w:tcPr>
          <w:p>
            <w:pPr>
              <w:pStyle w:val="nTable"/>
              <w:spacing w:after="40"/>
            </w:pPr>
            <w:r>
              <w:rPr>
                <w:i/>
              </w:rPr>
              <w:t>Statutes (Repeals and Minor Amendments) Act 1997</w:t>
            </w:r>
            <w:r>
              <w:t xml:space="preserve"> s. 106</w:t>
            </w:r>
          </w:p>
        </w:tc>
        <w:tc>
          <w:tcPr>
            <w:tcW w:w="1134" w:type="dxa"/>
          </w:tcPr>
          <w:p>
            <w:pPr>
              <w:pStyle w:val="nTable"/>
              <w:spacing w:after="40"/>
            </w:pPr>
            <w:r>
              <w:t>57 of 1997</w:t>
            </w:r>
          </w:p>
        </w:tc>
        <w:tc>
          <w:tcPr>
            <w:tcW w:w="1136" w:type="dxa"/>
          </w:tcPr>
          <w:p>
            <w:pPr>
              <w:pStyle w:val="nTable"/>
              <w:spacing w:after="40"/>
            </w:pPr>
            <w:r>
              <w:t>15 Dec 1997</w:t>
            </w:r>
          </w:p>
        </w:tc>
        <w:tc>
          <w:tcPr>
            <w:tcW w:w="2551" w:type="dxa"/>
          </w:tcPr>
          <w:p>
            <w:pPr>
              <w:pStyle w:val="nTable"/>
              <w:spacing w:after="40"/>
            </w:pPr>
            <w:r>
              <w:t>15 Dec 1997 (see s. 2(1))</w:t>
            </w:r>
          </w:p>
        </w:tc>
      </w:tr>
      <w:tr>
        <w:trPr>
          <w:cantSplit/>
        </w:trPr>
        <w:tc>
          <w:tcPr>
            <w:tcW w:w="4537" w:type="dxa"/>
            <w:gridSpan w:val="3"/>
          </w:tcPr>
          <w:p>
            <w:pPr>
              <w:pStyle w:val="nTable"/>
              <w:spacing w:after="40"/>
            </w:pPr>
            <w:r>
              <w:rPr>
                <w:i/>
              </w:rPr>
              <w:t>Road Traffic (Fees for Vehicle Licences) Regulations 1998</w:t>
            </w:r>
            <w:r>
              <w:t xml:space="preserve"> published in </w:t>
            </w:r>
            <w:r>
              <w:rPr>
                <w:i/>
              </w:rPr>
              <w:t>Gazette</w:t>
            </w:r>
            <w:r>
              <w:t xml:space="preserve"> 12 May 1998 p. 2799</w:t>
            </w:r>
            <w:r>
              <w:noBreakHyphen/>
              <w:t>800</w:t>
            </w:r>
          </w:p>
        </w:tc>
        <w:tc>
          <w:tcPr>
            <w:tcW w:w="2551" w:type="dxa"/>
          </w:tcPr>
          <w:p>
            <w:pPr>
              <w:pStyle w:val="nTable"/>
              <w:spacing w:after="40"/>
            </w:pPr>
            <w:r>
              <w:t>15 May 1998 (see r. 2)</w:t>
            </w:r>
          </w:p>
        </w:tc>
      </w:tr>
      <w:tr>
        <w:trPr>
          <w:cantSplit/>
        </w:trPr>
        <w:tc>
          <w:tcPr>
            <w:tcW w:w="4537" w:type="dxa"/>
            <w:gridSpan w:val="3"/>
          </w:tcPr>
          <w:p>
            <w:pPr>
              <w:pStyle w:val="nTable"/>
              <w:spacing w:after="40"/>
            </w:pPr>
            <w:r>
              <w:rPr>
                <w:i/>
              </w:rPr>
              <w:t>Road Traffic (Fees for Vehicle Licences) Regulations (No. 2) 1998</w:t>
            </w:r>
            <w:r>
              <w:t xml:space="preserve"> published in </w:t>
            </w:r>
            <w:r>
              <w:rPr>
                <w:i/>
              </w:rPr>
              <w:t>Gazette</w:t>
            </w:r>
            <w:r>
              <w:t xml:space="preserve"> 3 Jul 1998 p. 3603</w:t>
            </w:r>
            <w:r>
              <w:noBreakHyphen/>
              <w:t>4</w:t>
            </w:r>
          </w:p>
        </w:tc>
        <w:tc>
          <w:tcPr>
            <w:tcW w:w="2551" w:type="dxa"/>
          </w:tcPr>
          <w:p>
            <w:pPr>
              <w:pStyle w:val="nTable"/>
              <w:spacing w:after="40"/>
            </w:pPr>
            <w:r>
              <w:t>3 Jul 1998 (see r. 2)</w:t>
            </w:r>
          </w:p>
        </w:tc>
      </w:tr>
      <w:tr>
        <w:trPr>
          <w:cantSplit/>
        </w:trPr>
        <w:tc>
          <w:tcPr>
            <w:tcW w:w="2267" w:type="dxa"/>
          </w:tcPr>
          <w:p>
            <w:pPr>
              <w:pStyle w:val="nTable"/>
              <w:spacing w:after="40"/>
              <w:rPr>
                <w:i/>
              </w:rPr>
            </w:pPr>
            <w:r>
              <w:rPr>
                <w:i/>
              </w:rPr>
              <w:t>Road Traffic Amendment Act 1998</w:t>
            </w:r>
          </w:p>
        </w:tc>
        <w:tc>
          <w:tcPr>
            <w:tcW w:w="1134" w:type="dxa"/>
          </w:tcPr>
          <w:p>
            <w:pPr>
              <w:pStyle w:val="nTable"/>
              <w:spacing w:after="40"/>
            </w:pPr>
            <w:r>
              <w:t>52 of 1998</w:t>
            </w:r>
          </w:p>
        </w:tc>
        <w:tc>
          <w:tcPr>
            <w:tcW w:w="1136" w:type="dxa"/>
          </w:tcPr>
          <w:p>
            <w:pPr>
              <w:pStyle w:val="nTable"/>
              <w:spacing w:after="40"/>
            </w:pPr>
            <w:r>
              <w:t>7 Dec 1998</w:t>
            </w:r>
          </w:p>
        </w:tc>
        <w:tc>
          <w:tcPr>
            <w:tcW w:w="2551" w:type="dxa"/>
          </w:tcPr>
          <w:p>
            <w:pPr>
              <w:pStyle w:val="nTable"/>
              <w:spacing w:after="40"/>
            </w:pPr>
            <w:r>
              <w:t>7 Dec 1998 (see s. 2)</w:t>
            </w:r>
          </w:p>
        </w:tc>
      </w:tr>
      <w:tr>
        <w:trPr>
          <w:cantSplit/>
        </w:trPr>
        <w:tc>
          <w:tcPr>
            <w:tcW w:w="2267" w:type="dxa"/>
          </w:tcPr>
          <w:p>
            <w:pPr>
              <w:pStyle w:val="nTable"/>
              <w:spacing w:after="40"/>
            </w:pPr>
            <w:smartTag w:uri="urn:schemas-microsoft-com:office:smarttags" w:element="place">
              <w:smartTag w:uri="urn:schemas-microsoft-com:office:smarttags" w:element="City">
                <w:r>
                  <w:rPr>
                    <w:i/>
                  </w:rPr>
                  <w:t>Perth</w:t>
                </w:r>
              </w:smartTag>
            </w:smartTag>
            <w:r>
              <w:rPr>
                <w:i/>
              </w:rPr>
              <w:t xml:space="preserve"> Parking Management (Consequential Provisions) Act 1999 </w:t>
            </w:r>
            <w:r>
              <w:t>s. 7(4)</w:t>
            </w:r>
          </w:p>
        </w:tc>
        <w:tc>
          <w:tcPr>
            <w:tcW w:w="1134" w:type="dxa"/>
          </w:tcPr>
          <w:p>
            <w:pPr>
              <w:pStyle w:val="nTable"/>
              <w:spacing w:after="40"/>
            </w:pPr>
            <w:r>
              <w:t>16 of 1999</w:t>
            </w:r>
          </w:p>
        </w:tc>
        <w:tc>
          <w:tcPr>
            <w:tcW w:w="1136" w:type="dxa"/>
          </w:tcPr>
          <w:p>
            <w:pPr>
              <w:pStyle w:val="nTable"/>
              <w:spacing w:after="40"/>
            </w:pPr>
            <w:r>
              <w:t>19 May 1999</w:t>
            </w:r>
          </w:p>
        </w:tc>
        <w:tc>
          <w:tcPr>
            <w:tcW w:w="2551" w:type="dxa"/>
          </w:tcPr>
          <w:p>
            <w:pPr>
              <w:pStyle w:val="nTable"/>
              <w:spacing w:after="40"/>
            </w:pPr>
            <w:r>
              <w:t xml:space="preserve">7 Aug 1999 (see s. 2 and </w:t>
            </w:r>
            <w:r>
              <w:rPr>
                <w:i/>
              </w:rPr>
              <w:t>Gazette</w:t>
            </w:r>
            <w:r>
              <w:t xml:space="preserve"> 6 Aug 1999 p. 3727)</w:t>
            </w:r>
          </w:p>
        </w:tc>
      </w:tr>
      <w:tr>
        <w:trPr>
          <w:cantSplit/>
        </w:trPr>
        <w:tc>
          <w:tcPr>
            <w:tcW w:w="4537" w:type="dxa"/>
            <w:gridSpan w:val="3"/>
          </w:tcPr>
          <w:p>
            <w:pPr>
              <w:pStyle w:val="nTable"/>
              <w:spacing w:after="40"/>
            </w:pPr>
            <w:r>
              <w:rPr>
                <w:i/>
              </w:rPr>
              <w:t xml:space="preserve">Road Traffic (Fees for Vehicle Licences) Regulations 1999 </w:t>
            </w:r>
            <w:r>
              <w:t xml:space="preserve">published in </w:t>
            </w:r>
            <w:r>
              <w:rPr>
                <w:i/>
              </w:rPr>
              <w:t>Gazette</w:t>
            </w:r>
            <w:r>
              <w:t xml:space="preserve"> 25 May 1999 p. 2070</w:t>
            </w:r>
            <w:r>
              <w:noBreakHyphen/>
              <w:t>1</w:t>
            </w:r>
          </w:p>
        </w:tc>
        <w:tc>
          <w:tcPr>
            <w:tcW w:w="2551" w:type="dxa"/>
          </w:tcPr>
          <w:p>
            <w:pPr>
              <w:pStyle w:val="nTable"/>
              <w:spacing w:after="40"/>
            </w:pPr>
            <w:r>
              <w:t>25 May 1999 (see r. 2)</w:t>
            </w:r>
          </w:p>
        </w:tc>
      </w:tr>
      <w:tr>
        <w:trPr>
          <w:cantSplit/>
        </w:trPr>
        <w:tc>
          <w:tcPr>
            <w:tcW w:w="2267" w:type="dxa"/>
          </w:tcPr>
          <w:p>
            <w:pPr>
              <w:pStyle w:val="nTable"/>
              <w:spacing w:after="40"/>
            </w:pPr>
            <w:r>
              <w:rPr>
                <w:i/>
              </w:rPr>
              <w:t xml:space="preserve">Revenue Laws Amendment (Assessment) Act 1999 </w:t>
            </w:r>
            <w:r>
              <w:t>Pt. 3</w:t>
            </w:r>
          </w:p>
        </w:tc>
        <w:tc>
          <w:tcPr>
            <w:tcW w:w="1134" w:type="dxa"/>
          </w:tcPr>
          <w:p>
            <w:pPr>
              <w:pStyle w:val="nTable"/>
              <w:spacing w:after="40"/>
            </w:pPr>
            <w:r>
              <w:t>24 of 1999</w:t>
            </w:r>
          </w:p>
        </w:tc>
        <w:tc>
          <w:tcPr>
            <w:tcW w:w="1136" w:type="dxa"/>
          </w:tcPr>
          <w:p>
            <w:pPr>
              <w:pStyle w:val="nTable"/>
              <w:spacing w:after="40"/>
            </w:pPr>
            <w:r>
              <w:t>29 Jun 1999</w:t>
            </w:r>
          </w:p>
        </w:tc>
        <w:tc>
          <w:tcPr>
            <w:tcW w:w="2551" w:type="dxa"/>
          </w:tcPr>
          <w:p>
            <w:pPr>
              <w:pStyle w:val="nTable"/>
              <w:spacing w:after="40"/>
            </w:pPr>
            <w:r>
              <w:t>1 Jul 1999 (see s. 2(3))</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as at 17 Sep 1999</w:t>
            </w:r>
            <w:r>
              <w:t xml:space="preserve"> (includes amendments listed above)</w:t>
            </w:r>
          </w:p>
        </w:tc>
      </w:tr>
      <w:tr>
        <w:trPr>
          <w:cantSplit/>
        </w:trPr>
        <w:tc>
          <w:tcPr>
            <w:tcW w:w="2267" w:type="dxa"/>
          </w:tcPr>
          <w:p>
            <w:pPr>
              <w:pStyle w:val="nTable"/>
              <w:spacing w:after="40"/>
            </w:pPr>
            <w:r>
              <w:rPr>
                <w:i/>
              </w:rPr>
              <w:t>School Education Act 1999</w:t>
            </w:r>
            <w:r>
              <w:t xml:space="preserve"> s. 247</w:t>
            </w:r>
          </w:p>
        </w:tc>
        <w:tc>
          <w:tcPr>
            <w:tcW w:w="1134" w:type="dxa"/>
          </w:tcPr>
          <w:p>
            <w:pPr>
              <w:pStyle w:val="nTable"/>
              <w:spacing w:after="40"/>
            </w:pPr>
            <w:r>
              <w:t>36 of 1999</w:t>
            </w:r>
          </w:p>
        </w:tc>
        <w:tc>
          <w:tcPr>
            <w:tcW w:w="1136" w:type="dxa"/>
          </w:tcPr>
          <w:p>
            <w:pPr>
              <w:pStyle w:val="nTable"/>
              <w:spacing w:after="40"/>
            </w:pPr>
            <w:r>
              <w:t>2 Nov 1999</w:t>
            </w:r>
          </w:p>
        </w:tc>
        <w:tc>
          <w:tcPr>
            <w:tcW w:w="2551" w:type="dxa"/>
          </w:tcPr>
          <w:p>
            <w:pPr>
              <w:pStyle w:val="nTable"/>
              <w:spacing w:after="40"/>
            </w:pPr>
            <w:r>
              <w:t xml:space="preserve">1 Jan 2001 (see s. 2 and </w:t>
            </w:r>
            <w:r>
              <w:rPr>
                <w:i/>
              </w:rPr>
              <w:t>Gazette</w:t>
            </w:r>
            <w:r>
              <w:t xml:space="preserve"> 29 Dec 2000 p. 7904)</w:t>
            </w:r>
          </w:p>
        </w:tc>
      </w:tr>
      <w:tr>
        <w:trPr>
          <w:cantSplit/>
        </w:trPr>
        <w:tc>
          <w:tcPr>
            <w:tcW w:w="2267" w:type="dxa"/>
          </w:tcPr>
          <w:p>
            <w:pPr>
              <w:pStyle w:val="nTable"/>
              <w:spacing w:after="40"/>
            </w:pPr>
            <w:r>
              <w:rPr>
                <w:i/>
              </w:rPr>
              <w:t xml:space="preserve">Acts Amendment (Police Immunity) Act 1999 </w:t>
            </w:r>
            <w:r>
              <w:t>s. 9</w:t>
            </w:r>
          </w:p>
        </w:tc>
        <w:tc>
          <w:tcPr>
            <w:tcW w:w="1134" w:type="dxa"/>
          </w:tcPr>
          <w:p>
            <w:pPr>
              <w:pStyle w:val="nTable"/>
              <w:keepNext/>
              <w:keepLines/>
              <w:spacing w:after="40"/>
            </w:pPr>
            <w:r>
              <w:t>42 of 1999</w:t>
            </w:r>
          </w:p>
        </w:tc>
        <w:tc>
          <w:tcPr>
            <w:tcW w:w="1136" w:type="dxa"/>
          </w:tcPr>
          <w:p>
            <w:pPr>
              <w:pStyle w:val="nTable"/>
              <w:spacing w:after="40"/>
            </w:pPr>
            <w:r>
              <w:t>25 Nov 1999</w:t>
            </w:r>
          </w:p>
        </w:tc>
        <w:tc>
          <w:tcPr>
            <w:tcW w:w="2551" w:type="dxa"/>
          </w:tcPr>
          <w:p>
            <w:pPr>
              <w:pStyle w:val="nTable"/>
              <w:spacing w:after="40"/>
            </w:pPr>
            <w:r>
              <w:t>25 Nov 1999 (see s. 2)</w:t>
            </w:r>
          </w:p>
        </w:tc>
      </w:tr>
      <w:tr>
        <w:trPr>
          <w:cantSplit/>
        </w:trPr>
        <w:tc>
          <w:tcPr>
            <w:tcW w:w="4537" w:type="dxa"/>
            <w:gridSpan w:val="3"/>
          </w:tcPr>
          <w:p>
            <w:pPr>
              <w:pStyle w:val="nTable"/>
              <w:spacing w:after="40"/>
            </w:pPr>
            <w:r>
              <w:rPr>
                <w:i/>
              </w:rPr>
              <w:t>Road Traffic (Fees for Vehicle Licences) Regulations 2000</w:t>
            </w:r>
            <w:r>
              <w:t xml:space="preserve"> published in </w:t>
            </w:r>
            <w:r>
              <w:rPr>
                <w:i/>
              </w:rPr>
              <w:t>Gazette</w:t>
            </w:r>
            <w:r>
              <w:t xml:space="preserve"> 17 May 2000 p. 2421</w:t>
            </w:r>
            <w:r>
              <w:noBreakHyphen/>
              <w:t>3</w:t>
            </w:r>
          </w:p>
        </w:tc>
        <w:tc>
          <w:tcPr>
            <w:tcW w:w="2551" w:type="dxa"/>
          </w:tcPr>
          <w:p>
            <w:pPr>
              <w:pStyle w:val="nTable"/>
              <w:spacing w:after="40"/>
            </w:pPr>
            <w:r>
              <w:t xml:space="preserve">31 May 2000 (see r. 2 and </w:t>
            </w:r>
            <w:r>
              <w:rPr>
                <w:i/>
              </w:rPr>
              <w:t>Gazette</w:t>
            </w:r>
            <w:r>
              <w:t xml:space="preserve"> 17 May 2000 p. 2426)</w:t>
            </w:r>
          </w:p>
        </w:tc>
      </w:tr>
      <w:tr>
        <w:trPr>
          <w:cantSplit/>
        </w:trPr>
        <w:tc>
          <w:tcPr>
            <w:tcW w:w="2267" w:type="dxa"/>
          </w:tcPr>
          <w:p>
            <w:pPr>
              <w:pStyle w:val="nTable"/>
              <w:spacing w:after="40"/>
            </w:pPr>
            <w:r>
              <w:rPr>
                <w:i/>
              </w:rPr>
              <w:t>Statutes (Repeals and Minor Amendments) Act 2000</w:t>
            </w:r>
            <w:r>
              <w:t xml:space="preserve"> s. 39 and 55</w:t>
            </w:r>
          </w:p>
        </w:tc>
        <w:tc>
          <w:tcPr>
            <w:tcW w:w="1134" w:type="dxa"/>
          </w:tcPr>
          <w:p>
            <w:pPr>
              <w:pStyle w:val="nTable"/>
              <w:keepNext/>
              <w:keepLines/>
              <w:spacing w:after="40"/>
            </w:pPr>
            <w:r>
              <w:t>24 of 2000</w:t>
            </w:r>
          </w:p>
        </w:tc>
        <w:tc>
          <w:tcPr>
            <w:tcW w:w="1136" w:type="dxa"/>
          </w:tcPr>
          <w:p>
            <w:pPr>
              <w:pStyle w:val="nTable"/>
              <w:spacing w:after="40"/>
            </w:pPr>
            <w:r>
              <w:t>4 Jul 2000</w:t>
            </w:r>
          </w:p>
        </w:tc>
        <w:tc>
          <w:tcPr>
            <w:tcW w:w="2551" w:type="dxa"/>
          </w:tcPr>
          <w:p>
            <w:pPr>
              <w:pStyle w:val="nTable"/>
              <w:spacing w:after="40"/>
            </w:pPr>
            <w:r>
              <w:t>4 Jul 2000 (see s. 2)</w:t>
            </w:r>
          </w:p>
        </w:tc>
      </w:tr>
      <w:tr>
        <w:trPr>
          <w:cantSplit/>
        </w:trPr>
        <w:tc>
          <w:tcPr>
            <w:tcW w:w="2267" w:type="dxa"/>
          </w:tcPr>
          <w:p>
            <w:pPr>
              <w:pStyle w:val="nTable"/>
              <w:spacing w:after="40"/>
              <w:rPr>
                <w:i/>
              </w:rPr>
            </w:pPr>
            <w:r>
              <w:rPr>
                <w:i/>
              </w:rPr>
              <w:t>Road Traffic Amendment</w:t>
            </w:r>
            <w:r>
              <w:rPr>
                <w:i/>
              </w:rPr>
              <w:br/>
              <w:t>Act 2000</w:t>
            </w:r>
            <w:r>
              <w:rPr>
                <w:iCs/>
              </w:rPr>
              <w:t xml:space="preserve"> Pt. 2</w:t>
            </w:r>
            <w:r>
              <w:t xml:space="preserve"> </w:t>
            </w:r>
            <w:r>
              <w:rPr>
                <w:vertAlign w:val="superscript"/>
              </w:rPr>
              <w:t>15-19</w:t>
            </w:r>
          </w:p>
        </w:tc>
        <w:tc>
          <w:tcPr>
            <w:tcW w:w="1134" w:type="dxa"/>
          </w:tcPr>
          <w:p>
            <w:pPr>
              <w:pStyle w:val="nTable"/>
              <w:spacing w:after="40"/>
            </w:pPr>
            <w:r>
              <w:t>39 of 2000</w:t>
            </w:r>
            <w:r>
              <w:br/>
              <w:t xml:space="preserve">(as amended by No. 5 of 2002 s. 15; No. 45 of 2002 s. 28(2); </w:t>
            </w:r>
            <w:r>
              <w:br/>
              <w:t>No. 84 of 2004 s. 80 (cl. 124))</w:t>
            </w:r>
          </w:p>
        </w:tc>
        <w:tc>
          <w:tcPr>
            <w:tcW w:w="1136" w:type="dxa"/>
          </w:tcPr>
          <w:p>
            <w:pPr>
              <w:pStyle w:val="nTable"/>
              <w:spacing w:after="40"/>
            </w:pPr>
            <w:r>
              <w:t>10 Oct 2000</w:t>
            </w:r>
          </w:p>
        </w:tc>
        <w:tc>
          <w:tcPr>
            <w:tcW w:w="2551" w:type="dxa"/>
          </w:tcPr>
          <w:p>
            <w:pPr>
              <w:pStyle w:val="nTable"/>
              <w:spacing w:after="40"/>
            </w:pPr>
            <w:r>
              <w:t>s. 3, 17(1), 34</w:t>
            </w:r>
            <w:r>
              <w:noBreakHyphen/>
              <w:t xml:space="preserve">37 and 47(3): 30 Jan 2001 (see s. 2 and </w:t>
            </w:r>
            <w:r>
              <w:rPr>
                <w:i/>
              </w:rPr>
              <w:t>Gazette</w:t>
            </w:r>
            <w:r>
              <w:t> 30 Jan 2001 p. 615);</w:t>
            </w:r>
            <w:r>
              <w:br/>
              <w:t xml:space="preserve">s. 18, 23, 24, 27, 29 and 48 and Sch. 1 (except cl. 3 and 5): 5 Feb 2001 (see s. 2 and </w:t>
            </w:r>
            <w:r>
              <w:rPr>
                <w:i/>
              </w:rPr>
              <w:t>Gazette</w:t>
            </w:r>
            <w:r>
              <w:t xml:space="preserve"> 30 Jan 2001 p. 615);</w:t>
            </w:r>
            <w:r>
              <w:br/>
              <w:t>s. 19</w:t>
            </w:r>
            <w:r>
              <w:noBreakHyphen/>
              <w:t xml:space="preserve">22, 25, 26, 28 and 45 and Sch. 1 cl. 3 and 5: 7 May 2001 (see s. 2 and </w:t>
            </w:r>
            <w:r>
              <w:rPr>
                <w:i/>
              </w:rPr>
              <w:t xml:space="preserve">Gazette </w:t>
            </w:r>
            <w:r>
              <w:t>23 Mar 2001 p. 1665);</w:t>
            </w:r>
            <w:r>
              <w:br/>
              <w:t xml:space="preserve">Proclamation of 9 Feb 2001 p. 767 revoked (see </w:t>
            </w:r>
            <w:r>
              <w:rPr>
                <w:i/>
              </w:rPr>
              <w:t>Gazette</w:t>
            </w:r>
            <w:r>
              <w:t xml:space="preserve"> 23 Mar 2001 p. 1665);</w:t>
            </w:r>
            <w:r>
              <w:br/>
              <w:t>s. 6 deleted by No. 5 of 2002 s. 15;</w:t>
            </w:r>
            <w:r>
              <w:br/>
              <w:t>s. 4, 5, 7</w:t>
            </w:r>
            <w:r>
              <w:noBreakHyphen/>
              <w:t>16, 17(2), 30</w:t>
            </w:r>
            <w:r>
              <w:noBreakHyphen/>
              <w:t>33, 38</w:t>
            </w:r>
            <w:r>
              <w:noBreakHyphen/>
              <w:t xml:space="preserve">44, 46, 47(1), (2) and (4): 1 Jan 2006 (see s. 2 and </w:t>
            </w:r>
            <w:r>
              <w:rPr>
                <w:i/>
              </w:rPr>
              <w:t>Gazette</w:t>
            </w:r>
            <w:r>
              <w:t xml:space="preserve"> 23 Dec 2005 p. 6244</w:t>
            </w:r>
            <w:r>
              <w:noBreakHyphen/>
              <w:t>5)</w:t>
            </w:r>
          </w:p>
        </w:tc>
      </w:tr>
      <w:tr>
        <w:trPr>
          <w:cantSplit/>
        </w:trPr>
        <w:tc>
          <w:tcPr>
            <w:tcW w:w="2267" w:type="dxa"/>
          </w:tcPr>
          <w:p>
            <w:pPr>
              <w:pStyle w:val="nTable"/>
              <w:spacing w:after="40"/>
            </w:pPr>
            <w:r>
              <w:rPr>
                <w:i/>
              </w:rPr>
              <w:t>Acts Amendment (Fines Enforcement and Licence Suspension) Act 2000</w:t>
            </w:r>
            <w:r>
              <w:t xml:space="preserve"> Pt. 3</w:t>
            </w:r>
          </w:p>
        </w:tc>
        <w:tc>
          <w:tcPr>
            <w:tcW w:w="1134" w:type="dxa"/>
          </w:tcPr>
          <w:p>
            <w:pPr>
              <w:pStyle w:val="nTable"/>
              <w:keepNext/>
              <w:keepLines/>
              <w:spacing w:after="40"/>
            </w:pPr>
            <w:r>
              <w:t xml:space="preserve">51 of 2000 </w:t>
            </w:r>
          </w:p>
        </w:tc>
        <w:tc>
          <w:tcPr>
            <w:tcW w:w="1136" w:type="dxa"/>
          </w:tcPr>
          <w:p>
            <w:pPr>
              <w:pStyle w:val="nTable"/>
              <w:spacing w:after="40"/>
            </w:pPr>
            <w:r>
              <w:t>28 Nov 2000</w:t>
            </w:r>
          </w:p>
        </w:tc>
        <w:tc>
          <w:tcPr>
            <w:tcW w:w="2551" w:type="dxa"/>
          </w:tcPr>
          <w:p>
            <w:pPr>
              <w:pStyle w:val="nTable"/>
              <w:spacing w:after="40"/>
            </w:pPr>
            <w:r>
              <w:t xml:space="preserve">5 Feb 2001 (see s. 2 and </w:t>
            </w:r>
            <w:r>
              <w:rPr>
                <w:i/>
              </w:rPr>
              <w:t xml:space="preserve">Gazette </w:t>
            </w:r>
            <w:r>
              <w:t>30 Jan 2001 p. 615)</w:t>
            </w:r>
          </w:p>
        </w:tc>
      </w:tr>
      <w:tr>
        <w:trPr>
          <w:cantSplit/>
        </w:trPr>
        <w:tc>
          <w:tcPr>
            <w:tcW w:w="4537" w:type="dxa"/>
            <w:gridSpan w:val="3"/>
          </w:tcPr>
          <w:p>
            <w:pPr>
              <w:pStyle w:val="nTable"/>
              <w:spacing w:after="40"/>
            </w:pPr>
            <w:r>
              <w:rPr>
                <w:i/>
              </w:rPr>
              <w:t>Road Traffic (Fees for Vehicle Licences) Regulations 2001</w:t>
            </w:r>
            <w:r>
              <w:t xml:space="preserve"> published in </w:t>
            </w:r>
            <w:r>
              <w:rPr>
                <w:i/>
              </w:rPr>
              <w:t>Gazette</w:t>
            </w:r>
            <w:r>
              <w:t xml:space="preserve"> 29 Jun 2001 p. 3247</w:t>
            </w:r>
          </w:p>
        </w:tc>
        <w:tc>
          <w:tcPr>
            <w:tcW w:w="2551" w:type="dxa"/>
          </w:tcPr>
          <w:p>
            <w:pPr>
              <w:pStyle w:val="nTable"/>
              <w:spacing w:after="40"/>
            </w:pPr>
            <w:r>
              <w:t>29 Jun 2001 (see r. 2)</w:t>
            </w:r>
          </w:p>
        </w:tc>
      </w:tr>
      <w:tr>
        <w:trPr>
          <w:cantSplit/>
        </w:trPr>
        <w:tc>
          <w:tcPr>
            <w:tcW w:w="4537" w:type="dxa"/>
            <w:gridSpan w:val="3"/>
          </w:tcPr>
          <w:p>
            <w:pPr>
              <w:pStyle w:val="nTable"/>
              <w:spacing w:after="40"/>
            </w:pPr>
            <w:r>
              <w:rPr>
                <w:i/>
              </w:rPr>
              <w:t>Road Traffic (Fees for Vehicle Licences) Regulations (No. 2) 2001</w:t>
            </w:r>
            <w:r>
              <w:t xml:space="preserve"> published in </w:t>
            </w:r>
            <w:r>
              <w:rPr>
                <w:i/>
              </w:rPr>
              <w:t>Gazette</w:t>
            </w:r>
            <w:r>
              <w:t xml:space="preserve"> 14 Aug 2001 p. 4256</w:t>
            </w:r>
            <w:r>
              <w:noBreakHyphen/>
              <w:t>8</w:t>
            </w:r>
          </w:p>
        </w:tc>
        <w:tc>
          <w:tcPr>
            <w:tcW w:w="2551" w:type="dxa"/>
          </w:tcPr>
          <w:p>
            <w:pPr>
              <w:pStyle w:val="nTable"/>
              <w:spacing w:after="40"/>
            </w:pPr>
            <w:r>
              <w:t>14 Aug 2001 (see r. 2)</w:t>
            </w:r>
          </w:p>
        </w:tc>
      </w:tr>
      <w:tr>
        <w:trPr>
          <w:cantSplit/>
        </w:trPr>
        <w:tc>
          <w:tcPr>
            <w:tcW w:w="7088" w:type="dxa"/>
            <w:gridSpan w:val="4"/>
          </w:tcPr>
          <w:p>
            <w:pPr>
              <w:pStyle w:val="nTable"/>
              <w:spacing w:after="40"/>
            </w:pPr>
            <w:r>
              <w:rPr>
                <w:b/>
              </w:rPr>
              <w:t xml:space="preserve">Reprint of the </w:t>
            </w:r>
            <w:r>
              <w:rPr>
                <w:b/>
                <w:i/>
              </w:rPr>
              <w:t xml:space="preserve">Road Traffic Act 1974 </w:t>
            </w:r>
            <w:r>
              <w:rPr>
                <w:b/>
              </w:rPr>
              <w:t>as at 19 Oct 2001</w:t>
            </w:r>
            <w:r>
              <w:t xml:space="preserve"> (includes amendments listed above except those in the </w:t>
            </w:r>
            <w:r>
              <w:rPr>
                <w:i/>
              </w:rPr>
              <w:t>Road Traffic Amendment Act 2000</w:t>
            </w:r>
            <w:r>
              <w:t xml:space="preserve"> s. 4</w:t>
            </w:r>
            <w:r>
              <w:noBreakHyphen/>
              <w:t>16, 17(2), 30</w:t>
            </w:r>
            <w:r>
              <w:noBreakHyphen/>
              <w:t>33, 38</w:t>
            </w:r>
            <w:r>
              <w:noBreakHyphen/>
              <w:t>44, 46, 47(1), (2) and (4)</w:t>
            </w:r>
            <w:r>
              <w:rPr>
                <w:snapToGrid w:val="0"/>
              </w:rPr>
              <w:t>)</w:t>
            </w:r>
          </w:p>
        </w:tc>
      </w:tr>
      <w:tr>
        <w:trPr>
          <w:cantSplit/>
        </w:trPr>
        <w:tc>
          <w:tcPr>
            <w:tcW w:w="2267" w:type="dxa"/>
          </w:tcPr>
          <w:p>
            <w:pPr>
              <w:pStyle w:val="nTable"/>
              <w:spacing w:after="40"/>
            </w:pPr>
            <w:r>
              <w:rPr>
                <w:i/>
              </w:rPr>
              <w:t>Road Traffic Amendment Act 2001</w:t>
            </w:r>
          </w:p>
        </w:tc>
        <w:tc>
          <w:tcPr>
            <w:tcW w:w="1134" w:type="dxa"/>
          </w:tcPr>
          <w:p>
            <w:pPr>
              <w:pStyle w:val="nTable"/>
              <w:spacing w:after="40"/>
            </w:pPr>
            <w:r>
              <w:t>27 of 2001</w:t>
            </w:r>
          </w:p>
        </w:tc>
        <w:tc>
          <w:tcPr>
            <w:tcW w:w="1136" w:type="dxa"/>
          </w:tcPr>
          <w:p>
            <w:pPr>
              <w:pStyle w:val="nTable"/>
              <w:spacing w:after="40"/>
            </w:pPr>
            <w:r>
              <w:t>21 Dec 2001</w:t>
            </w:r>
          </w:p>
        </w:tc>
        <w:tc>
          <w:tcPr>
            <w:tcW w:w="2551" w:type="dxa"/>
          </w:tcPr>
          <w:p>
            <w:pPr>
              <w:pStyle w:val="nTable"/>
              <w:spacing w:after="40"/>
            </w:pPr>
            <w:r>
              <w:t>s. 1 and 2: 21 Dec 2001;</w:t>
            </w:r>
            <w:r>
              <w:br/>
              <w:t xml:space="preserve">Act other than s. 1 and 2: 10 Aug 2002 (see s. 2 and </w:t>
            </w:r>
            <w:r>
              <w:rPr>
                <w:i/>
              </w:rPr>
              <w:t>Gazette</w:t>
            </w:r>
            <w:r>
              <w:t xml:space="preserve"> 9 Aug 2002 p. 3853</w:t>
            </w:r>
            <w:r>
              <w:noBreakHyphen/>
              <w:t>4)</w:t>
            </w:r>
          </w:p>
        </w:tc>
      </w:tr>
      <w:tr>
        <w:trPr>
          <w:cantSplit/>
        </w:trPr>
        <w:tc>
          <w:tcPr>
            <w:tcW w:w="2267" w:type="dxa"/>
          </w:tcPr>
          <w:p>
            <w:pPr>
              <w:pStyle w:val="nTable"/>
              <w:spacing w:after="40"/>
            </w:pPr>
            <w:r>
              <w:rPr>
                <w:i/>
              </w:rPr>
              <w:t>Road Traffic Amendment (Vehicle Licensing) Act 2001</w:t>
            </w:r>
            <w:r>
              <w:t xml:space="preserve"> Pt. 2</w:t>
            </w:r>
          </w:p>
        </w:tc>
        <w:tc>
          <w:tcPr>
            <w:tcW w:w="1134" w:type="dxa"/>
          </w:tcPr>
          <w:p>
            <w:pPr>
              <w:pStyle w:val="nTable"/>
              <w:spacing w:after="40"/>
            </w:pPr>
            <w:r>
              <w:t>28 of 2001 (as amended by No. 45 of 2002 s. 29(2))</w:t>
            </w:r>
          </w:p>
        </w:tc>
        <w:tc>
          <w:tcPr>
            <w:tcW w:w="1136" w:type="dxa"/>
          </w:tcPr>
          <w:p>
            <w:pPr>
              <w:pStyle w:val="nTable"/>
              <w:spacing w:after="40"/>
            </w:pPr>
            <w:r>
              <w:t>21 Dec 2001</w:t>
            </w:r>
          </w:p>
        </w:tc>
        <w:tc>
          <w:tcPr>
            <w:tcW w:w="2551" w:type="dxa"/>
          </w:tcPr>
          <w:p>
            <w:pPr>
              <w:pStyle w:val="nTable"/>
              <w:spacing w:after="40"/>
            </w:pPr>
            <w:r>
              <w:t xml:space="preserve">4 Dec 2006 (see s. 2 and </w:t>
            </w:r>
            <w:r>
              <w:rPr>
                <w:i/>
              </w:rPr>
              <w:t>Gazette</w:t>
            </w:r>
            <w:r>
              <w:t xml:space="preserve"> 28 Nov 2006 p. 4889)</w:t>
            </w:r>
          </w:p>
        </w:tc>
      </w:tr>
      <w:tr>
        <w:trPr>
          <w:cantSplit/>
        </w:trPr>
        <w:tc>
          <w:tcPr>
            <w:tcW w:w="4537" w:type="dxa"/>
            <w:gridSpan w:val="3"/>
          </w:tcPr>
          <w:p>
            <w:pPr>
              <w:pStyle w:val="nTable"/>
              <w:spacing w:after="40"/>
            </w:pPr>
            <w:r>
              <w:rPr>
                <w:i/>
              </w:rPr>
              <w:t>Road Traffic (Fees for Vehicle Licenses) Regulations 2002</w:t>
            </w:r>
            <w:r>
              <w:t xml:space="preserve"> published in </w:t>
            </w:r>
            <w:r>
              <w:rPr>
                <w:i/>
              </w:rPr>
              <w:t>Gazette</w:t>
            </w:r>
            <w:r>
              <w:t xml:space="preserve"> 17 May 2002 p. 2558</w:t>
            </w:r>
            <w:r>
              <w:noBreakHyphen/>
              <w:t>60</w:t>
            </w:r>
          </w:p>
        </w:tc>
        <w:tc>
          <w:tcPr>
            <w:tcW w:w="2551" w:type="dxa"/>
          </w:tcPr>
          <w:p>
            <w:pPr>
              <w:pStyle w:val="nTable"/>
              <w:spacing w:after="40"/>
            </w:pPr>
            <w:r>
              <w:t>17 May 2002 (see r. 2)</w:t>
            </w:r>
          </w:p>
        </w:tc>
      </w:tr>
      <w:tr>
        <w:trPr>
          <w:cantSplit/>
        </w:trPr>
        <w:tc>
          <w:tcPr>
            <w:tcW w:w="2267" w:type="dxa"/>
          </w:tcPr>
          <w:p>
            <w:pPr>
              <w:pStyle w:val="nTable"/>
              <w:spacing w:after="40"/>
              <w:rPr>
                <w:i/>
              </w:rPr>
            </w:pPr>
            <w:r>
              <w:rPr>
                <w:i/>
              </w:rPr>
              <w:t>Motor Vehicle Dealers Amendment Act 2002</w:t>
            </w:r>
            <w:r>
              <w:t xml:space="preserve"> s. 72</w:t>
            </w:r>
          </w:p>
        </w:tc>
        <w:tc>
          <w:tcPr>
            <w:tcW w:w="1134" w:type="dxa"/>
          </w:tcPr>
          <w:p>
            <w:pPr>
              <w:pStyle w:val="nTable"/>
              <w:spacing w:after="40"/>
            </w:pPr>
            <w:r>
              <w:t>4 of 2002</w:t>
            </w:r>
          </w:p>
        </w:tc>
        <w:tc>
          <w:tcPr>
            <w:tcW w:w="1136" w:type="dxa"/>
          </w:tcPr>
          <w:p>
            <w:pPr>
              <w:pStyle w:val="nTable"/>
              <w:spacing w:after="40"/>
            </w:pPr>
            <w:r>
              <w:t>4 Jun 2002</w:t>
            </w:r>
          </w:p>
        </w:tc>
        <w:tc>
          <w:tcPr>
            <w:tcW w:w="2551" w:type="dxa"/>
          </w:tcPr>
          <w:p>
            <w:pPr>
              <w:pStyle w:val="nTable"/>
              <w:spacing w:after="40"/>
            </w:pPr>
            <w:r>
              <w:t xml:space="preserve">1 Sep 2002 (see s. 2 and </w:t>
            </w:r>
            <w:r>
              <w:rPr>
                <w:i/>
              </w:rPr>
              <w:t>Gazette</w:t>
            </w:r>
            <w:r>
              <w:t xml:space="preserve"> 13 Aug 2002 p. 4151)</w:t>
            </w:r>
          </w:p>
        </w:tc>
      </w:tr>
      <w:tr>
        <w:trPr>
          <w:cantSplit/>
        </w:trPr>
        <w:tc>
          <w:tcPr>
            <w:tcW w:w="2267" w:type="dxa"/>
          </w:tcPr>
          <w:p>
            <w:pPr>
              <w:pStyle w:val="nTable"/>
              <w:spacing w:after="40"/>
            </w:pPr>
            <w:r>
              <w:rPr>
                <w:i/>
              </w:rPr>
              <w:t>Road Safety Council Act 2002</w:t>
            </w:r>
            <w:r>
              <w:t xml:space="preserve"> s. 15</w:t>
            </w:r>
          </w:p>
        </w:tc>
        <w:tc>
          <w:tcPr>
            <w:tcW w:w="1134" w:type="dxa"/>
          </w:tcPr>
          <w:p>
            <w:pPr>
              <w:pStyle w:val="nTable"/>
              <w:spacing w:after="40"/>
            </w:pPr>
            <w:r>
              <w:t>5 of 2002</w:t>
            </w:r>
          </w:p>
        </w:tc>
        <w:tc>
          <w:tcPr>
            <w:tcW w:w="1136" w:type="dxa"/>
          </w:tcPr>
          <w:p>
            <w:pPr>
              <w:pStyle w:val="nTable"/>
              <w:spacing w:after="40"/>
            </w:pPr>
            <w:r>
              <w:t>4 Jun 2002</w:t>
            </w:r>
          </w:p>
        </w:tc>
        <w:tc>
          <w:tcPr>
            <w:tcW w:w="2551" w:type="dxa"/>
          </w:tcPr>
          <w:p>
            <w:pPr>
              <w:pStyle w:val="nTable"/>
              <w:spacing w:after="40"/>
            </w:pPr>
            <w:r>
              <w:t xml:space="preserve">1 Jul 2002 (see s. 2(1) and </w:t>
            </w:r>
            <w:r>
              <w:rPr>
                <w:i/>
              </w:rPr>
              <w:t>Gazette</w:t>
            </w:r>
            <w:r>
              <w:t xml:space="preserve"> 1 Jul 2002 p. 3205)</w:t>
            </w:r>
          </w:p>
        </w:tc>
      </w:tr>
      <w:tr>
        <w:trPr>
          <w:cantSplit/>
        </w:trPr>
        <w:tc>
          <w:tcPr>
            <w:tcW w:w="2267" w:type="dxa"/>
          </w:tcPr>
          <w:p>
            <w:pPr>
              <w:pStyle w:val="nTable"/>
              <w:spacing w:after="40"/>
              <w:rPr>
                <w:vertAlign w:val="superscript"/>
              </w:rPr>
            </w:pPr>
            <w:r>
              <w:rPr>
                <w:i/>
                <w:snapToGrid w:val="0"/>
              </w:rPr>
              <w:t xml:space="preserve">Machinery of Government (Planning and Infrastructure) Amendment Act 2002 </w:t>
            </w:r>
            <w:r>
              <w:rPr>
                <w:snapToGrid w:val="0"/>
              </w:rPr>
              <w:t>Pt. 7</w:t>
            </w:r>
            <w:r>
              <w:rPr>
                <w:snapToGrid w:val="0"/>
                <w:vertAlign w:val="superscript"/>
              </w:rPr>
              <w:t> 20</w:t>
            </w:r>
          </w:p>
        </w:tc>
        <w:tc>
          <w:tcPr>
            <w:tcW w:w="1134" w:type="dxa"/>
          </w:tcPr>
          <w:p>
            <w:pPr>
              <w:pStyle w:val="nTable"/>
              <w:spacing w:after="40"/>
            </w:pPr>
            <w:r>
              <w:rPr>
                <w:snapToGrid w:val="0"/>
              </w:rPr>
              <w:t>7 of 2002</w:t>
            </w:r>
          </w:p>
        </w:tc>
        <w:tc>
          <w:tcPr>
            <w:tcW w:w="1136" w:type="dxa"/>
          </w:tcPr>
          <w:p>
            <w:pPr>
              <w:pStyle w:val="nTable"/>
              <w:spacing w:after="40"/>
            </w:pPr>
            <w:r>
              <w:t>19 Jun 2002</w:t>
            </w:r>
          </w:p>
        </w:tc>
        <w:tc>
          <w:tcPr>
            <w:tcW w:w="2551" w:type="dxa"/>
          </w:tcPr>
          <w:p>
            <w:pPr>
              <w:pStyle w:val="nTable"/>
              <w:spacing w:after="40"/>
            </w:pPr>
            <w:r>
              <w:t xml:space="preserve">1 Jul 2002 (see s. 2 and </w:t>
            </w:r>
            <w:r>
              <w:rPr>
                <w:i/>
              </w:rPr>
              <w:t>Gazette</w:t>
            </w:r>
            <w:r>
              <w:t xml:space="preserve"> 28 Jun 2002 p. 3037)</w:t>
            </w:r>
          </w:p>
        </w:tc>
      </w:tr>
      <w:tr>
        <w:trPr>
          <w:cantSplit/>
        </w:trPr>
        <w:tc>
          <w:tcPr>
            <w:tcW w:w="2267" w:type="dxa"/>
          </w:tcPr>
          <w:p>
            <w:pPr>
              <w:pStyle w:val="nTable"/>
              <w:spacing w:after="40"/>
              <w:rPr>
                <w:i/>
                <w:vertAlign w:val="superscript"/>
              </w:rPr>
            </w:pPr>
            <w:r>
              <w:rPr>
                <w:i/>
              </w:rPr>
              <w:t xml:space="preserve">Taxation Administration (Consequential Provisions) Act 2002 </w:t>
            </w:r>
            <w:r>
              <w:t>s. 27</w:t>
            </w:r>
            <w:r>
              <w:rPr>
                <w:vertAlign w:val="superscript"/>
              </w:rPr>
              <w:t> 21</w:t>
            </w:r>
          </w:p>
        </w:tc>
        <w:tc>
          <w:tcPr>
            <w:tcW w:w="1134" w:type="dxa"/>
          </w:tcPr>
          <w:p>
            <w:pPr>
              <w:pStyle w:val="nTable"/>
              <w:keepNext/>
              <w:spacing w:after="40"/>
            </w:pPr>
            <w:r>
              <w:t>45 of 2002</w:t>
            </w:r>
          </w:p>
        </w:tc>
        <w:tc>
          <w:tcPr>
            <w:tcW w:w="1136" w:type="dxa"/>
          </w:tcPr>
          <w:p>
            <w:pPr>
              <w:pStyle w:val="nTable"/>
              <w:keepNext/>
              <w:spacing w:after="40"/>
            </w:pPr>
            <w:r>
              <w:t>20 Mar 2003</w:t>
            </w:r>
          </w:p>
        </w:tc>
        <w:tc>
          <w:tcPr>
            <w:tcW w:w="2551" w:type="dxa"/>
          </w:tcPr>
          <w:p>
            <w:pPr>
              <w:pStyle w:val="nTable"/>
              <w:keepNext/>
              <w:spacing w:after="40"/>
            </w:pPr>
            <w:r>
              <w:t xml:space="preserve">1 Jul 2003 (see s. 2(1) and (2) and </w:t>
            </w:r>
            <w:r>
              <w:rPr>
                <w:i/>
              </w:rPr>
              <w:t>Gazette</w:t>
            </w:r>
            <w:r>
              <w:t xml:space="preserve"> 27 Jun 2003 p. 2383)</w:t>
            </w:r>
          </w:p>
        </w:tc>
      </w:tr>
      <w:tr>
        <w:trPr>
          <w:cantSplit/>
        </w:trPr>
        <w:tc>
          <w:tcPr>
            <w:tcW w:w="2267" w:type="dxa"/>
          </w:tcPr>
          <w:p>
            <w:pPr>
              <w:pStyle w:val="nTable"/>
              <w:spacing w:after="40"/>
              <w:rPr>
                <w:snapToGrid w:val="0"/>
              </w:rPr>
            </w:pPr>
            <w:r>
              <w:rPr>
                <w:i/>
                <w:snapToGrid w:val="0"/>
              </w:rPr>
              <w:t>Nurses Amendment Act 2003</w:t>
            </w:r>
            <w:r>
              <w:rPr>
                <w:snapToGrid w:val="0"/>
              </w:rPr>
              <w:t xml:space="preserve"> Pt. 3 Div. 7</w:t>
            </w:r>
          </w:p>
        </w:tc>
        <w:tc>
          <w:tcPr>
            <w:tcW w:w="1134" w:type="dxa"/>
          </w:tcPr>
          <w:p>
            <w:pPr>
              <w:pStyle w:val="nTable"/>
              <w:spacing w:after="40"/>
              <w:rPr>
                <w:snapToGrid w:val="0"/>
              </w:rPr>
            </w:pPr>
            <w:r>
              <w:rPr>
                <w:snapToGrid w:val="0"/>
              </w:rPr>
              <w:t>9 of 2003</w:t>
            </w:r>
          </w:p>
        </w:tc>
        <w:tc>
          <w:tcPr>
            <w:tcW w:w="1136" w:type="dxa"/>
          </w:tcPr>
          <w:p>
            <w:pPr>
              <w:pStyle w:val="nTable"/>
              <w:spacing w:after="40"/>
            </w:pPr>
            <w:r>
              <w:t>9 Apr 2003</w:t>
            </w:r>
          </w:p>
        </w:tc>
        <w:tc>
          <w:tcPr>
            <w:tcW w:w="2551" w:type="dxa"/>
          </w:tcPr>
          <w:p>
            <w:pPr>
              <w:pStyle w:val="nTable"/>
              <w:spacing w:after="40"/>
            </w:pPr>
            <w:r>
              <w:t>9 Apr 2003 (see s. 2)</w:t>
            </w:r>
          </w:p>
        </w:tc>
      </w:tr>
      <w:tr>
        <w:trPr>
          <w:cantSplit/>
        </w:trPr>
        <w:tc>
          <w:tcPr>
            <w:tcW w:w="4537" w:type="dxa"/>
            <w:gridSpan w:val="3"/>
          </w:tcPr>
          <w:p>
            <w:pPr>
              <w:pStyle w:val="nTable"/>
              <w:spacing w:after="40"/>
            </w:pPr>
            <w:r>
              <w:rPr>
                <w:i/>
              </w:rPr>
              <w:t>Road Traffic (Fees for Vehicle Licences) Regulations 2003</w:t>
            </w:r>
            <w:r>
              <w:t xml:space="preserve"> published in </w:t>
            </w:r>
            <w:r>
              <w:rPr>
                <w:i/>
              </w:rPr>
              <w:t>Gazette</w:t>
            </w:r>
            <w:r>
              <w:t xml:space="preserve"> 20 May 2003 p. 1804</w:t>
            </w:r>
            <w:r>
              <w:noBreakHyphen/>
              <w:t>6</w:t>
            </w:r>
          </w:p>
        </w:tc>
        <w:tc>
          <w:tcPr>
            <w:tcW w:w="2551" w:type="dxa"/>
          </w:tcPr>
          <w:p>
            <w:pPr>
              <w:pStyle w:val="nTable"/>
              <w:spacing w:after="40"/>
            </w:pPr>
            <w:r>
              <w:t>31 May 2003 (see r. 2)</w:t>
            </w:r>
          </w:p>
        </w:tc>
      </w:tr>
      <w:tr>
        <w:trPr>
          <w:cantSplit/>
        </w:trPr>
        <w:tc>
          <w:tcPr>
            <w:tcW w:w="2267" w:type="dxa"/>
          </w:tcPr>
          <w:p>
            <w:pPr>
              <w:pStyle w:val="nTable"/>
              <w:spacing w:after="40"/>
            </w:pPr>
            <w:r>
              <w:rPr>
                <w:i/>
              </w:rPr>
              <w:t>Sentencing Legislation Amendment and Repeal Act 2003</w:t>
            </w:r>
            <w:r>
              <w:t xml:space="preserve"> Pt. 3 and s. 92</w:t>
            </w:r>
          </w:p>
        </w:tc>
        <w:tc>
          <w:tcPr>
            <w:tcW w:w="1134" w:type="dxa"/>
          </w:tcPr>
          <w:p>
            <w:pPr>
              <w:pStyle w:val="nTable"/>
              <w:keepNext/>
              <w:spacing w:after="40"/>
            </w:pPr>
            <w:r>
              <w:t>50 of 2003</w:t>
            </w:r>
          </w:p>
        </w:tc>
        <w:tc>
          <w:tcPr>
            <w:tcW w:w="1136" w:type="dxa"/>
          </w:tcPr>
          <w:p>
            <w:pPr>
              <w:pStyle w:val="nTable"/>
              <w:keepNext/>
              <w:spacing w:after="40"/>
            </w:pPr>
            <w:r>
              <w:t>9 Jul 2003</w:t>
            </w:r>
          </w:p>
        </w:tc>
        <w:tc>
          <w:tcPr>
            <w:tcW w:w="2551" w:type="dxa"/>
          </w:tcPr>
          <w:p>
            <w:pPr>
              <w:pStyle w:val="nTable"/>
              <w:keepNext/>
              <w:spacing w:after="40"/>
            </w:pPr>
            <w:r>
              <w:t xml:space="preserve">Pt. 3: 30 Aug 2003 (see s. 2 and </w:t>
            </w:r>
            <w:r>
              <w:rPr>
                <w:i/>
              </w:rPr>
              <w:t>Gazette</w:t>
            </w:r>
            <w:r>
              <w:t xml:space="preserve"> 29 Aug 2003 p. 3833);</w:t>
            </w:r>
            <w:r>
              <w:br/>
              <w:t>s. 92: 15 May 2004 (see s. 2 and</w:t>
            </w:r>
            <w:r>
              <w:rPr>
                <w:i/>
              </w:rPr>
              <w:t xml:space="preserve"> Gazette </w:t>
            </w:r>
            <w:r>
              <w:t>14 May 2004 p. 1445)</w:t>
            </w:r>
          </w:p>
        </w:tc>
      </w:tr>
      <w:tr>
        <w:trPr>
          <w:cantSplit/>
        </w:trPr>
        <w:tc>
          <w:tcPr>
            <w:tcW w:w="2267" w:type="dxa"/>
          </w:tcPr>
          <w:p>
            <w:pPr>
              <w:pStyle w:val="nTable"/>
              <w:spacing w:after="40"/>
            </w:pPr>
            <w:r>
              <w:rPr>
                <w:i/>
              </w:rPr>
              <w:t>Statutes (Repeals and Minor Amendments) Act 2003</w:t>
            </w:r>
            <w:r>
              <w:t xml:space="preserve"> s. 105</w:t>
            </w:r>
            <w:r>
              <w:rPr>
                <w:vertAlign w:val="superscript"/>
              </w:rPr>
              <w:t> 22</w:t>
            </w:r>
          </w:p>
        </w:tc>
        <w:tc>
          <w:tcPr>
            <w:tcW w:w="1134" w:type="dxa"/>
          </w:tcPr>
          <w:p>
            <w:pPr>
              <w:pStyle w:val="nTable"/>
              <w:keepNext/>
              <w:spacing w:after="40"/>
            </w:pPr>
            <w:r>
              <w:t>74 of 2003</w:t>
            </w:r>
          </w:p>
        </w:tc>
        <w:tc>
          <w:tcPr>
            <w:tcW w:w="1136" w:type="dxa"/>
          </w:tcPr>
          <w:p>
            <w:pPr>
              <w:pStyle w:val="nTable"/>
              <w:keepNext/>
              <w:spacing w:after="40"/>
            </w:pPr>
            <w:r>
              <w:t>15 Dec 2003</w:t>
            </w:r>
          </w:p>
        </w:tc>
        <w:tc>
          <w:tcPr>
            <w:tcW w:w="2551" w:type="dxa"/>
          </w:tcPr>
          <w:p>
            <w:pPr>
              <w:pStyle w:val="nTable"/>
              <w:keepNext/>
              <w:spacing w:after="40"/>
            </w:pPr>
            <w:r>
              <w:t>15 Dec 2003 (see s. 2)</w:t>
            </w:r>
          </w:p>
        </w:tc>
      </w:tr>
      <w:tr>
        <w:trPr>
          <w:cantSplit/>
        </w:trPr>
        <w:tc>
          <w:tcPr>
            <w:tcW w:w="2267" w:type="dxa"/>
          </w:tcPr>
          <w:p>
            <w:pPr>
              <w:pStyle w:val="nTable"/>
              <w:spacing w:after="40"/>
              <w:rPr>
                <w:vertAlign w:val="superscript"/>
              </w:rPr>
            </w:pPr>
            <w:r>
              <w:rPr>
                <w:i/>
              </w:rPr>
              <w:t xml:space="preserve">Criminal Code Amendment Act 2004 </w:t>
            </w:r>
            <w:r>
              <w:t>s. 58</w:t>
            </w:r>
          </w:p>
        </w:tc>
        <w:tc>
          <w:tcPr>
            <w:tcW w:w="1134" w:type="dxa"/>
          </w:tcPr>
          <w:p>
            <w:pPr>
              <w:pStyle w:val="nTable"/>
              <w:keepNext/>
              <w:spacing w:after="40"/>
            </w:pPr>
            <w:r>
              <w:t>4 of 2004</w:t>
            </w:r>
          </w:p>
        </w:tc>
        <w:tc>
          <w:tcPr>
            <w:tcW w:w="1136" w:type="dxa"/>
          </w:tcPr>
          <w:p>
            <w:pPr>
              <w:pStyle w:val="nTable"/>
              <w:keepNext/>
              <w:spacing w:after="40"/>
            </w:pPr>
            <w:r>
              <w:t>23 Apr 2004</w:t>
            </w:r>
          </w:p>
        </w:tc>
        <w:tc>
          <w:tcPr>
            <w:tcW w:w="2551" w:type="dxa"/>
          </w:tcPr>
          <w:p>
            <w:pPr>
              <w:pStyle w:val="nTable"/>
              <w:keepNext/>
              <w:spacing w:after="40"/>
            </w:pPr>
            <w:r>
              <w:t>21 May 2004 (see s. 2)</w:t>
            </w:r>
          </w:p>
        </w:tc>
      </w:tr>
      <w:tr>
        <w:trPr>
          <w:cantSplit/>
        </w:trPr>
        <w:tc>
          <w:tcPr>
            <w:tcW w:w="4537" w:type="dxa"/>
            <w:gridSpan w:val="3"/>
          </w:tcPr>
          <w:p>
            <w:pPr>
              <w:pStyle w:val="nTable"/>
              <w:spacing w:after="40"/>
            </w:pPr>
            <w:r>
              <w:rPr>
                <w:i/>
              </w:rPr>
              <w:t>Road Traffic (Fees for Vehicle Licences) Regulations 2004</w:t>
            </w:r>
            <w:r>
              <w:t xml:space="preserve"> published in </w:t>
            </w:r>
            <w:r>
              <w:rPr>
                <w:i/>
              </w:rPr>
              <w:t>Gazette</w:t>
            </w:r>
            <w:r>
              <w:t xml:space="preserve"> 28 May 2004 p. 1843</w:t>
            </w:r>
            <w:r>
              <w:noBreakHyphen/>
              <w:t>5</w:t>
            </w:r>
          </w:p>
        </w:tc>
        <w:tc>
          <w:tcPr>
            <w:tcW w:w="2551" w:type="dxa"/>
          </w:tcPr>
          <w:p>
            <w:pPr>
              <w:pStyle w:val="nTable"/>
              <w:spacing w:after="40"/>
            </w:pPr>
            <w:r>
              <w:t>31 May 2004 (see r. 2)</w:t>
            </w:r>
          </w:p>
        </w:tc>
      </w:tr>
      <w:tr>
        <w:trPr>
          <w:cantSplit/>
        </w:trPr>
        <w:tc>
          <w:tcPr>
            <w:tcW w:w="2267" w:type="dxa"/>
          </w:tcPr>
          <w:p>
            <w:pPr>
              <w:pStyle w:val="nTable"/>
              <w:spacing w:after="40"/>
            </w:pPr>
            <w:r>
              <w:rPr>
                <w:i/>
              </w:rPr>
              <w:t>Road Traffic Amendment Act 2004</w:t>
            </w:r>
          </w:p>
        </w:tc>
        <w:tc>
          <w:tcPr>
            <w:tcW w:w="1134" w:type="dxa"/>
          </w:tcPr>
          <w:p>
            <w:pPr>
              <w:pStyle w:val="nTable"/>
              <w:spacing w:after="40"/>
            </w:pPr>
            <w:r>
              <w:t>6 of 2004</w:t>
            </w:r>
          </w:p>
        </w:tc>
        <w:tc>
          <w:tcPr>
            <w:tcW w:w="1136" w:type="dxa"/>
          </w:tcPr>
          <w:p>
            <w:pPr>
              <w:pStyle w:val="nTable"/>
              <w:spacing w:after="40"/>
            </w:pPr>
            <w:r>
              <w:t>10 Jun 2004</w:t>
            </w:r>
          </w:p>
        </w:tc>
        <w:tc>
          <w:tcPr>
            <w:tcW w:w="2551" w:type="dxa"/>
          </w:tcPr>
          <w:p>
            <w:pPr>
              <w:pStyle w:val="nTable"/>
              <w:spacing w:after="40"/>
            </w:pPr>
            <w:r>
              <w:t>10 Jun 2004 (see s. 2)</w:t>
            </w:r>
          </w:p>
        </w:tc>
      </w:tr>
      <w:tr>
        <w:trPr>
          <w:cantSplit/>
        </w:trPr>
        <w:tc>
          <w:tcPr>
            <w:tcW w:w="2267" w:type="dxa"/>
          </w:tcPr>
          <w:p>
            <w:pPr>
              <w:pStyle w:val="nTable"/>
              <w:spacing w:after="40"/>
            </w:pPr>
            <w:r>
              <w:rPr>
                <w:i/>
              </w:rPr>
              <w:t>Road Traffic Amendment (Impounding and Confiscation of Vehicles) Act 2004</w:t>
            </w:r>
          </w:p>
        </w:tc>
        <w:tc>
          <w:tcPr>
            <w:tcW w:w="1134" w:type="dxa"/>
          </w:tcPr>
          <w:p>
            <w:pPr>
              <w:pStyle w:val="nTable"/>
              <w:spacing w:after="40"/>
            </w:pPr>
            <w:r>
              <w:t>10 of 2004</w:t>
            </w:r>
          </w:p>
        </w:tc>
        <w:tc>
          <w:tcPr>
            <w:tcW w:w="1136" w:type="dxa"/>
          </w:tcPr>
          <w:p>
            <w:pPr>
              <w:pStyle w:val="nTable"/>
              <w:spacing w:after="40"/>
            </w:pPr>
            <w:r>
              <w:t>23 Jun 2004</w:t>
            </w:r>
          </w:p>
        </w:tc>
        <w:tc>
          <w:tcPr>
            <w:tcW w:w="2551" w:type="dxa"/>
          </w:tcPr>
          <w:p>
            <w:pPr>
              <w:pStyle w:val="nTable"/>
              <w:spacing w:after="40"/>
            </w:pPr>
            <w:r>
              <w:t>s. 1 and 2: 23 Jun 2004;</w:t>
            </w:r>
            <w:r>
              <w:br/>
              <w:t xml:space="preserve">Act other than s. 1 and 2: 4 Sep 2004 (see s. 2 and </w:t>
            </w:r>
            <w:r>
              <w:rPr>
                <w:i/>
              </w:rPr>
              <w:t>Gazette</w:t>
            </w:r>
            <w:r>
              <w:t xml:space="preserve"> 3 Sep 2004 p. 3849)</w:t>
            </w:r>
          </w:p>
        </w:tc>
      </w:tr>
      <w:tr>
        <w:trPr>
          <w:cantSplit/>
        </w:trPr>
        <w:tc>
          <w:tcPr>
            <w:tcW w:w="7088" w:type="dxa"/>
            <w:gridSpan w:val="4"/>
          </w:tcPr>
          <w:p>
            <w:pPr>
              <w:pStyle w:val="nTable"/>
              <w:spacing w:after="40"/>
              <w:rPr>
                <w:i/>
              </w:rPr>
            </w:pPr>
            <w:r>
              <w:rPr>
                <w:b/>
              </w:rPr>
              <w:t xml:space="preserve">Reprint 8:  The </w:t>
            </w:r>
            <w:r>
              <w:rPr>
                <w:b/>
                <w:i/>
              </w:rPr>
              <w:t xml:space="preserve">Road Traffic Act 1974 </w:t>
            </w:r>
            <w:r>
              <w:rPr>
                <w:b/>
              </w:rPr>
              <w:t xml:space="preserve">as at 16 Jul 2004 </w:t>
            </w:r>
            <w:r>
              <w:t xml:space="preserve">(includes amendments listed above except those in the </w:t>
            </w:r>
            <w:r>
              <w:rPr>
                <w:i/>
              </w:rPr>
              <w:t>Road Traffic Amendment Act 2000</w:t>
            </w:r>
            <w:r>
              <w:t xml:space="preserve"> s. 4, 5, 7</w:t>
            </w:r>
            <w:r>
              <w:noBreakHyphen/>
              <w:t>16, 17(2), 30</w:t>
            </w:r>
            <w:r>
              <w:noBreakHyphen/>
              <w:t>33, 38</w:t>
            </w:r>
            <w:r>
              <w:noBreakHyphen/>
              <w:t xml:space="preserve">44, 46, 47(1), (2) and (4), </w:t>
            </w:r>
            <w:r>
              <w:rPr>
                <w:i/>
              </w:rPr>
              <w:t>Road Traffic Amendment (Vehicle Licensing) Act 2001</w:t>
            </w:r>
            <w:r>
              <w:t xml:space="preserve"> and the </w:t>
            </w:r>
            <w:r>
              <w:rPr>
                <w:i/>
              </w:rPr>
              <w:t>Road Traffic Amendment (Impounding and Confiscation of Vehicles) Act 2004</w:t>
            </w:r>
            <w:r>
              <w:t>)</w:t>
            </w:r>
          </w:p>
        </w:tc>
      </w:tr>
      <w:tr>
        <w:trPr>
          <w:cantSplit/>
        </w:trPr>
        <w:tc>
          <w:tcPr>
            <w:tcW w:w="2267" w:type="dxa"/>
          </w:tcPr>
          <w:p>
            <w:pPr>
              <w:pStyle w:val="nTable"/>
              <w:spacing w:after="40"/>
            </w:pPr>
            <w:r>
              <w:rPr>
                <w:i/>
              </w:rPr>
              <w:t>Road Traffic Amendment (Dangerous Driving) Act 2004</w:t>
            </w:r>
            <w:r>
              <w:rPr>
                <w:vertAlign w:val="superscript"/>
              </w:rPr>
              <w:t> 23</w:t>
            </w:r>
          </w:p>
        </w:tc>
        <w:tc>
          <w:tcPr>
            <w:tcW w:w="1134" w:type="dxa"/>
          </w:tcPr>
          <w:p>
            <w:pPr>
              <w:pStyle w:val="nTable"/>
              <w:spacing w:after="40"/>
            </w:pPr>
            <w:r>
              <w:t>44 of 2004</w:t>
            </w:r>
          </w:p>
        </w:tc>
        <w:tc>
          <w:tcPr>
            <w:tcW w:w="1136" w:type="dxa"/>
          </w:tcPr>
          <w:p>
            <w:pPr>
              <w:pStyle w:val="nTable"/>
              <w:spacing w:after="40"/>
            </w:pPr>
            <w:r>
              <w:t>9 Nov 2004</w:t>
            </w:r>
          </w:p>
        </w:tc>
        <w:tc>
          <w:tcPr>
            <w:tcW w:w="2551" w:type="dxa"/>
          </w:tcPr>
          <w:p>
            <w:pPr>
              <w:pStyle w:val="nTable"/>
              <w:spacing w:after="40"/>
            </w:pPr>
            <w:r>
              <w:t>s. 1 and 2: 9 Nov 2004;</w:t>
            </w:r>
            <w:r>
              <w:br/>
              <w:t xml:space="preserve">Act other than s. 1 and 2: 1 Jan 2005 (see s. 2 and </w:t>
            </w:r>
            <w:r>
              <w:rPr>
                <w:i/>
              </w:rPr>
              <w:t>Gazette</w:t>
            </w:r>
            <w:r>
              <w:t xml:space="preserve"> 31 Dec 2004 p. 7132)</w:t>
            </w:r>
          </w:p>
        </w:tc>
      </w:tr>
      <w:tr>
        <w:trPr>
          <w:cantSplit/>
        </w:trPr>
        <w:tc>
          <w:tcPr>
            <w:tcW w:w="2267" w:type="dxa"/>
          </w:tcPr>
          <w:p>
            <w:pPr>
              <w:pStyle w:val="nTable"/>
              <w:spacing w:after="40"/>
              <w:ind w:right="113"/>
              <w:rPr>
                <w:i/>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pPr>
              <w:pStyle w:val="nTable"/>
              <w:keepNext/>
              <w:spacing w:after="40"/>
            </w:pPr>
            <w:r>
              <w:rPr>
                <w:snapToGrid w:val="0"/>
              </w:rPr>
              <w:t>59 of 2004 (as amended by No. 2 of 2008 s. 77(13))</w:t>
            </w:r>
          </w:p>
        </w:tc>
        <w:tc>
          <w:tcPr>
            <w:tcW w:w="1136" w:type="dxa"/>
          </w:tcPr>
          <w:p>
            <w:pPr>
              <w:pStyle w:val="nTable"/>
              <w:keepNext/>
              <w:spacing w:after="40"/>
            </w:pPr>
            <w:r>
              <w:t>23 Nov 2004</w:t>
            </w:r>
          </w:p>
        </w:tc>
        <w:tc>
          <w:tcPr>
            <w:tcW w:w="2551" w:type="dxa"/>
          </w:tcPr>
          <w:p>
            <w:pPr>
              <w:pStyle w:val="nTable"/>
              <w:keepNext/>
              <w:spacing w:after="40"/>
            </w:pPr>
            <w:r>
              <w:rPr>
                <w:snapToGrid w:val="0"/>
              </w:rPr>
              <w:t xml:space="preserve">1 May 2005 (see s. 2 and </w:t>
            </w:r>
            <w:r>
              <w:rPr>
                <w:i/>
                <w:snapToGrid w:val="0"/>
              </w:rPr>
              <w:t>Gazette</w:t>
            </w:r>
            <w:r>
              <w:rPr>
                <w:snapToGrid w:val="0"/>
              </w:rPr>
              <w:t xml:space="preserve"> 31 Dec 2004 p. 7128) </w:t>
            </w:r>
          </w:p>
        </w:tc>
      </w:tr>
      <w:tr>
        <w:trPr>
          <w:cantSplit/>
        </w:trPr>
        <w:tc>
          <w:tcPr>
            <w:tcW w:w="2267" w:type="dxa"/>
          </w:tcPr>
          <w:p>
            <w:pPr>
              <w:pStyle w:val="nTable"/>
              <w:spacing w:after="40"/>
              <w:rPr>
                <w:i/>
                <w:vertAlign w:val="superscript"/>
              </w:rPr>
            </w:pPr>
            <w:r>
              <w:rPr>
                <w:i/>
              </w:rPr>
              <w:t xml:space="preserve">State Administrative Tribunal (Conferral of Jurisdiction) Amendment and Repeal Act 2004 </w:t>
            </w:r>
            <w:r>
              <w:t>Pt. 2 Div. 115</w:t>
            </w:r>
            <w:r>
              <w:rPr>
                <w:vertAlign w:val="superscript"/>
              </w:rPr>
              <w:t> 25</w:t>
            </w:r>
          </w:p>
        </w:tc>
        <w:tc>
          <w:tcPr>
            <w:tcW w:w="1134" w:type="dxa"/>
          </w:tcPr>
          <w:p>
            <w:pPr>
              <w:pStyle w:val="nTable"/>
              <w:spacing w:after="40"/>
            </w:pPr>
            <w:r>
              <w:t>55 of 2004</w:t>
            </w:r>
          </w:p>
        </w:tc>
        <w:tc>
          <w:tcPr>
            <w:tcW w:w="1136" w:type="dxa"/>
          </w:tcPr>
          <w:p>
            <w:pPr>
              <w:pStyle w:val="nTable"/>
              <w:spacing w:after="40"/>
            </w:pPr>
            <w:r>
              <w:t>24 Nov 2004</w:t>
            </w:r>
          </w:p>
        </w:tc>
        <w:tc>
          <w:tcPr>
            <w:tcW w:w="2551" w:type="dxa"/>
          </w:tcPr>
          <w:p>
            <w:pPr>
              <w:pStyle w:val="nTable"/>
              <w:spacing w:after="40"/>
            </w:pPr>
            <w:r>
              <w:t xml:space="preserve">1 Jan 2005 (see s. 2 and </w:t>
            </w:r>
            <w:r>
              <w:rPr>
                <w:i/>
              </w:rPr>
              <w:t>Gazette</w:t>
            </w:r>
            <w:r>
              <w:t xml:space="preserve"> 31 Dec 2004 p. 7130)</w:t>
            </w:r>
          </w:p>
        </w:tc>
      </w:tr>
      <w:tr>
        <w:trPr>
          <w:cantSplit/>
        </w:trPr>
        <w:tc>
          <w:tcPr>
            <w:tcW w:w="2267" w:type="dxa"/>
          </w:tcPr>
          <w:p>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tcPr>
          <w:p>
            <w:pPr>
              <w:pStyle w:val="nTable"/>
              <w:keepNext/>
              <w:spacing w:after="40"/>
              <w:rPr>
                <w:snapToGrid w:val="0"/>
              </w:rPr>
            </w:pPr>
            <w:r>
              <w:rPr>
                <w:snapToGrid w:val="0"/>
              </w:rPr>
              <w:t>70 of 2004</w:t>
            </w:r>
          </w:p>
        </w:tc>
        <w:tc>
          <w:tcPr>
            <w:tcW w:w="1136" w:type="dxa"/>
          </w:tcPr>
          <w:p>
            <w:pPr>
              <w:pStyle w:val="nTable"/>
              <w:keepNext/>
              <w:spacing w:after="40"/>
            </w:pPr>
            <w:r>
              <w:rPr>
                <w:snapToGrid w:val="0"/>
              </w:rPr>
              <w:t>8 Dec 2004</w:t>
            </w:r>
          </w:p>
        </w:tc>
        <w:tc>
          <w:tcPr>
            <w:tcW w:w="2551" w:type="dxa"/>
          </w:tcPr>
          <w:p>
            <w:pPr>
              <w:pStyle w:val="nTable"/>
              <w:keepNext/>
              <w:spacing w:after="40"/>
              <w:rPr>
                <w:snapToGrid w:val="0"/>
              </w:rPr>
            </w:pPr>
            <w:r>
              <w:rPr>
                <w:snapToGrid w:val="0"/>
              </w:rPr>
              <w:t xml:space="preserve">31 May 2005 (see s. 2 and </w:t>
            </w:r>
            <w:r>
              <w:rPr>
                <w:i/>
                <w:snapToGrid w:val="0"/>
              </w:rPr>
              <w:t>Gazette</w:t>
            </w:r>
            <w:r>
              <w:rPr>
                <w:snapToGrid w:val="0"/>
              </w:rPr>
              <w:t xml:space="preserve"> 14 Jan 2005 p. 163)</w:t>
            </w:r>
          </w:p>
        </w:tc>
      </w:tr>
      <w:tr>
        <w:trPr>
          <w:cantSplit/>
        </w:trPr>
        <w:tc>
          <w:tcPr>
            <w:tcW w:w="2267"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78, 80 and 82</w:t>
            </w:r>
          </w:p>
        </w:tc>
        <w:tc>
          <w:tcPr>
            <w:tcW w:w="1134" w:type="dxa"/>
          </w:tcPr>
          <w:p>
            <w:pPr>
              <w:pStyle w:val="nTable"/>
              <w:keepNext/>
              <w:spacing w:after="40"/>
              <w:rPr>
                <w:snapToGrid w:val="0"/>
              </w:rPr>
            </w:pPr>
            <w:r>
              <w:rPr>
                <w:snapToGrid w:val="0"/>
              </w:rPr>
              <w:t>84 of 2004</w:t>
            </w:r>
          </w:p>
        </w:tc>
        <w:tc>
          <w:tcPr>
            <w:tcW w:w="1136" w:type="dxa"/>
          </w:tcPr>
          <w:p>
            <w:pPr>
              <w:pStyle w:val="nTable"/>
              <w:keepNext/>
              <w:spacing w:after="40"/>
            </w:pPr>
            <w:r>
              <w:t>16 Dec 2004</w:t>
            </w:r>
          </w:p>
        </w:tc>
        <w:tc>
          <w:tcPr>
            <w:tcW w:w="2551" w:type="dxa"/>
          </w:tcPr>
          <w:p>
            <w:pPr>
              <w:pStyle w:val="nTable"/>
              <w:keepNext/>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4537" w:type="dxa"/>
            <w:gridSpan w:val="3"/>
          </w:tcPr>
          <w:p>
            <w:pPr>
              <w:pStyle w:val="nTable"/>
              <w:spacing w:after="40"/>
              <w:rPr>
                <w:snapToGrid w:val="0"/>
              </w:rPr>
            </w:pPr>
            <w:r>
              <w:rPr>
                <w:i/>
                <w:snapToGrid w:val="0"/>
              </w:rPr>
              <w:t>Road Traffic (Fees for Vehicle Licences) Regulations (No. 2) 2004</w:t>
            </w:r>
            <w:r>
              <w:t xml:space="preserve"> published in</w:t>
            </w:r>
            <w:r>
              <w:rPr>
                <w:snapToGrid w:val="0"/>
              </w:rPr>
              <w:t xml:space="preserve"> </w:t>
            </w:r>
            <w:r>
              <w:rPr>
                <w:i/>
                <w:snapToGrid w:val="0"/>
              </w:rPr>
              <w:t xml:space="preserve">Gazette </w:t>
            </w:r>
            <w:r>
              <w:rPr>
                <w:snapToGrid w:val="0"/>
              </w:rPr>
              <w:t>24 Dec 2004 p. 6255</w:t>
            </w:r>
          </w:p>
        </w:tc>
        <w:tc>
          <w:tcPr>
            <w:tcW w:w="2551" w:type="dxa"/>
          </w:tcPr>
          <w:p>
            <w:pPr>
              <w:pStyle w:val="nTable"/>
              <w:spacing w:after="40"/>
              <w:rPr>
                <w:snapToGrid w:val="0"/>
              </w:rPr>
            </w:pPr>
            <w:r>
              <w:rPr>
                <w:snapToGrid w:val="0"/>
              </w:rPr>
              <w:t>1 Feb 2005 (see r. 2)</w:t>
            </w:r>
          </w:p>
        </w:tc>
      </w:tr>
      <w:tr>
        <w:trPr>
          <w:cantSplit/>
        </w:trPr>
        <w:tc>
          <w:tcPr>
            <w:tcW w:w="4537" w:type="dxa"/>
            <w:gridSpan w:val="3"/>
          </w:tcPr>
          <w:p>
            <w:pPr>
              <w:pStyle w:val="nTable"/>
              <w:spacing w:after="40"/>
            </w:pPr>
            <w:r>
              <w:rPr>
                <w:i/>
                <w:snapToGrid w:val="0"/>
              </w:rPr>
              <w:t>Road Traffic (Fees for Vehicle Licences) Regulations 2005</w:t>
            </w:r>
            <w:r>
              <w:t xml:space="preserve"> published in</w:t>
            </w:r>
            <w:r>
              <w:rPr>
                <w:snapToGrid w:val="0"/>
              </w:rPr>
              <w:t xml:space="preserve"> </w:t>
            </w:r>
            <w:r>
              <w:rPr>
                <w:i/>
                <w:snapToGrid w:val="0"/>
              </w:rPr>
              <w:t>Gazette</w:t>
            </w:r>
            <w:r>
              <w:rPr>
                <w:snapToGrid w:val="0"/>
              </w:rPr>
              <w:t xml:space="preserve"> 27 May 2005 p. 2306</w:t>
            </w:r>
            <w:r>
              <w:rPr>
                <w:snapToGrid w:val="0"/>
              </w:rPr>
              <w:noBreakHyphen/>
              <w:t>8</w:t>
            </w:r>
          </w:p>
        </w:tc>
        <w:tc>
          <w:tcPr>
            <w:tcW w:w="2551" w:type="dxa"/>
          </w:tcPr>
          <w:p>
            <w:pPr>
              <w:pStyle w:val="nTable"/>
              <w:keepNext/>
              <w:spacing w:after="40"/>
              <w:rPr>
                <w:snapToGrid w:val="0"/>
              </w:rPr>
            </w:pPr>
            <w:r>
              <w:t>31 May 2005 (see r. 2)</w:t>
            </w:r>
          </w:p>
        </w:tc>
      </w:tr>
      <w:tr>
        <w:trPr>
          <w:cantSplit/>
        </w:trPr>
        <w:tc>
          <w:tcPr>
            <w:tcW w:w="7088" w:type="dxa"/>
            <w:gridSpan w:val="4"/>
          </w:tcPr>
          <w:p>
            <w:pPr>
              <w:pStyle w:val="nTable"/>
              <w:spacing w:after="40"/>
            </w:pPr>
            <w:r>
              <w:rPr>
                <w:b/>
              </w:rPr>
              <w:t xml:space="preserve">Reprint 9: The </w:t>
            </w:r>
            <w:r>
              <w:rPr>
                <w:b/>
                <w:i/>
              </w:rPr>
              <w:t xml:space="preserve">Road Traffic Act 1974 </w:t>
            </w:r>
            <w:r>
              <w:rPr>
                <w:b/>
              </w:rPr>
              <w:t>as at 10 Mar 2006</w:t>
            </w:r>
            <w:r>
              <w:rPr>
                <w:b/>
                <w:i/>
              </w:rPr>
              <w:t xml:space="preserve"> </w:t>
            </w:r>
            <w:r>
              <w:t xml:space="preserve">(includes amendments listed above except those in the </w:t>
            </w:r>
            <w:r>
              <w:rPr>
                <w:i/>
              </w:rPr>
              <w:t>Road Traffic Amendment (Vehicle Licensing) Act 2001</w:t>
            </w:r>
            <w:r>
              <w:t>)</w:t>
            </w:r>
          </w:p>
        </w:tc>
      </w:tr>
      <w:tr>
        <w:trPr>
          <w:cantSplit/>
        </w:trPr>
        <w:tc>
          <w:tcPr>
            <w:tcW w:w="4537" w:type="dxa"/>
            <w:gridSpan w:val="3"/>
          </w:tcPr>
          <w:p>
            <w:pPr>
              <w:pStyle w:val="nTable"/>
              <w:spacing w:after="40"/>
              <w:rPr>
                <w:snapToGrid w:val="0"/>
              </w:rPr>
            </w:pPr>
            <w:r>
              <w:rPr>
                <w:i/>
                <w:snapToGrid w:val="0"/>
              </w:rPr>
              <w:t>Road Traffic (Fees for Vehicle Licences) Regulations 2006</w:t>
            </w:r>
            <w:r>
              <w:t xml:space="preserve"> published in</w:t>
            </w:r>
            <w:r>
              <w:rPr>
                <w:snapToGrid w:val="0"/>
              </w:rPr>
              <w:t xml:space="preserve"> </w:t>
            </w:r>
            <w:r>
              <w:rPr>
                <w:i/>
                <w:snapToGrid w:val="0"/>
              </w:rPr>
              <w:t xml:space="preserve">Gazette </w:t>
            </w:r>
            <w:r>
              <w:rPr>
                <w:snapToGrid w:val="0"/>
              </w:rPr>
              <w:t>26 May 2006 p. 1885</w:t>
            </w:r>
            <w:r>
              <w:rPr>
                <w:snapToGrid w:val="0"/>
              </w:rPr>
              <w:noBreakHyphen/>
              <w:t>8</w:t>
            </w:r>
          </w:p>
        </w:tc>
        <w:tc>
          <w:tcPr>
            <w:tcW w:w="2551" w:type="dxa"/>
          </w:tcPr>
          <w:p>
            <w:pPr>
              <w:pStyle w:val="nTable"/>
              <w:spacing w:after="40"/>
              <w:rPr>
                <w:snapToGrid w:val="0"/>
              </w:rPr>
            </w:pPr>
            <w:r>
              <w:rPr>
                <w:snapToGrid w:val="0"/>
              </w:rPr>
              <w:t>31 May 2006 (see r. 2)</w:t>
            </w:r>
          </w:p>
        </w:tc>
      </w:tr>
      <w:tr>
        <w:tc>
          <w:tcPr>
            <w:tcW w:w="2267" w:type="dxa"/>
          </w:tcPr>
          <w:p>
            <w:pPr>
              <w:pStyle w:val="nTable"/>
              <w:spacing w:after="40"/>
              <w:rPr>
                <w:i/>
              </w:rPr>
            </w:pPr>
            <w:r>
              <w:rPr>
                <w:i/>
                <w:snapToGrid w:val="0"/>
              </w:rPr>
              <w:t>Nurses and Midwives Act 2006</w:t>
            </w:r>
            <w:r>
              <w:rPr>
                <w:snapToGrid w:val="0"/>
              </w:rPr>
              <w:t xml:space="preserve"> Sch. 3 cl. 20</w:t>
            </w:r>
          </w:p>
        </w:tc>
        <w:tc>
          <w:tcPr>
            <w:tcW w:w="1134" w:type="dxa"/>
          </w:tcPr>
          <w:p>
            <w:pPr>
              <w:pStyle w:val="nTable"/>
              <w:spacing w:after="40"/>
            </w:pPr>
            <w:r>
              <w:rPr>
                <w:snapToGrid w:val="0"/>
              </w:rPr>
              <w:t>50 of 2006</w:t>
            </w:r>
          </w:p>
        </w:tc>
        <w:tc>
          <w:tcPr>
            <w:tcW w:w="1136" w:type="dxa"/>
          </w:tcPr>
          <w:p>
            <w:pPr>
              <w:pStyle w:val="nTable"/>
              <w:spacing w:after="40"/>
            </w:pPr>
            <w:r>
              <w:t>6 Oct 2006</w:t>
            </w:r>
          </w:p>
        </w:tc>
        <w:tc>
          <w:tcPr>
            <w:tcW w:w="2551"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7" w:type="dxa"/>
          </w:tcPr>
          <w:p>
            <w:pPr>
              <w:pStyle w:val="nTable"/>
              <w:spacing w:after="40"/>
              <w:rPr>
                <w:iCs/>
                <w:snapToGrid w:val="0"/>
                <w:vertAlign w:val="superscript"/>
              </w:rPr>
            </w:pPr>
            <w:r>
              <w:rPr>
                <w:i/>
              </w:rPr>
              <w:t xml:space="preserve">Road Traffic Amendment Act 2006 </w:t>
            </w:r>
            <w:r>
              <w:t xml:space="preserve">Pt. 2 </w:t>
            </w:r>
            <w:r>
              <w:rPr>
                <w:snapToGrid w:val="0"/>
              </w:rPr>
              <w:t>(s. 3-35)</w:t>
            </w:r>
            <w:r>
              <w:rPr>
                <w:vertAlign w:val="superscript"/>
              </w:rPr>
              <w:t> 26-28</w:t>
            </w:r>
          </w:p>
        </w:tc>
        <w:tc>
          <w:tcPr>
            <w:tcW w:w="1134" w:type="dxa"/>
          </w:tcPr>
          <w:p>
            <w:pPr>
              <w:pStyle w:val="nTable"/>
              <w:keepLines/>
              <w:spacing w:after="40"/>
              <w:rPr>
                <w:snapToGrid w:val="0"/>
              </w:rPr>
            </w:pPr>
            <w:r>
              <w:rPr>
                <w:snapToGrid w:val="0"/>
              </w:rPr>
              <w:t xml:space="preserve">54 of 2006 </w:t>
            </w:r>
          </w:p>
        </w:tc>
        <w:tc>
          <w:tcPr>
            <w:tcW w:w="1136" w:type="dxa"/>
          </w:tcPr>
          <w:p>
            <w:pPr>
              <w:pStyle w:val="nTable"/>
              <w:keepLines/>
              <w:spacing w:after="40"/>
              <w:rPr>
                <w:snapToGrid w:val="0"/>
              </w:rPr>
            </w:pPr>
            <w:r>
              <w:rPr>
                <w:snapToGrid w:val="0"/>
              </w:rPr>
              <w:t>26 Oct 2006</w:t>
            </w:r>
          </w:p>
        </w:tc>
        <w:tc>
          <w:tcPr>
            <w:tcW w:w="2551" w:type="dxa"/>
          </w:tcPr>
          <w:p>
            <w:pPr>
              <w:pStyle w:val="nTable"/>
              <w:keepLines/>
              <w:spacing w:after="40"/>
              <w:rPr>
                <w:snapToGrid w:val="0"/>
              </w:rPr>
            </w:pPr>
            <w:r>
              <w:rPr>
                <w:snapToGrid w:val="0"/>
              </w:rPr>
              <w:t xml:space="preserve">s. 27: 7 Jul 2007 (see s. 2 and </w:t>
            </w:r>
            <w:r>
              <w:rPr>
                <w:i/>
                <w:iCs/>
                <w:snapToGrid w:val="0"/>
              </w:rPr>
              <w:t>Gazette</w:t>
            </w:r>
            <w:r>
              <w:rPr>
                <w:snapToGrid w:val="0"/>
              </w:rPr>
              <w:t xml:space="preserve"> 6 Jul 2007 p. 3385);</w:t>
            </w:r>
            <w:r>
              <w:rPr>
                <w:snapToGrid w:val="0"/>
              </w:rPr>
              <w:br/>
              <w:t xml:space="preserve">s. 19: 11 Oct 2007 (see s. 2 and </w:t>
            </w:r>
            <w:r>
              <w:rPr>
                <w:i/>
                <w:iCs/>
                <w:snapToGrid w:val="0"/>
              </w:rPr>
              <w:t>Gazette</w:t>
            </w:r>
            <w:r>
              <w:rPr>
                <w:snapToGrid w:val="0"/>
              </w:rPr>
              <w:t xml:space="preserve"> 11 Oct 2007 p. 5475);</w:t>
            </w:r>
            <w:r>
              <w:rPr>
                <w:snapToGrid w:val="0"/>
              </w:rPr>
              <w:br/>
              <w:t xml:space="preserve">Pt. 2 (other than s. 19 and 27): 30 Jun 2008 (see s. 2 and </w:t>
            </w:r>
            <w:r>
              <w:rPr>
                <w:i/>
                <w:iCs/>
                <w:snapToGrid w:val="0"/>
              </w:rPr>
              <w:t>Gazette</w:t>
            </w:r>
            <w:r>
              <w:rPr>
                <w:snapToGrid w:val="0"/>
              </w:rPr>
              <w:t xml:space="preserve"> 10 Jun 2008 p. 2471)</w:t>
            </w:r>
          </w:p>
        </w:tc>
      </w:tr>
      <w:tr>
        <w:tc>
          <w:tcPr>
            <w:tcW w:w="2267"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6"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c>
          <w:tcPr>
            <w:tcW w:w="2267" w:type="dxa"/>
          </w:tcPr>
          <w:p>
            <w:pPr>
              <w:pStyle w:val="nTable"/>
              <w:spacing w:after="40"/>
              <w:rPr>
                <w:snapToGrid w:val="0"/>
              </w:rPr>
            </w:pPr>
            <w:r>
              <w:rPr>
                <w:i/>
              </w:rPr>
              <w:t>Road Traffic Amendment Act 2007</w:t>
            </w:r>
          </w:p>
        </w:tc>
        <w:tc>
          <w:tcPr>
            <w:tcW w:w="1134" w:type="dxa"/>
          </w:tcPr>
          <w:p>
            <w:pPr>
              <w:pStyle w:val="nTable"/>
              <w:spacing w:after="40"/>
              <w:rPr>
                <w:snapToGrid w:val="0"/>
              </w:rPr>
            </w:pPr>
            <w:r>
              <w:rPr>
                <w:snapToGrid w:val="0"/>
              </w:rPr>
              <w:t>4 of 2007</w:t>
            </w:r>
          </w:p>
        </w:tc>
        <w:tc>
          <w:tcPr>
            <w:tcW w:w="1136" w:type="dxa"/>
          </w:tcPr>
          <w:p>
            <w:pPr>
              <w:pStyle w:val="nTable"/>
              <w:spacing w:after="40"/>
              <w:rPr>
                <w:snapToGrid w:val="0"/>
              </w:rPr>
            </w:pPr>
            <w:r>
              <w:rPr>
                <w:snapToGrid w:val="0"/>
              </w:rPr>
              <w:t>11 Apr 2007</w:t>
            </w:r>
          </w:p>
        </w:tc>
        <w:tc>
          <w:tcPr>
            <w:tcW w:w="2551" w:type="dxa"/>
          </w:tcPr>
          <w:p>
            <w:pPr>
              <w:pStyle w:val="nTable"/>
              <w:spacing w:after="40"/>
              <w:rPr>
                <w:snapToGrid w:val="0"/>
              </w:rPr>
            </w:pPr>
            <w:r>
              <w:rPr>
                <w:snapToGrid w:val="0"/>
              </w:rPr>
              <w:t>s. 1 and 2: 11 Apr 2007;</w:t>
            </w:r>
            <w:r>
              <w:rPr>
                <w:snapToGrid w:val="0"/>
              </w:rPr>
              <w:br/>
              <w:t xml:space="preserve">Act other than s. 1 and 2: 1 May 2007 (see s. 2 and </w:t>
            </w:r>
            <w:r>
              <w:rPr>
                <w:i/>
                <w:iCs/>
                <w:snapToGrid w:val="0"/>
              </w:rPr>
              <w:t>Gazette</w:t>
            </w:r>
            <w:r>
              <w:rPr>
                <w:snapToGrid w:val="0"/>
              </w:rPr>
              <w:t xml:space="preserve"> 27 Apr 2007 p. 1831)</w:t>
            </w:r>
          </w:p>
        </w:tc>
      </w:tr>
      <w:tr>
        <w:tc>
          <w:tcPr>
            <w:tcW w:w="2267" w:type="dxa"/>
          </w:tcPr>
          <w:p>
            <w:pPr>
              <w:pStyle w:val="nTable"/>
              <w:spacing w:after="40"/>
              <w:rPr>
                <w:i/>
                <w:snapToGrid w:val="0"/>
              </w:rPr>
            </w:pPr>
            <w:r>
              <w:rPr>
                <w:i/>
              </w:rPr>
              <w:t>Road Traffic Amendment (Drugs) Act 2007</w:t>
            </w:r>
            <w:r>
              <w:rPr>
                <w:iCs/>
              </w:rPr>
              <w:t xml:space="preserve"> Pt. 2 </w:t>
            </w:r>
          </w:p>
        </w:tc>
        <w:tc>
          <w:tcPr>
            <w:tcW w:w="1134" w:type="dxa"/>
          </w:tcPr>
          <w:p>
            <w:pPr>
              <w:pStyle w:val="nTable"/>
              <w:spacing w:after="40"/>
              <w:rPr>
                <w:snapToGrid w:val="0"/>
              </w:rPr>
            </w:pPr>
            <w:r>
              <w:rPr>
                <w:snapToGrid w:val="0"/>
              </w:rPr>
              <w:t>6 of 2007</w:t>
            </w:r>
          </w:p>
        </w:tc>
        <w:tc>
          <w:tcPr>
            <w:tcW w:w="1136" w:type="dxa"/>
          </w:tcPr>
          <w:p>
            <w:pPr>
              <w:pStyle w:val="nTable"/>
              <w:spacing w:after="40"/>
            </w:pPr>
            <w:r>
              <w:t>23 May 2007</w:t>
            </w:r>
          </w:p>
        </w:tc>
        <w:tc>
          <w:tcPr>
            <w:tcW w:w="2551" w:type="dxa"/>
          </w:tcPr>
          <w:p>
            <w:pPr>
              <w:pStyle w:val="nTable"/>
              <w:spacing w:after="40"/>
              <w:rPr>
                <w:snapToGrid w:val="0"/>
              </w:rPr>
            </w:pPr>
            <w:r>
              <w:rPr>
                <w:snapToGrid w:val="0"/>
              </w:rPr>
              <w:t xml:space="preserve">12 Oct 2007 (see s. 2 and </w:t>
            </w:r>
            <w:r>
              <w:rPr>
                <w:i/>
                <w:iCs/>
                <w:snapToGrid w:val="0"/>
              </w:rPr>
              <w:t>Gazette</w:t>
            </w:r>
            <w:r>
              <w:rPr>
                <w:snapToGrid w:val="0"/>
              </w:rPr>
              <w:t xml:space="preserve"> 11 Oct 2007 p. 5475)</w:t>
            </w:r>
          </w:p>
        </w:tc>
      </w:tr>
      <w:tr>
        <w:tc>
          <w:tcPr>
            <w:tcW w:w="2267" w:type="dxa"/>
          </w:tcPr>
          <w:p>
            <w:pPr>
              <w:pStyle w:val="nTable"/>
              <w:spacing w:after="40"/>
              <w:rPr>
                <w:i/>
              </w:rPr>
            </w:pPr>
            <w:r>
              <w:rPr>
                <w:i/>
              </w:rPr>
              <w:t>Chemistry Centre (WA) Act 2007</w:t>
            </w:r>
            <w:r>
              <w:rPr>
                <w:iCs/>
              </w:rPr>
              <w:t> s. 43</w:t>
            </w:r>
          </w:p>
        </w:tc>
        <w:tc>
          <w:tcPr>
            <w:tcW w:w="1134" w:type="dxa"/>
          </w:tcPr>
          <w:p>
            <w:pPr>
              <w:pStyle w:val="nTable"/>
              <w:spacing w:after="40"/>
              <w:rPr>
                <w:snapToGrid w:val="0"/>
              </w:rPr>
            </w:pPr>
            <w:r>
              <w:t>10 of 2007</w:t>
            </w:r>
          </w:p>
        </w:tc>
        <w:tc>
          <w:tcPr>
            <w:tcW w:w="1136" w:type="dxa"/>
          </w:tcPr>
          <w:p>
            <w:pPr>
              <w:pStyle w:val="nTable"/>
              <w:spacing w:after="40"/>
              <w:rPr>
                <w:snapToGrid w:val="0"/>
              </w:rPr>
            </w:pPr>
            <w:r>
              <w:t>29 Jun 2007</w:t>
            </w:r>
          </w:p>
        </w:tc>
        <w:tc>
          <w:tcPr>
            <w:tcW w:w="2551" w:type="dxa"/>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c>
          <w:tcPr>
            <w:tcW w:w="2267" w:type="dxa"/>
          </w:tcPr>
          <w:p>
            <w:pPr>
              <w:pStyle w:val="nTable"/>
              <w:spacing w:after="40"/>
              <w:rPr>
                <w:iCs/>
              </w:rPr>
            </w:pPr>
            <w:r>
              <w:rPr>
                <w:i/>
              </w:rPr>
              <w:t xml:space="preserve">Road Traffic Amendment Act (No. 2) 2007 </w:t>
            </w:r>
            <w:r>
              <w:rPr>
                <w:iCs/>
              </w:rPr>
              <w:t xml:space="preserve">Pt. 2 </w:t>
            </w:r>
            <w:r>
              <w:rPr>
                <w:iCs/>
              </w:rPr>
              <w:br/>
            </w:r>
            <w:r>
              <w:rPr>
                <w:snapToGrid w:val="0"/>
              </w:rPr>
              <w:t>(s. 3-40)</w:t>
            </w:r>
          </w:p>
        </w:tc>
        <w:tc>
          <w:tcPr>
            <w:tcW w:w="1134" w:type="dxa"/>
          </w:tcPr>
          <w:p>
            <w:pPr>
              <w:pStyle w:val="nTable"/>
              <w:spacing w:after="40"/>
              <w:rPr>
                <w:snapToGrid w:val="0"/>
              </w:rPr>
            </w:pPr>
            <w:r>
              <w:rPr>
                <w:snapToGrid w:val="0"/>
              </w:rPr>
              <w:t>39 of 2007</w:t>
            </w:r>
          </w:p>
        </w:tc>
        <w:tc>
          <w:tcPr>
            <w:tcW w:w="1136" w:type="dxa"/>
          </w:tcPr>
          <w:p>
            <w:pPr>
              <w:pStyle w:val="nTable"/>
              <w:spacing w:after="40"/>
            </w:pPr>
            <w:r>
              <w:rPr>
                <w:snapToGrid w:val="0"/>
              </w:rPr>
              <w:t>21 Dec 2007</w:t>
            </w:r>
          </w:p>
        </w:tc>
        <w:tc>
          <w:tcPr>
            <w:tcW w:w="2551" w:type="dxa"/>
          </w:tcPr>
          <w:p>
            <w:pPr>
              <w:pStyle w:val="nTable"/>
              <w:spacing w:after="40"/>
              <w:rPr>
                <w:snapToGrid w:val="0"/>
              </w:rPr>
            </w:pPr>
            <w:r>
              <w:rPr>
                <w:snapToGrid w:val="0"/>
              </w:rPr>
              <w:t>Div. 6: 22 Dec 2007 (see s. 2(j));</w:t>
            </w:r>
            <w:r>
              <w:rPr>
                <w:snapToGrid w:val="0"/>
              </w:rPr>
              <w:br/>
              <w:t>s. 3-16 (other than s. 6(2)(b)(ii), 19-24, 27-30: 15 Mar 2008 (see s. 2(b)</w:t>
            </w:r>
            <w:r>
              <w:rPr>
                <w:snapToGrid w:val="0"/>
              </w:rPr>
              <w:noBreakHyphen/>
              <w:t xml:space="preserve">(j) and </w:t>
            </w:r>
            <w:r>
              <w:rPr>
                <w:i/>
                <w:iCs/>
                <w:snapToGrid w:val="0"/>
              </w:rPr>
              <w:t>Gazette</w:t>
            </w:r>
            <w:r>
              <w:rPr>
                <w:snapToGrid w:val="0"/>
              </w:rPr>
              <w:t xml:space="preserve"> 14 Mar 2008 p. 829);</w:t>
            </w:r>
            <w:r>
              <w:rPr>
                <w:snapToGrid w:val="0"/>
              </w:rPr>
              <w:br/>
              <w:t>s. 6(2)(b)(ii): 15 Mar 2008 (see s. 2(c));</w:t>
            </w:r>
            <w:r>
              <w:rPr>
                <w:snapToGrid w:val="0"/>
              </w:rPr>
              <w:br/>
              <w:t>s. 17, 18 and 25: 30 Jun 2008 (see s. 2(d)</w:t>
            </w:r>
            <w:r>
              <w:rPr>
                <w:snapToGrid w:val="0"/>
              </w:rPr>
              <w:noBreakHyphen/>
              <w:t>(f));</w:t>
            </w:r>
            <w:r>
              <w:rPr>
                <w:snapToGrid w:val="0"/>
              </w:rPr>
              <w:br/>
              <w:t>s. 26 and Div. 5: 1 Jul 2008 (see s. 2(g)</w:t>
            </w:r>
            <w:r>
              <w:rPr>
                <w:snapToGrid w:val="0"/>
              </w:rPr>
              <w:noBreakHyphen/>
              <w:t xml:space="preserve">(i) and </w:t>
            </w:r>
            <w:r>
              <w:rPr>
                <w:i/>
                <w:iCs/>
                <w:snapToGrid w:val="0"/>
              </w:rPr>
              <w:t>Gazette</w:t>
            </w:r>
            <w:r>
              <w:rPr>
                <w:snapToGrid w:val="0"/>
              </w:rPr>
              <w:t xml:space="preserve"> 27 Jun 2008 p. 3117);</w:t>
            </w:r>
            <w:r>
              <w:rPr>
                <w:snapToGrid w:val="0"/>
              </w:rPr>
              <w:br/>
              <w:t xml:space="preserve">Div. 4 (other than s. 26): 1 Dec 2010 (see s. 2(g) and </w:t>
            </w:r>
            <w:r>
              <w:rPr>
                <w:i/>
                <w:iCs/>
                <w:snapToGrid w:val="0"/>
              </w:rPr>
              <w:t>Gazette</w:t>
            </w:r>
            <w:r>
              <w:rPr>
                <w:snapToGrid w:val="0"/>
              </w:rPr>
              <w:t xml:space="preserve"> 12 Nov 2010 p. 5659)</w:t>
            </w:r>
          </w:p>
        </w:tc>
      </w:tr>
      <w:tr>
        <w:trPr>
          <w:cantSplit/>
        </w:trPr>
        <w:tc>
          <w:tcPr>
            <w:tcW w:w="2267" w:type="dxa"/>
          </w:tcPr>
          <w:p>
            <w:pPr>
              <w:pStyle w:val="nTable"/>
              <w:spacing w:after="40"/>
              <w:rPr>
                <w:i/>
              </w:rPr>
            </w:pPr>
            <w:r>
              <w:rPr>
                <w:i/>
                <w:snapToGrid w:val="0"/>
              </w:rPr>
              <w:t>Acts Amendment (Justice) Act 2008</w:t>
            </w:r>
            <w:r>
              <w:rPr>
                <w:iCs/>
                <w:snapToGrid w:val="0"/>
              </w:rPr>
              <w:t xml:space="preserve"> s. 131</w:t>
            </w:r>
          </w:p>
        </w:tc>
        <w:tc>
          <w:tcPr>
            <w:tcW w:w="1134" w:type="dxa"/>
          </w:tcPr>
          <w:p>
            <w:pPr>
              <w:pStyle w:val="nTable"/>
              <w:spacing w:after="40"/>
              <w:rPr>
                <w:snapToGrid w:val="0"/>
              </w:rPr>
            </w:pPr>
            <w:r>
              <w:t>5 of 2008</w:t>
            </w:r>
          </w:p>
        </w:tc>
        <w:tc>
          <w:tcPr>
            <w:tcW w:w="1136" w:type="dxa"/>
          </w:tcPr>
          <w:p>
            <w:pPr>
              <w:pStyle w:val="nTable"/>
              <w:spacing w:after="40"/>
              <w:rPr>
                <w:snapToGrid w:val="0"/>
              </w:rPr>
            </w:pPr>
            <w:r>
              <w:t>31 Mar 2008</w:t>
            </w:r>
          </w:p>
        </w:tc>
        <w:tc>
          <w:tcPr>
            <w:tcW w:w="2551"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7" w:type="dxa"/>
          </w:tcPr>
          <w:p>
            <w:pPr>
              <w:pStyle w:val="nTable"/>
              <w:spacing w:after="40"/>
              <w:rPr>
                <w:i/>
                <w:snapToGrid w:val="0"/>
              </w:rPr>
            </w:pPr>
            <w:r>
              <w:rPr>
                <w:i/>
              </w:rPr>
              <w:t>Duties Legislation Amendment Act 2008</w:t>
            </w:r>
            <w:r>
              <w:rPr>
                <w:iCs/>
              </w:rPr>
              <w:t xml:space="preserve"> </w:t>
            </w:r>
            <w:r>
              <w:rPr>
                <w:iCs/>
              </w:rPr>
              <w:br/>
              <w:t>Sch. 1 cl. 33</w:t>
            </w:r>
          </w:p>
        </w:tc>
        <w:tc>
          <w:tcPr>
            <w:tcW w:w="1134" w:type="dxa"/>
          </w:tcPr>
          <w:p>
            <w:pPr>
              <w:pStyle w:val="nTable"/>
              <w:spacing w:after="40"/>
            </w:pPr>
            <w:r>
              <w:t>12 of 2008</w:t>
            </w:r>
          </w:p>
        </w:tc>
        <w:tc>
          <w:tcPr>
            <w:tcW w:w="1136" w:type="dxa"/>
          </w:tcPr>
          <w:p>
            <w:pPr>
              <w:pStyle w:val="nTable"/>
              <w:spacing w:after="40"/>
            </w:pPr>
            <w:r>
              <w:t>14 Apr 2008</w:t>
            </w:r>
          </w:p>
        </w:tc>
        <w:tc>
          <w:tcPr>
            <w:tcW w:w="2551" w:type="dxa"/>
          </w:tcPr>
          <w:p>
            <w:pPr>
              <w:pStyle w:val="nTable"/>
              <w:spacing w:after="40"/>
              <w:rPr>
                <w:snapToGrid w:val="0"/>
              </w:rPr>
            </w:pPr>
            <w:r>
              <w:t>1 Jul 2008 (see s. 2(d))</w:t>
            </w:r>
          </w:p>
        </w:tc>
      </w:tr>
      <w:tr>
        <w:tblPrEx>
          <w:tblBorders>
            <w:top w:val="single" w:sz="8" w:space="0" w:color="auto"/>
            <w:bottom w:val="single" w:sz="8" w:space="0" w:color="auto"/>
            <w:insideH w:val="single" w:sz="8" w:space="0" w:color="auto"/>
          </w:tblBorders>
        </w:tblPrEx>
        <w:trPr>
          <w:cantSplit/>
        </w:trPr>
        <w:tc>
          <w:tcPr>
            <w:tcW w:w="2267" w:type="dxa"/>
            <w:tcBorders>
              <w:top w:val="nil"/>
              <w:bottom w:val="nil"/>
            </w:tcBorders>
          </w:tcPr>
          <w:p>
            <w:pPr>
              <w:pStyle w:val="nTable"/>
              <w:spacing w:after="40"/>
            </w:pPr>
            <w:r>
              <w:rPr>
                <w:i/>
                <w:snapToGrid w:val="0"/>
              </w:rPr>
              <w:t>Medical Practitioners Act 2008</w:t>
            </w:r>
            <w:r>
              <w:t xml:space="preserve"> Sch. 3 cl. 51</w:t>
            </w:r>
          </w:p>
        </w:tc>
        <w:tc>
          <w:tcPr>
            <w:tcW w:w="1134" w:type="dxa"/>
            <w:tcBorders>
              <w:top w:val="nil"/>
              <w:bottom w:val="nil"/>
            </w:tcBorders>
          </w:tcPr>
          <w:p>
            <w:pPr>
              <w:pStyle w:val="nTable"/>
              <w:spacing w:after="40"/>
            </w:pPr>
            <w:r>
              <w:t>22 of 2008</w:t>
            </w:r>
          </w:p>
        </w:tc>
        <w:tc>
          <w:tcPr>
            <w:tcW w:w="1136"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7" w:type="dxa"/>
          </w:tcPr>
          <w:p>
            <w:pPr>
              <w:pStyle w:val="nTable"/>
              <w:spacing w:after="40"/>
              <w:rPr>
                <w:iCs/>
              </w:rPr>
            </w:pPr>
            <w:r>
              <w:rPr>
                <w:i/>
              </w:rPr>
              <w:t>Road Traffic Amendment Act 2008</w:t>
            </w:r>
            <w:r>
              <w:rPr>
                <w:iCs/>
              </w:rPr>
              <w:t xml:space="preserve"> </w:t>
            </w:r>
          </w:p>
        </w:tc>
        <w:tc>
          <w:tcPr>
            <w:tcW w:w="1134" w:type="dxa"/>
          </w:tcPr>
          <w:p>
            <w:pPr>
              <w:pStyle w:val="nTable"/>
              <w:spacing w:after="40"/>
            </w:pPr>
            <w:r>
              <w:t>24 of 2008</w:t>
            </w:r>
          </w:p>
        </w:tc>
        <w:tc>
          <w:tcPr>
            <w:tcW w:w="1136" w:type="dxa"/>
          </w:tcPr>
          <w:p>
            <w:pPr>
              <w:pStyle w:val="nTable"/>
              <w:spacing w:after="40"/>
            </w:pPr>
            <w:r>
              <w:t>13 Jun 2008</w:t>
            </w:r>
          </w:p>
        </w:tc>
        <w:tc>
          <w:tcPr>
            <w:tcW w:w="2551" w:type="dxa"/>
          </w:tcPr>
          <w:p>
            <w:pPr>
              <w:pStyle w:val="nTable"/>
              <w:spacing w:after="40"/>
            </w:pPr>
            <w:r>
              <w:t>s. 1 and 2: 13 Jun 2008 (see s. 2(1)(a));</w:t>
            </w:r>
            <w:r>
              <w:br/>
              <w:t xml:space="preserve">Act other than s. 1, 2, 5(a) and 8: 19 Jul 2008 (see s. 2(1)(b) and </w:t>
            </w:r>
            <w:r>
              <w:rPr>
                <w:i/>
                <w:iCs/>
              </w:rPr>
              <w:t>Gazette</w:t>
            </w:r>
            <w:r>
              <w:t xml:space="preserve"> 18 Jul 2008 p. 3329);</w:t>
            </w:r>
            <w:r>
              <w:br/>
              <w:t xml:space="preserve">s. 5(a) and 8: 1 Jul 2009 (see s. 2(1)(b) and (2) and </w:t>
            </w:r>
            <w:r>
              <w:rPr>
                <w:i/>
                <w:iCs/>
              </w:rPr>
              <w:t>Gazette</w:t>
            </w:r>
            <w:r>
              <w:t xml:space="preserve"> 23 Jun 2009 p. 2423)</w:t>
            </w:r>
          </w:p>
        </w:tc>
      </w:tr>
      <w:tr>
        <w:trPr>
          <w:cantSplit/>
        </w:trPr>
        <w:tc>
          <w:tcPr>
            <w:tcW w:w="2267" w:type="dxa"/>
          </w:tcPr>
          <w:p>
            <w:pPr>
              <w:pStyle w:val="nTable"/>
              <w:spacing w:after="40"/>
              <w:rPr>
                <w:i/>
              </w:rPr>
            </w:pPr>
            <w:r>
              <w:rPr>
                <w:i/>
                <w:snapToGrid w:val="0"/>
              </w:rPr>
              <w:t>Criminal Law Amendment (Homicide) Act 2008</w:t>
            </w:r>
            <w:r>
              <w:rPr>
                <w:iCs/>
                <w:snapToGrid w:val="0"/>
              </w:rPr>
              <w:t xml:space="preserve"> s. 38</w:t>
            </w:r>
          </w:p>
        </w:tc>
        <w:tc>
          <w:tcPr>
            <w:tcW w:w="1134" w:type="dxa"/>
          </w:tcPr>
          <w:p>
            <w:pPr>
              <w:pStyle w:val="nTable"/>
              <w:spacing w:after="40"/>
            </w:pPr>
            <w:r>
              <w:t>29 of 2008</w:t>
            </w:r>
          </w:p>
        </w:tc>
        <w:tc>
          <w:tcPr>
            <w:tcW w:w="1136" w:type="dxa"/>
          </w:tcPr>
          <w:p>
            <w:pPr>
              <w:pStyle w:val="nTable"/>
              <w:spacing w:after="40"/>
            </w:pPr>
            <w:r>
              <w:t>27 Jun 2008</w:t>
            </w:r>
          </w:p>
        </w:tc>
        <w:tc>
          <w:tcPr>
            <w:tcW w:w="2551"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after="40"/>
              <w:rPr>
                <w:snapToGrid w:val="0"/>
              </w:rPr>
            </w:pPr>
            <w:r>
              <w:rPr>
                <w:b/>
              </w:rPr>
              <w:t xml:space="preserve">Reprint 10: The </w:t>
            </w:r>
            <w:r>
              <w:rPr>
                <w:b/>
                <w:i/>
              </w:rPr>
              <w:t xml:space="preserve">Road Traffic Act 1974 </w:t>
            </w:r>
            <w:r>
              <w:rPr>
                <w:b/>
              </w:rPr>
              <w:t>as at 3 Oct 2008</w:t>
            </w:r>
            <w:r>
              <w:rPr>
                <w:b/>
                <w:i/>
              </w:rPr>
              <w:t xml:space="preserve"> </w:t>
            </w:r>
            <w:r>
              <w:t xml:space="preserve">(includes amendments listed above except those in the </w:t>
            </w:r>
            <w:r>
              <w:rPr>
                <w:i/>
                <w:iCs/>
              </w:rPr>
              <w:t>Medical Practitioners Act 2008</w:t>
            </w:r>
            <w:r>
              <w:t xml:space="preserve">, </w:t>
            </w:r>
            <w:r>
              <w:rPr>
                <w:i/>
              </w:rPr>
              <w:t xml:space="preserve">Road Traffic Amendment Act (No. 2) 2007 </w:t>
            </w:r>
            <w:r>
              <w:rPr>
                <w:iCs/>
              </w:rPr>
              <w:t>Pt. 2 Div. 4 (other than s. 26)</w:t>
            </w:r>
            <w:r>
              <w:t xml:space="preserve"> and the </w:t>
            </w:r>
            <w:r>
              <w:rPr>
                <w:i/>
              </w:rPr>
              <w:t xml:space="preserve">Road Traffic Amendment Act 2008 </w:t>
            </w:r>
            <w:r>
              <w:rPr>
                <w:iCs/>
              </w:rPr>
              <w:t>s. 5(a) and 8</w:t>
            </w:r>
            <w:r>
              <w:t xml:space="preserve">) (correction in </w:t>
            </w:r>
            <w:r>
              <w:rPr>
                <w:i/>
                <w:iCs/>
              </w:rPr>
              <w:t>Gazette</w:t>
            </w:r>
            <w:r>
              <w:t xml:space="preserve"> 19 Oct 2010 p. 5202)</w:t>
            </w:r>
          </w:p>
        </w:tc>
      </w:tr>
      <w:tr>
        <w:tc>
          <w:tcPr>
            <w:tcW w:w="2267" w:type="dxa"/>
          </w:tcPr>
          <w:p>
            <w:pPr>
              <w:pStyle w:val="nTable"/>
              <w:spacing w:after="40"/>
              <w:rPr>
                <w:i/>
              </w:rPr>
            </w:pPr>
            <w:r>
              <w:rPr>
                <w:i/>
              </w:rPr>
              <w:t>Road Traffic Amendment (Hoons) Act 2009</w:t>
            </w:r>
            <w:r>
              <w:rPr>
                <w:iCs/>
              </w:rPr>
              <w:t xml:space="preserve"> Pt. 2 </w:t>
            </w:r>
          </w:p>
        </w:tc>
        <w:tc>
          <w:tcPr>
            <w:tcW w:w="1134" w:type="dxa"/>
          </w:tcPr>
          <w:p>
            <w:pPr>
              <w:pStyle w:val="nTable"/>
              <w:spacing w:after="40"/>
              <w:rPr>
                <w:snapToGrid w:val="0"/>
              </w:rPr>
            </w:pPr>
            <w:r>
              <w:rPr>
                <w:snapToGrid w:val="0"/>
              </w:rPr>
              <w:t>23 of 2009</w:t>
            </w:r>
          </w:p>
        </w:tc>
        <w:tc>
          <w:tcPr>
            <w:tcW w:w="1136" w:type="dxa"/>
          </w:tcPr>
          <w:p>
            <w:pPr>
              <w:pStyle w:val="nTable"/>
              <w:spacing w:after="40"/>
              <w:rPr>
                <w:snapToGrid w:val="0"/>
              </w:rPr>
            </w:pPr>
            <w:r>
              <w:rPr>
                <w:snapToGrid w:val="0"/>
              </w:rPr>
              <w:t>6 Oct 2009</w:t>
            </w:r>
          </w:p>
        </w:tc>
        <w:tc>
          <w:tcPr>
            <w:tcW w:w="2551" w:type="dxa"/>
          </w:tcPr>
          <w:p>
            <w:pPr>
              <w:pStyle w:val="nTable"/>
              <w:spacing w:after="40"/>
              <w:rPr>
                <w:snapToGrid w:val="0"/>
              </w:rPr>
            </w:pPr>
            <w:r>
              <w:rPr>
                <w:snapToGrid w:val="0"/>
              </w:rPr>
              <w:t xml:space="preserve">1 Jan 2010 (see s. 2(1)(b) and (2) and </w:t>
            </w:r>
            <w:r>
              <w:rPr>
                <w:i/>
                <w:iCs/>
                <w:snapToGrid w:val="0"/>
              </w:rPr>
              <w:t>Gazette</w:t>
            </w:r>
            <w:r>
              <w:rPr>
                <w:snapToGrid w:val="0"/>
              </w:rPr>
              <w:t xml:space="preserve"> 31 Dec 2009 p. 5421)</w:t>
            </w:r>
          </w:p>
        </w:tc>
      </w:tr>
      <w:tr>
        <w:tc>
          <w:tcPr>
            <w:tcW w:w="2267" w:type="dxa"/>
          </w:tcPr>
          <w:p>
            <w:pPr>
              <w:pStyle w:val="nTable"/>
              <w:spacing w:after="40"/>
              <w:rPr>
                <w:iCs/>
                <w:vertAlign w:val="superscript"/>
              </w:rPr>
            </w:pPr>
            <w:r>
              <w:rPr>
                <w:i/>
              </w:rPr>
              <w:t xml:space="preserve">Road Traffic Legislation Amendment (Registration Labels) Act 2009 </w:t>
            </w:r>
            <w:r>
              <w:rPr>
                <w:iCs/>
              </w:rPr>
              <w:t>Pt. 2</w:t>
            </w:r>
          </w:p>
        </w:tc>
        <w:tc>
          <w:tcPr>
            <w:tcW w:w="1134" w:type="dxa"/>
          </w:tcPr>
          <w:p>
            <w:pPr>
              <w:pStyle w:val="nTable"/>
              <w:spacing w:after="40"/>
              <w:rPr>
                <w:snapToGrid w:val="0"/>
              </w:rPr>
            </w:pPr>
            <w:r>
              <w:rPr>
                <w:snapToGrid w:val="0"/>
              </w:rPr>
              <w:t>39 of 2009</w:t>
            </w:r>
          </w:p>
        </w:tc>
        <w:tc>
          <w:tcPr>
            <w:tcW w:w="1136" w:type="dxa"/>
          </w:tcPr>
          <w:p>
            <w:pPr>
              <w:pStyle w:val="nTable"/>
              <w:spacing w:after="40"/>
              <w:rPr>
                <w:snapToGrid w:val="0"/>
              </w:rPr>
            </w:pPr>
            <w:r>
              <w:rPr>
                <w:snapToGrid w:val="0"/>
              </w:rPr>
              <w:t>3 Dec 2009</w:t>
            </w:r>
          </w:p>
        </w:tc>
        <w:tc>
          <w:tcPr>
            <w:tcW w:w="2551" w:type="dxa"/>
          </w:tcPr>
          <w:p>
            <w:pPr>
              <w:pStyle w:val="nTable"/>
              <w:spacing w:after="40"/>
              <w:rPr>
                <w:snapToGrid w:val="0"/>
              </w:rPr>
            </w:pPr>
            <w:r>
              <w:rPr>
                <w:snapToGrid w:val="0"/>
              </w:rPr>
              <w:t>1 Jan 2010 (see s. 2(b))</w:t>
            </w:r>
          </w:p>
        </w:tc>
      </w:tr>
      <w:tr>
        <w:tc>
          <w:tcPr>
            <w:tcW w:w="2267" w:type="dxa"/>
          </w:tcPr>
          <w:p>
            <w:pPr>
              <w:pStyle w:val="nTable"/>
              <w:spacing w:after="40"/>
              <w:rPr>
                <w:i/>
              </w:rPr>
            </w:pPr>
            <w:r>
              <w:rPr>
                <w:i/>
                <w:snapToGrid w:val="0"/>
              </w:rPr>
              <w:t>Credit (Commonwealth Powers) (Transitional and Consequential Provisions) Act 2010</w:t>
            </w:r>
            <w:r>
              <w:rPr>
                <w:i/>
                <w:iCs/>
                <w:snapToGrid w:val="0"/>
              </w:rPr>
              <w:t xml:space="preserve"> </w:t>
            </w:r>
            <w:r>
              <w:rPr>
                <w:snapToGrid w:val="0"/>
              </w:rPr>
              <w:t>s. 12</w:t>
            </w:r>
          </w:p>
        </w:tc>
        <w:tc>
          <w:tcPr>
            <w:tcW w:w="1134" w:type="dxa"/>
          </w:tcPr>
          <w:p>
            <w:pPr>
              <w:pStyle w:val="nTable"/>
              <w:spacing w:after="40"/>
              <w:rPr>
                <w:snapToGrid w:val="0"/>
              </w:rPr>
            </w:pPr>
            <w:r>
              <w:rPr>
                <w:snapToGrid w:val="0"/>
              </w:rPr>
              <w:t>14 of 2010</w:t>
            </w:r>
          </w:p>
        </w:tc>
        <w:tc>
          <w:tcPr>
            <w:tcW w:w="1136" w:type="dxa"/>
          </w:tcPr>
          <w:p>
            <w:pPr>
              <w:pStyle w:val="nTable"/>
              <w:spacing w:after="40"/>
              <w:rPr>
                <w:snapToGrid w:val="0"/>
              </w:rPr>
            </w:pPr>
            <w:r>
              <w:rPr>
                <w:snapToGrid w:val="0"/>
              </w:rPr>
              <w:t>25 Jun 2010</w:t>
            </w:r>
          </w:p>
        </w:tc>
        <w:tc>
          <w:tcPr>
            <w:tcW w:w="2551" w:type="dxa"/>
          </w:tcPr>
          <w:p>
            <w:pPr>
              <w:pStyle w:val="nTable"/>
              <w:spacing w:after="40"/>
              <w:rPr>
                <w:snapToGrid w:val="0"/>
              </w:rPr>
            </w:pPr>
            <w:r>
              <w:rPr>
                <w:snapToGrid w:val="0"/>
              </w:rPr>
              <w:t xml:space="preserve">1 Jul 2010 (see s. 2(b) and </w:t>
            </w:r>
            <w:r>
              <w:rPr>
                <w:i/>
                <w:iCs/>
                <w:snapToGrid w:val="0"/>
              </w:rPr>
              <w:t xml:space="preserve">Gazette </w:t>
            </w:r>
            <w:r>
              <w:rPr>
                <w:snapToGrid w:val="0"/>
              </w:rPr>
              <w:t>30 Jun 2010 p. 3185)</w:t>
            </w:r>
          </w:p>
        </w:tc>
      </w:tr>
      <w:tr>
        <w:trPr>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2267" w:type="dxa"/>
          </w:tcPr>
          <w:p>
            <w:pPr>
              <w:pStyle w:val="nTable"/>
              <w:spacing w:after="40"/>
              <w:rPr>
                <w:i/>
                <w:snapToGrid w:val="0"/>
              </w:rPr>
            </w:pPr>
            <w:r>
              <w:rPr>
                <w:i/>
                <w:snapToGrid w:val="0"/>
              </w:rPr>
              <w:t>Road Traffic Amendment Act 2010</w:t>
            </w:r>
          </w:p>
        </w:tc>
        <w:tc>
          <w:tcPr>
            <w:tcW w:w="1134" w:type="dxa"/>
          </w:tcPr>
          <w:p>
            <w:pPr>
              <w:pStyle w:val="nTable"/>
              <w:spacing w:after="40"/>
              <w:rPr>
                <w:snapToGrid w:val="0"/>
              </w:rPr>
            </w:pPr>
            <w:r>
              <w:rPr>
                <w:snapToGrid w:val="0"/>
              </w:rPr>
              <w:t>20 of 2010</w:t>
            </w:r>
          </w:p>
        </w:tc>
        <w:tc>
          <w:tcPr>
            <w:tcW w:w="1136" w:type="dxa"/>
          </w:tcPr>
          <w:p>
            <w:pPr>
              <w:pStyle w:val="nTable"/>
              <w:spacing w:after="40"/>
              <w:rPr>
                <w:snapToGrid w:val="0"/>
              </w:rPr>
            </w:pPr>
            <w:r>
              <w:rPr>
                <w:snapToGrid w:val="0"/>
              </w:rPr>
              <w:t>7 Jul 2010</w:t>
            </w:r>
          </w:p>
        </w:tc>
        <w:tc>
          <w:tcPr>
            <w:tcW w:w="2551" w:type="dxa"/>
          </w:tcPr>
          <w:p>
            <w:pPr>
              <w:pStyle w:val="nTable"/>
              <w:spacing w:after="40"/>
              <w:rPr>
                <w:snapToGrid w:val="0"/>
              </w:rPr>
            </w:pPr>
            <w:r>
              <w:rPr>
                <w:snapToGrid w:val="0"/>
              </w:rPr>
              <w:t>s. 1 and 2: 7 Jul 2010 (see s. 2(a));</w:t>
            </w:r>
            <w:r>
              <w:rPr>
                <w:snapToGrid w:val="0"/>
              </w:rPr>
              <w:br/>
              <w:t xml:space="preserve">Act other than s. 1 and 2: 1 Sep 2010 (see s. 2(b) and </w:t>
            </w:r>
            <w:r>
              <w:rPr>
                <w:i/>
                <w:iCs/>
                <w:snapToGrid w:val="0"/>
              </w:rPr>
              <w:t>Gazette</w:t>
            </w:r>
            <w:r>
              <w:rPr>
                <w:snapToGrid w:val="0"/>
              </w:rPr>
              <w:t xml:space="preserve"> 27 Aug 2010 p. 4105)</w:t>
            </w:r>
          </w:p>
        </w:tc>
      </w:tr>
      <w:tr>
        <w:trPr>
          <w:cantSplit/>
        </w:trPr>
        <w:tc>
          <w:tcPr>
            <w:tcW w:w="2267" w:type="dxa"/>
          </w:tcPr>
          <w:p>
            <w:pPr>
              <w:pStyle w:val="nTable"/>
              <w:spacing w:after="40"/>
              <w:rPr>
                <w:i/>
                <w:snapToGrid w:val="0"/>
              </w:rPr>
            </w:pPr>
            <w:r>
              <w:rPr>
                <w:i/>
                <w:snapToGrid w:val="0"/>
              </w:rPr>
              <w:t>Health Practitioner Regulation National Law (WA) Act 2010</w:t>
            </w:r>
            <w:r>
              <w:rPr>
                <w:iCs/>
                <w:snapToGrid w:val="0"/>
              </w:rPr>
              <w:t xml:space="preserve"> Pt. 5 Div. 45</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7" w:type="dxa"/>
          </w:tcPr>
          <w:p>
            <w:pPr>
              <w:pStyle w:val="nTable"/>
              <w:spacing w:after="40"/>
              <w:rPr>
                <w:i/>
                <w:snapToGrid w:val="0"/>
              </w:rPr>
            </w:pPr>
            <w:r>
              <w:rPr>
                <w:i/>
                <w:snapToGrid w:val="0"/>
              </w:rPr>
              <w:t xml:space="preserve">Road Traffic Legislation Amendment (Disqualification by Notice) Act 2010 </w:t>
            </w:r>
            <w:r>
              <w:rPr>
                <w:snapToGrid w:val="0"/>
              </w:rPr>
              <w:t>Pt. 2 (other than s. 12(2)(c), (5)(d) and (7)(b))</w:t>
            </w:r>
            <w:r>
              <w:rPr>
                <w:snapToGrid w:val="0"/>
                <w:vertAlign w:val="superscript"/>
              </w:rPr>
              <w:t> 29</w:t>
            </w:r>
          </w:p>
        </w:tc>
        <w:tc>
          <w:tcPr>
            <w:tcW w:w="1134" w:type="dxa"/>
          </w:tcPr>
          <w:p>
            <w:pPr>
              <w:pStyle w:val="nTable"/>
              <w:spacing w:after="40"/>
              <w:rPr>
                <w:snapToGrid w:val="0"/>
              </w:rPr>
            </w:pPr>
            <w:r>
              <w:rPr>
                <w:snapToGrid w:val="0"/>
              </w:rPr>
              <w:t>51 of 2010 (as amended by No. 17 of 2014 s. 36)</w:t>
            </w:r>
          </w:p>
        </w:tc>
        <w:tc>
          <w:tcPr>
            <w:tcW w:w="1136" w:type="dxa"/>
          </w:tcPr>
          <w:p>
            <w:pPr>
              <w:pStyle w:val="nTable"/>
              <w:spacing w:after="40"/>
              <w:rPr>
                <w:snapToGrid w:val="0"/>
              </w:rPr>
            </w:pPr>
            <w:r>
              <w:rPr>
                <w:snapToGrid w:val="0"/>
              </w:rPr>
              <w:t>8 Dec 2010</w:t>
            </w:r>
          </w:p>
        </w:tc>
        <w:tc>
          <w:tcPr>
            <w:tcW w:w="2551" w:type="dxa"/>
          </w:tcPr>
          <w:p>
            <w:pPr>
              <w:pStyle w:val="nTable"/>
              <w:spacing w:after="40"/>
              <w:rPr>
                <w:snapToGrid w:val="0"/>
              </w:rPr>
            </w:pPr>
            <w:r>
              <w:rPr>
                <w:snapToGrid w:val="0"/>
              </w:rPr>
              <w:t>s. 3 and 6</w:t>
            </w:r>
            <w:r>
              <w:rPr>
                <w:snapToGrid w:val="0"/>
              </w:rPr>
              <w:noBreakHyphen/>
              <w:t>10: 9 Dec 2010 (see s. 2(b));</w:t>
            </w:r>
            <w:r>
              <w:rPr>
                <w:snapToGrid w:val="0"/>
              </w:rPr>
              <w:br/>
              <w:t xml:space="preserve">s. 4 and 13: 9 Apr 2011 (see s. 2(c) and </w:t>
            </w:r>
            <w:r>
              <w:rPr>
                <w:i/>
                <w:snapToGrid w:val="0"/>
              </w:rPr>
              <w:t xml:space="preserve">Gazette </w:t>
            </w:r>
            <w:r>
              <w:rPr>
                <w:snapToGrid w:val="0"/>
              </w:rPr>
              <w:t>8 Apr 2011 p. 1281);</w:t>
            </w:r>
            <w:r>
              <w:rPr>
                <w:snapToGrid w:val="0"/>
              </w:rPr>
              <w:br/>
              <w:t xml:space="preserve">s. 12 (other than 12(2)(c), (5)(d) and (7)(b)): 4 Jul 2011 (see s. 2(c) and </w:t>
            </w:r>
            <w:r>
              <w:rPr>
                <w:i/>
                <w:snapToGrid w:val="0"/>
              </w:rPr>
              <w:t>Gazette</w:t>
            </w:r>
            <w:r>
              <w:rPr>
                <w:snapToGrid w:val="0"/>
              </w:rPr>
              <w:t xml:space="preserve"> 20 May 2011 p. 1837);</w:t>
            </w:r>
            <w:r>
              <w:rPr>
                <w:snapToGrid w:val="0"/>
              </w:rPr>
              <w:br/>
              <w:t xml:space="preserve">s. 5, 11, 14 and 15: 1 Aug 2012 (see s. 2(c) and </w:t>
            </w:r>
            <w:r>
              <w:rPr>
                <w:i/>
                <w:snapToGrid w:val="0"/>
              </w:rPr>
              <w:t xml:space="preserve">Gazette </w:t>
            </w:r>
            <w:r>
              <w:rPr>
                <w:snapToGrid w:val="0"/>
              </w:rPr>
              <w:t>27 Jul 2012 p. 3664)</w:t>
            </w:r>
          </w:p>
        </w:tc>
      </w:tr>
      <w:tr>
        <w:trPr>
          <w:cantSplit/>
        </w:trPr>
        <w:tc>
          <w:tcPr>
            <w:tcW w:w="7088" w:type="dxa"/>
            <w:gridSpan w:val="4"/>
          </w:tcPr>
          <w:p>
            <w:pPr>
              <w:pStyle w:val="nTable"/>
              <w:spacing w:after="40"/>
              <w:rPr>
                <w:snapToGrid w:val="0"/>
              </w:rPr>
            </w:pPr>
            <w:r>
              <w:rPr>
                <w:b/>
              </w:rPr>
              <w:t xml:space="preserve">Reprint 11: The </w:t>
            </w:r>
            <w:r>
              <w:rPr>
                <w:b/>
                <w:i/>
              </w:rPr>
              <w:t xml:space="preserve">Road Traffic Act 1974 </w:t>
            </w:r>
            <w:r>
              <w:rPr>
                <w:b/>
              </w:rPr>
              <w:t xml:space="preserve">as at 28 Jan 2011 </w:t>
            </w:r>
            <w:r>
              <w:t xml:space="preserve">(includes amendments listed above except those in the </w:t>
            </w:r>
            <w:r>
              <w:rPr>
                <w:i/>
              </w:rPr>
              <w:t xml:space="preserve">Road Traffic Legislation Amendment (Disqualification by Notice) Act 2010 </w:t>
            </w:r>
            <w:r>
              <w:t>s. 4, 5 and 11-15)</w:t>
            </w:r>
          </w:p>
        </w:tc>
      </w:tr>
      <w:tr>
        <w:trPr>
          <w:cantSplit/>
        </w:trPr>
        <w:tc>
          <w:tcPr>
            <w:tcW w:w="2267" w:type="dxa"/>
          </w:tcPr>
          <w:p>
            <w:pPr>
              <w:pStyle w:val="nTable"/>
              <w:spacing w:after="40"/>
              <w:rPr>
                <w:i/>
                <w:snapToGrid w:val="0"/>
              </w:rPr>
            </w:pPr>
            <w:r>
              <w:rPr>
                <w:i/>
                <w:snapToGrid w:val="0"/>
              </w:rPr>
              <w:t>Road Traffic Amendment (Alcohol and Drug Related Offences) Act 2011</w:t>
            </w:r>
            <w:r>
              <w:rPr>
                <w:snapToGrid w:val="0"/>
              </w:rPr>
              <w:t xml:space="preserve"> Pt. 2</w:t>
            </w:r>
          </w:p>
        </w:tc>
        <w:tc>
          <w:tcPr>
            <w:tcW w:w="1134" w:type="dxa"/>
          </w:tcPr>
          <w:p>
            <w:pPr>
              <w:pStyle w:val="nTable"/>
              <w:spacing w:after="40"/>
              <w:rPr>
                <w:snapToGrid w:val="0"/>
              </w:rPr>
            </w:pPr>
            <w:r>
              <w:rPr>
                <w:snapToGrid w:val="0"/>
              </w:rPr>
              <w:t>14 of 2011</w:t>
            </w:r>
          </w:p>
        </w:tc>
        <w:tc>
          <w:tcPr>
            <w:tcW w:w="1136" w:type="dxa"/>
          </w:tcPr>
          <w:p>
            <w:pPr>
              <w:pStyle w:val="nTable"/>
              <w:spacing w:after="40"/>
              <w:rPr>
                <w:snapToGrid w:val="0"/>
              </w:rPr>
            </w:pPr>
            <w:r>
              <w:rPr>
                <w:snapToGrid w:val="0"/>
              </w:rPr>
              <w:t>25 May 2011</w:t>
            </w:r>
          </w:p>
        </w:tc>
        <w:tc>
          <w:tcPr>
            <w:tcW w:w="2551" w:type="dxa"/>
          </w:tcPr>
          <w:p>
            <w:pPr>
              <w:pStyle w:val="nTable"/>
              <w:spacing w:after="40"/>
              <w:rPr>
                <w:snapToGrid w:val="0"/>
              </w:rPr>
            </w:pPr>
            <w:r>
              <w:rPr>
                <w:snapToGrid w:val="0"/>
              </w:rPr>
              <w:t xml:space="preserve">1 Oct 2011 (see s. 2(b) and </w:t>
            </w:r>
            <w:r>
              <w:rPr>
                <w:i/>
                <w:snapToGrid w:val="0"/>
              </w:rPr>
              <w:t xml:space="preserve">Gazette </w:t>
            </w:r>
            <w:r>
              <w:rPr>
                <w:snapToGrid w:val="0"/>
              </w:rPr>
              <w:t>30 Aug 2011 p.</w:t>
            </w:r>
            <w:r>
              <w:t> 3503</w:t>
            </w:r>
            <w:r>
              <w:rPr>
                <w:snapToGrid w:val="0"/>
              </w:rPr>
              <w:t>)</w:t>
            </w:r>
          </w:p>
        </w:tc>
      </w:tr>
      <w:tr>
        <w:trPr>
          <w:cantSplit/>
        </w:trPr>
        <w:tc>
          <w:tcPr>
            <w:tcW w:w="2267" w:type="dxa"/>
          </w:tcPr>
          <w:p>
            <w:pPr>
              <w:pStyle w:val="nTable"/>
              <w:spacing w:after="40"/>
              <w:rPr>
                <w:i/>
                <w:snapToGrid w:val="0"/>
              </w:rPr>
            </w:pPr>
            <w:r>
              <w:rPr>
                <w:i/>
                <w:snapToGrid w:val="0"/>
              </w:rPr>
              <w:t>Road Traffic Legislation Amendment (Information) Act 2011</w:t>
            </w:r>
            <w:r>
              <w:rPr>
                <w:snapToGrid w:val="0"/>
              </w:rPr>
              <w:t xml:space="preserve"> Pt. 2</w:t>
            </w:r>
          </w:p>
        </w:tc>
        <w:tc>
          <w:tcPr>
            <w:tcW w:w="1134" w:type="dxa"/>
          </w:tcPr>
          <w:p>
            <w:pPr>
              <w:pStyle w:val="nTable"/>
              <w:spacing w:after="40"/>
              <w:rPr>
                <w:snapToGrid w:val="0"/>
              </w:rPr>
            </w:pPr>
            <w:r>
              <w:rPr>
                <w:snapToGrid w:val="0"/>
              </w:rPr>
              <w:t>18 of 2011</w:t>
            </w:r>
          </w:p>
        </w:tc>
        <w:tc>
          <w:tcPr>
            <w:tcW w:w="1136" w:type="dxa"/>
          </w:tcPr>
          <w:p>
            <w:pPr>
              <w:pStyle w:val="nTable"/>
              <w:spacing w:after="40"/>
              <w:rPr>
                <w:snapToGrid w:val="0"/>
              </w:rPr>
            </w:pPr>
            <w:r>
              <w:rPr>
                <w:snapToGrid w:val="0"/>
              </w:rPr>
              <w:t>2 Jun 2011</w:t>
            </w:r>
          </w:p>
        </w:tc>
        <w:tc>
          <w:tcPr>
            <w:tcW w:w="2551" w:type="dxa"/>
          </w:tcPr>
          <w:p>
            <w:pPr>
              <w:pStyle w:val="nTable"/>
              <w:spacing w:after="40"/>
              <w:rPr>
                <w:snapToGrid w:val="0"/>
              </w:rPr>
            </w:pPr>
            <w:r>
              <w:rPr>
                <w:snapToGrid w:val="0"/>
              </w:rPr>
              <w:t xml:space="preserve">Pt. 2 (other than s. 9): 30 Jun 2011 (see s. 2(b) and </w:t>
            </w:r>
            <w:r>
              <w:rPr>
                <w:i/>
                <w:snapToGrid w:val="0"/>
              </w:rPr>
              <w:t>Gazette</w:t>
            </w:r>
            <w:r>
              <w:rPr>
                <w:snapToGrid w:val="0"/>
              </w:rPr>
              <w:t xml:space="preserve"> 29 Jun 2011 p. 2611);</w:t>
            </w:r>
            <w:r>
              <w:rPr>
                <w:snapToGrid w:val="0"/>
              </w:rPr>
              <w:br/>
              <w:t xml:space="preserve">s. 9: 14 Jan 2013 (see s. 2(b) and </w:t>
            </w:r>
            <w:r>
              <w:rPr>
                <w:i/>
                <w:snapToGrid w:val="0"/>
              </w:rPr>
              <w:t>Gazette</w:t>
            </w:r>
            <w:r>
              <w:rPr>
                <w:snapToGrid w:val="0"/>
              </w:rPr>
              <w:t xml:space="preserve"> 4 Jan 2013 p. 3)</w:t>
            </w:r>
          </w:p>
        </w:tc>
      </w:tr>
      <w:tr>
        <w:trPr>
          <w:cantSplit/>
        </w:trPr>
        <w:tc>
          <w:tcPr>
            <w:tcW w:w="2267" w:type="dxa"/>
          </w:tcPr>
          <w:p>
            <w:pPr>
              <w:pStyle w:val="nTable"/>
              <w:spacing w:after="40"/>
              <w:rPr>
                <w:i/>
                <w:snapToGrid w:val="0"/>
              </w:rPr>
            </w:pPr>
            <w:r>
              <w:rPr>
                <w:i/>
                <w:snapToGrid w:val="0"/>
              </w:rPr>
              <w:t>Personal Property Securities (Consequential Repeals and Amendments) Act 2011</w:t>
            </w:r>
            <w:r>
              <w:rPr>
                <w:snapToGrid w:val="0"/>
              </w:rPr>
              <w:t xml:space="preserve"> Pt. 12 Div. 3</w:t>
            </w:r>
          </w:p>
        </w:tc>
        <w:tc>
          <w:tcPr>
            <w:tcW w:w="1134" w:type="dxa"/>
          </w:tcPr>
          <w:p>
            <w:pPr>
              <w:pStyle w:val="nTable"/>
              <w:spacing w:after="40"/>
              <w:rPr>
                <w:snapToGrid w:val="0"/>
              </w:rPr>
            </w:pPr>
            <w:r>
              <w:rPr>
                <w:snapToGrid w:val="0"/>
              </w:rPr>
              <w:t>42 of 2011</w:t>
            </w:r>
          </w:p>
        </w:tc>
        <w:tc>
          <w:tcPr>
            <w:tcW w:w="1136" w:type="dxa"/>
          </w:tcPr>
          <w:p>
            <w:pPr>
              <w:pStyle w:val="nTable"/>
              <w:spacing w:after="40"/>
              <w:rPr>
                <w:snapToGrid w:val="0"/>
              </w:rPr>
            </w:pPr>
            <w:r>
              <w:t>4 Oct 2011</w:t>
            </w:r>
          </w:p>
        </w:tc>
        <w:tc>
          <w:tcPr>
            <w:tcW w:w="2551"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7" w:type="dxa"/>
          </w:tcPr>
          <w:p>
            <w:pPr>
              <w:pStyle w:val="nTable"/>
              <w:spacing w:after="40"/>
              <w:rPr>
                <w:i/>
                <w:snapToGrid w:val="0"/>
              </w:rPr>
            </w:pPr>
            <w:r>
              <w:rPr>
                <w:i/>
                <w:snapToGrid w:val="0"/>
              </w:rPr>
              <w:t>Manslaughter Legislation Amendment Act 2011 </w:t>
            </w:r>
            <w:r>
              <w:rPr>
                <w:snapToGrid w:val="0"/>
              </w:rPr>
              <w:t>Pt. 3</w:t>
            </w:r>
          </w:p>
        </w:tc>
        <w:tc>
          <w:tcPr>
            <w:tcW w:w="1134" w:type="dxa"/>
          </w:tcPr>
          <w:p>
            <w:pPr>
              <w:pStyle w:val="nTable"/>
              <w:spacing w:after="40"/>
              <w:rPr>
                <w:snapToGrid w:val="0"/>
              </w:rPr>
            </w:pPr>
            <w:r>
              <w:rPr>
                <w:snapToGrid w:val="0"/>
              </w:rPr>
              <w:t>58 of 2011</w:t>
            </w:r>
          </w:p>
        </w:tc>
        <w:tc>
          <w:tcPr>
            <w:tcW w:w="1136" w:type="dxa"/>
          </w:tcPr>
          <w:p>
            <w:pPr>
              <w:pStyle w:val="nTable"/>
              <w:spacing w:after="40"/>
            </w:pPr>
            <w:r>
              <w:t>30 Nov 2011</w:t>
            </w:r>
          </w:p>
        </w:tc>
        <w:tc>
          <w:tcPr>
            <w:tcW w:w="2551" w:type="dxa"/>
          </w:tcPr>
          <w:p>
            <w:pPr>
              <w:pStyle w:val="nTable"/>
              <w:spacing w:after="40"/>
              <w:rPr>
                <w:snapToGrid w:val="0"/>
              </w:rPr>
            </w:pPr>
            <w:r>
              <w:rPr>
                <w:snapToGrid w:val="0"/>
              </w:rPr>
              <w:t xml:space="preserve">17 Mar 2012 (see s. 2(b) and </w:t>
            </w:r>
            <w:r>
              <w:rPr>
                <w:i/>
                <w:snapToGrid w:val="0"/>
              </w:rPr>
              <w:t>Gazette</w:t>
            </w:r>
            <w:r>
              <w:rPr>
                <w:snapToGrid w:val="0"/>
              </w:rPr>
              <w:t xml:space="preserve"> 16 Mar 2012 p. 1245)</w:t>
            </w:r>
          </w:p>
        </w:tc>
      </w:tr>
      <w:tr>
        <w:trPr>
          <w:cantSplit/>
        </w:trPr>
        <w:tc>
          <w:tcPr>
            <w:tcW w:w="2267" w:type="dxa"/>
          </w:tcPr>
          <w:p>
            <w:pPr>
              <w:pStyle w:val="nTable"/>
              <w:spacing w:after="40"/>
              <w:rPr>
                <w:i/>
                <w:snapToGrid w:val="0"/>
              </w:rPr>
            </w:pPr>
            <w:r>
              <w:rPr>
                <w:i/>
                <w:snapToGrid w:val="0"/>
              </w:rPr>
              <w:t>Road Traffic Legislation Amendment Act 2012</w:t>
            </w:r>
            <w:r>
              <w:rPr>
                <w:snapToGrid w:val="0"/>
              </w:rPr>
              <w:t xml:space="preserve"> Pt. 3 (s. 4-38)</w:t>
            </w:r>
          </w:p>
        </w:tc>
        <w:tc>
          <w:tcPr>
            <w:tcW w:w="1134" w:type="dxa"/>
          </w:tcPr>
          <w:p>
            <w:pPr>
              <w:pStyle w:val="nTable"/>
              <w:spacing w:after="40"/>
              <w:rPr>
                <w:snapToGrid w:val="0"/>
              </w:rPr>
            </w:pPr>
            <w:r>
              <w:rPr>
                <w:snapToGrid w:val="0"/>
              </w:rPr>
              <w:t>8 of 2012 (as amended by No. 10 of 2015 s. 14-18)</w:t>
            </w:r>
          </w:p>
        </w:tc>
        <w:tc>
          <w:tcPr>
            <w:tcW w:w="1136" w:type="dxa"/>
          </w:tcPr>
          <w:p>
            <w:pPr>
              <w:pStyle w:val="nTable"/>
              <w:spacing w:after="40"/>
            </w:pPr>
            <w:r>
              <w:t>21 May 2012</w:t>
            </w:r>
          </w:p>
        </w:tc>
        <w:tc>
          <w:tcPr>
            <w:tcW w:w="2551" w:type="dxa"/>
          </w:tcPr>
          <w:p>
            <w:pPr>
              <w:pStyle w:val="nTable"/>
              <w:spacing w:after="40"/>
              <w:rPr>
                <w:snapToGrid w:val="0"/>
              </w:rPr>
            </w:pPr>
            <w:r>
              <w:rPr>
                <w:snapToGrid w:val="0"/>
              </w:rPr>
              <w:t>Pt. 3 (s. 15</w:t>
            </w:r>
            <w:r>
              <w:rPr>
                <w:snapToGrid w:val="0"/>
              </w:rPr>
              <w:noBreakHyphen/>
              <w:t xml:space="preserve">18): 1 Aug 2012 (see s. 2(c)(ii) and </w:t>
            </w:r>
            <w:r>
              <w:rPr>
                <w:i/>
                <w:snapToGrid w:val="0"/>
              </w:rPr>
              <w:t xml:space="preserve">Gazette </w:t>
            </w:r>
            <w:r>
              <w:rPr>
                <w:snapToGrid w:val="0"/>
              </w:rPr>
              <w:t>27 Jul 2012 p. 3664);</w:t>
            </w:r>
            <w:r>
              <w:rPr>
                <w:snapToGrid w:val="0"/>
              </w:rPr>
              <w:br/>
            </w:r>
            <w:r>
              <w:t>Pt. 3 (other than s. 15-18):</w:t>
            </w:r>
            <w:r>
              <w:rPr>
                <w:snapToGrid w:val="0"/>
              </w:rPr>
              <w:t xml:space="preserve"> 27 Apr 2015 (see s. 2(b)(i) and (d) and </w:t>
            </w:r>
            <w:r>
              <w:rPr>
                <w:i/>
                <w:snapToGrid w:val="0"/>
              </w:rPr>
              <w:t>Gazette</w:t>
            </w:r>
            <w:r>
              <w:rPr>
                <w:snapToGrid w:val="0"/>
              </w:rPr>
              <w:t xml:space="preserve"> </w:t>
            </w:r>
            <w:r>
              <w:t>17 Apr 2015 p. 1371</w:t>
            </w:r>
            <w:r>
              <w:rPr>
                <w:snapToGrid w:val="0"/>
              </w:rPr>
              <w:t>)</w:t>
            </w:r>
          </w:p>
        </w:tc>
      </w:tr>
      <w:tr>
        <w:trPr>
          <w:cantSplit/>
        </w:trPr>
        <w:tc>
          <w:tcPr>
            <w:tcW w:w="2267" w:type="dxa"/>
          </w:tcPr>
          <w:p>
            <w:pPr>
              <w:pStyle w:val="nTable"/>
              <w:spacing w:after="40"/>
              <w:rPr>
                <w:i/>
                <w:snapToGrid w:val="0"/>
              </w:rPr>
            </w:pPr>
            <w:r>
              <w:rPr>
                <w:i/>
                <w:snapToGrid w:val="0"/>
              </w:rPr>
              <w:t>Fire and Emergency Services Legislation Amendment Act 2012</w:t>
            </w:r>
            <w:r>
              <w:rPr>
                <w:snapToGrid w:val="0"/>
              </w:rPr>
              <w:t xml:space="preserve"> Pt. 7 Div. 13</w:t>
            </w:r>
          </w:p>
        </w:tc>
        <w:tc>
          <w:tcPr>
            <w:tcW w:w="1134" w:type="dxa"/>
          </w:tcPr>
          <w:p>
            <w:pPr>
              <w:pStyle w:val="nTable"/>
              <w:spacing w:after="40"/>
              <w:rPr>
                <w:snapToGrid w:val="0"/>
              </w:rPr>
            </w:pPr>
            <w:r>
              <w:rPr>
                <w:snapToGrid w:val="0"/>
              </w:rPr>
              <w:t>22 of 2012</w:t>
            </w:r>
          </w:p>
        </w:tc>
        <w:tc>
          <w:tcPr>
            <w:tcW w:w="1136" w:type="dxa"/>
          </w:tcPr>
          <w:p>
            <w:pPr>
              <w:pStyle w:val="nTable"/>
              <w:spacing w:after="40"/>
            </w:pPr>
            <w:r>
              <w:t>29 Aug 2012</w:t>
            </w:r>
          </w:p>
        </w:tc>
        <w:tc>
          <w:tcPr>
            <w:tcW w:w="2551"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7" w:type="dxa"/>
          </w:tcPr>
          <w:p>
            <w:pPr>
              <w:pStyle w:val="nTable"/>
              <w:spacing w:after="40"/>
              <w:rPr>
                <w:i/>
                <w:snapToGrid w:val="0"/>
              </w:rPr>
            </w:pPr>
            <w:r>
              <w:rPr>
                <w:i/>
                <w:snapToGrid w:val="0"/>
              </w:rPr>
              <w:t xml:space="preserve">Fines, Penalties and Infringement Notices Enforcement Amendment Act 2012 </w:t>
            </w:r>
            <w:r>
              <w:rPr>
                <w:snapToGrid w:val="0"/>
              </w:rPr>
              <w:t>Pt. 4 Div. 7</w:t>
            </w:r>
          </w:p>
        </w:tc>
        <w:tc>
          <w:tcPr>
            <w:tcW w:w="1134" w:type="dxa"/>
          </w:tcPr>
          <w:p>
            <w:pPr>
              <w:pStyle w:val="nTable"/>
              <w:spacing w:after="40"/>
              <w:rPr>
                <w:snapToGrid w:val="0"/>
              </w:rPr>
            </w:pPr>
            <w:r>
              <w:rPr>
                <w:snapToGrid w:val="0"/>
              </w:rPr>
              <w:t>48 of 2012</w:t>
            </w:r>
          </w:p>
        </w:tc>
        <w:tc>
          <w:tcPr>
            <w:tcW w:w="1136" w:type="dxa"/>
          </w:tcPr>
          <w:p>
            <w:pPr>
              <w:pStyle w:val="nTable"/>
              <w:spacing w:after="40"/>
            </w:pPr>
            <w:r>
              <w:t>29 Nov 2012</w:t>
            </w:r>
          </w:p>
        </w:tc>
        <w:tc>
          <w:tcPr>
            <w:tcW w:w="2551" w:type="dxa"/>
          </w:tcPr>
          <w:p>
            <w:pPr>
              <w:pStyle w:val="nTable"/>
              <w:spacing w:after="40"/>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7" w:type="dxa"/>
          </w:tcPr>
          <w:p>
            <w:pPr>
              <w:pStyle w:val="nTable"/>
              <w:spacing w:after="40"/>
              <w:rPr>
                <w:i/>
                <w:snapToGrid w:val="0"/>
              </w:rPr>
            </w:pPr>
            <w:r>
              <w:rPr>
                <w:i/>
                <w:snapToGrid w:val="0"/>
              </w:rPr>
              <w:t>Road Traffic (Miscellaneous Amendments) Act 2012</w:t>
            </w:r>
            <w:r>
              <w:rPr>
                <w:snapToGrid w:val="0"/>
              </w:rPr>
              <w:t xml:space="preserve"> Pt. 2</w:t>
            </w:r>
          </w:p>
        </w:tc>
        <w:tc>
          <w:tcPr>
            <w:tcW w:w="1134" w:type="dxa"/>
          </w:tcPr>
          <w:p>
            <w:pPr>
              <w:pStyle w:val="nTable"/>
              <w:spacing w:after="40"/>
              <w:rPr>
                <w:snapToGrid w:val="0"/>
              </w:rPr>
            </w:pPr>
            <w:r>
              <w:rPr>
                <w:snapToGrid w:val="0"/>
              </w:rPr>
              <w:t>59 of 2012</w:t>
            </w:r>
            <w:r>
              <w:rPr>
                <w:snapToGrid w:val="0"/>
              </w:rPr>
              <w:br/>
            </w:r>
            <w:r>
              <w:t>(as amended by No. 10 of 2015 s. 21)</w:t>
            </w:r>
          </w:p>
        </w:tc>
        <w:tc>
          <w:tcPr>
            <w:tcW w:w="1136" w:type="dxa"/>
          </w:tcPr>
          <w:p>
            <w:pPr>
              <w:pStyle w:val="nTable"/>
              <w:spacing w:after="40"/>
            </w:pPr>
            <w:r>
              <w:t>11 Dec 2012</w:t>
            </w:r>
          </w:p>
        </w:tc>
        <w:tc>
          <w:tcPr>
            <w:tcW w:w="2551" w:type="dxa"/>
          </w:tcPr>
          <w:p>
            <w:pPr>
              <w:pStyle w:val="nTable"/>
              <w:spacing w:after="40"/>
              <w:rPr>
                <w:snapToGrid w:val="0"/>
              </w:rPr>
            </w:pPr>
            <w:r>
              <w:rPr>
                <w:snapToGrid w:val="0"/>
              </w:rPr>
              <w:t>Pt. 2 (other than s. 12): 12 Dec 2012 (see s. 2(b));</w:t>
            </w:r>
            <w:r>
              <w:rPr>
                <w:snapToGrid w:val="0"/>
              </w:rPr>
              <w:br/>
            </w:r>
            <w:r>
              <w:t xml:space="preserve">s. 12: 27 Apr 2015 (see s. 2(c)(ii) and </w:t>
            </w:r>
            <w:r>
              <w:rPr>
                <w:i/>
              </w:rPr>
              <w:t>Gazette</w:t>
            </w:r>
            <w:r>
              <w:t xml:space="preserve"> 17 Apr 2015 p. 1371)</w:t>
            </w:r>
          </w:p>
        </w:tc>
      </w:tr>
      <w:tr>
        <w:trPr>
          <w:cantSplit/>
        </w:trPr>
        <w:tc>
          <w:tcPr>
            <w:tcW w:w="7088" w:type="dxa"/>
            <w:gridSpan w:val="4"/>
          </w:tcPr>
          <w:p>
            <w:pPr>
              <w:pStyle w:val="nTable"/>
              <w:spacing w:after="40"/>
              <w:rPr>
                <w:snapToGrid w:val="0"/>
              </w:rPr>
            </w:pPr>
            <w:r>
              <w:rPr>
                <w:b/>
              </w:rPr>
              <w:t xml:space="preserve">Reprint 12: The </w:t>
            </w:r>
            <w:r>
              <w:rPr>
                <w:b/>
                <w:i/>
              </w:rPr>
              <w:t xml:space="preserve">Road Traffic Act 1974 </w:t>
            </w:r>
            <w:r>
              <w:rPr>
                <w:b/>
              </w:rPr>
              <w:t xml:space="preserve">as at 22 Mar 2013 </w:t>
            </w:r>
            <w:r>
              <w:t xml:space="preserve">(includes amendments listed above except those in the </w:t>
            </w:r>
            <w:r>
              <w:rPr>
                <w:i/>
              </w:rPr>
              <w:t>Road Traffic Legislation Amendment Act</w:t>
            </w:r>
            <w:r>
              <w:t xml:space="preserve"> </w:t>
            </w:r>
            <w:r>
              <w:rPr>
                <w:i/>
              </w:rPr>
              <w:t>2012</w:t>
            </w:r>
            <w:r>
              <w:t xml:space="preserve"> Pt. 3 (other than s. 15-18), the </w:t>
            </w:r>
            <w:r>
              <w:rPr>
                <w:i/>
              </w:rPr>
              <w:t>Fines, Penalties and Infringement Notices Enforcement Amendment Act 2012</w:t>
            </w:r>
            <w:r>
              <w:t xml:space="preserve"> and the </w:t>
            </w:r>
            <w:r>
              <w:rPr>
                <w:i/>
              </w:rPr>
              <w:t>Road Traffic (Miscellaneous Amendments) Act 2012</w:t>
            </w:r>
            <w:r>
              <w:t xml:space="preserve"> s. 12) </w:t>
            </w:r>
          </w:p>
        </w:tc>
      </w:tr>
      <w:tr>
        <w:trPr>
          <w:cantSplit/>
        </w:trPr>
        <w:tc>
          <w:tcPr>
            <w:tcW w:w="2267" w:type="dxa"/>
          </w:tcPr>
          <w:p>
            <w:pPr>
              <w:pStyle w:val="nTable"/>
              <w:spacing w:after="40"/>
              <w:rPr>
                <w:snapToGrid w:val="0"/>
              </w:rPr>
            </w:pPr>
            <w:r>
              <w:rPr>
                <w:i/>
                <w:snapToGrid w:val="0"/>
              </w:rPr>
              <w:t>Statutes (Repeals and Minor Amendments) Act 2014</w:t>
            </w:r>
            <w:r>
              <w:rPr>
                <w:snapToGrid w:val="0"/>
              </w:rPr>
              <w:t xml:space="preserve"> s. 35</w:t>
            </w:r>
          </w:p>
        </w:tc>
        <w:tc>
          <w:tcPr>
            <w:tcW w:w="1134" w:type="dxa"/>
          </w:tcPr>
          <w:p>
            <w:pPr>
              <w:pStyle w:val="nTable"/>
              <w:spacing w:after="40"/>
              <w:rPr>
                <w:snapToGrid w:val="0"/>
              </w:rPr>
            </w:pPr>
            <w:r>
              <w:rPr>
                <w:snapToGrid w:val="0"/>
              </w:rPr>
              <w:t>17 of 2014</w:t>
            </w:r>
          </w:p>
        </w:tc>
        <w:tc>
          <w:tcPr>
            <w:tcW w:w="1136" w:type="dxa"/>
          </w:tcPr>
          <w:p>
            <w:pPr>
              <w:pStyle w:val="nTable"/>
              <w:spacing w:after="40"/>
            </w:pPr>
            <w:r>
              <w:t>2 Jul 2014</w:t>
            </w:r>
          </w:p>
        </w:tc>
        <w:tc>
          <w:tcPr>
            <w:tcW w:w="2551"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267" w:type="dxa"/>
            <w:shd w:val="clear" w:color="auto" w:fill="auto"/>
          </w:tcPr>
          <w:p>
            <w:pPr>
              <w:pStyle w:val="nTable"/>
              <w:spacing w:after="40"/>
              <w:rPr>
                <w:i/>
                <w:snapToGrid w:val="0"/>
              </w:rPr>
            </w:pPr>
            <w:r>
              <w:rPr>
                <w:i/>
                <w:snapToGrid w:val="0"/>
              </w:rPr>
              <w:t>Road Traffic Amendment (Alcohol Interlocks and Other Matters) Act 2015</w:t>
            </w:r>
            <w:r>
              <w:rPr>
                <w:snapToGrid w:val="0"/>
              </w:rPr>
              <w:t xml:space="preserve"> Pt. 2 (other than s. 9) and Pt. 3 Div. 1</w:t>
            </w:r>
          </w:p>
        </w:tc>
        <w:tc>
          <w:tcPr>
            <w:tcW w:w="1134" w:type="dxa"/>
            <w:shd w:val="clear" w:color="auto" w:fill="auto"/>
          </w:tcPr>
          <w:p>
            <w:pPr>
              <w:pStyle w:val="nTable"/>
              <w:spacing w:after="40"/>
              <w:rPr>
                <w:snapToGrid w:val="0"/>
              </w:rPr>
            </w:pPr>
            <w:r>
              <w:t>2 of 2015</w:t>
            </w:r>
          </w:p>
        </w:tc>
        <w:tc>
          <w:tcPr>
            <w:tcW w:w="1136" w:type="dxa"/>
            <w:shd w:val="clear" w:color="auto" w:fill="auto"/>
          </w:tcPr>
          <w:p>
            <w:pPr>
              <w:pStyle w:val="nTable"/>
              <w:spacing w:after="40"/>
            </w:pPr>
            <w:r>
              <w:t>25 Feb 2015</w:t>
            </w:r>
          </w:p>
        </w:tc>
        <w:tc>
          <w:tcPr>
            <w:tcW w:w="2551" w:type="dxa"/>
            <w:shd w:val="clear" w:color="auto" w:fill="auto"/>
          </w:tcPr>
          <w:p>
            <w:pPr>
              <w:pStyle w:val="nTable"/>
              <w:spacing w:after="40"/>
              <w:rPr>
                <w:snapToGrid w:val="0"/>
              </w:rPr>
            </w:pPr>
            <w:r>
              <w:t xml:space="preserve">Pt. 2 (other than s. 9): 4 Apr 2016 (see s. 2(1)(b) and </w:t>
            </w:r>
            <w:r>
              <w:rPr>
                <w:i/>
              </w:rPr>
              <w:t>Gazette</w:t>
            </w:r>
            <w:r>
              <w:t xml:space="preserve"> 24 Mar 2016 p. 927);</w:t>
            </w:r>
            <w:r>
              <w:br/>
              <w:t xml:space="preserve">Pt. 3 Div. 1: 24 Oct 2016 (see s. 2(1)(b) and (2) and </w:t>
            </w:r>
            <w:r>
              <w:rPr>
                <w:i/>
              </w:rPr>
              <w:t>Gazette</w:t>
            </w:r>
            <w:r>
              <w:t xml:space="preserve"> 20 Sep 2016 p. 3965)</w:t>
            </w:r>
          </w:p>
        </w:tc>
      </w:tr>
      <w:tr>
        <w:trPr>
          <w:cantSplit/>
        </w:trPr>
        <w:tc>
          <w:tcPr>
            <w:tcW w:w="2267" w:type="dxa"/>
            <w:shd w:val="clear" w:color="auto" w:fill="auto"/>
          </w:tcPr>
          <w:p>
            <w:pPr>
              <w:pStyle w:val="nTable"/>
              <w:spacing w:after="40"/>
              <w:rPr>
                <w:i/>
                <w:snapToGrid w:val="0"/>
                <w:vertAlign w:val="superscript"/>
              </w:rPr>
            </w:pPr>
            <w:r>
              <w:rPr>
                <w:i/>
              </w:rPr>
              <w:t xml:space="preserve">Road Traffic Legislation Amendment Act 2015 </w:t>
            </w:r>
            <w:r>
              <w:t>Pt. 2</w:t>
            </w:r>
          </w:p>
        </w:tc>
        <w:tc>
          <w:tcPr>
            <w:tcW w:w="1134" w:type="dxa"/>
            <w:shd w:val="clear" w:color="auto" w:fill="auto"/>
          </w:tcPr>
          <w:p>
            <w:pPr>
              <w:pStyle w:val="nTable"/>
              <w:spacing w:after="40"/>
              <w:rPr>
                <w:snapToGrid w:val="0"/>
              </w:rPr>
            </w:pPr>
            <w:r>
              <w:t>10 of 2015</w:t>
            </w:r>
          </w:p>
        </w:tc>
        <w:tc>
          <w:tcPr>
            <w:tcW w:w="1136" w:type="dxa"/>
            <w:shd w:val="clear" w:color="auto" w:fill="auto"/>
          </w:tcPr>
          <w:p>
            <w:pPr>
              <w:pStyle w:val="nTable"/>
              <w:spacing w:after="40"/>
            </w:pPr>
            <w:r>
              <w:t>1 Apr 2015</w:t>
            </w:r>
          </w:p>
        </w:tc>
        <w:tc>
          <w:tcPr>
            <w:tcW w:w="2551" w:type="dxa"/>
            <w:shd w:val="clear" w:color="auto" w:fill="auto"/>
          </w:tcPr>
          <w:p>
            <w:pPr>
              <w:pStyle w:val="nTable"/>
              <w:spacing w:after="40"/>
              <w:rPr>
                <w:snapToGrid w:val="0"/>
              </w:rPr>
            </w:pPr>
            <w:r>
              <w:t>2 Apr 2015 (see s. 2(b))</w:t>
            </w:r>
          </w:p>
        </w:tc>
      </w:tr>
      <w:tr>
        <w:trPr>
          <w:cantSplit/>
        </w:trPr>
        <w:tc>
          <w:tcPr>
            <w:tcW w:w="7088" w:type="dxa"/>
            <w:gridSpan w:val="4"/>
            <w:shd w:val="clear" w:color="auto" w:fill="auto"/>
          </w:tcPr>
          <w:p>
            <w:pPr>
              <w:pStyle w:val="nTable"/>
              <w:spacing w:after="40"/>
            </w:pPr>
            <w:r>
              <w:rPr>
                <w:b/>
              </w:rPr>
              <w:t xml:space="preserve">Reprint 13: The </w:t>
            </w:r>
            <w:r>
              <w:rPr>
                <w:b/>
                <w:i/>
              </w:rPr>
              <w:t xml:space="preserve">Road Traffic Act 1974 </w:t>
            </w:r>
            <w:r>
              <w:rPr>
                <w:b/>
              </w:rPr>
              <w:t xml:space="preserve">as at 12 Jun 2015 </w:t>
            </w:r>
            <w:r>
              <w:t xml:space="preserve">(includes amendments listed above except those in the </w:t>
            </w:r>
            <w:r>
              <w:rPr>
                <w:i/>
                <w:snapToGrid w:val="0"/>
              </w:rPr>
              <w:t>Road Traffic Amendment (Alcohol Interlocks and Other Matters) Act 2015</w:t>
            </w:r>
            <w:r>
              <w:rPr>
                <w:snapToGrid w:val="0"/>
              </w:rPr>
              <w:t xml:space="preserve"> Pt. 2 (other than s. 9) and Pt. 3 Div. 1</w:t>
            </w:r>
            <w:r>
              <w:t>)</w:t>
            </w:r>
          </w:p>
        </w:tc>
      </w:tr>
      <w:tr>
        <w:trPr>
          <w:cantSplit/>
        </w:trPr>
        <w:tc>
          <w:tcPr>
            <w:tcW w:w="2267" w:type="dxa"/>
            <w:shd w:val="clear" w:color="auto" w:fill="auto"/>
          </w:tcPr>
          <w:p>
            <w:pPr>
              <w:pStyle w:val="nTable"/>
              <w:spacing w:after="40"/>
              <w:rPr>
                <w:i/>
                <w:snapToGrid w:val="0"/>
              </w:rPr>
            </w:pPr>
            <w:r>
              <w:rPr>
                <w:i/>
              </w:rPr>
              <w:t xml:space="preserve">Road Traffic Legislation Amendment Act 2016 </w:t>
            </w:r>
            <w:r>
              <w:t>Pt. 2 Div. 1, Pt. 3 (other than Div. 2 and s. 46, 53 and 64)</w:t>
            </w:r>
          </w:p>
        </w:tc>
        <w:tc>
          <w:tcPr>
            <w:tcW w:w="1134" w:type="dxa"/>
            <w:shd w:val="clear" w:color="auto" w:fill="auto"/>
          </w:tcPr>
          <w:p>
            <w:pPr>
              <w:pStyle w:val="nTable"/>
              <w:spacing w:after="40"/>
              <w:rPr>
                <w:snapToGrid w:val="0"/>
              </w:rPr>
            </w:pPr>
            <w:r>
              <w:t>25 of 2016</w:t>
            </w:r>
          </w:p>
        </w:tc>
        <w:tc>
          <w:tcPr>
            <w:tcW w:w="1136" w:type="dxa"/>
            <w:shd w:val="clear" w:color="auto" w:fill="auto"/>
          </w:tcPr>
          <w:p>
            <w:pPr>
              <w:pStyle w:val="nTable"/>
              <w:spacing w:after="40"/>
            </w:pPr>
            <w:r>
              <w:t>21 Sep 2016</w:t>
            </w:r>
          </w:p>
        </w:tc>
        <w:tc>
          <w:tcPr>
            <w:tcW w:w="2551" w:type="dxa"/>
            <w:shd w:val="clear" w:color="auto" w:fill="auto"/>
          </w:tcPr>
          <w:p>
            <w:pPr>
              <w:pStyle w:val="nTable"/>
              <w:spacing w:after="40"/>
              <w:rPr>
                <w:snapToGrid w:val="0"/>
              </w:rPr>
            </w:pPr>
            <w:r>
              <w:t>Pt. 1: 21 Sep 2016 (see s. 2(a));</w:t>
            </w:r>
            <w:r>
              <w:br/>
              <w:t>Pt. 2: Div. 1: 22 Sep 2016 (see s. 2(b));</w:t>
            </w:r>
            <w:r>
              <w:br/>
              <w:t xml:space="preserve">Pt. 3 (other than Div. 2 and s. 46, 53 and 64): 28 Nov 2016 (see s. 2(c) and </w:t>
            </w:r>
            <w:r>
              <w:rPr>
                <w:i/>
              </w:rPr>
              <w:t>Gazette</w:t>
            </w:r>
            <w:r>
              <w:t xml:space="preserve"> 25 Nov 2016 p. 5279)</w:t>
            </w:r>
          </w:p>
        </w:tc>
      </w:tr>
      <w:tr>
        <w:trPr>
          <w:cantSplit/>
        </w:trPr>
        <w:tc>
          <w:tcPr>
            <w:tcW w:w="2267" w:type="dxa"/>
            <w:tcBorders>
              <w:bottom w:val="single" w:sz="4" w:space="0" w:color="auto"/>
            </w:tcBorders>
            <w:shd w:val="clear" w:color="auto" w:fill="auto"/>
          </w:tcPr>
          <w:p>
            <w:pPr>
              <w:pStyle w:val="nTable"/>
              <w:spacing w:after="40"/>
              <w:rPr>
                <w:i/>
                <w:vertAlign w:val="superscript"/>
              </w:rPr>
            </w:pPr>
            <w:r>
              <w:rPr>
                <w:i/>
              </w:rPr>
              <w:t xml:space="preserve">Road Traffic Amendment (Impounding and Confiscation of Vehicles) Act 2016 </w:t>
            </w:r>
            <w:r>
              <w:t>Pt. 2</w:t>
            </w:r>
            <w:r>
              <w:rPr>
                <w:i/>
              </w:rPr>
              <w:t> </w:t>
            </w:r>
            <w:r>
              <w:rPr>
                <w:vertAlign w:val="superscript"/>
              </w:rPr>
              <w:t>36</w:t>
            </w:r>
          </w:p>
        </w:tc>
        <w:tc>
          <w:tcPr>
            <w:tcW w:w="1134" w:type="dxa"/>
            <w:tcBorders>
              <w:bottom w:val="single" w:sz="4" w:space="0" w:color="auto"/>
            </w:tcBorders>
            <w:shd w:val="clear" w:color="auto" w:fill="auto"/>
          </w:tcPr>
          <w:p>
            <w:pPr>
              <w:pStyle w:val="nTable"/>
              <w:spacing w:after="40"/>
            </w:pPr>
            <w:r>
              <w:t>51 of 2016</w:t>
            </w:r>
          </w:p>
        </w:tc>
        <w:tc>
          <w:tcPr>
            <w:tcW w:w="1136" w:type="dxa"/>
            <w:tcBorders>
              <w:bottom w:val="single" w:sz="4" w:space="0" w:color="auto"/>
            </w:tcBorders>
            <w:shd w:val="clear" w:color="auto" w:fill="auto"/>
          </w:tcPr>
          <w:p>
            <w:pPr>
              <w:pStyle w:val="nTable"/>
              <w:spacing w:after="40"/>
            </w:pPr>
            <w:r>
              <w:t>28 Nov 2016</w:t>
            </w:r>
          </w:p>
        </w:tc>
        <w:tc>
          <w:tcPr>
            <w:tcW w:w="2551" w:type="dxa"/>
            <w:tcBorders>
              <w:bottom w:val="single" w:sz="4" w:space="0" w:color="auto"/>
            </w:tcBorders>
            <w:shd w:val="clear" w:color="auto" w:fill="auto"/>
          </w:tcPr>
          <w:p>
            <w:pPr>
              <w:pStyle w:val="nTable"/>
              <w:spacing w:after="40"/>
            </w:pPr>
            <w:r>
              <w:rPr>
                <w:snapToGrid w:val="0"/>
              </w:rPr>
              <w:t xml:space="preserve">14 Jan 2017 (see s. 2(b) and </w:t>
            </w:r>
            <w:r>
              <w:rPr>
                <w:i/>
                <w:snapToGrid w:val="0"/>
              </w:rPr>
              <w:t>Gazette</w:t>
            </w:r>
            <w:r>
              <w:rPr>
                <w:snapToGrid w:val="0"/>
              </w:rPr>
              <w:t xml:space="preserve"> 13 Jan 2017 p. 338)</w:t>
            </w:r>
          </w:p>
        </w:tc>
      </w:tr>
    </w:tbl>
    <w:p>
      <w:pPr>
        <w:pStyle w:val="nSubsection"/>
        <w:keepNext/>
        <w:keepLines/>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keepNext/>
        <w:spacing w:before="24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96" w:name="_Toc472087192"/>
      <w:r>
        <w:t>Provisions that have not come into operation</w:t>
      </w:r>
      <w:bookmarkEnd w:id="196"/>
    </w:p>
    <w:tbl>
      <w:tblPr>
        <w:tblW w:w="7123"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5"/>
        <w:gridCol w:w="2552"/>
        <w:gridCol w:w="34"/>
      </w:tblGrid>
      <w:tr>
        <w:trPr>
          <w:tblHeader/>
        </w:trPr>
        <w:tc>
          <w:tcPr>
            <w:tcW w:w="2268" w:type="dxa"/>
          </w:tcPr>
          <w:p>
            <w:pPr>
              <w:pStyle w:val="nTable"/>
              <w:keepNext/>
              <w:spacing w:after="40"/>
              <w:rPr>
                <w:b/>
                <w:snapToGrid w:val="0"/>
              </w:rPr>
            </w:pPr>
            <w:r>
              <w:rPr>
                <w:b/>
                <w:snapToGrid w:val="0"/>
              </w:rPr>
              <w:t>Short title</w:t>
            </w:r>
          </w:p>
        </w:tc>
        <w:tc>
          <w:tcPr>
            <w:tcW w:w="1134" w:type="dxa"/>
          </w:tcPr>
          <w:p>
            <w:pPr>
              <w:pStyle w:val="nTable"/>
              <w:keepNext/>
              <w:spacing w:after="40"/>
              <w:rPr>
                <w:b/>
                <w:snapToGrid w:val="0"/>
              </w:rPr>
            </w:pPr>
            <w:r>
              <w:rPr>
                <w:b/>
                <w:snapToGrid w:val="0"/>
              </w:rPr>
              <w:t>Number and year</w:t>
            </w:r>
          </w:p>
        </w:tc>
        <w:tc>
          <w:tcPr>
            <w:tcW w:w="1135" w:type="dxa"/>
          </w:tcPr>
          <w:p>
            <w:pPr>
              <w:pStyle w:val="nTable"/>
              <w:keepNext/>
              <w:spacing w:after="40"/>
              <w:rPr>
                <w:b/>
                <w:snapToGrid w:val="0"/>
              </w:rPr>
            </w:pPr>
            <w:r>
              <w:rPr>
                <w:b/>
                <w:snapToGrid w:val="0"/>
              </w:rPr>
              <w:t>Assent</w:t>
            </w:r>
          </w:p>
        </w:tc>
        <w:tc>
          <w:tcPr>
            <w:tcW w:w="2586" w:type="dxa"/>
            <w:gridSpan w:val="2"/>
          </w:tcPr>
          <w:p>
            <w:pPr>
              <w:pStyle w:val="nTable"/>
              <w:keepNext/>
              <w:spacing w:after="40"/>
              <w:rPr>
                <w:b/>
                <w:snapToGrid w:val="0"/>
              </w:rPr>
            </w:pPr>
            <w:r>
              <w:rPr>
                <w:b/>
                <w:snapToGrid w:val="0"/>
              </w:rPr>
              <w:t>Commencement</w:t>
            </w:r>
          </w:p>
        </w:tc>
      </w:tr>
      <w:tr>
        <w:tc>
          <w:tcPr>
            <w:tcW w:w="2268" w:type="dxa"/>
            <w:tcBorders>
              <w:top w:val="nil"/>
              <w:bottom w:val="nil"/>
            </w:tcBorders>
          </w:tcPr>
          <w:p>
            <w:pPr>
              <w:pStyle w:val="nSubsection"/>
              <w:tabs>
                <w:tab w:val="clear" w:pos="454"/>
              </w:tabs>
              <w:spacing w:before="40" w:after="40"/>
              <w:ind w:left="0" w:firstLine="0"/>
              <w:rPr>
                <w:sz w:val="19"/>
                <w:szCs w:val="19"/>
                <w:vertAlign w:val="superscript"/>
              </w:rPr>
            </w:pPr>
            <w:r>
              <w:rPr>
                <w:i/>
                <w:noProof/>
                <w:snapToGrid w:val="0"/>
                <w:sz w:val="19"/>
                <w:szCs w:val="19"/>
              </w:rPr>
              <w:t>Medicines and Poisons Act 2014</w:t>
            </w:r>
            <w:r>
              <w:rPr>
                <w:noProof/>
                <w:snapToGrid w:val="0"/>
                <w:sz w:val="19"/>
                <w:szCs w:val="19"/>
              </w:rPr>
              <w:t xml:space="preserve"> s. 188 </w:t>
            </w:r>
            <w:r>
              <w:rPr>
                <w:noProof/>
                <w:snapToGrid w:val="0"/>
                <w:sz w:val="19"/>
                <w:szCs w:val="19"/>
                <w:vertAlign w:val="superscript"/>
              </w:rPr>
              <w:t>30</w:t>
            </w:r>
          </w:p>
        </w:tc>
        <w:tc>
          <w:tcPr>
            <w:tcW w:w="1134" w:type="dxa"/>
            <w:tcBorders>
              <w:top w:val="nil"/>
              <w:bottom w:val="nil"/>
            </w:tcBorders>
          </w:tcPr>
          <w:p>
            <w:pPr>
              <w:pStyle w:val="nTable"/>
              <w:spacing w:after="40"/>
              <w:rPr>
                <w:snapToGrid w:val="0"/>
              </w:rPr>
            </w:pPr>
            <w:r>
              <w:rPr>
                <w:snapToGrid w:val="0"/>
              </w:rPr>
              <w:t>13 of 2014</w:t>
            </w:r>
          </w:p>
        </w:tc>
        <w:tc>
          <w:tcPr>
            <w:tcW w:w="1135" w:type="dxa"/>
            <w:tcBorders>
              <w:top w:val="nil"/>
              <w:bottom w:val="nil"/>
            </w:tcBorders>
          </w:tcPr>
          <w:p>
            <w:pPr>
              <w:pStyle w:val="nTable"/>
              <w:spacing w:after="40"/>
              <w:rPr>
                <w:snapToGrid w:val="0"/>
              </w:rPr>
            </w:pPr>
            <w:r>
              <w:rPr>
                <w:snapToGrid w:val="0"/>
              </w:rPr>
              <w:t>2 Jul 2014</w:t>
            </w:r>
          </w:p>
        </w:tc>
        <w:tc>
          <w:tcPr>
            <w:tcW w:w="2586" w:type="dxa"/>
            <w:gridSpan w:val="2"/>
            <w:tcBorders>
              <w:top w:val="nil"/>
              <w:bottom w:val="nil"/>
            </w:tcBorders>
          </w:tcPr>
          <w:p>
            <w:pPr>
              <w:pStyle w:val="nTable"/>
              <w:spacing w:after="40"/>
              <w:rPr>
                <w:snapToGrid w:val="0"/>
              </w:rPr>
            </w:pPr>
            <w:r>
              <w:rPr>
                <w:snapToGrid w:val="0"/>
              </w:rPr>
              <w:t>To be proclaimed (see s. 2(b))</w:t>
            </w:r>
          </w:p>
        </w:tc>
      </w:tr>
      <w:tr>
        <w:tblPrEx>
          <w:tblBorders>
            <w:top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Taxi Drivers Licensing Act 2014</w:t>
            </w:r>
            <w:r>
              <w:rPr>
                <w:snapToGrid w:val="0"/>
              </w:rPr>
              <w:t xml:space="preserve"> Pt. 10 Div. 1 </w:t>
            </w:r>
            <w:r>
              <w:rPr>
                <w:snapToGrid w:val="0"/>
                <w:vertAlign w:val="superscript"/>
              </w:rPr>
              <w:t>31</w:t>
            </w:r>
          </w:p>
        </w:tc>
        <w:tc>
          <w:tcPr>
            <w:tcW w:w="1134" w:type="dxa"/>
            <w:tcBorders>
              <w:top w:val="nil"/>
              <w:bottom w:val="nil"/>
            </w:tcBorders>
          </w:tcPr>
          <w:p>
            <w:pPr>
              <w:pStyle w:val="nTable"/>
              <w:keepNext/>
              <w:spacing w:after="40"/>
              <w:rPr>
                <w:snapToGrid w:val="0"/>
              </w:rPr>
            </w:pPr>
            <w:r>
              <w:rPr>
                <w:snapToGrid w:val="0"/>
              </w:rPr>
              <w:t>18 of 2014</w:t>
            </w:r>
          </w:p>
        </w:tc>
        <w:tc>
          <w:tcPr>
            <w:tcW w:w="1135" w:type="dxa"/>
            <w:tcBorders>
              <w:top w:val="nil"/>
              <w:bottom w:val="nil"/>
            </w:tcBorders>
          </w:tcPr>
          <w:p>
            <w:pPr>
              <w:pStyle w:val="nTable"/>
              <w:keepNext/>
              <w:spacing w:after="40"/>
            </w:pPr>
            <w:r>
              <w:t>2 Jul 2014</w:t>
            </w:r>
          </w:p>
        </w:tc>
        <w:tc>
          <w:tcPr>
            <w:tcW w:w="2586" w:type="dxa"/>
            <w:gridSpan w:val="2"/>
            <w:tcBorders>
              <w:top w:val="nil"/>
              <w:bottom w:val="nil"/>
            </w:tcBorders>
          </w:tcPr>
          <w:p>
            <w:pPr>
              <w:pStyle w:val="nTable"/>
              <w:keepNext/>
              <w:spacing w:after="40"/>
            </w:pPr>
            <w:r>
              <w:t>To be proclaimed (see s. 2(c))</w:t>
            </w:r>
          </w:p>
        </w:tc>
      </w:tr>
      <w:tr>
        <w:tblPrEx>
          <w:tblCellMar>
            <w:left w:w="56" w:type="dxa"/>
            <w:right w:w="56" w:type="dxa"/>
          </w:tblCellMar>
        </w:tblPrEx>
        <w:trPr>
          <w:gridAfter w:val="1"/>
          <w:wAfter w:w="34" w:type="dxa"/>
          <w:cantSplit/>
        </w:trPr>
        <w:tc>
          <w:tcPr>
            <w:tcW w:w="2268" w:type="dxa"/>
            <w:tcBorders>
              <w:top w:val="nil"/>
              <w:bottom w:val="nil"/>
            </w:tcBorders>
          </w:tcPr>
          <w:p>
            <w:pPr>
              <w:pStyle w:val="nTable"/>
              <w:spacing w:after="40"/>
              <w:ind w:right="113"/>
              <w:rPr>
                <w:snapToGrid w:val="0"/>
                <w:vertAlign w:val="superscript"/>
              </w:rPr>
            </w:pPr>
            <w:r>
              <w:rPr>
                <w:i/>
                <w:snapToGrid w:val="0"/>
              </w:rPr>
              <w:t>Road Traffic Amendment (Alcohol Interlocks and Other Matters) Act 2015</w:t>
            </w:r>
            <w:r>
              <w:rPr>
                <w:snapToGrid w:val="0"/>
              </w:rPr>
              <w:t xml:space="preserve"> s. 9 </w:t>
            </w:r>
            <w:r>
              <w:rPr>
                <w:snapToGrid w:val="0"/>
                <w:vertAlign w:val="superscript"/>
              </w:rPr>
              <w:t>32, 33</w:t>
            </w:r>
          </w:p>
        </w:tc>
        <w:tc>
          <w:tcPr>
            <w:tcW w:w="1134" w:type="dxa"/>
            <w:tcBorders>
              <w:top w:val="nil"/>
              <w:bottom w:val="nil"/>
            </w:tcBorders>
          </w:tcPr>
          <w:p>
            <w:pPr>
              <w:pStyle w:val="nTable"/>
              <w:keepNext/>
              <w:spacing w:after="40"/>
            </w:pPr>
            <w:r>
              <w:t>2 of 2015</w:t>
            </w:r>
          </w:p>
        </w:tc>
        <w:tc>
          <w:tcPr>
            <w:tcW w:w="1135" w:type="dxa"/>
            <w:tcBorders>
              <w:top w:val="nil"/>
              <w:bottom w:val="nil"/>
            </w:tcBorders>
          </w:tcPr>
          <w:p>
            <w:pPr>
              <w:pStyle w:val="nTable"/>
              <w:keepNext/>
              <w:spacing w:after="40"/>
            </w:pPr>
            <w:r>
              <w:t>25 Feb 2015</w:t>
            </w:r>
          </w:p>
        </w:tc>
        <w:tc>
          <w:tcPr>
            <w:tcW w:w="2552" w:type="dxa"/>
            <w:tcBorders>
              <w:top w:val="nil"/>
              <w:bottom w:val="nil"/>
            </w:tcBorders>
          </w:tcPr>
          <w:p>
            <w:pPr>
              <w:pStyle w:val="nTable"/>
              <w:keepNext/>
              <w:spacing w:after="40"/>
            </w:pPr>
            <w:r>
              <w:t>To be proclaimed (see s. 2(1)(b))</w:t>
            </w:r>
          </w:p>
        </w:tc>
      </w:tr>
      <w:tr>
        <w:tblPrEx>
          <w:tblCellMar>
            <w:left w:w="56" w:type="dxa"/>
            <w:right w:w="56" w:type="dxa"/>
          </w:tblCellMar>
        </w:tblPrEx>
        <w:trPr>
          <w:gridAfter w:val="1"/>
          <w:wAfter w:w="34" w:type="dxa"/>
          <w:cantSplit/>
        </w:trPr>
        <w:tc>
          <w:tcPr>
            <w:tcW w:w="2268" w:type="dxa"/>
            <w:tcBorders>
              <w:top w:val="nil"/>
              <w:bottom w:val="nil"/>
            </w:tcBorders>
          </w:tcPr>
          <w:p>
            <w:pPr>
              <w:pStyle w:val="nTable"/>
              <w:spacing w:after="40"/>
              <w:ind w:right="113"/>
              <w:rPr>
                <w:i/>
                <w:snapToGrid w:val="0"/>
              </w:rPr>
            </w:pPr>
            <w:r>
              <w:rPr>
                <w:i/>
              </w:rPr>
              <w:t>Public Health (Consequential Provisions) Act 2016</w:t>
            </w:r>
            <w:r>
              <w:t xml:space="preserve"> s. 101 and Pt. 5 Div. 21</w:t>
            </w:r>
            <w:r>
              <w:rPr>
                <w:vertAlign w:val="superscript"/>
              </w:rPr>
              <w:t> 34</w:t>
            </w:r>
          </w:p>
        </w:tc>
        <w:tc>
          <w:tcPr>
            <w:tcW w:w="1134" w:type="dxa"/>
            <w:tcBorders>
              <w:top w:val="nil"/>
              <w:bottom w:val="nil"/>
            </w:tcBorders>
          </w:tcPr>
          <w:p>
            <w:pPr>
              <w:pStyle w:val="nTable"/>
              <w:keepNext/>
              <w:spacing w:after="40"/>
            </w:pPr>
            <w:r>
              <w:t>19 of 2016</w:t>
            </w:r>
          </w:p>
        </w:tc>
        <w:tc>
          <w:tcPr>
            <w:tcW w:w="1135" w:type="dxa"/>
            <w:tcBorders>
              <w:top w:val="nil"/>
              <w:bottom w:val="nil"/>
            </w:tcBorders>
          </w:tcPr>
          <w:p>
            <w:pPr>
              <w:pStyle w:val="nTable"/>
              <w:keepNext/>
              <w:spacing w:after="40"/>
            </w:pPr>
            <w:r>
              <w:t>25 Jul 2016</w:t>
            </w:r>
          </w:p>
        </w:tc>
        <w:tc>
          <w:tcPr>
            <w:tcW w:w="2552" w:type="dxa"/>
            <w:tcBorders>
              <w:top w:val="nil"/>
              <w:bottom w:val="nil"/>
            </w:tcBorders>
          </w:tcPr>
          <w:p>
            <w:pPr>
              <w:pStyle w:val="nTable"/>
              <w:keepNext/>
              <w:spacing w:after="40"/>
            </w:pPr>
            <w:r>
              <w:t>s. 101:</w:t>
            </w:r>
            <w:r>
              <w:rPr>
                <w:snapToGrid w:val="0"/>
              </w:rPr>
              <w:t xml:space="preserve"> 24 Jan 2017 (see s. 2(1)(c) and </w:t>
            </w:r>
            <w:r>
              <w:rPr>
                <w:i/>
                <w:snapToGrid w:val="0"/>
              </w:rPr>
              <w:t>Gazette</w:t>
            </w:r>
            <w:r>
              <w:rPr>
                <w:snapToGrid w:val="0"/>
              </w:rPr>
              <w:t xml:space="preserve"> 10 Jan 2017 p. 165);</w:t>
            </w:r>
            <w:r>
              <w:rPr>
                <w:snapToGrid w:val="0"/>
              </w:rPr>
              <w:br/>
            </w:r>
            <w:r>
              <w:t xml:space="preserve">Pt. 5 Div. 21: </w:t>
            </w:r>
            <w:r>
              <w:rPr>
                <w:snapToGrid w:val="0"/>
              </w:rPr>
              <w:t>to be proclaimed (see s. 2(1)(c))</w:t>
            </w:r>
          </w:p>
        </w:tc>
      </w:tr>
      <w:tr>
        <w:tblPrEx>
          <w:tblCellMar>
            <w:left w:w="56" w:type="dxa"/>
            <w:right w:w="56" w:type="dxa"/>
          </w:tblCellMar>
        </w:tblPrEx>
        <w:trPr>
          <w:gridAfter w:val="1"/>
          <w:wAfter w:w="34" w:type="dxa"/>
          <w:cantSplit/>
        </w:trPr>
        <w:tc>
          <w:tcPr>
            <w:tcW w:w="2268" w:type="dxa"/>
            <w:tcBorders>
              <w:top w:val="nil"/>
              <w:bottom w:val="single" w:sz="8" w:space="0" w:color="auto"/>
            </w:tcBorders>
          </w:tcPr>
          <w:p>
            <w:pPr>
              <w:pStyle w:val="nTable"/>
              <w:spacing w:after="40"/>
              <w:ind w:right="113"/>
              <w:rPr>
                <w:i/>
              </w:rPr>
            </w:pPr>
            <w:r>
              <w:rPr>
                <w:i/>
              </w:rPr>
              <w:t xml:space="preserve">Road Traffic Legislation Amendment Act 2016 </w:t>
            </w:r>
            <w:r>
              <w:t>Pt. 3 Div. 2, and s. 46, 53 and 64 </w:t>
            </w:r>
            <w:r>
              <w:rPr>
                <w:vertAlign w:val="superscript"/>
              </w:rPr>
              <w:t>35</w:t>
            </w:r>
          </w:p>
        </w:tc>
        <w:tc>
          <w:tcPr>
            <w:tcW w:w="1134" w:type="dxa"/>
            <w:tcBorders>
              <w:top w:val="nil"/>
              <w:bottom w:val="single" w:sz="8" w:space="0" w:color="auto"/>
            </w:tcBorders>
          </w:tcPr>
          <w:p>
            <w:pPr>
              <w:pStyle w:val="nTable"/>
              <w:keepNext/>
              <w:spacing w:after="40"/>
            </w:pPr>
            <w:r>
              <w:t>25 of 2016</w:t>
            </w:r>
          </w:p>
        </w:tc>
        <w:tc>
          <w:tcPr>
            <w:tcW w:w="1135" w:type="dxa"/>
            <w:tcBorders>
              <w:top w:val="nil"/>
              <w:bottom w:val="single" w:sz="8" w:space="0" w:color="auto"/>
            </w:tcBorders>
          </w:tcPr>
          <w:p>
            <w:pPr>
              <w:pStyle w:val="nTable"/>
              <w:keepNext/>
              <w:spacing w:after="40"/>
            </w:pPr>
            <w:r>
              <w:t>21 Sep 2016</w:t>
            </w:r>
          </w:p>
        </w:tc>
        <w:tc>
          <w:tcPr>
            <w:tcW w:w="2552" w:type="dxa"/>
            <w:tcBorders>
              <w:top w:val="nil"/>
              <w:bottom w:val="single" w:sz="8" w:space="0" w:color="auto"/>
            </w:tcBorders>
          </w:tcPr>
          <w:p>
            <w:pPr>
              <w:pStyle w:val="nTable"/>
              <w:keepNext/>
              <w:spacing w:after="40"/>
              <w:rPr>
                <w:snapToGrid w:val="0"/>
              </w:rPr>
            </w:pPr>
            <w:r>
              <w:rPr>
                <w:snapToGrid w:val="0"/>
              </w:rPr>
              <w:t>To be proclaimed (see s. 2(c))</w:t>
            </w:r>
          </w:p>
        </w:tc>
      </w:tr>
    </w:tbl>
    <w:p>
      <w:pPr>
        <w:pStyle w:val="nSubsection"/>
        <w:spacing w:before="16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rPr>
          <w:i/>
          <w:snapToGrid w:val="0"/>
        </w:rPr>
      </w:pPr>
      <w:r>
        <w:rPr>
          <w:snapToGrid w:val="0"/>
          <w:vertAlign w:val="superscript"/>
        </w:rPr>
        <w:t>3</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Subsection"/>
        <w:keepNext/>
        <w:rPr>
          <w:snapToGrid w:val="0"/>
        </w:rPr>
      </w:pPr>
      <w:r>
        <w:rPr>
          <w:snapToGrid w:val="0"/>
          <w:vertAlign w:val="superscript"/>
        </w:rPr>
        <w:t>4</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rPr>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6</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pPr>
      <w:r>
        <w:rPr>
          <w:vertAlign w:val="superscript"/>
        </w:rPr>
        <w:t>7</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Subsection"/>
        <w:keepNext/>
        <w:keepLines/>
        <w:rPr>
          <w:snapToGrid w:val="0"/>
        </w:rPr>
      </w:pPr>
      <w:r>
        <w:rPr>
          <w:snapToGrid w:val="0"/>
          <w:vertAlign w:val="superscript"/>
        </w:rPr>
        <w:t>8</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Subsection"/>
        <w:rPr>
          <w:snapToGrid w:val="0"/>
        </w:rPr>
      </w:pPr>
      <w:r>
        <w:rPr>
          <w:snapToGrid w:val="0"/>
          <w:vertAlign w:val="superscript"/>
        </w:rPr>
        <w:t>9</w:t>
      </w:r>
      <w:r>
        <w:rPr>
          <w:snapToGrid w:val="0"/>
          <w:vertAlign w:val="superscript"/>
        </w:rPr>
        <w:tab/>
      </w:r>
      <w:r>
        <w:rPr>
          <w:snapToGrid w:val="0"/>
        </w:rPr>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Subsection"/>
        <w:keepNext/>
        <w:rPr>
          <w:snapToGrid w:val="0"/>
        </w:rPr>
      </w:pPr>
      <w:r>
        <w:rPr>
          <w:snapToGrid w:val="0"/>
          <w:vertAlign w:val="superscript"/>
        </w:rPr>
        <w:t>10</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BlankClose"/>
        <w:rPr>
          <w:snapToGrid w:val="0"/>
          <w:sz w:val="20"/>
          <w:szCs w:val="20"/>
        </w:rPr>
      </w:pPr>
    </w:p>
    <w:p>
      <w:pPr>
        <w:pStyle w:val="nSubsection"/>
        <w:keepNext/>
        <w:keepLines/>
        <w:rPr>
          <w:snapToGrid w:val="0"/>
        </w:rPr>
      </w:pPr>
      <w:r>
        <w:rPr>
          <w:snapToGrid w:val="0"/>
          <w:vertAlign w:val="superscript"/>
        </w:rPr>
        <w:t>11</w:t>
      </w:r>
      <w:r>
        <w:rPr>
          <w:snapToGrid w:val="0"/>
        </w:rPr>
        <w:tab/>
        <w:t xml:space="preserve">The </w:t>
      </w:r>
      <w:r>
        <w:rPr>
          <w:i/>
          <w:snapToGrid w:val="0"/>
        </w:rPr>
        <w:t>Criminal Law Amendment Act 1991</w:t>
      </w:r>
      <w:r>
        <w:rPr>
          <w:snapToGrid w:val="0"/>
        </w:rPr>
        <w:t xml:space="preserve"> it.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sz w:val="20"/>
          <w:szCs w:val="20"/>
        </w:rPr>
      </w:pPr>
    </w:p>
    <w:p>
      <w:pPr>
        <w:pStyle w:val="nSubsection"/>
        <w:keepNext/>
        <w:rPr>
          <w:snapToGrid w:val="0"/>
        </w:rPr>
      </w:pPr>
      <w:r>
        <w:rPr>
          <w:snapToGrid w:val="0"/>
          <w:vertAlign w:val="superscript"/>
        </w:rPr>
        <w:t>12</w:t>
      </w:r>
      <w:r>
        <w:rPr>
          <w:snapToGrid w:val="0"/>
        </w:rPr>
        <w:tab/>
        <w:t xml:space="preserve">The </w:t>
      </w:r>
      <w:r>
        <w:rPr>
          <w:i/>
          <w:snapToGrid w:val="0"/>
        </w:rPr>
        <w:t>Road Traffic Amendment Act 1996</w:t>
      </w:r>
      <w:r>
        <w:rPr>
          <w:snapToGrid w:val="0"/>
        </w:rPr>
        <w:t xml:space="preserve"> s. 52 reads as follows:</w:t>
      </w:r>
    </w:p>
    <w:p>
      <w:pPr>
        <w:pStyle w:val="BlankOpen"/>
        <w:rPr>
          <w:snapToGrid w:val="0"/>
          <w:sz w:val="16"/>
          <w:szCs w:val="16"/>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sz w:val="20"/>
          <w:szCs w:val="20"/>
        </w:rPr>
      </w:pPr>
    </w:p>
    <w:p>
      <w:pPr>
        <w:pStyle w:val="nSubsection"/>
        <w:rPr>
          <w:snapToGrid w:val="0"/>
        </w:rPr>
      </w:pPr>
      <w:r>
        <w:rPr>
          <w:snapToGrid w:val="0"/>
          <w:vertAlign w:val="superscript"/>
        </w:rPr>
        <w:t>13</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14</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keepNext/>
        <w:rPr>
          <w:snapToGrid w:val="0"/>
        </w:rPr>
      </w:pPr>
      <w:r>
        <w:rPr>
          <w:snapToGrid w:val="0"/>
          <w:vertAlign w:val="superscript"/>
        </w:rPr>
        <w:t>15</w:t>
      </w:r>
      <w:r>
        <w:rPr>
          <w:snapToGrid w:val="0"/>
        </w:rPr>
        <w:tab/>
        <w:t xml:space="preserve">The </w:t>
      </w:r>
      <w:r>
        <w:rPr>
          <w:i/>
          <w:snapToGrid w:val="0"/>
        </w:rPr>
        <w:t>Road Traffic Amendment Act 2000</w:t>
      </w:r>
      <w:r>
        <w:rPr>
          <w:snapToGrid w:val="0"/>
        </w:rPr>
        <w:t xml:space="preserve"> s. 48 and Sch. 1 read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Subsection"/>
        <w:keepNext/>
        <w:rPr>
          <w:snapToGrid w:val="0"/>
        </w:rPr>
      </w:pPr>
      <w:r>
        <w:rPr>
          <w:snapToGrid w:val="0"/>
        </w:rPr>
        <w:tab/>
        <w:t>Schedule 1 reads as follows:</w:t>
      </w:r>
    </w:p>
    <w:p>
      <w:pPr>
        <w:pStyle w:val="BlankOpen"/>
        <w:rPr>
          <w:snapToGrid w:val="0"/>
        </w:rPr>
      </w:pPr>
    </w:p>
    <w:p>
      <w:pPr>
        <w:pStyle w:val="nzMiscellaneousHeading"/>
        <w:keepLines/>
        <w:spacing w:before="0"/>
        <w:rPr>
          <w:b/>
          <w:bCs/>
          <w:sz w:val="26"/>
        </w:rPr>
      </w:pPr>
      <w:r>
        <w:rPr>
          <w:b/>
          <w:bCs/>
          <w:sz w:val="26"/>
        </w:rPr>
        <w:t>Schedule 1 — Savings and transitional</w:t>
      </w:r>
    </w:p>
    <w:p>
      <w:pPr>
        <w:pStyle w:val="nzMiscellaneousBody"/>
        <w:keepNext/>
        <w:keepLines/>
        <w:jc w:val="right"/>
      </w:pPr>
      <w:r>
        <w:t>[s. 48]</w:t>
      </w:r>
    </w:p>
    <w:p>
      <w:pPr>
        <w:pStyle w:val="nzHeading5"/>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16</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17</w:t>
      </w:r>
      <w:r>
        <w:tab/>
      </w:r>
      <w:r>
        <w:rPr>
          <w:snapToGrid w:val="0"/>
        </w:rPr>
        <w:t xml:space="preserve">The amendment in the </w:t>
      </w:r>
      <w:r>
        <w:rPr>
          <w:i/>
          <w:snapToGrid w:val="0"/>
        </w:rPr>
        <w:t xml:space="preserve">Road Traffic Amendment Act 2000 </w:t>
      </w:r>
      <w:r>
        <w:rPr>
          <w:snapToGrid w:val="0"/>
        </w:rPr>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Subsection"/>
        <w:rPr>
          <w:i/>
          <w:snapToGrid w:val="0"/>
        </w:rPr>
      </w:pPr>
      <w:r>
        <w:rPr>
          <w:vertAlign w:val="superscript"/>
        </w:rPr>
        <w:t>18</w:t>
      </w:r>
      <w:r>
        <w:rPr>
          <w:vertAlign w:val="superscript"/>
        </w:rPr>
        <w:tab/>
      </w:r>
      <w:r>
        <w:rPr>
          <w:snapToGrid w:val="0"/>
        </w:rPr>
        <w:t xml:space="preserve">The amendment in the </w:t>
      </w:r>
      <w:r>
        <w:rPr>
          <w:i/>
          <w:snapToGrid w:val="0"/>
        </w:rPr>
        <w:t xml:space="preserve">Road Traffic Amendment Act 2000 </w:t>
      </w:r>
      <w:r>
        <w:rPr>
          <w:snapToGrid w:val="0"/>
        </w:rPr>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rPr>
        <w:t>Criminal Law Amendment (Simple Offences) Act 2004</w:t>
      </w:r>
      <w:r>
        <w:rPr>
          <w:snapToGrid w:val="0"/>
        </w:rPr>
        <w:t xml:space="preserve"> s. 82.</w:t>
      </w:r>
    </w:p>
    <w:p>
      <w:pPr>
        <w:pStyle w:val="nSubsection"/>
        <w:keepNext/>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22"/>
          <w:szCs w:val="22"/>
        </w:rPr>
      </w:pPr>
    </w:p>
    <w:p>
      <w:pPr>
        <w:pStyle w:val="nSubsection"/>
        <w:spacing w:before="120"/>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spacing w:before="120"/>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spacing w:before="120"/>
        <w:ind w:right="294"/>
      </w:pPr>
      <w:r>
        <w:rPr>
          <w:vertAlign w:val="superscript"/>
        </w:rPr>
        <w:t>23</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22"/>
          <w:szCs w:val="22"/>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keepNext/>
      </w:pPr>
      <w:r>
        <w:tab/>
        <w:t>(2)</w:t>
      </w:r>
      <w:r>
        <w:tab/>
        <w:t>The Minister is to prepare a report based on the review carried out under subsection (1) and is to cause that report to be laid before each House of Parliament as soon as practicable.</w:t>
      </w:r>
    </w:p>
    <w:p>
      <w:pPr>
        <w:pStyle w:val="BlankClose"/>
        <w:keepNext/>
        <w:rPr>
          <w:sz w:val="16"/>
        </w:rPr>
      </w:pPr>
    </w:p>
    <w:p>
      <w:pPr>
        <w:pStyle w:val="nSubsection"/>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46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rPr>
        <w:tab/>
        <w:t xml:space="preserve">The amendment in the </w:t>
      </w:r>
      <w:r>
        <w:rPr>
          <w:i/>
          <w:snapToGrid w:val="0"/>
        </w:rPr>
        <w:t>Road Traffic Amendment Act 2006 </w:t>
      </w:r>
      <w:r>
        <w:rPr>
          <w:snapToGrid w:val="0"/>
        </w:rPr>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rPr>
          <w:i/>
          <w:snapToGrid w:val="0"/>
        </w:rPr>
      </w:pPr>
      <w:r>
        <w:rPr>
          <w:snapToGrid w:val="0"/>
          <w:vertAlign w:val="superscript"/>
        </w:rPr>
        <w:t>27</w:t>
      </w:r>
      <w:r>
        <w:rPr>
          <w:snapToGrid w:val="0"/>
        </w:rPr>
        <w:tab/>
        <w:t xml:space="preserve">The amendment in the </w:t>
      </w:r>
      <w:r>
        <w:rPr>
          <w:i/>
          <w:snapToGrid w:val="0"/>
        </w:rPr>
        <w:t>Road Traffic Amendment Act 2006 </w:t>
      </w:r>
      <w:r>
        <w:rPr>
          <w:snapToGrid w:val="0"/>
        </w:rPr>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keepNext/>
        <w:rPr>
          <w:snapToGrid w:val="0"/>
        </w:rPr>
      </w:pPr>
      <w:r>
        <w:rPr>
          <w:snapToGrid w:val="0"/>
          <w:vertAlign w:val="superscript"/>
        </w:rPr>
        <w:t>28</w:t>
      </w:r>
      <w:r>
        <w:rPr>
          <w:snapToGrid w:val="0"/>
          <w:vertAlign w:val="superscript"/>
        </w:rPr>
        <w:tab/>
      </w:r>
      <w:r>
        <w:rPr>
          <w:snapToGrid w:val="0"/>
        </w:rPr>
        <w:t xml:space="preserve">The </w:t>
      </w:r>
      <w:r>
        <w:rPr>
          <w:i/>
          <w:snapToGrid w:val="0"/>
        </w:rPr>
        <w:t>Road Traffic Amendment Act 2006</w:t>
      </w:r>
      <w:r>
        <w:rPr>
          <w:snapToGrid w:val="0"/>
        </w:rPr>
        <w:t xml:space="preserve"> s. 35(2) and Pt. 3 read as follows:</w:t>
      </w:r>
    </w:p>
    <w:p>
      <w:pPr>
        <w:pStyle w:val="BlankOpen"/>
      </w:pPr>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BlankClose"/>
      </w:pPr>
    </w:p>
    <w:p>
      <w:pPr>
        <w:pStyle w:val="nzHeading2"/>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rPr>
          <w:snapToGrid w:val="0"/>
          <w:vertAlign w:val="superscript"/>
        </w:rPr>
      </w:pPr>
      <w:r>
        <w:rPr>
          <w:snapToGrid w:val="0"/>
          <w:vertAlign w:val="superscript"/>
        </w:rPr>
        <w:t>29</w:t>
      </w:r>
      <w:r>
        <w:rPr>
          <w:snapToGrid w:val="0"/>
        </w:rPr>
        <w:tab/>
        <w:t xml:space="preserve">The </w:t>
      </w:r>
      <w:r>
        <w:rPr>
          <w:i/>
          <w:iCs/>
          <w:snapToGrid w:val="0"/>
        </w:rPr>
        <w:t xml:space="preserve">Road Traffic Legislation Amendment (Disqualification by Notice) Act 2010 </w:t>
      </w:r>
      <w:r>
        <w:rPr>
          <w:snapToGrid w:val="0"/>
        </w:rPr>
        <w:t xml:space="preserve">s. 12(2)(c), (5)(d) and (7)(b) had not come into operation when they were deleted by the </w:t>
      </w:r>
      <w:r>
        <w:rPr>
          <w:i/>
          <w:snapToGrid w:val="0"/>
        </w:rPr>
        <w:t>Statutes (Repeals and Minor Amendments) Act 2014</w:t>
      </w:r>
      <w:r>
        <w:rPr>
          <w:snapToGrid w:val="0"/>
        </w:rPr>
        <w:t xml:space="preserve"> s. 36.</w:t>
      </w:r>
    </w:p>
    <w:p>
      <w:pPr>
        <w:pStyle w:val="nSubsection"/>
        <w:keepNext/>
        <w:rPr>
          <w:snapToGrid w:val="0"/>
        </w:rPr>
      </w:pPr>
      <w:r>
        <w:rPr>
          <w:snapToGrid w:val="0"/>
          <w:vertAlign w:val="superscript"/>
        </w:rPr>
        <w:t>30</w:t>
      </w:r>
      <w:r>
        <w:rPr>
          <w:snapToGrid w:val="0"/>
        </w:rPr>
        <w:tab/>
      </w:r>
      <w:r>
        <w:t xml:space="preserve">On the date as at which this compilation was prepared, </w:t>
      </w:r>
      <w:r>
        <w:rPr>
          <w:snapToGrid w:val="0"/>
        </w:rPr>
        <w:t xml:space="preserve">the </w:t>
      </w:r>
      <w:r>
        <w:rPr>
          <w:i/>
          <w:noProof/>
          <w:snapToGrid w:val="0"/>
        </w:rPr>
        <w:t>Medicines and Poisons Act 2014</w:t>
      </w:r>
      <w:r>
        <w:rPr>
          <w:noProof/>
          <w:snapToGrid w:val="0"/>
        </w:rPr>
        <w:t xml:space="preserve"> s. 188</w:t>
      </w:r>
      <w:r>
        <w:rPr>
          <w:snapToGrid w:val="0"/>
        </w:rPr>
        <w:t xml:space="preserve"> had not come into operation.  It reads as follows:</w:t>
      </w:r>
    </w:p>
    <w:p>
      <w:pPr>
        <w:pStyle w:val="BlankOpen"/>
      </w:pPr>
    </w:p>
    <w:p>
      <w:pPr>
        <w:pStyle w:val="nzHeading5"/>
      </w:pPr>
      <w:r>
        <w:rPr>
          <w:rStyle w:val="CharSectno"/>
        </w:rPr>
        <w:t>188</w:t>
      </w:r>
      <w:r>
        <w:t>.</w:t>
      </w:r>
      <w:r>
        <w:tab/>
      </w:r>
      <w:r>
        <w:rPr>
          <w:i/>
          <w:iCs/>
        </w:rPr>
        <w:t>Road Traffic Act 1974</w:t>
      </w:r>
      <w:r>
        <w:t xml:space="preserve"> amended</w:t>
      </w:r>
    </w:p>
    <w:p>
      <w:pPr>
        <w:pStyle w:val="nzSubsection"/>
      </w:pPr>
      <w:r>
        <w:tab/>
        <w:t>(1)</w:t>
      </w:r>
      <w:r>
        <w:tab/>
        <w:t xml:space="preserve">This section amends the </w:t>
      </w:r>
      <w:r>
        <w:rPr>
          <w:i/>
        </w:rPr>
        <w:t>Road Traffic Act 1974</w:t>
      </w:r>
      <w:r>
        <w:rPr>
          <w:i/>
          <w:iCs/>
        </w:rPr>
        <w:t>.</w:t>
      </w:r>
    </w:p>
    <w:p>
      <w:pPr>
        <w:pStyle w:val="nzSubsection"/>
      </w:pPr>
      <w:r>
        <w:tab/>
        <w:t>(2)</w:t>
      </w:r>
      <w:r>
        <w:tab/>
        <w:t>In section 65 in the definition of</w:t>
      </w:r>
      <w:r>
        <w:rPr>
          <w:i/>
        </w:rPr>
        <w:t xml:space="preserve"> </w:t>
      </w:r>
      <w:r>
        <w:rPr>
          <w:b/>
          <w:bCs/>
          <w:i/>
        </w:rPr>
        <w:t>drug</w:t>
      </w:r>
      <w:r>
        <w:t xml:space="preserve"> delete paragraph (b) and insert:</w:t>
      </w:r>
    </w:p>
    <w:p>
      <w:pPr>
        <w:pStyle w:val="BlankOpen"/>
      </w:pPr>
    </w:p>
    <w:p>
      <w:pPr>
        <w:pStyle w:val="nzDefpara"/>
        <w:spacing w:before="0"/>
      </w:pPr>
      <w:r>
        <w:tab/>
        <w:t>(b)</w:t>
      </w:r>
      <w:r>
        <w:tab/>
        <w:t xml:space="preserve">a Schedule 4 poison as defined in the </w:t>
      </w:r>
      <w:r>
        <w:rPr>
          <w:i/>
        </w:rPr>
        <w:t>Medicines and Poisons Act 2014</w:t>
      </w:r>
      <w:r>
        <w:t xml:space="preserve"> section 3</w:t>
      </w:r>
      <w:r>
        <w:rPr>
          <w:iCs/>
        </w:rPr>
        <w:t>; or</w:t>
      </w:r>
    </w:p>
    <w:p>
      <w:pPr>
        <w:pStyle w:val="BlankClose"/>
      </w:pPr>
    </w:p>
    <w:p>
      <w:pPr>
        <w:pStyle w:val="nSubsection"/>
        <w:rPr>
          <w:snapToGrid w:val="0"/>
        </w:rPr>
      </w:pPr>
      <w:r>
        <w:rPr>
          <w:snapToGrid w:val="0"/>
          <w:vertAlign w:val="superscript"/>
        </w:rPr>
        <w:t>31</w:t>
      </w:r>
      <w:r>
        <w:rPr>
          <w:snapToGrid w:val="0"/>
        </w:rPr>
        <w:tab/>
        <w:t xml:space="preserve">The </w:t>
      </w:r>
      <w:r>
        <w:rPr>
          <w:i/>
          <w:iCs/>
          <w:snapToGrid w:val="0"/>
        </w:rPr>
        <w:t>Taxi Drivers Licensing Act 2014</w:t>
      </w:r>
      <w:r>
        <w:rPr>
          <w:iCs/>
          <w:snapToGrid w:val="0"/>
        </w:rPr>
        <w:t xml:space="preserve"> Pt. </w:t>
      </w:r>
      <w:r>
        <w:rPr>
          <w:snapToGrid w:val="0"/>
        </w:rPr>
        <w:t xml:space="preserve">10 Div. 1 cannot come into operation because the sections it seeks to amend were deleted by the </w:t>
      </w:r>
      <w:r>
        <w:rPr>
          <w:i/>
          <w:snapToGrid w:val="0"/>
        </w:rPr>
        <w:t>Road Traffic Legislation Amendment Act 2012</w:t>
      </w:r>
      <w:r>
        <w:rPr>
          <w:snapToGrid w:val="0"/>
        </w:rPr>
        <w:t xml:space="preserve"> s. 8.</w:t>
      </w:r>
    </w:p>
    <w:p>
      <w:pPr>
        <w:pStyle w:val="nSubsection"/>
        <w:keepNext/>
        <w:rPr>
          <w:snapToGrid w:val="0"/>
        </w:rPr>
      </w:pPr>
      <w:r>
        <w:rPr>
          <w:snapToGrid w:val="0"/>
          <w:vertAlign w:val="superscript"/>
        </w:rPr>
        <w:t>32</w:t>
      </w:r>
      <w:r>
        <w:rPr>
          <w:snapToGrid w:val="0"/>
        </w:rPr>
        <w:tab/>
      </w:r>
      <w:r>
        <w:t xml:space="preserve">On the date as at which this compilation was prepared, </w:t>
      </w:r>
      <w:r>
        <w:rPr>
          <w:snapToGrid w:val="0"/>
        </w:rPr>
        <w:t xml:space="preserve">the </w:t>
      </w:r>
      <w:r>
        <w:rPr>
          <w:i/>
        </w:rPr>
        <w:t>Road Traffic Amendment (Alcohol Interlocks and Other Matters) Act 2015</w:t>
      </w:r>
      <w:r>
        <w:t xml:space="preserve"> s. 9 </w:t>
      </w:r>
      <w:r>
        <w:rPr>
          <w:snapToGrid w:val="0"/>
        </w:rPr>
        <w:t>had not come into operation.  It reads as follows:</w:t>
      </w:r>
    </w:p>
    <w:p>
      <w:pPr>
        <w:pStyle w:val="BlankOpen"/>
        <w:rPr>
          <w:snapToGrid w:val="0"/>
        </w:rPr>
      </w:pPr>
    </w:p>
    <w:p>
      <w:pPr>
        <w:pStyle w:val="nzHeading5"/>
      </w:pPr>
      <w:r>
        <w:rPr>
          <w:rStyle w:val="CharSectno"/>
        </w:rPr>
        <w:t>9</w:t>
      </w:r>
      <w:r>
        <w:t>.</w:t>
      </w:r>
      <w:r>
        <w:rPr>
          <w:b w:val="0"/>
          <w:snapToGrid w:val="0"/>
          <w:vertAlign w:val="superscript"/>
        </w:rPr>
        <w:t xml:space="preserve"> 33</w:t>
      </w:r>
      <w:r>
        <w:tab/>
        <w:t>Section 97 amended</w:t>
      </w:r>
    </w:p>
    <w:p>
      <w:pPr>
        <w:pStyle w:val="nzSubsection"/>
      </w:pPr>
      <w:r>
        <w:tab/>
      </w:r>
      <w:r>
        <w:tab/>
        <w:t>Delete section 97(2)(a) and insert:</w:t>
      </w:r>
    </w:p>
    <w:p>
      <w:pPr>
        <w:pStyle w:val="BlankOpen"/>
        <w:rPr>
          <w:sz w:val="20"/>
          <w:szCs w:val="20"/>
        </w:rPr>
      </w:pPr>
    </w:p>
    <w:p>
      <w:pPr>
        <w:pStyle w:val="nzIndenta"/>
      </w:pPr>
      <w:r>
        <w:tab/>
        <w:t>(a)</w:t>
      </w:r>
      <w:r>
        <w:tab/>
        <w:t>while disqualified from obtaining a driver’s licence apply for or obtain such a licence, except that a person may apply for such a licence during the last 6 weeks of the period of disqualification;</w:t>
      </w:r>
    </w:p>
    <w:p>
      <w:pPr>
        <w:pStyle w:val="nzIndenta"/>
      </w:pPr>
      <w:r>
        <w:tab/>
        <w:t>(ba)</w:t>
      </w:r>
      <w:r>
        <w:tab/>
        <w:t>while disqualified from obtaining any particular licence other than a driver’s licence apply for or obtain such a licence;</w:t>
      </w:r>
    </w:p>
    <w:p>
      <w:pPr>
        <w:pStyle w:val="BlankClose"/>
        <w:rPr>
          <w:sz w:val="20"/>
          <w:szCs w:val="20"/>
        </w:rPr>
      </w:pPr>
    </w:p>
    <w:p>
      <w:pPr>
        <w:pStyle w:val="BlankClose"/>
      </w:pPr>
    </w:p>
    <w:p>
      <w:pPr>
        <w:pStyle w:val="nSubsection"/>
      </w:pPr>
      <w:r>
        <w:rPr>
          <w:snapToGrid w:val="0"/>
          <w:vertAlign w:val="superscript"/>
        </w:rPr>
        <w:t>33</w:t>
      </w:r>
      <w:r>
        <w:rPr>
          <w:snapToGrid w:val="0"/>
        </w:rPr>
        <w:tab/>
        <w:t xml:space="preserve">The </w:t>
      </w:r>
      <w:r>
        <w:rPr>
          <w:i/>
          <w:iCs/>
          <w:snapToGrid w:val="0"/>
        </w:rPr>
        <w:t xml:space="preserve">Road Traffic Amendment (Alcohol Interlocks and Other Matters) Act 2015 </w:t>
      </w:r>
      <w:r>
        <w:rPr>
          <w:snapToGrid w:val="0"/>
        </w:rPr>
        <w:t xml:space="preserve">s. 9 cannot come into operation because the section it seeks to amend was deleted by the </w:t>
      </w:r>
      <w:r>
        <w:rPr>
          <w:i/>
          <w:snapToGrid w:val="0"/>
        </w:rPr>
        <w:t>Road Traffic Legislation Amendment Act 2012</w:t>
      </w:r>
      <w:r>
        <w:rPr>
          <w:snapToGrid w:val="0"/>
        </w:rPr>
        <w:t xml:space="preserve"> s. 8.</w:t>
      </w:r>
    </w:p>
    <w:p>
      <w:pPr>
        <w:pStyle w:val="nSubsection"/>
        <w:rPr>
          <w:snapToGrid w:val="0"/>
        </w:rPr>
      </w:pPr>
      <w:r>
        <w:rPr>
          <w:snapToGrid w:val="0"/>
          <w:vertAlign w:val="superscript"/>
        </w:rPr>
        <w:t>34</w:t>
      </w:r>
      <w:r>
        <w:rPr>
          <w:snapToGrid w:val="0"/>
        </w:rPr>
        <w:tab/>
        <w:t xml:space="preserve">On the date as at which this compilation was prepared, the </w:t>
      </w:r>
      <w:r>
        <w:rPr>
          <w:i/>
        </w:rPr>
        <w:t>Public Health (Consequential Provisions) Act 2016</w:t>
      </w:r>
      <w:r>
        <w:t xml:space="preserve"> s. 101 and Pt. 5 Div. 21 </w:t>
      </w:r>
      <w:r>
        <w:rPr>
          <w:snapToGrid w:val="0"/>
        </w:rPr>
        <w:t>had not come into operation.  They read as follows:</w:t>
      </w:r>
    </w:p>
    <w:p>
      <w:pPr>
        <w:pStyle w:val="BlankOpen"/>
        <w:rPr>
          <w:snapToGrid w:val="0"/>
        </w:rPr>
      </w:pPr>
    </w:p>
    <w:p>
      <w:pPr>
        <w:pStyle w:val="nzHeading5"/>
      </w:pPr>
      <w:r>
        <w:rPr>
          <w:rStyle w:val="CharSectno"/>
        </w:rPr>
        <w:t>101</w:t>
      </w:r>
      <w:r>
        <w:t>.</w:t>
      </w:r>
      <w:r>
        <w:tab/>
        <w:t>Various references to “</w:t>
      </w:r>
      <w:r>
        <w:rPr>
          <w:i/>
        </w:rPr>
        <w:t>Health Act 1911</w:t>
      </w:r>
      <w:r>
        <w:t>” amended</w:t>
      </w:r>
    </w:p>
    <w:p>
      <w:pPr>
        <w:pStyle w:val="nzSubsection"/>
      </w:pPr>
      <w:r>
        <w:tab/>
        <w:t>(1)</w:t>
      </w:r>
      <w:r>
        <w:tab/>
        <w:t>This section amends the Acts listed in the Table.</w:t>
      </w:r>
    </w:p>
    <w:p>
      <w:pPr>
        <w:pStyle w:val="nzSubsection"/>
      </w:pPr>
      <w:r>
        <w:tab/>
        <w:t>(2)</w:t>
      </w:r>
      <w:r>
        <w:tab/>
        <w:t>In the provisions listed in the Table delete “</w:t>
      </w:r>
      <w:r>
        <w:rPr>
          <w:i/>
        </w:rPr>
        <w:t>Health Act 1911</w:t>
      </w:r>
      <w:r>
        <w:t>” (each occurrence) and insert:</w:t>
      </w:r>
    </w:p>
    <w:p>
      <w:pPr>
        <w:pStyle w:val="BlankOpen"/>
      </w:pPr>
    </w:p>
    <w:p>
      <w:pPr>
        <w:pStyle w:val="nzSubsection"/>
      </w:pPr>
      <w:r>
        <w:rPr>
          <w:i/>
        </w:rPr>
        <w:tab/>
      </w:r>
      <w:r>
        <w:rPr>
          <w:i/>
        </w:rPr>
        <w:tab/>
        <w:t>Health (Miscellaneous Provisions) Act 1911</w:t>
      </w:r>
    </w:p>
    <w:p>
      <w:pPr>
        <w:pStyle w:val="BlankClose"/>
      </w:pPr>
    </w:p>
    <w:p>
      <w:pPr>
        <w:pStyle w:val="nzMiscellaneousHeading"/>
      </w:pPr>
      <w:r>
        <w:rPr>
          <w:b/>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Cs/>
                <w:sz w:val="20"/>
              </w:rPr>
            </w:pPr>
            <w:r>
              <w:rPr>
                <w:i/>
                <w:iCs/>
                <w:sz w:val="20"/>
              </w:rPr>
              <w:t>Road Traffic Act 1974</w:t>
            </w:r>
          </w:p>
        </w:tc>
        <w:tc>
          <w:tcPr>
            <w:tcW w:w="3402" w:type="dxa"/>
          </w:tcPr>
          <w:p>
            <w:pPr>
              <w:pStyle w:val="TableAm"/>
              <w:rPr>
                <w:sz w:val="20"/>
              </w:rPr>
            </w:pPr>
            <w:r>
              <w:rPr>
                <w:sz w:val="20"/>
              </w:rPr>
              <w:t xml:space="preserve">s. 70(7) def. of </w:t>
            </w:r>
            <w:r>
              <w:rPr>
                <w:b/>
                <w:bCs/>
                <w:i/>
                <w:iCs/>
                <w:sz w:val="20"/>
              </w:rPr>
              <w:t>technologist</w:t>
            </w:r>
            <w:r>
              <w:rPr>
                <w:sz w:val="20"/>
              </w:rPr>
              <w:t xml:space="preserve"> par. (a)</w:t>
            </w:r>
          </w:p>
        </w:tc>
      </w:tr>
    </w:tbl>
    <w:p>
      <w:pPr>
        <w:pStyle w:val="BlankClose"/>
      </w:pPr>
    </w:p>
    <w:p>
      <w:pPr>
        <w:pStyle w:val="BlankOpen"/>
      </w:pPr>
    </w:p>
    <w:p>
      <w:pPr>
        <w:pStyle w:val="nzHeading2"/>
      </w:pPr>
      <w:r>
        <w:rPr>
          <w:rStyle w:val="CharPartNo"/>
        </w:rPr>
        <w:t>Part 5</w:t>
      </w:r>
      <w:r>
        <w:t> — </w:t>
      </w:r>
      <w:r>
        <w:rPr>
          <w:rStyle w:val="CharPartText"/>
        </w:rPr>
        <w:t>Other Acts amended</w:t>
      </w:r>
    </w:p>
    <w:p>
      <w:pPr>
        <w:pStyle w:val="nzHeading3"/>
        <w:rPr>
          <w:rStyle w:val="CharDivText"/>
        </w:rPr>
      </w:pPr>
      <w:r>
        <w:rPr>
          <w:rStyle w:val="CharDivNo"/>
        </w:rPr>
        <w:t>Division 21</w:t>
      </w:r>
      <w:r>
        <w:t> — </w:t>
      </w:r>
      <w:r>
        <w:rPr>
          <w:rStyle w:val="CharDivText"/>
          <w:i/>
        </w:rPr>
        <w:t>Road Traffic Act 1974</w:t>
      </w:r>
      <w:r>
        <w:rPr>
          <w:rStyle w:val="CharDivText"/>
        </w:rPr>
        <w:t xml:space="preserve"> amended</w:t>
      </w:r>
    </w:p>
    <w:p>
      <w:pPr>
        <w:pStyle w:val="nzHeading5"/>
      </w:pPr>
      <w:r>
        <w:rPr>
          <w:rStyle w:val="CharSectno"/>
        </w:rPr>
        <w:t>325</w:t>
      </w:r>
      <w:r>
        <w:t>.</w:t>
      </w:r>
      <w:r>
        <w:tab/>
        <w:t>Act amended</w:t>
      </w:r>
    </w:p>
    <w:p>
      <w:pPr>
        <w:pStyle w:val="nzSubsection"/>
      </w:pPr>
      <w:r>
        <w:tab/>
      </w:r>
      <w:r>
        <w:tab/>
        <w:t xml:space="preserve">This Division amends the </w:t>
      </w:r>
      <w:r>
        <w:rPr>
          <w:i/>
        </w:rPr>
        <w:t>Road Traffic Act 1974</w:t>
      </w:r>
      <w:r>
        <w:t>.</w:t>
      </w:r>
    </w:p>
    <w:p>
      <w:pPr>
        <w:pStyle w:val="nzHeading5"/>
      </w:pPr>
      <w:r>
        <w:rPr>
          <w:rStyle w:val="CharSectno"/>
        </w:rPr>
        <w:t>326</w:t>
      </w:r>
      <w:r>
        <w:t>.</w:t>
      </w:r>
      <w:r>
        <w:tab/>
        <w:t>Section 70 amended</w:t>
      </w:r>
    </w:p>
    <w:p>
      <w:pPr>
        <w:pStyle w:val="nzSubsection"/>
        <w:keepNext/>
      </w:pPr>
      <w:r>
        <w:tab/>
      </w:r>
      <w:r>
        <w:tab/>
        <w:t xml:space="preserve">In section 70(7) delete the definition of </w:t>
      </w:r>
      <w:r>
        <w:rPr>
          <w:rStyle w:val="CharDefText"/>
        </w:rPr>
        <w:t>technologist</w:t>
      </w:r>
      <w:r>
        <w:t xml:space="preserve"> and insert:</w:t>
      </w:r>
    </w:p>
    <w:p>
      <w:pPr>
        <w:pStyle w:val="BlankOpen"/>
      </w:pPr>
    </w:p>
    <w:p>
      <w:pPr>
        <w:pStyle w:val="nzDefstart"/>
      </w:pPr>
      <w:r>
        <w:tab/>
      </w:r>
      <w:r>
        <w:rPr>
          <w:rStyle w:val="CharDefText"/>
        </w:rPr>
        <w:t>technologist</w:t>
      </w:r>
      <w:r>
        <w:t xml:space="preserve"> means a person approved, or belonging to a class of persons approved, by the Minister to prepare sampling equipment.</w:t>
      </w:r>
    </w:p>
    <w:p>
      <w:pPr>
        <w:pStyle w:val="BlankClose"/>
      </w:pPr>
    </w:p>
    <w:p>
      <w:pPr>
        <w:pStyle w:val="BlankClose"/>
      </w:pPr>
    </w:p>
    <w:p>
      <w:pPr>
        <w:pStyle w:val="nSubsection"/>
        <w:rPr>
          <w:snapToGrid w:val="0"/>
        </w:rPr>
      </w:pPr>
      <w:r>
        <w:rPr>
          <w:snapToGrid w:val="0"/>
          <w:vertAlign w:val="superscript"/>
        </w:rPr>
        <w:t>35</w:t>
      </w:r>
      <w:r>
        <w:rPr>
          <w:snapToGrid w:val="0"/>
        </w:rPr>
        <w:tab/>
        <w:t xml:space="preserve">On the date as at which this compilation was prepared, the </w:t>
      </w:r>
      <w:r>
        <w:rPr>
          <w:i/>
        </w:rPr>
        <w:t xml:space="preserve">Road Traffic Legislation Amendment Act 2016 </w:t>
      </w:r>
      <w:r>
        <w:t xml:space="preserve">Pt. 3 (other than Div. 2, s. 46, 53 and 64) </w:t>
      </w:r>
      <w:r>
        <w:rPr>
          <w:snapToGrid w:val="0"/>
        </w:rPr>
        <w:t>had not come into operation.  They read as follows:</w:t>
      </w:r>
    </w:p>
    <w:p>
      <w:pPr>
        <w:pStyle w:val="BlankOpen"/>
      </w:pPr>
    </w:p>
    <w:p>
      <w:pPr>
        <w:pStyle w:val="nzHeading2"/>
      </w:pPr>
      <w:r>
        <w:rPr>
          <w:rStyle w:val="CharPartNo"/>
        </w:rPr>
        <w:t>Part 3</w:t>
      </w:r>
      <w:r>
        <w:t> — </w:t>
      </w:r>
      <w:r>
        <w:rPr>
          <w:rStyle w:val="CharPartText"/>
        </w:rPr>
        <w:t>Amendments that will be brought into operation by proclamation</w:t>
      </w:r>
    </w:p>
    <w:p>
      <w:pPr>
        <w:pStyle w:val="nzHeading3"/>
      </w:pPr>
      <w:r>
        <w:rPr>
          <w:rStyle w:val="CharDivNo"/>
        </w:rPr>
        <w:t>Division 2</w:t>
      </w:r>
      <w:r>
        <w:t> — </w:t>
      </w:r>
      <w:r>
        <w:rPr>
          <w:rStyle w:val="CharDivText"/>
        </w:rPr>
        <w:t>Amendments relating to taking samples</w:t>
      </w:r>
    </w:p>
    <w:p>
      <w:pPr>
        <w:pStyle w:val="nzHeading5"/>
      </w:pPr>
      <w:r>
        <w:rPr>
          <w:rStyle w:val="CharSectno"/>
        </w:rPr>
        <w:t>30</w:t>
      </w:r>
      <w:r>
        <w:t>.</w:t>
      </w:r>
      <w:r>
        <w:tab/>
        <w:t>Act amended</w:t>
      </w:r>
    </w:p>
    <w:p>
      <w:pPr>
        <w:pStyle w:val="nzSubsection"/>
      </w:pPr>
      <w:r>
        <w:tab/>
      </w:r>
      <w:r>
        <w:tab/>
        <w:t xml:space="preserve">This Division amends the </w:t>
      </w:r>
      <w:r>
        <w:rPr>
          <w:i/>
        </w:rPr>
        <w:t>Road Traffic Act 1974</w:t>
      </w:r>
      <w:r>
        <w:t>.</w:t>
      </w:r>
    </w:p>
    <w:p>
      <w:pPr>
        <w:pStyle w:val="nzHeading5"/>
      </w:pPr>
      <w:r>
        <w:rPr>
          <w:rStyle w:val="CharSectno"/>
        </w:rPr>
        <w:t>31</w:t>
      </w:r>
      <w:r>
        <w:t>.</w:t>
      </w:r>
      <w:r>
        <w:tab/>
        <w:t>Section 64AB amended</w:t>
      </w:r>
    </w:p>
    <w:p>
      <w:pPr>
        <w:pStyle w:val="nzSubsection"/>
      </w:pPr>
      <w:r>
        <w:tab/>
      </w:r>
      <w:r>
        <w:tab/>
        <w:t>In section 64AB(7) delete “4 hours” and insert:</w:t>
      </w:r>
    </w:p>
    <w:p>
      <w:pPr>
        <w:pStyle w:val="BlankOpen"/>
      </w:pPr>
    </w:p>
    <w:p>
      <w:pPr>
        <w:pStyle w:val="nzSubsection"/>
      </w:pPr>
      <w:r>
        <w:tab/>
      </w:r>
      <w:r>
        <w:tab/>
        <w:t>4 hours, or 12 hours if the sample was taken under section 66(8B),</w:t>
      </w:r>
    </w:p>
    <w:p>
      <w:pPr>
        <w:pStyle w:val="BlankClose"/>
      </w:pPr>
    </w:p>
    <w:p>
      <w:pPr>
        <w:pStyle w:val="nzHeading5"/>
      </w:pPr>
      <w:r>
        <w:rPr>
          <w:rStyle w:val="CharSectno"/>
        </w:rPr>
        <w:t>32</w:t>
      </w:r>
      <w:r>
        <w:t>.</w:t>
      </w:r>
      <w:r>
        <w:tab/>
        <w:t>Section 64AC amended</w:t>
      </w:r>
    </w:p>
    <w:p>
      <w:pPr>
        <w:pStyle w:val="nzSubsection"/>
      </w:pPr>
      <w:r>
        <w:tab/>
      </w:r>
      <w:r>
        <w:tab/>
        <w:t>In section 64AC(4) delete “4 hours” and insert:</w:t>
      </w:r>
    </w:p>
    <w:p>
      <w:pPr>
        <w:pStyle w:val="BlankOpen"/>
      </w:pPr>
    </w:p>
    <w:p>
      <w:pPr>
        <w:pStyle w:val="nzSubsection"/>
      </w:pPr>
      <w:r>
        <w:tab/>
      </w:r>
      <w:r>
        <w:tab/>
        <w:t>4 hours, or 12 hours if the sample was taken under section 66(8B),</w:t>
      </w:r>
    </w:p>
    <w:p>
      <w:pPr>
        <w:pStyle w:val="BlankClose"/>
      </w:pPr>
    </w:p>
    <w:p>
      <w:pPr>
        <w:pStyle w:val="nzHeading5"/>
      </w:pPr>
      <w:r>
        <w:rPr>
          <w:rStyle w:val="CharSectno"/>
        </w:rPr>
        <w:t>33</w:t>
      </w:r>
      <w:r>
        <w:t>.</w:t>
      </w:r>
      <w:r>
        <w:tab/>
        <w:t>Section 65 amended</w:t>
      </w:r>
    </w:p>
    <w:p>
      <w:pPr>
        <w:pStyle w:val="nzSubsection"/>
      </w:pPr>
      <w:r>
        <w:tab/>
      </w:r>
      <w:r>
        <w:tab/>
        <w:t>In section 65 insert in alphabetical order:</w:t>
      </w:r>
    </w:p>
    <w:p>
      <w:pPr>
        <w:pStyle w:val="BlankOpen"/>
      </w:pPr>
    </w:p>
    <w:p>
      <w:pPr>
        <w:pStyle w:val="nzDefstart"/>
      </w:pPr>
      <w:r>
        <w:tab/>
      </w:r>
      <w:r>
        <w:rPr>
          <w:rStyle w:val="CharDefText"/>
        </w:rPr>
        <w:t>prescribed sample taker</w:t>
      </w:r>
      <w:r>
        <w:t xml:space="preserve"> means — </w:t>
      </w:r>
    </w:p>
    <w:p>
      <w:pPr>
        <w:pStyle w:val="nzDefpara"/>
      </w:pPr>
      <w:r>
        <w:tab/>
        <w:t>(a)</w:t>
      </w:r>
      <w:r>
        <w:tab/>
        <w:t>a medical practitioner or registered nurse; or</w:t>
      </w:r>
    </w:p>
    <w:p>
      <w:pPr>
        <w:pStyle w:val="nzDefpara"/>
      </w:pPr>
      <w:r>
        <w:tab/>
        <w:t>(b)</w:t>
      </w:r>
      <w:r>
        <w:tab/>
        <w:t>an appropriately qualified person prescribed for the purposes of the provision in which the term is used;</w:t>
      </w:r>
    </w:p>
    <w:p>
      <w:pPr>
        <w:pStyle w:val="BlankClose"/>
        <w:widowControl w:val="0"/>
      </w:pPr>
    </w:p>
    <w:p>
      <w:pPr>
        <w:pStyle w:val="nzHeading5"/>
      </w:pPr>
      <w:r>
        <w:rPr>
          <w:rStyle w:val="CharSectno"/>
        </w:rPr>
        <w:t>34</w:t>
      </w:r>
      <w:r>
        <w:t>.</w:t>
      </w:r>
      <w:r>
        <w:tab/>
        <w:t>Section 66 amended</w:t>
      </w:r>
    </w:p>
    <w:p>
      <w:pPr>
        <w:pStyle w:val="nzSubsection"/>
      </w:pPr>
      <w:r>
        <w:tab/>
      </w:r>
      <w:r>
        <w:tab/>
        <w:t>After section 66(6a) insert:</w:t>
      </w:r>
    </w:p>
    <w:p>
      <w:pPr>
        <w:pStyle w:val="BlankOpen"/>
      </w:pPr>
    </w:p>
    <w:p>
      <w:pPr>
        <w:pStyle w:val="nzSubsection"/>
      </w:pPr>
      <w:r>
        <w:tab/>
        <w:t>(7)</w:t>
      </w:r>
      <w:r>
        <w:tab/>
        <w:t xml:space="preserve">Subsection (8B) applies if a police officer has reasonable grounds to believe that — </w:t>
      </w:r>
    </w:p>
    <w:p>
      <w:pPr>
        <w:pStyle w:val="nzIndenta"/>
      </w:pPr>
      <w:r>
        <w:tab/>
        <w:t>(a)</w:t>
      </w:r>
      <w:r>
        <w:tab/>
        <w:t>the presence of a motor vehicle has occasioned, or its use has been an immediate or proximate cause of serious bodily harm to, or the death of, a person; and</w:t>
      </w:r>
    </w:p>
    <w:p>
      <w:pPr>
        <w:pStyle w:val="nzIndenta"/>
      </w:pPr>
      <w:r>
        <w:tab/>
        <w:t>(b)</w:t>
      </w:r>
      <w:r>
        <w:tab/>
        <w:t>a person (</w:t>
      </w:r>
      <w:r>
        <w:rPr>
          <w:rStyle w:val="CharDefText"/>
        </w:rPr>
        <w:t>the person</w:t>
      </w:r>
      <w:r>
        <w:t>) may have been the driver or person in charge of the motor vehicle at the time of that presence or use.</w:t>
      </w:r>
    </w:p>
    <w:p>
      <w:pPr>
        <w:pStyle w:val="nzSubsection"/>
      </w:pPr>
      <w:r>
        <w:tab/>
        <w:t>(8A)</w:t>
      </w:r>
      <w:r>
        <w:tab/>
        <w:t xml:space="preserve">In subsection (7) — </w:t>
      </w:r>
    </w:p>
    <w:p>
      <w:pPr>
        <w:pStyle w:val="nzDefstart"/>
      </w:pPr>
      <w:r>
        <w:tab/>
      </w:r>
      <w:r>
        <w:rPr>
          <w:rStyle w:val="CharDefText"/>
        </w:rPr>
        <w:t>serious bodily harm</w:t>
      </w:r>
      <w:r>
        <w:t>, in relation to a person, means bodily harm that the police officer has reasonable grounds to believe is likely to require the attendance of the person at a hospital (whether or not that is practicable).</w:t>
      </w:r>
    </w:p>
    <w:p>
      <w:pPr>
        <w:pStyle w:val="nzSubsection"/>
      </w:pPr>
      <w:r>
        <w:tab/>
        <w:t>(8B)</w:t>
      </w:r>
      <w:r>
        <w:tab/>
        <w:t xml:space="preserve">If this subsection applies, a police officer may — </w:t>
      </w:r>
    </w:p>
    <w:p>
      <w:pPr>
        <w:pStyle w:val="nzIndenta"/>
      </w:pPr>
      <w:r>
        <w:tab/>
        <w:t>(a)</w:t>
      </w:r>
      <w:r>
        <w:tab/>
        <w:t xml:space="preserve">require the person to do one or both of the following — </w:t>
      </w:r>
    </w:p>
    <w:p>
      <w:pPr>
        <w:pStyle w:val="nzIndenti"/>
      </w:pPr>
      <w:r>
        <w:tab/>
        <w:t>(i)</w:t>
      </w:r>
      <w:r>
        <w:tab/>
        <w:t>allow a prescribed sample taker to take a sample of the person’s blood for analysis;</w:t>
      </w:r>
    </w:p>
    <w:p>
      <w:pPr>
        <w:pStyle w:val="nzIndenti"/>
      </w:pPr>
      <w:r>
        <w:tab/>
        <w:t>(ii)</w:t>
      </w:r>
      <w:r>
        <w:tab/>
        <w:t>provide a sample of the person’s urine for analysis;</w:t>
      </w:r>
    </w:p>
    <w:p>
      <w:pPr>
        <w:pStyle w:val="nzIndenta"/>
      </w:pPr>
      <w:r>
        <w:tab/>
      </w:r>
      <w:r>
        <w:tab/>
        <w:t>or</w:t>
      </w:r>
    </w:p>
    <w:p>
      <w:pPr>
        <w:pStyle w:val="nzIndenta"/>
      </w:pPr>
      <w:r>
        <w:tab/>
        <w:t>(b)</w:t>
      </w:r>
      <w:r>
        <w:tab/>
        <w:t>where the person is incapable of complying with that requirement — cause a prescribed sample taker to take a sample of the person’s blood for analysis.</w:t>
      </w:r>
    </w:p>
    <w:p>
      <w:pPr>
        <w:pStyle w:val="nzSubsection"/>
      </w:pPr>
      <w:r>
        <w:tab/>
        <w:t>(8C)</w:t>
      </w:r>
      <w:r>
        <w:tab/>
        <w:t>For the purposes of subsection (8B), a police officer may require the person to accompany a police officer to a police station or some other place, and may require the person to wait at the police station or place.</w:t>
      </w:r>
    </w:p>
    <w:p>
      <w:pPr>
        <w:pStyle w:val="nzSubsection"/>
      </w:pPr>
      <w:r>
        <w:tab/>
        <w:t>(8)</w:t>
      </w:r>
      <w:r>
        <w:tab/>
        <w:t>A police officer must not make a requirement under subsection (8B)(a), or cause a prescribed sample taker to take a sample under subsection (8B)(b), if it appears to the police officer that the sample cannot be taken or provided within 12 hours after the time of the presence or use of the motor vehicle referred to in subsection (7)(a).</w:t>
      </w:r>
    </w:p>
    <w:p>
      <w:pPr>
        <w:pStyle w:val="BlankClose"/>
      </w:pPr>
    </w:p>
    <w:p>
      <w:pPr>
        <w:pStyle w:val="nzHeading5"/>
      </w:pPr>
      <w:r>
        <w:rPr>
          <w:rStyle w:val="CharSectno"/>
        </w:rPr>
        <w:t>35</w:t>
      </w:r>
      <w:r>
        <w:t>.</w:t>
      </w:r>
      <w:r>
        <w:tab/>
        <w:t>Section 69 amended</w:t>
      </w:r>
    </w:p>
    <w:p>
      <w:pPr>
        <w:pStyle w:val="nzSubsection"/>
        <w:keepNext/>
      </w:pPr>
      <w:r>
        <w:tab/>
        <w:t>(1)</w:t>
      </w:r>
      <w:r>
        <w:tab/>
        <w:t>In section 69(1) delete the passage that begins with “Act,” and continues to the end of the subsection and insert:</w:t>
      </w:r>
    </w:p>
    <w:p>
      <w:pPr>
        <w:pStyle w:val="BlankOpen"/>
      </w:pPr>
    </w:p>
    <w:p>
      <w:pPr>
        <w:pStyle w:val="nzSubsection"/>
      </w:pPr>
      <w:r>
        <w:tab/>
      </w:r>
      <w:r>
        <w:tab/>
        <w:t>Act.</w:t>
      </w:r>
    </w:p>
    <w:p>
      <w:pPr>
        <w:pStyle w:val="BlankClose"/>
        <w:keepNext/>
      </w:pPr>
    </w:p>
    <w:p>
      <w:pPr>
        <w:pStyle w:val="nzSubsection"/>
      </w:pPr>
      <w:r>
        <w:tab/>
        <w:t>(2)</w:t>
      </w:r>
      <w:r>
        <w:tab/>
        <w:t>After section 69(1a) insert:</w:t>
      </w:r>
    </w:p>
    <w:p>
      <w:pPr>
        <w:pStyle w:val="BlankOpen"/>
      </w:pPr>
    </w:p>
    <w:p>
      <w:pPr>
        <w:pStyle w:val="nzSubsection"/>
      </w:pPr>
      <w:r>
        <w:tab/>
        <w:t>(2A)</w:t>
      </w:r>
      <w:r>
        <w:tab/>
        <w:t>The prescribed sample taker must ensure that both samples are delivered to a police officer.</w:t>
      </w:r>
    </w:p>
    <w:p>
      <w:pPr>
        <w:pStyle w:val="nzSubsection"/>
      </w:pPr>
      <w:r>
        <w:tab/>
        <w:t>(2B)</w:t>
      </w:r>
      <w:r>
        <w:tab/>
        <w:t>One of the samples must be delivered, on behalf of the person from whom the samples were taken, to the Chemistry Centre (WA) by a police officer or a person appointed or engaged for that purpose.</w:t>
      </w:r>
    </w:p>
    <w:p>
      <w:pPr>
        <w:pStyle w:val="BlankClose"/>
      </w:pPr>
    </w:p>
    <w:p>
      <w:pPr>
        <w:pStyle w:val="nzHeading5"/>
      </w:pPr>
      <w:r>
        <w:rPr>
          <w:rStyle w:val="CharSectno"/>
        </w:rPr>
        <w:t>36</w:t>
      </w:r>
      <w:r>
        <w:t>.</w:t>
      </w:r>
      <w:r>
        <w:tab/>
        <w:t>Section 69A amended</w:t>
      </w:r>
    </w:p>
    <w:p>
      <w:pPr>
        <w:pStyle w:val="nzSubsection"/>
      </w:pPr>
      <w:r>
        <w:tab/>
        <w:t>(1)</w:t>
      </w:r>
      <w:r>
        <w:tab/>
        <w:t>In section 69A:</w:t>
      </w:r>
    </w:p>
    <w:p>
      <w:pPr>
        <w:pStyle w:val="nzIndenta"/>
      </w:pPr>
      <w:r>
        <w:tab/>
        <w:t>(a)</w:t>
      </w:r>
      <w:r>
        <w:tab/>
        <w:t>delete “Where pursuant” and insert:</w:t>
      </w:r>
    </w:p>
    <w:p>
      <w:pPr>
        <w:pStyle w:val="BlankOpen"/>
      </w:pPr>
    </w:p>
    <w:p>
      <w:pPr>
        <w:pStyle w:val="nzSubsection"/>
      </w:pPr>
      <w:r>
        <w:tab/>
        <w:t>(1)</w:t>
      </w:r>
      <w:r>
        <w:tab/>
        <w:t>Where pursuant</w:t>
      </w:r>
    </w:p>
    <w:p>
      <w:pPr>
        <w:pStyle w:val="BlankClose"/>
      </w:pPr>
    </w:p>
    <w:p>
      <w:pPr>
        <w:pStyle w:val="nzIndenta"/>
      </w:pPr>
      <w:r>
        <w:tab/>
        <w:t>(b)</w:t>
      </w:r>
      <w:r>
        <w:tab/>
        <w:t>delete the passage that begins with “Act,” and continues to the end of the section and insert:</w:t>
      </w:r>
    </w:p>
    <w:p>
      <w:pPr>
        <w:pStyle w:val="BlankOpen"/>
      </w:pPr>
    </w:p>
    <w:p>
      <w:pPr>
        <w:pStyle w:val="nzIndenta"/>
      </w:pPr>
      <w:r>
        <w:tab/>
      </w:r>
      <w:r>
        <w:tab/>
        <w:t>Act.</w:t>
      </w:r>
    </w:p>
    <w:p>
      <w:pPr>
        <w:pStyle w:val="BlankClose"/>
      </w:pPr>
    </w:p>
    <w:p>
      <w:pPr>
        <w:pStyle w:val="nzSubsection"/>
      </w:pPr>
      <w:r>
        <w:tab/>
        <w:t>(2)</w:t>
      </w:r>
      <w:r>
        <w:tab/>
        <w:t>At the end of section 69A insert:</w:t>
      </w:r>
    </w:p>
    <w:p>
      <w:pPr>
        <w:pStyle w:val="BlankOpen"/>
      </w:pPr>
    </w:p>
    <w:p>
      <w:pPr>
        <w:pStyle w:val="nzSubsection"/>
      </w:pPr>
      <w:r>
        <w:tab/>
        <w:t>(2)</w:t>
      </w:r>
      <w:r>
        <w:tab/>
        <w:t>The prescribed sample taker must ensure that both samples are delivered to a police officer.</w:t>
      </w:r>
    </w:p>
    <w:p>
      <w:pPr>
        <w:pStyle w:val="nzSubsection"/>
      </w:pPr>
      <w:r>
        <w:tab/>
        <w:t>(3)</w:t>
      </w:r>
      <w:r>
        <w:tab/>
        <w:t>One of the samples must be delivered, on behalf of the person who provided the samples, to the Chemistry Centre (WA) by a police officer or a person appointed or engaged for that purpose.</w:t>
      </w:r>
    </w:p>
    <w:p>
      <w:pPr>
        <w:pStyle w:val="BlankClose"/>
      </w:pPr>
    </w:p>
    <w:p>
      <w:pPr>
        <w:pStyle w:val="nzHeading5"/>
      </w:pPr>
      <w:r>
        <w:rPr>
          <w:rStyle w:val="CharSectno"/>
        </w:rPr>
        <w:t>37</w:t>
      </w:r>
      <w:r>
        <w:t>.</w:t>
      </w:r>
      <w:r>
        <w:tab/>
        <w:t>Section 69B amended</w:t>
      </w:r>
    </w:p>
    <w:p>
      <w:pPr>
        <w:pStyle w:val="nzSubsection"/>
      </w:pPr>
      <w:r>
        <w:tab/>
        <w:t>(1)</w:t>
      </w:r>
      <w:r>
        <w:tab/>
        <w:t>In section 69B:</w:t>
      </w:r>
    </w:p>
    <w:p>
      <w:pPr>
        <w:pStyle w:val="nzIndenta"/>
      </w:pPr>
      <w:r>
        <w:tab/>
        <w:t>(a)</w:t>
      </w:r>
      <w:r>
        <w:tab/>
        <w:t>delete “If the drug” and insert:</w:t>
      </w:r>
    </w:p>
    <w:p>
      <w:pPr>
        <w:pStyle w:val="BlankOpen"/>
      </w:pPr>
    </w:p>
    <w:p>
      <w:pPr>
        <w:pStyle w:val="nzSubsection"/>
      </w:pPr>
      <w:r>
        <w:tab/>
        <w:t>(1)</w:t>
      </w:r>
      <w:r>
        <w:tab/>
        <w:t>If the drug</w:t>
      </w:r>
    </w:p>
    <w:p>
      <w:pPr>
        <w:pStyle w:val="BlankClose"/>
      </w:pPr>
    </w:p>
    <w:p>
      <w:pPr>
        <w:pStyle w:val="nzIndenta"/>
      </w:pPr>
      <w:r>
        <w:tab/>
        <w:t>(b)</w:t>
      </w:r>
      <w:r>
        <w:tab/>
        <w:t>delete the passage that begins with “Act,” and continues to the end of the section and insert:</w:t>
      </w:r>
    </w:p>
    <w:p>
      <w:pPr>
        <w:pStyle w:val="BlankOpen"/>
        <w:widowControl w:val="0"/>
      </w:pPr>
    </w:p>
    <w:p>
      <w:pPr>
        <w:pStyle w:val="nzIndenta"/>
      </w:pPr>
      <w:r>
        <w:tab/>
      </w:r>
      <w:r>
        <w:tab/>
        <w:t>Act.</w:t>
      </w:r>
    </w:p>
    <w:p>
      <w:pPr>
        <w:pStyle w:val="BlankClose"/>
        <w:keepNext/>
        <w:widowControl w:val="0"/>
      </w:pPr>
    </w:p>
    <w:p>
      <w:pPr>
        <w:pStyle w:val="nzSubsection"/>
      </w:pPr>
      <w:r>
        <w:tab/>
        <w:t>(2)</w:t>
      </w:r>
      <w:r>
        <w:tab/>
        <w:t>At the end of section 69B insert:</w:t>
      </w:r>
    </w:p>
    <w:p>
      <w:pPr>
        <w:pStyle w:val="BlankOpen"/>
      </w:pPr>
    </w:p>
    <w:p>
      <w:pPr>
        <w:pStyle w:val="nzSubsection"/>
      </w:pPr>
      <w:r>
        <w:tab/>
        <w:t>(2)</w:t>
      </w:r>
      <w:r>
        <w:tab/>
        <w:t>The authorised drug tester must ensure that both samples are delivered to a police officer.</w:t>
      </w:r>
    </w:p>
    <w:p>
      <w:pPr>
        <w:pStyle w:val="nzSubsection"/>
      </w:pPr>
      <w:r>
        <w:tab/>
        <w:t>(3)</w:t>
      </w:r>
      <w:r>
        <w:tab/>
        <w:t>One of the samples must be delivered, on behalf of the person who provided the samples, to the Chemistry Centre (WA) by a police officer or a person appointed or engaged for that purpose.</w:t>
      </w:r>
    </w:p>
    <w:p>
      <w:pPr>
        <w:pStyle w:val="BlankClose"/>
      </w:pPr>
    </w:p>
    <w:p>
      <w:pPr>
        <w:pStyle w:val="nzHeading5"/>
      </w:pPr>
      <w:r>
        <w:rPr>
          <w:rStyle w:val="CharSectno"/>
        </w:rPr>
        <w:t>38</w:t>
      </w:r>
      <w:r>
        <w:t>.</w:t>
      </w:r>
      <w:r>
        <w:tab/>
        <w:t>Sections 70A and 70B inserted</w:t>
      </w:r>
    </w:p>
    <w:p>
      <w:pPr>
        <w:pStyle w:val="nzSubsection"/>
      </w:pPr>
      <w:r>
        <w:tab/>
      </w:r>
      <w:r>
        <w:tab/>
        <w:t>After section 69B insert:</w:t>
      </w:r>
    </w:p>
    <w:p>
      <w:pPr>
        <w:pStyle w:val="BlankOpen"/>
      </w:pPr>
    </w:p>
    <w:p>
      <w:pPr>
        <w:pStyle w:val="nzHeading5"/>
      </w:pPr>
      <w:r>
        <w:t>70A.</w:t>
      </w:r>
      <w:r>
        <w:tab/>
        <w:t>Blood, urine or oral fluid sample: delivery of person’s sample to Chemistry Centre (WA)</w:t>
      </w:r>
    </w:p>
    <w:p>
      <w:pPr>
        <w:pStyle w:val="nzSubsection"/>
      </w:pPr>
      <w:r>
        <w:tab/>
        <w:t>(1)</w:t>
      </w:r>
      <w:r>
        <w:tab/>
        <w:t>A sample of blood, urine or oral fluid delivered to the Chemistry Centre (WA) on behalf of a person under section 69(2B), 69A(3) or 69B(3) must be retained, and appropriately stored, by the Chemistry Centre (WA) until the person requests the sample.</w:t>
      </w:r>
    </w:p>
    <w:p>
      <w:pPr>
        <w:pStyle w:val="nzSubsection"/>
      </w:pPr>
      <w:r>
        <w:tab/>
        <w:t>(2)</w:t>
      </w:r>
      <w:r>
        <w:tab/>
        <w:t xml:space="preserve">The person may, within 3 months after the day on which the sample was delivered to the Chemistry Centre (WA), request that the sample be delivered to an analyst (as defined in the </w:t>
      </w:r>
      <w:r>
        <w:rPr>
          <w:i/>
        </w:rPr>
        <w:t>Misuse of Drugs Act 1981</w:t>
      </w:r>
      <w:r>
        <w:t xml:space="preserve"> section 3(1)) nominated by the person, for analysis.</w:t>
      </w:r>
    </w:p>
    <w:p>
      <w:pPr>
        <w:pStyle w:val="nzSubsection"/>
      </w:pPr>
      <w:r>
        <w:tab/>
        <w:t>(3)</w:t>
      </w:r>
      <w:r>
        <w:tab/>
        <w:t>The cost of delivering the sample is to be paid for by the person.</w:t>
      </w:r>
    </w:p>
    <w:p>
      <w:pPr>
        <w:pStyle w:val="nzSubsection"/>
      </w:pPr>
      <w:r>
        <w:tab/>
        <w:t>(4)</w:t>
      </w:r>
      <w:r>
        <w:tab/>
        <w:t>Despite subsection (1), the Chemistry Centre (WA) need not store the sample for more than 3 months.</w:t>
      </w:r>
    </w:p>
    <w:p>
      <w:pPr>
        <w:pStyle w:val="nzHeading5"/>
      </w:pPr>
      <w:r>
        <w:t>70B.</w:t>
      </w:r>
      <w:r>
        <w:tab/>
        <w:t>Evidence of delivery of blood, urine or oral fluid samples</w:t>
      </w:r>
    </w:p>
    <w:p>
      <w:pPr>
        <w:pStyle w:val="nzSubsection"/>
      </w:pPr>
      <w:r>
        <w:tab/>
        <w:t>(1)</w:t>
      </w:r>
      <w:r>
        <w:tab/>
        <w:t>In proceedings for an offence against section 63, 64, 64AA, 64A, 64AAA, 64AB or 64AC, evidence of the delivery of a sample to an analyst or drug analyst may be given in the form of a certificate in which a person who took delivery of the sample sets out the prescribed particulars of the delivery of the sample to the person together with their signature.</w:t>
      </w:r>
    </w:p>
    <w:p>
      <w:pPr>
        <w:pStyle w:val="nzSubsection"/>
      </w:pPr>
      <w:r>
        <w:tab/>
        <w:t>(2)</w:t>
      </w:r>
      <w:r>
        <w:tab/>
        <w:t xml:space="preserve">In the absence of evidence to the contrary — </w:t>
      </w:r>
    </w:p>
    <w:p>
      <w:pPr>
        <w:pStyle w:val="nzIndenta"/>
      </w:pPr>
      <w:r>
        <w:tab/>
        <w:t>(a)</w:t>
      </w:r>
      <w:r>
        <w:tab/>
        <w:t>it is to be presumed that each signature on the certificate is the signature of the person of whom it purports to be the signature; and</w:t>
      </w:r>
    </w:p>
    <w:p>
      <w:pPr>
        <w:pStyle w:val="nzIndenta"/>
      </w:pPr>
      <w:r>
        <w:tab/>
        <w:t>(b)</w:t>
      </w:r>
      <w:r>
        <w:tab/>
        <w:t>the certificate is evidence of its contents.</w:t>
      </w:r>
    </w:p>
    <w:p>
      <w:pPr>
        <w:pStyle w:val="nzSubsection"/>
      </w:pPr>
      <w:r>
        <w:tab/>
        <w:t>(3)</w:t>
      </w:r>
      <w:r>
        <w:tab/>
        <w:t>Except with the consent of the accused, evidence of the delivery of a sample to a person in the form of a certificate cannot be given in the proceedings and, if it is given, is not admissible, unless a copy of the certificate is given to the accused at least 28 days before the proceedings.</w:t>
      </w:r>
    </w:p>
    <w:p>
      <w:pPr>
        <w:pStyle w:val="nzSubsection"/>
      </w:pPr>
      <w:r>
        <w:tab/>
        <w:t>(4)</w:t>
      </w:r>
      <w:r>
        <w:tab/>
        <w:t xml:space="preserve">If a copy of the certificate has been given as required by subsection (3), the accused cannot challenge or call into question a matter set out in the certificate unless — </w:t>
      </w:r>
    </w:p>
    <w:p>
      <w:pPr>
        <w:pStyle w:val="nzIndenta"/>
      </w:pPr>
      <w:r>
        <w:tab/>
        <w:t>(a)</w:t>
      </w:r>
      <w:r>
        <w:tab/>
        <w:t>notice in writing of the accused’s intention is given to the prosecutor at least 14 days before the proceedings; or</w:t>
      </w:r>
    </w:p>
    <w:p>
      <w:pPr>
        <w:pStyle w:val="nzIndenta"/>
      </w:pPr>
      <w:r>
        <w:tab/>
        <w:t>(b)</w:t>
      </w:r>
      <w:r>
        <w:tab/>
        <w:t>the court, in the interests of justice, gives the accused leave to so do.</w:t>
      </w:r>
    </w:p>
    <w:p>
      <w:pPr>
        <w:pStyle w:val="nzSubsection"/>
      </w:pPr>
      <w:r>
        <w:tab/>
        <w:t>(5)</w:t>
      </w:r>
      <w:r>
        <w:tab/>
        <w:t>A notice under subsection (4)(a) must specify the matter that is to be challenged or called into question.</w:t>
      </w:r>
    </w:p>
    <w:p>
      <w:pPr>
        <w:pStyle w:val="BlankClose"/>
      </w:pPr>
    </w:p>
    <w:p>
      <w:pPr>
        <w:pStyle w:val="nzHeading5"/>
      </w:pPr>
      <w:r>
        <w:rPr>
          <w:rStyle w:val="CharSectno"/>
        </w:rPr>
        <w:t>39</w:t>
      </w:r>
      <w:r>
        <w:t>.</w:t>
      </w:r>
      <w:r>
        <w:tab/>
        <w:t>Section 70 amended</w:t>
      </w:r>
    </w:p>
    <w:p>
      <w:pPr>
        <w:pStyle w:val="nzSubsection"/>
      </w:pPr>
      <w:r>
        <w:tab/>
        <w:t>(1)</w:t>
      </w:r>
      <w:r>
        <w:tab/>
        <w:t>In section 70(1)(d) and (3a)(a) and (b) delete “4 hours” and insert:</w:t>
      </w:r>
    </w:p>
    <w:p>
      <w:pPr>
        <w:pStyle w:val="BlankOpen"/>
      </w:pPr>
    </w:p>
    <w:p>
      <w:pPr>
        <w:pStyle w:val="nzSubsection"/>
      </w:pPr>
      <w:r>
        <w:tab/>
      </w:r>
      <w:r>
        <w:tab/>
        <w:t>4 hours, or 12 hours if the sample was taken under section 66(8B),</w:t>
      </w:r>
    </w:p>
    <w:p>
      <w:pPr>
        <w:pStyle w:val="BlankClose"/>
      </w:pPr>
    </w:p>
    <w:p>
      <w:pPr>
        <w:pStyle w:val="nzSubsection"/>
      </w:pPr>
      <w:r>
        <w:tab/>
        <w:t>(2)</w:t>
      </w:r>
      <w:r>
        <w:tab/>
        <w:t>In section 70(3b) delete “medical practitioner, registered nurse,” and insert:</w:t>
      </w:r>
    </w:p>
    <w:p>
      <w:pPr>
        <w:pStyle w:val="BlankOpen"/>
      </w:pPr>
    </w:p>
    <w:p>
      <w:pPr>
        <w:pStyle w:val="nzSubsection"/>
      </w:pPr>
      <w:r>
        <w:tab/>
      </w:r>
      <w:r>
        <w:tab/>
        <w:t>prescribed sample taker,</w:t>
      </w:r>
    </w:p>
    <w:p>
      <w:pPr>
        <w:pStyle w:val="BlankClose"/>
      </w:pPr>
    </w:p>
    <w:p>
      <w:pPr>
        <w:pStyle w:val="nzHeading5"/>
      </w:pPr>
      <w:r>
        <w:rPr>
          <w:rStyle w:val="CharSectno"/>
        </w:rPr>
        <w:t>40</w:t>
      </w:r>
      <w:r>
        <w:t>.</w:t>
      </w:r>
      <w:r>
        <w:tab/>
        <w:t>Various references to “medical practitioner or registered nurse” amended</w:t>
      </w:r>
    </w:p>
    <w:p>
      <w:pPr>
        <w:pStyle w:val="nzSubsection"/>
      </w:pPr>
      <w:r>
        <w:tab/>
      </w:r>
      <w:r>
        <w:tab/>
        <w:t>In the provisions listed in the Table delete “medical practitioner or registered nurse” (each occurrence) and insert:</w:t>
      </w:r>
    </w:p>
    <w:p>
      <w:pPr>
        <w:pStyle w:val="BlankOpen"/>
      </w:pPr>
    </w:p>
    <w:p>
      <w:pPr>
        <w:pStyle w:val="nzSubsection"/>
      </w:pPr>
      <w:r>
        <w:tab/>
      </w:r>
      <w:r>
        <w:tab/>
        <w:t>prescribed sample taker</w:t>
      </w:r>
    </w:p>
    <w:p>
      <w:pPr>
        <w:pStyle w:val="BlankClose"/>
      </w:pPr>
    </w:p>
    <w:p>
      <w:pPr>
        <w:pStyle w:val="THeading"/>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Am"/>
            </w:pPr>
            <w:r>
              <w:t>s. 66(2), (5), (6), (6a), (11) and (12)</w:t>
            </w:r>
          </w:p>
        </w:tc>
        <w:tc>
          <w:tcPr>
            <w:tcW w:w="3034" w:type="dxa"/>
          </w:tcPr>
          <w:p>
            <w:pPr>
              <w:pStyle w:val="TableAm"/>
            </w:pPr>
            <w:r>
              <w:t>s. 66B(1), (2) and (4)</w:t>
            </w:r>
          </w:p>
        </w:tc>
      </w:tr>
      <w:tr>
        <w:tc>
          <w:tcPr>
            <w:tcW w:w="3033" w:type="dxa"/>
          </w:tcPr>
          <w:p>
            <w:pPr>
              <w:pStyle w:val="TableAm"/>
            </w:pPr>
            <w:r>
              <w:t>s. 66E(1), (2) and (4)</w:t>
            </w:r>
          </w:p>
        </w:tc>
        <w:tc>
          <w:tcPr>
            <w:tcW w:w="3034" w:type="dxa"/>
          </w:tcPr>
          <w:p>
            <w:pPr>
              <w:pStyle w:val="TableAm"/>
            </w:pPr>
            <w:r>
              <w:t>s. 66F(1) and (2)</w:t>
            </w:r>
          </w:p>
        </w:tc>
      </w:tr>
      <w:tr>
        <w:tc>
          <w:tcPr>
            <w:tcW w:w="3033" w:type="dxa"/>
          </w:tcPr>
          <w:p>
            <w:pPr>
              <w:pStyle w:val="TableAm"/>
            </w:pPr>
            <w:r>
              <w:t>s. 67(2)</w:t>
            </w:r>
          </w:p>
        </w:tc>
        <w:tc>
          <w:tcPr>
            <w:tcW w:w="3034" w:type="dxa"/>
          </w:tcPr>
          <w:p>
            <w:pPr>
              <w:pStyle w:val="TableAm"/>
            </w:pPr>
            <w:r>
              <w:t>s. 67AA(2)</w:t>
            </w:r>
          </w:p>
        </w:tc>
      </w:tr>
      <w:tr>
        <w:tc>
          <w:tcPr>
            <w:tcW w:w="3033" w:type="dxa"/>
          </w:tcPr>
          <w:p>
            <w:pPr>
              <w:pStyle w:val="TableAm"/>
            </w:pPr>
            <w:r>
              <w:t>s. 67AB(2)</w:t>
            </w:r>
          </w:p>
        </w:tc>
        <w:tc>
          <w:tcPr>
            <w:tcW w:w="3034" w:type="dxa"/>
          </w:tcPr>
          <w:p>
            <w:pPr>
              <w:pStyle w:val="TableAm"/>
            </w:pPr>
            <w:r>
              <w:t>s. 67A(2)</w:t>
            </w:r>
          </w:p>
        </w:tc>
      </w:tr>
      <w:tr>
        <w:tc>
          <w:tcPr>
            <w:tcW w:w="3033" w:type="dxa"/>
            <w:tcBorders>
              <w:bottom w:val="single" w:sz="4" w:space="0" w:color="auto"/>
            </w:tcBorders>
          </w:tcPr>
          <w:p>
            <w:pPr>
              <w:pStyle w:val="TableAm"/>
            </w:pPr>
            <w:r>
              <w:t>s. 68(3) and (7)</w:t>
            </w:r>
          </w:p>
        </w:tc>
        <w:tc>
          <w:tcPr>
            <w:tcW w:w="3034" w:type="dxa"/>
            <w:tcBorders>
              <w:bottom w:val="single" w:sz="4" w:space="0" w:color="auto"/>
            </w:tcBorders>
          </w:tcPr>
          <w:p>
            <w:pPr>
              <w:pStyle w:val="TableAm"/>
            </w:pPr>
            <w:r>
              <w:t>s. 69(1)</w:t>
            </w:r>
          </w:p>
        </w:tc>
      </w:tr>
      <w:tr>
        <w:tc>
          <w:tcPr>
            <w:tcW w:w="3033" w:type="dxa"/>
            <w:tcBorders>
              <w:bottom w:val="single" w:sz="4" w:space="0" w:color="auto"/>
            </w:tcBorders>
          </w:tcPr>
          <w:p>
            <w:pPr>
              <w:pStyle w:val="TableAm"/>
              <w:keepLines/>
              <w:widowControl w:val="0"/>
            </w:pPr>
            <w:r>
              <w:t>s. 69A</w:t>
            </w:r>
          </w:p>
        </w:tc>
        <w:tc>
          <w:tcPr>
            <w:tcW w:w="3034" w:type="dxa"/>
            <w:tcBorders>
              <w:bottom w:val="single" w:sz="4" w:space="0" w:color="auto"/>
            </w:tcBorders>
          </w:tcPr>
          <w:p>
            <w:pPr>
              <w:pStyle w:val="TableAm"/>
              <w:keepLines/>
              <w:widowControl w:val="0"/>
            </w:pPr>
            <w:r>
              <w:t>s. 70(1), (2), (3a) and (3b)</w:t>
            </w:r>
          </w:p>
        </w:tc>
      </w:tr>
      <w:tr>
        <w:tc>
          <w:tcPr>
            <w:tcW w:w="3033" w:type="dxa"/>
            <w:tcBorders>
              <w:bottom w:val="single" w:sz="4" w:space="0" w:color="auto"/>
            </w:tcBorders>
          </w:tcPr>
          <w:p>
            <w:pPr>
              <w:pStyle w:val="TableAm"/>
              <w:keepLines/>
              <w:widowControl w:val="0"/>
            </w:pPr>
            <w:r>
              <w:t>s. 72(1)</w:t>
            </w:r>
          </w:p>
        </w:tc>
        <w:tc>
          <w:tcPr>
            <w:tcW w:w="3034" w:type="dxa"/>
            <w:tcBorders>
              <w:bottom w:val="single" w:sz="4" w:space="0" w:color="auto"/>
            </w:tcBorders>
          </w:tcPr>
          <w:p>
            <w:pPr>
              <w:pStyle w:val="TableAm"/>
              <w:keepLines/>
              <w:widowControl w:val="0"/>
            </w:pPr>
          </w:p>
        </w:tc>
      </w:tr>
    </w:tbl>
    <w:p>
      <w:pPr>
        <w:keepLines/>
        <w:widowControl w:val="0"/>
        <w:tabs>
          <w:tab w:val="left" w:pos="851"/>
        </w:tabs>
        <w:ind w:left="1418" w:hanging="1418"/>
        <w:rPr>
          <w:sz w:val="16"/>
          <w:szCs w:val="16"/>
        </w:rPr>
      </w:pPr>
      <w:r>
        <w:rPr>
          <w:sz w:val="16"/>
          <w:szCs w:val="16"/>
        </w:rPr>
        <w:tab/>
        <w:t>Note:</w:t>
      </w:r>
      <w:r>
        <w:rPr>
          <w:sz w:val="16"/>
          <w:szCs w:val="16"/>
        </w:rPr>
        <w:tab/>
        <w:t>The heading to amended section 66F is to read:</w:t>
      </w:r>
    </w:p>
    <w:p>
      <w:pPr>
        <w:keepLines/>
        <w:widowControl w:val="0"/>
        <w:tabs>
          <w:tab w:val="left" w:pos="851"/>
        </w:tabs>
        <w:ind w:left="1418" w:hanging="1418"/>
        <w:rPr>
          <w:b/>
          <w:sz w:val="16"/>
          <w:szCs w:val="16"/>
        </w:rPr>
      </w:pPr>
      <w:r>
        <w:rPr>
          <w:sz w:val="16"/>
          <w:szCs w:val="16"/>
        </w:rPr>
        <w:tab/>
      </w:r>
      <w:r>
        <w:rPr>
          <w:sz w:val="16"/>
          <w:szCs w:val="16"/>
        </w:rPr>
        <w:tab/>
      </w:r>
      <w:r>
        <w:rPr>
          <w:b/>
          <w:sz w:val="16"/>
          <w:szCs w:val="16"/>
        </w:rPr>
        <w:t>Prescribed sample takers authorised to take blood samples</w:t>
      </w:r>
    </w:p>
    <w:p>
      <w:pPr>
        <w:pStyle w:val="BlankClose"/>
        <w:rPr>
          <w:sz w:val="16"/>
          <w:szCs w:val="16"/>
        </w:rPr>
      </w:pPr>
    </w:p>
    <w:p>
      <w:pPr>
        <w:keepNext/>
        <w:keepLines/>
        <w:tabs>
          <w:tab w:val="left" w:pos="1446"/>
        </w:tabs>
        <w:spacing w:before="100"/>
        <w:ind w:left="1446" w:right="284" w:hanging="879"/>
        <w:rPr>
          <w:b/>
          <w:sz w:val="20"/>
        </w:rPr>
      </w:pPr>
      <w:r>
        <w:rPr>
          <w:b/>
          <w:sz w:val="20"/>
        </w:rPr>
        <w:t>46.</w:t>
      </w:r>
      <w:r>
        <w:rPr>
          <w:b/>
          <w:sz w:val="20"/>
        </w:rPr>
        <w:tab/>
        <w:t>Section 62C amended</w:t>
      </w:r>
    </w:p>
    <w:p>
      <w:pPr>
        <w:tabs>
          <w:tab w:val="right" w:pos="1162"/>
          <w:tab w:val="left" w:pos="1446"/>
        </w:tabs>
        <w:spacing w:before="80"/>
        <w:ind w:left="1446" w:right="284" w:hanging="851"/>
        <w:rPr>
          <w:sz w:val="20"/>
        </w:rPr>
      </w:pPr>
      <w:r>
        <w:rPr>
          <w:sz w:val="20"/>
        </w:rPr>
        <w:tab/>
      </w:r>
      <w:r>
        <w:rPr>
          <w:sz w:val="20"/>
        </w:rPr>
        <w:tab/>
        <w:t>In section 62C(2) delete “4 hours” and insert:</w:t>
      </w:r>
    </w:p>
    <w:p>
      <w:pPr>
        <w:keepNext/>
        <w:keepLines/>
        <w:jc w:val="center"/>
        <w:rPr>
          <w:szCs w:val="24"/>
        </w:rPr>
      </w:pPr>
    </w:p>
    <w:p>
      <w:pPr>
        <w:tabs>
          <w:tab w:val="right" w:pos="1162"/>
          <w:tab w:val="left" w:pos="1446"/>
        </w:tabs>
        <w:spacing w:before="80"/>
        <w:ind w:left="1446" w:right="284" w:hanging="851"/>
        <w:rPr>
          <w:sz w:val="20"/>
        </w:rPr>
      </w:pPr>
      <w:r>
        <w:rPr>
          <w:sz w:val="20"/>
        </w:rPr>
        <w:tab/>
      </w:r>
      <w:r>
        <w:rPr>
          <w:sz w:val="20"/>
        </w:rPr>
        <w:tab/>
        <w:t>4 hours, or 12 hours if the sample was taken under section 66(8B),</w:t>
      </w:r>
    </w:p>
    <w:p>
      <w:pPr>
        <w:keepLines/>
        <w:jc w:val="center"/>
        <w:rPr>
          <w:szCs w:val="24"/>
        </w:rPr>
      </w:pPr>
    </w:p>
    <w:p>
      <w:pPr>
        <w:pStyle w:val="nzHeading5"/>
      </w:pPr>
      <w:r>
        <w:rPr>
          <w:rStyle w:val="CharSectno"/>
        </w:rPr>
        <w:t>53</w:t>
      </w:r>
      <w:r>
        <w:t>.</w:t>
      </w:r>
      <w:r>
        <w:tab/>
        <w:t>Section 70B amended</w:t>
      </w:r>
    </w:p>
    <w:p>
      <w:pPr>
        <w:pStyle w:val="nzSubsection"/>
      </w:pPr>
      <w:r>
        <w:tab/>
      </w:r>
      <w:r>
        <w:tab/>
        <w:t>In section 70B(1) after “offence against section” insert:</w:t>
      </w:r>
    </w:p>
    <w:p>
      <w:pPr>
        <w:pStyle w:val="BlankOpen"/>
      </w:pPr>
    </w:p>
    <w:p>
      <w:pPr>
        <w:pStyle w:val="nzSubsection"/>
      </w:pPr>
      <w:r>
        <w:tab/>
      </w:r>
      <w:r>
        <w:tab/>
        <w:t>62B, 62C,</w:t>
      </w:r>
    </w:p>
    <w:p>
      <w:pPr>
        <w:pStyle w:val="BlankClose"/>
        <w:keepNext/>
      </w:pPr>
    </w:p>
    <w:p>
      <w:pPr>
        <w:pStyle w:val="nzHeading5"/>
      </w:pPr>
      <w:r>
        <w:rPr>
          <w:rStyle w:val="CharSectno"/>
        </w:rPr>
        <w:t>64</w:t>
      </w:r>
      <w:r>
        <w:t>.</w:t>
      </w:r>
      <w:r>
        <w:tab/>
        <w:t>Section 110 inserted</w:t>
      </w:r>
    </w:p>
    <w:p>
      <w:pPr>
        <w:pStyle w:val="nzSubsection"/>
      </w:pPr>
      <w:r>
        <w:tab/>
      </w:r>
      <w:r>
        <w:tab/>
        <w:t>At the end of Part VIII insert:</w:t>
      </w:r>
    </w:p>
    <w:p>
      <w:pPr>
        <w:pStyle w:val="BlankOpen"/>
      </w:pPr>
    </w:p>
    <w:p>
      <w:pPr>
        <w:pStyle w:val="nzHeading5"/>
        <w:rPr>
          <w:snapToGrid w:val="0"/>
        </w:rPr>
      </w:pPr>
      <w:r>
        <w:t>110.</w:t>
      </w:r>
      <w:r>
        <w:tab/>
        <w:t xml:space="preserve">Transitional provisions for the </w:t>
      </w:r>
      <w:r>
        <w:rPr>
          <w:i/>
          <w:snapToGrid w:val="0"/>
        </w:rPr>
        <w:t>Road Traffic Legislation Amendment Act 2016</w:t>
      </w:r>
    </w:p>
    <w:p>
      <w:pPr>
        <w:pStyle w:val="nzSubsection"/>
        <w:rPr>
          <w:snapToGrid w:val="0"/>
        </w:rPr>
      </w:pPr>
      <w:r>
        <w:tab/>
        <w:t>(1)</w:t>
      </w:r>
      <w:r>
        <w:tab/>
        <w:t xml:space="preserve">Until the </w:t>
      </w:r>
      <w:r>
        <w:rPr>
          <w:i/>
          <w:snapToGrid w:val="0"/>
        </w:rPr>
        <w:t>Road Traffic Legislation Amendment Act 2016</w:t>
      </w:r>
      <w:r>
        <w:rPr>
          <w:snapToGrid w:val="0"/>
        </w:rPr>
        <w:t xml:space="preserve"> section 62(2) comes into operation, section 49(1) has effect as if paragraph (c) of the Penalty also referred to the application of subsection (3)(ca).</w:t>
      </w:r>
    </w:p>
    <w:p>
      <w:pPr>
        <w:pStyle w:val="nzSubsection"/>
        <w:keepNext/>
        <w:rPr>
          <w:snapToGrid w:val="0"/>
        </w:rPr>
      </w:pPr>
      <w:r>
        <w:tab/>
        <w:t>(2)</w:t>
      </w:r>
      <w:r>
        <w:tab/>
        <w:t xml:space="preserve">Until the </w:t>
      </w:r>
      <w:r>
        <w:rPr>
          <w:i/>
          <w:snapToGrid w:val="0"/>
        </w:rPr>
        <w:t xml:space="preserve">Road Traffic Legislation Amendment Act 2016 </w:t>
      </w:r>
      <w:r>
        <w:rPr>
          <w:snapToGrid w:val="0"/>
        </w:rPr>
        <w:t xml:space="preserve">section 63 comes into operation, the definition of </w:t>
      </w:r>
      <w:r>
        <w:rPr>
          <w:b/>
          <w:i/>
        </w:rPr>
        <w:t>impounding offence (driver’s licence)</w:t>
      </w:r>
      <w:r>
        <w:t xml:space="preserve"> paragraph (a) in section 78A, </w:t>
      </w:r>
      <w:r>
        <w:rPr>
          <w:snapToGrid w:val="0"/>
        </w:rPr>
        <w:t>has effect as if it also referred to section 49(3)(ca).</w:t>
      </w:r>
    </w:p>
    <w:p>
      <w:pPr>
        <w:pStyle w:val="BlankClose"/>
        <w:keepNext/>
        <w:widowControl w:val="0"/>
      </w:pPr>
    </w:p>
    <w:p>
      <w:pPr>
        <w:pStyle w:val="BlankClose"/>
        <w:keepNext/>
        <w:widowControl w:val="0"/>
      </w:pPr>
    </w:p>
    <w:p>
      <w:pPr>
        <w:pStyle w:val="nSubsection"/>
        <w:rPr>
          <w:snapToGrid w:val="0"/>
        </w:rPr>
      </w:pPr>
      <w:r>
        <w:rPr>
          <w:snapToGrid w:val="0"/>
          <w:vertAlign w:val="superscript"/>
        </w:rPr>
        <w:t>36</w:t>
      </w:r>
      <w:r>
        <w:rPr>
          <w:snapToGrid w:val="0"/>
        </w:rPr>
        <w:tab/>
        <w:t xml:space="preserve">The </w:t>
      </w:r>
      <w:r>
        <w:rPr>
          <w:i/>
        </w:rPr>
        <w:t xml:space="preserve">Road Traffic Amendment (Impounding and Confiscation of Vehicles) Act 2016 </w:t>
      </w:r>
      <w:r>
        <w:t xml:space="preserve">s. 5 and Pt. 3 Div. 3 will </w:t>
      </w:r>
      <w:r>
        <w:rPr>
          <w:snapToGrid w:val="0"/>
        </w:rPr>
        <w:t>not come into operation (see. s. 57(1)).</w:t>
      </w:r>
    </w:p>
    <w:p>
      <w:pPr>
        <w:pStyle w:val="BlankClose"/>
      </w:pP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rPr>
          <w:sz w:val="28"/>
        </w:rPr>
      </w:pPr>
      <w:bookmarkStart w:id="197" w:name="_Toc472087193"/>
      <w:r>
        <w:rPr>
          <w:sz w:val="28"/>
        </w:rPr>
        <w:t>Defined terms</w:t>
      </w:r>
      <w:bookmarkEnd w:id="19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above the speed limit</w:t>
      </w:r>
      <w:r>
        <w:tab/>
        <w:t>49AAA</w:t>
      </w:r>
    </w:p>
    <w:p>
      <w:pPr>
        <w:pStyle w:val="DefinedTerms"/>
      </w:pPr>
      <w:r>
        <w:t>alleged offence</w:t>
      </w:r>
      <w:r>
        <w:tab/>
        <w:t>71C(1), 71C(1)</w:t>
      </w:r>
    </w:p>
    <w:p>
      <w:pPr>
        <w:pStyle w:val="DefinedTerms"/>
      </w:pPr>
      <w:r>
        <w:t>alleged offender</w:t>
      </w:r>
      <w:r>
        <w:tab/>
        <w:t xml:space="preserve">71C(1), 71C(1), 79BCA(1), 79BCD(1), 79D(2), </w:t>
      </w:r>
      <w:r>
        <w:br/>
      </w:r>
      <w:r>
        <w:tab/>
        <w:t>79D(2), 79D(2), 79D(2), 79D(6)</w:t>
      </w:r>
    </w:p>
    <w:p>
      <w:pPr>
        <w:pStyle w:val="DefinedTerms"/>
      </w:pPr>
      <w:r>
        <w:t>alternative vehicle</w:t>
      </w:r>
      <w:r>
        <w:tab/>
        <w:t>79BCD(4), 79B(3C)</w:t>
      </w:r>
    </w:p>
    <w:p>
      <w:pPr>
        <w:pStyle w:val="DefinedTerms"/>
      </w:pPr>
      <w:r>
        <w:t>amended provisions</w:t>
      </w:r>
      <w:r>
        <w:tab/>
        <w:t>72A(1)</w:t>
      </w:r>
    </w:p>
    <w:p>
      <w:pPr>
        <w:pStyle w:val="DefinedTerms"/>
      </w:pPr>
      <w:r>
        <w:t>amendment Act</w:t>
      </w:r>
      <w:r>
        <w:tab/>
        <w:t>109(1)</w:t>
      </w:r>
    </w:p>
    <w:p>
      <w:pPr>
        <w:pStyle w:val="DefinedTerms"/>
      </w:pPr>
      <w:r>
        <w:t>analyst</w:t>
      </w:r>
      <w:r>
        <w:tab/>
        <w:t>65</w:t>
      </w:r>
    </w:p>
    <w:p>
      <w:pPr>
        <w:pStyle w:val="DefinedTerms"/>
      </w:pPr>
      <w:r>
        <w:t>approved</w:t>
      </w:r>
      <w:r>
        <w:tab/>
        <w:t>78A(1)</w:t>
      </w:r>
    </w:p>
    <w:p>
      <w:pPr>
        <w:pStyle w:val="DefinedTerms"/>
      </w:pPr>
      <w:r>
        <w:t>approved device</w:t>
      </w:r>
      <w:r>
        <w:tab/>
        <w:t>65</w:t>
      </w:r>
    </w:p>
    <w:p>
      <w:pPr>
        <w:pStyle w:val="DefinedTerms"/>
      </w:pPr>
      <w:r>
        <w:t>approved expert</w:t>
      </w:r>
      <w:r>
        <w:tab/>
        <w:t>70(7)</w:t>
      </w:r>
    </w:p>
    <w:p>
      <w:pPr>
        <w:pStyle w:val="DefinedTerms"/>
      </w:pPr>
      <w:r>
        <w:t>authorised drug tester</w:t>
      </w:r>
      <w:r>
        <w:tab/>
        <w:t>65</w:t>
      </w:r>
    </w:p>
    <w:p>
      <w:pPr>
        <w:pStyle w:val="DefinedTerms"/>
      </w:pPr>
      <w:r>
        <w:t>authorised person</w:t>
      </w:r>
      <w:r>
        <w:tab/>
        <w:t>65</w:t>
      </w:r>
    </w:p>
    <w:p>
      <w:pPr>
        <w:pStyle w:val="DefinedTerms"/>
      </w:pPr>
      <w:r>
        <w:t>blood alcohol content</w:t>
      </w:r>
      <w:r>
        <w:tab/>
        <w:t>65</w:t>
      </w:r>
    </w:p>
    <w:p>
      <w:pPr>
        <w:pStyle w:val="DefinedTerms"/>
      </w:pPr>
      <w:r>
        <w:t>breath analysing equipment</w:t>
      </w:r>
      <w:r>
        <w:tab/>
        <w:t>65</w:t>
      </w:r>
    </w:p>
    <w:p>
      <w:pPr>
        <w:pStyle w:val="DefinedTerms"/>
      </w:pPr>
      <w:r>
        <w:t>business owner</w:t>
      </w:r>
      <w:r>
        <w:tab/>
        <w:t>79D(2)</w:t>
      </w:r>
    </w:p>
    <w:p>
      <w:pPr>
        <w:pStyle w:val="DefinedTerms"/>
      </w:pPr>
      <w:r>
        <w:t>cancellation provision</w:t>
      </w:r>
      <w:r>
        <w:tab/>
        <w:t>62B(3), 64A(1A)</w:t>
      </w:r>
    </w:p>
    <w:p>
      <w:pPr>
        <w:pStyle w:val="DefinedTerms"/>
      </w:pPr>
      <w:r>
        <w:t>circumstances of aggravation</w:t>
      </w:r>
      <w:r>
        <w:tab/>
        <w:t>49AB(1)</w:t>
      </w:r>
    </w:p>
    <w:p>
      <w:pPr>
        <w:pStyle w:val="DefinedTerms"/>
      </w:pPr>
      <w:r>
        <w:t>commencement day</w:t>
      </w:r>
      <w:r>
        <w:tab/>
        <w:t>72(8), 72A(1), 109(1)</w:t>
      </w:r>
    </w:p>
    <w:p>
      <w:pPr>
        <w:pStyle w:val="DefinedTerms"/>
      </w:pPr>
      <w:r>
        <w:t>Commissioner</w:t>
      </w:r>
      <w:r>
        <w:tab/>
        <w:t>78A(1), 80G(1)</w:t>
      </w:r>
    </w:p>
    <w:p>
      <w:pPr>
        <w:pStyle w:val="DefinedTerms"/>
      </w:pPr>
      <w:r>
        <w:t>conduct</w:t>
      </w:r>
      <w:r>
        <w:tab/>
        <w:t>65</w:t>
      </w:r>
    </w:p>
    <w:p>
      <w:pPr>
        <w:pStyle w:val="DefinedTerms"/>
      </w:pPr>
      <w:r>
        <w:t>confiscated motor cycle</w:t>
      </w:r>
      <w:r>
        <w:tab/>
        <w:t>80V(1)</w:t>
      </w:r>
    </w:p>
    <w:p>
      <w:pPr>
        <w:pStyle w:val="DefinedTerms"/>
      </w:pPr>
      <w:r>
        <w:t>confiscated vehicle</w:t>
      </w:r>
      <w:r>
        <w:tab/>
        <w:t>80J(1)</w:t>
      </w:r>
    </w:p>
    <w:p>
      <w:pPr>
        <w:pStyle w:val="DefinedTerms"/>
      </w:pPr>
      <w:r>
        <w:t>confiscation zone</w:t>
      </w:r>
      <w:r>
        <w:tab/>
        <w:t>49AAA</w:t>
      </w:r>
    </w:p>
    <w:p>
      <w:pPr>
        <w:pStyle w:val="DefinedTerms"/>
      </w:pPr>
      <w:r>
        <w:t>day of the offence</w:t>
      </w:r>
      <w:r>
        <w:tab/>
        <w:t>78A(1)</w:t>
      </w:r>
    </w:p>
    <w:p>
      <w:pPr>
        <w:pStyle w:val="DefinedTerms"/>
      </w:pPr>
      <w:r>
        <w:t>dentist</w:t>
      </w:r>
      <w:r>
        <w:tab/>
        <w:t>65</w:t>
      </w:r>
    </w:p>
    <w:p>
      <w:pPr>
        <w:pStyle w:val="DefinedTerms"/>
      </w:pPr>
      <w:r>
        <w:t>disqualification notice</w:t>
      </w:r>
      <w:r>
        <w:tab/>
        <w:t>71C(2)</w:t>
      </w:r>
    </w:p>
    <w:p>
      <w:pPr>
        <w:pStyle w:val="DefinedTerms"/>
      </w:pPr>
      <w:r>
        <w:t>driver</w:t>
      </w:r>
      <w:r>
        <w:tab/>
        <w:t xml:space="preserve">49A(1), 54(1), 54(2), 54(6), 55(1), 55(4), 56(1), 56(4), </w:t>
      </w:r>
      <w:r>
        <w:br/>
      </w:r>
      <w:r>
        <w:tab/>
        <w:t>59(1), 59A(1), 59BA(1), 79BC(1)</w:t>
      </w:r>
    </w:p>
    <w:p>
      <w:pPr>
        <w:pStyle w:val="DefinedTerms"/>
      </w:pPr>
      <w:r>
        <w:t>driver assessment</w:t>
      </w:r>
      <w:r>
        <w:tab/>
        <w:t>65</w:t>
      </w:r>
    </w:p>
    <w:p>
      <w:pPr>
        <w:pStyle w:val="DefinedTerms"/>
      </w:pPr>
      <w:r>
        <w:t>drug</w:t>
      </w:r>
      <w:r>
        <w:tab/>
        <w:t>65</w:t>
      </w:r>
    </w:p>
    <w:p>
      <w:pPr>
        <w:pStyle w:val="DefinedTerms"/>
      </w:pPr>
      <w:r>
        <w:t>drug testing</w:t>
      </w:r>
      <w:r>
        <w:tab/>
        <w:t>65</w:t>
      </w:r>
    </w:p>
    <w:p>
      <w:pPr>
        <w:pStyle w:val="DefinedTerms"/>
      </w:pPr>
      <w:r>
        <w:t>drugs analyst</w:t>
      </w:r>
      <w:r>
        <w:tab/>
        <w:t>65</w:t>
      </w:r>
    </w:p>
    <w:p>
      <w:pPr>
        <w:pStyle w:val="DefinedTerms"/>
      </w:pPr>
      <w:r>
        <w:t>event</w:t>
      </w:r>
      <w:r>
        <w:tab/>
        <w:t>81A</w:t>
      </w:r>
    </w:p>
    <w:p>
      <w:pPr>
        <w:pStyle w:val="DefinedTerms"/>
      </w:pPr>
      <w:r>
        <w:t>expenses</w:t>
      </w:r>
      <w:r>
        <w:tab/>
        <w:t>80J(1)</w:t>
      </w:r>
    </w:p>
    <w:p>
      <w:pPr>
        <w:pStyle w:val="DefinedTerms"/>
      </w:pPr>
      <w:r>
        <w:t>former</w:t>
      </w:r>
      <w:r>
        <w:tab/>
        <w:t>109(1)</w:t>
      </w:r>
    </w:p>
    <w:p>
      <w:pPr>
        <w:pStyle w:val="DefinedTerms"/>
      </w:pPr>
      <w:r>
        <w:t>former owner</w:t>
      </w:r>
      <w:r>
        <w:tab/>
        <w:t>80M(1)</w:t>
      </w:r>
    </w:p>
    <w:p>
      <w:pPr>
        <w:pStyle w:val="DefinedTerms"/>
      </w:pPr>
      <w:r>
        <w:t>grievous bodily harm</w:t>
      </w:r>
      <w:r>
        <w:tab/>
        <w:t>49AAA</w:t>
      </w:r>
    </w:p>
    <w:p>
      <w:pPr>
        <w:pStyle w:val="DefinedTerms"/>
      </w:pPr>
      <w:r>
        <w:t>hired</w:t>
      </w:r>
      <w:r>
        <w:tab/>
        <w:t>78A(1)</w:t>
      </w:r>
    </w:p>
    <w:p>
      <w:pPr>
        <w:pStyle w:val="DefinedTerms"/>
      </w:pPr>
      <w:r>
        <w:t>immediate family</w:t>
      </w:r>
      <w:r>
        <w:tab/>
        <w:t>80N</w:t>
      </w:r>
    </w:p>
    <w:p>
      <w:pPr>
        <w:pStyle w:val="DefinedTerms"/>
      </w:pPr>
      <w:r>
        <w:t>impound</w:t>
      </w:r>
      <w:r>
        <w:tab/>
        <w:t>78A(1)</w:t>
      </w:r>
    </w:p>
    <w:p>
      <w:pPr>
        <w:pStyle w:val="DefinedTerms"/>
      </w:pPr>
      <w:r>
        <w:t>impounded vehicle</w:t>
      </w:r>
      <w:r>
        <w:tab/>
        <w:t>79D(1), 80JA(1)</w:t>
      </w:r>
    </w:p>
    <w:p>
      <w:pPr>
        <w:pStyle w:val="DefinedTerms"/>
      </w:pPr>
      <w:r>
        <w:t>impounding offence (driver’s licence)</w:t>
      </w:r>
      <w:r>
        <w:tab/>
        <w:t>78A(1)</w:t>
      </w:r>
    </w:p>
    <w:p>
      <w:pPr>
        <w:pStyle w:val="DefinedTerms"/>
      </w:pPr>
      <w:r>
        <w:t>impounding offence (driving)</w:t>
      </w:r>
      <w:r>
        <w:tab/>
        <w:t>78A(1)</w:t>
      </w:r>
    </w:p>
    <w:p>
      <w:pPr>
        <w:pStyle w:val="DefinedTerms"/>
      </w:pPr>
      <w:r>
        <w:t>impounding or confiscation order</w:t>
      </w:r>
      <w:r>
        <w:tab/>
        <w:t>78A(1)</w:t>
      </w:r>
    </w:p>
    <w:p>
      <w:pPr>
        <w:pStyle w:val="DefinedTerms"/>
      </w:pPr>
      <w:r>
        <w:t>impounding order</w:t>
      </w:r>
      <w:r>
        <w:tab/>
        <w:t>78A(1)</w:t>
      </w:r>
    </w:p>
    <w:p>
      <w:pPr>
        <w:pStyle w:val="DefinedTerms"/>
      </w:pPr>
      <w:r>
        <w:t>impounding period</w:t>
      </w:r>
      <w:r>
        <w:tab/>
        <w:t>78A(1)</w:t>
      </w:r>
    </w:p>
    <w:p>
      <w:pPr>
        <w:pStyle w:val="DefinedTerms"/>
      </w:pPr>
      <w:r>
        <w:t>impounding provision</w:t>
      </w:r>
      <w:r>
        <w:tab/>
        <w:t>79BA(1), 79BA(1), 79BCA(5), 79BCD(5)</w:t>
      </w:r>
    </w:p>
    <w:p>
      <w:pPr>
        <w:pStyle w:val="DefinedTerms"/>
      </w:pPr>
      <w:r>
        <w:t>initially impounded vehicle</w:t>
      </w:r>
      <w:r>
        <w:tab/>
        <w:t>79BCA(1)</w:t>
      </w:r>
    </w:p>
    <w:p>
      <w:pPr>
        <w:pStyle w:val="DefinedTerms"/>
      </w:pPr>
      <w:r>
        <w:t>instructor</w:t>
      </w:r>
      <w:r>
        <w:tab/>
        <w:t>49AAA</w:t>
      </w:r>
    </w:p>
    <w:p>
      <w:pPr>
        <w:pStyle w:val="DefinedTerms"/>
      </w:pPr>
      <w:r>
        <w:t>interest</w:t>
      </w:r>
      <w:r>
        <w:tab/>
        <w:t>78A(1)</w:t>
      </w:r>
    </w:p>
    <w:p>
      <w:pPr>
        <w:pStyle w:val="DefinedTerms"/>
      </w:pPr>
      <w:r>
        <w:t>item</w:t>
      </w:r>
      <w:r>
        <w:tab/>
        <w:t>80J(1), 80M(1), 80V(1)</w:t>
      </w:r>
    </w:p>
    <w:p>
      <w:pPr>
        <w:pStyle w:val="DefinedTerms"/>
      </w:pPr>
      <w:r>
        <w:t>learner driver</w:t>
      </w:r>
      <w:r>
        <w:tab/>
        <w:t>49AAA</w:t>
      </w:r>
    </w:p>
    <w:p>
      <w:pPr>
        <w:pStyle w:val="DefinedTerms"/>
      </w:pPr>
      <w:r>
        <w:t>lent</w:t>
      </w:r>
      <w:r>
        <w:tab/>
        <w:t>78A(1)</w:t>
      </w:r>
    </w:p>
    <w:p>
      <w:pPr>
        <w:pStyle w:val="DefinedTerms"/>
      </w:pPr>
      <w:r>
        <w:t>material time</w:t>
      </w:r>
      <w:r>
        <w:tab/>
        <w:t>71(1)</w:t>
      </w:r>
    </w:p>
    <w:p>
      <w:pPr>
        <w:pStyle w:val="DefinedTerms"/>
      </w:pPr>
      <w:r>
        <w:t>medical practitioner</w:t>
      </w:r>
      <w:r>
        <w:tab/>
        <w:t>65</w:t>
      </w:r>
    </w:p>
    <w:p>
      <w:pPr>
        <w:pStyle w:val="DefinedTerms"/>
      </w:pPr>
      <w:r>
        <w:t>Minister</w:t>
      </w:r>
      <w:r>
        <w:tab/>
        <w:t>72(3A)</w:t>
      </w:r>
    </w:p>
    <w:p>
      <w:pPr>
        <w:pStyle w:val="DefinedTerms"/>
      </w:pPr>
      <w:r>
        <w:t>motor cycle</w:t>
      </w:r>
      <w:r>
        <w:tab/>
        <w:t>49AAA</w:t>
      </w:r>
    </w:p>
    <w:p>
      <w:pPr>
        <w:pStyle w:val="DefinedTerms"/>
      </w:pPr>
      <w:r>
        <w:t>necessity permit</w:t>
      </w:r>
      <w:r>
        <w:tab/>
        <w:t>49A(5)</w:t>
      </w:r>
    </w:p>
    <w:p>
      <w:pPr>
        <w:pStyle w:val="DefinedTerms"/>
      </w:pPr>
      <w:r>
        <w:t>notice to surrender</w:t>
      </w:r>
      <w:r>
        <w:tab/>
        <w:t>79BCC(1)</w:t>
      </w:r>
    </w:p>
    <w:p>
      <w:pPr>
        <w:pStyle w:val="DefinedTerms"/>
      </w:pPr>
      <w:r>
        <w:t>nurse practitioner</w:t>
      </w:r>
      <w:r>
        <w:tab/>
        <w:t>65</w:t>
      </w:r>
    </w:p>
    <w:p>
      <w:pPr>
        <w:pStyle w:val="DefinedTerms"/>
      </w:pPr>
      <w:r>
        <w:t>offence</w:t>
      </w:r>
      <w:r>
        <w:tab/>
        <w:t>60B(1), 79BA(1), 79BCA(1), 79BCD(1)</w:t>
      </w:r>
    </w:p>
    <w:p>
      <w:pPr>
        <w:pStyle w:val="DefinedTerms"/>
      </w:pPr>
      <w:r>
        <w:t>offender</w:t>
      </w:r>
      <w:r>
        <w:tab/>
        <w:t>71B(1), 80LA(1)</w:t>
      </w:r>
    </w:p>
    <w:p>
      <w:pPr>
        <w:pStyle w:val="DefinedTerms"/>
      </w:pPr>
      <w:r>
        <w:t>order</w:t>
      </w:r>
      <w:r>
        <w:tab/>
        <w:t>80G(1), 81A</w:t>
      </w:r>
    </w:p>
    <w:p>
      <w:pPr>
        <w:pStyle w:val="DefinedTerms"/>
      </w:pPr>
      <w:r>
        <w:t>police officer</w:t>
      </w:r>
      <w:r>
        <w:tab/>
        <w:t>71C(1), 71C(1), 79BA(1)</w:t>
      </w:r>
    </w:p>
    <w:p>
      <w:pPr>
        <w:pStyle w:val="DefinedTerms"/>
      </w:pPr>
      <w:r>
        <w:t>post</w:t>
      </w:r>
      <w:r>
        <w:noBreakHyphen/>
        <w:t>impoundment expenses</w:t>
      </w:r>
      <w:r>
        <w:tab/>
        <w:t>80I(1A)</w:t>
      </w:r>
    </w:p>
    <w:p>
      <w:pPr>
        <w:pStyle w:val="DefinedTerms"/>
      </w:pPr>
      <w:r>
        <w:t>preliminary oral fluid test</w:t>
      </w:r>
      <w:r>
        <w:tab/>
        <w:t>65</w:t>
      </w:r>
    </w:p>
    <w:p>
      <w:pPr>
        <w:pStyle w:val="DefinedTerms"/>
      </w:pPr>
      <w:r>
        <w:t>preliminary test</w:t>
      </w:r>
      <w:r>
        <w:tab/>
        <w:t>65</w:t>
      </w:r>
    </w:p>
    <w:p>
      <w:pPr>
        <w:pStyle w:val="DefinedTerms"/>
      </w:pPr>
      <w:r>
        <w:t>prescribed illicit drug</w:t>
      </w:r>
      <w:r>
        <w:tab/>
        <w:t>65</w:t>
      </w:r>
    </w:p>
    <w:p>
      <w:pPr>
        <w:pStyle w:val="DefinedTerms"/>
      </w:pPr>
      <w:r>
        <w:t>previous offender</w:t>
      </w:r>
      <w:r>
        <w:tab/>
        <w:t>79(1A), 79BC(1)</w:t>
      </w:r>
    </w:p>
    <w:p>
      <w:pPr>
        <w:pStyle w:val="DefinedTerms"/>
      </w:pPr>
      <w:r>
        <w:t>provide driving instruction</w:t>
      </w:r>
      <w:r>
        <w:tab/>
        <w:t>49AAA</w:t>
      </w:r>
    </w:p>
    <w:p>
      <w:pPr>
        <w:pStyle w:val="DefinedTerms"/>
      </w:pPr>
      <w:r>
        <w:t>reasonable expenses</w:t>
      </w:r>
      <w:r>
        <w:tab/>
        <w:t>78A(1)</w:t>
      </w:r>
    </w:p>
    <w:p>
      <w:pPr>
        <w:pStyle w:val="DefinedTerms"/>
      </w:pPr>
      <w:r>
        <w:t>reckless manner</w:t>
      </w:r>
      <w:r>
        <w:tab/>
        <w:t>60(1)</w:t>
      </w:r>
    </w:p>
    <w:p>
      <w:pPr>
        <w:pStyle w:val="DefinedTerms"/>
      </w:pPr>
      <w:r>
        <w:t>registered nurse</w:t>
      </w:r>
      <w:r>
        <w:tab/>
        <w:t>65</w:t>
      </w:r>
    </w:p>
    <w:p>
      <w:pPr>
        <w:pStyle w:val="DefinedTerms"/>
      </w:pPr>
      <w:r>
        <w:t>relevant offence</w:t>
      </w:r>
      <w:r>
        <w:tab/>
        <w:t>49(7)</w:t>
      </w:r>
    </w:p>
    <w:p>
      <w:pPr>
        <w:pStyle w:val="DefinedTerms"/>
      </w:pPr>
      <w:r>
        <w:t>requirement</w:t>
      </w:r>
      <w:r>
        <w:tab/>
        <w:t>67(1), 67AA(1), 67AB(1), 68A(1)</w:t>
      </w:r>
    </w:p>
    <w:p>
      <w:pPr>
        <w:pStyle w:val="DefinedTerms"/>
      </w:pPr>
      <w:r>
        <w:t>road</w:t>
      </w:r>
      <w:r>
        <w:tab/>
        <w:t>81A</w:t>
      </w:r>
    </w:p>
    <w:p>
      <w:pPr>
        <w:pStyle w:val="DefinedTerms"/>
      </w:pPr>
      <w:r>
        <w:t>road rage circumstances</w:t>
      </w:r>
      <w:r>
        <w:tab/>
        <w:t>78A(1)</w:t>
      </w:r>
    </w:p>
    <w:p>
      <w:pPr>
        <w:pStyle w:val="DefinedTerms"/>
      </w:pPr>
      <w:r>
        <w:t>road rage offence</w:t>
      </w:r>
      <w:r>
        <w:tab/>
        <w:t>78A(1)</w:t>
      </w:r>
    </w:p>
    <w:p>
      <w:pPr>
        <w:pStyle w:val="DefinedTerms"/>
      </w:pPr>
      <w:r>
        <w:t>sample</w:t>
      </w:r>
      <w:r>
        <w:tab/>
        <w:t>71A(1)</w:t>
      </w:r>
    </w:p>
    <w:p>
      <w:pPr>
        <w:pStyle w:val="DefinedTerms"/>
      </w:pPr>
      <w:r>
        <w:t>school zone</w:t>
      </w:r>
      <w:r>
        <w:tab/>
        <w:t>49AAA</w:t>
      </w:r>
    </w:p>
    <w:p>
      <w:pPr>
        <w:pStyle w:val="DefinedTerms"/>
      </w:pPr>
      <w:r>
        <w:t>self</w:t>
      </w:r>
      <w:r>
        <w:noBreakHyphen/>
        <w:t>testing breath analysing equipment</w:t>
      </w:r>
      <w:r>
        <w:tab/>
        <w:t>65</w:t>
      </w:r>
    </w:p>
    <w:p>
      <w:pPr>
        <w:pStyle w:val="DefinedTerms"/>
      </w:pPr>
      <w:r>
        <w:t>selling expenses</w:t>
      </w:r>
      <w:r>
        <w:tab/>
        <w:t>80LA(2)</w:t>
      </w:r>
    </w:p>
    <w:p>
      <w:pPr>
        <w:pStyle w:val="DefinedTerms"/>
      </w:pPr>
      <w:r>
        <w:t>senior police officer</w:t>
      </w:r>
      <w:r>
        <w:tab/>
        <w:t>78A(1)</w:t>
      </w:r>
    </w:p>
    <w:p>
      <w:pPr>
        <w:pStyle w:val="DefinedTerms"/>
      </w:pPr>
      <w:r>
        <w:t>service</w:t>
      </w:r>
      <w:r>
        <w:tab/>
        <w:t>79D(1)</w:t>
      </w:r>
    </w:p>
    <w:p>
      <w:pPr>
        <w:pStyle w:val="DefinedTerms"/>
      </w:pPr>
      <w:r>
        <w:t>shorter impounding period</w:t>
      </w:r>
      <w:r>
        <w:tab/>
        <w:t>79BC(2), 79BC(3)</w:t>
      </w:r>
    </w:p>
    <w:p>
      <w:pPr>
        <w:pStyle w:val="DefinedTerms"/>
      </w:pPr>
      <w:r>
        <w:t>speed limit</w:t>
      </w:r>
      <w:r>
        <w:tab/>
        <w:t>49AAA</w:t>
      </w:r>
    </w:p>
    <w:p>
      <w:pPr>
        <w:pStyle w:val="DefinedTerms"/>
      </w:pPr>
      <w:r>
        <w:t>subject</w:t>
      </w:r>
      <w:r>
        <w:tab/>
        <w:t>71A(1)</w:t>
      </w:r>
    </w:p>
    <w:p>
      <w:pPr>
        <w:pStyle w:val="DefinedTerms"/>
      </w:pPr>
      <w:r>
        <w:t>substitute vehicle</w:t>
      </w:r>
      <w:r>
        <w:tab/>
        <w:t>79BCA(4), 79B(3A)</w:t>
      </w:r>
    </w:p>
    <w:p>
      <w:pPr>
        <w:pStyle w:val="DefinedTerms"/>
      </w:pPr>
      <w:r>
        <w:t>surrender alternative vehicle notice</w:t>
      </w:r>
      <w:r>
        <w:tab/>
        <w:t>79BCD(2)</w:t>
      </w:r>
    </w:p>
    <w:p>
      <w:pPr>
        <w:pStyle w:val="DefinedTerms"/>
      </w:pPr>
      <w:r>
        <w:t>surrender notice</w:t>
      </w:r>
      <w:r>
        <w:tab/>
        <w:t>79(1A), 79BA(2), 80N, 80P(2)</w:t>
      </w:r>
    </w:p>
    <w:p>
      <w:pPr>
        <w:pStyle w:val="DefinedTerms"/>
      </w:pPr>
      <w:r>
        <w:t>surrender period</w:t>
      </w:r>
      <w:r>
        <w:tab/>
        <w:t>78A(1)</w:t>
      </w:r>
    </w:p>
    <w:p>
      <w:pPr>
        <w:pStyle w:val="DefinedTerms"/>
      </w:pPr>
      <w:r>
        <w:t>surrender substitute vehicle notice</w:t>
      </w:r>
      <w:r>
        <w:tab/>
        <w:t>79BCA(2)</w:t>
      </w:r>
    </w:p>
    <w:p>
      <w:pPr>
        <w:pStyle w:val="DefinedTerms"/>
      </w:pPr>
      <w:r>
        <w:t>suspected use</w:t>
      </w:r>
      <w:r>
        <w:tab/>
        <w:t>80N</w:t>
      </w:r>
    </w:p>
    <w:p>
      <w:pPr>
        <w:pStyle w:val="DefinedTerms"/>
      </w:pPr>
      <w:r>
        <w:t>taxi</w:t>
      </w:r>
      <w:r>
        <w:tab/>
        <w:t>79D(1)</w:t>
      </w:r>
    </w:p>
    <w:p>
      <w:pPr>
        <w:pStyle w:val="DefinedTerms"/>
      </w:pPr>
      <w:r>
        <w:t>taxi operator</w:t>
      </w:r>
      <w:r>
        <w:tab/>
        <w:t>79D(1)</w:t>
      </w:r>
    </w:p>
    <w:p>
      <w:pPr>
        <w:pStyle w:val="DefinedTerms"/>
      </w:pPr>
      <w:r>
        <w:t>technologist</w:t>
      </w:r>
      <w:r>
        <w:tab/>
        <w:t>70(7)</w:t>
      </w:r>
    </w:p>
    <w:p>
      <w:pPr>
        <w:pStyle w:val="DefinedTerms"/>
      </w:pPr>
      <w:r>
        <w:t>time of sampling</w:t>
      </w:r>
      <w:r>
        <w:tab/>
        <w:t>71(1)</w:t>
      </w:r>
    </w:p>
    <w:p>
      <w:pPr>
        <w:pStyle w:val="DefinedTerms"/>
      </w:pPr>
      <w:r>
        <w:t>uncollected vehicle</w:t>
      </w:r>
      <w:r>
        <w:tab/>
        <w:t>80J(1), 80M(1)</w:t>
      </w:r>
    </w:p>
    <w:p>
      <w:pPr>
        <w:pStyle w:val="DefinedTerms"/>
      </w:pPr>
      <w:r>
        <w:t>undergoes</w:t>
      </w:r>
      <w:r>
        <w:tab/>
        <w:t>65</w:t>
      </w:r>
    </w:p>
    <w:p>
      <w:pPr>
        <w:pStyle w:val="DefinedTerms"/>
      </w:pPr>
      <w:r>
        <w:t>vehicle</w:t>
      </w:r>
      <w:r>
        <w:tab/>
        <w:t>79BA(1)</w:t>
      </w:r>
    </w:p>
    <w:p>
      <w:pPr>
        <w:pStyle w:val="DefinedTerms"/>
      </w:pPr>
      <w:r>
        <w:t>vehicle A</w:t>
      </w:r>
      <w:r>
        <w:tab/>
        <w:t>79BCD(1)</w:t>
      </w:r>
    </w:p>
    <w:p>
      <w:pPr>
        <w:pStyle w:val="DefinedTerms"/>
      </w:pPr>
      <w:r>
        <w:t>vehicle referred to in section 80GA</w:t>
      </w:r>
      <w:r>
        <w:tab/>
        <w:t>78A(1)</w:t>
      </w:r>
    </w:p>
    <w:p>
      <w:pPr>
        <w:pStyle w:val="DefinedTerms"/>
      </w:pPr>
      <w:r>
        <w:t>vehicle service provider</w:t>
      </w:r>
      <w:r>
        <w:tab/>
        <w:t>79D(1)</w:t>
      </w:r>
    </w:p>
    <w:p>
      <w:pPr>
        <w:pStyle w:val="DefinedTerms"/>
      </w:pPr>
      <w:r>
        <w:t>victim</w:t>
      </w:r>
      <w:r>
        <w:tab/>
        <w:t>54(2), 54(6)</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8" w:name="DefinedTerms"/>
    <w:bookmarkEnd w:id="19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9" w:name="Coversheet"/>
    <w:bookmarkEnd w:id="19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9D20D9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78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129133815"/>
    <w:docVar w:name="WAFER_20140115163355" w:val="RemoveTocBookmarks,RemoveUnusedBookmarks,RemoveLanguageTags,UsedStyles,ResetPageSize,UpdateArrangement"/>
    <w:docVar w:name="WAFER_20140115163355_GUID" w:val="fda0523e-387a-4b82-8ad4-6e4e0804e359"/>
    <w:docVar w:name="WAFER_20140306140440" w:val="RemoveTocBookmarks,RemoveUnusedBookmarks,RemoveLanguageTags,UsedStyles,ResetPageSize"/>
    <w:docVar w:name="WAFER_20140306140440_GUID" w:val="4a31133e-d1e6-4d38-97b5-ca532b24d2be"/>
    <w:docVar w:name="WAFER_20140306141012" w:val="RemoveTocBookmarks,RunningHeaders"/>
    <w:docVar w:name="WAFER_20140306141012_GUID" w:val="76f2a30d-7c3e-4b11-8c53-c66d2b758589"/>
    <w:docVar w:name="WAFER_20140704133936" w:val="RemoveTocBookmarks,RunningHeaders"/>
    <w:docVar w:name="WAFER_20140704133936_GUID" w:val="e48310ca-3733-4bdb-842f-fae636fb32ee"/>
    <w:docVar w:name="WAFER_20150303122942" w:val="ResetPageSize,UpdateArrangement,UpdateNTable"/>
    <w:docVar w:name="WAFER_20150303122942_GUID" w:val="f5988cad-be11-4aa1-a77d-1576deca328c"/>
    <w:docVar w:name="WAFER_20150303133146" w:val="ResetPageSize,UpdateArrangement,UpdateNTable"/>
    <w:docVar w:name="WAFER_20150303133146_GUID" w:val="abc6cbbe-ce1a-42ca-85da-a1717e9ce93c"/>
    <w:docVar w:name="WAFER_20151111175232" w:val="UpdateStyles,UsedStyles"/>
    <w:docVar w:name="WAFER_20151111175232_GUID" w:val="7dce16be-29f4-44be-9c89-a0400ea9db06"/>
    <w:docVar w:name="WAFER_20161125122242" w:val="RemoveTocBookmarks,RemoveUnusedBookmarks,RemoveLanguageTags,UsedStyles,ResetPageSize"/>
    <w:docVar w:name="WAFER_20161125122242_GUID" w:val="e3376381-8405-462f-95ae-d1946390de8b"/>
    <w:docVar w:name="WAFER_20161129133815" w:val="RemoveTocBookmarks,RemoveUnusedBookmarks,RemoveLanguageTags,UsedStyles,ResetPageSize"/>
    <w:docVar w:name="WAFER_20161129133815_GUID" w:val="17dd4d64-a006-4bdb-9ddf-c466e3e5fa3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778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ing3Char">
    <w:name w:val="Heading 3 Char"/>
    <w:basedOn w:val="DefaultParagraphFont"/>
    <w:link w:val="Heading3"/>
    <w:rPr>
      <w:b/>
      <w:sz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ing3Char">
    <w:name w:val="Heading 3 Char"/>
    <w:basedOn w:val="DefaultParagraphFont"/>
    <w:link w:val="Heading3"/>
    <w:rPr>
      <w:b/>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956168">
      <w:bodyDiv w:val="1"/>
      <w:marLeft w:val="0"/>
      <w:marRight w:val="0"/>
      <w:marTop w:val="0"/>
      <w:marBottom w:val="0"/>
      <w:divBdr>
        <w:top w:val="none" w:sz="0" w:space="0" w:color="auto"/>
        <w:left w:val="none" w:sz="0" w:space="0" w:color="auto"/>
        <w:bottom w:val="none" w:sz="0" w:space="0" w:color="auto"/>
        <w:right w:val="none" w:sz="0" w:space="0" w:color="auto"/>
      </w:divBdr>
    </w:div>
    <w:div w:id="847519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C2DF59-F45F-4D91-A3A5-17F004DBBD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223</Pages>
  <Words>61017</Words>
  <Characters>278238</Characters>
  <Application>Microsoft Office Word</Application>
  <DocSecurity>0</DocSecurity>
  <Lines>7949</Lines>
  <Paragraphs>3899</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335356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1974 - 13-g0-01</dc:title>
  <dc:subject/>
  <dc:creator/>
  <cp:keywords/>
  <dc:description/>
  <cp:lastModifiedBy>svcMRProcess</cp:lastModifiedBy>
  <cp:revision>4</cp:revision>
  <cp:lastPrinted>2015-06-18T06:26:00Z</cp:lastPrinted>
  <dcterms:created xsi:type="dcterms:W3CDTF">2018-09-08T03:21:00Z</dcterms:created>
  <dcterms:modified xsi:type="dcterms:W3CDTF">2018-09-08T03:21:00Z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DocumentType">
    <vt:lpwstr>Act</vt:lpwstr>
  </property>
  <property fmtid="{D5CDD505-2E9C-101B-9397-08002B2CF9AE}" pid="4" name="OwlsUID">
    <vt:i4>703</vt:i4>
  </property>
  <property fmtid="{D5CDD505-2E9C-101B-9397-08002B2CF9AE}" pid="5" name="ThisVersion">
    <vt:lpwstr>11-i0-00</vt:lpwstr>
  </property>
  <property fmtid="{D5CDD505-2E9C-101B-9397-08002B2CF9AE}" pid="6" name="ReprintedAsAt">
    <vt:filetime>2015-06-11T16:00:00Z</vt:filetime>
  </property>
  <property fmtid="{D5CDD505-2E9C-101B-9397-08002B2CF9AE}" pid="7" name="ReprintNo">
    <vt:lpwstr>13</vt:lpwstr>
  </property>
  <property fmtid="{D5CDD505-2E9C-101B-9397-08002B2CF9AE}" pid="8" name="AsAtDate">
    <vt:lpwstr>14 Jan 2017</vt:lpwstr>
  </property>
  <property fmtid="{D5CDD505-2E9C-101B-9397-08002B2CF9AE}" pid="9" name="Suffix">
    <vt:lpwstr>13-g0-01</vt:lpwstr>
  </property>
  <property fmtid="{D5CDD505-2E9C-101B-9397-08002B2CF9AE}" pid="10" name="CommencementDate">
    <vt:lpwstr>20170114</vt:lpwstr>
  </property>
</Properties>
</file>