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_Toc472604567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_Toc472604568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_Toc472604569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_Toc472604570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_Toc472604571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_Toc472604572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_Toc472604574 \h </w:instrText>
      </w:r>
      <w:r>
        <w:fldChar w:fldCharType="separate"/>
      </w:r>
      <w:r>
        <w:t>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_Toc472604575 \h </w:instrText>
      </w:r>
      <w:r>
        <w:fldChar w:fldCharType="separate"/>
      </w:r>
      <w:r>
        <w:t>20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_Toc472604576 \h </w:instrText>
      </w:r>
      <w:r>
        <w:fldChar w:fldCharType="separate"/>
      </w:r>
      <w:r>
        <w:t>20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_Toc472604577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_Toc472604578 \h </w:instrText>
      </w:r>
      <w:r>
        <w:fldChar w:fldCharType="separate"/>
      </w:r>
      <w:r>
        <w:t>21</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_Toc472604579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_Toc472604580 \h </w:instrText>
      </w:r>
      <w:r>
        <w:fldChar w:fldCharType="separate"/>
      </w:r>
      <w:r>
        <w:t>23</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_Toc472604581 \h </w:instrText>
      </w:r>
      <w:r>
        <w:fldChar w:fldCharType="separate"/>
      </w:r>
      <w:r>
        <w:t>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_Toc472604582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_Toc472604583 \h </w:instrText>
      </w:r>
      <w:r>
        <w:fldChar w:fldCharType="separate"/>
      </w:r>
      <w:r>
        <w:t>25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_Toc472604584 \h </w:instrText>
      </w:r>
      <w:r>
        <w:fldChar w:fldCharType="separate"/>
      </w:r>
      <w:r>
        <w:t>25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_Toc472604585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_Toc472604586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compensate workers for injuries</w:t>
      </w:r>
      <w:r>
        <w:tab/>
      </w:r>
      <w:r>
        <w:fldChar w:fldCharType="begin"/>
      </w:r>
      <w:r>
        <w:instrText xml:space="preserve"> PAGEREF _Toc472604589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_Toc472604590 \h </w:instrText>
      </w:r>
      <w:r>
        <w:fldChar w:fldCharType="separate"/>
      </w:r>
      <w:r>
        <w:t>29</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_Toc472604591 \h </w:instrText>
      </w:r>
      <w:r>
        <w:fldChar w:fldCharType="separate"/>
      </w:r>
      <w:r>
        <w:t>30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_Toc472604592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_Toc472604593 \h </w:instrText>
      </w:r>
      <w:r>
        <w:fldChar w:fldCharType="separate"/>
      </w:r>
      <w:r>
        <w:t>32</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_Toc472604594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_Toc472604596 \h </w:instrText>
      </w:r>
      <w:r>
        <w:fldChar w:fldCharType="separate"/>
      </w:r>
      <w:r>
        <w:t>33</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_Toc472604597 \h </w:instrText>
      </w:r>
      <w:r>
        <w:fldChar w:fldCharType="separate"/>
      </w:r>
      <w:r>
        <w:t>34</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_Toc472604598 \h </w:instrText>
      </w:r>
      <w:r>
        <w:fldChar w:fldCharType="separate"/>
      </w:r>
      <w:r>
        <w:t>34</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_Toc472604599 \h </w:instrText>
      </w:r>
      <w:r>
        <w:fldChar w:fldCharType="separate"/>
      </w:r>
      <w:r>
        <w:t>35</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_Toc472604600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_Toc472604602 \h </w:instrText>
      </w:r>
      <w:r>
        <w:fldChar w:fldCharType="separate"/>
      </w:r>
      <w:r>
        <w:t>35</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_Toc472604603 \h </w:instrText>
      </w:r>
      <w:r>
        <w:fldChar w:fldCharType="separate"/>
      </w:r>
      <w:r>
        <w:t>36</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_Toc472604604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_Toc472604605 \h </w:instrText>
      </w:r>
      <w:r>
        <w:fldChar w:fldCharType="separate"/>
      </w:r>
      <w:r>
        <w:t>39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_Toc472604606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_Toc472604607 \h </w:instrText>
      </w:r>
      <w:r>
        <w:fldChar w:fldCharType="separate"/>
      </w:r>
      <w:r>
        <w:t>40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_Toc472604608 \h </w:instrText>
      </w:r>
      <w:r>
        <w:fldChar w:fldCharType="separate"/>
      </w:r>
      <w:r>
        <w:t>41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_Toc472604609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_Toc472604610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_Toc472604611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_Toc472604613 \h </w:instrText>
      </w:r>
      <w:r>
        <w:fldChar w:fldCharType="separate"/>
      </w:r>
      <w:r>
        <w:t>43</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_Toc472604614 \h </w:instrText>
      </w:r>
      <w:r>
        <w:fldChar w:fldCharType="separate"/>
      </w:r>
      <w:r>
        <w:t>43</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_Toc472604615 \h </w:instrText>
      </w:r>
      <w:r>
        <w:fldChar w:fldCharType="separate"/>
      </w:r>
      <w:r>
        <w:t>44</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_Toc472604616 \h </w:instrText>
      </w:r>
      <w:r>
        <w:fldChar w:fldCharType="separate"/>
      </w:r>
      <w:r>
        <w:t>44</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_Toc472604617 \h </w:instrText>
      </w:r>
      <w:r>
        <w:fldChar w:fldCharType="separate"/>
      </w:r>
      <w:r>
        <w:t>45</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_Toc472604618 \h </w:instrText>
      </w:r>
      <w:r>
        <w:fldChar w:fldCharType="separate"/>
      </w:r>
      <w:r>
        <w:t>47</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_Toc472604619 \h </w:instrText>
      </w:r>
      <w:r>
        <w:fldChar w:fldCharType="separate"/>
      </w:r>
      <w:r>
        <w:t>48</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_Toc472604620 \h </w:instrText>
      </w:r>
      <w:r>
        <w:fldChar w:fldCharType="separate"/>
      </w:r>
      <w:r>
        <w:t>49</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_Toc472604621 \h </w:instrText>
      </w:r>
      <w:r>
        <w:fldChar w:fldCharType="separate"/>
      </w:r>
      <w:r>
        <w:t>50</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_Toc472604622 \h </w:instrText>
      </w:r>
      <w:r>
        <w:fldChar w:fldCharType="separate"/>
      </w:r>
      <w:r>
        <w:t>51</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_Toc472604623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_Toc472604625 \h </w:instrText>
      </w:r>
      <w:r>
        <w:fldChar w:fldCharType="separate"/>
      </w:r>
      <w:r>
        <w:t>52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_Toc472604626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_Toc472604627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_Toc472604628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_Toc472604629 \h </w:instrText>
      </w:r>
      <w:r>
        <w:fldChar w:fldCharType="separate"/>
      </w:r>
      <w:r>
        <w:t>54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_Toc472604630 \h </w:instrText>
      </w:r>
      <w:r>
        <w:fldChar w:fldCharType="separate"/>
      </w:r>
      <w:r>
        <w:t>55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_Toc472604631 \h </w:instrText>
      </w:r>
      <w:r>
        <w:fldChar w:fldCharType="separate"/>
      </w:r>
      <w:r>
        <w:t>55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_Toc472604632 \h </w:instrText>
      </w:r>
      <w:r>
        <w:fldChar w:fldCharType="separate"/>
      </w:r>
      <w:r>
        <w:t>56</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_Toc472604633 \h </w:instrText>
      </w:r>
      <w:r>
        <w:fldChar w:fldCharType="separate"/>
      </w:r>
      <w:r>
        <w:t>57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_Toc472604634 \h </w:instrText>
      </w:r>
      <w:r>
        <w:fldChar w:fldCharType="separate"/>
      </w:r>
      <w:r>
        <w:t>57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_Toc472604635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_Toc472604636 \h </w:instrText>
      </w:r>
      <w:r>
        <w:fldChar w:fldCharType="separate"/>
      </w:r>
      <w:r>
        <w:t>59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_Toc472604637 \h </w:instrText>
      </w:r>
      <w:r>
        <w:fldChar w:fldCharType="separate"/>
      </w:r>
      <w:r>
        <w:t>59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_Toc472604638 \h </w:instrText>
      </w:r>
      <w:r>
        <w:fldChar w:fldCharType="separate"/>
      </w:r>
      <w:r>
        <w:t>59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_Toc472604639 \h </w:instrText>
      </w:r>
      <w:r>
        <w:fldChar w:fldCharType="separate"/>
      </w:r>
      <w:r>
        <w:t>60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_Toc472604640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_Toc472604641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_Toc472604643 \h </w:instrText>
      </w:r>
      <w:r>
        <w:fldChar w:fldCharType="separate"/>
      </w:r>
      <w:r>
        <w:t>62</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_Toc472604644 \h </w:instrText>
      </w:r>
      <w:r>
        <w:fldChar w:fldCharType="separate"/>
      </w:r>
      <w:r>
        <w:t>64</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_Toc472604645 \h </w:instrText>
      </w:r>
      <w:r>
        <w:fldChar w:fldCharType="separate"/>
      </w:r>
      <w:r>
        <w:t>64</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_Toc472604646 \h </w:instrText>
      </w:r>
      <w:r>
        <w:fldChar w:fldCharType="separate"/>
      </w:r>
      <w:r>
        <w:t>65</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_Toc472604647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_Toc472604649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_Toc472604650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_Toc472604651 \h </w:instrText>
      </w:r>
      <w:r>
        <w:fldChar w:fldCharType="separate"/>
      </w:r>
      <w:r>
        <w:t>67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_Toc472604652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_Toc472604653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_Toc472604654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_Toc472604656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_Toc472604657 \h </w:instrText>
      </w:r>
      <w:r>
        <w:fldChar w:fldCharType="separate"/>
      </w:r>
      <w:r>
        <w:t>69</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_Toc472604658 \h </w:instrText>
      </w:r>
      <w:r>
        <w:fldChar w:fldCharType="separate"/>
      </w:r>
      <w:r>
        <w:t>69</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_Toc472604659 \h </w:instrText>
      </w:r>
      <w:r>
        <w:fldChar w:fldCharType="separate"/>
      </w:r>
      <w:r>
        <w:t>73</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_Toc472604660 \h </w:instrText>
      </w:r>
      <w:r>
        <w:fldChar w:fldCharType="separate"/>
      </w:r>
      <w:r>
        <w:t>75</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_Toc472604661 \h </w:instrText>
      </w:r>
      <w:r>
        <w:fldChar w:fldCharType="separate"/>
      </w:r>
      <w:r>
        <w:t>77</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_Toc472604662 \h </w:instrText>
      </w:r>
      <w:r>
        <w:fldChar w:fldCharType="separate"/>
      </w:r>
      <w:r>
        <w:t>79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_Toc472604663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_Toc472604664 \h </w:instrText>
      </w:r>
      <w:r>
        <w:fldChar w:fldCharType="separate"/>
      </w:r>
      <w:r>
        <w:t>81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_Toc472604665 \h </w:instrText>
      </w:r>
      <w:r>
        <w:fldChar w:fldCharType="separate"/>
      </w:r>
      <w:r>
        <w:t>83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_Toc472604666 \h </w:instrText>
      </w:r>
      <w:r>
        <w:fldChar w:fldCharType="separate"/>
      </w:r>
      <w:r>
        <w:t>84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_Toc472604667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_Toc472604668 \h </w:instrText>
      </w:r>
      <w:r>
        <w:fldChar w:fldCharType="separate"/>
      </w:r>
      <w:r>
        <w:t>87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_Toc472604669 \h </w:instrText>
      </w:r>
      <w:r>
        <w:fldChar w:fldCharType="separate"/>
      </w:r>
      <w:r>
        <w:t>87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_Toc472604670 \h </w:instrText>
      </w:r>
      <w:r>
        <w:fldChar w:fldCharType="separate"/>
      </w:r>
      <w:r>
        <w:t>88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_Toc472604671 \h </w:instrText>
      </w:r>
      <w:r>
        <w:fldChar w:fldCharType="separate"/>
      </w:r>
      <w:r>
        <w:t>88</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_Toc472604672 \h </w:instrText>
      </w:r>
      <w:r>
        <w:fldChar w:fldCharType="separate"/>
      </w:r>
      <w:r>
        <w:t>88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_Toc472604673 \h </w:instrText>
      </w:r>
      <w:r>
        <w:fldChar w:fldCharType="separate"/>
      </w:r>
      <w:r>
        <w:t>89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_Toc472604674 \h </w:instrText>
      </w:r>
      <w:r>
        <w:fldChar w:fldCharType="separate"/>
      </w:r>
      <w:r>
        <w:t>91</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_Toc472604675 \h </w:instrText>
      </w:r>
      <w:r>
        <w:fldChar w:fldCharType="separate"/>
      </w:r>
      <w:r>
        <w:t>91</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_Toc472604676 \h </w:instrText>
      </w:r>
      <w:r>
        <w:fldChar w:fldCharType="separate"/>
      </w:r>
      <w:r>
        <w:t>92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_Toc472604677 \h </w:instrText>
      </w:r>
      <w:r>
        <w:fldChar w:fldCharType="separate"/>
      </w:r>
      <w:r>
        <w:t>92</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_Toc472604678 \h </w:instrText>
      </w:r>
      <w:r>
        <w:fldChar w:fldCharType="separate"/>
      </w:r>
      <w:r>
        <w:t>93</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_Toc472604679 \h </w:instrText>
      </w:r>
      <w:r>
        <w:fldChar w:fldCharType="separate"/>
      </w:r>
      <w:r>
        <w:t>94</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_Toc472604680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_Toc472604682 \h </w:instrText>
      </w:r>
      <w:r>
        <w:fldChar w:fldCharType="separate"/>
      </w:r>
      <w:r>
        <w:t>97</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_Toc472604683 \h </w:instrText>
      </w:r>
      <w:r>
        <w:fldChar w:fldCharType="separate"/>
      </w:r>
      <w:r>
        <w:t>98</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_Toc472604684 \h </w:instrText>
      </w:r>
      <w:r>
        <w:fldChar w:fldCharType="separate"/>
      </w:r>
      <w:r>
        <w:t>99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_Toc472604685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_Toc472604687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_Toc472604688 \h </w:instrText>
      </w:r>
      <w:r>
        <w:fldChar w:fldCharType="separate"/>
      </w:r>
      <w:r>
        <w:t>102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_Toc472604689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_Toc472604691 \h </w:instrText>
      </w:r>
      <w:r>
        <w:fldChar w:fldCharType="separate"/>
      </w:r>
      <w:r>
        <w:t>103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_Toc472604692 \h </w:instrText>
      </w:r>
      <w:r>
        <w:fldChar w:fldCharType="separate"/>
      </w:r>
      <w:r>
        <w:t>103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_Toc472604693 \h </w:instrText>
      </w:r>
      <w:r>
        <w:fldChar w:fldCharType="separate"/>
      </w:r>
      <w:r>
        <w:t>104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_Toc472604694 \h </w:instrText>
      </w:r>
      <w:r>
        <w:fldChar w:fldCharType="separate"/>
      </w:r>
      <w:r>
        <w:t>104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_Toc472604695 \h </w:instrText>
      </w:r>
      <w:r>
        <w:fldChar w:fldCharType="separate"/>
      </w:r>
      <w:r>
        <w:t>105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_Toc472604696 \h </w:instrText>
      </w:r>
      <w:r>
        <w:fldChar w:fldCharType="separate"/>
      </w:r>
      <w:r>
        <w:t>105</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_Toc472604697 \h </w:instrText>
      </w:r>
      <w:r>
        <w:fldChar w:fldCharType="separate"/>
      </w:r>
      <w:r>
        <w:t>106</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_Toc472604698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_Toc472604701 \h </w:instrText>
      </w:r>
      <w:r>
        <w:fldChar w:fldCharType="separate"/>
      </w:r>
      <w:r>
        <w:t>108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_Toc472604702 \h </w:instrText>
      </w:r>
      <w:r>
        <w:fldChar w:fldCharType="separate"/>
      </w:r>
      <w:r>
        <w:t>108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_Toc472604703 \h </w:instrText>
      </w:r>
      <w:r>
        <w:fldChar w:fldCharType="separate"/>
      </w:r>
      <w:r>
        <w:t>108</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_Toc472604704 \h </w:instrText>
      </w:r>
      <w:r>
        <w:fldChar w:fldCharType="separate"/>
      </w:r>
      <w:r>
        <w:t>109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_Toc472604705 \h </w:instrText>
      </w:r>
      <w:r>
        <w:fldChar w:fldCharType="separate"/>
      </w:r>
      <w:r>
        <w:t>109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_Toc472604706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_Toc472604708 \h </w:instrText>
      </w:r>
      <w:r>
        <w:fldChar w:fldCharType="separate"/>
      </w:r>
      <w:r>
        <w:t>114</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_Toc472604709 \h </w:instrText>
      </w:r>
      <w:r>
        <w:fldChar w:fldCharType="separate"/>
      </w:r>
      <w:r>
        <w:t>115</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_Toc472604710 \h </w:instrText>
      </w:r>
      <w:r>
        <w:fldChar w:fldCharType="separate"/>
      </w:r>
      <w:r>
        <w:t>115</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_Toc472604711 \h </w:instrText>
      </w:r>
      <w:r>
        <w:fldChar w:fldCharType="separate"/>
      </w:r>
      <w:r>
        <w:t>116</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_Toc472604712 \h </w:instrText>
      </w:r>
      <w:r>
        <w:fldChar w:fldCharType="separate"/>
      </w:r>
      <w:r>
        <w:t>116</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_Toc472604713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_Toc472604716 \h </w:instrText>
      </w:r>
      <w:r>
        <w:fldChar w:fldCharType="separate"/>
      </w:r>
      <w:r>
        <w:t>118</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_Toc472604717 \h </w:instrText>
      </w:r>
      <w:r>
        <w:fldChar w:fldCharType="separate"/>
      </w:r>
      <w:r>
        <w:t>118</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_Toc472604718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_Toc472604720 \h </w:instrText>
      </w:r>
      <w:r>
        <w:fldChar w:fldCharType="separate"/>
      </w:r>
      <w:r>
        <w:t>120</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_Toc472604721 \h </w:instrText>
      </w:r>
      <w:r>
        <w:fldChar w:fldCharType="separate"/>
      </w:r>
      <w:r>
        <w:t>120</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_Toc472604722 \h </w:instrText>
      </w:r>
      <w:r>
        <w:fldChar w:fldCharType="separate"/>
      </w:r>
      <w:r>
        <w:t>120</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_Toc472604723 \h </w:instrText>
      </w:r>
      <w:r>
        <w:fldChar w:fldCharType="separate"/>
      </w:r>
      <w:r>
        <w:t>121</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_Toc472604724 \h </w:instrText>
      </w:r>
      <w:r>
        <w:fldChar w:fldCharType="separate"/>
      </w:r>
      <w:r>
        <w:t>124</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_Toc472604725 \h </w:instrText>
      </w:r>
      <w:r>
        <w:fldChar w:fldCharType="separate"/>
      </w:r>
      <w:r>
        <w:t>127</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_Toc472604726 \h </w:instrText>
      </w:r>
      <w:r>
        <w:fldChar w:fldCharType="separate"/>
      </w:r>
      <w:r>
        <w:t>129</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_Toc472604727 \h </w:instrText>
      </w:r>
      <w:r>
        <w:fldChar w:fldCharType="separate"/>
      </w:r>
      <w:r>
        <w:t>131</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_Toc472604728 \h </w:instrText>
      </w:r>
      <w:r>
        <w:fldChar w:fldCharType="separate"/>
      </w:r>
      <w:r>
        <w:t>132</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_Toc472604729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_Toc472604731 \h </w:instrText>
      </w:r>
      <w:r>
        <w:fldChar w:fldCharType="separate"/>
      </w:r>
      <w:r>
        <w:t>135</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_Toc472604732 \h </w:instrText>
      </w:r>
      <w:r>
        <w:fldChar w:fldCharType="separate"/>
      </w:r>
      <w:r>
        <w:t>135</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_Toc472604733 \h </w:instrText>
      </w:r>
      <w:r>
        <w:fldChar w:fldCharType="separate"/>
      </w:r>
      <w:r>
        <w:t>136</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_Toc472604734 \h </w:instrText>
      </w:r>
      <w:r>
        <w:fldChar w:fldCharType="separate"/>
      </w:r>
      <w:r>
        <w:t>136</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_Toc472604735 \h </w:instrText>
      </w:r>
      <w:r>
        <w:fldChar w:fldCharType="separate"/>
      </w:r>
      <w:r>
        <w:t>138</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_Toc472604736 \h </w:instrText>
      </w:r>
      <w:r>
        <w:fldChar w:fldCharType="separate"/>
      </w:r>
      <w:r>
        <w:t>140</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_Toc472604737 \h </w:instrText>
      </w:r>
      <w:r>
        <w:fldChar w:fldCharType="separate"/>
      </w:r>
      <w:r>
        <w:t>143</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_Toc472604738 \h </w:instrText>
      </w:r>
      <w:r>
        <w:fldChar w:fldCharType="separate"/>
      </w:r>
      <w:r>
        <w:t>144</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_Toc472604739 \h </w:instrText>
      </w:r>
      <w:r>
        <w:fldChar w:fldCharType="separate"/>
      </w:r>
      <w:r>
        <w:t>144</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_Toc472604740 \h </w:instrText>
      </w:r>
      <w:r>
        <w:fldChar w:fldCharType="separate"/>
      </w:r>
      <w:r>
        <w:t>146</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_Toc472604741 \h </w:instrText>
      </w:r>
      <w:r>
        <w:fldChar w:fldCharType="separate"/>
      </w:r>
      <w:r>
        <w:t>147</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_Toc472604742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_Toc472604745 \h </w:instrText>
      </w:r>
      <w:r>
        <w:fldChar w:fldCharType="separate"/>
      </w:r>
      <w:r>
        <w:t>150</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_Toc472604746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_Toc472604747 \h </w:instrText>
      </w:r>
      <w:r>
        <w:fldChar w:fldCharType="separate"/>
      </w:r>
      <w:r>
        <w:t>153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_Toc472604748 \h </w:instrText>
      </w:r>
      <w:r>
        <w:fldChar w:fldCharType="separate"/>
      </w:r>
      <w:r>
        <w:t>154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_Toc472604749 \h </w:instrText>
      </w:r>
      <w:r>
        <w:fldChar w:fldCharType="separate"/>
      </w:r>
      <w:r>
        <w:t>155</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_Toc472604750 \h </w:instrText>
      </w:r>
      <w:r>
        <w:fldChar w:fldCharType="separate"/>
      </w:r>
      <w:r>
        <w:t>155</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_Toc472604751 \h </w:instrText>
      </w:r>
      <w:r>
        <w:fldChar w:fldCharType="separate"/>
      </w:r>
      <w:r>
        <w:t>155</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_Toc472604752 \h </w:instrText>
      </w:r>
      <w:r>
        <w:fldChar w:fldCharType="separate"/>
      </w:r>
      <w:r>
        <w:t>157</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_Toc472604753 \h </w:instrText>
      </w:r>
      <w:r>
        <w:fldChar w:fldCharType="separate"/>
      </w:r>
      <w:r>
        <w:t>158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_Toc472604754 \h </w:instrText>
      </w:r>
      <w:r>
        <w:fldChar w:fldCharType="separate"/>
      </w:r>
      <w:r>
        <w:t>159</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_Toc472604755 \h </w:instrText>
      </w:r>
      <w:r>
        <w:fldChar w:fldCharType="separate"/>
      </w:r>
      <w:r>
        <w:t>160</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_Toc472604756 \h </w:instrText>
      </w:r>
      <w:r>
        <w:fldChar w:fldCharType="separate"/>
      </w:r>
      <w:r>
        <w:t>160</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_Toc472604757 \h </w:instrText>
      </w:r>
      <w:r>
        <w:fldChar w:fldCharType="separate"/>
      </w:r>
      <w:r>
        <w:t>161</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_Toc472604758 \h </w:instrText>
      </w:r>
      <w:r>
        <w:fldChar w:fldCharType="separate"/>
      </w:r>
      <w:r>
        <w:t>162</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_Toc472604759 \h </w:instrText>
      </w:r>
      <w:r>
        <w:fldChar w:fldCharType="separate"/>
      </w:r>
      <w:r>
        <w:t>162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_Toc472604760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_Toc472604762 \h </w:instrText>
      </w:r>
      <w:r>
        <w:fldChar w:fldCharType="separate"/>
      </w:r>
      <w:r>
        <w:t>163</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_Toc472604763 \h </w:instrText>
      </w:r>
      <w:r>
        <w:fldChar w:fldCharType="separate"/>
      </w:r>
      <w:r>
        <w:t>163</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_Toc472604764 \h </w:instrText>
      </w:r>
      <w:r>
        <w:fldChar w:fldCharType="separate"/>
      </w:r>
      <w:r>
        <w:t>164</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_Toc472604765 \h </w:instrText>
      </w:r>
      <w:r>
        <w:fldChar w:fldCharType="separate"/>
      </w:r>
      <w:r>
        <w:t>164</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_Toc472604766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_Toc472604768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_Toc472604770 \h </w:instrText>
      </w:r>
      <w:r>
        <w:fldChar w:fldCharType="separate"/>
      </w:r>
      <w:r>
        <w:t>165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_Toc472604771 \h </w:instrText>
      </w:r>
      <w:r>
        <w:fldChar w:fldCharType="separate"/>
      </w:r>
      <w:r>
        <w:t>167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_Toc472604772 \h </w:instrText>
      </w:r>
      <w:r>
        <w:fldChar w:fldCharType="separate"/>
      </w:r>
      <w:r>
        <w:t>168</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_Toc472604773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_Toc472604775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_Toc472604777 \h </w:instrText>
      </w:r>
      <w:r>
        <w:fldChar w:fldCharType="separate"/>
      </w:r>
      <w:r>
        <w:t>172</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_Toc472604778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_Toc472604781 \h </w:instrText>
      </w:r>
      <w:r>
        <w:fldChar w:fldCharType="separate"/>
      </w:r>
      <w:r>
        <w:t>175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_Toc472604782 \h </w:instrText>
      </w:r>
      <w:r>
        <w:fldChar w:fldCharType="separate"/>
      </w:r>
      <w:r>
        <w:t>175</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_Toc472604783 \h </w:instrText>
      </w:r>
      <w:r>
        <w:fldChar w:fldCharType="separate"/>
      </w:r>
      <w:r>
        <w:t>175</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_Toc472604784 \h </w:instrText>
      </w:r>
      <w:r>
        <w:fldChar w:fldCharType="separate"/>
      </w:r>
      <w:r>
        <w:t>176</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_Toc472604785 \h </w:instrText>
      </w:r>
      <w:r>
        <w:fldChar w:fldCharType="separate"/>
      </w:r>
      <w:r>
        <w:t>176</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_Toc472604786 \h </w:instrText>
      </w:r>
      <w:r>
        <w:fldChar w:fldCharType="separate"/>
      </w:r>
      <w:r>
        <w:t>177</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_Toc472604787 \h </w:instrText>
      </w:r>
      <w:r>
        <w:fldChar w:fldCharType="separate"/>
      </w:r>
      <w:r>
        <w:t>178</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_Toc472604788 \h </w:instrText>
      </w:r>
      <w:r>
        <w:fldChar w:fldCharType="separate"/>
      </w:r>
      <w:r>
        <w:t>180</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_Toc472604789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_Toc472604791 \h </w:instrText>
      </w:r>
      <w:r>
        <w:fldChar w:fldCharType="separate"/>
      </w:r>
      <w:r>
        <w:t>181</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_Toc472604792 \h </w:instrText>
      </w:r>
      <w:r>
        <w:fldChar w:fldCharType="separate"/>
      </w:r>
      <w:r>
        <w:t>181</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_Toc472604793 \h </w:instrText>
      </w:r>
      <w:r>
        <w:fldChar w:fldCharType="separate"/>
      </w:r>
      <w:r>
        <w:t>182</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_Toc472604794 \h </w:instrText>
      </w:r>
      <w:r>
        <w:fldChar w:fldCharType="separate"/>
      </w:r>
      <w:r>
        <w:t>182</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_Toc472604795 \h </w:instrText>
      </w:r>
      <w:r>
        <w:fldChar w:fldCharType="separate"/>
      </w:r>
      <w:r>
        <w:t>183</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_Toc472604796 \h </w:instrText>
      </w:r>
      <w:r>
        <w:fldChar w:fldCharType="separate"/>
      </w:r>
      <w:r>
        <w:t>184</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_Toc472604797 \h </w:instrText>
      </w:r>
      <w:r>
        <w:fldChar w:fldCharType="separate"/>
      </w:r>
      <w:r>
        <w:t>184</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_Toc472604798 \h </w:instrText>
      </w:r>
      <w:r>
        <w:fldChar w:fldCharType="separate"/>
      </w:r>
      <w:r>
        <w:t>185</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_Toc472604799 \h </w:instrText>
      </w:r>
      <w:r>
        <w:fldChar w:fldCharType="separate"/>
      </w:r>
      <w:r>
        <w:t>187</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_Toc472604800 \h </w:instrText>
      </w:r>
      <w:r>
        <w:fldChar w:fldCharType="separate"/>
      </w:r>
      <w:r>
        <w:t>188</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_Toc472604801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_Toc472604803 \h </w:instrText>
      </w:r>
      <w:r>
        <w:fldChar w:fldCharType="separate"/>
      </w:r>
      <w:r>
        <w:t>189</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_Toc472604804 \h </w:instrText>
      </w:r>
      <w:r>
        <w:fldChar w:fldCharType="separate"/>
      </w:r>
      <w:r>
        <w:t>189</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_Toc472604805 \h </w:instrText>
      </w:r>
      <w:r>
        <w:fldChar w:fldCharType="separate"/>
      </w:r>
      <w:r>
        <w:t>191</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_Toc472604806 \h </w:instrText>
      </w:r>
      <w:r>
        <w:fldChar w:fldCharType="separate"/>
      </w:r>
      <w:r>
        <w:t>192</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_Toc472604807 \h </w:instrText>
      </w:r>
      <w:r>
        <w:fldChar w:fldCharType="separate"/>
      </w:r>
      <w:r>
        <w:t>192</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_Toc472604808 \h </w:instrText>
      </w:r>
      <w:r>
        <w:fldChar w:fldCharType="separate"/>
      </w:r>
      <w:r>
        <w:t>193</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_Toc472604809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_Toc472604811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_Toc472604813 \h </w:instrText>
      </w:r>
      <w:r>
        <w:fldChar w:fldCharType="separate"/>
      </w:r>
      <w:r>
        <w:t>194</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_Toc472604814 \h </w:instrText>
      </w:r>
      <w:r>
        <w:fldChar w:fldCharType="separate"/>
      </w:r>
      <w:r>
        <w:t>195</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_Toc472604815 \h </w:instrText>
      </w:r>
      <w:r>
        <w:fldChar w:fldCharType="separate"/>
      </w:r>
      <w:r>
        <w:t>196</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_Toc472604816 \h </w:instrText>
      </w:r>
      <w:r>
        <w:fldChar w:fldCharType="separate"/>
      </w:r>
      <w:r>
        <w:t>197</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_Toc472604817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_Toc472604819 \h </w:instrText>
      </w:r>
      <w:r>
        <w:fldChar w:fldCharType="separate"/>
      </w:r>
      <w:r>
        <w:t>199</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_Toc472604820 \h </w:instrText>
      </w:r>
      <w:r>
        <w:fldChar w:fldCharType="separate"/>
      </w:r>
      <w:r>
        <w:t>200</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_Toc472604821 \h </w:instrText>
      </w:r>
      <w:r>
        <w:fldChar w:fldCharType="separate"/>
      </w:r>
      <w:r>
        <w:t>200</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_Toc472604822 \h </w:instrText>
      </w:r>
      <w:r>
        <w:fldChar w:fldCharType="separate"/>
      </w:r>
      <w:r>
        <w:t>200</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_Toc472604823 \h </w:instrText>
      </w:r>
      <w:r>
        <w:fldChar w:fldCharType="separate"/>
      </w:r>
      <w:r>
        <w:t>201</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_Toc472604824 \h </w:instrText>
      </w:r>
      <w:r>
        <w:fldChar w:fldCharType="separate"/>
      </w:r>
      <w:r>
        <w:t>201</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_Toc472604825 \h </w:instrText>
      </w:r>
      <w:r>
        <w:fldChar w:fldCharType="separate"/>
      </w:r>
      <w:r>
        <w:t>202</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_Toc472604826 \h </w:instrText>
      </w:r>
      <w:r>
        <w:fldChar w:fldCharType="separate"/>
      </w:r>
      <w:r>
        <w:t>203</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_Toc472604827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_Toc472604829 \h </w:instrText>
      </w:r>
      <w:r>
        <w:fldChar w:fldCharType="separate"/>
      </w:r>
      <w:r>
        <w:t>204</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_Toc472604830 \h </w:instrText>
      </w:r>
      <w:r>
        <w:fldChar w:fldCharType="separate"/>
      </w:r>
      <w:r>
        <w:t>204</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_Toc472604831 \h </w:instrText>
      </w:r>
      <w:r>
        <w:fldChar w:fldCharType="separate"/>
      </w:r>
      <w:r>
        <w:t>205</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_Toc472604832 \h </w:instrText>
      </w:r>
      <w:r>
        <w:fldChar w:fldCharType="separate"/>
      </w:r>
      <w:r>
        <w:t>205</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_Toc472604833 \h </w:instrText>
      </w:r>
      <w:r>
        <w:fldChar w:fldCharType="separate"/>
      </w:r>
      <w:r>
        <w:t>206</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_Toc472604834 \h </w:instrText>
      </w:r>
      <w:r>
        <w:fldChar w:fldCharType="separate"/>
      </w:r>
      <w:r>
        <w:t>207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_Toc472604835 \h </w:instrText>
      </w:r>
      <w:r>
        <w:fldChar w:fldCharType="separate"/>
      </w:r>
      <w:r>
        <w:t>207</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_Toc472604836 \h </w:instrText>
      </w:r>
      <w:r>
        <w:fldChar w:fldCharType="separate"/>
      </w:r>
      <w:r>
        <w:t>208</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_Toc472604837 \h </w:instrText>
      </w:r>
      <w:r>
        <w:fldChar w:fldCharType="separate"/>
      </w:r>
      <w:r>
        <w:t>209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_Toc472604838 \h </w:instrText>
      </w:r>
      <w:r>
        <w:fldChar w:fldCharType="separate"/>
      </w:r>
      <w:r>
        <w:t>209</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_Toc472604839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_Toc472604841 \h </w:instrText>
      </w:r>
      <w:r>
        <w:fldChar w:fldCharType="separate"/>
      </w:r>
      <w:r>
        <w:t>211</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_Toc472604842 \h </w:instrText>
      </w:r>
      <w:r>
        <w:fldChar w:fldCharType="separate"/>
      </w:r>
      <w:r>
        <w:t>212</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_Toc472604843 \h </w:instrText>
      </w:r>
      <w:r>
        <w:fldChar w:fldCharType="separate"/>
      </w:r>
      <w:r>
        <w:t>213</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_Toc472604844 \h </w:instrText>
      </w:r>
      <w:r>
        <w:fldChar w:fldCharType="separate"/>
      </w:r>
      <w:r>
        <w:t>215</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_Toc472604845 \h </w:instrText>
      </w:r>
      <w:r>
        <w:fldChar w:fldCharType="separate"/>
      </w:r>
      <w:r>
        <w:t>216</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_Toc472604846 \h </w:instrText>
      </w:r>
      <w:r>
        <w:fldChar w:fldCharType="separate"/>
      </w:r>
      <w:r>
        <w:t>217</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_Toc472604847 \h </w:instrText>
      </w:r>
      <w:r>
        <w:fldChar w:fldCharType="separate"/>
      </w:r>
      <w:r>
        <w:t>218</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_Toc472604848 \h </w:instrText>
      </w:r>
      <w:r>
        <w:fldChar w:fldCharType="separate"/>
      </w:r>
      <w:r>
        <w:t>220</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_Toc472604849 \h </w:instrText>
      </w:r>
      <w:r>
        <w:fldChar w:fldCharType="separate"/>
      </w:r>
      <w:r>
        <w:t>220</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_Toc472604850 \h </w:instrText>
      </w:r>
      <w:r>
        <w:fldChar w:fldCharType="separate"/>
      </w:r>
      <w:r>
        <w:t>221</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_Toc472604851 \h </w:instrText>
      </w:r>
      <w:r>
        <w:fldChar w:fldCharType="separate"/>
      </w:r>
      <w:r>
        <w:t>222</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_Toc472604852 \h </w:instrText>
      </w:r>
      <w:r>
        <w:fldChar w:fldCharType="separate"/>
      </w:r>
      <w:r>
        <w:t>222</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_Toc472604853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_Toc472604856 \h </w:instrText>
      </w:r>
      <w:r>
        <w:fldChar w:fldCharType="separate"/>
      </w:r>
      <w:r>
        <w:t>223</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_Toc472604857 \h </w:instrText>
      </w:r>
      <w:r>
        <w:fldChar w:fldCharType="separate"/>
      </w:r>
      <w:r>
        <w:t>225</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_Toc472604858 \h </w:instrText>
      </w:r>
      <w:r>
        <w:fldChar w:fldCharType="separate"/>
      </w:r>
      <w:r>
        <w:t>227</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_Toc472604859 \h </w:instrText>
      </w:r>
      <w:r>
        <w:fldChar w:fldCharType="separate"/>
      </w:r>
      <w:r>
        <w:t>228</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_Toc472604860 \h </w:instrText>
      </w:r>
      <w:r>
        <w:fldChar w:fldCharType="separate"/>
      </w:r>
      <w:r>
        <w:t>229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_Toc472604861 \h </w:instrText>
      </w:r>
      <w:r>
        <w:fldChar w:fldCharType="separate"/>
      </w:r>
      <w:r>
        <w:t>230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_Toc472604862 \h </w:instrText>
      </w:r>
      <w:r>
        <w:fldChar w:fldCharType="separate"/>
      </w:r>
      <w:r>
        <w:t>231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_Toc472604863 \h </w:instrText>
      </w:r>
      <w:r>
        <w:fldChar w:fldCharType="separate"/>
      </w:r>
      <w:r>
        <w:t>231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_Toc472604864 \h </w:instrText>
      </w:r>
      <w:r>
        <w:fldChar w:fldCharType="separate"/>
      </w:r>
      <w:r>
        <w:t>232</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_Toc472604865 \h </w:instrText>
      </w:r>
      <w:r>
        <w:fldChar w:fldCharType="separate"/>
      </w:r>
      <w:r>
        <w:t>234</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_Toc472604866 \h </w:instrText>
      </w:r>
      <w:r>
        <w:fldChar w:fldCharType="separate"/>
      </w:r>
      <w:r>
        <w:t>234</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_Toc472604867 \h </w:instrText>
      </w:r>
      <w:r>
        <w:fldChar w:fldCharType="separate"/>
      </w:r>
      <w:r>
        <w:t>235</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_Toc472604868 \h </w:instrText>
      </w:r>
      <w:r>
        <w:fldChar w:fldCharType="separate"/>
      </w:r>
      <w:r>
        <w:t>235</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_Toc472604869 \h </w:instrText>
      </w:r>
      <w:r>
        <w:fldChar w:fldCharType="separate"/>
      </w:r>
      <w:r>
        <w:t>236</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_Toc472604870 \h </w:instrText>
      </w:r>
      <w:r>
        <w:fldChar w:fldCharType="separate"/>
      </w:r>
      <w:r>
        <w:t>239</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_Toc472604871 \h </w:instrText>
      </w:r>
      <w:r>
        <w:fldChar w:fldCharType="separate"/>
      </w:r>
      <w:r>
        <w:t>240</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_Toc472604872 \h </w:instrText>
      </w:r>
      <w:r>
        <w:fldChar w:fldCharType="separate"/>
      </w:r>
      <w:r>
        <w:t>241</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_Toc472604873 \h </w:instrText>
      </w:r>
      <w:r>
        <w:fldChar w:fldCharType="separate"/>
      </w:r>
      <w:r>
        <w:t>242</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_Toc472604874 \h </w:instrText>
      </w:r>
      <w:r>
        <w:fldChar w:fldCharType="separate"/>
      </w:r>
      <w:r>
        <w:t>245</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_Toc472604875 \h </w:instrText>
      </w:r>
      <w:r>
        <w:fldChar w:fldCharType="separate"/>
      </w:r>
      <w:r>
        <w:t>247</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_Toc472604876 \h </w:instrText>
      </w:r>
      <w:r>
        <w:fldChar w:fldCharType="separate"/>
      </w:r>
      <w:r>
        <w:t>248</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_Toc472604877 \h </w:instrText>
      </w:r>
      <w:r>
        <w:fldChar w:fldCharType="separate"/>
      </w:r>
      <w:r>
        <w:t>248</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_Toc472604878 \h </w:instrText>
      </w:r>
      <w:r>
        <w:fldChar w:fldCharType="separate"/>
      </w:r>
      <w:r>
        <w:t>249</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_Toc472604879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_Toc472604881 \h </w:instrText>
      </w:r>
      <w:r>
        <w:fldChar w:fldCharType="separate"/>
      </w:r>
      <w:r>
        <w:t>250</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_Toc472604882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_Toc472604884 \h </w:instrText>
      </w:r>
      <w:r>
        <w:fldChar w:fldCharType="separate"/>
      </w:r>
      <w:r>
        <w:t>255</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_Toc472604885 \h </w:instrText>
      </w:r>
      <w:r>
        <w:fldChar w:fldCharType="separate"/>
      </w:r>
      <w:r>
        <w:t>256</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_Toc472604886 \h </w:instrText>
      </w:r>
      <w:r>
        <w:fldChar w:fldCharType="separate"/>
      </w:r>
      <w:r>
        <w:t>257</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_Toc472604887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_Toc472604889 \h </w:instrText>
      </w:r>
      <w:r>
        <w:fldChar w:fldCharType="separate"/>
      </w:r>
      <w:r>
        <w:t>259</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_Toc472604890 \h </w:instrText>
      </w:r>
      <w:r>
        <w:fldChar w:fldCharType="separate"/>
      </w:r>
      <w:r>
        <w:t>259</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_Toc472604891 \h </w:instrText>
      </w:r>
      <w:r>
        <w:fldChar w:fldCharType="separate"/>
      </w:r>
      <w:r>
        <w:t>259</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_Toc472604892 \h </w:instrText>
      </w:r>
      <w:r>
        <w:fldChar w:fldCharType="separate"/>
      </w:r>
      <w:r>
        <w:t>260</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_Toc472604893 \h </w:instrText>
      </w:r>
      <w:r>
        <w:fldChar w:fldCharType="separate"/>
      </w:r>
      <w:r>
        <w:t>260</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_Toc472604894 \h </w:instrText>
      </w:r>
      <w:r>
        <w:fldChar w:fldCharType="separate"/>
      </w:r>
      <w:r>
        <w:t>261</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_Toc472604895 \h </w:instrText>
      </w:r>
      <w:r>
        <w:fldChar w:fldCharType="separate"/>
      </w:r>
      <w:r>
        <w:t>261</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_Toc472604896 \h </w:instrText>
      </w:r>
      <w:r>
        <w:fldChar w:fldCharType="separate"/>
      </w:r>
      <w:r>
        <w:t>261</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_Toc472604897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_Toc472604900 \h </w:instrText>
      </w:r>
      <w:r>
        <w:fldChar w:fldCharType="separate"/>
      </w:r>
      <w:r>
        <w:t>262</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_Toc472604901 \h </w:instrText>
      </w:r>
      <w:r>
        <w:fldChar w:fldCharType="separate"/>
      </w:r>
      <w:r>
        <w:t>262</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_Toc472604903 \h </w:instrText>
      </w:r>
      <w:r>
        <w:fldChar w:fldCharType="separate"/>
      </w:r>
      <w:r>
        <w:t>263</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_Toc472604904 \h </w:instrText>
      </w:r>
      <w:r>
        <w:fldChar w:fldCharType="separate"/>
      </w:r>
      <w:r>
        <w:t>264</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_Toc472604905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_Toc472604908 \h </w:instrText>
      </w:r>
      <w:r>
        <w:fldChar w:fldCharType="separate"/>
      </w:r>
      <w:r>
        <w:t>268</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_Toc472604909 \h </w:instrText>
      </w:r>
      <w:r>
        <w:fldChar w:fldCharType="separate"/>
      </w:r>
      <w:r>
        <w:t>268</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_Toc472604910 \h </w:instrText>
      </w:r>
      <w:r>
        <w:fldChar w:fldCharType="separate"/>
      </w:r>
      <w:r>
        <w:t>269</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_Toc472604911 \h </w:instrText>
      </w:r>
      <w:r>
        <w:fldChar w:fldCharType="separate"/>
      </w:r>
      <w:r>
        <w:t>269</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_Toc472604912 \h </w:instrText>
      </w:r>
      <w:r>
        <w:fldChar w:fldCharType="separate"/>
      </w:r>
      <w:r>
        <w:t>270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_Toc472604914 \h </w:instrText>
      </w:r>
      <w:r>
        <w:fldChar w:fldCharType="separate"/>
      </w:r>
      <w:r>
        <w:t>270</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_Toc472604915 \h </w:instrText>
      </w:r>
      <w:r>
        <w:fldChar w:fldCharType="separate"/>
      </w:r>
      <w:r>
        <w:t>271</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_Toc472604916 \h </w:instrText>
      </w:r>
      <w:r>
        <w:fldChar w:fldCharType="separate"/>
      </w:r>
      <w:r>
        <w:t>271</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_Toc472604917 \h </w:instrText>
      </w:r>
      <w:r>
        <w:fldChar w:fldCharType="separate"/>
      </w:r>
      <w:r>
        <w:t>272</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_Toc472604918 \h </w:instrText>
      </w:r>
      <w:r>
        <w:fldChar w:fldCharType="separate"/>
      </w:r>
      <w:r>
        <w:t>272</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_Toc472604919 \h </w:instrText>
      </w:r>
      <w:r>
        <w:fldChar w:fldCharType="separate"/>
      </w:r>
      <w:r>
        <w:t>272</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_Toc472604920 \h </w:instrText>
      </w:r>
      <w:r>
        <w:fldChar w:fldCharType="separate"/>
      </w:r>
      <w:r>
        <w:t>273</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_Toc472604921 \h </w:instrText>
      </w:r>
      <w:r>
        <w:fldChar w:fldCharType="separate"/>
      </w:r>
      <w:r>
        <w:t>274</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_Toc472604922 \h </w:instrText>
      </w:r>
      <w:r>
        <w:fldChar w:fldCharType="separate"/>
      </w:r>
      <w:r>
        <w:t>275</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_Toc472604923 \h </w:instrText>
      </w:r>
      <w:r>
        <w:fldChar w:fldCharType="separate"/>
      </w:r>
      <w:r>
        <w:t>275</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_Toc472604924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_Toc472604926 \h </w:instrText>
      </w:r>
      <w:r>
        <w:fldChar w:fldCharType="separate"/>
      </w:r>
      <w:r>
        <w:t>277</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_Toc472604927 \h </w:instrText>
      </w:r>
      <w:r>
        <w:fldChar w:fldCharType="separate"/>
      </w:r>
      <w:r>
        <w:t>277</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_Toc472604928 \h </w:instrText>
      </w:r>
      <w:r>
        <w:fldChar w:fldCharType="separate"/>
      </w:r>
      <w:r>
        <w:t>277</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_Toc472604929 \h </w:instrText>
      </w:r>
      <w:r>
        <w:fldChar w:fldCharType="separate"/>
      </w:r>
      <w:r>
        <w:t>278</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_Toc472604930 \h </w:instrText>
      </w:r>
      <w:r>
        <w:fldChar w:fldCharType="separate"/>
      </w:r>
      <w:r>
        <w:t>279</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_Toc472604931 \h </w:instrText>
      </w:r>
      <w:r>
        <w:fldChar w:fldCharType="separate"/>
      </w:r>
      <w:r>
        <w:t>279</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_Toc472604932 \h </w:instrText>
      </w:r>
      <w:r>
        <w:fldChar w:fldCharType="separate"/>
      </w:r>
      <w:r>
        <w:t>280</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_Toc472604933 \h </w:instrText>
      </w:r>
      <w:r>
        <w:fldChar w:fldCharType="separate"/>
      </w:r>
      <w:r>
        <w:t>280</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_Toc472604934 \h </w:instrText>
      </w:r>
      <w:r>
        <w:fldChar w:fldCharType="separate"/>
      </w:r>
      <w:r>
        <w:t>281</w:t>
      </w:r>
      <w:r>
        <w:fldChar w:fldCharType="end"/>
      </w:r>
    </w:p>
    <w:p>
      <w:pPr>
        <w:pStyle w:val="TOC8"/>
        <w:rPr>
          <w:rFonts w:asciiTheme="minorHAnsi" w:eastAsiaTheme="minorEastAsia" w:hAnsiTheme="minorHAnsi" w:cstheme="minorBidi"/>
          <w:szCs w:val="22"/>
        </w:rPr>
      </w:pPr>
      <w:r>
        <w:t>182Y.</w:t>
      </w:r>
      <w:r>
        <w:tab/>
        <w:t>Privilege against self incrimination</w:t>
      </w:r>
      <w:r>
        <w:tab/>
      </w:r>
      <w:r>
        <w:fldChar w:fldCharType="begin"/>
      </w:r>
      <w:r>
        <w:instrText xml:space="preserve"> PAGEREF _Toc472604935 \h </w:instrText>
      </w:r>
      <w:r>
        <w:fldChar w:fldCharType="separate"/>
      </w:r>
      <w:r>
        <w:t>281</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_Toc472604936 \h </w:instrText>
      </w:r>
      <w:r>
        <w:fldChar w:fldCharType="separate"/>
      </w:r>
      <w:r>
        <w:t>282</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_Toc472604937 \h </w:instrText>
      </w:r>
      <w:r>
        <w:fldChar w:fldCharType="separate"/>
      </w:r>
      <w:r>
        <w:t>282</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_Toc472604938 \h </w:instrText>
      </w:r>
      <w:r>
        <w:fldChar w:fldCharType="separate"/>
      </w:r>
      <w:r>
        <w:t>283</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_Toc472604939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_Toc472604941 \h </w:instrText>
      </w:r>
      <w:r>
        <w:fldChar w:fldCharType="separate"/>
      </w:r>
      <w:r>
        <w:t>284</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_Toc472604942 \h </w:instrText>
      </w:r>
      <w:r>
        <w:fldChar w:fldCharType="separate"/>
      </w:r>
      <w:r>
        <w:t>284</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_Toc472604943 \h </w:instrText>
      </w:r>
      <w:r>
        <w:fldChar w:fldCharType="separate"/>
      </w:r>
      <w:r>
        <w:t>285</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_Toc472604944 \h </w:instrText>
      </w:r>
      <w:r>
        <w:fldChar w:fldCharType="separate"/>
      </w:r>
      <w:r>
        <w:t>285</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_Toc472604945 \h </w:instrText>
      </w:r>
      <w:r>
        <w:fldChar w:fldCharType="separate"/>
      </w:r>
      <w:r>
        <w:t>286</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_Toc472604946 \h </w:instrText>
      </w:r>
      <w:r>
        <w:fldChar w:fldCharType="separate"/>
      </w:r>
      <w:r>
        <w:t>286</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_Toc472604947 \h </w:instrText>
      </w:r>
      <w:r>
        <w:fldChar w:fldCharType="separate"/>
      </w:r>
      <w:r>
        <w:t>286</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_Toc472604948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_Toc472604950 \h </w:instrText>
      </w:r>
      <w:r>
        <w:fldChar w:fldCharType="separate"/>
      </w:r>
      <w:r>
        <w:t>287</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_Toc472604951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_Toc472604954 \h </w:instrText>
      </w:r>
      <w:r>
        <w:fldChar w:fldCharType="separate"/>
      </w:r>
      <w:r>
        <w:t>288</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_Toc472604955 \h </w:instrText>
      </w:r>
      <w:r>
        <w:fldChar w:fldCharType="separate"/>
      </w:r>
      <w:r>
        <w:t>288</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_Toc472604956 \h </w:instrText>
      </w:r>
      <w:r>
        <w:fldChar w:fldCharType="separate"/>
      </w:r>
      <w:r>
        <w:t>289</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_Toc472604957 \h </w:instrText>
      </w:r>
      <w:r>
        <w:fldChar w:fldCharType="separate"/>
      </w:r>
      <w:r>
        <w:t>290</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_Toc472604958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_Toc472604960 \h </w:instrText>
      </w:r>
      <w:r>
        <w:fldChar w:fldCharType="separate"/>
      </w:r>
      <w:r>
        <w:t>291</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_Toc472604961 \h </w:instrText>
      </w:r>
      <w:r>
        <w:fldChar w:fldCharType="separate"/>
      </w:r>
      <w:r>
        <w:t>291</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_Toc472604962 \h </w:instrText>
      </w:r>
      <w:r>
        <w:fldChar w:fldCharType="separate"/>
      </w:r>
      <w:r>
        <w:t>291</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_Toc472604963 \h </w:instrText>
      </w:r>
      <w:r>
        <w:fldChar w:fldCharType="separate"/>
      </w:r>
      <w:r>
        <w:t>292</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_Toc472604964 \h </w:instrText>
      </w:r>
      <w:r>
        <w:fldChar w:fldCharType="separate"/>
      </w:r>
      <w:r>
        <w:t>293</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_Toc472604965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_Toc472604967 \h </w:instrText>
      </w:r>
      <w:r>
        <w:fldChar w:fldCharType="separate"/>
      </w:r>
      <w:r>
        <w:t>295</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_Toc472604968 \h </w:instrText>
      </w:r>
      <w:r>
        <w:fldChar w:fldCharType="separate"/>
      </w:r>
      <w:r>
        <w:t>296</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_Toc472604969 \h </w:instrText>
      </w:r>
      <w:r>
        <w:fldChar w:fldCharType="separate"/>
      </w:r>
      <w:r>
        <w:t>296</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_Toc472604970 \h </w:instrText>
      </w:r>
      <w:r>
        <w:fldChar w:fldCharType="separate"/>
      </w:r>
      <w:r>
        <w:t>296</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_Toc472604971 \h </w:instrText>
      </w:r>
      <w:r>
        <w:fldChar w:fldCharType="separate"/>
      </w:r>
      <w:r>
        <w:t>297</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_Toc472604972 \h </w:instrText>
      </w:r>
      <w:r>
        <w:fldChar w:fldCharType="separate"/>
      </w:r>
      <w:r>
        <w:t>297</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_Toc472604973 \h </w:instrText>
      </w:r>
      <w:r>
        <w:fldChar w:fldCharType="separate"/>
      </w:r>
      <w:r>
        <w:t>298</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_Toc472604974 \h </w:instrText>
      </w:r>
      <w:r>
        <w:fldChar w:fldCharType="separate"/>
      </w:r>
      <w:r>
        <w:t>299</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_Toc472604975 \h </w:instrText>
      </w:r>
      <w:r>
        <w:fldChar w:fldCharType="separate"/>
      </w:r>
      <w:r>
        <w:t>300</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_Toc472604976 \h </w:instrText>
      </w:r>
      <w:r>
        <w:fldChar w:fldCharType="separate"/>
      </w:r>
      <w:r>
        <w:t>300</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_Toc472604977 \h </w:instrText>
      </w:r>
      <w:r>
        <w:fldChar w:fldCharType="separate"/>
      </w:r>
      <w:r>
        <w:t>301</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_Toc472604978 \h </w:instrText>
      </w:r>
      <w:r>
        <w:fldChar w:fldCharType="separate"/>
      </w:r>
      <w:r>
        <w:t>301</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_Toc472604979 \h </w:instrText>
      </w:r>
      <w:r>
        <w:fldChar w:fldCharType="separate"/>
      </w:r>
      <w:r>
        <w:t>302</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_Toc472604980 \h </w:instrText>
      </w:r>
      <w:r>
        <w:fldChar w:fldCharType="separate"/>
      </w:r>
      <w:r>
        <w:t>302</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_Toc472604981 \h </w:instrText>
      </w:r>
      <w:r>
        <w:fldChar w:fldCharType="separate"/>
      </w:r>
      <w:r>
        <w:t>302</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_Toc472604982 \h </w:instrText>
      </w:r>
      <w:r>
        <w:fldChar w:fldCharType="separate"/>
      </w:r>
      <w:r>
        <w:t>303</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_Toc472604983 \h </w:instrText>
      </w:r>
      <w:r>
        <w:fldChar w:fldCharType="separate"/>
      </w:r>
      <w:r>
        <w:t>303</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_Toc472604984 \h </w:instrText>
      </w:r>
      <w:r>
        <w:fldChar w:fldCharType="separate"/>
      </w:r>
      <w:r>
        <w:t>304</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_Toc472604985 \h </w:instrText>
      </w:r>
      <w:r>
        <w:fldChar w:fldCharType="separate"/>
      </w:r>
      <w:r>
        <w:t>304</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_Toc472604986 \h </w:instrText>
      </w:r>
      <w:r>
        <w:fldChar w:fldCharType="separate"/>
      </w:r>
      <w:r>
        <w:t>305</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_Toc472604987 \h </w:instrText>
      </w:r>
      <w:r>
        <w:fldChar w:fldCharType="separate"/>
      </w:r>
      <w:r>
        <w:t>305</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_Toc472604988 \h </w:instrText>
      </w:r>
      <w:r>
        <w:fldChar w:fldCharType="separate"/>
      </w:r>
      <w:r>
        <w:t>305</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_Toc472604989 \h </w:instrText>
      </w:r>
      <w:r>
        <w:fldChar w:fldCharType="separate"/>
      </w:r>
      <w:r>
        <w:t>306</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_Toc472604990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_Toc472604992 \h </w:instrText>
      </w:r>
      <w:r>
        <w:fldChar w:fldCharType="separate"/>
      </w:r>
      <w:r>
        <w:t>307</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_Toc472604993 \h </w:instrText>
      </w:r>
      <w:r>
        <w:fldChar w:fldCharType="separate"/>
      </w:r>
      <w:r>
        <w:t>307</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_Toc472604994 \h </w:instrText>
      </w:r>
      <w:r>
        <w:fldChar w:fldCharType="separate"/>
      </w:r>
      <w:r>
        <w:t>308</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_Toc472604995 \h </w:instrText>
      </w:r>
      <w:r>
        <w:fldChar w:fldCharType="separate"/>
      </w:r>
      <w:r>
        <w:t>309</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_Toc472604996 \h </w:instrText>
      </w:r>
      <w:r>
        <w:fldChar w:fldCharType="separate"/>
      </w:r>
      <w:r>
        <w:t>309</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_Toc472604997 \h </w:instrText>
      </w:r>
      <w:r>
        <w:fldChar w:fldCharType="separate"/>
      </w:r>
      <w:r>
        <w:t>309</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_Toc472604998 \h </w:instrText>
      </w:r>
      <w:r>
        <w:fldChar w:fldCharType="separate"/>
      </w:r>
      <w:r>
        <w:t>310</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_Toc472604999 \h </w:instrText>
      </w:r>
      <w:r>
        <w:fldChar w:fldCharType="separate"/>
      </w:r>
      <w:r>
        <w:t>310</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_Toc472605000 \h </w:instrText>
      </w:r>
      <w:r>
        <w:fldChar w:fldCharType="separate"/>
      </w:r>
      <w:r>
        <w:t>311</w:t>
      </w:r>
      <w:r>
        <w:fldChar w:fldCharType="end"/>
      </w:r>
    </w:p>
    <w:p>
      <w:pPr>
        <w:pStyle w:val="TOC8"/>
        <w:rPr>
          <w:rFonts w:asciiTheme="minorHAnsi" w:eastAsiaTheme="minorEastAsia" w:hAnsiTheme="minorHAnsi" w:cstheme="minorBidi"/>
          <w:szCs w:val="22"/>
        </w:rPr>
      </w:pPr>
      <w:r>
        <w:t>218.</w:t>
      </w:r>
      <w:r>
        <w:tab/>
        <w:t>Person under legal disability and dependants of dead workers, payment to etc.</w:t>
      </w:r>
      <w:r>
        <w:tab/>
      </w:r>
      <w:r>
        <w:fldChar w:fldCharType="begin"/>
      </w:r>
      <w:r>
        <w:instrText xml:space="preserve"> PAGEREF _Toc472605001 \h </w:instrText>
      </w:r>
      <w:r>
        <w:fldChar w:fldCharType="separate"/>
      </w:r>
      <w:r>
        <w:t>312</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_Toc472605002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_Toc472605004 \h </w:instrText>
      </w:r>
      <w:r>
        <w:fldChar w:fldCharType="separate"/>
      </w:r>
      <w:r>
        <w:t>314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_Toc472605005 \h </w:instrText>
      </w:r>
      <w:r>
        <w:fldChar w:fldCharType="separate"/>
      </w:r>
      <w:r>
        <w:t>314</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_Toc472605006 \h </w:instrText>
      </w:r>
      <w:r>
        <w:fldChar w:fldCharType="separate"/>
      </w:r>
      <w:r>
        <w:t>314</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_Toc472605007 \h </w:instrText>
      </w:r>
      <w:r>
        <w:fldChar w:fldCharType="separate"/>
      </w:r>
      <w:r>
        <w:t>315</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_Toc472605008 \h </w:instrText>
      </w:r>
      <w:r>
        <w:fldChar w:fldCharType="separate"/>
      </w:r>
      <w:r>
        <w:t>315</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_Toc472605009 \h </w:instrText>
      </w:r>
      <w:r>
        <w:fldChar w:fldCharType="separate"/>
      </w:r>
      <w:r>
        <w:t>316</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_Toc472605011 \h </w:instrText>
      </w:r>
      <w:r>
        <w:fldChar w:fldCharType="separate"/>
      </w:r>
      <w:r>
        <w:t>317</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_Toc472605012 \h </w:instrText>
      </w:r>
      <w:r>
        <w:fldChar w:fldCharType="separate"/>
      </w:r>
      <w:r>
        <w:t>318</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_Toc472605013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_Toc472605015 \h </w:instrText>
      </w:r>
      <w:r>
        <w:fldChar w:fldCharType="separate"/>
      </w:r>
      <w:r>
        <w:t>320</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_Toc472605016 \h </w:instrText>
      </w:r>
      <w:r>
        <w:fldChar w:fldCharType="separate"/>
      </w:r>
      <w:r>
        <w:t>321</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_Toc472605017 \h </w:instrText>
      </w:r>
      <w:r>
        <w:fldChar w:fldCharType="separate"/>
      </w:r>
      <w:r>
        <w:t>321</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_Toc472605018 \h </w:instrText>
      </w:r>
      <w:r>
        <w:fldChar w:fldCharType="separate"/>
      </w:r>
      <w:r>
        <w:t>321</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_Toc472605019 \h </w:instrText>
      </w:r>
      <w:r>
        <w:fldChar w:fldCharType="separate"/>
      </w:r>
      <w:r>
        <w:t>322</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_Toc472605022 \h </w:instrText>
      </w:r>
      <w:r>
        <w:fldChar w:fldCharType="separate"/>
      </w:r>
      <w:r>
        <w:t>323</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_Toc472605023 \h </w:instrText>
      </w:r>
      <w:r>
        <w:fldChar w:fldCharType="separate"/>
      </w:r>
      <w:r>
        <w:t>324</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_Toc472605024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_Toc472605026 \h </w:instrText>
      </w:r>
      <w:r>
        <w:fldChar w:fldCharType="separate"/>
      </w:r>
      <w:r>
        <w:t>324</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_Toc472605027 \h </w:instrText>
      </w:r>
      <w:r>
        <w:fldChar w:fldCharType="separate"/>
      </w:r>
      <w:r>
        <w:t>325</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_Toc472605028 \h </w:instrText>
      </w:r>
      <w:r>
        <w:fldChar w:fldCharType="separate"/>
      </w:r>
      <w:r>
        <w:t>326</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_Toc472605029 \h </w:instrText>
      </w:r>
      <w:r>
        <w:fldChar w:fldCharType="separate"/>
      </w:r>
      <w:r>
        <w:t>326</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_Toc472605030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_Toc472605032 \h </w:instrText>
      </w:r>
      <w:r>
        <w:fldChar w:fldCharType="separate"/>
      </w:r>
      <w:r>
        <w:t>327</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_Toc472605033 \h </w:instrText>
      </w:r>
      <w:r>
        <w:fldChar w:fldCharType="separate"/>
      </w:r>
      <w:r>
        <w:t>328</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_Toc472605034 \h </w:instrText>
      </w:r>
      <w:r>
        <w:fldChar w:fldCharType="separate"/>
      </w:r>
      <w:r>
        <w:t>328</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_Toc472605035 \h </w:instrText>
      </w:r>
      <w:r>
        <w:fldChar w:fldCharType="separate"/>
      </w:r>
      <w:r>
        <w:t>328</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_Toc472605036 \h </w:instrText>
      </w:r>
      <w:r>
        <w:fldChar w:fldCharType="separate"/>
      </w:r>
      <w:r>
        <w:t>329</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_Toc472605037 \h </w:instrText>
      </w:r>
      <w:r>
        <w:fldChar w:fldCharType="separate"/>
      </w:r>
      <w:r>
        <w:t>330</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_Toc472605038 \h </w:instrText>
      </w:r>
      <w:r>
        <w:fldChar w:fldCharType="separate"/>
      </w:r>
      <w:r>
        <w:t>330</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_Toc472605039 \h </w:instrText>
      </w:r>
      <w:r>
        <w:fldChar w:fldCharType="separate"/>
      </w:r>
      <w:r>
        <w:t>331</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_Toc472605040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_Toc472605042 \h </w:instrText>
      </w:r>
      <w:r>
        <w:fldChar w:fldCharType="separate"/>
      </w:r>
      <w:r>
        <w:t>332</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_Toc472605044 \h </w:instrText>
      </w:r>
      <w:r>
        <w:fldChar w:fldCharType="separate"/>
      </w:r>
      <w:r>
        <w:t>334</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_Toc472605045 \h </w:instrText>
      </w:r>
      <w:r>
        <w:fldChar w:fldCharType="separate"/>
      </w:r>
      <w:r>
        <w:t>336</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_Toc472605046 \h </w:instrText>
      </w:r>
      <w:r>
        <w:fldChar w:fldCharType="separate"/>
      </w:r>
      <w:r>
        <w:t>337</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_Toc472605047 \h </w:instrText>
      </w:r>
      <w:r>
        <w:fldChar w:fldCharType="separate"/>
      </w:r>
      <w:r>
        <w:t>338</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_Toc472605048 \h </w:instrText>
      </w:r>
      <w:r>
        <w:fldChar w:fldCharType="separate"/>
      </w:r>
      <w:r>
        <w:t>339</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_Toc472605050 \h </w:instrText>
      </w:r>
      <w:r>
        <w:fldChar w:fldCharType="separate"/>
      </w:r>
      <w:r>
        <w:t>340</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_Toc472605051 \h </w:instrText>
      </w:r>
      <w:r>
        <w:fldChar w:fldCharType="separate"/>
      </w:r>
      <w:r>
        <w:t>340</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_Toc472605052 \h </w:instrText>
      </w:r>
      <w:r>
        <w:fldChar w:fldCharType="separate"/>
      </w:r>
      <w:r>
        <w:t>341</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_Toc472605053 \h </w:instrText>
      </w:r>
      <w:r>
        <w:fldChar w:fldCharType="separate"/>
      </w:r>
      <w:r>
        <w:t>341</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_Toc472605054 \h </w:instrText>
      </w:r>
      <w:r>
        <w:fldChar w:fldCharType="separate"/>
      </w:r>
      <w:r>
        <w:t>342</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_Toc472605055 \h </w:instrText>
      </w:r>
      <w:r>
        <w:fldChar w:fldCharType="separate"/>
      </w:r>
      <w:r>
        <w:t>343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_Toc472605056 \h </w:instrText>
      </w:r>
      <w:r>
        <w:fldChar w:fldCharType="separate"/>
      </w:r>
      <w:r>
        <w:t>343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_Toc472605057 \h </w:instrText>
      </w:r>
      <w:r>
        <w:fldChar w:fldCharType="separate"/>
      </w:r>
      <w:r>
        <w:t>343</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_Toc472605058 \h </w:instrText>
      </w:r>
      <w:r>
        <w:fldChar w:fldCharType="separate"/>
      </w:r>
      <w:r>
        <w:t>344</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_Toc472605059 \h </w:instrText>
      </w:r>
      <w:r>
        <w:fldChar w:fldCharType="separate"/>
      </w:r>
      <w:r>
        <w:t>344</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_Toc472605060 \h </w:instrText>
      </w:r>
      <w:r>
        <w:fldChar w:fldCharType="separate"/>
      </w:r>
      <w:r>
        <w:t>345</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_Toc472605061 \h </w:instrText>
      </w:r>
      <w:r>
        <w:fldChar w:fldCharType="separate"/>
      </w:r>
      <w:r>
        <w:t>346</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_Toc472605062 \h </w:instrText>
      </w:r>
      <w:r>
        <w:fldChar w:fldCharType="separate"/>
      </w:r>
      <w:r>
        <w:t>346</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_Toc472605063 \h </w:instrText>
      </w:r>
      <w:r>
        <w:fldChar w:fldCharType="separate"/>
      </w:r>
      <w:r>
        <w:t>347</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_Toc472605064 \h </w:instrText>
      </w:r>
      <w:r>
        <w:fldChar w:fldCharType="separate"/>
      </w:r>
      <w:r>
        <w:t>347</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_Toc472605065 \h </w:instrText>
      </w:r>
      <w:r>
        <w:fldChar w:fldCharType="separate"/>
      </w:r>
      <w:r>
        <w:t>347</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_Toc472605066 \h </w:instrText>
      </w:r>
      <w:r>
        <w:fldChar w:fldCharType="separate"/>
      </w:r>
      <w:r>
        <w:t>348</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_Toc472605067 \h </w:instrText>
      </w:r>
      <w:r>
        <w:fldChar w:fldCharType="separate"/>
      </w:r>
      <w:r>
        <w:t>348</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_Toc472605068 \h </w:instrText>
      </w:r>
      <w:r>
        <w:fldChar w:fldCharType="separate"/>
      </w:r>
      <w:r>
        <w:t>348</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_Toc472605069 \h </w:instrText>
      </w:r>
      <w:r>
        <w:fldChar w:fldCharType="separate"/>
      </w:r>
      <w:r>
        <w:t>348</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_Toc472605070 \h </w:instrText>
      </w:r>
      <w:r>
        <w:fldChar w:fldCharType="separate"/>
      </w:r>
      <w:r>
        <w:t>349</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_Toc472605071 \h </w:instrText>
      </w:r>
      <w:r>
        <w:fldChar w:fldCharType="separate"/>
      </w:r>
      <w:r>
        <w:t>349</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_Toc472605073 \h </w:instrText>
      </w:r>
      <w:r>
        <w:fldChar w:fldCharType="separate"/>
      </w:r>
      <w:r>
        <w:t>350</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_Toc472605074 \h </w:instrText>
      </w:r>
      <w:r>
        <w:fldChar w:fldCharType="separate"/>
      </w:r>
      <w:r>
        <w:t>350</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_Toc472605075 \h </w:instrText>
      </w:r>
      <w:r>
        <w:fldChar w:fldCharType="separate"/>
      </w:r>
      <w:r>
        <w:t>350</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_Toc472605076 \h </w:instrText>
      </w:r>
      <w:r>
        <w:fldChar w:fldCharType="separate"/>
      </w:r>
      <w:r>
        <w:t>351</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_Toc472605077 \h </w:instrText>
      </w:r>
      <w:r>
        <w:fldChar w:fldCharType="separate"/>
      </w:r>
      <w:r>
        <w:t>351</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_Toc472605078 \h </w:instrText>
      </w:r>
      <w:r>
        <w:fldChar w:fldCharType="separate"/>
      </w:r>
      <w:r>
        <w:t>351</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_Toc472605079 \h </w:instrText>
      </w:r>
      <w:r>
        <w:fldChar w:fldCharType="separate"/>
      </w:r>
      <w:r>
        <w:t>352</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_Toc472605080 \h </w:instrText>
      </w:r>
      <w:r>
        <w:fldChar w:fldCharType="separate"/>
      </w:r>
      <w:r>
        <w:t>352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_Toc472605081 \h </w:instrText>
      </w:r>
      <w:r>
        <w:fldChar w:fldCharType="separate"/>
      </w:r>
      <w:r>
        <w:t>354</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_Toc472605082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1.</w:t>
      </w:r>
      <w:r>
        <w:tab/>
        <w:t>Death — dependants wholly dependent — notional residual entitlement</w:t>
      </w:r>
      <w:r>
        <w:tab/>
      </w:r>
      <w:r>
        <w:fldChar w:fldCharType="begin"/>
      </w:r>
      <w:r>
        <w:instrText xml:space="preserve"> PAGEREF _Toc472605084 \h </w:instrText>
      </w:r>
      <w:r>
        <w:fldChar w:fldCharType="separate"/>
      </w:r>
      <w:r>
        <w:t>357</w:t>
      </w:r>
      <w:r>
        <w:fldChar w:fldCharType="end"/>
      </w:r>
    </w:p>
    <w:p>
      <w:pPr>
        <w:pStyle w:val="TOC8"/>
        <w:rPr>
          <w:rFonts w:asciiTheme="minorHAnsi" w:eastAsiaTheme="minorEastAsia" w:hAnsiTheme="minorHAnsi" w:cstheme="minorBidi"/>
          <w:szCs w:val="22"/>
        </w:rPr>
      </w:pPr>
      <w:r>
        <w:t>1A.</w:t>
      </w:r>
      <w:r>
        <w:tab/>
        <w:t>Death — dependants wholly dependent — child’s allowance</w:t>
      </w:r>
      <w:r>
        <w:tab/>
      </w:r>
      <w:r>
        <w:fldChar w:fldCharType="begin"/>
      </w:r>
      <w:r>
        <w:instrText xml:space="preserve"> PAGEREF _Toc472605085 \h </w:instrText>
      </w:r>
      <w:r>
        <w:fldChar w:fldCharType="separate"/>
      </w:r>
      <w:r>
        <w:t>358</w:t>
      </w:r>
      <w:r>
        <w:fldChar w:fldCharType="end"/>
      </w:r>
    </w:p>
    <w:p>
      <w:pPr>
        <w:pStyle w:val="TOC8"/>
        <w:rPr>
          <w:rFonts w:asciiTheme="minorHAnsi" w:eastAsiaTheme="minorEastAsia" w:hAnsiTheme="minorHAnsi" w:cstheme="minorBidi"/>
          <w:szCs w:val="22"/>
        </w:rPr>
      </w:pPr>
      <w:r>
        <w:t>1B.</w:t>
      </w:r>
      <w:r>
        <w:tab/>
        <w:t>Death — dependants wholly dependent — notional residual entitlement or child’s allowance</w:t>
      </w:r>
      <w:r>
        <w:tab/>
      </w:r>
      <w:r>
        <w:fldChar w:fldCharType="begin"/>
      </w:r>
      <w:r>
        <w:instrText xml:space="preserve"> PAGEREF _Toc472605086 \h </w:instrText>
      </w:r>
      <w:r>
        <w:fldChar w:fldCharType="separate"/>
      </w:r>
      <w:r>
        <w:t>358</w:t>
      </w:r>
      <w:r>
        <w:fldChar w:fldCharType="end"/>
      </w:r>
    </w:p>
    <w:p>
      <w:pPr>
        <w:pStyle w:val="TOC8"/>
        <w:rPr>
          <w:rFonts w:asciiTheme="minorHAnsi" w:eastAsiaTheme="minorEastAsia" w:hAnsiTheme="minorHAnsi" w:cstheme="minorBidi"/>
          <w:szCs w:val="22"/>
        </w:rPr>
      </w:pPr>
      <w:r>
        <w:t>1C.</w:t>
      </w:r>
      <w:r>
        <w:tab/>
        <w:t>Determining entitlement under cl. 1B</w:t>
      </w:r>
      <w:r>
        <w:tab/>
      </w:r>
      <w:r>
        <w:fldChar w:fldCharType="begin"/>
      </w:r>
      <w:r>
        <w:instrText xml:space="preserve"> PAGEREF _Toc472605087 \h </w:instrText>
      </w:r>
      <w:r>
        <w:fldChar w:fldCharType="separate"/>
      </w:r>
      <w:r>
        <w:t>360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Death — partial dependants who are not children</w:t>
      </w:r>
      <w:r>
        <w:tab/>
      </w:r>
      <w:r>
        <w:fldChar w:fldCharType="begin"/>
      </w:r>
      <w:r>
        <w:instrText xml:space="preserve"> PAGEREF _Toc472605088 \h </w:instrText>
      </w:r>
      <w:r>
        <w:fldChar w:fldCharType="separate"/>
      </w:r>
      <w:r>
        <w:t>361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Death — partial dependants who are children</w:t>
      </w:r>
      <w:r>
        <w:tab/>
      </w:r>
      <w:r>
        <w:fldChar w:fldCharType="begin"/>
      </w:r>
      <w:r>
        <w:instrText xml:space="preserve"> PAGEREF _Toc472605089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Death — no dependant</w:t>
      </w:r>
      <w:r>
        <w:tab/>
      </w:r>
      <w:r>
        <w:fldChar w:fldCharType="begin"/>
      </w:r>
      <w:r>
        <w:instrText xml:space="preserve"> PAGEREF _Toc472605090 \h </w:instrText>
      </w:r>
      <w:r>
        <w:fldChar w:fldCharType="separate"/>
      </w:r>
      <w:r>
        <w:t>362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Death — where not resulting from the injury but weekly payments had been made</w:t>
      </w:r>
      <w:r>
        <w:tab/>
      </w:r>
      <w:r>
        <w:fldChar w:fldCharType="begin"/>
      </w:r>
      <w:r>
        <w:instrText xml:space="preserve"> PAGEREF _Toc472605091 \h </w:instrText>
      </w:r>
      <w:r>
        <w:fldChar w:fldCharType="separate"/>
      </w:r>
      <w:r>
        <w:t>362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_Toc472605092 \h </w:instrText>
      </w:r>
      <w:r>
        <w:fldChar w:fldCharType="separate"/>
      </w:r>
      <w:r>
        <w:t>363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_Toc472605093 \h </w:instrText>
      </w:r>
      <w:r>
        <w:fldChar w:fldCharType="separate"/>
      </w:r>
      <w:r>
        <w:t>364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_Toc472605094 \h </w:instrText>
      </w:r>
      <w:r>
        <w:fldChar w:fldCharType="separate"/>
      </w:r>
      <w:r>
        <w:t>365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_Toc472605095 \h </w:instrText>
      </w:r>
      <w:r>
        <w:fldChar w:fldCharType="separate"/>
      </w:r>
      <w:r>
        <w:t>365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_Toc472605096 \h </w:instrText>
      </w:r>
      <w:r>
        <w:fldChar w:fldCharType="separate"/>
      </w:r>
      <w:r>
        <w:t>365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_Toc472605097 \h </w:instrText>
      </w:r>
      <w:r>
        <w:fldChar w:fldCharType="separate"/>
      </w:r>
      <w:r>
        <w:t>369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_Toc472605098 \h </w:instrText>
      </w:r>
      <w:r>
        <w:fldChar w:fldCharType="separate"/>
      </w:r>
      <w:r>
        <w:t>369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_Toc472605099 \h </w:instrText>
      </w:r>
      <w:r>
        <w:fldChar w:fldCharType="separate"/>
      </w:r>
      <w:r>
        <w:t>370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_Toc472605100 \h </w:instrText>
      </w:r>
      <w:r>
        <w:fldChar w:fldCharType="separate"/>
      </w:r>
      <w:r>
        <w:t>370</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_Toc472605101 \h </w:instrText>
      </w:r>
      <w:r>
        <w:fldChar w:fldCharType="separate"/>
      </w:r>
      <w:r>
        <w:t>370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_Toc472605102 \h </w:instrText>
      </w:r>
      <w:r>
        <w:fldChar w:fldCharType="separate"/>
      </w:r>
      <w:r>
        <w:t>371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_Toc472605103 \h </w:instrText>
      </w:r>
      <w:r>
        <w:fldChar w:fldCharType="separate"/>
      </w:r>
      <w:r>
        <w:t>371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_Toc472605104 \h </w:instrText>
      </w:r>
      <w:r>
        <w:fldChar w:fldCharType="separate"/>
      </w:r>
      <w:r>
        <w:t>373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_Toc472605105 \h </w:instrText>
      </w:r>
      <w:r>
        <w:fldChar w:fldCharType="separate"/>
      </w:r>
      <w:r>
        <w:t>374</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_Toc472605106 \h </w:instrText>
      </w:r>
      <w:r>
        <w:fldChar w:fldCharType="separate"/>
      </w:r>
      <w:r>
        <w:t>377</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_Toc472605107 \h </w:instrText>
      </w:r>
      <w:r>
        <w:fldChar w:fldCharType="separate"/>
      </w:r>
      <w:r>
        <w:t>378</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_Toc472605108 \h </w:instrText>
      </w:r>
      <w:r>
        <w:fldChar w:fldCharType="separate"/>
      </w:r>
      <w:r>
        <w:t>379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_Toc472605109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_Toc472605117 \h </w:instrText>
      </w:r>
      <w:r>
        <w:fldChar w:fldCharType="separate"/>
      </w:r>
      <w:r>
        <w:t>394</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_Toc472605118 \h </w:instrText>
      </w:r>
      <w:r>
        <w:fldChar w:fldCharType="separate"/>
      </w:r>
      <w:r>
        <w:t>395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_Toc472605119 \h </w:instrText>
      </w:r>
      <w:r>
        <w:fldChar w:fldCharType="separate"/>
      </w:r>
      <w:r>
        <w:t>395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_Toc472605120 \h </w:instrText>
      </w:r>
      <w:r>
        <w:fldChar w:fldCharType="separate"/>
      </w:r>
      <w:r>
        <w:t>395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_Toc472605121 \h </w:instrText>
      </w:r>
      <w:r>
        <w:fldChar w:fldCharType="separate"/>
      </w:r>
      <w:r>
        <w:t>398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_Toc472605122 \h </w:instrText>
      </w:r>
      <w:r>
        <w:fldChar w:fldCharType="separate"/>
      </w:r>
      <w:r>
        <w:t>399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_Toc472605123 \h </w:instrText>
      </w:r>
      <w:r>
        <w:fldChar w:fldCharType="separate"/>
      </w:r>
      <w:r>
        <w:t>399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_Toc472605124 \h </w:instrText>
      </w:r>
      <w:r>
        <w:fldChar w:fldCharType="separate"/>
      </w:r>
      <w:r>
        <w:t>400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_Toc472605125 \h </w:instrText>
      </w:r>
      <w:r>
        <w:fldChar w:fldCharType="separate"/>
      </w:r>
      <w:r>
        <w:t>401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_Toc472605126 \h </w:instrText>
      </w:r>
      <w:r>
        <w:fldChar w:fldCharType="separate"/>
      </w:r>
      <w:r>
        <w:t>402</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_Toc472605128 \h </w:instrText>
      </w:r>
      <w:r>
        <w:fldChar w:fldCharType="separate"/>
      </w:r>
      <w:r>
        <w:t>403</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_Toc472605129 \h </w:instrText>
      </w:r>
      <w:r>
        <w:fldChar w:fldCharType="separate"/>
      </w:r>
      <w:r>
        <w:t>403</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_Toc472605131 \h </w:instrText>
      </w:r>
      <w:r>
        <w:fldChar w:fldCharType="separate"/>
      </w:r>
      <w:r>
        <w:t>405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_Toc472605132 \h </w:instrText>
      </w:r>
      <w:r>
        <w:fldChar w:fldCharType="separate"/>
      </w:r>
      <w:r>
        <w:t>405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_Toc472605133 \h </w:instrText>
      </w:r>
      <w:r>
        <w:fldChar w:fldCharType="separate"/>
      </w:r>
      <w:r>
        <w:t>406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_Toc472605134 \h </w:instrText>
      </w:r>
      <w:r>
        <w:fldChar w:fldCharType="separate"/>
      </w:r>
      <w:r>
        <w:t>406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_Toc472605135 \h </w:instrText>
      </w:r>
      <w:r>
        <w:fldChar w:fldCharType="separate"/>
      </w:r>
      <w:r>
        <w:t>407</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_Toc472605136 \h </w:instrText>
      </w:r>
      <w:r>
        <w:fldChar w:fldCharType="separate"/>
      </w:r>
      <w:r>
        <w:t>407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_Toc472605137 \h </w:instrText>
      </w:r>
      <w:r>
        <w:fldChar w:fldCharType="separate"/>
      </w:r>
      <w:r>
        <w:t>407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_Toc472605138 \h </w:instrText>
      </w:r>
      <w:r>
        <w:fldChar w:fldCharType="separate"/>
      </w:r>
      <w:r>
        <w:t>408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_Toc472605139 \h </w:instrText>
      </w:r>
      <w:r>
        <w:fldChar w:fldCharType="separate"/>
      </w:r>
      <w:r>
        <w:t>409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_Toc472605140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_Toc472605142 \h </w:instrText>
      </w:r>
      <w:r>
        <w:fldChar w:fldCharType="separate"/>
      </w:r>
      <w:r>
        <w:t>410</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_Toc472605143 \h </w:instrText>
      </w:r>
      <w:r>
        <w:fldChar w:fldCharType="separate"/>
      </w:r>
      <w:r>
        <w:t>411</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_Toc472605144 \h </w:instrText>
      </w:r>
      <w:r>
        <w:fldChar w:fldCharType="separate"/>
      </w:r>
      <w:r>
        <w:t>411</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_Toc472605145 \h </w:instrText>
      </w:r>
      <w:r>
        <w:fldChar w:fldCharType="separate"/>
      </w:r>
      <w:r>
        <w:t>412</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_Toc472605146 \h </w:instrText>
      </w:r>
      <w:r>
        <w:fldChar w:fldCharType="separate"/>
      </w:r>
      <w:r>
        <w:t>412</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_Toc472605147 \h </w:instrText>
      </w:r>
      <w:r>
        <w:fldChar w:fldCharType="separate"/>
      </w:r>
      <w:r>
        <w:t>412</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_Toc472605148 \h </w:instrText>
      </w:r>
      <w:r>
        <w:fldChar w:fldCharType="separate"/>
      </w:r>
      <w:r>
        <w:t>413</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_Toc472605149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_Toc472605151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_Toc472605152 \h </w:instrText>
      </w:r>
      <w:r>
        <w:fldChar w:fldCharType="separate"/>
      </w:r>
      <w:r>
        <w:t>423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w:t>
      </w:r>
      <w:smartTag w:uri="urn:schemas-microsoft-com:office:smarttags" w:element="place">
        <w:smartTag w:uri="urn:schemas-microsoft-com:office:smarttags" w:element="country-region">
          <w:r>
            <w:t>Australia</w:t>
          </w:r>
        </w:smartTag>
      </w:smartTag>
      <w:r>
        <w:t xml:space="preserve"> Authority </w:t>
      </w:r>
      <w:r>
        <w:rPr>
          <w:bCs/>
        </w:rPr>
        <w:t>to provide for the resolution of disputes,</w:t>
      </w:r>
      <w:r>
        <w:t xml:space="preserve"> and for related purposes.</w:t>
      </w:r>
    </w:p>
    <w:p>
      <w:pPr>
        <w:pStyle w:val="Footnotelongtitle"/>
      </w:pPr>
      <w:r>
        <w:tab/>
        <w:t>[Long title amended by No. 96 of 1990 s. 4; No. 48 of 1993 s. 28(1); No. 42 of 2004 s. 4; No. 31 of 2011 s. 78.]</w:t>
      </w:r>
    </w:p>
    <w:p>
      <w:pPr>
        <w:pStyle w:val="Heading2"/>
      </w:pPr>
      <w:bookmarkStart w:id="3" w:name="_Toc472604566"/>
      <w:r>
        <w:rPr>
          <w:rStyle w:val="CharPartNo"/>
        </w:rPr>
        <w:t>Part I</w:t>
      </w:r>
      <w:r>
        <w:rPr>
          <w:rStyle w:val="CharDivNo"/>
        </w:rPr>
        <w:t> </w:t>
      </w:r>
      <w:r>
        <w:t>—</w:t>
      </w:r>
      <w:r>
        <w:rPr>
          <w:rStyle w:val="CharDivText"/>
        </w:rPr>
        <w:t> </w:t>
      </w:r>
      <w:r>
        <w:rPr>
          <w:rStyle w:val="CharPartText"/>
        </w:rPr>
        <w:t>Preliminary</w:t>
      </w:r>
      <w:bookmarkEnd w:id="3"/>
    </w:p>
    <w:p>
      <w:pPr>
        <w:pStyle w:val="Heading5"/>
        <w:spacing w:before="260"/>
        <w:rPr>
          <w:snapToGrid w:val="0"/>
        </w:rPr>
      </w:pPr>
      <w:bookmarkStart w:id="4" w:name="_Toc472604567"/>
      <w:r>
        <w:rPr>
          <w:rStyle w:val="CharSectno"/>
        </w:rPr>
        <w:t>1</w:t>
      </w:r>
      <w:r>
        <w:rPr>
          <w:snapToGrid w:val="0"/>
        </w:rPr>
        <w:t>.</w:t>
      </w:r>
      <w:r>
        <w:rPr>
          <w:snapToGrid w:val="0"/>
        </w:rPr>
        <w:tab/>
        <w:t>Short title</w:t>
      </w:r>
      <w:bookmarkEnd w:id="4"/>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snapToGrid w:val="0"/>
        </w:rPr>
        <w:t>.</w:t>
      </w:r>
    </w:p>
    <w:p>
      <w:pPr>
        <w:pStyle w:val="Footnotesection"/>
      </w:pPr>
      <w:r>
        <w:tab/>
        <w:t>[Section 1 amended by No. 96 of 1990 s. 5; No. 42 of 2004 s. 5.]</w:t>
      </w:r>
    </w:p>
    <w:p>
      <w:pPr>
        <w:pStyle w:val="Heading5"/>
        <w:spacing w:before="260"/>
        <w:rPr>
          <w:snapToGrid w:val="0"/>
        </w:rPr>
      </w:pPr>
      <w:bookmarkStart w:id="5" w:name="_Toc472604568"/>
      <w:r>
        <w:rPr>
          <w:rStyle w:val="CharSectno"/>
        </w:rPr>
        <w:t>2</w:t>
      </w:r>
      <w:r>
        <w:rPr>
          <w:snapToGrid w:val="0"/>
        </w:rPr>
        <w:t>.</w:t>
      </w:r>
      <w:r>
        <w:rPr>
          <w:snapToGrid w:val="0"/>
        </w:rPr>
        <w:tab/>
        <w:t>Commencement</w:t>
      </w:r>
      <w:bookmarkEnd w:id="5"/>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spacing w:before="260"/>
        <w:rPr>
          <w:snapToGrid w:val="0"/>
        </w:rPr>
      </w:pPr>
      <w:bookmarkStart w:id="6" w:name="_Toc472604569"/>
      <w:r>
        <w:rPr>
          <w:rStyle w:val="CharSectno"/>
        </w:rPr>
        <w:t>3</w:t>
      </w:r>
      <w:r>
        <w:rPr>
          <w:snapToGrid w:val="0"/>
        </w:rPr>
        <w:t>.</w:t>
      </w:r>
      <w:r>
        <w:rPr>
          <w:snapToGrid w:val="0"/>
        </w:rPr>
        <w:tab/>
        <w:t>Purposes</w:t>
      </w:r>
      <w:bookmarkEnd w:id="6"/>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t>
      </w:r>
      <w:smartTag w:uri="urn:schemas-microsoft-com:office:smarttags" w:element="place">
        <w:smartTag w:uri="urn:schemas-microsoft-com:office:smarttags" w:element="State">
          <w:r>
            <w:t>Western Australia</w:t>
          </w:r>
        </w:smartTag>
      </w:smartTag>
      <w:r>
        <w:t xml:space="preserve">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 xml:space="preserve">to establish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by No. 72 of 1992 s. 4; No. 48 of 1993 s. 28(1); No. 42 of 2004 s. 6, 146 and 148(1); No. 31 of 2011 s. 79.]</w:t>
      </w:r>
    </w:p>
    <w:p>
      <w:pPr>
        <w:pStyle w:val="Heading5"/>
        <w:rPr>
          <w:snapToGrid w:val="0"/>
        </w:rPr>
      </w:pPr>
      <w:bookmarkStart w:id="7" w:name="_Toc472604570"/>
      <w:r>
        <w:rPr>
          <w:rStyle w:val="CharSectno"/>
        </w:rPr>
        <w:t>4</w:t>
      </w:r>
      <w:r>
        <w:rPr>
          <w:snapToGrid w:val="0"/>
        </w:rPr>
        <w:t>.</w:t>
      </w:r>
      <w:r>
        <w:rPr>
          <w:snapToGrid w:val="0"/>
        </w:rPr>
        <w:tab/>
        <w:t>Application of Act generally</w:t>
      </w:r>
      <w:bookmarkEnd w:id="7"/>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 w:name="_Toc472604571"/>
      <w:r>
        <w:rPr>
          <w:rStyle w:val="CharSectno"/>
        </w:rPr>
        <w:t>5</w:t>
      </w:r>
      <w:r>
        <w:rPr>
          <w:snapToGrid w:val="0"/>
        </w:rPr>
        <w:t>.</w:t>
      </w:r>
      <w:r>
        <w:rPr>
          <w:snapToGrid w:val="0"/>
        </w:rPr>
        <w:tab/>
        <w:t>Terms used</w:t>
      </w:r>
      <w:bookmarkEnd w:id="8"/>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w:t>
      </w:r>
    </w:p>
    <w:p>
      <w:pPr>
        <w:pStyle w:val="Defpara"/>
      </w:pPr>
      <w:r>
        <w:tab/>
        <w:t>(a)</w:t>
      </w:r>
      <w:r>
        <w:tab/>
        <w:t>for the financial year ending on 30 June 1982, the amount of $15.37; and</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tab/>
      </w:r>
      <w:r>
        <w:rPr>
          <w:rStyle w:val="CharDefText"/>
        </w:rPr>
        <w:t>chiropractor</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 xml:space="preserve">a person who is not resident in a State or Territory of the Commonwealth but who is recognised as a dentist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spacing w:before="70"/>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tab/>
      </w:r>
      <w:r>
        <w:rPr>
          <w:rStyle w:val="CharDefText"/>
        </w:rPr>
        <w:t>Director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spacing w:before="70"/>
      </w:pPr>
      <w:r>
        <w:rPr>
          <w:b/>
        </w:rPr>
        <w:tab/>
      </w:r>
      <w:r>
        <w:rPr>
          <w:rStyle w:val="CharDefText"/>
        </w:rPr>
        <w:t>Division</w:t>
      </w:r>
      <w:r>
        <w:t xml:space="preserve"> means a Division of the Part wherein the term is used;</w:t>
      </w:r>
    </w:p>
    <w:p>
      <w:pPr>
        <w:pStyle w:val="Defstart"/>
        <w:spacing w:before="70"/>
      </w:pPr>
      <w:r>
        <w:rPr>
          <w:b/>
        </w:rPr>
        <w:tab/>
      </w:r>
      <w:r>
        <w:rPr>
          <w:rStyle w:val="CharDefText"/>
        </w:rPr>
        <w:t>drug of addiction</w:t>
      </w:r>
      <w:r>
        <w:t xml:space="preserve"> means drug of addiction as defined by section 5 of the </w:t>
      </w:r>
      <w:r>
        <w:rPr>
          <w:i/>
        </w:rPr>
        <w:t>Poisons Act 1964</w:t>
      </w:r>
      <w:r>
        <w:t>;</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t>
      </w:r>
      <w:smartTag w:uri="urn:schemas-microsoft-com:office:smarttags" w:element="State">
        <w:r>
          <w:rPr>
            <w:rStyle w:val="CharDefText"/>
          </w:rPr>
          <w:t>Western Australia</w:t>
        </w:r>
      </w:smartTag>
      <w:r>
        <w:rPr>
          <w:rStyle w:val="CharDefText"/>
        </w:rPr>
        <w:t xml:space="preserve"> </w:t>
      </w:r>
      <w:r>
        <w:t xml:space="preserve">means the body continued under that name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Defpara"/>
      </w:pPr>
      <w:r>
        <w:tab/>
        <w:t>(b)</w:t>
      </w:r>
      <w:r>
        <w:tab/>
        <w:t xml:space="preserve">a person who is not resident in a State or Territory of the Commonwealth but who is recognised as a medical practitioner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keepNext/>
      </w:pPr>
      <w:r>
        <w:tab/>
      </w:r>
      <w:r>
        <w:rPr>
          <w:rStyle w:val="CharDefText"/>
        </w:rPr>
        <w:t>NRE amount</w:t>
      </w:r>
      <w:r>
        <w:t xml:space="preserve"> means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in relation to any subsequent financial year, the nearest whole number of dollars to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 xml:space="preserve">who is not resident in the State, but who is recognised as a specialist for the purposes of this Act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Defstart"/>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146R;</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50 of 2016 s. 13.]</w:t>
      </w:r>
    </w:p>
    <w:p>
      <w:pPr>
        <w:pStyle w:val="Heading5"/>
      </w:pPr>
      <w:bookmarkStart w:id="9" w:name="_Toc472604572"/>
      <w:r>
        <w:rPr>
          <w:rStyle w:val="CharSectno"/>
        </w:rPr>
        <w:t>5A</w:t>
      </w:r>
      <w:r>
        <w:t>.</w:t>
      </w:r>
      <w:r>
        <w:tab/>
        <w:t>Indexation of certain amounts</w:t>
      </w:r>
      <w:bookmarkEnd w:id="9"/>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 w:name="_Toc472604573"/>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
    </w:p>
    <w:p>
      <w:pPr>
        <w:pStyle w:val="Heading5"/>
        <w:rPr>
          <w:snapToGrid w:val="0"/>
        </w:rPr>
      </w:pPr>
      <w:bookmarkStart w:id="11" w:name="_Toc472604574"/>
      <w:r>
        <w:rPr>
          <w:rStyle w:val="CharSectno"/>
        </w:rPr>
        <w:t>6</w:t>
      </w:r>
      <w:r>
        <w:rPr>
          <w:snapToGrid w:val="0"/>
        </w:rPr>
        <w:t>.</w:t>
      </w:r>
      <w:r>
        <w:rPr>
          <w:snapToGrid w:val="0"/>
        </w:rPr>
        <w:tab/>
        <w:t>Local governments and other authorities</w:t>
      </w:r>
      <w:bookmarkEnd w:id="11"/>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by No. 14 of 1996 s. 4.]</w:t>
      </w:r>
    </w:p>
    <w:p>
      <w:pPr>
        <w:pStyle w:val="Heading5"/>
        <w:spacing w:before="240"/>
        <w:rPr>
          <w:snapToGrid w:val="0"/>
        </w:rPr>
      </w:pPr>
      <w:bookmarkStart w:id="12" w:name="_Toc472604575"/>
      <w:r>
        <w:rPr>
          <w:rStyle w:val="CharSectno"/>
        </w:rPr>
        <w:t>7</w:t>
      </w:r>
      <w:r>
        <w:rPr>
          <w:snapToGrid w:val="0"/>
        </w:rPr>
        <w:t>.</w:t>
      </w:r>
      <w:r>
        <w:rPr>
          <w:snapToGrid w:val="0"/>
        </w:rPr>
        <w:tab/>
        <w:t>Tributers</w:t>
      </w:r>
      <w:bookmarkEnd w:id="12"/>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spacing w:before="240"/>
        <w:rPr>
          <w:snapToGrid w:val="0"/>
        </w:rPr>
      </w:pPr>
      <w:bookmarkStart w:id="13" w:name="_Toc472604576"/>
      <w:r>
        <w:rPr>
          <w:rStyle w:val="CharSectno"/>
        </w:rPr>
        <w:t>8</w:t>
      </w:r>
      <w:r>
        <w:rPr>
          <w:snapToGrid w:val="0"/>
        </w:rPr>
        <w:t>.</w:t>
      </w:r>
      <w:r>
        <w:rPr>
          <w:snapToGrid w:val="0"/>
        </w:rPr>
        <w:tab/>
        <w:t>Baptist clergymen</w:t>
      </w:r>
      <w:bookmarkEnd w:id="13"/>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4" w:name="_Toc472604577"/>
      <w:r>
        <w:rPr>
          <w:rStyle w:val="CharSectno"/>
        </w:rPr>
        <w:t>9</w:t>
      </w:r>
      <w:r>
        <w:rPr>
          <w:snapToGrid w:val="0"/>
        </w:rPr>
        <w:t>.</w:t>
      </w:r>
      <w:r>
        <w:rPr>
          <w:snapToGrid w:val="0"/>
        </w:rPr>
        <w:tab/>
        <w:t>Anglican clergy</w:t>
      </w:r>
      <w:bookmarkEnd w:id="14"/>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w:t>
      </w:r>
      <w:smartTag w:uri="urn:schemas-microsoft-com:office:smarttags" w:element="place">
        <w:smartTag w:uri="urn:schemas-microsoft-com:office:smarttags" w:element="City">
          <w:r>
            <w:rPr>
              <w:snapToGrid w:val="0"/>
            </w:rPr>
            <w:t>Perth</w:t>
          </w:r>
        </w:smartTag>
      </w:smartTag>
      <w:r>
        <w:rPr>
          <w:snapToGrid w:val="0"/>
        </w:rPr>
        <w:t xml:space="preserve"> is deemed to be the employer.</w:t>
      </w:r>
    </w:p>
    <w:p>
      <w:pPr>
        <w:pStyle w:val="Footnotesection"/>
      </w:pPr>
      <w:r>
        <w:tab/>
        <w:t>[Section 9 inserted by No. 72 of 1992 s. 5.]</w:t>
      </w:r>
    </w:p>
    <w:p>
      <w:pPr>
        <w:pStyle w:val="Heading5"/>
        <w:rPr>
          <w:snapToGrid w:val="0"/>
        </w:rPr>
      </w:pPr>
      <w:bookmarkStart w:id="15" w:name="_Toc472604578"/>
      <w:r>
        <w:rPr>
          <w:rStyle w:val="CharSectno"/>
        </w:rPr>
        <w:t>10</w:t>
      </w:r>
      <w:r>
        <w:rPr>
          <w:snapToGrid w:val="0"/>
        </w:rPr>
        <w:t>.</w:t>
      </w:r>
      <w:r>
        <w:rPr>
          <w:snapToGrid w:val="0"/>
        </w:rPr>
        <w:tab/>
        <w:t>Other clergymen</w:t>
      </w:r>
      <w:bookmarkEnd w:id="15"/>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6" w:name="_Toc472604579"/>
      <w:r>
        <w:rPr>
          <w:rStyle w:val="CharSectno"/>
        </w:rPr>
        <w:t>10A</w:t>
      </w:r>
      <w:r>
        <w:t>.</w:t>
      </w:r>
      <w:r>
        <w:tab/>
        <w:t>Working directors</w:t>
      </w:r>
      <w:bookmarkEnd w:id="16"/>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 amended by No. 31 of 2011 s. 81.]</w:t>
      </w:r>
    </w:p>
    <w:p>
      <w:pPr>
        <w:pStyle w:val="Heading5"/>
        <w:rPr>
          <w:snapToGrid w:val="0"/>
        </w:rPr>
      </w:pPr>
      <w:bookmarkStart w:id="17" w:name="_Toc472604580"/>
      <w:r>
        <w:rPr>
          <w:rStyle w:val="CharSectno"/>
        </w:rPr>
        <w:t>11</w:t>
      </w:r>
      <w:r>
        <w:rPr>
          <w:snapToGrid w:val="0"/>
        </w:rPr>
        <w:t>.</w:t>
      </w:r>
      <w:r>
        <w:rPr>
          <w:snapToGrid w:val="0"/>
        </w:rPr>
        <w:tab/>
        <w:t>Contracted sporting contestants are not workers</w:t>
      </w:r>
      <w:bookmarkEnd w:id="17"/>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by No. 44 of 1985 s. 5; No. 34 of 1999 s. 7.]</w:t>
      </w:r>
    </w:p>
    <w:p>
      <w:pPr>
        <w:pStyle w:val="Heading5"/>
      </w:pPr>
      <w:bookmarkStart w:id="18" w:name="_Toc472604581"/>
      <w:r>
        <w:rPr>
          <w:rStyle w:val="CharSectno"/>
        </w:rPr>
        <w:t>11A</w:t>
      </w:r>
      <w:r>
        <w:t>.</w:t>
      </w:r>
      <w:r>
        <w:tab/>
        <w:t>Jockeys</w:t>
      </w:r>
      <w:bookmarkEnd w:id="18"/>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jockey</w:t>
      </w:r>
      <w:r>
        <w:t xml:space="preserve"> means a person licensed as a jockey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licensed trainer</w:t>
      </w:r>
      <w:r>
        <w:t xml:space="preserve"> means a person licensed as a trainer of thoroughbred racing horses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registered club</w:t>
      </w:r>
      <w:r>
        <w:t xml:space="preserve"> means a racing club registered under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r>
        <w:rPr>
          <w:vertAlign w:val="superscript"/>
        </w:rPr>
        <w:t> 1</w:t>
      </w:r>
      <w:r>
        <w:t>.</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by No. 45 of 2012 s. 4.]</w:t>
      </w:r>
    </w:p>
    <w:p>
      <w:pPr>
        <w:pStyle w:val="Heading5"/>
        <w:rPr>
          <w:snapToGrid w:val="0"/>
        </w:rPr>
      </w:pPr>
      <w:bookmarkStart w:id="19" w:name="_Toc472604582"/>
      <w:r>
        <w:rPr>
          <w:rStyle w:val="CharSectno"/>
        </w:rPr>
        <w:t>12</w:t>
      </w:r>
      <w:r>
        <w:rPr>
          <w:snapToGrid w:val="0"/>
        </w:rPr>
        <w:t>.</w:t>
      </w:r>
      <w:r>
        <w:rPr>
          <w:snapToGrid w:val="0"/>
        </w:rPr>
        <w:tab/>
        <w:t>Compensation not payable in some cases for injury or death before 28 Nov 1977</w:t>
      </w:r>
      <w:bookmarkEnd w:id="19"/>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0" w:name="_Toc472604583"/>
      <w:r>
        <w:rPr>
          <w:rStyle w:val="CharSectno"/>
        </w:rPr>
        <w:t>13</w:t>
      </w:r>
      <w:r>
        <w:rPr>
          <w:snapToGrid w:val="0"/>
        </w:rPr>
        <w:t>.</w:t>
      </w:r>
      <w:r>
        <w:rPr>
          <w:snapToGrid w:val="0"/>
        </w:rPr>
        <w:tab/>
        <w:t>Act s. 11 and 12 do not affect case where compensation paid before 28 Nov 1977</w:t>
      </w:r>
      <w:bookmarkEnd w:id="20"/>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by No. 42 of 2004 s. 146 and 147.]</w:t>
      </w:r>
    </w:p>
    <w:p>
      <w:pPr>
        <w:pStyle w:val="Heading5"/>
        <w:rPr>
          <w:snapToGrid w:val="0"/>
        </w:rPr>
      </w:pPr>
      <w:bookmarkStart w:id="21" w:name="_Toc472604584"/>
      <w:r>
        <w:rPr>
          <w:rStyle w:val="CharSectno"/>
        </w:rPr>
        <w:t>14</w:t>
      </w:r>
      <w:r>
        <w:rPr>
          <w:snapToGrid w:val="0"/>
        </w:rPr>
        <w:t>.</w:t>
      </w:r>
      <w:r>
        <w:rPr>
          <w:snapToGrid w:val="0"/>
        </w:rPr>
        <w:tab/>
        <w:t>Workers employed by Crown</w:t>
      </w:r>
      <w:bookmarkEnd w:id="21"/>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by No. 44 of 1985 s. 7; No. 40 of 1992 s. 13; No. 42 of 2004 s. 148(1).]</w:t>
      </w:r>
    </w:p>
    <w:p>
      <w:pPr>
        <w:pStyle w:val="Ednotesection"/>
        <w:outlineLvl w:val="9"/>
      </w:pPr>
      <w:r>
        <w:t>[</w:t>
      </w:r>
      <w:r>
        <w:rPr>
          <w:b/>
        </w:rPr>
        <w:t>15.</w:t>
      </w:r>
      <w:r>
        <w:tab/>
        <w:t>Deleted by No. 36 of 2004 s. 5.]</w:t>
      </w:r>
    </w:p>
    <w:p>
      <w:pPr>
        <w:pStyle w:val="Heading5"/>
        <w:keepLines w:val="0"/>
        <w:rPr>
          <w:snapToGrid w:val="0"/>
        </w:rPr>
      </w:pPr>
      <w:bookmarkStart w:id="22" w:name="_Toc472604585"/>
      <w:r>
        <w:rPr>
          <w:rStyle w:val="CharSectno"/>
        </w:rPr>
        <w:t>16</w:t>
      </w:r>
      <w:r>
        <w:rPr>
          <w:snapToGrid w:val="0"/>
        </w:rPr>
        <w:t>.</w:t>
      </w:r>
      <w:r>
        <w:rPr>
          <w:snapToGrid w:val="0"/>
        </w:rPr>
        <w:tab/>
        <w:t>Workers employed on some ships</w:t>
      </w:r>
      <w:bookmarkEnd w:id="22"/>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w:t>
      </w:r>
      <w:smartTag w:uri="urn:schemas-microsoft-com:office:smarttags" w:element="place">
        <w:smartTag w:uri="urn:schemas-microsoft-com:office:smarttags" w:element="country-region">
          <w:r>
            <w:rPr>
              <w:snapToGrid w:val="0"/>
            </w:rPr>
            <w:t>United Kingdom</w:t>
          </w:r>
        </w:smartTag>
      </w:smartTag>
      <w:r>
        <w:rPr>
          <w:snapToGrid w:val="0"/>
        </w:rPr>
        <w:t>,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by No. 44 of 1985 s. 8; No. 36 of 2004 s. 6 and 16; No. 42 of 2004 s. 147 and 148(3).]</w:t>
      </w:r>
    </w:p>
    <w:p>
      <w:pPr>
        <w:pStyle w:val="Heading5"/>
        <w:rPr>
          <w:snapToGrid w:val="0"/>
        </w:rPr>
      </w:pPr>
      <w:bookmarkStart w:id="23" w:name="_Toc472604586"/>
      <w:r>
        <w:rPr>
          <w:rStyle w:val="CharSectno"/>
        </w:rPr>
        <w:t>17</w:t>
      </w:r>
      <w:r>
        <w:rPr>
          <w:snapToGrid w:val="0"/>
        </w:rPr>
        <w:t>.</w:t>
      </w:r>
      <w:r>
        <w:rPr>
          <w:snapToGrid w:val="0"/>
        </w:rPr>
        <w:tab/>
        <w:t>Crew of fishing vessel</w:t>
      </w:r>
      <w:bookmarkEnd w:id="23"/>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4" w:name="_Toc472604587"/>
      <w:r>
        <w:rPr>
          <w:rStyle w:val="CharPartNo"/>
        </w:rPr>
        <w:t>Part III</w:t>
      </w:r>
      <w:r>
        <w:t> — </w:t>
      </w:r>
      <w:r>
        <w:rPr>
          <w:rStyle w:val="CharPartText"/>
        </w:rPr>
        <w:t>Compensation</w:t>
      </w:r>
      <w:bookmarkEnd w:id="24"/>
    </w:p>
    <w:p>
      <w:pPr>
        <w:pStyle w:val="Heading3"/>
      </w:pPr>
      <w:bookmarkStart w:id="25" w:name="_Toc472604588"/>
      <w:r>
        <w:rPr>
          <w:rStyle w:val="CharDivNo"/>
        </w:rPr>
        <w:t>Division 1</w:t>
      </w:r>
      <w:r>
        <w:t> — </w:t>
      </w:r>
      <w:r>
        <w:rPr>
          <w:rStyle w:val="CharDivText"/>
        </w:rPr>
        <w:t>Injury: general</w:t>
      </w:r>
      <w:bookmarkEnd w:id="25"/>
    </w:p>
    <w:p>
      <w:pPr>
        <w:pStyle w:val="Footnoteheading"/>
      </w:pPr>
      <w:r>
        <w:tab/>
        <w:t>[Heading inserted by No. 42 of 2004 s. 12.]</w:t>
      </w:r>
    </w:p>
    <w:p>
      <w:pPr>
        <w:pStyle w:val="Heading5"/>
        <w:rPr>
          <w:snapToGrid w:val="0"/>
        </w:rPr>
      </w:pPr>
      <w:bookmarkStart w:id="26" w:name="_Toc472604589"/>
      <w:r>
        <w:rPr>
          <w:rStyle w:val="CharSectno"/>
        </w:rPr>
        <w:t>18</w:t>
      </w:r>
      <w:r>
        <w:rPr>
          <w:snapToGrid w:val="0"/>
        </w:rPr>
        <w:t>.</w:t>
      </w:r>
      <w:r>
        <w:rPr>
          <w:snapToGrid w:val="0"/>
        </w:rPr>
        <w:tab/>
        <w:t>Employers liable to compensate workers for injuries</w:t>
      </w:r>
      <w:bookmarkEnd w:id="26"/>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r>
        <w:tab/>
        <w:t>[Section 18 amended by No. 42 of 2004 s. 146.]</w:t>
      </w:r>
    </w:p>
    <w:p>
      <w:pPr>
        <w:pStyle w:val="Heading5"/>
        <w:rPr>
          <w:snapToGrid w:val="0"/>
        </w:rPr>
      </w:pPr>
      <w:bookmarkStart w:id="27" w:name="_Toc472604590"/>
      <w:r>
        <w:rPr>
          <w:rStyle w:val="CharSectno"/>
        </w:rPr>
        <w:t>19</w:t>
      </w:r>
      <w:r>
        <w:rPr>
          <w:snapToGrid w:val="0"/>
        </w:rPr>
        <w:t>.</w:t>
      </w:r>
      <w:r>
        <w:rPr>
          <w:snapToGrid w:val="0"/>
        </w:rPr>
        <w:tab/>
        <w:t>Personal injury by accident arising out of or in course of employment, meaning of</w:t>
      </w:r>
      <w:bookmarkEnd w:id="27"/>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by No. 48 of 1993 s. 30.]</w:t>
      </w:r>
    </w:p>
    <w:p>
      <w:pPr>
        <w:pStyle w:val="Heading5"/>
      </w:pPr>
      <w:bookmarkStart w:id="28" w:name="_Toc472604591"/>
      <w:r>
        <w:rPr>
          <w:rStyle w:val="CharSectno"/>
        </w:rPr>
        <w:t>20</w:t>
      </w:r>
      <w:r>
        <w:t>.</w:t>
      </w:r>
      <w:r>
        <w:tab/>
        <w:t>Compensation not payable unless worker’s employment connected with WA</w:t>
      </w:r>
      <w:bookmarkEnd w:id="28"/>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 xml:space="preserve">if no State or no one State is identified by paragraph (a) or (b), the State in which the employer’s principal place of business in </w:t>
      </w:r>
      <w:smartTag w:uri="urn:schemas-microsoft-com:office:smarttags" w:element="place">
        <w:smartTag w:uri="urn:schemas-microsoft-com:office:smarttags" w:element="country-region">
          <w:r>
            <w:t>Australia</w:t>
          </w:r>
        </w:smartTag>
      </w:smartTag>
      <w:r>
        <w:t xml:space="preserve">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 xml:space="preserve">there is no place outside </w:t>
      </w:r>
      <w:smartTag w:uri="urn:schemas-microsoft-com:office:smarttags" w:element="place">
        <w:smartTag w:uri="urn:schemas-microsoft-com:office:smarttags" w:element="country-region">
          <w:r>
            <w:t>Australia</w:t>
          </w:r>
        </w:smartTag>
      </w:smartTag>
      <w:r>
        <w:t xml:space="preserve">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29" w:name="_Toc472604592"/>
      <w:r>
        <w:rPr>
          <w:rStyle w:val="CharSectno"/>
        </w:rPr>
        <w:t>21</w:t>
      </w:r>
      <w:r>
        <w:rPr>
          <w:snapToGrid w:val="0"/>
        </w:rPr>
        <w:t>.</w:t>
      </w:r>
      <w:r>
        <w:rPr>
          <w:snapToGrid w:val="0"/>
        </w:rPr>
        <w:tab/>
        <w:t>Compensation payable from date of incapacity</w:t>
      </w:r>
      <w:bookmarkEnd w:id="29"/>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0" w:name="_Toc472604593"/>
      <w:r>
        <w:rPr>
          <w:rStyle w:val="CharSectno"/>
        </w:rPr>
        <w:t>22</w:t>
      </w:r>
      <w:r>
        <w:rPr>
          <w:snapToGrid w:val="0"/>
        </w:rPr>
        <w:t>.</w:t>
      </w:r>
      <w:r>
        <w:rPr>
          <w:snapToGrid w:val="0"/>
        </w:rPr>
        <w:tab/>
        <w:t>Serious and wilful misconduct by worker, effect of</w:t>
      </w:r>
      <w:bookmarkEnd w:id="30"/>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1" w:name="_Toc472604594"/>
      <w:r>
        <w:rPr>
          <w:rStyle w:val="CharSectno"/>
        </w:rPr>
        <w:t>23</w:t>
      </w:r>
      <w:r>
        <w:t>.</w:t>
      </w:r>
      <w:r>
        <w:tab/>
        <w:t>Person not to be compensated twice</w:t>
      </w:r>
      <w:bookmarkEnd w:id="31"/>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2" w:name="_Toc472604595"/>
      <w:r>
        <w:rPr>
          <w:rStyle w:val="CharDivNo"/>
        </w:rPr>
        <w:t>Division 1a</w:t>
      </w:r>
      <w:r>
        <w:t> — </w:t>
      </w:r>
      <w:r>
        <w:rPr>
          <w:rStyle w:val="CharDivText"/>
        </w:rPr>
        <w:t>Determination by courts and recognition of determination</w:t>
      </w:r>
      <w:bookmarkEnd w:id="32"/>
    </w:p>
    <w:p>
      <w:pPr>
        <w:pStyle w:val="Footnoteheading"/>
        <w:tabs>
          <w:tab w:val="left" w:pos="851"/>
        </w:tabs>
        <w:spacing w:before="100"/>
      </w:pPr>
      <w:r>
        <w:tab/>
        <w:t>[Heading inserted by No. 36 of 2004 s. 9.]</w:t>
      </w:r>
    </w:p>
    <w:p>
      <w:pPr>
        <w:pStyle w:val="Heading5"/>
      </w:pPr>
      <w:bookmarkStart w:id="33" w:name="_Toc472604596"/>
      <w:r>
        <w:rPr>
          <w:rStyle w:val="CharSectno"/>
        </w:rPr>
        <w:t>23A</w:t>
      </w:r>
      <w:r>
        <w:t>.</w:t>
      </w:r>
      <w:r>
        <w:tab/>
        <w:t>Term used: court</w:t>
      </w:r>
      <w:bookmarkEnd w:id="33"/>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by No. 36 of 2004 s. 9.]</w:t>
      </w:r>
    </w:p>
    <w:p>
      <w:pPr>
        <w:pStyle w:val="Heading5"/>
      </w:pPr>
      <w:bookmarkStart w:id="34" w:name="_Toc472604597"/>
      <w:r>
        <w:rPr>
          <w:rStyle w:val="CharSectno"/>
        </w:rPr>
        <w:t>23B</w:t>
      </w:r>
      <w:r>
        <w:t>.</w:t>
      </w:r>
      <w:r>
        <w:tab/>
        <w:t>Determining if WA is connected with worker’s employment</w:t>
      </w:r>
      <w:bookmarkEnd w:id="34"/>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35" w:name="_Toc472604598"/>
      <w:r>
        <w:rPr>
          <w:rStyle w:val="CharSectno"/>
        </w:rPr>
        <w:t>23C</w:t>
      </w:r>
      <w:r>
        <w:t>.</w:t>
      </w:r>
      <w:r>
        <w:tab/>
        <w:t>Application to District Court to determine which State is connected with worker’s employment</w:t>
      </w:r>
      <w:bookmarkEnd w:id="35"/>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36" w:name="_Toc472604599"/>
      <w:r>
        <w:rPr>
          <w:rStyle w:val="CharSectno"/>
        </w:rPr>
        <w:t>23D</w:t>
      </w:r>
      <w:r>
        <w:t>.</w:t>
      </w:r>
      <w:r>
        <w:tab/>
        <w:t>Recognition of previous determinations</w:t>
      </w:r>
      <w:bookmarkEnd w:id="36"/>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37" w:name="_Toc472604600"/>
      <w:r>
        <w:rPr>
          <w:rStyle w:val="CharSectno"/>
        </w:rPr>
        <w:t>23E</w:t>
      </w:r>
      <w:r>
        <w:t>.</w:t>
      </w:r>
      <w:r>
        <w:tab/>
        <w:t>Determination may be made by consent</w:t>
      </w:r>
      <w:bookmarkEnd w:id="37"/>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38" w:name="_Toc472604601"/>
      <w:r>
        <w:rPr>
          <w:rStyle w:val="CharDivNo"/>
        </w:rPr>
        <w:t>Division 2</w:t>
      </w:r>
      <w:r>
        <w:t> — </w:t>
      </w:r>
      <w:r>
        <w:rPr>
          <w:rStyle w:val="CharDivText"/>
        </w:rPr>
        <w:t>Discontinued regime for lump sum payments for specified injuries</w:t>
      </w:r>
      <w:bookmarkEnd w:id="38"/>
    </w:p>
    <w:p>
      <w:pPr>
        <w:pStyle w:val="Footnoteheading"/>
      </w:pPr>
      <w:r>
        <w:tab/>
        <w:t>[Heading inserted by No. 42 of 2004 s. 14.]</w:t>
      </w:r>
    </w:p>
    <w:p>
      <w:pPr>
        <w:pStyle w:val="Heading5"/>
        <w:spacing w:before="180"/>
        <w:rPr>
          <w:snapToGrid w:val="0"/>
        </w:rPr>
      </w:pPr>
      <w:bookmarkStart w:id="39" w:name="_Toc472604602"/>
      <w:r>
        <w:rPr>
          <w:rStyle w:val="CharSectno"/>
        </w:rPr>
        <w:t>24</w:t>
      </w:r>
      <w:r>
        <w:rPr>
          <w:snapToGrid w:val="0"/>
        </w:rPr>
        <w:t>.</w:t>
      </w:r>
      <w:r>
        <w:rPr>
          <w:snapToGrid w:val="0"/>
        </w:rPr>
        <w:tab/>
        <w:t>Injuries in Sch. 2 occurring before 14 Nov 2005, worker may elect to get lump sum for</w:t>
      </w:r>
      <w:bookmarkEnd w:id="39"/>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by No. 44 of 1985 s. 9; No. 36 of 1988 s. 5; No. 42 of 2004 s. 15.]</w:t>
      </w:r>
    </w:p>
    <w:p>
      <w:pPr>
        <w:pStyle w:val="Heading5"/>
        <w:spacing w:before="180"/>
        <w:rPr>
          <w:snapToGrid w:val="0"/>
        </w:rPr>
      </w:pPr>
      <w:bookmarkStart w:id="40" w:name="_Toc472604603"/>
      <w:r>
        <w:rPr>
          <w:rStyle w:val="CharSectno"/>
        </w:rPr>
        <w:t>24A</w:t>
      </w:r>
      <w:r>
        <w:rPr>
          <w:snapToGrid w:val="0"/>
        </w:rPr>
        <w:t>.</w:t>
      </w:r>
      <w:r>
        <w:rPr>
          <w:snapToGrid w:val="0"/>
        </w:rPr>
        <w:tab/>
        <w:t>Noise induced hearing loss, worker may elect to get lump sum for in some cases</w:t>
      </w:r>
      <w:bookmarkEnd w:id="40"/>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r>
        <w:rPr>
          <w:vertAlign w:val="superscript"/>
        </w:rPr>
        <w:t> 1</w:t>
      </w:r>
      <w:r>
        <w:t>.</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by No. 36 of 1988 s. 6; amended by No. 42 of 2004 s. 16; No. 31 of 2011 s. 82.]</w:t>
      </w:r>
    </w:p>
    <w:p>
      <w:pPr>
        <w:pStyle w:val="Heading5"/>
        <w:spacing w:before="240"/>
        <w:rPr>
          <w:snapToGrid w:val="0"/>
        </w:rPr>
      </w:pPr>
      <w:bookmarkStart w:id="41" w:name="_Toc472604604"/>
      <w:r>
        <w:rPr>
          <w:rStyle w:val="CharSectno"/>
        </w:rPr>
        <w:t>24B</w:t>
      </w:r>
      <w:r>
        <w:rPr>
          <w:snapToGrid w:val="0"/>
        </w:rPr>
        <w:t>.</w:t>
      </w:r>
      <w:r>
        <w:rPr>
          <w:snapToGrid w:val="0"/>
        </w:rPr>
        <w:tab/>
        <w:t>Election under s. 24 or 24A</w:t>
      </w:r>
      <w:bookmarkEnd w:id="41"/>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by No. 36 of 1988 s. 6; amended by No. 48 of 1993 s. 28(1); No. 34 of 1999 s. 8; No. 42 of 2004 s. 17 and 149.]</w:t>
      </w:r>
    </w:p>
    <w:p>
      <w:pPr>
        <w:pStyle w:val="Heading5"/>
        <w:rPr>
          <w:snapToGrid w:val="0"/>
        </w:rPr>
      </w:pPr>
      <w:bookmarkStart w:id="42" w:name="_Toc472604605"/>
      <w:r>
        <w:rPr>
          <w:rStyle w:val="CharSectno"/>
        </w:rPr>
        <w:t>25</w:t>
      </w:r>
      <w:r>
        <w:rPr>
          <w:snapToGrid w:val="0"/>
        </w:rPr>
        <w:t>.</w:t>
      </w:r>
      <w:r>
        <w:rPr>
          <w:snapToGrid w:val="0"/>
        </w:rPr>
        <w:tab/>
        <w:t>Term used: loss of</w:t>
      </w:r>
      <w:bookmarkEnd w:id="42"/>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3" w:name="_Toc472604606"/>
      <w:r>
        <w:rPr>
          <w:rStyle w:val="CharSectno"/>
        </w:rPr>
        <w:t>26</w:t>
      </w:r>
      <w:r>
        <w:rPr>
          <w:snapToGrid w:val="0"/>
        </w:rPr>
        <w:t>.</w:t>
      </w:r>
      <w:r>
        <w:rPr>
          <w:snapToGrid w:val="0"/>
        </w:rP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43"/>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by No. 42 of 2004 s. 18; No. 19 of 2010 s. 51.]</w:t>
      </w:r>
    </w:p>
    <w:p>
      <w:pPr>
        <w:pStyle w:val="Heading5"/>
        <w:keepNext w:val="0"/>
        <w:rPr>
          <w:snapToGrid w:val="0"/>
        </w:rPr>
      </w:pPr>
      <w:bookmarkStart w:id="44" w:name="_Toc472604607"/>
      <w:r>
        <w:rPr>
          <w:rStyle w:val="CharSectno"/>
        </w:rPr>
        <w:t>27</w:t>
      </w:r>
      <w:r>
        <w:rPr>
          <w:snapToGrid w:val="0"/>
        </w:rPr>
        <w:t>.</w:t>
      </w:r>
      <w:r>
        <w:rPr>
          <w:snapToGrid w:val="0"/>
        </w:rPr>
        <w:tab/>
        <w:t>Compensation decisions etc. made before 18 May 1978, on basis of Sch. 2, effect of</w:t>
      </w:r>
      <w:bookmarkEnd w:id="44"/>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by No. 48 of 1993 s. 28(1); No. 34 of 1999 s. 9; No. 47 of 2011 s. 27.]</w:t>
      </w:r>
    </w:p>
    <w:p>
      <w:pPr>
        <w:pStyle w:val="Heading5"/>
        <w:rPr>
          <w:snapToGrid w:val="0"/>
        </w:rPr>
      </w:pPr>
      <w:bookmarkStart w:id="45" w:name="_Toc472604608"/>
      <w:r>
        <w:rPr>
          <w:rStyle w:val="CharSectno"/>
        </w:rPr>
        <w:t>28</w:t>
      </w:r>
      <w:r>
        <w:rPr>
          <w:snapToGrid w:val="0"/>
        </w:rPr>
        <w:t>.</w:t>
      </w:r>
      <w:r>
        <w:rPr>
          <w:snapToGrid w:val="0"/>
        </w:rPr>
        <w:tab/>
        <w:t>Limit on compensation for worker electing under s. 24B</w:t>
      </w:r>
      <w:bookmarkEnd w:id="45"/>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by No. 44 of 1985 s. 13; No. 36 of 1988 s. 7; No. 48 of 1993 s. 28(1); No. 42 of 2004 s. 19 and 149.]</w:t>
      </w:r>
    </w:p>
    <w:p>
      <w:pPr>
        <w:pStyle w:val="Heading5"/>
        <w:rPr>
          <w:snapToGrid w:val="0"/>
        </w:rPr>
      </w:pPr>
      <w:bookmarkStart w:id="46" w:name="_Toc472604609"/>
      <w:r>
        <w:rPr>
          <w:rStyle w:val="CharSectno"/>
        </w:rPr>
        <w:t>29</w:t>
      </w:r>
      <w:r>
        <w:rPr>
          <w:snapToGrid w:val="0"/>
        </w:rPr>
        <w:t>.</w:t>
      </w:r>
      <w:r>
        <w:rPr>
          <w:snapToGrid w:val="0"/>
        </w:rPr>
        <w:tab/>
        <w:t>Effect of s. 24 and 24A on compensation for incapacity</w:t>
      </w:r>
      <w:bookmarkEnd w:id="46"/>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by No. 44 of 1985 s. 14; No. 36 of 1988 s. 8; No. 48 of 1993 s. 28(1); No. 42 of 2004 s. 149.]</w:t>
      </w:r>
    </w:p>
    <w:p>
      <w:pPr>
        <w:pStyle w:val="Heading5"/>
        <w:rPr>
          <w:snapToGrid w:val="0"/>
        </w:rPr>
      </w:pPr>
      <w:bookmarkStart w:id="47" w:name="_Toc472604610"/>
      <w:r>
        <w:rPr>
          <w:rStyle w:val="CharSectno"/>
        </w:rPr>
        <w:t>30</w:t>
      </w:r>
      <w:r>
        <w:rPr>
          <w:snapToGrid w:val="0"/>
        </w:rPr>
        <w:t>.</w:t>
      </w:r>
      <w:r>
        <w:rPr>
          <w:snapToGrid w:val="0"/>
        </w:rPr>
        <w:tab/>
        <w:t>Compensation payable before election under s. 24B</w:t>
      </w:r>
      <w:bookmarkEnd w:id="47"/>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by No. 44 of 1985 s. 15; No. 36 of 1988 s. 9; No. 48 of 1993 s. 28(1); No. 42 of 2004 s. 149.]</w:t>
      </w:r>
    </w:p>
    <w:p>
      <w:pPr>
        <w:pStyle w:val="Heading5"/>
        <w:rPr>
          <w:snapToGrid w:val="0"/>
        </w:rPr>
      </w:pPr>
      <w:bookmarkStart w:id="48" w:name="_Toc472604611"/>
      <w:r>
        <w:rPr>
          <w:rStyle w:val="CharSectno"/>
        </w:rPr>
        <w:t>31</w:t>
      </w:r>
      <w:r>
        <w:rPr>
          <w:snapToGrid w:val="0"/>
        </w:rPr>
        <w:t>.</w:t>
      </w:r>
      <w:r>
        <w:rPr>
          <w:snapToGrid w:val="0"/>
        </w:rPr>
        <w:tab/>
        <w:t>Sch. 2 Part 1, interpretation of</w:t>
      </w:r>
      <w:bookmarkEnd w:id="48"/>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spacing w:before="800"/>
      </w:pPr>
      <w:bookmarkStart w:id="49" w:name="_Toc472604612"/>
      <w:r>
        <w:rPr>
          <w:rStyle w:val="CharDivNo"/>
        </w:rPr>
        <w:t>Division 2A</w:t>
      </w:r>
      <w:r>
        <w:t> — </w:t>
      </w:r>
      <w:r>
        <w:rPr>
          <w:rStyle w:val="CharDivText"/>
        </w:rPr>
        <w:t>New regime for lump sum payments for specified injuries</w:t>
      </w:r>
      <w:bookmarkEnd w:id="49"/>
    </w:p>
    <w:p>
      <w:pPr>
        <w:pStyle w:val="Footnoteheading"/>
      </w:pPr>
      <w:r>
        <w:tab/>
        <w:t>[Heading inserted by No. 42 of 2004 s. 21.]</w:t>
      </w:r>
    </w:p>
    <w:p>
      <w:pPr>
        <w:pStyle w:val="Heading5"/>
      </w:pPr>
      <w:bookmarkStart w:id="50" w:name="_Toc472604613"/>
      <w:r>
        <w:rPr>
          <w:rStyle w:val="CharSectno"/>
        </w:rPr>
        <w:t>31A</w:t>
      </w:r>
      <w:r>
        <w:t>.</w:t>
      </w:r>
      <w:r>
        <w:tab/>
        <w:t>Application of Division</w:t>
      </w:r>
      <w:bookmarkEnd w:id="50"/>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by No. 42 of 2004 s. 21.]</w:t>
      </w:r>
    </w:p>
    <w:p>
      <w:pPr>
        <w:pStyle w:val="Heading5"/>
      </w:pPr>
      <w:bookmarkStart w:id="51" w:name="_Toc472604614"/>
      <w:r>
        <w:rPr>
          <w:rStyle w:val="CharSectno"/>
        </w:rPr>
        <w:t>31B</w:t>
      </w:r>
      <w:r>
        <w:t>.</w:t>
      </w:r>
      <w:r>
        <w:tab/>
        <w:t>Term used: degree of permanent impairment</w:t>
      </w:r>
      <w:bookmarkEnd w:id="51"/>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by No. 42 of 2004 s. 21.]</w:t>
      </w:r>
    </w:p>
    <w:p>
      <w:pPr>
        <w:pStyle w:val="Heading5"/>
      </w:pPr>
      <w:bookmarkStart w:id="52" w:name="_Toc472604615"/>
      <w:r>
        <w:rPr>
          <w:rStyle w:val="CharSectno"/>
        </w:rPr>
        <w:t>31C</w:t>
      </w:r>
      <w:r>
        <w:t>.</w:t>
      </w:r>
      <w:r>
        <w:tab/>
        <w:t>Permanent impairments in Sch. 2, worker may elect to get lump sum for</w:t>
      </w:r>
      <w:bookmarkEnd w:id="52"/>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by No. 42 of 2004 s. 21.]</w:t>
      </w:r>
    </w:p>
    <w:p>
      <w:pPr>
        <w:pStyle w:val="Heading5"/>
        <w:spacing w:before="180"/>
      </w:pPr>
      <w:bookmarkStart w:id="53" w:name="_Toc472604616"/>
      <w:r>
        <w:rPr>
          <w:rStyle w:val="CharSectno"/>
        </w:rPr>
        <w:t>31D</w:t>
      </w:r>
      <w:r>
        <w:t>.</w:t>
      </w:r>
      <w:r>
        <w:tab/>
        <w:t>Permanent impairments in Sch. 2, assessment of degree of</w:t>
      </w:r>
      <w:bookmarkEnd w:id="53"/>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by No. 42 of 2004 s. 21.]</w:t>
      </w:r>
    </w:p>
    <w:p>
      <w:pPr>
        <w:pStyle w:val="Heading5"/>
      </w:pPr>
      <w:bookmarkStart w:id="54" w:name="_Toc472604617"/>
      <w:r>
        <w:rPr>
          <w:rStyle w:val="CharSectno"/>
        </w:rPr>
        <w:t>31E</w:t>
      </w:r>
      <w:r>
        <w:t>.</w:t>
      </w:r>
      <w:r>
        <w:tab/>
        <w:t>Noise induced hearing loss, worker may elect to get lump sum for in some cases</w:t>
      </w:r>
      <w:bookmarkEnd w:id="54"/>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r>
        <w:rPr>
          <w:vertAlign w:val="superscript"/>
        </w:rPr>
        <w:t> 1</w:t>
      </w:r>
      <w:r>
        <w:t>.</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by No. 42 of 2004 s. 21; amended by No. 31 of 2011 s. 83.]</w:t>
      </w:r>
    </w:p>
    <w:p>
      <w:pPr>
        <w:pStyle w:val="Heading5"/>
      </w:pPr>
      <w:bookmarkStart w:id="55" w:name="_Toc472604618"/>
      <w:r>
        <w:rPr>
          <w:rStyle w:val="CharSectno"/>
        </w:rPr>
        <w:t>31F</w:t>
      </w:r>
      <w:r>
        <w:t>.</w:t>
      </w:r>
      <w:r>
        <w:tab/>
        <w:t>AIDS, compensation for</w:t>
      </w:r>
      <w:bookmarkEnd w:id="55"/>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r>
        <w:tab/>
        <w:t>[Section 31F inserted by No. 42 of 2004 s. 21.]</w:t>
      </w:r>
    </w:p>
    <w:p>
      <w:pPr>
        <w:pStyle w:val="Heading5"/>
        <w:spacing w:before="240"/>
      </w:pPr>
      <w:bookmarkStart w:id="56" w:name="_Toc472604619"/>
      <w:r>
        <w:rPr>
          <w:rStyle w:val="CharSectno"/>
        </w:rPr>
        <w:t>31G</w:t>
      </w:r>
      <w:r>
        <w:t>.</w:t>
      </w:r>
      <w:r>
        <w:tab/>
      </w:r>
      <w:smartTag w:uri="urn:schemas-microsoft-com:office:smarttags" w:element="City">
        <w:smartTag w:uri="urn:schemas-microsoft-com:office:smarttags" w:element="place">
          <w:r>
            <w:rPr>
              <w:snapToGrid w:val="0"/>
            </w:rPr>
            <w:t>Furth</w:t>
          </w:r>
        </w:smartTag>
      </w:smartTag>
      <w:r>
        <w:rPr>
          <w:snapToGrid w:val="0"/>
        </w:rPr>
        <w:t>er loss of use of part or faculty of body due to subsequent injury, compensation for</w:t>
      </w:r>
      <w:bookmarkEnd w:id="56"/>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by No. 42 of 2004 s. 21.]</w:t>
      </w:r>
    </w:p>
    <w:p>
      <w:pPr>
        <w:pStyle w:val="Heading5"/>
      </w:pPr>
      <w:bookmarkStart w:id="57" w:name="_Toc472604620"/>
      <w:r>
        <w:rPr>
          <w:rStyle w:val="CharSectno"/>
        </w:rPr>
        <w:t>31H</w:t>
      </w:r>
      <w:r>
        <w:t>.</w:t>
      </w:r>
      <w:r>
        <w:tab/>
        <w:t>Election under s. 31C or 31E</w:t>
      </w:r>
      <w:bookmarkEnd w:id="57"/>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by No. 42 of 2004 s. 21; amended by No. 16 of 2005 s. 16.]</w:t>
      </w:r>
    </w:p>
    <w:p>
      <w:pPr>
        <w:pStyle w:val="Heading5"/>
      </w:pPr>
      <w:bookmarkStart w:id="58" w:name="_Toc472604621"/>
      <w:r>
        <w:rPr>
          <w:rStyle w:val="CharSectno"/>
        </w:rPr>
        <w:t>31I</w:t>
      </w:r>
      <w:r>
        <w:t>.</w:t>
      </w:r>
      <w:r>
        <w:tab/>
        <w:t>Effect of election under s. 31H</w:t>
      </w:r>
      <w:bookmarkEnd w:id="58"/>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by No. 42 of 2004 s. 21.]</w:t>
      </w:r>
    </w:p>
    <w:p>
      <w:pPr>
        <w:pStyle w:val="Heading5"/>
      </w:pPr>
      <w:bookmarkStart w:id="59" w:name="_Toc472604622"/>
      <w:r>
        <w:rPr>
          <w:rStyle w:val="CharSectno"/>
        </w:rPr>
        <w:t>31J</w:t>
      </w:r>
      <w:r>
        <w:t>.</w:t>
      </w:r>
      <w:r>
        <w:tab/>
        <w:t>Limit on compensation for worker electing under s. 31H</w:t>
      </w:r>
      <w:bookmarkEnd w:id="59"/>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by No. 42 of 2004 s. 21.]</w:t>
      </w:r>
    </w:p>
    <w:p>
      <w:pPr>
        <w:pStyle w:val="Heading5"/>
      </w:pPr>
      <w:bookmarkStart w:id="60" w:name="_Toc472604623"/>
      <w:r>
        <w:rPr>
          <w:rStyle w:val="CharSectno"/>
        </w:rPr>
        <w:t>31K</w:t>
      </w:r>
      <w:r>
        <w:t>.</w:t>
      </w:r>
      <w:r>
        <w:tab/>
        <w:t>Compensation payable before election under s. 31H</w:t>
      </w:r>
      <w:bookmarkEnd w:id="60"/>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pPr>
      <w:bookmarkStart w:id="61" w:name="_Toc472604624"/>
      <w:r>
        <w:rPr>
          <w:rStyle w:val="CharDivNo"/>
        </w:rPr>
        <w:t>Division 3</w:t>
      </w:r>
      <w:r>
        <w:t> — </w:t>
      </w:r>
      <w:r>
        <w:rPr>
          <w:rStyle w:val="CharDivText"/>
        </w:rPr>
        <w:t>Injury: specified industrial diseases</w:t>
      </w:r>
      <w:bookmarkEnd w:id="61"/>
    </w:p>
    <w:p>
      <w:pPr>
        <w:pStyle w:val="Footnoteheading"/>
        <w:keepNext/>
        <w:keepLines/>
      </w:pPr>
      <w:r>
        <w:tab/>
        <w:t>[Heading inserted by No. 42 of 2004 s. 22.]</w:t>
      </w:r>
    </w:p>
    <w:p>
      <w:pPr>
        <w:pStyle w:val="Heading5"/>
        <w:rPr>
          <w:snapToGrid w:val="0"/>
        </w:rPr>
      </w:pPr>
      <w:bookmarkStart w:id="62" w:name="_Toc472604625"/>
      <w:r>
        <w:rPr>
          <w:rStyle w:val="CharSectno"/>
        </w:rPr>
        <w:t>32</w:t>
      </w:r>
      <w:r>
        <w:rPr>
          <w:snapToGrid w:val="0"/>
        </w:rPr>
        <w:t>.</w:t>
      </w:r>
      <w:r>
        <w:rPr>
          <w:snapToGrid w:val="0"/>
        </w:rPr>
        <w:tab/>
        <w:t>Some industrial diseases in Sch. 3, compensation for</w:t>
      </w:r>
      <w:bookmarkEnd w:id="62"/>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 No. 31 of 2011 s. 84.]</w:t>
      </w:r>
    </w:p>
    <w:p>
      <w:pPr>
        <w:pStyle w:val="Heading5"/>
        <w:rPr>
          <w:snapToGrid w:val="0"/>
        </w:rPr>
      </w:pPr>
      <w:bookmarkStart w:id="63" w:name="_Toc472604626"/>
      <w:r>
        <w:rPr>
          <w:rStyle w:val="CharSectno"/>
        </w:rPr>
        <w:t>33</w:t>
      </w:r>
      <w:r>
        <w:rPr>
          <w:snapToGrid w:val="0"/>
        </w:rPr>
        <w:t>.</w:t>
      </w:r>
      <w:r>
        <w:rPr>
          <w:snapToGrid w:val="0"/>
        </w:rPr>
        <w:tab/>
      </w:r>
      <w:r>
        <w:rPr>
          <w:bCs/>
        </w:rPr>
        <w:t>Pneumoconiosis, mesothelioma, lung cancer or diffuse pleural fibrosis</w:t>
      </w:r>
      <w:bookmarkEnd w:id="63"/>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by No. 48 of 1993 s. 28(1); No. 42 of 2004 s. 24, 146, 147 and 149; No. 31 of 2011 s. 85.]</w:t>
      </w:r>
    </w:p>
    <w:p>
      <w:pPr>
        <w:pStyle w:val="Heading5"/>
        <w:rPr>
          <w:snapToGrid w:val="0"/>
        </w:rPr>
      </w:pPr>
      <w:bookmarkStart w:id="64" w:name="_Toc472604627"/>
      <w:r>
        <w:rPr>
          <w:rStyle w:val="CharSectno"/>
        </w:rPr>
        <w:t>34</w:t>
      </w:r>
      <w:r>
        <w:rPr>
          <w:snapToGrid w:val="0"/>
        </w:rPr>
        <w:t>.</w:t>
      </w:r>
      <w:r>
        <w:rPr>
          <w:snapToGrid w:val="0"/>
        </w:rPr>
        <w:tab/>
        <w:t>Chronic bronchitis and pneumoconiosis, limit on compensation for</w:t>
      </w:r>
      <w:bookmarkEnd w:id="64"/>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rPr>
          <w:snapToGrid w:val="0"/>
        </w:rPr>
      </w:pPr>
      <w:bookmarkStart w:id="65" w:name="_Toc472604628"/>
      <w:r>
        <w:rPr>
          <w:rStyle w:val="CharSectno"/>
        </w:rPr>
        <w:t>35</w:t>
      </w:r>
      <w:r>
        <w:rPr>
          <w:snapToGrid w:val="0"/>
        </w:rPr>
        <w:t>.</w:t>
      </w:r>
      <w:r>
        <w:rPr>
          <w:snapToGrid w:val="0"/>
        </w:rPr>
        <w:tab/>
        <w:t>Lung cancer and asbestosis, limit on compensation for</w:t>
      </w:r>
      <w:bookmarkEnd w:id="65"/>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rPr>
          <w:snapToGrid w:val="0"/>
        </w:rPr>
      </w:pPr>
      <w:bookmarkStart w:id="66" w:name="_Toc472604629"/>
      <w:r>
        <w:rPr>
          <w:rStyle w:val="CharSectno"/>
        </w:rPr>
        <w:t>36</w:t>
      </w:r>
      <w:r>
        <w:rPr>
          <w:snapToGrid w:val="0"/>
        </w:rPr>
        <w:t>.</w:t>
      </w:r>
      <w:r>
        <w:rPr>
          <w:snapToGrid w:val="0"/>
        </w:rPr>
        <w:tab/>
        <w:t>Claim under s. 33 or 34, referring worker to medical panel</w:t>
      </w:r>
      <w:bookmarkEnd w:id="66"/>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by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67" w:name="_Toc472604630"/>
      <w:r>
        <w:rPr>
          <w:rStyle w:val="CharSectno"/>
        </w:rPr>
        <w:t>37</w:t>
      </w:r>
      <w:r>
        <w:rPr>
          <w:snapToGrid w:val="0"/>
        </w:rPr>
        <w:t>.</w:t>
      </w:r>
      <w:r>
        <w:rPr>
          <w:snapToGrid w:val="0"/>
        </w:rPr>
        <w:tab/>
        <w:t>Oral submission to medical panel by medical practitioner</w:t>
      </w:r>
      <w:bookmarkEnd w:id="67"/>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by No. 86 of 1986 s. 5; No. 30 of 1993 s. 13; No. 48 of 1993 s. 28(1); No. 49 of 1996 s. 64; No. 42 of 2004 s. 27 and 152; No. 77 of 2006 Sch. 1 cl. 189(9).]</w:t>
      </w:r>
    </w:p>
    <w:p>
      <w:pPr>
        <w:pStyle w:val="Heading5"/>
        <w:rPr>
          <w:snapToGrid w:val="0"/>
        </w:rPr>
      </w:pPr>
      <w:bookmarkStart w:id="68" w:name="_Toc472604631"/>
      <w:r>
        <w:rPr>
          <w:rStyle w:val="CharSectno"/>
        </w:rPr>
        <w:t>38</w:t>
      </w:r>
      <w:r>
        <w:rPr>
          <w:snapToGrid w:val="0"/>
        </w:rPr>
        <w:t>.</w:t>
      </w:r>
      <w:r>
        <w:rPr>
          <w:snapToGrid w:val="0"/>
        </w:rPr>
        <w:tab/>
        <w:t>Questions to be determined by medical panel</w:t>
      </w:r>
      <w:bookmarkEnd w:id="68"/>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by No. 44 of 1985 s. 18; No. 86 of 1986 s. 5; No. 48 of 1993 s. 33; No. 42 of 2004 s. 28 and 152; No. 31 of 2011 s. 86.]</w:t>
      </w:r>
    </w:p>
    <w:p>
      <w:pPr>
        <w:pStyle w:val="Heading5"/>
        <w:rPr>
          <w:snapToGrid w:val="0"/>
        </w:rPr>
      </w:pPr>
      <w:bookmarkStart w:id="69" w:name="_Toc472604632"/>
      <w:r>
        <w:rPr>
          <w:rStyle w:val="CharSectno"/>
        </w:rPr>
        <w:t>39</w:t>
      </w:r>
      <w:r>
        <w:rPr>
          <w:snapToGrid w:val="0"/>
        </w:rPr>
        <w:t>.</w:t>
      </w:r>
      <w:r>
        <w:rPr>
          <w:snapToGrid w:val="0"/>
        </w:rPr>
        <w:tab/>
        <w:t>Tuberculosis and pneumoconiosis, compensation for</w:t>
      </w:r>
      <w:bookmarkEnd w:id="69"/>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by No. 42 of 2004 s. 29.]</w:t>
      </w:r>
    </w:p>
    <w:p>
      <w:pPr>
        <w:pStyle w:val="Heading5"/>
        <w:keepLines w:val="0"/>
      </w:pPr>
      <w:bookmarkStart w:id="70" w:name="_Toc472604633"/>
      <w:r>
        <w:rPr>
          <w:rStyle w:val="CharSectno"/>
        </w:rPr>
        <w:t>40</w:t>
      </w:r>
      <w:r>
        <w:t>.</w:t>
      </w:r>
      <w:r>
        <w:tab/>
        <w:t>Death without prior incapacity, effect of for this Division</w:t>
      </w:r>
      <w:bookmarkEnd w:id="70"/>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by No. 42 of 2004 s. 30.]</w:t>
      </w:r>
    </w:p>
    <w:p>
      <w:pPr>
        <w:pStyle w:val="Heading5"/>
        <w:rPr>
          <w:snapToGrid w:val="0"/>
        </w:rPr>
      </w:pPr>
      <w:bookmarkStart w:id="71" w:name="_Toc472604634"/>
      <w:r>
        <w:rPr>
          <w:rStyle w:val="CharSectno"/>
        </w:rPr>
        <w:t>41</w:t>
      </w:r>
      <w:r>
        <w:rPr>
          <w:snapToGrid w:val="0"/>
        </w:rPr>
        <w:t>.</w:t>
      </w:r>
      <w:r>
        <w:rPr>
          <w:snapToGrid w:val="0"/>
        </w:rPr>
        <w:tab/>
        <w:t>Last employer liable but may join others</w:t>
      </w:r>
      <w:bookmarkEnd w:id="71"/>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by No. 42 of 2004 s. 31; No. 31 of 2011 s. 87.]</w:t>
      </w:r>
    </w:p>
    <w:p>
      <w:pPr>
        <w:pStyle w:val="Heading5"/>
        <w:rPr>
          <w:snapToGrid w:val="0"/>
        </w:rPr>
      </w:pPr>
      <w:bookmarkStart w:id="72" w:name="_Toc472604635"/>
      <w:r>
        <w:rPr>
          <w:rStyle w:val="CharSectno"/>
        </w:rPr>
        <w:t>42</w:t>
      </w:r>
      <w:r>
        <w:rPr>
          <w:snapToGrid w:val="0"/>
        </w:rPr>
        <w:t>.</w:t>
      </w:r>
      <w:r>
        <w:rPr>
          <w:snapToGrid w:val="0"/>
        </w:rPr>
        <w:tab/>
        <w:t>How compensation calculated</w:t>
      </w:r>
      <w:bookmarkEnd w:id="72"/>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3" w:name="_Toc472604636"/>
      <w:r>
        <w:rPr>
          <w:rStyle w:val="CharSectno"/>
        </w:rPr>
        <w:t>43</w:t>
      </w:r>
      <w:r>
        <w:rPr>
          <w:snapToGrid w:val="0"/>
        </w:rPr>
        <w:t>.</w:t>
      </w:r>
      <w:r>
        <w:rPr>
          <w:snapToGrid w:val="0"/>
        </w:rPr>
        <w:tab/>
        <w:t>Employer to whom notice to be given</w:t>
      </w:r>
      <w:bookmarkEnd w:id="73"/>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by No. 42 of 2004 s. 32.]</w:t>
      </w:r>
    </w:p>
    <w:p>
      <w:pPr>
        <w:pStyle w:val="Heading5"/>
        <w:spacing w:before="200"/>
        <w:rPr>
          <w:snapToGrid w:val="0"/>
        </w:rPr>
      </w:pPr>
      <w:bookmarkStart w:id="74" w:name="_Toc472604637"/>
      <w:r>
        <w:rPr>
          <w:rStyle w:val="CharSectno"/>
        </w:rPr>
        <w:t>44</w:t>
      </w:r>
      <w:r>
        <w:rPr>
          <w:snapToGrid w:val="0"/>
        </w:rPr>
        <w:t>.</w:t>
      </w:r>
      <w:r>
        <w:rPr>
          <w:snapToGrid w:val="0"/>
        </w:rPr>
        <w:tab/>
        <w:t>Diseases in Sch. 3 deemed due to employment in process in Sch. 3</w:t>
      </w:r>
      <w:bookmarkEnd w:id="74"/>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by No. 42 of 2004 s. 33.]</w:t>
      </w:r>
    </w:p>
    <w:p>
      <w:pPr>
        <w:pStyle w:val="Heading5"/>
        <w:spacing w:before="200"/>
        <w:rPr>
          <w:snapToGrid w:val="0"/>
        </w:rPr>
      </w:pPr>
      <w:bookmarkStart w:id="75" w:name="_Toc472604638"/>
      <w:r>
        <w:rPr>
          <w:rStyle w:val="CharSectno"/>
        </w:rPr>
        <w:t>45</w:t>
      </w:r>
      <w:r>
        <w:rPr>
          <w:snapToGrid w:val="0"/>
        </w:rPr>
        <w:t>.</w:t>
      </w:r>
      <w:r>
        <w:rPr>
          <w:snapToGrid w:val="0"/>
        </w:rPr>
        <w:tab/>
        <w:t>Additions to Sch. 3</w:t>
      </w:r>
      <w:bookmarkEnd w:id="75"/>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6" w:name="_Toc472604639"/>
      <w:r>
        <w:rPr>
          <w:rStyle w:val="CharSectno"/>
        </w:rPr>
        <w:t>46</w:t>
      </w:r>
      <w:r>
        <w:rPr>
          <w:snapToGrid w:val="0"/>
        </w:rPr>
        <w:t>.</w:t>
      </w:r>
      <w:r>
        <w:rPr>
          <w:snapToGrid w:val="0"/>
        </w:rPr>
        <w:tab/>
        <w:t>Compensation limited to prescribed amount</w:t>
      </w:r>
      <w:bookmarkEnd w:id="76"/>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by No. 104 of 1984 s. 3; No. 19 of 2010 s. 51; No. 47 of 2011 s. 7.]</w:t>
      </w:r>
    </w:p>
    <w:p>
      <w:pPr>
        <w:pStyle w:val="Heading5"/>
        <w:rPr>
          <w:snapToGrid w:val="0"/>
        </w:rPr>
      </w:pPr>
      <w:bookmarkStart w:id="77" w:name="_Toc472604640"/>
      <w:r>
        <w:rPr>
          <w:rStyle w:val="CharSectno"/>
        </w:rPr>
        <w:t>47</w:t>
      </w:r>
      <w:r>
        <w:rPr>
          <w:snapToGrid w:val="0"/>
        </w:rPr>
        <w:t>.</w:t>
      </w:r>
      <w:r>
        <w:rPr>
          <w:snapToGrid w:val="0"/>
        </w:rPr>
        <w:tab/>
        <w:t>Some workers not entitled to compensation</w:t>
      </w:r>
      <w:bookmarkEnd w:id="77"/>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by No. 30 of 1993 s. 13; No. 62 of 1994 s. 109; No. 42 of 2004 s. 34.]</w:t>
      </w:r>
    </w:p>
    <w:p>
      <w:pPr>
        <w:pStyle w:val="Heading5"/>
        <w:rPr>
          <w:snapToGrid w:val="0"/>
        </w:rPr>
      </w:pPr>
      <w:bookmarkStart w:id="78" w:name="_Toc472604641"/>
      <w:r>
        <w:rPr>
          <w:rStyle w:val="CharSectno"/>
        </w:rPr>
        <w:t>48</w:t>
      </w:r>
      <w:r>
        <w:rPr>
          <w:snapToGrid w:val="0"/>
        </w:rPr>
        <w:t>.</w:t>
      </w:r>
      <w:r>
        <w:rPr>
          <w:snapToGrid w:val="0"/>
        </w:rPr>
        <w:tab/>
        <w:t>Sch. 3 diseases to be notified by employer etc.</w:t>
      </w:r>
      <w:bookmarkEnd w:id="78"/>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keepLines/>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by No. 28 of 1984 s. 102; No. 86 of 1986 s. 5; No. 21 of 1987 s. 4; No. 30 of 1995 s. 48; No. 42 of 2004 s. 35 and 152.]</w:t>
      </w:r>
    </w:p>
    <w:p>
      <w:pPr>
        <w:pStyle w:val="Heading3"/>
      </w:pPr>
      <w:bookmarkStart w:id="79" w:name="_Toc472604642"/>
      <w:r>
        <w:rPr>
          <w:rStyle w:val="CharDivNo"/>
        </w:rPr>
        <w:t>Division 4A</w:t>
      </w:r>
      <w:r>
        <w:t> — </w:t>
      </w:r>
      <w:r>
        <w:rPr>
          <w:rStyle w:val="CharDivText"/>
        </w:rPr>
        <w:t>Injury: specified diseases contracted by firefighters</w:t>
      </w:r>
      <w:bookmarkEnd w:id="79"/>
    </w:p>
    <w:p>
      <w:pPr>
        <w:pStyle w:val="Footnoteheading"/>
      </w:pPr>
      <w:r>
        <w:tab/>
        <w:t>[Heading inserted by No. 21 of 2013 s. 4.]</w:t>
      </w:r>
    </w:p>
    <w:p>
      <w:pPr>
        <w:pStyle w:val="Heading5"/>
      </w:pPr>
      <w:bookmarkStart w:id="80" w:name="_Toc472604643"/>
      <w:r>
        <w:rPr>
          <w:rStyle w:val="CharSectno"/>
        </w:rPr>
        <w:t>49A</w:t>
      </w:r>
      <w:r>
        <w:t>.</w:t>
      </w:r>
      <w:r>
        <w:tab/>
        <w:t>Terms used</w:t>
      </w:r>
      <w:bookmarkEnd w:id="80"/>
    </w:p>
    <w:p>
      <w:pPr>
        <w:pStyle w:val="Subsection"/>
      </w:pPr>
      <w:r>
        <w:tab/>
      </w:r>
      <w:r>
        <w:tab/>
        <w:t xml:space="preserve">In this Division — </w:t>
      </w:r>
    </w:p>
    <w:p>
      <w:pPr>
        <w:pStyle w:val="Defstart"/>
      </w:pPr>
      <w:r>
        <w:tab/>
      </w:r>
      <w:r>
        <w:rPr>
          <w:rStyle w:val="CharDefText"/>
        </w:rPr>
        <w:t>date of injury</w:t>
      </w:r>
      <w:r>
        <w:t xml:space="preserve"> has the meaning given in section 49D(1);</w:t>
      </w:r>
    </w:p>
    <w:p>
      <w:pPr>
        <w:pStyle w:val="Defstar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by No. 21 of 2013 s. 4; amended by No. 28 of 2016 s. 9.]</w:t>
      </w:r>
    </w:p>
    <w:p>
      <w:pPr>
        <w:pStyle w:val="Heading5"/>
      </w:pPr>
      <w:bookmarkStart w:id="81" w:name="_Toc472604644"/>
      <w:r>
        <w:rPr>
          <w:rStyle w:val="CharSectno"/>
        </w:rPr>
        <w:t>49B</w:t>
      </w:r>
      <w:r>
        <w:t>.</w:t>
      </w:r>
      <w:r>
        <w:tab/>
        <w:t>Application of Division</w:t>
      </w:r>
      <w:bookmarkEnd w:id="81"/>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w:t>
      </w:r>
      <w:r>
        <w:rPr>
          <w:vertAlign w:val="superscript"/>
        </w:rPr>
        <w:t> 1</w:t>
      </w:r>
      <w:r>
        <w:t>; and</w:t>
      </w:r>
    </w:p>
    <w:p>
      <w:pPr>
        <w:pStyle w:val="Indenta"/>
      </w:pPr>
      <w:r>
        <w:tab/>
        <w:t>(b)</w:t>
      </w:r>
      <w:r>
        <w:tab/>
        <w:t>as at the date of injury the worker is or has been in firefighting employment.</w:t>
      </w:r>
    </w:p>
    <w:p>
      <w:pPr>
        <w:pStyle w:val="Footnotesection"/>
      </w:pPr>
      <w:r>
        <w:tab/>
        <w:t>[Section 49B inserted by No. 21 of 2013 s. 4; amended by No. 28 of 2016 s. 10.]</w:t>
      </w:r>
    </w:p>
    <w:p>
      <w:pPr>
        <w:pStyle w:val="Heading5"/>
      </w:pPr>
      <w:bookmarkStart w:id="82" w:name="_Toc472604645"/>
      <w:r>
        <w:rPr>
          <w:rStyle w:val="CharSectno"/>
        </w:rPr>
        <w:t>49C</w:t>
      </w:r>
      <w:r>
        <w:t>.</w:t>
      </w:r>
      <w:r>
        <w:tab/>
        <w:t>When firefighting employment taken to contribute to specified disease</w:t>
      </w:r>
      <w:bookmarkEnd w:id="82"/>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Ednotesubsection"/>
      </w:pPr>
      <w:r>
        <w:tab/>
        <w:t>[(3)</w:t>
      </w:r>
      <w:r>
        <w:tab/>
        <w:t>deleted</w:t>
      </w:r>
    </w:p>
    <w:p>
      <w:pPr>
        <w:pStyle w:val="Footnotesection"/>
        <w:spacing w:before="100"/>
      </w:pPr>
      <w:r>
        <w:tab/>
        <w:t>[Section 49C inserted by No. 21 of 2013 s. 4; amended by No. 28 of 2016 s. 11.]</w:t>
      </w:r>
    </w:p>
    <w:p>
      <w:pPr>
        <w:pStyle w:val="Heading5"/>
      </w:pPr>
      <w:bookmarkStart w:id="83" w:name="_Toc472604646"/>
      <w:r>
        <w:rPr>
          <w:rStyle w:val="CharSectno"/>
        </w:rPr>
        <w:t>49D</w:t>
      </w:r>
      <w:r>
        <w:t>.</w:t>
      </w:r>
      <w:r>
        <w:tab/>
        <w:t>Date of injury</w:t>
      </w:r>
      <w:bookmarkEnd w:id="83"/>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by No. 21 of 2013 s. 4.]</w:t>
      </w:r>
    </w:p>
    <w:p>
      <w:pPr>
        <w:pStyle w:val="Heading5"/>
      </w:pPr>
      <w:bookmarkStart w:id="84" w:name="_Toc472604647"/>
      <w:r>
        <w:rPr>
          <w:rStyle w:val="CharSectno"/>
        </w:rPr>
        <w:t>49E</w:t>
      </w:r>
      <w:r>
        <w:t>.</w:t>
      </w:r>
      <w:r>
        <w:tab/>
        <w:t>Review of Division</w:t>
      </w:r>
      <w:bookmarkEnd w:id="84"/>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r>
        <w:rPr>
          <w:vertAlign w:val="superscript"/>
        </w:rPr>
        <w:t> 1</w:t>
      </w:r>
      <w:r>
        <w:t>.</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by No. 21 of 2013 s. 4.]</w:t>
      </w:r>
    </w:p>
    <w:p>
      <w:pPr>
        <w:pStyle w:val="Heading3"/>
        <w:keepLines/>
      </w:pPr>
      <w:bookmarkStart w:id="85" w:name="_Toc472604648"/>
      <w:r>
        <w:rPr>
          <w:rStyle w:val="CharDivNo"/>
        </w:rPr>
        <w:t>Division 4</w:t>
      </w:r>
      <w:r>
        <w:t> — </w:t>
      </w:r>
      <w:r>
        <w:rPr>
          <w:rStyle w:val="CharDivText"/>
        </w:rPr>
        <w:t>Injury: specified losses of functions</w:t>
      </w:r>
      <w:bookmarkEnd w:id="85"/>
    </w:p>
    <w:p>
      <w:pPr>
        <w:pStyle w:val="Footnoteheading"/>
        <w:keepNext/>
        <w:keepLines/>
      </w:pPr>
      <w:r>
        <w:tab/>
        <w:t>[Heading inserted by No. 42 of 2004 s. 36.]</w:t>
      </w:r>
    </w:p>
    <w:p>
      <w:pPr>
        <w:pStyle w:val="Heading5"/>
      </w:pPr>
      <w:bookmarkStart w:id="86" w:name="_Toc472604649"/>
      <w:r>
        <w:rPr>
          <w:rStyle w:val="CharSectno"/>
        </w:rPr>
        <w:t>49</w:t>
      </w:r>
      <w:r>
        <w:t>.</w:t>
      </w:r>
      <w:r>
        <w:tab/>
        <w:t>Loss of function in Sch. 4, when injury occurs as a result of</w:t>
      </w:r>
      <w:bookmarkEnd w:id="8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Deleted by No. 36 of 1988 s. 10.]</w:t>
      </w:r>
    </w:p>
    <w:p>
      <w:pPr>
        <w:pStyle w:val="Heading5"/>
        <w:rPr>
          <w:snapToGrid w:val="0"/>
        </w:rPr>
      </w:pPr>
      <w:bookmarkStart w:id="87" w:name="_Toc472604650"/>
      <w:r>
        <w:rPr>
          <w:rStyle w:val="CharSectno"/>
        </w:rPr>
        <w:t>51</w:t>
      </w:r>
      <w:r>
        <w:rPr>
          <w:snapToGrid w:val="0"/>
        </w:rPr>
        <w:t>.</w:t>
      </w:r>
      <w:r>
        <w:rPr>
          <w:snapToGrid w:val="0"/>
        </w:rPr>
        <w:tab/>
        <w:t>Last employer liable but may join others</w:t>
      </w:r>
      <w:bookmarkEnd w:id="87"/>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2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2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8" w:name="_Toc472604651"/>
      <w:r>
        <w:rPr>
          <w:rStyle w:val="CharSectno"/>
        </w:rPr>
        <w:t>52</w:t>
      </w:r>
      <w:r>
        <w:rPr>
          <w:snapToGrid w:val="0"/>
        </w:rPr>
        <w:t>.</w:t>
      </w:r>
      <w:r>
        <w:rPr>
          <w:snapToGrid w:val="0"/>
        </w:rPr>
        <w:tab/>
        <w:t>How compensation calculated</w:t>
      </w:r>
      <w:bookmarkEnd w:id="8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9" w:name="_Toc472604652"/>
      <w:r>
        <w:rPr>
          <w:rStyle w:val="CharSectno"/>
        </w:rPr>
        <w:t>53</w:t>
      </w:r>
      <w:r>
        <w:rPr>
          <w:snapToGrid w:val="0"/>
        </w:rPr>
        <w:t>.</w:t>
      </w:r>
      <w:r>
        <w:rPr>
          <w:snapToGrid w:val="0"/>
        </w:rPr>
        <w:tab/>
        <w:t>Employer to whom notice given</w:t>
      </w:r>
      <w:bookmarkEnd w:id="8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90" w:name="_Toc472604653"/>
      <w:r>
        <w:rPr>
          <w:rStyle w:val="CharSectno"/>
        </w:rPr>
        <w:t>54</w:t>
      </w:r>
      <w:r>
        <w:rPr>
          <w:snapToGrid w:val="0"/>
        </w:rPr>
        <w:t>.</w:t>
      </w:r>
      <w:r>
        <w:rPr>
          <w:snapToGrid w:val="0"/>
        </w:rPr>
        <w:tab/>
        <w:t>Loss of function in Sch. 4 deemed due to employment in process in Sch. 4</w:t>
      </w:r>
      <w:bookmarkEnd w:id="9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91" w:name="_Toc472604654"/>
      <w:r>
        <w:rPr>
          <w:rStyle w:val="CharSectno"/>
        </w:rPr>
        <w:t>55</w:t>
      </w:r>
      <w:r>
        <w:rPr>
          <w:snapToGrid w:val="0"/>
        </w:rPr>
        <w:t>.</w:t>
      </w:r>
      <w:r>
        <w:rPr>
          <w:snapToGrid w:val="0"/>
        </w:rPr>
        <w:tab/>
        <w:t>Additions to Sch. 4</w:t>
      </w:r>
      <w:bookmarkEnd w:id="9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92" w:name="_Toc472604655"/>
      <w:r>
        <w:rPr>
          <w:rStyle w:val="CharDivNo"/>
        </w:rPr>
        <w:t>Division 5</w:t>
      </w:r>
      <w:r>
        <w:rPr>
          <w:snapToGrid w:val="0"/>
        </w:rPr>
        <w:t> — </w:t>
      </w:r>
      <w:r>
        <w:rPr>
          <w:rStyle w:val="CharDivText"/>
        </w:rPr>
        <w:t>Commencement, review, suspension, and cessation of payments</w:t>
      </w:r>
      <w:bookmarkEnd w:id="92"/>
    </w:p>
    <w:p>
      <w:pPr>
        <w:pStyle w:val="Heading5"/>
        <w:rPr>
          <w:snapToGrid w:val="0"/>
        </w:rPr>
      </w:pPr>
      <w:bookmarkStart w:id="93" w:name="_Toc472604656"/>
      <w:r>
        <w:rPr>
          <w:rStyle w:val="CharSectno"/>
        </w:rPr>
        <w:t>56</w:t>
      </w:r>
      <w:r>
        <w:rPr>
          <w:snapToGrid w:val="0"/>
        </w:rPr>
        <w:t>.</w:t>
      </w:r>
      <w:r>
        <w:rPr>
          <w:snapToGrid w:val="0"/>
        </w:rPr>
        <w:tab/>
        <w:t>When entitlement to weekly payments ceases due to age</w:t>
      </w:r>
      <w:bookmarkEnd w:id="93"/>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r>
        <w:rPr>
          <w:vertAlign w:val="superscript"/>
        </w:rPr>
        <w:t> 1</w:t>
      </w:r>
      <w:r>
        <w:t>.</w:t>
      </w:r>
    </w:p>
    <w:p>
      <w:pPr>
        <w:pStyle w:val="Footnotesection"/>
      </w:pPr>
      <w:r>
        <w:tab/>
        <w:t>[Section 56 amended by No. 42 of 2004 s. 146 and 147; No. 31 of 2011 s. 88.]</w:t>
      </w:r>
    </w:p>
    <w:p>
      <w:pPr>
        <w:pStyle w:val="Heading5"/>
        <w:spacing w:before="180"/>
        <w:rPr>
          <w:snapToGrid w:val="0"/>
        </w:rPr>
      </w:pPr>
      <w:bookmarkStart w:id="94" w:name="_Toc472604657"/>
      <w:r>
        <w:rPr>
          <w:rStyle w:val="CharSectno"/>
        </w:rPr>
        <w:t>57</w:t>
      </w:r>
      <w:r>
        <w:rPr>
          <w:snapToGrid w:val="0"/>
        </w:rPr>
        <w:t>.</w:t>
      </w:r>
      <w:r>
        <w:rPr>
          <w:snapToGrid w:val="0"/>
        </w:rPr>
        <w:tab/>
        <w:t>Effect of s. 56 on Sch. 2 and expenses</w:t>
      </w:r>
      <w:bookmarkEnd w:id="94"/>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by No. 42 of 2004 s. 40; No. 31 of 2011 s. 89.]</w:t>
      </w:r>
    </w:p>
    <w:p>
      <w:pPr>
        <w:pStyle w:val="Heading5"/>
        <w:spacing w:before="180"/>
        <w:rPr>
          <w:snapToGrid w:val="0"/>
        </w:rPr>
      </w:pPr>
      <w:bookmarkStart w:id="95" w:name="_Toc472604658"/>
      <w:r>
        <w:rPr>
          <w:rStyle w:val="CharSectno"/>
        </w:rPr>
        <w:t>57A</w:t>
      </w:r>
      <w:r>
        <w:rPr>
          <w:snapToGrid w:val="0"/>
        </w:rPr>
        <w:t>.</w:t>
      </w:r>
      <w:r>
        <w:rPr>
          <w:snapToGrid w:val="0"/>
        </w:rPr>
        <w:tab/>
        <w:t>Claims procedure where employer insured</w:t>
      </w:r>
      <w:bookmarkEnd w:id="95"/>
    </w:p>
    <w:p>
      <w:pPr>
        <w:pStyle w:val="Subsection"/>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by No. 96 of 1990 s. 8; amended by No. 72 of 1992 s. 6; No. 48 of 1993 s. 28(1) and 34; No. 34 of 1999 s. 11; No. 42 of 2004 s. 41, 146, 147 and 154(4); No. 59 of 2004 s. 133; No. 31 of 2011 s. 90.]</w:t>
      </w:r>
    </w:p>
    <w:p>
      <w:pPr>
        <w:pStyle w:val="Heading5"/>
        <w:spacing w:before="180"/>
        <w:rPr>
          <w:snapToGrid w:val="0"/>
        </w:rPr>
      </w:pPr>
      <w:bookmarkStart w:id="96" w:name="_Toc472604659"/>
      <w:r>
        <w:rPr>
          <w:rStyle w:val="CharSectno"/>
        </w:rPr>
        <w:t>57B</w:t>
      </w:r>
      <w:r>
        <w:rPr>
          <w:snapToGrid w:val="0"/>
        </w:rPr>
        <w:t>.</w:t>
      </w:r>
      <w:r>
        <w:rPr>
          <w:snapToGrid w:val="0"/>
        </w:rPr>
        <w:tab/>
        <w:t>Claims procedure where employer is self</w:t>
      </w:r>
      <w:r>
        <w:rPr>
          <w:snapToGrid w:val="0"/>
        </w:rPr>
        <w:noBreakHyphen/>
        <w:t>insured or uninsured</w:t>
      </w:r>
      <w:bookmarkEnd w:id="96"/>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by No. 96 of 1990 s. 8; amended by No. 72 of 1992 s. 7; No. 48 of 1993 s. 28(1) and 35; No. 34 of 1999 s. 12; No. 42 of 2004 s. 42, 146, 147, 150 and 154(4); No. 31 of 2011 s. 91.]</w:t>
      </w:r>
    </w:p>
    <w:p>
      <w:pPr>
        <w:pStyle w:val="Heading5"/>
      </w:pPr>
      <w:bookmarkStart w:id="97" w:name="_Toc472604660"/>
      <w:r>
        <w:rPr>
          <w:rStyle w:val="CharSectno"/>
        </w:rPr>
        <w:t>57BA</w:t>
      </w:r>
      <w:r>
        <w:t>.</w:t>
      </w:r>
      <w:r>
        <w:tab/>
        <w:t>Notices under s. 57A and 57B, form and content of</w:t>
      </w:r>
      <w:bookmarkEnd w:id="97"/>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by No. 42 of 2004 s. 43.]</w:t>
      </w:r>
    </w:p>
    <w:p>
      <w:pPr>
        <w:pStyle w:val="Heading5"/>
        <w:rPr>
          <w:snapToGrid w:val="0"/>
        </w:rPr>
      </w:pPr>
      <w:bookmarkStart w:id="98" w:name="_Toc472604661"/>
      <w:r>
        <w:rPr>
          <w:rStyle w:val="CharSectno"/>
        </w:rPr>
        <w:t>57C</w:t>
      </w:r>
      <w:r>
        <w:rPr>
          <w:snapToGrid w:val="0"/>
        </w:rPr>
        <w:t>.</w:t>
      </w:r>
      <w:r>
        <w:rPr>
          <w:snapToGrid w:val="0"/>
        </w:rPr>
        <w:tab/>
        <w:t xml:space="preserve">Weekly payments,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to be notified about</w:t>
      </w:r>
      <w:bookmarkEnd w:id="98"/>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by No. 96 of 1990 s. 8; amended by No. 42 of 2004 s. 44, 147 and 150.]</w:t>
      </w:r>
    </w:p>
    <w:p>
      <w:pPr>
        <w:pStyle w:val="Heading5"/>
        <w:spacing w:before="260"/>
        <w:rPr>
          <w:snapToGrid w:val="0"/>
        </w:rPr>
      </w:pPr>
      <w:bookmarkStart w:id="99" w:name="_Toc472604662"/>
      <w:r>
        <w:rPr>
          <w:rStyle w:val="CharSectno"/>
        </w:rPr>
        <w:t>57D</w:t>
      </w:r>
      <w:r>
        <w:rPr>
          <w:snapToGrid w:val="0"/>
        </w:rPr>
        <w:t>.</w:t>
      </w:r>
      <w:r>
        <w:rPr>
          <w:snapToGrid w:val="0"/>
        </w:rPr>
        <w:tab/>
        <w:t>Confidentiality of information given under s. 57C</w:t>
      </w:r>
      <w:bookmarkEnd w:id="99"/>
    </w:p>
    <w:p>
      <w:pPr>
        <w:pStyle w:val="Subsection"/>
        <w:rPr>
          <w:snapToGrid w:val="0"/>
        </w:rPr>
      </w:pPr>
      <w:r>
        <w:rPr>
          <w:snapToGrid w:val="0"/>
        </w:rPr>
        <w:tab/>
        <w:t>(1)</w:t>
      </w:r>
      <w:r>
        <w:rPr>
          <w:snapToGrid w:val="0"/>
        </w:rPr>
        <w:tab/>
        <w:t>Subject to subsection (2), a person, except with the express authority of</w:t>
      </w:r>
      <w:r>
        <w:t xml:space="preserve"> </w:t>
      </w:r>
      <w:smartTag w:uri="urn:schemas-microsoft-com:office:smarttags" w:element="City">
        <w:r>
          <w:t>WorkCover</w:t>
        </w:r>
      </w:smartTag>
      <w:r>
        <w:t xml:space="preserve"> </w:t>
      </w:r>
      <w:smartTag w:uri="urn:schemas-microsoft-com:office:smarttags" w:element="State">
        <w:r>
          <w:t>WA</w:t>
        </w:r>
      </w:smartTag>
      <w:r>
        <w:rPr>
          <w:snapToGrid w:val="0"/>
        </w:rPr>
        <w:t>, shall not have access to, inspect, or peruse any information given under section 57C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by No. 96 of 1990 s. 8; amended by No. 42 of 2004 s. 150.]</w:t>
      </w:r>
    </w:p>
    <w:p>
      <w:pPr>
        <w:pStyle w:val="Heading5"/>
        <w:rPr>
          <w:snapToGrid w:val="0"/>
        </w:rPr>
      </w:pPr>
      <w:bookmarkStart w:id="100" w:name="_Toc472604663"/>
      <w:r>
        <w:rPr>
          <w:rStyle w:val="CharSectno"/>
        </w:rPr>
        <w:t>58</w:t>
      </w:r>
      <w:r>
        <w:rPr>
          <w:snapToGrid w:val="0"/>
        </w:rPr>
        <w:t>.</w:t>
      </w:r>
      <w:r>
        <w:rPr>
          <w:snapToGrid w:val="0"/>
        </w:rPr>
        <w:tab/>
        <w:t>Liability for weekly payments, arbitrator may determine</w:t>
      </w:r>
      <w:bookmarkEnd w:id="100"/>
    </w:p>
    <w:p>
      <w:pPr>
        <w:pStyle w:val="Subsection"/>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by No. 96 of 1990 s. 9; amended by No. 72 of 1992 s. 8; No. 48 of 1993 s. 28(1); No. 49 of 1996 s. 64; No. 42 of 2004 s. 45 and 150; No. 77 of 2006 Sch. 1 cl. 189(9); No. 31 of 2011 s. 92.]</w:t>
      </w:r>
    </w:p>
    <w:p>
      <w:pPr>
        <w:pStyle w:val="Heading5"/>
        <w:rPr>
          <w:snapToGrid w:val="0"/>
        </w:rPr>
      </w:pPr>
      <w:bookmarkStart w:id="101" w:name="_Toc472604664"/>
      <w:r>
        <w:rPr>
          <w:rStyle w:val="CharSectno"/>
        </w:rPr>
        <w:t>59</w:t>
      </w:r>
      <w:r>
        <w:rPr>
          <w:snapToGrid w:val="0"/>
        </w:rPr>
        <w:t>.</w:t>
      </w:r>
      <w:r>
        <w:rPr>
          <w:snapToGrid w:val="0"/>
        </w:rPr>
        <w:tab/>
        <w:t>Workers who claim compensation to notify employers as to remunerated work</w:t>
      </w:r>
      <w:bookmarkEnd w:id="101"/>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by No. 72 of 1992 s. 9; amended by No. 48 of 1993 s. 28(1); No. 42 of 2004 s. 46.]</w:t>
      </w:r>
    </w:p>
    <w:p>
      <w:pPr>
        <w:pStyle w:val="Heading5"/>
        <w:rPr>
          <w:snapToGrid w:val="0"/>
        </w:rPr>
      </w:pPr>
      <w:bookmarkStart w:id="102" w:name="_Toc472604665"/>
      <w:r>
        <w:rPr>
          <w:rStyle w:val="CharSectno"/>
        </w:rPr>
        <w:t>60</w:t>
      </w:r>
      <w:r>
        <w:rPr>
          <w:snapToGrid w:val="0"/>
        </w:rPr>
        <w:t>.</w:t>
      </w:r>
      <w:r>
        <w:rPr>
          <w:snapToGrid w:val="0"/>
        </w:rPr>
        <w:tab/>
        <w:t>Discontinuing or reducing weekly payments, order as to</w:t>
      </w:r>
      <w:bookmarkEnd w:id="102"/>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by No. 96 of 1990 s. 10; No. 72 of 1992 s. 10; No. 48 of 1993 s. 28(1); No. 42 of 2004 s. 47.]</w:t>
      </w:r>
    </w:p>
    <w:p>
      <w:pPr>
        <w:pStyle w:val="Heading5"/>
        <w:rPr>
          <w:snapToGrid w:val="0"/>
        </w:rPr>
      </w:pPr>
      <w:bookmarkStart w:id="103" w:name="_Toc472604666"/>
      <w:r>
        <w:rPr>
          <w:rStyle w:val="CharSectno"/>
        </w:rPr>
        <w:t>61</w:t>
      </w:r>
      <w:r>
        <w:rPr>
          <w:snapToGrid w:val="0"/>
        </w:rPr>
        <w:t>.</w:t>
      </w:r>
      <w:r>
        <w:rPr>
          <w:snapToGrid w:val="0"/>
        </w:rPr>
        <w:tab/>
        <w:t>Discontinuing or reducing weekly payments without order</w:t>
      </w:r>
      <w:bookmarkEnd w:id="103"/>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by No. 44 of 1985 s. 20; No. 96 of 1990 s. 11; No. 72 of 1992 s. 11 and 12; No. 48 of 1993 s. 28(1); No. 34 of 1999 s. 13 and 32(2); No. 42 of 2004 s. 48, 147 and 150.]</w:t>
      </w:r>
    </w:p>
    <w:p>
      <w:pPr>
        <w:pStyle w:val="Heading5"/>
        <w:keepNext w:val="0"/>
        <w:keepLines w:val="0"/>
        <w:rPr>
          <w:snapToGrid w:val="0"/>
        </w:rPr>
      </w:pPr>
      <w:bookmarkStart w:id="104" w:name="_Toc472604667"/>
      <w:r>
        <w:rPr>
          <w:rStyle w:val="CharSectno"/>
        </w:rPr>
        <w:t>62</w:t>
      </w:r>
      <w:r>
        <w:rPr>
          <w:snapToGrid w:val="0"/>
        </w:rPr>
        <w:t>.</w:t>
      </w:r>
      <w:r>
        <w:rPr>
          <w:snapToGrid w:val="0"/>
        </w:rPr>
        <w:tab/>
        <w:t>Reviewing and discontinuing, suspending or changing weekly payments</w:t>
      </w:r>
      <w:bookmarkEnd w:id="104"/>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by No. 96 of 1990 s. 12; No. 72 of 1992 s. 13; No. 48 of 1993 s. 28(1); No. 42 of 2004 s. 49.]</w:t>
      </w:r>
    </w:p>
    <w:p>
      <w:pPr>
        <w:pStyle w:val="Heading5"/>
        <w:rPr>
          <w:snapToGrid w:val="0"/>
        </w:rPr>
      </w:pPr>
      <w:bookmarkStart w:id="105" w:name="_Toc472604668"/>
      <w:r>
        <w:rPr>
          <w:rStyle w:val="CharSectno"/>
        </w:rPr>
        <w:t>63</w:t>
      </w:r>
      <w:r>
        <w:rPr>
          <w:snapToGrid w:val="0"/>
        </w:rPr>
        <w:t>.</w:t>
      </w:r>
      <w:r>
        <w:rPr>
          <w:snapToGrid w:val="0"/>
        </w:rPr>
        <w:tab/>
        <w:t>No compensation if right to compensation suspended</w:t>
      </w:r>
      <w:bookmarkEnd w:id="105"/>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by No. 48 of 1993 s. 28(1); No. 42 of 2004 s. 50.]</w:t>
      </w:r>
    </w:p>
    <w:p>
      <w:pPr>
        <w:pStyle w:val="Heading5"/>
        <w:rPr>
          <w:snapToGrid w:val="0"/>
        </w:rPr>
      </w:pPr>
      <w:bookmarkStart w:id="106" w:name="_Toc472604669"/>
      <w:r>
        <w:rPr>
          <w:rStyle w:val="CharSectno"/>
        </w:rPr>
        <w:t>64</w:t>
      </w:r>
      <w:r>
        <w:rPr>
          <w:snapToGrid w:val="0"/>
        </w:rPr>
        <w:t>.</w:t>
      </w:r>
      <w:r>
        <w:rPr>
          <w:snapToGrid w:val="0"/>
        </w:rPr>
        <w:tab/>
        <w:t>Medical examination, worker claiming injury may be required to attend</w:t>
      </w:r>
      <w:bookmarkEnd w:id="106"/>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rPr>
          <w:snapToGrid w:val="0"/>
        </w:rPr>
      </w:pPr>
      <w:bookmarkStart w:id="107" w:name="_Toc472604670"/>
      <w:r>
        <w:rPr>
          <w:rStyle w:val="CharSectno"/>
        </w:rPr>
        <w:t>65</w:t>
      </w:r>
      <w:r>
        <w:rPr>
          <w:snapToGrid w:val="0"/>
        </w:rPr>
        <w:t>.</w:t>
      </w:r>
      <w:r>
        <w:rPr>
          <w:snapToGrid w:val="0"/>
        </w:rPr>
        <w:tab/>
        <w:t>Periodical medical examination, workers on weekly payments may be required to attend</w:t>
      </w:r>
      <w:bookmarkEnd w:id="107"/>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rPr>
          <w:snapToGrid w:val="0"/>
        </w:rPr>
      </w:pPr>
      <w:bookmarkStart w:id="108" w:name="_Toc472604671"/>
      <w:r>
        <w:rPr>
          <w:rStyle w:val="CharSectno"/>
        </w:rPr>
        <w:t>66</w:t>
      </w:r>
      <w:r>
        <w:rPr>
          <w:snapToGrid w:val="0"/>
        </w:rPr>
        <w:t>.</w:t>
      </w:r>
      <w:r>
        <w:rPr>
          <w:snapToGrid w:val="0"/>
        </w:rPr>
        <w:tab/>
        <w:t>Regulations as to medical examinations</w:t>
      </w:r>
      <w:bookmarkEnd w:id="108"/>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by No. 42 of 2004 s. 53.]</w:t>
      </w:r>
    </w:p>
    <w:p>
      <w:pPr>
        <w:pStyle w:val="Heading5"/>
      </w:pPr>
      <w:bookmarkStart w:id="109" w:name="_Toc472604672"/>
      <w:r>
        <w:rPr>
          <w:rStyle w:val="CharSectno"/>
        </w:rPr>
        <w:t>66A</w:t>
      </w:r>
      <w:r>
        <w:t>.</w:t>
      </w:r>
      <w:r>
        <w:tab/>
        <w:t>Additional medical examinations</w:t>
      </w:r>
      <w:bookmarkEnd w:id="109"/>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10" w:name="_Toc472604673"/>
      <w:r>
        <w:rPr>
          <w:rStyle w:val="CharSectno"/>
        </w:rPr>
        <w:t>67</w:t>
      </w:r>
      <w:r>
        <w:rPr>
          <w:snapToGrid w:val="0"/>
        </w:rPr>
        <w:t>.</w:t>
      </w:r>
      <w:r>
        <w:rPr>
          <w:snapToGrid w:val="0"/>
        </w:rPr>
        <w:tab/>
        <w:t>Lump sum in redemption of weekly payments</w:t>
      </w:r>
      <w:bookmarkEnd w:id="110"/>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keepNext/>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by No. 44 of 1985 s. 21; No. 48 of 1993 s. 36; No. 33 of 1999 s. 4; No. 34 of 1999 s. 14; No. 42 of 2004 s. 55, 146 and 147; No. 31 of 2011 s. 26 and 93.]</w:t>
      </w:r>
    </w:p>
    <w:p>
      <w:pPr>
        <w:pStyle w:val="Heading5"/>
        <w:tabs>
          <w:tab w:val="left" w:pos="4200"/>
        </w:tabs>
        <w:spacing w:before="260"/>
        <w:rPr>
          <w:snapToGrid w:val="0"/>
        </w:rPr>
      </w:pPr>
      <w:bookmarkStart w:id="111" w:name="_Toc472604674"/>
      <w:r>
        <w:rPr>
          <w:rStyle w:val="CharSectno"/>
        </w:rPr>
        <w:t>68</w:t>
      </w:r>
      <w:r>
        <w:rPr>
          <w:snapToGrid w:val="0"/>
        </w:rPr>
        <w:t>.</w:t>
      </w:r>
      <w:r>
        <w:rPr>
          <w:snapToGrid w:val="0"/>
        </w:rPr>
        <w:tab/>
        <w:t>Calculation of lump sum for s. 67(4)</w:t>
      </w:r>
      <w:bookmarkEnd w:id="111"/>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by No. 44 of 1985 s. 22; No. 48 of 1993 s. 37; No. 33 of 1999 s. 5; No. 34 of 1999 s. 15.]</w:t>
      </w:r>
    </w:p>
    <w:p>
      <w:pPr>
        <w:pStyle w:val="Heading5"/>
        <w:rPr>
          <w:snapToGrid w:val="0"/>
        </w:rPr>
      </w:pPr>
      <w:bookmarkStart w:id="112" w:name="_Toc472604675"/>
      <w:r>
        <w:rPr>
          <w:rStyle w:val="CharSectno"/>
        </w:rPr>
        <w:t>69</w:t>
      </w:r>
      <w:r>
        <w:rPr>
          <w:snapToGrid w:val="0"/>
        </w:rPr>
        <w:t>.</w:t>
      </w:r>
      <w:r>
        <w:rPr>
          <w:snapToGrid w:val="0"/>
        </w:rPr>
        <w:tab/>
        <w:t>Worker not residing in WA, continuance of weekly payments to</w:t>
      </w:r>
      <w:bookmarkEnd w:id="112"/>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13" w:name="_Toc472604676"/>
      <w:r>
        <w:rPr>
          <w:rStyle w:val="CharSectno"/>
        </w:rPr>
        <w:t>70</w:t>
      </w:r>
      <w:r>
        <w:t>.</w:t>
      </w:r>
      <w:r>
        <w:tab/>
        <w:t>Medical reports, provision of to worker or employer</w:t>
      </w:r>
      <w:bookmarkEnd w:id="113"/>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by No. 42 of 2004 s. 56.]</w:t>
      </w:r>
    </w:p>
    <w:p>
      <w:pPr>
        <w:pStyle w:val="Heading5"/>
        <w:spacing w:before="260"/>
        <w:rPr>
          <w:snapToGrid w:val="0"/>
        </w:rPr>
      </w:pPr>
      <w:bookmarkStart w:id="114" w:name="_Toc472604677"/>
      <w:r>
        <w:rPr>
          <w:rStyle w:val="CharSectno"/>
        </w:rPr>
        <w:t>71</w:t>
      </w:r>
      <w:r>
        <w:rPr>
          <w:snapToGrid w:val="0"/>
        </w:rPr>
        <w:t>.</w:t>
      </w:r>
      <w:r>
        <w:rPr>
          <w:snapToGrid w:val="0"/>
        </w:rPr>
        <w:tab/>
        <w:t>Payments to unentitled person, recovery of</w:t>
      </w:r>
      <w:bookmarkEnd w:id="114"/>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by No. 48 of 1993 s. 28(1); No. 42 of 2004 s. 57; No. 31 of 2011 s. 94.]</w:t>
      </w:r>
    </w:p>
    <w:p>
      <w:pPr>
        <w:pStyle w:val="Heading5"/>
        <w:spacing w:before="180"/>
      </w:pPr>
      <w:bookmarkStart w:id="115" w:name="_Toc472604678"/>
      <w:r>
        <w:rPr>
          <w:rStyle w:val="CharSectno"/>
        </w:rPr>
        <w:t>72</w:t>
      </w:r>
      <w:r>
        <w:t>.</w:t>
      </w:r>
      <w:r>
        <w:tab/>
        <w:t>Suspending entitlement while worker in prison</w:t>
      </w:r>
      <w:bookmarkEnd w:id="115"/>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by No. 42 of 2004 s. 58.]</w:t>
      </w:r>
    </w:p>
    <w:p>
      <w:pPr>
        <w:pStyle w:val="Heading5"/>
      </w:pPr>
      <w:bookmarkStart w:id="116" w:name="_Toc472604679"/>
      <w:r>
        <w:rPr>
          <w:rStyle w:val="CharSectno"/>
        </w:rPr>
        <w:t>72A</w:t>
      </w:r>
      <w:r>
        <w:t>.</w:t>
      </w:r>
      <w:r>
        <w:tab/>
        <w:t>Suspending etc. entitlement for not undergoing medical examination</w:t>
      </w:r>
      <w:bookmarkEnd w:id="116"/>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r>
        <w:tab/>
        <w:t>[Section 72A inserted by No. 42 of 2004 s. 58; amended by No. 16 of 2005 s. 17.]</w:t>
      </w:r>
    </w:p>
    <w:p>
      <w:pPr>
        <w:pStyle w:val="Heading5"/>
      </w:pPr>
      <w:bookmarkStart w:id="117" w:name="_Toc472604680"/>
      <w:r>
        <w:rPr>
          <w:rStyle w:val="CharSectno"/>
        </w:rPr>
        <w:t>72B</w:t>
      </w:r>
      <w:r>
        <w:t>.</w:t>
      </w:r>
      <w:r>
        <w:tab/>
        <w:t>Suspending etc. entitlement for not participating in return to work program</w:t>
      </w:r>
      <w:bookmarkEnd w:id="117"/>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division"/>
      </w:pPr>
      <w:r>
        <w:t>[Division 5A deleted by No. 48 of 1993 s. 28(1).]</w:t>
      </w:r>
    </w:p>
    <w:p>
      <w:pPr>
        <w:pStyle w:val="Heading3"/>
        <w:spacing w:before="280"/>
      </w:pPr>
      <w:bookmarkStart w:id="118" w:name="_Toc472604681"/>
      <w:r>
        <w:rPr>
          <w:rStyle w:val="CharDivNo"/>
        </w:rPr>
        <w:t>Division 6</w:t>
      </w:r>
      <w:r>
        <w:rPr>
          <w:snapToGrid w:val="0"/>
        </w:rPr>
        <w:t> — </w:t>
      </w:r>
      <w:r>
        <w:rPr>
          <w:rStyle w:val="CharDivText"/>
        </w:rPr>
        <w:t>Disputes between employers</w:t>
      </w:r>
      <w:bookmarkEnd w:id="118"/>
    </w:p>
    <w:p>
      <w:pPr>
        <w:pStyle w:val="Heading5"/>
        <w:rPr>
          <w:snapToGrid w:val="0"/>
        </w:rPr>
      </w:pPr>
      <w:bookmarkStart w:id="119" w:name="_Toc472604682"/>
      <w:r>
        <w:rPr>
          <w:rStyle w:val="CharSectno"/>
        </w:rPr>
        <w:t>73</w:t>
      </w:r>
      <w:r>
        <w:rPr>
          <w:snapToGrid w:val="0"/>
        </w:rPr>
        <w:t>.</w:t>
      </w:r>
      <w:r>
        <w:rPr>
          <w:snapToGrid w:val="0"/>
        </w:rPr>
        <w:tab/>
        <w:t>Worker entitled but dispute between employers</w:t>
      </w:r>
      <w:bookmarkEnd w:id="119"/>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smartTag w:uri="urn:schemas-microsoft-com:office:smarttags" w:element="City">
        <w:r>
          <w:t>WorkCover</w:t>
        </w:r>
      </w:smartTag>
      <w:r>
        <w:t xml:space="preserve"> </w:t>
      </w:r>
      <w:smartTag w:uri="urn:schemas-microsoft-com:office:smarttags" w:element="State">
        <w:r>
          <w:t>WA</w:t>
        </w:r>
      </w:smartTag>
      <w:r>
        <w:rPr>
          <w:snapToGrid w:val="0"/>
        </w:rPr>
        <w:t xml:space="preserve"> shall provide </w:t>
      </w:r>
      <w:r>
        <w:t>an arbitrator dealing with the dispute</w:t>
      </w:r>
      <w:r>
        <w:rPr>
          <w:snapToGrid w:val="0"/>
        </w:rPr>
        <w:t xml:space="preserve"> with copies of the results of any relevant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5(2) of Schedule 7.</w:t>
      </w:r>
    </w:p>
    <w:p>
      <w:pPr>
        <w:pStyle w:val="Footnotesection"/>
      </w:pPr>
      <w:r>
        <w:tab/>
        <w:t>[Section 73 amended by No. 36 of 1988 s. 11; No. 96 of 1990 s. 16; No. 48 of 1993 s. 28(1); No. 42 of 2004 s. 59, 147, 149 and 150.]</w:t>
      </w:r>
    </w:p>
    <w:p>
      <w:pPr>
        <w:pStyle w:val="Heading5"/>
        <w:rPr>
          <w:snapToGrid w:val="0"/>
        </w:rPr>
      </w:pPr>
      <w:bookmarkStart w:id="120" w:name="_Toc472604683"/>
      <w:r>
        <w:rPr>
          <w:rStyle w:val="CharSectno"/>
        </w:rPr>
        <w:t>74</w:t>
      </w:r>
      <w:r>
        <w:rPr>
          <w:snapToGrid w:val="0"/>
        </w:rPr>
        <w:t>.</w:t>
      </w:r>
      <w:r>
        <w:rPr>
          <w:snapToGrid w:val="0"/>
        </w:rPr>
        <w:tab/>
        <w:t>Worker entitled but dispute between insurers</w:t>
      </w:r>
      <w:bookmarkEnd w:id="120"/>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by No. 44 of 1985 s. 23; No. 96 of 1990 s. 17; No. 48 of 1993 s. 28(1); No. 34 of 1999 s. 16; No. 42 of 2004 s. 60, 147 and 149.]</w:t>
      </w:r>
    </w:p>
    <w:p>
      <w:pPr>
        <w:pStyle w:val="Heading5"/>
        <w:rPr>
          <w:snapToGrid w:val="0"/>
        </w:rPr>
      </w:pPr>
      <w:bookmarkStart w:id="121" w:name="_Toc472604684"/>
      <w:r>
        <w:rPr>
          <w:rStyle w:val="CharSectno"/>
        </w:rPr>
        <w:t>74A</w:t>
      </w:r>
      <w:r>
        <w:rPr>
          <w:snapToGrid w:val="0"/>
        </w:rPr>
        <w:t>.</w:t>
      </w:r>
      <w:r>
        <w:rPr>
          <w:snapToGrid w:val="0"/>
        </w:rPr>
        <w:tab/>
        <w:t>No apportionment under s. 73 or 74 for injuries before 8 Mar 1991</w:t>
      </w:r>
      <w:bookmarkEnd w:id="121"/>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[Section 74A inserted by No. 96 of 1990 s. 18; amended by No. 42 of 2004 s. 146.]</w:t>
      </w:r>
    </w:p>
    <w:p>
      <w:pPr>
        <w:pStyle w:val="Heading5"/>
        <w:rPr>
          <w:snapToGrid w:val="0"/>
        </w:rPr>
      </w:pPr>
      <w:bookmarkStart w:id="122" w:name="_Toc472604685"/>
      <w:r>
        <w:rPr>
          <w:rStyle w:val="CharSectno"/>
        </w:rPr>
        <w:t>75</w:t>
      </w:r>
      <w:r>
        <w:rPr>
          <w:snapToGrid w:val="0"/>
        </w:rPr>
        <w:t>.</w:t>
      </w:r>
      <w:r>
        <w:rPr>
          <w:snapToGrid w:val="0"/>
        </w:rPr>
        <w:tab/>
        <w:t>Obligation to make weekly payments preserved</w:t>
      </w:r>
      <w:bookmarkEnd w:id="122"/>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by No. 96 of 1990 s. 19; amended by No. 42 of 2004 s. 61.]</w:t>
      </w:r>
    </w:p>
    <w:p>
      <w:pPr>
        <w:pStyle w:val="Heading3"/>
      </w:pPr>
      <w:bookmarkStart w:id="123" w:name="_Toc472604686"/>
      <w:r>
        <w:rPr>
          <w:rStyle w:val="CharDivNo"/>
        </w:rPr>
        <w:t>Division 7</w:t>
      </w:r>
      <w:r>
        <w:rPr>
          <w:snapToGrid w:val="0"/>
        </w:rPr>
        <w:t> — </w:t>
      </w:r>
      <w:r>
        <w:rPr>
          <w:rStyle w:val="CharDivText"/>
        </w:rPr>
        <w:t>Agreements</w:t>
      </w:r>
      <w:bookmarkEnd w:id="123"/>
    </w:p>
    <w:p>
      <w:pPr>
        <w:pStyle w:val="Heading5"/>
        <w:rPr>
          <w:snapToGrid w:val="0"/>
        </w:rPr>
      </w:pPr>
      <w:bookmarkStart w:id="124" w:name="_Toc472604687"/>
      <w:r>
        <w:rPr>
          <w:rStyle w:val="CharSectno"/>
        </w:rPr>
        <w:t>76</w:t>
      </w:r>
      <w:r>
        <w:rPr>
          <w:snapToGrid w:val="0"/>
        </w:rPr>
        <w:t>.</w:t>
      </w:r>
      <w:r>
        <w:rPr>
          <w:snapToGrid w:val="0"/>
        </w:rPr>
        <w:tab/>
        <w:t>Agreement as to compensation etc., registration and effect of memorandum of</w:t>
      </w:r>
      <w:bookmarkEnd w:id="124"/>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by No. 48 of 1993 s. 28(1) and 38; No. 33 of 1999 s. 6; No. 34 of 1999 s. 17; No. 74 of 2003 s. 134(2); No. 42 of 2004 s. 62 and 146; No. 31 of 2011 s. 27.]</w:t>
      </w:r>
    </w:p>
    <w:p>
      <w:pPr>
        <w:pStyle w:val="Heading5"/>
        <w:rPr>
          <w:snapToGrid w:val="0"/>
        </w:rPr>
      </w:pPr>
      <w:bookmarkStart w:id="125" w:name="_Toc472604688"/>
      <w:r>
        <w:rPr>
          <w:rStyle w:val="CharSectno"/>
        </w:rPr>
        <w:t>77</w:t>
      </w:r>
      <w:r>
        <w:rPr>
          <w:snapToGrid w:val="0"/>
        </w:rPr>
        <w:t>.</w:t>
      </w:r>
      <w:r>
        <w:rPr>
          <w:snapToGrid w:val="0"/>
        </w:rPr>
        <w:tab/>
        <w:t>Agreements unenforceable unless registered under s. 76</w:t>
      </w:r>
      <w:bookmarkEnd w:id="125"/>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6" w:name="_Toc472604689"/>
      <w:r>
        <w:rPr>
          <w:rStyle w:val="CharSectno"/>
        </w:rPr>
        <w:t>78</w:t>
      </w:r>
      <w:r>
        <w:rPr>
          <w:snapToGrid w:val="0"/>
        </w:rPr>
        <w:t>.</w:t>
      </w:r>
      <w:r>
        <w:rPr>
          <w:snapToGrid w:val="0"/>
        </w:rPr>
        <w:tab/>
        <w:t>Effect of non</w:t>
      </w:r>
      <w:r>
        <w:rPr>
          <w:snapToGrid w:val="0"/>
        </w:rPr>
        <w:noBreakHyphen/>
        <w:t>registration of agreement</w:t>
      </w:r>
      <w:bookmarkEnd w:id="126"/>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pPr>
      <w:bookmarkStart w:id="127" w:name="_Toc472604690"/>
      <w:r>
        <w:rPr>
          <w:rStyle w:val="CharDivNo"/>
        </w:rPr>
        <w:t>Division 8</w:t>
      </w:r>
      <w:r>
        <w:rPr>
          <w:snapToGrid w:val="0"/>
        </w:rPr>
        <w:t> — </w:t>
      </w:r>
      <w:r>
        <w:rPr>
          <w:rStyle w:val="CharDivText"/>
        </w:rPr>
        <w:t>Other matters affecting compensation</w:t>
      </w:r>
      <w:bookmarkEnd w:id="127"/>
    </w:p>
    <w:p>
      <w:pPr>
        <w:pStyle w:val="Heading5"/>
        <w:rPr>
          <w:snapToGrid w:val="0"/>
        </w:rPr>
      </w:pPr>
      <w:bookmarkStart w:id="128" w:name="_Toc472604691"/>
      <w:r>
        <w:rPr>
          <w:rStyle w:val="CharSectno"/>
        </w:rPr>
        <w:t>79</w:t>
      </w:r>
      <w:r>
        <w:rPr>
          <w:snapToGrid w:val="0"/>
        </w:rPr>
        <w:t>.</w:t>
      </w:r>
      <w:r>
        <w:rPr>
          <w:snapToGrid w:val="0"/>
        </w:rPr>
        <w:tab/>
        <w:t>Wilful and false representation by worker</w:t>
      </w:r>
      <w:bookmarkEnd w:id="128"/>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by No. 48 of 1993 s. 28(1); No. 42 of 2004 s. 63, 146 and 147.]</w:t>
      </w:r>
    </w:p>
    <w:p>
      <w:pPr>
        <w:pStyle w:val="Heading5"/>
        <w:rPr>
          <w:snapToGrid w:val="0"/>
        </w:rPr>
      </w:pPr>
      <w:bookmarkStart w:id="129" w:name="_Toc472604692"/>
      <w:r>
        <w:rPr>
          <w:rStyle w:val="CharSectno"/>
        </w:rPr>
        <w:t>80</w:t>
      </w:r>
      <w:r>
        <w:rPr>
          <w:snapToGrid w:val="0"/>
        </w:rPr>
        <w:t>.</w:t>
      </w:r>
      <w:r>
        <w:rPr>
          <w:snapToGrid w:val="0"/>
        </w:rPr>
        <w:tab/>
        <w:t>Effect of leave entitlements; effect on sick leave</w:t>
      </w:r>
      <w:bookmarkEnd w:id="129"/>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by No. 42 of 2004 s. 64 and 147.]</w:t>
      </w:r>
    </w:p>
    <w:p>
      <w:pPr>
        <w:pStyle w:val="Heading5"/>
        <w:rPr>
          <w:snapToGrid w:val="0"/>
        </w:rPr>
      </w:pPr>
      <w:bookmarkStart w:id="130" w:name="_Toc472604693"/>
      <w:r>
        <w:rPr>
          <w:rStyle w:val="CharSectno"/>
        </w:rPr>
        <w:t>81</w:t>
      </w:r>
      <w:r>
        <w:rPr>
          <w:snapToGrid w:val="0"/>
        </w:rPr>
        <w:t>.</w:t>
      </w:r>
      <w:r>
        <w:rPr>
          <w:snapToGrid w:val="0"/>
        </w:rPr>
        <w:tab/>
        <w:t>Effect on public holidays pay</w:t>
      </w:r>
      <w:bookmarkEnd w:id="130"/>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1" w:name="_Toc472604694"/>
      <w:r>
        <w:rPr>
          <w:rStyle w:val="CharSectno"/>
        </w:rPr>
        <w:t>82</w:t>
      </w:r>
      <w:r>
        <w:rPr>
          <w:snapToGrid w:val="0"/>
        </w:rPr>
        <w:t>.</w:t>
      </w:r>
      <w:r>
        <w:rPr>
          <w:snapToGrid w:val="0"/>
        </w:rPr>
        <w:tab/>
        <w:t>Services rendered to worker for which employer liable, payment for</w:t>
      </w:r>
      <w:bookmarkEnd w:id="131"/>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2" w:name="_Toc472604695"/>
      <w:r>
        <w:rPr>
          <w:rStyle w:val="CharSectno"/>
        </w:rPr>
        <w:t>83</w:t>
      </w:r>
      <w:r>
        <w:rPr>
          <w:snapToGrid w:val="0"/>
        </w:rPr>
        <w:t>.</w:t>
      </w:r>
      <w:r>
        <w:rPr>
          <w:snapToGrid w:val="0"/>
        </w:rPr>
        <w:tab/>
        <w:t>Partially incapacitated workers, employment of</w:t>
      </w:r>
      <w:bookmarkEnd w:id="132"/>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by No. 48 of 1993 s. 28(1); No. 42 of 2004 s. 65, 146 and 147; No. 31 of 2011 s. 95.]</w:t>
      </w:r>
    </w:p>
    <w:p>
      <w:pPr>
        <w:pStyle w:val="Heading5"/>
        <w:rPr>
          <w:snapToGrid w:val="0"/>
        </w:rPr>
      </w:pPr>
      <w:bookmarkStart w:id="133" w:name="_Toc472604696"/>
      <w:r>
        <w:rPr>
          <w:rStyle w:val="CharSectno"/>
        </w:rPr>
        <w:t>84</w:t>
      </w:r>
      <w:r>
        <w:rPr>
          <w:snapToGrid w:val="0"/>
        </w:rPr>
        <w:t>.</w:t>
      </w:r>
      <w:r>
        <w:rPr>
          <w:snapToGrid w:val="0"/>
        </w:rPr>
        <w:tab/>
        <w:t>Worker not to be prejudiced by resuming work</w:t>
      </w:r>
      <w:bookmarkEnd w:id="133"/>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rPr>
          <w:snapToGrid w:val="0"/>
        </w:rPr>
      </w:pPr>
      <w:bookmarkStart w:id="134" w:name="_Toc472604697"/>
      <w:r>
        <w:rPr>
          <w:rStyle w:val="CharSectno"/>
        </w:rPr>
        <w:t>84AA</w:t>
      </w:r>
      <w:r>
        <w:rPr>
          <w:snapToGrid w:val="0"/>
        </w:rPr>
        <w:t>.</w:t>
      </w:r>
      <w:r>
        <w:rPr>
          <w:snapToGrid w:val="0"/>
        </w:rPr>
        <w:tab/>
        <w:t>Employer to keep position available during worker’s incapacity</w:t>
      </w:r>
      <w:bookmarkEnd w:id="134"/>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by No. 48 of 1993 s. 39; amended by No. 42 of 2004 s. 147.]</w:t>
      </w:r>
    </w:p>
    <w:p>
      <w:pPr>
        <w:pStyle w:val="Heading5"/>
      </w:pPr>
      <w:bookmarkStart w:id="135" w:name="_Toc472604698"/>
      <w:r>
        <w:rPr>
          <w:rStyle w:val="CharSectno"/>
        </w:rPr>
        <w:t>84AB</w:t>
      </w:r>
      <w:r>
        <w:t>.</w:t>
      </w:r>
      <w:r>
        <w:tab/>
        <w:t xml:space="preserve">Employer to notify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intention to dismiss worker</w:t>
      </w:r>
      <w:bookmarkEnd w:id="135"/>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by No. 42 of 2004 s. 66.]</w:t>
      </w:r>
    </w:p>
    <w:p>
      <w:pPr>
        <w:pStyle w:val="Ednotepart"/>
        <w:ind w:left="1311" w:hanging="1311"/>
        <w:outlineLvl w:val="9"/>
      </w:pPr>
      <w:r>
        <w:t>[Part IIIA:</w:t>
      </w:r>
      <w:r>
        <w:tab/>
        <w:t>s. 84A</w:t>
      </w:r>
      <w:r>
        <w:noBreakHyphen/>
        <w:t>84ZZ deleted by No. 42 of 2004 s. 67;</w:t>
      </w:r>
      <w:r>
        <w:br/>
        <w:t>s. 84ZZA, 84ZZB deleted by No. 59 of 2004 s. 131.]</w:t>
      </w:r>
    </w:p>
    <w:p>
      <w:pPr>
        <w:pStyle w:val="Heading2"/>
      </w:pPr>
      <w:bookmarkStart w:id="136" w:name="_Toc472604699"/>
      <w:r>
        <w:rPr>
          <w:rStyle w:val="CharPartNo"/>
        </w:rPr>
        <w:t>Part IV</w:t>
      </w:r>
      <w:r>
        <w:t> — </w:t>
      </w:r>
      <w:r>
        <w:rPr>
          <w:rStyle w:val="CharPartText"/>
        </w:rPr>
        <w:t>Civil proceedings in addition to or independent of this Act</w:t>
      </w:r>
      <w:bookmarkEnd w:id="136"/>
    </w:p>
    <w:p>
      <w:pPr>
        <w:pStyle w:val="Heading3"/>
      </w:pPr>
      <w:bookmarkStart w:id="137" w:name="_Toc472604700"/>
      <w:r>
        <w:rPr>
          <w:rStyle w:val="CharDivNo"/>
        </w:rPr>
        <w:t>Division 1</w:t>
      </w:r>
      <w:r>
        <w:rPr>
          <w:snapToGrid w:val="0"/>
        </w:rPr>
        <w:t> — </w:t>
      </w:r>
      <w:r>
        <w:rPr>
          <w:rStyle w:val="CharDivText"/>
        </w:rPr>
        <w:t>General</w:t>
      </w:r>
      <w:bookmarkEnd w:id="137"/>
    </w:p>
    <w:p>
      <w:pPr>
        <w:pStyle w:val="Footnoteheading"/>
        <w:rPr>
          <w:snapToGrid w:val="0"/>
        </w:rPr>
      </w:pPr>
      <w:r>
        <w:rPr>
          <w:snapToGrid w:val="0"/>
        </w:rPr>
        <w:tab/>
        <w:t>[Heading inserted by No. 48 of 1993 s. 4(1).]</w:t>
      </w:r>
    </w:p>
    <w:p>
      <w:pPr>
        <w:pStyle w:val="Heading5"/>
        <w:rPr>
          <w:snapToGrid w:val="0"/>
        </w:rPr>
      </w:pPr>
      <w:bookmarkStart w:id="138" w:name="_Toc472604701"/>
      <w:r>
        <w:rPr>
          <w:rStyle w:val="CharSectno"/>
        </w:rPr>
        <w:t>85</w:t>
      </w:r>
      <w:r>
        <w:rPr>
          <w:snapToGrid w:val="0"/>
        </w:rPr>
        <w:t>.</w:t>
      </w:r>
      <w:r>
        <w:rPr>
          <w:snapToGrid w:val="0"/>
        </w:rPr>
        <w:tab/>
        <w:t>Motor vehicle cases not affected by this Part</w:t>
      </w:r>
      <w:bookmarkEnd w:id="138"/>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39" w:name="_Toc472604702"/>
      <w:r>
        <w:rPr>
          <w:rStyle w:val="CharSectno"/>
        </w:rPr>
        <w:t>86</w:t>
      </w:r>
      <w:r>
        <w:rPr>
          <w:snapToGrid w:val="0"/>
        </w:rPr>
        <w:t>.</w:t>
      </w:r>
      <w:r>
        <w:rPr>
          <w:snapToGrid w:val="0"/>
        </w:rPr>
        <w:tab/>
        <w:t xml:space="preserve">Liability </w:t>
      </w:r>
      <w:smartTag w:uri="urn:schemas-microsoft-com:office:smarttags" w:element="State">
        <w:smartTag w:uri="urn:schemas-microsoft-com:office:smarttags" w:element="place">
          <w:r>
            <w:rPr>
              <w:snapToGrid w:val="0"/>
            </w:rPr>
            <w:t>ind</w:t>
          </w:r>
        </w:smartTag>
      </w:smartTag>
      <w:r>
        <w:rPr>
          <w:snapToGrid w:val="0"/>
        </w:rPr>
        <w:t>ependent of this Act not affected by this Part</w:t>
      </w:r>
      <w:bookmarkEnd w:id="139"/>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40" w:name="_Toc472604703"/>
      <w:r>
        <w:rPr>
          <w:rStyle w:val="CharSectno"/>
        </w:rPr>
        <w:t>87</w:t>
      </w:r>
      <w:r>
        <w:rPr>
          <w:snapToGrid w:val="0"/>
        </w:rPr>
        <w:t>.</w:t>
      </w:r>
      <w:r>
        <w:rPr>
          <w:snapToGrid w:val="0"/>
        </w:rPr>
        <w:tab/>
        <w:t>Solicitor-client costs, limits on agreements as to</w:t>
      </w:r>
      <w:bookmarkEnd w:id="140"/>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[Section 87 inserted by No. 48 of 1993 s. 4(2); amended by No. 65 of 2003 s. 72(2); No. 21 of 2008 s. 713(2).]</w:t>
      </w:r>
    </w:p>
    <w:p>
      <w:pPr>
        <w:pStyle w:val="Ednotesection"/>
        <w:outlineLvl w:val="9"/>
      </w:pPr>
      <w:r>
        <w:t>[</w:t>
      </w:r>
      <w:r>
        <w:rPr>
          <w:b/>
        </w:rPr>
        <w:t>88</w:t>
      </w:r>
      <w:r>
        <w:rPr>
          <w:b/>
        </w:rPr>
        <w:noBreakHyphen/>
        <w:t>90.</w:t>
      </w:r>
      <w:r>
        <w:tab/>
        <w:t>Deleted by No. 48 of 1993 s. 4(2).]</w:t>
      </w:r>
    </w:p>
    <w:p>
      <w:pPr>
        <w:pStyle w:val="Heading5"/>
        <w:rPr>
          <w:snapToGrid w:val="0"/>
        </w:rPr>
      </w:pPr>
      <w:bookmarkStart w:id="141" w:name="_Toc472604704"/>
      <w:r>
        <w:rPr>
          <w:rStyle w:val="CharSectno"/>
        </w:rPr>
        <w:t>91</w:t>
      </w:r>
      <w:r>
        <w:rPr>
          <w:snapToGrid w:val="0"/>
        </w:rPr>
        <w:t>.</w:t>
      </w:r>
      <w:r>
        <w:rPr>
          <w:snapToGrid w:val="0"/>
        </w:rPr>
        <w:tab/>
        <w:t>Court’s duties where action for damages unsuccessful but workers’ compensation is payable</w:t>
      </w:r>
      <w:bookmarkEnd w:id="141"/>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by No. 48 of 1993 s. 28(1); No. 42 of 2004 s. 68 and 147; No. 31 of 2011 s. 28.]</w:t>
      </w:r>
    </w:p>
    <w:p>
      <w:pPr>
        <w:pStyle w:val="Heading5"/>
        <w:rPr>
          <w:snapToGrid w:val="0"/>
        </w:rPr>
      </w:pPr>
      <w:bookmarkStart w:id="142" w:name="_Toc472604705"/>
      <w:r>
        <w:rPr>
          <w:rStyle w:val="CharSectno"/>
        </w:rPr>
        <w:t>92</w:t>
      </w:r>
      <w:r>
        <w:rPr>
          <w:snapToGrid w:val="0"/>
        </w:rPr>
        <w:t>.</w:t>
      </w:r>
      <w:r>
        <w:rPr>
          <w:snapToGrid w:val="0"/>
        </w:rPr>
        <w:tab/>
        <w:t>Both damages and workers’ compensation not recoverable</w:t>
      </w:r>
      <w:bookmarkEnd w:id="142"/>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by No. 48 of 1993 s. 28(1); No. 42 of 2004 s. 69, 146 and 147.]</w:t>
      </w:r>
    </w:p>
    <w:p>
      <w:pPr>
        <w:pStyle w:val="Heading5"/>
        <w:rPr>
          <w:snapToGrid w:val="0"/>
        </w:rPr>
      </w:pPr>
      <w:bookmarkStart w:id="143" w:name="_Toc472604706"/>
      <w:r>
        <w:rPr>
          <w:rStyle w:val="CharSectno"/>
        </w:rPr>
        <w:t>93</w:t>
      </w:r>
      <w:r>
        <w:rPr>
          <w:snapToGrid w:val="0"/>
        </w:rPr>
        <w:t>.</w:t>
      </w:r>
      <w:r>
        <w:rPr>
          <w:snapToGrid w:val="0"/>
        </w:rPr>
        <w:tab/>
        <w:t>Remedies against non-employers</w:t>
      </w:r>
      <w:bookmarkEnd w:id="143"/>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by No. 48 of 1993 s. 28(1); No. 42 of 2004 s. 70 and 147.]</w:t>
      </w:r>
    </w:p>
    <w:p>
      <w:pPr>
        <w:pStyle w:val="Heading3"/>
        <w:keepLines/>
        <w:spacing w:before="220"/>
      </w:pPr>
      <w:bookmarkStart w:id="144" w:name="_Toc472604707"/>
      <w:r>
        <w:rPr>
          <w:rStyle w:val="CharDivNo"/>
        </w:rPr>
        <w:t>Division 1a</w:t>
      </w:r>
      <w:r>
        <w:t> — </w:t>
      </w:r>
      <w:r>
        <w:rPr>
          <w:rStyle w:val="CharDivText"/>
        </w:rPr>
        <w:t>Choice of law</w:t>
      </w:r>
      <w:bookmarkEnd w:id="144"/>
    </w:p>
    <w:p>
      <w:pPr>
        <w:pStyle w:val="Footnoteheading"/>
        <w:keepNext/>
        <w:keepLines/>
        <w:tabs>
          <w:tab w:val="left" w:pos="851"/>
        </w:tabs>
        <w:spacing w:before="100"/>
      </w:pPr>
      <w:r>
        <w:tab/>
        <w:t>[Heading inserted by No. 36 of 2004 s. 10.]</w:t>
      </w:r>
    </w:p>
    <w:p>
      <w:pPr>
        <w:pStyle w:val="Heading5"/>
        <w:spacing w:before="180"/>
      </w:pPr>
      <w:bookmarkStart w:id="145" w:name="_Toc472604708"/>
      <w:r>
        <w:rPr>
          <w:rStyle w:val="CharSectno"/>
        </w:rPr>
        <w:t>93AA</w:t>
      </w:r>
      <w:r>
        <w:t>.</w:t>
      </w:r>
      <w:r>
        <w:tab/>
        <w:t>Applicable substantive law for work injury claims</w:t>
      </w:r>
      <w:bookmarkEnd w:id="145"/>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by No. 36 of 2004 s. 10; amended by No. 36 of 2004 s. 16 and 17(4).]</w:t>
      </w:r>
    </w:p>
    <w:p>
      <w:pPr>
        <w:pStyle w:val="Heading5"/>
      </w:pPr>
      <w:bookmarkStart w:id="146" w:name="_Toc472604709"/>
      <w:r>
        <w:rPr>
          <w:rStyle w:val="CharSectno"/>
        </w:rPr>
        <w:t>93AB</w:t>
      </w:r>
      <w:r>
        <w:t>.</w:t>
      </w:r>
      <w:r>
        <w:tab/>
        <w:t>Claims to which Division applies</w:t>
      </w:r>
      <w:bookmarkEnd w:id="146"/>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47" w:name="_Toc472604710"/>
      <w:r>
        <w:rPr>
          <w:rStyle w:val="CharSectno"/>
        </w:rPr>
        <w:t>93AC</w:t>
      </w:r>
      <w:r>
        <w:t>.</w:t>
      </w:r>
      <w:r>
        <w:tab/>
        <w:t>Terms used</w:t>
      </w:r>
      <w:bookmarkEnd w:id="147"/>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by No. 36 of 2004 s. 10; amended by No. 36 of 2004 s. 17(1).]</w:t>
      </w:r>
    </w:p>
    <w:p>
      <w:pPr>
        <w:pStyle w:val="Heading5"/>
      </w:pPr>
      <w:bookmarkStart w:id="148" w:name="_Toc472604711"/>
      <w:r>
        <w:rPr>
          <w:rStyle w:val="CharSectno"/>
        </w:rPr>
        <w:t>93AD</w:t>
      </w:r>
      <w:r>
        <w:t>.</w:t>
      </w:r>
      <w:r>
        <w:tab/>
        <w:t>Claim in respect of death included</w:t>
      </w:r>
      <w:bookmarkEnd w:id="148"/>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49" w:name="_Toc472604712"/>
      <w:r>
        <w:rPr>
          <w:rStyle w:val="CharSectno"/>
        </w:rPr>
        <w:t>93AE</w:t>
      </w:r>
      <w:r>
        <w:t>.</w:t>
      </w:r>
      <w:r>
        <w:tab/>
        <w:t>Terms used</w:t>
      </w:r>
      <w:bookmarkEnd w:id="149"/>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50" w:name="_Toc472604713"/>
      <w:r>
        <w:rPr>
          <w:rStyle w:val="CharSectno"/>
        </w:rPr>
        <w:t>93AF</w:t>
      </w:r>
      <w:r>
        <w:t>.</w:t>
      </w:r>
      <w:r>
        <w:tab/>
        <w:t>Availability of action in another State not relevant</w:t>
      </w:r>
      <w:bookmarkEnd w:id="150"/>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pPr>
      <w:bookmarkStart w:id="151" w:name="_Toc472604714"/>
      <w:r>
        <w:rPr>
          <w:rStyle w:val="CharDivNo"/>
        </w:rPr>
        <w:t>Division 2</w:t>
      </w:r>
      <w:r>
        <w:rPr>
          <w:snapToGrid w:val="0"/>
        </w:rPr>
        <w:t> — </w:t>
      </w:r>
      <w:r>
        <w:rPr>
          <w:rStyle w:val="CharDivText"/>
        </w:rPr>
        <w:t>Constraints on awards of common law damages</w:t>
      </w:r>
      <w:bookmarkEnd w:id="151"/>
    </w:p>
    <w:p>
      <w:pPr>
        <w:pStyle w:val="Footnoteheading"/>
        <w:keepNext/>
        <w:keepLines/>
        <w:rPr>
          <w:snapToGrid w:val="0"/>
        </w:rPr>
      </w:pPr>
      <w:r>
        <w:rPr>
          <w:snapToGrid w:val="0"/>
        </w:rPr>
        <w:tab/>
        <w:t>[Heading inserted by No. 48 of 1993 s. 4(3).]</w:t>
      </w:r>
    </w:p>
    <w:p>
      <w:pPr>
        <w:pStyle w:val="Heading4"/>
        <w:keepLines/>
      </w:pPr>
      <w:bookmarkStart w:id="152" w:name="_Toc472604715"/>
      <w:r>
        <w:t>Subdivision 1 — Preliminary provisions</w:t>
      </w:r>
      <w:bookmarkEnd w:id="152"/>
    </w:p>
    <w:p>
      <w:pPr>
        <w:pStyle w:val="Footnoteheading"/>
        <w:keepNext/>
        <w:keepLines/>
      </w:pPr>
      <w:r>
        <w:tab/>
        <w:t>[Heading inserted by No. 42 of 2004 s. 71.]</w:t>
      </w:r>
    </w:p>
    <w:p>
      <w:pPr>
        <w:pStyle w:val="Heading5"/>
        <w:rPr>
          <w:snapToGrid w:val="0"/>
        </w:rPr>
      </w:pPr>
      <w:bookmarkStart w:id="153" w:name="_Toc472604716"/>
      <w:r>
        <w:rPr>
          <w:rStyle w:val="CharSectno"/>
        </w:rPr>
        <w:t>93A</w:t>
      </w:r>
      <w:r>
        <w:rPr>
          <w:snapToGrid w:val="0"/>
        </w:rPr>
        <w:t>.</w:t>
      </w:r>
      <w:r>
        <w:rPr>
          <w:snapToGrid w:val="0"/>
        </w:rPr>
        <w:tab/>
        <w:t>Term used: damages</w:t>
      </w:r>
      <w:bookmarkEnd w:id="153"/>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by No. 48 of 1993 s. 4(3); amended by No. 34 of 1999 s. 32(3); No. 42 of 2004 s. 72.]</w:t>
      </w:r>
    </w:p>
    <w:p>
      <w:pPr>
        <w:pStyle w:val="Heading5"/>
        <w:rPr>
          <w:snapToGrid w:val="0"/>
        </w:rPr>
      </w:pPr>
      <w:bookmarkStart w:id="154" w:name="_Toc472604717"/>
      <w:r>
        <w:rPr>
          <w:rStyle w:val="CharSectno"/>
        </w:rPr>
        <w:t>93B</w:t>
      </w:r>
      <w:r>
        <w:rPr>
          <w:snapToGrid w:val="0"/>
        </w:rPr>
        <w:t>.</w:t>
      </w:r>
      <w:r>
        <w:rPr>
          <w:snapToGrid w:val="0"/>
        </w:rPr>
        <w:tab/>
        <w:t>Application of this Division</w:t>
      </w:r>
      <w:bookmarkEnd w:id="154"/>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by No. 48 of 1993 s. 4(3); amended by No. 34 of 1999 s. 32(4); No. 42 of 2004 s. 73; No. 16 of 2005 s. 10.]</w:t>
      </w:r>
    </w:p>
    <w:p>
      <w:pPr>
        <w:pStyle w:val="Heading5"/>
        <w:rPr>
          <w:snapToGrid w:val="0"/>
        </w:rPr>
      </w:pPr>
      <w:bookmarkStart w:id="155" w:name="_Toc472604718"/>
      <w:r>
        <w:rPr>
          <w:rStyle w:val="CharSectno"/>
        </w:rPr>
        <w:t>93C</w:t>
      </w:r>
      <w:r>
        <w:rPr>
          <w:snapToGrid w:val="0"/>
        </w:rPr>
        <w:t>.</w:t>
      </w:r>
      <w:r>
        <w:rPr>
          <w:snapToGrid w:val="0"/>
        </w:rPr>
        <w:tab/>
        <w:t>Limit on powers of courts to award damages</w:t>
      </w:r>
      <w:bookmarkEnd w:id="155"/>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by No. 48 of 1993 s. 4(3).]</w:t>
      </w:r>
    </w:p>
    <w:p>
      <w:pPr>
        <w:pStyle w:val="Heading4"/>
        <w:keepLines/>
      </w:pPr>
      <w:bookmarkStart w:id="156" w:name="_Toc472604719"/>
      <w:r>
        <w:t>Subdivision 2 — 1993 scheme</w:t>
      </w:r>
      <w:bookmarkEnd w:id="156"/>
    </w:p>
    <w:p>
      <w:pPr>
        <w:pStyle w:val="Footnoteheading"/>
        <w:keepNext/>
        <w:keepLines/>
        <w:spacing w:before="100"/>
      </w:pPr>
      <w:r>
        <w:tab/>
        <w:t>[Heading inserted by No. 42 of 2004 s. 74.]</w:t>
      </w:r>
    </w:p>
    <w:p>
      <w:pPr>
        <w:pStyle w:val="Heading5"/>
      </w:pPr>
      <w:bookmarkStart w:id="157" w:name="_Toc472604720"/>
      <w:r>
        <w:rPr>
          <w:rStyle w:val="CharSectno"/>
        </w:rPr>
        <w:t>93CA</w:t>
      </w:r>
      <w:r>
        <w:t>.</w:t>
      </w:r>
      <w:r>
        <w:tab/>
        <w:t>Term used: AMA Guides</w:t>
      </w:r>
      <w:bookmarkEnd w:id="157"/>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by No. 42 of 2004 s. 75.]</w:t>
      </w:r>
    </w:p>
    <w:p>
      <w:pPr>
        <w:pStyle w:val="Heading5"/>
      </w:pPr>
      <w:bookmarkStart w:id="158" w:name="_Toc472604721"/>
      <w:r>
        <w:rPr>
          <w:rStyle w:val="CharSectno"/>
        </w:rPr>
        <w:t>93CB</w:t>
      </w:r>
      <w:r>
        <w:t>.</w:t>
      </w:r>
      <w:r>
        <w:tab/>
        <w:t>Limits on application of this Subdivision</w:t>
      </w:r>
      <w:bookmarkEnd w:id="158"/>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by No. 42 of 2004 s. 75.]</w:t>
      </w:r>
    </w:p>
    <w:p>
      <w:pPr>
        <w:pStyle w:val="Heading5"/>
      </w:pPr>
      <w:bookmarkStart w:id="159" w:name="_Toc472604722"/>
      <w:r>
        <w:rPr>
          <w:rStyle w:val="CharSectno"/>
        </w:rPr>
        <w:t>93CC</w:t>
      </w:r>
      <w:r>
        <w:t>.</w:t>
      </w:r>
      <w:r>
        <w:tab/>
        <w:t>Application of this Subdivision</w:t>
      </w:r>
      <w:bookmarkEnd w:id="159"/>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60" w:name="_Toc472604723"/>
      <w:r>
        <w:rPr>
          <w:rStyle w:val="CharSectno"/>
        </w:rPr>
        <w:t>93D</w:t>
      </w:r>
      <w:r>
        <w:t>.</w:t>
      </w:r>
      <w:r>
        <w:tab/>
        <w:t>Degree of disability, assessing</w:t>
      </w:r>
      <w:bookmarkEnd w:id="160"/>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pPr>
      <w:r>
        <w:tab/>
      </w:r>
      <w:r>
        <w:rPr>
          <w:position w:val="-24"/>
        </w:rPr>
        <w:object w:dxaOrig="1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31.5pt" o:ole="" fillcolor="window">
            <v:imagedata r:id="rId21" o:title=""/>
          </v:shape>
          <o:OLEObject Type="Embed" ProgID="Equation.3" ShapeID="_x0000_i1025" DrawAspect="Content" ObjectID="_1643863134" r:id="rId22"/>
        </w:object>
      </w:r>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pPr>
      <w:r>
        <w:tab/>
      </w:r>
      <w:r>
        <w:tab/>
      </w:r>
      <w:r>
        <w:object w:dxaOrig="1240" w:dyaOrig="620">
          <v:shape id="_x0000_i1026" type="#_x0000_t75" style="width:62.25pt;height:31.5pt" o:ole="" fillcolor="window">
            <v:imagedata r:id="rId23" o:title=""/>
          </v:shape>
          <o:OLEObject Type="Embed" ProgID="Equation.3" ShapeID="_x0000_i1026" DrawAspect="Content" ObjectID="_1643863135" r:id="rId24"/>
        </w:object>
      </w:r>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w:r>
        <w:object w:dxaOrig="3960" w:dyaOrig="680">
          <v:shape id="_x0000_i1027" type="#_x0000_t75" style="width:199.5pt;height:33pt" o:ole="" fillcolor="window">
            <v:imagedata r:id="rId25" o:title=""/>
          </v:shape>
          <o:OLEObject Type="Embed" ProgID="Equation.3" ShapeID="_x0000_i1027" DrawAspect="Content" ObjectID="_1643863136" r:id="rId26"/>
        </w:object>
      </w:r>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w:r>
        <w:object w:dxaOrig="3460" w:dyaOrig="680">
          <v:shape id="_x0000_i1028" type="#_x0000_t75" style="width:173.25pt;height:33pt" o:ole="" fillcolor="window">
            <v:imagedata r:id="rId27" o:title=""/>
          </v:shape>
          <o:OLEObject Type="Embed" ProgID="Equation.3" ShapeID="_x0000_i1028" DrawAspect="Content" ObjectID="_1643863137" r:id="rId28"/>
        </w:obje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r>
      <w:smartTag w:uri="urn:schemas-microsoft-com:office:smarttags" w:element="State">
        <w:smartTag w:uri="urn:schemas-microsoft-com:office:smarttags" w:element="place">
          <w:r>
            <w:t>del</w:t>
          </w:r>
        </w:smartTag>
      </w:smartTag>
      <w:r>
        <w:t>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by No. 34 of 1999 s. 32(5); amended by No. 42 of 2004 s. 76, 146 and 147; No. 31 of 2011 s. 29.]</w:t>
      </w:r>
    </w:p>
    <w:p>
      <w:pPr>
        <w:pStyle w:val="Heading5"/>
        <w:spacing w:before="200"/>
      </w:pPr>
      <w:bookmarkStart w:id="161" w:name="_Toc472604724"/>
      <w:r>
        <w:rPr>
          <w:rStyle w:val="CharSectno"/>
        </w:rPr>
        <w:t>93E</w:t>
      </w:r>
      <w:r>
        <w:t>.</w:t>
      </w:r>
      <w:r>
        <w:tab/>
        <w:t>Constraints on awards and paying compensation</w:t>
      </w:r>
      <w:bookmarkEnd w:id="161"/>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62" w:name="_Toc472604725"/>
      <w:r>
        <w:rPr>
          <w:rStyle w:val="CharSectno"/>
        </w:rPr>
        <w:t>93EA</w:t>
      </w:r>
      <w:r>
        <w:t>.</w:t>
      </w:r>
      <w:r>
        <w:tab/>
        <w:t>Questions as to degree of disability, referral of to Director in some cases due to new evidence</w:t>
      </w:r>
      <w:bookmarkEnd w:id="16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63" w:name="_Toc472604726"/>
      <w:r>
        <w:rPr>
          <w:rStyle w:val="CharSectno"/>
        </w:rPr>
        <w:t>93EB</w:t>
      </w:r>
      <w:r>
        <w:t>.</w:t>
      </w:r>
      <w:r>
        <w:tab/>
        <w:t>Questions as to degree of disability, referral of to Director in some other cases</w:t>
      </w:r>
      <w:bookmarkEnd w:id="163"/>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pPr>
      <w:bookmarkStart w:id="164" w:name="_Toc472604727"/>
      <w:r>
        <w:rPr>
          <w:rStyle w:val="CharSectno"/>
        </w:rPr>
        <w:t>93EC</w:t>
      </w:r>
      <w:r>
        <w:t>.</w:t>
      </w:r>
      <w:r>
        <w:tab/>
        <w:t>Time for commencing action for damages extended in some cases</w:t>
      </w:r>
      <w:bookmarkEnd w:id="164"/>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by No. 35 of 2004 s. 10; amended by No. 42 of 2004 s. 146 and 147.]</w:t>
      </w:r>
    </w:p>
    <w:p>
      <w:pPr>
        <w:pStyle w:val="Heading5"/>
      </w:pPr>
      <w:bookmarkStart w:id="165" w:name="_Toc472604728"/>
      <w:r>
        <w:rPr>
          <w:rStyle w:val="CharSectno"/>
        </w:rPr>
        <w:t>93F</w:t>
      </w:r>
      <w:r>
        <w:t>.</w:t>
      </w:r>
      <w:r>
        <w:tab/>
        <w:t>Degree of disability less than 30%, constraints on awards</w:t>
      </w:r>
      <w:bookmarkEnd w:id="165"/>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66" w:name="_Toc472604729"/>
      <w:r>
        <w:rPr>
          <w:rStyle w:val="CharSectno"/>
        </w:rPr>
        <w:t>93G</w:t>
      </w:r>
      <w:r>
        <w:t>.</w:t>
      </w:r>
      <w:r>
        <w:tab/>
        <w:t>Regulations for this Subdivision</w:t>
      </w:r>
      <w:bookmarkEnd w:id="166"/>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67" w:name="_Toc472604730"/>
      <w:r>
        <w:t>Subdivision 3 — 2004 scheme</w:t>
      </w:r>
      <w:bookmarkEnd w:id="167"/>
    </w:p>
    <w:p>
      <w:pPr>
        <w:pStyle w:val="Footnoteheading"/>
        <w:keepNext/>
        <w:keepLines/>
      </w:pPr>
      <w:r>
        <w:tab/>
        <w:t>[Heading inserted by No. 42 of 2004 s. 79.]</w:t>
      </w:r>
    </w:p>
    <w:p>
      <w:pPr>
        <w:pStyle w:val="Heading5"/>
      </w:pPr>
      <w:bookmarkStart w:id="168" w:name="_Toc472604731"/>
      <w:r>
        <w:rPr>
          <w:rStyle w:val="CharSectno"/>
        </w:rPr>
        <w:t>93H</w:t>
      </w:r>
      <w:r>
        <w:t>.</w:t>
      </w:r>
      <w:r>
        <w:tab/>
        <w:t>Terms used</w:t>
      </w:r>
      <w:bookmarkEnd w:id="168"/>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by No. 42 of 2004 s. 79.]</w:t>
      </w:r>
    </w:p>
    <w:p>
      <w:pPr>
        <w:pStyle w:val="Heading5"/>
      </w:pPr>
      <w:bookmarkStart w:id="169" w:name="_Toc472604732"/>
      <w:r>
        <w:rPr>
          <w:rStyle w:val="CharSectno"/>
        </w:rPr>
        <w:t>93I</w:t>
      </w:r>
      <w:r>
        <w:t>.</w:t>
      </w:r>
      <w:r>
        <w:tab/>
        <w:t>Application of this Subdivision</w:t>
      </w:r>
      <w:bookmarkEnd w:id="169"/>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by No. 42 of 2004 s. 79; amended by No. 20 of 2005 s. 22.]</w:t>
      </w:r>
    </w:p>
    <w:p>
      <w:pPr>
        <w:pStyle w:val="Heading5"/>
        <w:spacing w:before="180"/>
      </w:pPr>
      <w:bookmarkStart w:id="170" w:name="_Toc472604733"/>
      <w:r>
        <w:rPr>
          <w:rStyle w:val="CharSectno"/>
        </w:rPr>
        <w:t>93J</w:t>
      </w:r>
      <w:r>
        <w:t>.</w:t>
      </w:r>
      <w:r>
        <w:tab/>
        <w:t>No damages for noise induced hearing loss if not an injury</w:t>
      </w:r>
      <w:bookmarkEnd w:id="170"/>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by No. 42 of 2004 s. 79.]</w:t>
      </w:r>
    </w:p>
    <w:p>
      <w:pPr>
        <w:pStyle w:val="Heading5"/>
        <w:keepLines w:val="0"/>
        <w:spacing w:before="180"/>
      </w:pPr>
      <w:bookmarkStart w:id="171" w:name="_Toc472604734"/>
      <w:r>
        <w:rPr>
          <w:rStyle w:val="CharSectno"/>
        </w:rPr>
        <w:t>93K</w:t>
      </w:r>
      <w:r>
        <w:t>.</w:t>
      </w:r>
      <w:r>
        <w:tab/>
        <w:t>Constraints on awards</w:t>
      </w:r>
      <w:bookmarkEnd w:id="171"/>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by No. 42 of 2004 s. 79; amended by No. 31 of 2011 s. 96.]</w:t>
      </w:r>
    </w:p>
    <w:p>
      <w:pPr>
        <w:pStyle w:val="Heading5"/>
      </w:pPr>
      <w:bookmarkStart w:id="172" w:name="_Toc472604735"/>
      <w:r>
        <w:rPr>
          <w:rStyle w:val="CharSectno"/>
        </w:rPr>
        <w:t>93L</w:t>
      </w:r>
      <w:r>
        <w:t>.</w:t>
      </w:r>
      <w:r>
        <w:tab/>
        <w:t>Election under s. 93K to retain right to seek damages</w:t>
      </w:r>
      <w:bookmarkEnd w:id="172"/>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by No. 42 of 2004 s. 79.]</w:t>
      </w:r>
    </w:p>
    <w:p>
      <w:pPr>
        <w:pStyle w:val="Heading5"/>
      </w:pPr>
      <w:bookmarkStart w:id="173" w:name="_Toc472604736"/>
      <w:r>
        <w:rPr>
          <w:rStyle w:val="CharSectno"/>
        </w:rPr>
        <w:t>93M</w:t>
      </w:r>
      <w:r>
        <w:t>.</w:t>
      </w:r>
      <w:r>
        <w:tab/>
        <w:t>Termination day defined</w:t>
      </w:r>
      <w:bookmarkEnd w:id="173"/>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by No. 42 of 2004 s. 79.]</w:t>
      </w:r>
    </w:p>
    <w:p>
      <w:pPr>
        <w:pStyle w:val="Heading5"/>
        <w:spacing w:before="200"/>
      </w:pPr>
      <w:bookmarkStart w:id="174" w:name="_Toc472604737"/>
      <w:r>
        <w:rPr>
          <w:rStyle w:val="CharSectno"/>
        </w:rPr>
        <w:t>93N</w:t>
      </w:r>
      <w:r>
        <w:t>.</w:t>
      </w:r>
      <w:r>
        <w:tab/>
        <w:t>Special evaluation if worker’s condition has not stabilised sufficiently</w:t>
      </w:r>
      <w:bookmarkEnd w:id="174"/>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by No. 42 of 2004 s. 79.]</w:t>
      </w:r>
    </w:p>
    <w:p>
      <w:pPr>
        <w:pStyle w:val="Heading5"/>
      </w:pPr>
      <w:bookmarkStart w:id="175" w:name="_Toc472604738"/>
      <w:r>
        <w:rPr>
          <w:rStyle w:val="CharSectno"/>
        </w:rPr>
        <w:t>93O</w:t>
      </w:r>
      <w:r>
        <w:t>.</w:t>
      </w:r>
      <w:r>
        <w:tab/>
        <w:t>Employer to give worker notice of certain things</w:t>
      </w:r>
      <w:bookmarkEnd w:id="175"/>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by No. 42 of 2004 s. 79.]</w:t>
      </w:r>
    </w:p>
    <w:p>
      <w:pPr>
        <w:pStyle w:val="Heading5"/>
      </w:pPr>
      <w:bookmarkStart w:id="176" w:name="_Toc472604739"/>
      <w:r>
        <w:rPr>
          <w:rStyle w:val="CharSectno"/>
        </w:rPr>
        <w:t>93P</w:t>
      </w:r>
      <w:r>
        <w:t>.</w:t>
      </w:r>
      <w:r>
        <w:tab/>
        <w:t>Election under s. 93K, effect of on compensation</w:t>
      </w:r>
      <w:bookmarkEnd w:id="17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by No. 42 of 2004 s. 79.]</w:t>
      </w:r>
    </w:p>
    <w:p>
      <w:pPr>
        <w:pStyle w:val="Heading5"/>
      </w:pPr>
      <w:bookmarkStart w:id="177" w:name="_Toc472604740"/>
      <w:r>
        <w:rPr>
          <w:rStyle w:val="CharSectno"/>
        </w:rPr>
        <w:t>93Q</w:t>
      </w:r>
      <w:r>
        <w:t>.</w:t>
      </w:r>
      <w:r>
        <w:tab/>
        <w:t>HIV and AIDS, special provisions about</w:t>
      </w:r>
      <w:bookmarkEnd w:id="177"/>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by No. 42 of 2004 s. 79.]</w:t>
      </w:r>
    </w:p>
    <w:p>
      <w:pPr>
        <w:pStyle w:val="Heading5"/>
      </w:pPr>
      <w:bookmarkStart w:id="178" w:name="_Toc472604741"/>
      <w:r>
        <w:rPr>
          <w:rStyle w:val="CharSectno"/>
        </w:rPr>
        <w:t>93R</w:t>
      </w:r>
      <w:r>
        <w:t>.</w:t>
      </w:r>
      <w:r>
        <w:tab/>
        <w:t>Some lung diseases, special provisions about</w:t>
      </w:r>
      <w:bookmarkEnd w:id="178"/>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by No. 42 of 2004 s. 79.]</w:t>
      </w:r>
    </w:p>
    <w:p>
      <w:pPr>
        <w:pStyle w:val="Heading5"/>
      </w:pPr>
      <w:bookmarkStart w:id="179" w:name="_Toc472604742"/>
      <w:r>
        <w:rPr>
          <w:rStyle w:val="CharSectno"/>
        </w:rPr>
        <w:t>93S</w:t>
      </w:r>
      <w:r>
        <w:t>.</w:t>
      </w:r>
      <w:r>
        <w:tab/>
        <w:t>Regulations for this Subdivision</w:t>
      </w:r>
      <w:bookmarkEnd w:id="179"/>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80" w:name="_Toc472604743"/>
      <w:r>
        <w:rPr>
          <w:rStyle w:val="CharPartNo"/>
        </w:rPr>
        <w:t>Part V </w:t>
      </w:r>
      <w:r>
        <w:t>—</w:t>
      </w:r>
      <w:r>
        <w:rPr>
          <w:b w:val="0"/>
        </w:rPr>
        <w:t> </w:t>
      </w:r>
      <w:r>
        <w:rPr>
          <w:rStyle w:val="CharPartText"/>
        </w:rPr>
        <w:t xml:space="preserve">WorkCover Western </w:t>
      </w:r>
      <w:smartTag w:uri="urn:schemas-microsoft-com:office:smarttags" w:element="place">
        <w:smartTag w:uri="urn:schemas-microsoft-com:office:smarttags" w:element="country-region">
          <w:r>
            <w:rPr>
              <w:rStyle w:val="CharPartText"/>
            </w:rPr>
            <w:t>Australia</w:t>
          </w:r>
        </w:smartTag>
      </w:smartTag>
      <w:r>
        <w:rPr>
          <w:rStyle w:val="CharPartText"/>
        </w:rPr>
        <w:t> Authority</w:t>
      </w:r>
      <w:bookmarkEnd w:id="180"/>
    </w:p>
    <w:p>
      <w:pPr>
        <w:pStyle w:val="Footnoteheading"/>
        <w:rPr>
          <w:snapToGrid w:val="0"/>
        </w:rPr>
      </w:pPr>
      <w:r>
        <w:rPr>
          <w:snapToGrid w:val="0"/>
        </w:rPr>
        <w:tab/>
        <w:t>[Heading inserted by No. 42 of 2004 s. 80.]</w:t>
      </w:r>
    </w:p>
    <w:p>
      <w:pPr>
        <w:pStyle w:val="Heading3"/>
      </w:pPr>
      <w:bookmarkStart w:id="181" w:name="_Toc472604744"/>
      <w:r>
        <w:rPr>
          <w:rStyle w:val="CharDivNo"/>
        </w:rPr>
        <w:t>Division 1</w:t>
      </w:r>
      <w:r>
        <w:rPr>
          <w:snapToGrid w:val="0"/>
        </w:rPr>
        <w:t> — </w:t>
      </w:r>
      <w:r>
        <w:rPr>
          <w:rStyle w:val="CharDivText"/>
        </w:rPr>
        <w:t>Constitution, purposes, and powers</w:t>
      </w:r>
      <w:bookmarkEnd w:id="181"/>
    </w:p>
    <w:p>
      <w:pPr>
        <w:pStyle w:val="Heading5"/>
        <w:rPr>
          <w:snapToGrid w:val="0"/>
        </w:rPr>
      </w:pPr>
      <w:bookmarkStart w:id="182" w:name="_Toc472604745"/>
      <w:r>
        <w:rPr>
          <w:rStyle w:val="CharSectno"/>
        </w:rPr>
        <w:t>94</w:t>
      </w:r>
      <w:r>
        <w:rPr>
          <w:snapToGrid w:val="0"/>
        </w:rPr>
        <w:t>.</w:t>
      </w:r>
      <w:r>
        <w:rPr>
          <w:snapToGrid w:val="0"/>
        </w:rPr>
        <w:tab/>
        <w:t>WorkCover Western Australia Authority, nature of etc.</w:t>
      </w:r>
      <w:bookmarkEnd w:id="182"/>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w:t>
      </w:r>
      <w:smartTag w:uri="urn:schemas-microsoft-com:office:smarttags" w:element="place">
        <w:smartTag w:uri="urn:schemas-microsoft-com:office:smarttags" w:element="country-region">
          <w:r>
            <w:t>Australia</w:t>
          </w:r>
        </w:smartTag>
      </w:smartTag>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smartTag w:uri="urn:schemas-microsoft-com:office:smarttags" w:element="City">
        <w:r>
          <w:t>WorkCover</w:t>
        </w:r>
      </w:smartTag>
      <w:r>
        <w:t xml:space="preserve"> </w:t>
      </w:r>
      <w:smartTag w:uri="urn:schemas-microsoft-com:office:smarttags" w:element="State">
        <w:r>
          <w:t>WA</w:t>
        </w:r>
      </w:smartTag>
      <w:r>
        <w:rPr>
          <w:snapToGrid w:val="0"/>
        </w:rPr>
        <w:t xml:space="preserve"> who uses or operates under the name mentioned in subsection (1), or any name that is so similar that it is likely to be misunderstood as referring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commits an offence.</w:t>
      </w:r>
    </w:p>
    <w:p>
      <w:pPr>
        <w:pStyle w:val="Footnotesection"/>
      </w:pPr>
      <w:r>
        <w:tab/>
        <w:t>[Section 94 amended by No. 86 of 1986 s. 8; No. 48 of 1993 s. 40; No. 42 of 2004 s. 81 and 150.]</w:t>
      </w:r>
    </w:p>
    <w:p>
      <w:pPr>
        <w:pStyle w:val="Heading5"/>
      </w:pPr>
      <w:bookmarkStart w:id="183" w:name="_Toc472604746"/>
      <w:r>
        <w:rPr>
          <w:rStyle w:val="CharSectno"/>
        </w:rPr>
        <w:t>95</w:t>
      </w:r>
      <w:r>
        <w:t>.</w:t>
      </w:r>
      <w:r>
        <w:tab/>
        <w:t xml:space="preserve">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83"/>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 xml:space="preserve">4 persons appointed by the Governor, on the recommendation of the Minister, as members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spacing w:before="800"/>
        <w:rPr>
          <w:snapToGrid w:val="0"/>
        </w:rPr>
      </w:pPr>
      <w:bookmarkStart w:id="184" w:name="_Toc472604747"/>
      <w:r>
        <w:rPr>
          <w:rStyle w:val="CharSectno"/>
        </w:rPr>
        <w:t>96</w:t>
      </w:r>
      <w:r>
        <w:rPr>
          <w:snapToGrid w:val="0"/>
        </w:rPr>
        <w:t>.</w:t>
      </w:r>
      <w:r>
        <w:rPr>
          <w:snapToGrid w:val="0"/>
        </w:rPr>
        <w:tab/>
        <w:t>Term of office of governing body’s nominee members</w:t>
      </w:r>
      <w:bookmarkEnd w:id="184"/>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185" w:name="_Toc472604748"/>
      <w:r>
        <w:rPr>
          <w:rStyle w:val="CharSectno"/>
        </w:rPr>
        <w:t>97</w:t>
      </w:r>
      <w:r>
        <w:rPr>
          <w:snapToGrid w:val="0"/>
        </w:rPr>
        <w:t>.</w:t>
      </w:r>
      <w:r>
        <w:rPr>
          <w:snapToGrid w:val="0"/>
        </w:rPr>
        <w:tab/>
        <w:t>Meetings</w:t>
      </w:r>
      <w:bookmarkEnd w:id="185"/>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 xml:space="preserve">Division 1AA is about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governing body</w:t>
      </w:r>
      <w:r>
        <w:rPr>
          <w:snapToGrid w:val="0"/>
        </w:rPr>
        <w:t xml:space="preserve"> may determine its own procedure.</w:t>
      </w:r>
    </w:p>
    <w:p>
      <w:pPr>
        <w:pStyle w:val="Footnotesection"/>
      </w:pPr>
      <w:r>
        <w:tab/>
        <w:t>[Section 97 amended by No. 42 of 2004 s. 84, 150 and 151.]</w:t>
      </w:r>
    </w:p>
    <w:p>
      <w:pPr>
        <w:pStyle w:val="Heading5"/>
        <w:rPr>
          <w:snapToGrid w:val="0"/>
        </w:rPr>
      </w:pPr>
      <w:bookmarkStart w:id="186" w:name="_Toc472604749"/>
      <w:r>
        <w:rPr>
          <w:rStyle w:val="CharSectno"/>
        </w:rPr>
        <w:t>98</w:t>
      </w:r>
      <w:r>
        <w:rPr>
          <w:snapToGrid w:val="0"/>
        </w:rPr>
        <w:t>.</w:t>
      </w:r>
      <w:r>
        <w:rPr>
          <w:snapToGrid w:val="0"/>
        </w:rPr>
        <w:tab/>
        <w:t>Vacancies etc. not to invalidate proceedings</w:t>
      </w:r>
      <w:bookmarkEnd w:id="186"/>
    </w:p>
    <w:p>
      <w:pPr>
        <w:pStyle w:val="Subsection"/>
        <w:rPr>
          <w:snapToGrid w:val="0"/>
        </w:rPr>
      </w:pPr>
      <w:r>
        <w:rPr>
          <w:snapToGrid w:val="0"/>
        </w:rPr>
        <w:tab/>
      </w:r>
      <w:r>
        <w:rPr>
          <w:snapToGrid w:val="0"/>
        </w:rPr>
        <w:tab/>
        <w:t xml:space="preserve">An act, proceeding, or determination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rPr>
          <w:snapToGrid w:val="0"/>
        </w:rPr>
      </w:pPr>
      <w:bookmarkStart w:id="187" w:name="_Toc472604750"/>
      <w:r>
        <w:rPr>
          <w:rStyle w:val="CharSectno"/>
        </w:rPr>
        <w:t>99</w:t>
      </w:r>
      <w:r>
        <w:t>.</w:t>
      </w:r>
      <w:r>
        <w:tab/>
      </w:r>
      <w:r>
        <w:rPr>
          <w:snapToGrid w:val="0"/>
        </w:rPr>
        <w:t>Conditions of appointment</w:t>
      </w:r>
      <w:bookmarkEnd w:id="187"/>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by No. 86 of 1986 s. 5; No. 42 of 2004 s. 86; No. 39 of 2010 s. 89.]</w:t>
      </w:r>
    </w:p>
    <w:p>
      <w:pPr>
        <w:pStyle w:val="Heading5"/>
      </w:pPr>
      <w:bookmarkStart w:id="188" w:name="_Toc472604751"/>
      <w:r>
        <w:rPr>
          <w:rStyle w:val="CharSectno"/>
        </w:rPr>
        <w:t>100</w:t>
      </w:r>
      <w:r>
        <w:t>.</w:t>
      </w:r>
      <w:r>
        <w:tab/>
        <w:t>Functions</w:t>
      </w:r>
      <w:bookmarkEnd w:id="188"/>
    </w:p>
    <w:p>
      <w:pPr>
        <w:pStyle w:val="Subsection"/>
      </w:pPr>
      <w:r>
        <w:tab/>
      </w:r>
      <w: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 xml:space="preserve">to advance or support the purposes of the Act or the performance of the other functions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 xml:space="preserve">any other matter referred by the Minister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its advice.</w:t>
      </w:r>
    </w:p>
    <w:p>
      <w:pPr>
        <w:pStyle w:val="Footnotesection"/>
      </w:pPr>
      <w:r>
        <w:tab/>
        <w:t>[Section 100 inserted by No. 31 of 2011 s. 97.]</w:t>
      </w:r>
    </w:p>
    <w:p>
      <w:pPr>
        <w:pStyle w:val="Heading5"/>
        <w:rPr>
          <w:snapToGrid w:val="0"/>
        </w:rPr>
      </w:pPr>
      <w:bookmarkStart w:id="189" w:name="_Toc472604752"/>
      <w:r>
        <w:rPr>
          <w:rStyle w:val="CharSectno"/>
        </w:rPr>
        <w:t>100A</w:t>
      </w:r>
      <w:r>
        <w:rPr>
          <w:snapToGrid w:val="0"/>
        </w:rPr>
        <w:t>.</w:t>
      </w:r>
      <w:r>
        <w:rPr>
          <w:snapToGrid w:val="0"/>
        </w:rPr>
        <w:tab/>
        <w:t>Advisory committees</w:t>
      </w:r>
      <w:bookmarkEnd w:id="189"/>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smartTag w:uri="urn:schemas-microsoft-com:office:smarttags" w:element="City">
        <w:r>
          <w:t>WorkCover</w:t>
        </w:r>
      </w:smartTag>
      <w:r>
        <w:t xml:space="preserve"> </w:t>
      </w:r>
      <w:smartTag w:uri="urn:schemas-microsoft-com:office:smarttags" w:element="State">
        <w:r>
          <w:t>WA</w:t>
        </w:r>
      </w:smartTag>
      <w:r>
        <w:rPr>
          <w:snapToGrid w:val="0"/>
        </w:rPr>
        <w:t xml:space="preserve"> and at least one of them is to be 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 xml:space="preserve">at least one member of </w:t>
      </w:r>
      <w:smartTag w:uri="urn:schemas-microsoft-com:office:smarttags" w:element="City">
        <w:r>
          <w:t>WorkCover</w:t>
        </w:r>
      </w:smartTag>
      <w:r>
        <w:t xml:space="preserve"> </w:t>
      </w:r>
      <w:smartTag w:uri="urn:schemas-microsoft-com:office:smarttags" w:element="State">
        <w:r>
          <w:t>WA</w:t>
        </w:r>
      </w:smartTag>
      <w:r>
        <w:t xml:space="preserve">’s governing body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 xml:space="preserve">such other members as are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by No. 96 of 1990 s. 22; amended by No. 49 of 1996 s. 64; No. 42 of 2004 s. 88 and 150; No. 77 of 2006 Sch. 1 cl. 189(9); No. 39 of 2010 s. 89.]</w:t>
      </w:r>
    </w:p>
    <w:p>
      <w:pPr>
        <w:pStyle w:val="Heading5"/>
      </w:pPr>
      <w:bookmarkStart w:id="190" w:name="_Toc472604753"/>
      <w:r>
        <w:rPr>
          <w:rStyle w:val="CharSectno"/>
        </w:rPr>
        <w:t>100B</w:t>
      </w:r>
      <w:r>
        <w:t>.</w:t>
      </w:r>
      <w:r>
        <w:tab/>
        <w:t>Disclosing information to occupational safety and health department</w:t>
      </w:r>
      <w:bookmarkEnd w:id="190"/>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191" w:name="_Toc472604754"/>
      <w:r>
        <w:rPr>
          <w:rStyle w:val="CharSectno"/>
        </w:rPr>
        <w:t>101</w:t>
      </w:r>
      <w:r>
        <w:rPr>
          <w:snapToGrid w:val="0"/>
        </w:rPr>
        <w:t>.</w:t>
      </w:r>
      <w:r>
        <w:rPr>
          <w:snapToGrid w:val="0"/>
        </w:rPr>
        <w:tab/>
        <w:t>Powers</w:t>
      </w:r>
      <w:bookmarkEnd w:id="191"/>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by No. 104 of 1984 s. 4; No. 86 of 1986 s. 5; No. 96 of 1990 s. 23; No. 34 of 1999 s. 34; No. 42 of 2004 s. 90 and 150; No. 77 of 2006 Sch. 1 cl. 189(9); No. 31 of 2011 s. 98.]</w:t>
      </w:r>
    </w:p>
    <w:p>
      <w:pPr>
        <w:pStyle w:val="Heading5"/>
      </w:pPr>
      <w:bookmarkStart w:id="192" w:name="_Toc472604755"/>
      <w:r>
        <w:rPr>
          <w:rStyle w:val="CharSectno"/>
        </w:rPr>
        <w:t>101AA</w:t>
      </w:r>
      <w:r>
        <w:t>.</w:t>
      </w:r>
      <w:r>
        <w:tab/>
        <w:t xml:space="preserve">Delegation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192"/>
    </w:p>
    <w:p>
      <w:pPr>
        <w:pStyle w:val="Subsection"/>
      </w:pPr>
      <w:r>
        <w:tab/>
        <w:t>(1)</w:t>
      </w:r>
      <w:r>
        <w:tab/>
        <w:t xml:space="preserve">WorkCover WA may delegate to the chief executive officer or another officer of </w:t>
      </w:r>
      <w:smartTag w:uri="urn:schemas-microsoft-com:office:smarttags" w:element="City">
        <w:r>
          <w:t>WorkCover</w:t>
        </w:r>
      </w:smartTag>
      <w:r>
        <w:t xml:space="preserve"> </w:t>
      </w:r>
      <w:smartTag w:uri="urn:schemas-microsoft-com:office:smarttags" w:element="State">
        <w:r>
          <w:t>WA</w:t>
        </w:r>
      </w:smartTag>
      <w:r>
        <w:t xml:space="preserve"> or to any other member, or any group of members, of </w:t>
      </w:r>
      <w:smartTag w:uri="urn:schemas-microsoft-com:office:smarttags" w:element="City">
        <w:r>
          <w:t>WorkCover</w:t>
        </w:r>
      </w:smartTag>
      <w:r>
        <w:t xml:space="preserve"> </w:t>
      </w:r>
      <w:smartTag w:uri="urn:schemas-microsoft-com:office:smarttags" w:element="State">
        <w:r>
          <w:t>WA</w:t>
        </w:r>
      </w:smartTag>
      <w:r>
        <w:t xml:space="preserve">’s governing body any power or duty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another provision of this Act except if it is under Part VIII.</w:t>
      </w:r>
    </w:p>
    <w:p>
      <w:pPr>
        <w:pStyle w:val="Subsection"/>
      </w:pPr>
      <w:r>
        <w:tab/>
        <w:t>(2)</w:t>
      </w:r>
      <w:r>
        <w:tab/>
        <w:t xml:space="preserve">The delegation must be in writing executed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perform a function through an officer or agent.</w:t>
      </w:r>
    </w:p>
    <w:p>
      <w:pPr>
        <w:pStyle w:val="Footnotesection"/>
      </w:pPr>
      <w:r>
        <w:tab/>
        <w:t>[Section 101AA inserted by No. 42 of 2004 s. 91.]</w:t>
      </w:r>
    </w:p>
    <w:p>
      <w:pPr>
        <w:pStyle w:val="Heading5"/>
        <w:keepLines w:val="0"/>
        <w:rPr>
          <w:snapToGrid w:val="0"/>
        </w:rPr>
      </w:pPr>
      <w:bookmarkStart w:id="193" w:name="_Toc472604756"/>
      <w:r>
        <w:rPr>
          <w:rStyle w:val="CharSectno"/>
        </w:rPr>
        <w:t>101A</w:t>
      </w:r>
      <w:r>
        <w:rPr>
          <w:snapToGrid w:val="0"/>
        </w:rPr>
        <w:t>.</w:t>
      </w:r>
      <w:r>
        <w:rPr>
          <w:snapToGrid w:val="0"/>
        </w:rPr>
        <w:tab/>
        <w:t>Borrowing powers</w:t>
      </w:r>
      <w:bookmarkEnd w:id="193"/>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by No. 104 of 1984 s. 5; amended by No. 42 of 2004 s. 150.]</w:t>
      </w:r>
    </w:p>
    <w:p>
      <w:pPr>
        <w:pStyle w:val="Heading5"/>
        <w:rPr>
          <w:snapToGrid w:val="0"/>
        </w:rPr>
      </w:pPr>
      <w:bookmarkStart w:id="194" w:name="_Toc472604757"/>
      <w:r>
        <w:rPr>
          <w:rStyle w:val="CharSectno"/>
        </w:rPr>
        <w:t>101B</w:t>
      </w:r>
      <w:r>
        <w:rPr>
          <w:snapToGrid w:val="0"/>
        </w:rPr>
        <w:t>.</w:t>
      </w:r>
      <w:r>
        <w:rPr>
          <w:snapToGrid w:val="0"/>
        </w:rPr>
        <w:tab/>
        <w:t>Guarantees by Treasurer of borrowings</w:t>
      </w:r>
      <w:bookmarkEnd w:id="194"/>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by No. 104 of 1984 s. 5; amended by No. 6 of 1993 s. 11; No. 49 of 1996 s. 64; No. 42 of 2004 s. 150; No. 77 of 2006 s. 4.]</w:t>
      </w:r>
    </w:p>
    <w:p>
      <w:pPr>
        <w:pStyle w:val="Heading5"/>
        <w:spacing w:before="260"/>
        <w:rPr>
          <w:snapToGrid w:val="0"/>
        </w:rPr>
      </w:pPr>
      <w:bookmarkStart w:id="195" w:name="_Toc472604758"/>
      <w:r>
        <w:rPr>
          <w:rStyle w:val="CharSectno"/>
        </w:rPr>
        <w:t>102</w:t>
      </w:r>
      <w:r>
        <w:rPr>
          <w:snapToGrid w:val="0"/>
        </w:rPr>
        <w:t>.</w:t>
      </w:r>
      <w:r>
        <w:rPr>
          <w:snapToGrid w:val="0"/>
        </w:rPr>
        <w:tab/>
        <w:t>Limitation on powers under s. 100(e)</w:t>
      </w:r>
      <w:bookmarkEnd w:id="195"/>
    </w:p>
    <w:p>
      <w:pPr>
        <w:pStyle w:val="Subsection"/>
        <w:rPr>
          <w:snapToGrid w:val="0"/>
        </w:rPr>
      </w:pPr>
      <w:r>
        <w:rPr>
          <w:snapToGrid w:val="0"/>
        </w:rPr>
        <w:tab/>
      </w:r>
      <w:r>
        <w:rPr>
          <w:snapToGrid w:val="0"/>
        </w:rPr>
        <w:tab/>
        <w:t xml:space="preserve">Apart from coordinating arrangements in the matters referred to in section 100(e),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spacing w:before="260"/>
      </w:pPr>
      <w:r>
        <w:t>[</w:t>
      </w:r>
      <w:r>
        <w:rPr>
          <w:b/>
        </w:rPr>
        <w:t>103.</w:t>
      </w:r>
      <w:r>
        <w:rPr>
          <w:b/>
        </w:rPr>
        <w:tab/>
      </w:r>
      <w:r>
        <w:t>Deleted by No. 34 of 1999 s. 35.]</w:t>
      </w:r>
    </w:p>
    <w:p>
      <w:pPr>
        <w:pStyle w:val="Heading5"/>
        <w:spacing w:before="260"/>
        <w:rPr>
          <w:snapToGrid w:val="0"/>
        </w:rPr>
      </w:pPr>
      <w:bookmarkStart w:id="196" w:name="_Toc472604759"/>
      <w:r>
        <w:rPr>
          <w:rStyle w:val="CharSectno"/>
        </w:rPr>
        <w:t>103A</w:t>
      </w:r>
      <w:r>
        <w:rPr>
          <w:snapToGrid w:val="0"/>
        </w:rPr>
        <w:t>.</w:t>
      </w:r>
      <w:r>
        <w:rPr>
          <w:snapToGrid w:val="0"/>
        </w:rPr>
        <w:tab/>
        <w:t xml:space="preserve">Insurers etc. to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information</w:t>
      </w:r>
      <w:bookmarkEnd w:id="196"/>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 xml:space="preserve">A person who furnishes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any information or return that is false in a material particular commits an offence.</w:t>
      </w:r>
    </w:p>
    <w:p>
      <w:pPr>
        <w:pStyle w:val="Penstart"/>
        <w:rPr>
          <w:snapToGrid w:val="0"/>
        </w:rPr>
      </w:pPr>
      <w:r>
        <w:tab/>
        <w:t>Penalty: $2 000.</w:t>
      </w:r>
    </w:p>
    <w:p>
      <w:pPr>
        <w:pStyle w:val="Footnotesection"/>
      </w:pPr>
      <w:r>
        <w:tab/>
        <w:t>[Section 103A inserted by No. 44 of 1985 s. 24; amended by No. 96 of 1990 s. 25; No. 42 of 2004 s. 93 and 150.]</w:t>
      </w:r>
    </w:p>
    <w:p>
      <w:pPr>
        <w:pStyle w:val="Heading5"/>
        <w:rPr>
          <w:snapToGrid w:val="0"/>
        </w:rPr>
      </w:pPr>
      <w:bookmarkStart w:id="197" w:name="_Toc472604760"/>
      <w:r>
        <w:rPr>
          <w:rStyle w:val="CharSectno"/>
        </w:rPr>
        <w:t>104</w:t>
      </w:r>
      <w:r>
        <w:rPr>
          <w:snapToGrid w:val="0"/>
        </w:rPr>
        <w:t>.</w:t>
      </w:r>
      <w:r>
        <w:rPr>
          <w:snapToGrid w:val="0"/>
        </w:rPr>
        <w:tab/>
        <w:t>Publishing and furnishing information</w:t>
      </w:r>
      <w:bookmarkEnd w:id="197"/>
    </w:p>
    <w:p>
      <w:pPr>
        <w:pStyle w:val="Subsection"/>
        <w:keepNext/>
        <w:keepLines/>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198" w:name="_Toc472604761"/>
      <w:r>
        <w:rPr>
          <w:rStyle w:val="CharDivNo"/>
        </w:rPr>
        <w:t>Division 1AA</w:t>
      </w:r>
      <w:r>
        <w:t> — </w:t>
      </w:r>
      <w:r>
        <w:rPr>
          <w:rStyle w:val="CharDivText"/>
        </w:rPr>
        <w:t>Personal interest</w:t>
      </w:r>
      <w:bookmarkEnd w:id="198"/>
    </w:p>
    <w:p>
      <w:pPr>
        <w:pStyle w:val="Footnoteheading"/>
        <w:tabs>
          <w:tab w:val="left" w:pos="851"/>
        </w:tabs>
      </w:pPr>
      <w:r>
        <w:tab/>
        <w:t>[Heading inserted by No. 42 of 2004 s. 95.]</w:t>
      </w:r>
    </w:p>
    <w:p>
      <w:pPr>
        <w:pStyle w:val="Heading5"/>
        <w:rPr>
          <w:snapToGrid w:val="0"/>
        </w:rPr>
      </w:pPr>
      <w:bookmarkStart w:id="199" w:name="_Toc472604762"/>
      <w:r>
        <w:rPr>
          <w:rStyle w:val="CharSectno"/>
        </w:rPr>
        <w:t>104AA</w:t>
      </w:r>
      <w:r>
        <w:t>.</w:t>
      </w:r>
      <w:r>
        <w:tab/>
        <w:t>D</w:t>
      </w:r>
      <w:r>
        <w:rPr>
          <w:snapToGrid w:val="0"/>
        </w:rPr>
        <w:t>isclosure of interests by governing body members</w:t>
      </w:r>
      <w:bookmarkEnd w:id="199"/>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00" w:name="_Toc472604763"/>
      <w:r>
        <w:rPr>
          <w:rStyle w:val="CharSectno"/>
        </w:rPr>
        <w:t>104AB</w:t>
      </w:r>
      <w:r>
        <w:rPr>
          <w:snapToGrid w:val="0"/>
        </w:rPr>
        <w:t>.</w:t>
      </w:r>
      <w:r>
        <w:rPr>
          <w:snapToGrid w:val="0"/>
        </w:rPr>
        <w:tab/>
        <w:t>Exclusion of interested member</w:t>
      </w:r>
      <w:bookmarkEnd w:id="200"/>
    </w:p>
    <w:p>
      <w:pPr>
        <w:pStyle w:val="Subsection"/>
        <w:rPr>
          <w:snapToGrid w:val="0"/>
        </w:rPr>
      </w:pPr>
      <w:r>
        <w:rPr>
          <w:snapToGrid w:val="0"/>
        </w:rPr>
        <w:tab/>
        <w:t>(1)</w:t>
      </w:r>
      <w:r>
        <w:rPr>
          <w:snapToGrid w:val="0"/>
        </w:rPr>
        <w:tab/>
        <w:t xml:space="preserve">A member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01" w:name="_Toc472604764"/>
      <w:r>
        <w:rPr>
          <w:rStyle w:val="CharSectno"/>
        </w:rPr>
        <w:t>104AC</w:t>
      </w:r>
      <w:r>
        <w:rPr>
          <w:snapToGrid w:val="0"/>
        </w:rPr>
        <w:t>.</w:t>
      </w:r>
      <w:r>
        <w:rPr>
          <w:snapToGrid w:val="0"/>
        </w:rPr>
        <w:tab/>
        <w:t>Resolution that s. 104AB inapplicable</w:t>
      </w:r>
      <w:bookmarkEnd w:id="201"/>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02" w:name="_Toc472604765"/>
      <w:r>
        <w:rPr>
          <w:rStyle w:val="CharSectno"/>
        </w:rPr>
        <w:t>104AD</w:t>
      </w:r>
      <w:r>
        <w:rPr>
          <w:snapToGrid w:val="0"/>
        </w:rPr>
        <w:t>.</w:t>
      </w:r>
      <w:r>
        <w:rPr>
          <w:snapToGrid w:val="0"/>
        </w:rPr>
        <w:tab/>
        <w:t>Quorum where s. 104AB applies</w:t>
      </w:r>
      <w:bookmarkEnd w:id="202"/>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03" w:name="_Toc472604766"/>
      <w:r>
        <w:rPr>
          <w:rStyle w:val="CharSectno"/>
        </w:rPr>
        <w:t>104AE</w:t>
      </w:r>
      <w:r>
        <w:rPr>
          <w:snapToGrid w:val="0"/>
        </w:rPr>
        <w:t>.</w:t>
      </w:r>
      <w:r>
        <w:rPr>
          <w:snapToGrid w:val="0"/>
        </w:rPr>
        <w:tab/>
        <w:t>Minister may declare s. 104AB and 104AD inapplicable</w:t>
      </w:r>
      <w:bookmarkEnd w:id="203"/>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p>
      <w:pPr>
        <w:pStyle w:val="Ednotedivision"/>
        <w:outlineLvl w:val="9"/>
      </w:pPr>
      <w:r>
        <w:t>[Division 1A (s. 104A, 104B) deleted by No. 42 of 2004 s. 96.]</w:t>
      </w:r>
    </w:p>
    <w:p>
      <w:pPr>
        <w:pStyle w:val="Heading3"/>
      </w:pPr>
      <w:bookmarkStart w:id="204" w:name="_Toc472604767"/>
      <w:r>
        <w:rPr>
          <w:rStyle w:val="CharDivNo"/>
        </w:rPr>
        <w:t>Division 2</w:t>
      </w:r>
      <w:r>
        <w:rPr>
          <w:snapToGrid w:val="0"/>
        </w:rPr>
        <w:t> — </w:t>
      </w:r>
      <w:r>
        <w:rPr>
          <w:rStyle w:val="CharDivText"/>
        </w:rPr>
        <w:t>Accounts and audit</w:t>
      </w:r>
      <w:bookmarkEnd w:id="204"/>
    </w:p>
    <w:p>
      <w:pPr>
        <w:pStyle w:val="Heading5"/>
        <w:spacing w:before="160"/>
        <w:rPr>
          <w:snapToGrid w:val="0"/>
        </w:rPr>
      </w:pPr>
      <w:bookmarkStart w:id="205" w:name="_Toc472604768"/>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0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its operations.</w:t>
      </w:r>
    </w:p>
    <w:p>
      <w:pPr>
        <w:pStyle w:val="Footnotesection"/>
      </w:pPr>
      <w:r>
        <w:tab/>
        <w:t>[Section 105 inserted by No. 98 of 1985 s. 3; amended by No. 42 of 2004 s. 150; No. 77 of 2006 Sch. 1 cl. 189(2).]</w:t>
      </w:r>
    </w:p>
    <w:p>
      <w:pPr>
        <w:pStyle w:val="Heading3"/>
      </w:pPr>
      <w:bookmarkStart w:id="206" w:name="_Toc472604769"/>
      <w:r>
        <w:rPr>
          <w:rStyle w:val="CharDivNo"/>
        </w:rPr>
        <w:t>Division 3</w:t>
      </w:r>
      <w:r>
        <w:rPr>
          <w:snapToGrid w:val="0"/>
        </w:rPr>
        <w:t> — </w:t>
      </w:r>
      <w:r>
        <w:rPr>
          <w:rStyle w:val="CharDivText"/>
        </w:rPr>
        <w:t>Workers’ Compensation and Injury Management General Account</w:t>
      </w:r>
      <w:bookmarkEnd w:id="206"/>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07" w:name="_Toc472604770"/>
      <w:r>
        <w:rPr>
          <w:rStyle w:val="CharSectno"/>
        </w:rPr>
        <w:t>106</w:t>
      </w:r>
      <w:r>
        <w:rPr>
          <w:snapToGrid w:val="0"/>
        </w:rPr>
        <w:t>.</w:t>
      </w:r>
      <w:r>
        <w:rPr>
          <w:snapToGrid w:val="0"/>
        </w:rPr>
        <w:tab/>
        <w:t xml:space="preserve">General </w:t>
      </w:r>
      <w:r>
        <w:t>Account, funds and purposes of</w:t>
      </w:r>
      <w:bookmarkEnd w:id="207"/>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 xml:space="preserve">all moneys required for the remuneration and allowances of members of the governing body of </w:t>
      </w:r>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r>
        <w:rPr>
          <w:snapToGrid w:val="0"/>
        </w:rPr>
        <w:t xml:space="preserve"> and of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by No. 79 of 1983 s. 3; No. 104 of 1984 s. 6; No. 86 of 1986 s. 9; No. 96 of 1990 s. 26; No. 1 of 1993 s. 14; No. 48 of 1993 s. 28(1); No. 49 of 1996 s. 64; No. 42 of 2004 s. 98 and 150; No. 77 of 2006 Sch. 1 cl. 189(3), (4) and (9); No. 31 of 2011 s. 30 and 99.]</w:t>
      </w:r>
    </w:p>
    <w:p>
      <w:pPr>
        <w:pStyle w:val="Heading5"/>
        <w:keepNext w:val="0"/>
        <w:keepLines w:val="0"/>
        <w:spacing w:before="180"/>
        <w:rPr>
          <w:snapToGrid w:val="0"/>
        </w:rPr>
      </w:pPr>
      <w:bookmarkStart w:id="208" w:name="_Toc472604771"/>
      <w:r>
        <w:rPr>
          <w:rStyle w:val="CharSectno"/>
        </w:rPr>
        <w:t>107</w:t>
      </w:r>
      <w:r>
        <w:rPr>
          <w:snapToGrid w:val="0"/>
        </w:rPr>
        <w:t>.</w:t>
      </w:r>
      <w:r>
        <w:rPr>
          <w:snapToGrid w:val="0"/>
        </w:rPr>
        <w:tab/>
        <w:t>Estimates of funds needed for General Account</w:t>
      </w:r>
      <w:bookmarkEnd w:id="208"/>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by No. 98 of 1985 s. 3; No. 96 of 1990 s. 27; No. 42 of 2004 s. 150; No. 77 of 2006 Sch. 1 cl. 189(5) and (9).]</w:t>
      </w:r>
    </w:p>
    <w:p>
      <w:pPr>
        <w:pStyle w:val="Heading5"/>
        <w:rPr>
          <w:snapToGrid w:val="0"/>
        </w:rPr>
      </w:pPr>
      <w:bookmarkStart w:id="209" w:name="_Toc472604772"/>
      <w:r>
        <w:rPr>
          <w:rStyle w:val="CharSectno"/>
        </w:rPr>
        <w:t>108</w:t>
      </w:r>
      <w:r>
        <w:rPr>
          <w:snapToGrid w:val="0"/>
        </w:rPr>
        <w:t>.</w:t>
      </w:r>
      <w:r>
        <w:rPr>
          <w:snapToGrid w:val="0"/>
        </w:rPr>
        <w:tab/>
        <w:t>Levied contributions to General Account, amount of</w:t>
      </w:r>
      <w:bookmarkEnd w:id="209"/>
    </w:p>
    <w:p>
      <w:pPr>
        <w:pStyle w:val="Subsection"/>
        <w:rPr>
          <w:snapToGrid w:val="0"/>
        </w:rPr>
      </w:pPr>
      <w:r>
        <w:rPr>
          <w:snapToGrid w:val="0"/>
        </w:rPr>
        <w:tab/>
      </w:r>
      <w:r>
        <w:rPr>
          <w:snapToGrid w:val="0"/>
        </w:rPr>
        <w:tab/>
        <w:t xml:space="preserve">For any one year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10" w:name="_Toc472604773"/>
      <w:r>
        <w:rPr>
          <w:rStyle w:val="CharSectno"/>
        </w:rPr>
        <w:t>109</w:t>
      </w:r>
      <w:r>
        <w:rPr>
          <w:snapToGrid w:val="0"/>
        </w:rPr>
        <w:t>.</w:t>
      </w:r>
      <w:r>
        <w:rPr>
          <w:snapToGrid w:val="0"/>
        </w:rPr>
        <w:tab/>
        <w:t xml:space="preserve">Insurers to contribute to General </w:t>
      </w:r>
      <w:r>
        <w:t>Account</w:t>
      </w:r>
      <w:bookmarkEnd w:id="210"/>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smartTag w:uri="urn:schemas-microsoft-com:office:smarttags" w:element="City">
        <w:r>
          <w:t>WorkCover</w:t>
        </w:r>
      </w:smartTag>
      <w:r>
        <w:t xml:space="preserve"> </w:t>
      </w:r>
      <w:smartTag w:uri="urn:schemas-microsoft-com:office:smarttags" w:element="State">
        <w:r>
          <w:t>WA</w:t>
        </w:r>
      </w:smartTag>
      <w:r>
        <w:rPr>
          <w:snapToGrid w:val="0"/>
        </w:rPr>
        <w:t xml:space="preserve"> may specify supply </w:t>
      </w:r>
      <w:smartTag w:uri="urn:schemas-microsoft-com:office:smarttags" w:element="City">
        <w:r>
          <w:t>WorkCover</w:t>
        </w:r>
      </w:smartTag>
      <w:r>
        <w:t xml:space="preserve"> </w:t>
      </w:r>
      <w:smartTag w:uri="urn:schemas-microsoft-com:office:smarttags" w:element="State">
        <w:r>
          <w:t>WA</w:t>
        </w:r>
      </w:smartTag>
      <w:r>
        <w:rPr>
          <w:snapToGrid w:val="0"/>
        </w:rPr>
        <w:t xml:space="preserve"> with such particulars of the wages, salaries, or other remuneration paid by him during that period as are required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by No. 44 of 1985 s. 25; No. 85 of 1986 s. 7; No. 34 of 1999 s. 57; No. 42 of 2004 s. 99 and 150; No. 77 of 2006 Sch. 1 cl. 189(9).]</w:t>
      </w:r>
    </w:p>
    <w:p>
      <w:pPr>
        <w:pStyle w:val="Heading3"/>
      </w:pPr>
      <w:bookmarkStart w:id="211" w:name="_Toc472604774"/>
      <w:r>
        <w:rPr>
          <w:rStyle w:val="CharDivNo"/>
        </w:rPr>
        <w:t>Division 4</w:t>
      </w:r>
      <w:r>
        <w:rPr>
          <w:snapToGrid w:val="0"/>
        </w:rPr>
        <w:t> — </w:t>
      </w:r>
      <w:r>
        <w:rPr>
          <w:rStyle w:val="CharDivText"/>
        </w:rPr>
        <w:t>Workers’ Compensation and Injury Management Trust Account</w:t>
      </w:r>
      <w:bookmarkEnd w:id="211"/>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12" w:name="_Toc472604775"/>
      <w:r>
        <w:rPr>
          <w:rStyle w:val="CharSectno"/>
        </w:rPr>
        <w:t>110</w:t>
      </w:r>
      <w:r>
        <w:rPr>
          <w:snapToGrid w:val="0"/>
        </w:rPr>
        <w:t>.</w:t>
      </w:r>
      <w:r>
        <w:rPr>
          <w:snapToGrid w:val="0"/>
        </w:rPr>
        <w:tab/>
        <w:t xml:space="preserve">Trust </w:t>
      </w:r>
      <w:r>
        <w:t>Account, funds and purposes of</w:t>
      </w:r>
      <w:bookmarkEnd w:id="212"/>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by No. 86 of 1986 s. 10; No. 96 of 1990 s. 28; No. 48 of 1993 s. 28(1); No. 49 of 1996 s. 64; No. 34 of 1999 s. 36; No. 42 of 2004 s. 101 and 150; No. 77 of 2006 Sch. 1 cl. 189(6) and (9).]</w:t>
      </w:r>
    </w:p>
    <w:p>
      <w:pPr>
        <w:pStyle w:val="Heading3"/>
      </w:pPr>
      <w:bookmarkStart w:id="213" w:name="_Toc472604776"/>
      <w:r>
        <w:rPr>
          <w:rStyle w:val="CharDivNo"/>
        </w:rPr>
        <w:t>Division 5</w:t>
      </w:r>
      <w:r>
        <w:rPr>
          <w:snapToGrid w:val="0"/>
        </w:rPr>
        <w:t> — </w:t>
      </w:r>
      <w:r>
        <w:rPr>
          <w:rStyle w:val="CharDivText"/>
        </w:rPr>
        <w:t>Ministerial control</w:t>
      </w:r>
      <w:bookmarkEnd w:id="213"/>
    </w:p>
    <w:p>
      <w:pPr>
        <w:pStyle w:val="Heading5"/>
        <w:rPr>
          <w:snapToGrid w:val="0"/>
        </w:rPr>
      </w:pPr>
      <w:bookmarkStart w:id="214" w:name="_Toc472604777"/>
      <w:r>
        <w:rPr>
          <w:rStyle w:val="CharSectno"/>
        </w:rPr>
        <w:t>111</w:t>
      </w:r>
      <w:r>
        <w:rPr>
          <w:snapToGrid w:val="0"/>
        </w:rPr>
        <w:t>.</w:t>
      </w:r>
      <w:r>
        <w:rPr>
          <w:snapToGrid w:val="0"/>
        </w:rPr>
        <w:tab/>
        <w:t xml:space="preserve">Minister may give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directions</w:t>
      </w:r>
      <w:bookmarkEnd w:id="214"/>
    </w:p>
    <w:p>
      <w:pPr>
        <w:pStyle w:val="Subsection"/>
        <w:rPr>
          <w:snapToGrid w:val="0"/>
        </w:rPr>
      </w:pPr>
      <w:r>
        <w:rPr>
          <w:snapToGrid w:val="0"/>
        </w:rPr>
        <w:tab/>
        <w:t>(1)</w:t>
      </w:r>
      <w:r>
        <w:rPr>
          <w:snapToGrid w:val="0"/>
        </w:rPr>
        <w:tab/>
        <w:t xml:space="preserve">The Minister may give directions in writing to </w:t>
      </w:r>
      <w:smartTag w:uri="urn:schemas-microsoft-com:office:smarttags" w:element="City">
        <w:r>
          <w:t>WorkCover</w:t>
        </w:r>
      </w:smartTag>
      <w:r>
        <w:t xml:space="preserve"> </w:t>
      </w:r>
      <w:smartTag w:uri="urn:schemas-microsoft-com:office:smarttags" w:element="State">
        <w:r>
          <w:t>WA</w:t>
        </w:r>
      </w:smartTag>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give effect to any such direction.</w:t>
      </w:r>
    </w:p>
    <w:p>
      <w:pPr>
        <w:pStyle w:val="Subsection"/>
      </w:pPr>
      <w:r>
        <w:tab/>
        <w:t>(1a)</w:t>
      </w:r>
      <w:r>
        <w:tab/>
      </w:r>
      <w:r>
        <w:rPr>
          <w:snapToGrid w:val="0"/>
        </w:rPr>
        <w:t xml:space="preserve">The Minister cannot give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xml:space="preserve">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w:t>
      </w:r>
      <w:r>
        <w:t xml:space="preserve">Part 5 of the </w:t>
      </w:r>
      <w:r>
        <w:rPr>
          <w:i/>
        </w:rPr>
        <w:t>Financial Management Act 2006</w:t>
      </w:r>
      <w:r>
        <w:t>.</w:t>
      </w:r>
    </w:p>
    <w:p>
      <w:pPr>
        <w:pStyle w:val="Footnotesection"/>
      </w:pPr>
      <w:r>
        <w:tab/>
        <w:t>[Section 111 inserted by No. 72 of 1992 s. 14; amended by No. 42 of 2004 s. 102 and 150; No. 77 of 2006 Sch. 1 cl. 189(7).]</w:t>
      </w:r>
    </w:p>
    <w:p>
      <w:pPr>
        <w:pStyle w:val="Heading5"/>
        <w:rPr>
          <w:snapToGrid w:val="0"/>
        </w:rPr>
      </w:pPr>
      <w:bookmarkStart w:id="215" w:name="_Toc472604778"/>
      <w:r>
        <w:rPr>
          <w:rStyle w:val="CharSectno"/>
        </w:rPr>
        <w:t>111A</w:t>
      </w:r>
      <w:r>
        <w:rPr>
          <w:snapToGrid w:val="0"/>
        </w:rPr>
        <w:t>.</w:t>
      </w:r>
      <w:r>
        <w:rPr>
          <w:snapToGrid w:val="0"/>
        </w:rPr>
        <w:tab/>
        <w:t>Minister to have access to information</w:t>
      </w:r>
      <w:bookmarkEnd w:id="21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furnish information to the Minister;</w:t>
      </w:r>
    </w:p>
    <w:p>
      <w:pPr>
        <w:pStyle w:val="Indenta"/>
        <w:rPr>
          <w:snapToGrid w:val="0"/>
        </w:rPr>
      </w:pPr>
      <w:r>
        <w:rPr>
          <w:snapToGrid w:val="0"/>
        </w:rPr>
        <w:tab/>
        <w:t>(b)</w:t>
      </w:r>
      <w:r>
        <w:rPr>
          <w:snapToGrid w:val="0"/>
        </w:rPr>
        <w:tab/>
        <w:t xml:space="preserve">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by No. 72 of 1992 s. 14; amended by No. 42 of 2004 s. 150.]</w:t>
      </w:r>
    </w:p>
    <w:p>
      <w:pPr>
        <w:pStyle w:val="Ednotepart"/>
        <w:ind w:left="1311" w:hanging="1311"/>
        <w:rPr>
          <w:iCs/>
        </w:rPr>
      </w:pPr>
      <w:r>
        <w:rPr>
          <w:iCs/>
        </w:rPr>
        <w:t>[Part VI:</w:t>
      </w:r>
      <w:r>
        <w:rPr>
          <w:iCs/>
        </w:rPr>
        <w:tab/>
        <w:t>s. 112</w:t>
      </w:r>
      <w:r>
        <w:rPr>
          <w:iCs/>
        </w:rPr>
        <w:noBreakHyphen/>
        <w:t>120 deleted by No. 42 of 2004 s. 103;</w:t>
      </w:r>
      <w:r>
        <w:rPr>
          <w:iCs/>
        </w:rPr>
        <w:br/>
        <w:t>s. 121</w:t>
      </w:r>
      <w:r>
        <w:rPr>
          <w:iCs/>
        </w:rPr>
        <w:noBreakHyphen/>
        <w:t>144 deleted by No. 48 of 1993 s. 24.]</w:t>
      </w:r>
    </w:p>
    <w:p>
      <w:pPr>
        <w:pStyle w:val="Heading2"/>
      </w:pPr>
      <w:bookmarkStart w:id="216" w:name="_Toc472604779"/>
      <w:r>
        <w:rPr>
          <w:rStyle w:val="CharPartNo"/>
        </w:rPr>
        <w:t>Part VII</w:t>
      </w:r>
      <w:r>
        <w:rPr>
          <w:b w:val="0"/>
        </w:rPr>
        <w:t> </w:t>
      </w:r>
      <w:r>
        <w:t>—</w:t>
      </w:r>
      <w:r>
        <w:rPr>
          <w:b w:val="0"/>
        </w:rPr>
        <w:t> </w:t>
      </w:r>
      <w:r>
        <w:rPr>
          <w:rStyle w:val="CharPartText"/>
        </w:rPr>
        <w:t>Medical assessment and assessment for specialised retraining programs</w:t>
      </w:r>
      <w:bookmarkEnd w:id="216"/>
    </w:p>
    <w:p>
      <w:pPr>
        <w:pStyle w:val="Footnoteheading"/>
      </w:pPr>
      <w:r>
        <w:tab/>
        <w:t>[Heading inserted by No. 42 of 2004 s. 104.]</w:t>
      </w:r>
    </w:p>
    <w:p>
      <w:pPr>
        <w:pStyle w:val="Heading3"/>
        <w:spacing w:before="200"/>
      </w:pPr>
      <w:bookmarkStart w:id="217" w:name="_Toc472604780"/>
      <w:r>
        <w:rPr>
          <w:rStyle w:val="CharDivNo"/>
        </w:rPr>
        <w:t>Division 1</w:t>
      </w:r>
      <w:r>
        <w:t> — </w:t>
      </w:r>
      <w:r>
        <w:rPr>
          <w:rStyle w:val="CharDivText"/>
        </w:rPr>
        <w:t>Medical assessment panels</w:t>
      </w:r>
      <w:bookmarkEnd w:id="217"/>
    </w:p>
    <w:p>
      <w:pPr>
        <w:pStyle w:val="Footnoteheading"/>
        <w:spacing w:before="100"/>
      </w:pPr>
      <w:r>
        <w:tab/>
        <w:t>[Heading inserted by No. 42 of 2004 s. 104.]</w:t>
      </w:r>
    </w:p>
    <w:p>
      <w:pPr>
        <w:pStyle w:val="Heading5"/>
      </w:pPr>
      <w:bookmarkStart w:id="218" w:name="_Toc472604781"/>
      <w:r>
        <w:rPr>
          <w:rStyle w:val="CharSectno"/>
        </w:rPr>
        <w:t>144</w:t>
      </w:r>
      <w:r>
        <w:t>.</w:t>
      </w:r>
      <w:r>
        <w:tab/>
        <w:t>Term used: relevant authority</w:t>
      </w:r>
      <w:bookmarkEnd w:id="218"/>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by No. 31 of 2011 s. 31.]</w:t>
      </w:r>
    </w:p>
    <w:p>
      <w:pPr>
        <w:pStyle w:val="Heading5"/>
        <w:rPr>
          <w:snapToGrid w:val="0"/>
        </w:rPr>
      </w:pPr>
      <w:bookmarkStart w:id="219" w:name="_Toc472604782"/>
      <w:r>
        <w:rPr>
          <w:rStyle w:val="CharSectno"/>
        </w:rPr>
        <w:t>145</w:t>
      </w:r>
      <w:r>
        <w:rPr>
          <w:snapToGrid w:val="0"/>
        </w:rPr>
        <w:t>.</w:t>
      </w:r>
      <w:r>
        <w:rPr>
          <w:snapToGrid w:val="0"/>
        </w:rPr>
        <w:tab/>
        <w:t>Excluded jurisdiction of panels</w:t>
      </w:r>
      <w:bookmarkEnd w:id="219"/>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pPr>
      <w:bookmarkStart w:id="220" w:name="_Toc472604783"/>
      <w:r>
        <w:rPr>
          <w:rStyle w:val="CharSectno"/>
        </w:rPr>
        <w:t>145A</w:t>
      </w:r>
      <w:r>
        <w:t>.</w:t>
      </w:r>
      <w:r>
        <w:tab/>
        <w:t>Questions that may be referred to panels</w:t>
      </w:r>
      <w:bookmarkEnd w:id="220"/>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by No. 48 of 1993 s. 25; amended by No. 34 of 1999 s. 37; No. 42 of 2004 s. 105; No. 31 of 2011 s. 32.]</w:t>
      </w:r>
    </w:p>
    <w:p>
      <w:pPr>
        <w:pStyle w:val="Heading5"/>
        <w:rPr>
          <w:snapToGrid w:val="0"/>
        </w:rPr>
      </w:pPr>
      <w:bookmarkStart w:id="221" w:name="_Toc472604784"/>
      <w:r>
        <w:rPr>
          <w:rStyle w:val="CharSectno"/>
        </w:rPr>
        <w:t>145B</w:t>
      </w:r>
      <w:r>
        <w:rPr>
          <w:snapToGrid w:val="0"/>
        </w:rPr>
        <w:t>.</w:t>
      </w:r>
      <w:r>
        <w:rPr>
          <w:snapToGrid w:val="0"/>
        </w:rPr>
        <w:tab/>
        <w:t>Register of eligible members of panels</w:t>
      </w:r>
      <w:bookmarkEnd w:id="221"/>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 amended by No. 31 of 2011 s. 33.]</w:t>
      </w:r>
    </w:p>
    <w:p>
      <w:pPr>
        <w:pStyle w:val="Heading5"/>
        <w:rPr>
          <w:snapToGrid w:val="0"/>
        </w:rPr>
      </w:pPr>
      <w:bookmarkStart w:id="222" w:name="_Toc472604785"/>
      <w:r>
        <w:rPr>
          <w:rStyle w:val="CharSectno"/>
        </w:rPr>
        <w:t>145C</w:t>
      </w:r>
      <w:r>
        <w:rPr>
          <w:snapToGrid w:val="0"/>
        </w:rPr>
        <w:t>.</w:t>
      </w:r>
      <w:r>
        <w:rPr>
          <w:snapToGrid w:val="0"/>
        </w:rPr>
        <w:tab/>
        <w:t>Constituting panels</w:t>
      </w:r>
      <w:bookmarkEnd w:id="222"/>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by No. 48 of 1993 s. 25; amended by No. 34 of 1999 s. 38; No. 42 of 2004 s. 106; No. 31 of 2011 s. 34.]</w:t>
      </w:r>
    </w:p>
    <w:p>
      <w:pPr>
        <w:pStyle w:val="Heading5"/>
        <w:rPr>
          <w:snapToGrid w:val="0"/>
        </w:rPr>
      </w:pPr>
      <w:bookmarkStart w:id="223" w:name="_Toc472604786"/>
      <w:r>
        <w:rPr>
          <w:rStyle w:val="CharSectno"/>
        </w:rPr>
        <w:t>145D</w:t>
      </w:r>
      <w:r>
        <w:rPr>
          <w:snapToGrid w:val="0"/>
        </w:rPr>
        <w:t>.</w:t>
      </w:r>
      <w:r>
        <w:rPr>
          <w:snapToGrid w:val="0"/>
        </w:rPr>
        <w:tab/>
        <w:t>Procedure and powers of panels</w:t>
      </w:r>
      <w:bookmarkEnd w:id="223"/>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by No. 48 of 1993 s. 25; amended by No. 42 of 2004 s. 107; No. 31 of 2011 s. 35.]</w:t>
      </w:r>
    </w:p>
    <w:p>
      <w:pPr>
        <w:pStyle w:val="Heading5"/>
        <w:rPr>
          <w:snapToGrid w:val="0"/>
        </w:rPr>
      </w:pPr>
      <w:bookmarkStart w:id="224" w:name="_Toc472604787"/>
      <w:r>
        <w:rPr>
          <w:rStyle w:val="CharSectno"/>
        </w:rPr>
        <w:t>145E</w:t>
      </w:r>
      <w:r>
        <w:rPr>
          <w:snapToGrid w:val="0"/>
        </w:rPr>
        <w:t>.</w:t>
      </w:r>
      <w:r>
        <w:rPr>
          <w:snapToGrid w:val="0"/>
        </w:rPr>
        <w:tab/>
        <w:t>Determinations</w:t>
      </w:r>
      <w:bookmarkEnd w:id="224"/>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by No. 48 of 1993 s. 25; amended by No. 42 of 2004 s. 108; No. 31 of 2011 s. 36.]</w:t>
      </w:r>
    </w:p>
    <w:p>
      <w:pPr>
        <w:pStyle w:val="Heading5"/>
        <w:spacing w:before="200"/>
        <w:rPr>
          <w:snapToGrid w:val="0"/>
        </w:rPr>
      </w:pPr>
      <w:bookmarkStart w:id="225" w:name="_Toc472604788"/>
      <w:r>
        <w:rPr>
          <w:rStyle w:val="CharSectno"/>
        </w:rPr>
        <w:t>145F</w:t>
      </w:r>
      <w:r>
        <w:rPr>
          <w:snapToGrid w:val="0"/>
        </w:rPr>
        <w:t>.</w:t>
      </w:r>
      <w:r>
        <w:rPr>
          <w:snapToGrid w:val="0"/>
        </w:rPr>
        <w:tab/>
        <w:t>Reconsidering determinations</w:t>
      </w:r>
      <w:bookmarkEnd w:id="225"/>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by No. 48 of 1993 s. 25; amended by No. 31 of 2011 s. 37.]</w:t>
      </w:r>
    </w:p>
    <w:p>
      <w:pPr>
        <w:pStyle w:val="Heading5"/>
        <w:spacing w:before="200"/>
        <w:rPr>
          <w:snapToGrid w:val="0"/>
        </w:rPr>
      </w:pPr>
      <w:bookmarkStart w:id="226" w:name="_Toc472604789"/>
      <w:r>
        <w:rPr>
          <w:rStyle w:val="CharSectno"/>
        </w:rPr>
        <w:t>145G</w:t>
      </w:r>
      <w:r>
        <w:rPr>
          <w:snapToGrid w:val="0"/>
        </w:rPr>
        <w:t>.</w:t>
      </w:r>
      <w:r>
        <w:rPr>
          <w:snapToGrid w:val="0"/>
        </w:rPr>
        <w:tab/>
        <w:t>Remuneration</w:t>
      </w:r>
      <w:bookmarkEnd w:id="226"/>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by No. 48 of 1993 s. 25; amended by No. 49 of 1996 s. 64; No. 42 of 2004 s. 150; No. 77 of 2006 Sch. 1 cl. 189(9).]</w:t>
      </w:r>
    </w:p>
    <w:p>
      <w:pPr>
        <w:pStyle w:val="Heading3"/>
      </w:pPr>
      <w:bookmarkStart w:id="227" w:name="_Toc472604790"/>
      <w:r>
        <w:rPr>
          <w:rStyle w:val="CharDivNo"/>
        </w:rPr>
        <w:t>Division 2</w:t>
      </w:r>
      <w:r>
        <w:t> — </w:t>
      </w:r>
      <w:r>
        <w:rPr>
          <w:rStyle w:val="CharDivText"/>
        </w:rPr>
        <w:t>Assessing degree of impairment</w:t>
      </w:r>
      <w:bookmarkEnd w:id="227"/>
    </w:p>
    <w:p>
      <w:pPr>
        <w:pStyle w:val="Footnoteheading"/>
        <w:spacing w:before="100"/>
      </w:pPr>
      <w:r>
        <w:tab/>
        <w:t>[Heading inserted by No. 42 of 2004 s. 109.]</w:t>
      </w:r>
    </w:p>
    <w:p>
      <w:pPr>
        <w:pStyle w:val="Heading5"/>
      </w:pPr>
      <w:bookmarkStart w:id="228" w:name="_Toc472604791"/>
      <w:r>
        <w:rPr>
          <w:rStyle w:val="CharSectno"/>
        </w:rPr>
        <w:t>146</w:t>
      </w:r>
      <w:r>
        <w:t>.</w:t>
      </w:r>
      <w:r>
        <w:tab/>
        <w:t>Terms used</w:t>
      </w:r>
      <w:bookmarkEnd w:id="228"/>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29" w:name="_Toc472604792"/>
      <w:r>
        <w:rPr>
          <w:rStyle w:val="CharSectno"/>
        </w:rPr>
        <w:t>146A</w:t>
      </w:r>
      <w:r>
        <w:t>.</w:t>
      </w:r>
      <w:r>
        <w:tab/>
        <w:t>Evaluating degree of impairment generally</w:t>
      </w:r>
      <w:bookmarkEnd w:id="229"/>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by No. 42 of 2004 s. 109.]</w:t>
      </w:r>
    </w:p>
    <w:p>
      <w:pPr>
        <w:pStyle w:val="Heading5"/>
      </w:pPr>
      <w:bookmarkStart w:id="230" w:name="_Toc472604793"/>
      <w:r>
        <w:rPr>
          <w:rStyle w:val="CharSectno"/>
        </w:rPr>
        <w:t>146B</w:t>
      </w:r>
      <w:r>
        <w:t>.</w:t>
      </w:r>
      <w:r>
        <w:tab/>
        <w:t>Evaluating degree of impairment for Part III Div. 2A</w:t>
      </w:r>
      <w:bookmarkEnd w:id="23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by No. 42 of 2004 s. 109.]</w:t>
      </w:r>
    </w:p>
    <w:p>
      <w:pPr>
        <w:pStyle w:val="Heading5"/>
      </w:pPr>
      <w:bookmarkStart w:id="231" w:name="_Toc472604794"/>
      <w:r>
        <w:rPr>
          <w:rStyle w:val="CharSectno"/>
        </w:rPr>
        <w:t>146C</w:t>
      </w:r>
      <w:r>
        <w:t>.</w:t>
      </w:r>
      <w:r>
        <w:tab/>
        <w:t>Evaluating degree of impairment for Part IV Div. 2 Subdiv. 3</w:t>
      </w:r>
      <w:bookmarkEnd w:id="231"/>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by No. 42 of 2004 s. 109.]</w:t>
      </w:r>
    </w:p>
    <w:p>
      <w:pPr>
        <w:pStyle w:val="Heading5"/>
        <w:spacing w:before="240"/>
      </w:pPr>
      <w:bookmarkStart w:id="232" w:name="_Toc472604795"/>
      <w:r>
        <w:rPr>
          <w:rStyle w:val="CharSectno"/>
        </w:rPr>
        <w:t>146D</w:t>
      </w:r>
      <w:r>
        <w:t>.</w:t>
      </w:r>
      <w:r>
        <w:tab/>
        <w:t>Evaluating degree of impairment for Part IXA</w:t>
      </w:r>
      <w:bookmarkEnd w:id="232"/>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by No. 42 of 2004 s. 109.]</w:t>
      </w:r>
    </w:p>
    <w:p>
      <w:pPr>
        <w:pStyle w:val="Heading5"/>
        <w:spacing w:before="240"/>
      </w:pPr>
      <w:bookmarkStart w:id="233" w:name="_Toc472604796"/>
      <w:r>
        <w:rPr>
          <w:rStyle w:val="CharSectno"/>
        </w:rPr>
        <w:t>146E</w:t>
      </w:r>
      <w:r>
        <w:t>.</w:t>
      </w:r>
      <w:r>
        <w:tab/>
        <w:t>Evaluating degree of impairment for cl. 18A</w:t>
      </w:r>
      <w:bookmarkEnd w:id="233"/>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by No. 42 of 2004 s. 109.]</w:t>
      </w:r>
    </w:p>
    <w:p>
      <w:pPr>
        <w:pStyle w:val="Heading5"/>
      </w:pPr>
      <w:bookmarkStart w:id="234" w:name="_Toc472604797"/>
      <w:r>
        <w:rPr>
          <w:rStyle w:val="CharSectno"/>
        </w:rPr>
        <w:t>146F</w:t>
      </w:r>
      <w:r>
        <w:t>.</w:t>
      </w:r>
      <w:r>
        <w:tab/>
        <w:t>Approved medical specialists, designation of</w:t>
      </w:r>
      <w:bookmarkEnd w:id="234"/>
    </w:p>
    <w:p>
      <w:pPr>
        <w:pStyle w:val="Subsection"/>
      </w:pPr>
      <w:r>
        <w:tab/>
        <w:t>(1)</w:t>
      </w:r>
      <w:r>
        <w:tab/>
        <w:t xml:space="preserve">WorkCover WA may, by order published in the </w:t>
      </w:r>
      <w:r>
        <w:rPr>
          <w:i/>
        </w:rPr>
        <w:t>Gazette</w:t>
      </w:r>
      <w:r>
        <w:t xml:space="preserve">, designate a person as an approved medical specialist if the person is a medical practitioner who in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 xml:space="preserve">WorkCover WA may require an approved medical specialist to enter into a written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by No. 42 of 2004 s. 109; amended by No. 31 of 2011 s. 38.]</w:t>
      </w:r>
    </w:p>
    <w:p>
      <w:pPr>
        <w:pStyle w:val="Heading5"/>
      </w:pPr>
      <w:bookmarkStart w:id="235" w:name="_Toc472604798"/>
      <w:r>
        <w:rPr>
          <w:rStyle w:val="CharSectno"/>
        </w:rPr>
        <w:t>146G</w:t>
      </w:r>
      <w:r>
        <w:t>.</w:t>
      </w:r>
      <w:r>
        <w:tab/>
        <w:t>Approved medical specialist, powers of</w:t>
      </w:r>
      <w:bookmarkEnd w:id="235"/>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by No. 42 of 2004 s. 109.]</w:t>
      </w:r>
    </w:p>
    <w:p>
      <w:pPr>
        <w:pStyle w:val="Heading5"/>
        <w:spacing w:before="1000"/>
      </w:pPr>
      <w:bookmarkStart w:id="236" w:name="_Toc472604799"/>
      <w:r>
        <w:rPr>
          <w:rStyle w:val="CharSectno"/>
        </w:rPr>
        <w:t>146H</w:t>
      </w:r>
      <w:r>
        <w:t>.</w:t>
      </w:r>
      <w:r>
        <w:tab/>
        <w:t>Approved medical specialist, duties of after making assessment</w:t>
      </w:r>
      <w:bookmarkEnd w:id="236"/>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by No. 42 of 2004 s. 109; amended by No. 16 of 2005 s. 18; No. 31 of 2011 s. 100.]</w:t>
      </w:r>
    </w:p>
    <w:p>
      <w:pPr>
        <w:pStyle w:val="Heading5"/>
      </w:pPr>
      <w:bookmarkStart w:id="237" w:name="_Toc472604800"/>
      <w:r>
        <w:rPr>
          <w:rStyle w:val="CharSectno"/>
        </w:rPr>
        <w:t>146I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approved medical specialist information about worker</w:t>
      </w:r>
      <w:bookmarkEnd w:id="237"/>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by No. 42 of 2004 s. 109.]</w:t>
      </w:r>
    </w:p>
    <w:p>
      <w:pPr>
        <w:pStyle w:val="Heading5"/>
      </w:pPr>
      <w:bookmarkStart w:id="238" w:name="_Toc472604801"/>
      <w:r>
        <w:rPr>
          <w:rStyle w:val="CharSectno"/>
        </w:rPr>
        <w:t>146J</w:t>
      </w:r>
      <w:r>
        <w:t>.</w:t>
      </w:r>
      <w:r>
        <w:tab/>
        <w:t>Decisions of approved medical specialist not reviewable</w:t>
      </w:r>
      <w:bookmarkEnd w:id="238"/>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by No. 42 of 2004 s. 109.]</w:t>
      </w:r>
    </w:p>
    <w:p>
      <w:pPr>
        <w:pStyle w:val="Heading3"/>
      </w:pPr>
      <w:bookmarkStart w:id="239" w:name="_Toc472604802"/>
      <w:r>
        <w:rPr>
          <w:rStyle w:val="CharDivNo"/>
        </w:rPr>
        <w:t>Division 3</w:t>
      </w:r>
      <w:r>
        <w:t> — </w:t>
      </w:r>
      <w:r>
        <w:rPr>
          <w:rStyle w:val="CharDivText"/>
        </w:rPr>
        <w:t>Approved medical specialist panels</w:t>
      </w:r>
      <w:bookmarkEnd w:id="239"/>
    </w:p>
    <w:p>
      <w:pPr>
        <w:pStyle w:val="Footnoteheading"/>
        <w:spacing w:before="100"/>
      </w:pPr>
      <w:r>
        <w:tab/>
        <w:t>[Heading inserted by No. 42 of 2004 s. 109.]</w:t>
      </w:r>
    </w:p>
    <w:p>
      <w:pPr>
        <w:pStyle w:val="Heading5"/>
      </w:pPr>
      <w:bookmarkStart w:id="240" w:name="_Toc472604803"/>
      <w:r>
        <w:rPr>
          <w:rStyle w:val="CharSectno"/>
        </w:rPr>
        <w:t>146K</w:t>
      </w:r>
      <w:r>
        <w:t>.</w:t>
      </w:r>
      <w:r>
        <w:tab/>
        <w:t>Constituting panels</w:t>
      </w:r>
      <w:bookmarkEnd w:id="240"/>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 xml:space="preserve">If a referral is made to an approved medical specialist panel,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with the consent of the worker, disclose to the panel any information that it has in relation to the worker that may be relevant to the assessment.</w:t>
      </w:r>
    </w:p>
    <w:p>
      <w:pPr>
        <w:pStyle w:val="Footnotesection"/>
      </w:pPr>
      <w:r>
        <w:tab/>
        <w:t>[Section 146K inserted by No. 42 of 2004 s. 109; amended by No. 31 of 2011 s. 75.]</w:t>
      </w:r>
    </w:p>
    <w:p>
      <w:pPr>
        <w:pStyle w:val="Heading5"/>
        <w:spacing w:before="180"/>
      </w:pPr>
      <w:bookmarkStart w:id="241" w:name="_Toc472604804"/>
      <w:r>
        <w:rPr>
          <w:rStyle w:val="CharSectno"/>
        </w:rPr>
        <w:t>146L</w:t>
      </w:r>
      <w:r>
        <w:t>.</w:t>
      </w:r>
      <w:r>
        <w:tab/>
        <w:t>Procedure and powers of panels</w:t>
      </w:r>
      <w:bookmarkEnd w:id="241"/>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by No. 42 of 2004 s. 109.]</w:t>
      </w:r>
    </w:p>
    <w:p>
      <w:pPr>
        <w:pStyle w:val="Heading5"/>
      </w:pPr>
      <w:bookmarkStart w:id="242" w:name="_Toc472604805"/>
      <w:r>
        <w:rPr>
          <w:rStyle w:val="CharSectno"/>
        </w:rPr>
        <w:t>146M</w:t>
      </w:r>
      <w:r>
        <w:t>.</w:t>
      </w:r>
      <w:r>
        <w:tab/>
        <w:t>Failure to comply with requirement of panel</w:t>
      </w:r>
      <w:bookmarkEnd w:id="242"/>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by No. 42 of 2004 s. 109; amended by No. 31 of 2011 s. 39.]</w:t>
      </w:r>
    </w:p>
    <w:p>
      <w:pPr>
        <w:pStyle w:val="Heading5"/>
      </w:pPr>
      <w:bookmarkStart w:id="243" w:name="_Toc472604806"/>
      <w:r>
        <w:rPr>
          <w:rStyle w:val="CharSectno"/>
        </w:rPr>
        <w:t>146N</w:t>
      </w:r>
      <w:r>
        <w:t>.</w:t>
      </w:r>
      <w:r>
        <w:tab/>
        <w:t>How panel to assess degree of impairment</w:t>
      </w:r>
      <w:bookmarkEnd w:id="243"/>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by No. 42 of 2004 s. 109.]</w:t>
      </w:r>
    </w:p>
    <w:p>
      <w:pPr>
        <w:pStyle w:val="Heading5"/>
      </w:pPr>
      <w:bookmarkStart w:id="244" w:name="_Toc472604807"/>
      <w:r>
        <w:rPr>
          <w:rStyle w:val="CharSectno"/>
        </w:rPr>
        <w:t>146O</w:t>
      </w:r>
      <w:r>
        <w:t>.</w:t>
      </w:r>
      <w:r>
        <w:tab/>
        <w:t>Duties of panel after making assessment</w:t>
      </w:r>
      <w:bookmarkEnd w:id="244"/>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by No. 42 of 2004 s. 109; amended by No. 16 of 2005 s. 19; No. 31 of 2011 s. 75.]</w:t>
      </w:r>
    </w:p>
    <w:p>
      <w:pPr>
        <w:pStyle w:val="Heading5"/>
      </w:pPr>
      <w:bookmarkStart w:id="245" w:name="_Toc472604808"/>
      <w:r>
        <w:rPr>
          <w:rStyle w:val="CharSectno"/>
        </w:rPr>
        <w:t>146P</w:t>
      </w:r>
      <w:r>
        <w:t>.</w:t>
      </w:r>
      <w:r>
        <w:tab/>
        <w:t>No assessment without unanimous agreement</w:t>
      </w:r>
      <w:bookmarkEnd w:id="245"/>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by No. 42 of 2004 s. 109.]</w:t>
      </w:r>
    </w:p>
    <w:p>
      <w:pPr>
        <w:pStyle w:val="Heading5"/>
      </w:pPr>
      <w:bookmarkStart w:id="246" w:name="_Toc472604809"/>
      <w:r>
        <w:rPr>
          <w:rStyle w:val="CharSectno"/>
        </w:rPr>
        <w:t>146Q</w:t>
      </w:r>
      <w:r>
        <w:t>.</w:t>
      </w:r>
      <w:r>
        <w:tab/>
        <w:t>Remuneration</w:t>
      </w:r>
      <w:bookmarkEnd w:id="246"/>
    </w:p>
    <w:p>
      <w:pPr>
        <w:pStyle w:val="Subsection"/>
      </w:pPr>
      <w:r>
        <w:tab/>
        <w:t>(1)</w:t>
      </w:r>
      <w:r>
        <w:tab/>
        <w:t>A member of an approved medical specialist panel is entitled to such fees and allowances as may be determined by the Minister.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146Q inserted by No. 42 of 2004 s. 109; amended by No. 77 of 2006 Sch. 1 cl. 189(9).]</w:t>
      </w:r>
    </w:p>
    <w:p>
      <w:pPr>
        <w:pStyle w:val="Heading3"/>
        <w:keepLines/>
      </w:pPr>
      <w:bookmarkStart w:id="247" w:name="_Toc472604810"/>
      <w:r>
        <w:rPr>
          <w:rStyle w:val="CharDivNo"/>
        </w:rPr>
        <w:t>Division 4</w:t>
      </w:r>
      <w:r>
        <w:t xml:space="preserve"> — </w:t>
      </w:r>
      <w:r>
        <w:rPr>
          <w:rStyle w:val="CharDivText"/>
        </w:rPr>
        <w:t>WorkCover Guides</w:t>
      </w:r>
      <w:bookmarkEnd w:id="247"/>
    </w:p>
    <w:p>
      <w:pPr>
        <w:pStyle w:val="Footnoteheading"/>
        <w:keepNext/>
        <w:keepLines/>
      </w:pPr>
      <w:r>
        <w:tab/>
        <w:t>[Heading inserted by No. 42 of 2004 s. 109.]</w:t>
      </w:r>
    </w:p>
    <w:p>
      <w:pPr>
        <w:pStyle w:val="Heading5"/>
      </w:pPr>
      <w:bookmarkStart w:id="248" w:name="_Toc472604811"/>
      <w:r>
        <w:rPr>
          <w:rStyle w:val="CharSectno"/>
        </w:rPr>
        <w:t>146R</w:t>
      </w:r>
      <w:r>
        <w:t>.</w:t>
      </w:r>
      <w:r>
        <w:tab/>
        <w:t>WorkCover Guides, issue of</w:t>
      </w:r>
      <w:bookmarkEnd w:id="248"/>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49" w:name="_Toc472604812"/>
      <w:r>
        <w:rPr>
          <w:rStyle w:val="CharDivNo"/>
        </w:rPr>
        <w:t>Division 5</w:t>
      </w:r>
      <w:r>
        <w:t> — </w:t>
      </w:r>
      <w:r>
        <w:rPr>
          <w:rStyle w:val="CharDivText"/>
        </w:rPr>
        <w:t>Assessment for specialised retraining programs</w:t>
      </w:r>
      <w:bookmarkEnd w:id="249"/>
    </w:p>
    <w:p>
      <w:pPr>
        <w:pStyle w:val="Footnoteheading"/>
      </w:pPr>
      <w:r>
        <w:tab/>
        <w:t>[Heading inserted by No. 42 of 2004 s. 110.]</w:t>
      </w:r>
    </w:p>
    <w:p>
      <w:pPr>
        <w:pStyle w:val="Heading5"/>
      </w:pPr>
      <w:bookmarkStart w:id="250" w:name="_Toc472604813"/>
      <w:r>
        <w:rPr>
          <w:rStyle w:val="CharSectno"/>
        </w:rPr>
        <w:t>146S</w:t>
      </w:r>
      <w:r>
        <w:t>.</w:t>
      </w:r>
      <w:r>
        <w:tab/>
        <w:t>Register of eligible members of specialised retraining assessment panels</w:t>
      </w:r>
      <w:bookmarkEnd w:id="250"/>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by No. 42 of 2004 s. 110; amended by No. 31 of 2011 s. 40.]</w:t>
      </w:r>
    </w:p>
    <w:p>
      <w:pPr>
        <w:pStyle w:val="Heading5"/>
      </w:pPr>
      <w:bookmarkStart w:id="251" w:name="_Toc472604814"/>
      <w:r>
        <w:rPr>
          <w:rStyle w:val="CharSectno"/>
        </w:rPr>
        <w:t>146T</w:t>
      </w:r>
      <w:r>
        <w:t>.</w:t>
      </w:r>
      <w:r>
        <w:tab/>
        <w:t>Specialised retraining assessment panel, constituting</w:t>
      </w:r>
      <w:bookmarkEnd w:id="251"/>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 xml:space="preserve">who is not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Indenta"/>
      </w:pPr>
      <w:r>
        <w:tab/>
        <w:t>(c)</w:t>
      </w:r>
      <w:r>
        <w:tab/>
        <w:t xml:space="preserve">one is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by No. 42 of 2004 s. 110; amended by No. 31 of 2011 s. 75.]</w:t>
      </w:r>
    </w:p>
    <w:p>
      <w:pPr>
        <w:pStyle w:val="Heading5"/>
        <w:spacing w:before="240"/>
      </w:pPr>
      <w:bookmarkStart w:id="252" w:name="_Toc472604815"/>
      <w:r>
        <w:rPr>
          <w:rStyle w:val="CharSectno"/>
        </w:rPr>
        <w:t>146U</w:t>
      </w:r>
      <w:r>
        <w:t>.</w:t>
      </w:r>
      <w:r>
        <w:tab/>
        <w:t>Procedure and powers of panels</w:t>
      </w:r>
      <w:bookmarkEnd w:id="252"/>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by No. 42 of 2004 s. 110.]</w:t>
      </w:r>
    </w:p>
    <w:p>
      <w:pPr>
        <w:pStyle w:val="Heading5"/>
      </w:pPr>
      <w:bookmarkStart w:id="253" w:name="_Toc472604816"/>
      <w:r>
        <w:rPr>
          <w:rStyle w:val="CharSectno"/>
        </w:rPr>
        <w:t>146V</w:t>
      </w:r>
      <w:r>
        <w:t>.</w:t>
      </w:r>
      <w:r>
        <w:tab/>
        <w:t>Assessments by panels</w:t>
      </w:r>
      <w:bookmarkEnd w:id="253"/>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by No. 42 of 2004 s. 110; amended by No. 31 of 2011 s. 75.]</w:t>
      </w:r>
    </w:p>
    <w:p>
      <w:pPr>
        <w:pStyle w:val="Heading5"/>
      </w:pPr>
      <w:bookmarkStart w:id="254" w:name="_Toc472604817"/>
      <w:r>
        <w:rPr>
          <w:rStyle w:val="CharSectno"/>
        </w:rPr>
        <w:t>146W</w:t>
      </w:r>
      <w:r>
        <w:t>.</w:t>
      </w:r>
      <w:r>
        <w:tab/>
        <w:t>Remuneration</w:t>
      </w:r>
      <w:bookmarkEnd w:id="254"/>
    </w:p>
    <w:p>
      <w:pPr>
        <w:pStyle w:val="Subsection"/>
      </w:pPr>
      <w:r>
        <w:tab/>
        <w:t>(1)</w:t>
      </w:r>
      <w:r>
        <w:tab/>
        <w:t xml:space="preserve">A member of a specialised retraining assessment panel who is not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entitled to such fees and allowances as may be determined by the Minister.</w:t>
      </w:r>
    </w:p>
    <w:p>
      <w:pPr>
        <w:pStyle w:val="Subsection"/>
      </w:pPr>
      <w:r>
        <w:tab/>
        <w:t>(2)</w:t>
      </w:r>
      <w:r>
        <w:tab/>
        <w:t xml:space="preserve">The fees and allowances mentioned in subsection (1) shall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pPr>
      <w:r>
        <w:tab/>
        <w:t>[Section 146W inserted by No. 42 of 2004 s. 110; amended by No. 77 of 2006 Sch. 1 cl. 189(9).]</w:t>
      </w:r>
    </w:p>
    <w:p>
      <w:pPr>
        <w:pStyle w:val="Heading2"/>
      </w:pPr>
      <w:bookmarkStart w:id="255" w:name="_Toc472604818"/>
      <w:r>
        <w:rPr>
          <w:rStyle w:val="CharPartNo"/>
        </w:rPr>
        <w:t>Part VIII</w:t>
      </w:r>
      <w:r>
        <w:rPr>
          <w:rStyle w:val="CharDivNo"/>
        </w:rPr>
        <w:t> </w:t>
      </w:r>
      <w:r>
        <w:t>—</w:t>
      </w:r>
      <w:r>
        <w:rPr>
          <w:rStyle w:val="CharDivText"/>
        </w:rPr>
        <w:t> </w:t>
      </w:r>
      <w:r>
        <w:rPr>
          <w:rStyle w:val="CharPartText"/>
        </w:rPr>
        <w:t>Premium rates</w:t>
      </w:r>
      <w:bookmarkEnd w:id="255"/>
    </w:p>
    <w:p>
      <w:pPr>
        <w:pStyle w:val="Footnoteheading"/>
        <w:tabs>
          <w:tab w:val="left" w:pos="851"/>
        </w:tabs>
      </w:pPr>
      <w:r>
        <w:tab/>
        <w:t>[Heading amended by No. 42 of 2004 s. 111.]</w:t>
      </w:r>
    </w:p>
    <w:p>
      <w:pPr>
        <w:pStyle w:val="Ednotesection"/>
        <w:tabs>
          <w:tab w:val="clear" w:pos="893"/>
          <w:tab w:val="left" w:pos="1254"/>
        </w:tabs>
        <w:outlineLvl w:val="9"/>
        <w:rPr>
          <w:b/>
        </w:rPr>
      </w:pPr>
      <w:r>
        <w:t>[</w:t>
      </w:r>
      <w:r>
        <w:rPr>
          <w:b/>
        </w:rPr>
        <w:t>147</w:t>
      </w:r>
      <w:r>
        <w:rPr>
          <w:b/>
        </w:rPr>
        <w:noBreakHyphen/>
        <w:t>150.</w:t>
      </w:r>
      <w:r>
        <w:rPr>
          <w:b/>
        </w:rPr>
        <w:tab/>
      </w:r>
      <w:r>
        <w:t>Deleted by No. 42 of 2004 s. 112.]</w:t>
      </w:r>
    </w:p>
    <w:p>
      <w:pPr>
        <w:pStyle w:val="Heading5"/>
        <w:rPr>
          <w:snapToGrid w:val="0"/>
        </w:rPr>
      </w:pPr>
      <w:bookmarkStart w:id="256" w:name="_Toc472604819"/>
      <w:r>
        <w:rPr>
          <w:rStyle w:val="CharSectno"/>
        </w:rPr>
        <w:t>151</w:t>
      </w:r>
      <w:r>
        <w:rPr>
          <w:snapToGrid w:val="0"/>
        </w:rPr>
        <w:t>.</w:t>
      </w:r>
      <w:r>
        <w:rPr>
          <w:snapToGrid w:val="0"/>
        </w:rPr>
        <w:tab/>
        <w:t>Premium rates for insurance, fixing of</w:t>
      </w:r>
      <w:bookmarkEnd w:id="256"/>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for that class.</w:t>
      </w:r>
    </w:p>
    <w:p>
      <w:pPr>
        <w:pStyle w:val="Footnotesection"/>
      </w:pPr>
      <w:r>
        <w:tab/>
        <w:t>[Section 151 amended by No. 44 of 1985 s. 30; No. 96 of 1990 s. 30; No. 42 of 2004 s. 113 and 153; No. 31 of 2011 s. 101.]</w:t>
      </w:r>
    </w:p>
    <w:p>
      <w:pPr>
        <w:pStyle w:val="Heading5"/>
        <w:rPr>
          <w:snapToGrid w:val="0"/>
        </w:rPr>
      </w:pPr>
      <w:bookmarkStart w:id="257" w:name="_Toc472604820"/>
      <w:r>
        <w:rPr>
          <w:rStyle w:val="CharSectno"/>
        </w:rPr>
        <w:t>151A</w:t>
      </w:r>
      <w:r>
        <w:rPr>
          <w:snapToGrid w:val="0"/>
        </w:rPr>
        <w:t>.</w:t>
      </w:r>
      <w:r>
        <w:rPr>
          <w:snapToGrid w:val="0"/>
        </w:rPr>
        <w:tab/>
        <w:t>Report as to premium rates</w:t>
      </w:r>
      <w:bookmarkEnd w:id="257"/>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by No. 96 of 1990 s. 31; amended by No. 42 of 2004 s. 153.]</w:t>
      </w:r>
    </w:p>
    <w:p>
      <w:pPr>
        <w:pStyle w:val="Heading5"/>
      </w:pPr>
      <w:bookmarkStart w:id="258" w:name="_Toc472604821"/>
      <w:r>
        <w:rPr>
          <w:rStyle w:val="CharSectno"/>
        </w:rPr>
        <w:t>152</w:t>
      </w:r>
      <w:r>
        <w:t>.</w:t>
      </w:r>
      <w:r>
        <w:tab/>
        <w:t xml:space="preserve">Loading not to exceed 75%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permits</w:t>
      </w:r>
      <w:bookmarkEnd w:id="258"/>
    </w:p>
    <w:p>
      <w:pPr>
        <w:pStyle w:val="Subsection"/>
      </w:pPr>
      <w:r>
        <w:tab/>
      </w:r>
      <w:r>
        <w:tab/>
        <w:t xml:space="preserve">Unless permitted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rPr>
          <w:snapToGrid w:val="0"/>
        </w:rPr>
      </w:pPr>
      <w:bookmarkStart w:id="259" w:name="_Toc472604822"/>
      <w:r>
        <w:rPr>
          <w:rStyle w:val="CharSectno"/>
        </w:rPr>
        <w:t>153</w:t>
      </w:r>
      <w:r>
        <w:t>.</w:t>
      </w:r>
      <w:r>
        <w:tab/>
      </w:r>
      <w:r>
        <w:rPr>
          <w:snapToGrid w:val="0"/>
        </w:rPr>
        <w:t>Setting maximum loading or discount</w:t>
      </w:r>
      <w:bookmarkEnd w:id="259"/>
    </w:p>
    <w:p>
      <w:pPr>
        <w:pStyle w:val="Subsection"/>
        <w:rPr>
          <w:snapToGrid w:val="0"/>
        </w:rPr>
      </w:pPr>
      <w:r>
        <w:rPr>
          <w:snapToGrid w:val="0"/>
        </w:rPr>
        <w:tab/>
      </w:r>
      <w:r>
        <w:rPr>
          <w:snapToGrid w:val="0"/>
        </w:rPr>
        <w:tab/>
        <w:t xml:space="preserve">Subject to section 152,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set the maximum permissible loading or the maximum permissible discount which may be charged or given in respect of a recommended premium rate.</w:t>
      </w:r>
    </w:p>
    <w:p>
      <w:pPr>
        <w:pStyle w:val="Footnotesection"/>
      </w:pPr>
      <w:r>
        <w:tab/>
        <w:t>[Section 153 amended by No. 42 of 2004 s. 115 and 150.]</w:t>
      </w:r>
    </w:p>
    <w:p>
      <w:pPr>
        <w:pStyle w:val="Heading5"/>
        <w:rPr>
          <w:snapToGrid w:val="0"/>
        </w:rPr>
      </w:pPr>
      <w:bookmarkStart w:id="260" w:name="_Toc472604823"/>
      <w:r>
        <w:rPr>
          <w:rStyle w:val="CharSectno"/>
        </w:rPr>
        <w:t>153A</w:t>
      </w:r>
      <w:r>
        <w:rPr>
          <w:snapToGrid w:val="0"/>
        </w:rPr>
        <w:t>.</w:t>
      </w:r>
      <w:r>
        <w:rPr>
          <w:snapToGrid w:val="0"/>
        </w:rPr>
        <w:tab/>
        <w:t>Minimum premiums</w:t>
      </w:r>
      <w:bookmarkEnd w:id="260"/>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by No. 33 of 1986 s. 6; amended by No. 42 of 2004 s. 153.]</w:t>
      </w:r>
    </w:p>
    <w:p>
      <w:pPr>
        <w:pStyle w:val="Heading5"/>
        <w:rPr>
          <w:snapToGrid w:val="0"/>
        </w:rPr>
      </w:pPr>
      <w:bookmarkStart w:id="261" w:name="_Toc472604824"/>
      <w:r>
        <w:rPr>
          <w:rStyle w:val="CharSectno"/>
        </w:rPr>
        <w:t>154</w:t>
      </w:r>
      <w:r>
        <w:rPr>
          <w:snapToGrid w:val="0"/>
        </w:rPr>
        <w:t>.</w:t>
      </w:r>
      <w:r>
        <w:rPr>
          <w:snapToGrid w:val="0"/>
        </w:rPr>
        <w:tab/>
        <w:t>Appeals by employers</w:t>
      </w:r>
      <w:bookmarkEnd w:id="261"/>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 No. 19 of 2010 s. 51.]</w:t>
      </w:r>
    </w:p>
    <w:p>
      <w:pPr>
        <w:pStyle w:val="Heading5"/>
      </w:pPr>
      <w:bookmarkStart w:id="262" w:name="_Toc472604825"/>
      <w:r>
        <w:rPr>
          <w:rStyle w:val="CharSectno"/>
        </w:rPr>
        <w:t>154A</w:t>
      </w:r>
      <w:r>
        <w:t>.</w:t>
      </w:r>
      <w:r>
        <w:tab/>
        <w:t>Regulations as to insurers informing employers</w:t>
      </w:r>
      <w:bookmarkEnd w:id="262"/>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63" w:name="_Toc472604826"/>
      <w:r>
        <w:rPr>
          <w:rStyle w:val="CharSectno"/>
        </w:rPr>
        <w:t>154AB</w:t>
      </w:r>
      <w:r>
        <w:t>.</w:t>
      </w:r>
      <w:r>
        <w:tab/>
        <w:t>Minister may give directions as to fixing premium rates</w:t>
      </w:r>
      <w:bookmarkEnd w:id="26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64" w:name="_Toc472604827"/>
      <w:r>
        <w:rPr>
          <w:rStyle w:val="CharSectno"/>
        </w:rPr>
        <w:t>154AC</w:t>
      </w:r>
      <w:r>
        <w:t>.</w:t>
      </w:r>
      <w:r>
        <w:tab/>
        <w:t>Regulations for subsidy from Supplementation Fund</w:t>
      </w:r>
      <w:bookmarkEnd w:id="264"/>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65" w:name="_Toc472604828"/>
      <w:r>
        <w:rPr>
          <w:rStyle w:val="CharPartNo"/>
        </w:rPr>
        <w:t>Part IX</w:t>
      </w:r>
      <w:r>
        <w:rPr>
          <w:b w:val="0"/>
        </w:rPr>
        <w:t> </w:t>
      </w:r>
      <w:r>
        <w:t>—</w:t>
      </w:r>
      <w:r>
        <w:rPr>
          <w:b w:val="0"/>
        </w:rPr>
        <w:t> </w:t>
      </w:r>
      <w:r>
        <w:rPr>
          <w:rStyle w:val="CharPartText"/>
        </w:rPr>
        <w:t>Injury management</w:t>
      </w:r>
      <w:bookmarkEnd w:id="265"/>
    </w:p>
    <w:p>
      <w:pPr>
        <w:pStyle w:val="Footnoteheading"/>
      </w:pPr>
      <w:r>
        <w:tab/>
        <w:t>[Heading inserted by No. 42 of 2004 s. 118.]</w:t>
      </w:r>
    </w:p>
    <w:p>
      <w:pPr>
        <w:pStyle w:val="Heading5"/>
      </w:pPr>
      <w:bookmarkStart w:id="266" w:name="_Toc472604829"/>
      <w:r>
        <w:rPr>
          <w:rStyle w:val="CharSectno"/>
        </w:rPr>
        <w:t>155</w:t>
      </w:r>
      <w:r>
        <w:t>.</w:t>
      </w:r>
      <w:r>
        <w:tab/>
        <w:t>Terms used</w:t>
      </w:r>
      <w:bookmarkEnd w:id="266"/>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67" w:name="_Toc472604830"/>
      <w:r>
        <w:rPr>
          <w:rStyle w:val="CharSectno"/>
        </w:rPr>
        <w:t>155A</w:t>
      </w:r>
      <w:r>
        <w:t>.</w:t>
      </w:r>
      <w:r>
        <w:tab/>
        <w:t>Code of practice (injury management)</w:t>
      </w:r>
      <w:bookmarkEnd w:id="267"/>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 xml:space="preserve">such other matters relating to injury management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by No. 42 of 2004 s. 118.]</w:t>
      </w:r>
    </w:p>
    <w:p>
      <w:pPr>
        <w:pStyle w:val="Heading5"/>
        <w:spacing w:before="180"/>
      </w:pPr>
      <w:bookmarkStart w:id="268" w:name="_Toc472604831"/>
      <w:r>
        <w:rPr>
          <w:rStyle w:val="CharSectno"/>
        </w:rPr>
        <w:t>155B</w:t>
      </w:r>
      <w:r>
        <w:t>.</w:t>
      </w:r>
      <w:r>
        <w:tab/>
        <w:t>Injury management system, employers’ duties as to</w:t>
      </w:r>
      <w:bookmarkEnd w:id="268"/>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by No. 42 of 2004 s. 118.]</w:t>
      </w:r>
    </w:p>
    <w:p>
      <w:pPr>
        <w:pStyle w:val="Heading5"/>
        <w:spacing w:before="180"/>
      </w:pPr>
      <w:bookmarkStart w:id="269" w:name="_Toc472604832"/>
      <w:r>
        <w:rPr>
          <w:rStyle w:val="CharSectno"/>
        </w:rPr>
        <w:t>155C</w:t>
      </w:r>
      <w:r>
        <w:t>.</w:t>
      </w:r>
      <w:r>
        <w:tab/>
        <w:t>Return to work programs, employers’ duties as to</w:t>
      </w:r>
      <w:bookmarkEnd w:id="269"/>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by No. 42 of 2004 s. 118.]</w:t>
      </w:r>
    </w:p>
    <w:p>
      <w:pPr>
        <w:pStyle w:val="Heading5"/>
      </w:pPr>
      <w:bookmarkStart w:id="270" w:name="_Toc472604833"/>
      <w:r>
        <w:rPr>
          <w:rStyle w:val="CharSectno"/>
        </w:rPr>
        <w:t>155D</w:t>
      </w:r>
      <w:r>
        <w:t>.</w:t>
      </w:r>
      <w:r>
        <w:tab/>
        <w:t>Insurers’ duties</w:t>
      </w:r>
      <w:bookmarkEnd w:id="270"/>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by No. 42 of 2004 s. 118.]</w:t>
      </w:r>
    </w:p>
    <w:p>
      <w:pPr>
        <w:pStyle w:val="Heading5"/>
      </w:pPr>
      <w:bookmarkStart w:id="271" w:name="_Toc472604834"/>
      <w:r>
        <w:rPr>
          <w:rStyle w:val="CharSectno"/>
        </w:rPr>
        <w:t>155E</w:t>
      </w:r>
      <w:r>
        <w:t>.</w:t>
      </w:r>
      <w:r>
        <w:tab/>
        <w:t xml:space="preserve">Return to work programs,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powers as to</w:t>
      </w:r>
      <w:bookmarkEnd w:id="271"/>
    </w:p>
    <w:p>
      <w:pPr>
        <w:pStyle w:val="Subsection"/>
        <w:spacing w:before="140"/>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is of the opinion that a worker’s injury should be reviewed to determine whether a return to work program should be established for the worker,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by No. 31 of 2011 s. 102.]</w:t>
      </w:r>
    </w:p>
    <w:p>
      <w:pPr>
        <w:pStyle w:val="Heading5"/>
        <w:spacing w:before="180"/>
        <w:rPr>
          <w:snapToGrid w:val="0"/>
        </w:rPr>
      </w:pPr>
      <w:bookmarkStart w:id="272" w:name="_Toc472604835"/>
      <w:r>
        <w:rPr>
          <w:rStyle w:val="CharSectno"/>
        </w:rPr>
        <w:t>156</w:t>
      </w:r>
      <w:r>
        <w:rPr>
          <w:snapToGrid w:val="0"/>
        </w:rPr>
        <w:t>.</w:t>
      </w:r>
      <w:r>
        <w:rPr>
          <w:snapToGrid w:val="0"/>
        </w:rPr>
        <w:tab/>
        <w:t>Vocational rehabilitation providers, approval of</w:t>
      </w:r>
      <w:bookmarkEnd w:id="272"/>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 xml:space="preserve">In considering whether or not to approve a person as a vocational rehabilitation provider, to impose conditions on any such approval, or to revoke any such approval,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by No. 42 of 2004 s. 118.]</w:t>
      </w:r>
    </w:p>
    <w:p>
      <w:pPr>
        <w:pStyle w:val="Heading5"/>
      </w:pPr>
      <w:bookmarkStart w:id="273" w:name="_Toc472604836"/>
      <w:r>
        <w:rPr>
          <w:rStyle w:val="CharSectno"/>
        </w:rPr>
        <w:t>156A</w:t>
      </w:r>
      <w:r>
        <w:t>.</w:t>
      </w:r>
      <w:r>
        <w:tab/>
        <w:t>Vocational rehabilitation providers, information as to and fees of</w:t>
      </w:r>
      <w:bookmarkEnd w:id="273"/>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by No. 42 of 2004 s. 118.]</w:t>
      </w:r>
    </w:p>
    <w:p>
      <w:pPr>
        <w:pStyle w:val="Heading5"/>
        <w:rPr>
          <w:snapToGrid w:val="0"/>
        </w:rPr>
      </w:pPr>
      <w:bookmarkStart w:id="274" w:name="_Toc472604837"/>
      <w:r>
        <w:rPr>
          <w:rStyle w:val="CharSectno"/>
        </w:rPr>
        <w:t>156B</w:t>
      </w:r>
      <w:r>
        <w:rPr>
          <w:snapToGrid w:val="0"/>
        </w:rPr>
        <w:t>.</w:t>
      </w:r>
      <w:r>
        <w:rPr>
          <w:snapToGrid w:val="0"/>
        </w:rPr>
        <w:tab/>
        <w:t>Arbitrators’ powers as to return to work programs</w:t>
      </w:r>
      <w:bookmarkEnd w:id="274"/>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by No. 42 of 2004 s. 118.]</w:t>
      </w:r>
    </w:p>
    <w:p>
      <w:pPr>
        <w:pStyle w:val="Heading5"/>
        <w:rPr>
          <w:snapToGrid w:val="0"/>
        </w:rPr>
      </w:pPr>
      <w:bookmarkStart w:id="275" w:name="_Toc472604838"/>
      <w:r>
        <w:rPr>
          <w:rStyle w:val="CharSectno"/>
        </w:rPr>
        <w:t>157</w:t>
      </w:r>
      <w:r>
        <w:rPr>
          <w:snapToGrid w:val="0"/>
        </w:rPr>
        <w:t>.</w:t>
      </w:r>
      <w:r>
        <w:rPr>
          <w:snapToGrid w:val="0"/>
        </w:rPr>
        <w:tab/>
        <w:t>Information about injury management</w:t>
      </w:r>
      <w:bookmarkEnd w:id="275"/>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 xml:space="preserve">An arbitrator may request </w:t>
      </w:r>
      <w:smartTag w:uri="urn:schemas-microsoft-com:office:smarttags" w:element="City">
        <w:r>
          <w:t>WorkCover</w:t>
        </w:r>
      </w:smartTag>
      <w:r>
        <w:t xml:space="preserve"> </w:t>
      </w:r>
      <w:smartTag w:uri="urn:schemas-microsoft-com:office:smarttags" w:element="State">
        <w:r>
          <w:t>WA</w:t>
        </w:r>
      </w:smartTag>
      <w:r>
        <w:t xml:space="preserve"> to provide information on injury management or related matters,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provide that information to the arbitrator.</w:t>
      </w:r>
    </w:p>
    <w:p>
      <w:pPr>
        <w:pStyle w:val="Footnotesection"/>
      </w:pPr>
      <w:r>
        <w:tab/>
        <w:t>[Section 157 inserted by No. 42 of 2004 s. 118.]</w:t>
      </w:r>
    </w:p>
    <w:p>
      <w:pPr>
        <w:pStyle w:val="Ednotesection"/>
      </w:pPr>
      <w:r>
        <w:t>[</w:t>
      </w:r>
      <w:r>
        <w:rPr>
          <w:b/>
        </w:rPr>
        <w:t>157A.</w:t>
      </w:r>
      <w:r>
        <w:tab/>
        <w:t>Deleted by No. 31 of 2011 s. 103.]</w:t>
      </w:r>
    </w:p>
    <w:p>
      <w:pPr>
        <w:pStyle w:val="Heading5"/>
      </w:pPr>
      <w:bookmarkStart w:id="276" w:name="_Toc472604839"/>
      <w:r>
        <w:rPr>
          <w:rStyle w:val="CharSectno"/>
        </w:rPr>
        <w:t>157B</w:t>
      </w:r>
      <w:r>
        <w:t>.</w:t>
      </w:r>
      <w:r>
        <w:tab/>
        <w:t>Mediation and assistance</w:t>
      </w:r>
      <w:bookmarkEnd w:id="276"/>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277" w:name="_Toc472604840"/>
      <w:r>
        <w:rPr>
          <w:rStyle w:val="CharPartNo"/>
        </w:rPr>
        <w:t>Part IXA</w:t>
      </w:r>
      <w:r>
        <w:rPr>
          <w:b w:val="0"/>
        </w:rPr>
        <w:t> </w:t>
      </w:r>
      <w:r>
        <w:t>—</w:t>
      </w:r>
      <w:r>
        <w:rPr>
          <w:b w:val="0"/>
        </w:rPr>
        <w:t> </w:t>
      </w:r>
      <w:r>
        <w:rPr>
          <w:rStyle w:val="CharPartText"/>
        </w:rPr>
        <w:t>Specialised retraining programs</w:t>
      </w:r>
      <w:bookmarkEnd w:id="277"/>
    </w:p>
    <w:p>
      <w:pPr>
        <w:pStyle w:val="Footnoteheading"/>
      </w:pPr>
      <w:r>
        <w:tab/>
        <w:t>[Heading inserted by No. 42 of 2004 s. 119.]</w:t>
      </w:r>
    </w:p>
    <w:p>
      <w:pPr>
        <w:pStyle w:val="Heading5"/>
      </w:pPr>
      <w:bookmarkStart w:id="278" w:name="_Toc472604841"/>
      <w:r>
        <w:rPr>
          <w:rStyle w:val="CharSectno"/>
        </w:rPr>
        <w:t>158</w:t>
      </w:r>
      <w:r>
        <w:t>.</w:t>
      </w:r>
      <w:r>
        <w:tab/>
        <w:t>Terms used</w:t>
      </w:r>
      <w:bookmarkEnd w:id="278"/>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by No. 42 of 2004 s. 119.]</w:t>
      </w:r>
    </w:p>
    <w:p>
      <w:pPr>
        <w:pStyle w:val="Heading5"/>
      </w:pPr>
      <w:bookmarkStart w:id="279" w:name="_Toc472604842"/>
      <w:r>
        <w:rPr>
          <w:rStyle w:val="CharSectno"/>
        </w:rPr>
        <w:t>158A</w:t>
      </w:r>
      <w:r>
        <w:t>.</w:t>
      </w:r>
      <w:r>
        <w:tab/>
        <w:t>Eligibility to participate in programs</w:t>
      </w:r>
      <w:bookmarkEnd w:id="279"/>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by No. 42 of 2004 s. 119.]</w:t>
      </w:r>
    </w:p>
    <w:p>
      <w:pPr>
        <w:pStyle w:val="Heading5"/>
      </w:pPr>
      <w:bookmarkStart w:id="280" w:name="_Toc472604843"/>
      <w:r>
        <w:rPr>
          <w:rStyle w:val="CharSectno"/>
        </w:rPr>
        <w:t>158B</w:t>
      </w:r>
      <w:r>
        <w:t>.</w:t>
      </w:r>
      <w:r>
        <w:tab/>
        <w:t>Final day for recording agreed matters, referring disputed matters for determination</w:t>
      </w:r>
      <w:bookmarkEnd w:id="280"/>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by No. 42 of 2004 s. 119.]</w:t>
      </w:r>
    </w:p>
    <w:p>
      <w:pPr>
        <w:pStyle w:val="Heading5"/>
      </w:pPr>
      <w:bookmarkStart w:id="281" w:name="_Toc472604844"/>
      <w:r>
        <w:rPr>
          <w:rStyle w:val="CharSectno"/>
        </w:rPr>
        <w:t>158C</w:t>
      </w:r>
      <w:r>
        <w:t>.</w:t>
      </w:r>
      <w:r>
        <w:tab/>
        <w:t>Degree of permanent whole of person impairment, disputes as to</w:t>
      </w:r>
      <w:bookmarkEnd w:id="281"/>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by No. 42 of 2004 s. 119.]</w:t>
      </w:r>
    </w:p>
    <w:p>
      <w:pPr>
        <w:pStyle w:val="Heading5"/>
      </w:pPr>
      <w:bookmarkStart w:id="282" w:name="_Toc472604845"/>
      <w:r>
        <w:rPr>
          <w:rStyle w:val="CharSectno"/>
        </w:rPr>
        <w:t>158D</w:t>
      </w:r>
      <w:r>
        <w:t>.</w:t>
      </w:r>
      <w:r>
        <w:tab/>
        <w:t>Retraining criteria, disputes as to</w:t>
      </w:r>
      <w:bookmarkEnd w:id="28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by No. 42 of 2004 s. 119.]</w:t>
      </w:r>
    </w:p>
    <w:p>
      <w:pPr>
        <w:pStyle w:val="Heading5"/>
      </w:pPr>
      <w:bookmarkStart w:id="283" w:name="_Toc472604846"/>
      <w:r>
        <w:rPr>
          <w:rStyle w:val="CharSectno"/>
        </w:rPr>
        <w:t>158E</w:t>
      </w:r>
      <w:r>
        <w:t>.</w:t>
      </w:r>
      <w:r>
        <w:tab/>
        <w:t>Agreements as to programs</w:t>
      </w:r>
      <w:bookmarkEnd w:id="283"/>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 xml:space="preserve">the worker has entered into an agreement with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by No. 42 of 2004 s. 119.]</w:t>
      </w:r>
    </w:p>
    <w:p>
      <w:pPr>
        <w:pStyle w:val="Heading5"/>
      </w:pPr>
      <w:bookmarkStart w:id="284" w:name="_Toc472604847"/>
      <w:r>
        <w:rPr>
          <w:rStyle w:val="CharSectno"/>
        </w:rPr>
        <w:t>158F</w:t>
      </w:r>
      <w:r>
        <w:t>.</w:t>
      </w:r>
      <w:r>
        <w:tab/>
        <w:t>Programs, directions as to payments for etc.</w:t>
      </w:r>
      <w:bookmarkEnd w:id="284"/>
    </w:p>
    <w:p>
      <w:pPr>
        <w:pStyle w:val="Subsection"/>
        <w:spacing w:before="140"/>
      </w:pPr>
      <w:r>
        <w:tab/>
        <w:t>(1)</w:t>
      </w:r>
      <w:r>
        <w:tab/>
        <w:t xml:space="preserve">As soon as practicable after an agreement under section 158E has been signed by the worker and </w:t>
      </w:r>
      <w:smartTag w:uri="urn:schemas-microsoft-com:office:smarttags" w:element="City">
        <w:r>
          <w:t>WorkCover</w:t>
        </w:r>
      </w:smartTag>
      <w:r>
        <w:t xml:space="preserve"> </w:t>
      </w:r>
      <w:smartTag w:uri="urn:schemas-microsoft-com:office:smarttags" w:element="State">
        <w:r>
          <w:t>WA</w:t>
        </w:r>
      </w:smartTag>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 xml:space="preserve">the submission of requests for payment and requirement for copies of invoices to be 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by No. 42 of 2004 s. 119.]</w:t>
      </w:r>
    </w:p>
    <w:p>
      <w:pPr>
        <w:pStyle w:val="Heading5"/>
      </w:pPr>
      <w:bookmarkStart w:id="285" w:name="_Toc472604848"/>
      <w:r>
        <w:rPr>
          <w:rStyle w:val="CharSectno"/>
        </w:rPr>
        <w:t>158G</w:t>
      </w:r>
      <w:r>
        <w:t>.</w:t>
      </w:r>
      <w:r>
        <w:tab/>
        <w:t>Directions given under s. 158F or 158I, duties of employers and insurers as to</w:t>
      </w:r>
      <w:bookmarkEnd w:id="285"/>
    </w:p>
    <w:p>
      <w:pPr>
        <w:pStyle w:val="Subsection"/>
      </w:pPr>
      <w:r>
        <w:rPr>
          <w:b/>
        </w:rPr>
        <w:tab/>
      </w:r>
      <w:r>
        <w:t>(1)</w:t>
      </w:r>
      <w:r>
        <w:tab/>
        <w:t xml:space="preserve">An employer or insurer who receives a direction under section 158F or 158I must comply with the direction within the time specified in the direction, or such longer period as may be subsequently specified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but not exceeding 30 days.</w:t>
      </w:r>
    </w:p>
    <w:p>
      <w:pPr>
        <w:pStyle w:val="Subsection"/>
      </w:pPr>
      <w:r>
        <w:tab/>
        <w:t>(2)</w:t>
      </w:r>
      <w:r>
        <w:tab/>
        <w:t xml:space="preserve">An employer or insurer must not modify, suspend or cease an amount payable under a direction under section 158F or affected by a direction under section 158I unless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by No. 42 of 2004 s. 119; amended by No. 77 of 2006 Sch. 1 cl. 189(9).]</w:t>
      </w:r>
    </w:p>
    <w:p>
      <w:pPr>
        <w:pStyle w:val="Heading5"/>
      </w:pPr>
      <w:bookmarkStart w:id="286" w:name="_Toc472604849"/>
      <w:r>
        <w:rPr>
          <w:rStyle w:val="CharSectno"/>
        </w:rPr>
        <w:t>158H</w:t>
      </w:r>
      <w:r>
        <w:t>.</w:t>
      </w:r>
      <w:r>
        <w:tab/>
        <w:t>Reviews of programs</w:t>
      </w:r>
      <w:bookmarkEnd w:id="286"/>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by No. 42 of 2004 s. 119.]</w:t>
      </w:r>
    </w:p>
    <w:p>
      <w:pPr>
        <w:pStyle w:val="Heading5"/>
      </w:pPr>
      <w:bookmarkStart w:id="287" w:name="_Toc472604850"/>
      <w:r>
        <w:rPr>
          <w:rStyle w:val="CharSectno"/>
        </w:rPr>
        <w:t>158I</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direct modification etc. of programs</w:t>
      </w:r>
      <w:bookmarkEnd w:id="287"/>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give a written direction to the worker’s employer or the employer’s insurer to do any of the following —</w:t>
      </w:r>
    </w:p>
    <w:p>
      <w:pPr>
        <w:pStyle w:val="Indenta"/>
      </w:pPr>
      <w:r>
        <w:tab/>
        <w:t>(a)</w:t>
      </w:r>
      <w:r>
        <w:tab/>
        <w:t xml:space="preserve">suspend any entitlement that a worker has under an agreement under section 158E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of the opinion that the worker has not complied, or is not complying, with a provision of the agreement;</w:t>
      </w:r>
    </w:p>
    <w:p>
      <w:pPr>
        <w:pStyle w:val="Indenta"/>
      </w:pPr>
      <w:r>
        <w:tab/>
        <w:t>(b)</w:t>
      </w:r>
      <w:r>
        <w:tab/>
        <w:t xml:space="preserve">cease the entitlement if the worker does not, within one month of being requested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do so, comply with the provision;</w:t>
      </w:r>
    </w:p>
    <w:p>
      <w:pPr>
        <w:pStyle w:val="Indenta"/>
      </w:pPr>
      <w:r>
        <w:tab/>
        <w:t>(c)</w:t>
      </w:r>
      <w:r>
        <w:tab/>
        <w:t xml:space="preserve">modify, suspend or cease the amounts payable in respect of the worker’s participation in the program if the worker fails a course requirement or does not achieve the results that, in the opinion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are required for the course to be successfully completed.</w:t>
      </w:r>
    </w:p>
    <w:p>
      <w:pPr>
        <w:pStyle w:val="Footnotesection"/>
      </w:pPr>
      <w:r>
        <w:tab/>
        <w:t>[Section 158I inserted by No. 42 of 2004 s. 119.]</w:t>
      </w:r>
    </w:p>
    <w:p>
      <w:pPr>
        <w:pStyle w:val="Heading5"/>
      </w:pPr>
      <w:bookmarkStart w:id="288" w:name="_Toc472604851"/>
      <w:r>
        <w:rPr>
          <w:rStyle w:val="CharSectno"/>
        </w:rPr>
        <w:t>158J</w:t>
      </w:r>
      <w:r>
        <w:t>.</w:t>
      </w:r>
      <w:r>
        <w:tab/>
        <w:t>When payments for programs cease</w:t>
      </w:r>
      <w:bookmarkEnd w:id="288"/>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by No. 42 of 2004 s. 119.]</w:t>
      </w:r>
    </w:p>
    <w:p>
      <w:pPr>
        <w:pStyle w:val="Heading5"/>
        <w:spacing w:before="200"/>
      </w:pPr>
      <w:bookmarkStart w:id="289" w:name="_Toc472604852"/>
      <w:r>
        <w:rPr>
          <w:rStyle w:val="CharSectno"/>
        </w:rPr>
        <w:t>158K</w:t>
      </w:r>
      <w:r>
        <w:t>.</w:t>
      </w:r>
      <w:r>
        <w:tab/>
        <w:t>Directions not open to challenge etc.</w:t>
      </w:r>
      <w:bookmarkEnd w:id="289"/>
    </w:p>
    <w:p>
      <w:pPr>
        <w:pStyle w:val="Subsection"/>
        <w:spacing w:before="120"/>
      </w:pPr>
      <w:r>
        <w:tab/>
      </w:r>
      <w:r>
        <w:tab/>
        <w:t xml:space="preserve">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by No. 42 of 2004 s. 119.]</w:t>
      </w:r>
    </w:p>
    <w:p>
      <w:pPr>
        <w:pStyle w:val="Heading5"/>
        <w:spacing w:before="200"/>
      </w:pPr>
      <w:bookmarkStart w:id="290" w:name="_Toc472604853"/>
      <w:r>
        <w:rPr>
          <w:rStyle w:val="CharSectno"/>
        </w:rPr>
        <w:t>158L</w:t>
      </w:r>
      <w:r>
        <w:t>.</w:t>
      </w:r>
      <w:r>
        <w:tab/>
        <w:t>Other effects of participating in program</w:t>
      </w:r>
      <w:bookmarkEnd w:id="290"/>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by No. 42 of 2004 s. 119.]</w:t>
      </w:r>
    </w:p>
    <w:p>
      <w:pPr>
        <w:pStyle w:val="Heading2"/>
      </w:pPr>
      <w:bookmarkStart w:id="291" w:name="_Toc472604854"/>
      <w:r>
        <w:rPr>
          <w:rStyle w:val="CharPartNo"/>
        </w:rPr>
        <w:t>Part X</w:t>
      </w:r>
      <w:r>
        <w:t> — </w:t>
      </w:r>
      <w:r>
        <w:rPr>
          <w:rStyle w:val="CharPartText"/>
        </w:rPr>
        <w:t>Insurance</w:t>
      </w:r>
      <w:bookmarkEnd w:id="291"/>
    </w:p>
    <w:p>
      <w:pPr>
        <w:pStyle w:val="Heading3"/>
        <w:spacing w:before="180"/>
      </w:pPr>
      <w:bookmarkStart w:id="292" w:name="_Toc472604855"/>
      <w:r>
        <w:rPr>
          <w:rStyle w:val="CharDivNo"/>
        </w:rPr>
        <w:t>Division 1</w:t>
      </w:r>
      <w:r>
        <w:rPr>
          <w:snapToGrid w:val="0"/>
        </w:rPr>
        <w:t> — </w:t>
      </w:r>
      <w:r>
        <w:rPr>
          <w:rStyle w:val="CharDivText"/>
        </w:rPr>
        <w:t>Liability of employers and insurers</w:t>
      </w:r>
      <w:bookmarkEnd w:id="292"/>
    </w:p>
    <w:p>
      <w:pPr>
        <w:pStyle w:val="Heading5"/>
        <w:spacing w:before="180"/>
      </w:pPr>
      <w:bookmarkStart w:id="293" w:name="_Toc472604856"/>
      <w:r>
        <w:rPr>
          <w:rStyle w:val="CharSectno"/>
        </w:rPr>
        <w:t>159</w:t>
      </w:r>
      <w:r>
        <w:t>.</w:t>
      </w:r>
      <w:r>
        <w:tab/>
        <w:t>Terms used</w:t>
      </w:r>
      <w:bookmarkEnd w:id="293"/>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by No. 31 of 2011 s. 104; amended by No. 12 of 2012 s. 4; No. 45 of 2012 s. 5.]</w:t>
      </w:r>
    </w:p>
    <w:p>
      <w:pPr>
        <w:pStyle w:val="Heading5"/>
        <w:rPr>
          <w:snapToGrid w:val="0"/>
        </w:rPr>
      </w:pPr>
      <w:bookmarkStart w:id="294" w:name="_Toc472604857"/>
      <w:r>
        <w:rPr>
          <w:rStyle w:val="CharSectno"/>
        </w:rPr>
        <w:t>160</w:t>
      </w:r>
      <w:r>
        <w:rPr>
          <w:snapToGrid w:val="0"/>
        </w:rPr>
        <w:t>.</w:t>
      </w:r>
      <w:r>
        <w:rPr>
          <w:snapToGrid w:val="0"/>
        </w:rPr>
        <w:tab/>
        <w:t>Employers’ duty to be insured etc.; insurers’ duties</w:t>
      </w:r>
      <w:bookmarkEnd w:id="294"/>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by No. 44 of 1985 s. 34; No. 85 of 1986 s. 10; No. 96 of 1990 s. 37; No. 34 of 1999 s. 42; No. 42 of 2004 s. 120(2), (3) and 150; No. 16 of 2005 s. 11; No. 31 of 2011 s. 105; No. 12 of 2012 s. 5.]</w:t>
      </w:r>
    </w:p>
    <w:p>
      <w:pPr>
        <w:pStyle w:val="Heading5"/>
      </w:pPr>
      <w:bookmarkStart w:id="295" w:name="_Toc472604858"/>
      <w:r>
        <w:rPr>
          <w:rStyle w:val="CharSectno"/>
        </w:rPr>
        <w:t>160A</w:t>
      </w:r>
      <w:r>
        <w:t>.</w:t>
      </w:r>
      <w:r>
        <w:tab/>
        <w:t>Insurance in respect of working directors</w:t>
      </w:r>
      <w:bookmarkEnd w:id="295"/>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by No. 16 of 2005 s. 12.]</w:t>
      </w:r>
    </w:p>
    <w:p>
      <w:pPr>
        <w:pStyle w:val="Heading5"/>
        <w:rPr>
          <w:snapToGrid w:val="0"/>
        </w:rPr>
      </w:pPr>
      <w:bookmarkStart w:id="296" w:name="_Toc472604859"/>
      <w:r>
        <w:rPr>
          <w:rStyle w:val="CharSectno"/>
        </w:rPr>
        <w:t>161A</w:t>
      </w:r>
      <w:r>
        <w:rPr>
          <w:snapToGrid w:val="0"/>
        </w:rPr>
        <w:t>.</w:t>
      </w:r>
      <w:r>
        <w:rPr>
          <w:snapToGrid w:val="0"/>
        </w:rPr>
        <w:tab/>
        <w:t>Incorporated insurance offices not to issue or renew policies unless approved under s. 161</w:t>
      </w:r>
      <w:bookmarkEnd w:id="296"/>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by No. 44 of 1985 s. 35; amended by No. 34 of 1999 s. 57; No. 31 of 2011 s. 106; No. 12 of 2012 s. 6.]</w:t>
      </w:r>
    </w:p>
    <w:p>
      <w:pPr>
        <w:pStyle w:val="Heading5"/>
        <w:rPr>
          <w:snapToGrid w:val="0"/>
        </w:rPr>
      </w:pPr>
      <w:bookmarkStart w:id="297" w:name="_Toc472604860"/>
      <w:r>
        <w:rPr>
          <w:rStyle w:val="CharSectno"/>
        </w:rPr>
        <w:t>161</w:t>
      </w:r>
      <w:r>
        <w:rPr>
          <w:snapToGrid w:val="0"/>
        </w:rPr>
        <w:t>.</w:t>
      </w:r>
      <w:r>
        <w:rPr>
          <w:snapToGrid w:val="0"/>
        </w:rPr>
        <w:tab/>
        <w:t>Incorporated insurance offices, approval of</w:t>
      </w:r>
      <w:bookmarkEnd w:id="297"/>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by No. 96 of 1990 s. 38; No. 42 of 2004 s. 150.]</w:t>
      </w:r>
    </w:p>
    <w:p>
      <w:pPr>
        <w:pStyle w:val="Heading5"/>
        <w:spacing w:before="200"/>
        <w:rPr>
          <w:snapToGrid w:val="0"/>
        </w:rPr>
      </w:pPr>
      <w:bookmarkStart w:id="298" w:name="_Toc472604861"/>
      <w:r>
        <w:rPr>
          <w:rStyle w:val="CharSectno"/>
        </w:rPr>
        <w:t>162</w:t>
      </w:r>
      <w:r>
        <w:rPr>
          <w:snapToGrid w:val="0"/>
        </w:rPr>
        <w:t>.</w:t>
      </w:r>
      <w:r>
        <w:rPr>
          <w:snapToGrid w:val="0"/>
        </w:rPr>
        <w:tab/>
        <w:t>Insurance Commission of Western Australia sole insurer as to some industrial diseases</w:t>
      </w:r>
      <w:bookmarkEnd w:id="298"/>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by No. 51 of 1986 s. 46(2); No. 45 of 1996 Sch. 1 it. 16; No. 42 of 2004 s. 121.]</w:t>
      </w:r>
    </w:p>
    <w:p>
      <w:pPr>
        <w:pStyle w:val="Heading5"/>
        <w:rPr>
          <w:snapToGrid w:val="0"/>
        </w:rPr>
      </w:pPr>
      <w:bookmarkStart w:id="299" w:name="_Toc472604862"/>
      <w:r>
        <w:rPr>
          <w:rStyle w:val="CharSectno"/>
        </w:rPr>
        <w:t>163</w:t>
      </w:r>
      <w:r>
        <w:rPr>
          <w:snapToGrid w:val="0"/>
        </w:rPr>
        <w:t>.</w:t>
      </w:r>
      <w:r>
        <w:rPr>
          <w:snapToGrid w:val="0"/>
        </w:rPr>
        <w:tab/>
        <w:t>Industrial disease premiums, payment of etc.</w:t>
      </w:r>
      <w:bookmarkEnd w:id="299"/>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by No. 51 of 1986 s. 46(2); No. 45 of 1996 Sch. 1 it. 16.]</w:t>
      </w:r>
    </w:p>
    <w:p>
      <w:pPr>
        <w:pStyle w:val="Heading5"/>
        <w:rPr>
          <w:snapToGrid w:val="0"/>
        </w:rPr>
      </w:pPr>
      <w:bookmarkStart w:id="300" w:name="_Toc472604863"/>
      <w:r>
        <w:rPr>
          <w:rStyle w:val="CharSectno"/>
        </w:rPr>
        <w:t>164</w:t>
      </w:r>
      <w:r>
        <w:rPr>
          <w:snapToGrid w:val="0"/>
        </w:rPr>
        <w:t>.</w:t>
      </w:r>
      <w:r>
        <w:rPr>
          <w:snapToGrid w:val="0"/>
        </w:rPr>
        <w:tab/>
        <w:t>Exempting employers from duty to insure</w:t>
      </w:r>
      <w:bookmarkEnd w:id="300"/>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[Section 164 amended by No. 96 of 1990 s. 39; No. 42 of 2004 s. 122 and 150; No. 31 of 2011 s. 107.]</w:t>
      </w:r>
    </w:p>
    <w:p>
      <w:pPr>
        <w:pStyle w:val="Heading5"/>
        <w:keepNext w:val="0"/>
        <w:keepLines w:val="0"/>
        <w:spacing w:before="180"/>
        <w:rPr>
          <w:snapToGrid w:val="0"/>
        </w:rPr>
      </w:pPr>
      <w:bookmarkStart w:id="301" w:name="_Toc472604864"/>
      <w:r>
        <w:rPr>
          <w:rStyle w:val="CharSectno"/>
        </w:rPr>
        <w:t>165</w:t>
      </w:r>
      <w:r>
        <w:rPr>
          <w:snapToGrid w:val="0"/>
        </w:rPr>
        <w:t>.</w:t>
      </w:r>
      <w:r>
        <w:rPr>
          <w:snapToGrid w:val="0"/>
        </w:rPr>
        <w:tab/>
        <w:t>Review of s. 164 exemptions</w:t>
      </w:r>
      <w:bookmarkEnd w:id="301"/>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by No. 44 of 1985 s. 36; No. 96 of 1990 s. 40; No. 42 of 2004 s. 123 and 150; No. 16 of 2005 s. 20; No. 31 of 2011 s. 108; No. 12 of 2012 s. 7.]</w:t>
      </w:r>
    </w:p>
    <w:p>
      <w:pPr>
        <w:pStyle w:val="Heading5"/>
        <w:rPr>
          <w:snapToGrid w:val="0"/>
        </w:rPr>
      </w:pPr>
      <w:bookmarkStart w:id="302" w:name="_Toc472604865"/>
      <w:r>
        <w:rPr>
          <w:rStyle w:val="CharSectno"/>
        </w:rPr>
        <w:t>166</w:t>
      </w:r>
      <w:r>
        <w:rPr>
          <w:snapToGrid w:val="0"/>
        </w:rPr>
        <w:t>.</w:t>
      </w:r>
      <w:r>
        <w:rPr>
          <w:snapToGrid w:val="0"/>
        </w:rPr>
        <w:tab/>
        <w:t xml:space="preserve">Cancelling s. 164 exemptions due to </w:t>
      </w:r>
      <w:smartTag w:uri="urn:schemas-microsoft-com:office:smarttags" w:element="City">
        <w:smartTag w:uri="urn:schemas-microsoft-com:office:smarttags" w:element="place">
          <w:r>
            <w:rPr>
              <w:snapToGrid w:val="0"/>
            </w:rPr>
            <w:t>brea</w:t>
          </w:r>
        </w:smartTag>
      </w:smartTag>
      <w:r>
        <w:rPr>
          <w:snapToGrid w:val="0"/>
        </w:rPr>
        <w:t>ch of law</w:t>
      </w:r>
      <w:bookmarkEnd w:id="302"/>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03" w:name="_Toc472604866"/>
      <w:r>
        <w:rPr>
          <w:rStyle w:val="CharSectno"/>
        </w:rPr>
        <w:t>167</w:t>
      </w:r>
      <w:r>
        <w:rPr>
          <w:snapToGrid w:val="0"/>
        </w:rPr>
        <w:t>.</w:t>
      </w:r>
      <w:r>
        <w:rPr>
          <w:snapToGrid w:val="0"/>
        </w:rPr>
        <w:tab/>
        <w:t>Effect of cessation of s. 164 exemption</w:t>
      </w:r>
      <w:bookmarkEnd w:id="303"/>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04" w:name="_Toc472604867"/>
      <w:r>
        <w:rPr>
          <w:rStyle w:val="CharSectno"/>
        </w:rPr>
        <w:t>168</w:t>
      </w:r>
      <w:r>
        <w:rPr>
          <w:snapToGrid w:val="0"/>
        </w:rPr>
        <w:t>.</w:t>
      </w:r>
      <w:r>
        <w:rPr>
          <w:snapToGrid w:val="0"/>
        </w:rPr>
        <w:tab/>
        <w:t>Revoking s. 164 exemptions on employers’ request</w:t>
      </w:r>
      <w:bookmarkEnd w:id="304"/>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by No. 96 of 1990 s. 41; No. 42 of 2004 s. 124; No. 31 of 2011 s. 109; No. 12 of 2012 s. 8.]</w:t>
      </w:r>
    </w:p>
    <w:p>
      <w:pPr>
        <w:pStyle w:val="Heading5"/>
      </w:pPr>
      <w:bookmarkStart w:id="305" w:name="_Toc472604868"/>
      <w:r>
        <w:rPr>
          <w:rStyle w:val="CharSectno"/>
        </w:rPr>
        <w:t>169</w:t>
      </w:r>
      <w:r>
        <w:t>.</w:t>
      </w:r>
      <w:r>
        <w:tab/>
        <w:t>Terms of insurance and form of policies</w:t>
      </w:r>
      <w:bookmarkEnd w:id="305"/>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by No. 12 of 2012 s. 9.]</w:t>
      </w:r>
    </w:p>
    <w:p>
      <w:pPr>
        <w:pStyle w:val="Heading5"/>
        <w:spacing w:before="180"/>
        <w:rPr>
          <w:snapToGrid w:val="0"/>
        </w:rPr>
      </w:pPr>
      <w:bookmarkStart w:id="306" w:name="_Toc472604869"/>
      <w:r>
        <w:rPr>
          <w:rStyle w:val="CharSectno"/>
        </w:rPr>
        <w:t>170</w:t>
      </w:r>
      <w:r>
        <w:rPr>
          <w:snapToGrid w:val="0"/>
        </w:rPr>
        <w:t>.</w:t>
      </w:r>
      <w:r>
        <w:rPr>
          <w:snapToGrid w:val="0"/>
        </w:rPr>
        <w:tab/>
        <w:t>Failure to insure</w:t>
      </w:r>
      <w:bookmarkEnd w:id="306"/>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07" w:name="_Toc472604870"/>
      <w:r>
        <w:rPr>
          <w:rStyle w:val="CharSectno"/>
        </w:rPr>
        <w:t>171</w:t>
      </w:r>
      <w:r>
        <w:rPr>
          <w:snapToGrid w:val="0"/>
        </w:rPr>
        <w:t>.</w:t>
      </w:r>
      <w:r>
        <w:rPr>
          <w:snapToGrid w:val="0"/>
        </w:rPr>
        <w:tab/>
        <w:t xml:space="preserve">Insurance offices to give information to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bookmarkEnd w:id="307"/>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smartTag w:uri="urn:schemas-microsoft-com:office:smarttags" w:element="City">
        <w:r>
          <w:t>WorkCover</w:t>
        </w:r>
      </w:smartTag>
      <w:r>
        <w:t xml:space="preserve"> </w:t>
      </w:r>
      <w:smartTag w:uri="urn:schemas-microsoft-com:office:smarttags" w:element="State">
        <w:r>
          <w:t>WA</w:t>
        </w:r>
      </w:smartTag>
      <w:r>
        <w:rPr>
          <w:snapToGrid w:val="0"/>
        </w:rPr>
        <w:t xml:space="preserve"> has requested the insurance office to do so, a means specified by </w:t>
      </w:r>
      <w:smartTag w:uri="urn:schemas-microsoft-com:office:smarttags" w:element="City">
        <w:r>
          <w:t>WorkCover</w:t>
        </w:r>
      </w:smartTag>
      <w:r>
        <w:t xml:space="preserve"> </w:t>
      </w:r>
      <w:smartTag w:uri="urn:schemas-microsoft-com:office:smarttags" w:element="State">
        <w:r>
          <w:t>WA</w:t>
        </w:r>
      </w:smartTag>
      <w:r>
        <w:rPr>
          <w:snapToGrid w:val="0"/>
        </w:rPr>
        <w:t xml:space="preserve"> for conveying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by No. 44 of 1985 s. 38; No. 96 of 1990 s. 44; No. 34 of 1999 s. 57; No. 42 of 2004 s. 125 and 150; No. 31 of 2011 s. 110.]</w:t>
      </w:r>
    </w:p>
    <w:p>
      <w:pPr>
        <w:pStyle w:val="Heading5"/>
        <w:keepNext w:val="0"/>
        <w:keepLines w:val="0"/>
        <w:spacing w:before="180"/>
      </w:pPr>
      <w:bookmarkStart w:id="308" w:name="_Toc472604871"/>
      <w:r>
        <w:rPr>
          <w:rStyle w:val="CharSectno"/>
        </w:rPr>
        <w:t>172</w:t>
      </w:r>
      <w:r>
        <w:t>.</w:t>
      </w:r>
      <w:r>
        <w:tab/>
        <w:t>WorkCover WA may recover underpaid premiums from employers</w:t>
      </w:r>
      <w:bookmarkEnd w:id="308"/>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by No. 34 of 1999 s. 45; amended by No. 42 of 2004 s. 150; No. 31 of 2011 s. 111.]</w:t>
      </w:r>
    </w:p>
    <w:p>
      <w:pPr>
        <w:pStyle w:val="Ednotesection"/>
      </w:pPr>
      <w:r>
        <w:t>[</w:t>
      </w:r>
      <w:r>
        <w:rPr>
          <w:b/>
        </w:rPr>
        <w:t>172A.</w:t>
      </w:r>
      <w:r>
        <w:tab/>
        <w:t>Deleted by No. 34 of 1999 s. 44.]</w:t>
      </w:r>
    </w:p>
    <w:p>
      <w:pPr>
        <w:pStyle w:val="Heading5"/>
        <w:rPr>
          <w:snapToGrid w:val="0"/>
        </w:rPr>
      </w:pPr>
      <w:bookmarkStart w:id="309" w:name="_Toc472604872"/>
      <w:r>
        <w:rPr>
          <w:rStyle w:val="CharSectno"/>
        </w:rPr>
        <w:t>173</w:t>
      </w:r>
      <w:r>
        <w:rPr>
          <w:snapToGrid w:val="0"/>
        </w:rPr>
        <w:t>.</w:t>
      </w:r>
      <w:r>
        <w:rPr>
          <w:snapToGrid w:val="0"/>
        </w:rPr>
        <w:tab/>
        <w:t>Worker’s rights against insurer when employer ceases to exist etc.</w:t>
      </w:r>
      <w:bookmarkEnd w:id="309"/>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by No. 72 of 1992 s. 19; No. 31 of 2011 s. 112.]</w:t>
      </w:r>
    </w:p>
    <w:p>
      <w:pPr>
        <w:pStyle w:val="Heading5"/>
        <w:rPr>
          <w:snapToGrid w:val="0"/>
        </w:rPr>
      </w:pPr>
      <w:bookmarkStart w:id="310" w:name="_Toc472604873"/>
      <w:r>
        <w:rPr>
          <w:rStyle w:val="CharSectno"/>
        </w:rPr>
        <w:t>174</w:t>
      </w:r>
      <w:r>
        <w:rPr>
          <w:snapToGrid w:val="0"/>
        </w:rPr>
        <w:t>.</w:t>
      </w:r>
      <w:r>
        <w:rPr>
          <w:snapToGrid w:val="0"/>
        </w:rPr>
        <w:tab/>
        <w:t xml:space="preserve">Payment to worker from General </w:t>
      </w:r>
      <w:r>
        <w:t>Account</w:t>
      </w:r>
      <w:bookmarkEnd w:id="3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w:t>
      </w:r>
      <w:r>
        <w:rPr>
          <w:vertAlign w:val="superscript"/>
        </w:rPr>
        <w:t> 1</w:t>
      </w:r>
      <w:r>
        <w:rPr>
          <w:snapToGrid w:val="0"/>
        </w:rPr>
        <w:t>,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 xml:space="preserve">is settled by an agreement of the kind described in section 92(f) made between the worker and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 xml:space="preserve">Without limiting section 174AB, until the amount paid to a worker under this section is recovered under this section or section 174AA,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 xml:space="preserve">the employer’s insurer has ceased to operate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 xml:space="preserve">Where </w:t>
      </w:r>
      <w:smartTag w:uri="urn:schemas-microsoft-com:office:smarttags" w:element="City">
        <w:r>
          <w:t>WorkCover</w:t>
        </w:r>
      </w:smartTag>
      <w:r>
        <w:t xml:space="preserve"> </w:t>
      </w:r>
      <w:smartTag w:uri="urn:schemas-microsoft-com:office:smarttags" w:element="State">
        <w:r>
          <w:t>WA</w:t>
        </w:r>
      </w:smartTag>
      <w:r>
        <w:t xml:space="preserve"> has paid from the General Account an amount under subsection (1) or (1AA) </w:t>
      </w:r>
      <w:smartTag w:uri="urn:schemas-microsoft-com:office:smarttags" w:element="City">
        <w:r>
          <w:t>WorkCover</w:t>
        </w:r>
      </w:smartTag>
      <w:r>
        <w:t xml:space="preserve"> </w:t>
      </w:r>
      <w:smartTag w:uri="urn:schemas-microsoft-com:office:smarttags" w:element="State">
        <w:r>
          <w:t>WA</w:t>
        </w:r>
      </w:smartTag>
      <w:r>
        <w:t xml:space="preserve"> may file in a court of competent jurisdiction a certificate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showing the amount paid.</w:t>
      </w:r>
    </w:p>
    <w:p>
      <w:pPr>
        <w:pStyle w:val="Subsection"/>
      </w:pPr>
      <w:r>
        <w:tab/>
        <w:t>(7)</w:t>
      </w:r>
      <w:r>
        <w:tab/>
        <w:t>No charge is to be made for filing a copy of a certificate under this section.</w:t>
      </w:r>
    </w:p>
    <w:p>
      <w:pPr>
        <w:pStyle w:val="Subsection"/>
      </w:pPr>
      <w:r>
        <w:tab/>
        <w:t>(8)</w:t>
      </w:r>
      <w:r>
        <w:tab/>
        <w:t xml:space="preserve">On filing, the certificate is to be taken to be a judgment of that court for a debt payable by the employer of the worker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by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11" w:name="_Toc472604874"/>
      <w:r>
        <w:rPr>
          <w:rStyle w:val="CharSectno"/>
        </w:rPr>
        <w:t>174AAA</w:t>
      </w:r>
      <w:r>
        <w:t>. Setting aside certain judgments and agreements</w:t>
      </w:r>
      <w:bookmarkEnd w:id="311"/>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by No. 31 of 2011 s. 114.]</w:t>
      </w:r>
    </w:p>
    <w:p>
      <w:pPr>
        <w:pStyle w:val="Heading5"/>
      </w:pPr>
      <w:bookmarkStart w:id="312" w:name="_Toc472604875"/>
      <w:r>
        <w:rPr>
          <w:rStyle w:val="CharSectno"/>
        </w:rPr>
        <w:t>174AA</w:t>
      </w:r>
      <w:r>
        <w:t>.</w:t>
      </w:r>
      <w:r>
        <w:tab/>
        <w:t>Recovering s. 174 payments from officers of body corporate</w:t>
      </w:r>
      <w:bookmarkEnd w:id="312"/>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13" w:name="_Toc472604876"/>
      <w:r>
        <w:rPr>
          <w:rStyle w:val="CharSectno"/>
        </w:rPr>
        <w:t>174AB</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exercise rights of employer in some cases</w:t>
      </w:r>
      <w:bookmarkEnd w:id="313"/>
    </w:p>
    <w:p>
      <w:pPr>
        <w:pStyle w:val="Subsection"/>
      </w:pPr>
      <w:r>
        <w:tab/>
        <w:t>(1)</w:t>
      </w:r>
      <w:r>
        <w:tab/>
        <w:t xml:space="preserve">If an employer against whom a claim for compensation under this Act, or an action for damages which are, or which include, insurable damages, is brought by a worker is uninsured,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r>
      <w:smartTag w:uri="urn:schemas-microsoft-com:office:smarttags" w:element="State">
        <w:smartTag w:uri="urn:schemas-microsoft-com:office:smarttags" w:element="place">
          <w:r>
            <w:t>del</w:t>
          </w:r>
        </w:smartTag>
      </w:smartTag>
      <w:r>
        <w:t>eted]</w:t>
      </w:r>
    </w:p>
    <w:p>
      <w:pPr>
        <w:pStyle w:val="Subsection"/>
      </w:pPr>
      <w:r>
        <w:tab/>
        <w:t>(5)</w:t>
      </w:r>
      <w:r>
        <w:tab/>
        <w:t xml:space="preserve">WorkCover WA may sue for and recover from the employer fees, costs and charges incurred by </w:t>
      </w:r>
      <w:smartTag w:uri="urn:schemas-microsoft-com:office:smarttags" w:element="City">
        <w:r>
          <w:t>WorkCover</w:t>
        </w:r>
      </w:smartTag>
      <w:r>
        <w:t xml:space="preserve"> </w:t>
      </w:r>
      <w:smartTag w:uri="urn:schemas-microsoft-com:office:smarttags" w:element="State">
        <w:r>
          <w:t>WA</w:t>
        </w:r>
      </w:smartTag>
      <w:r>
        <w:t xml:space="preserve"> under this section, whether or not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was successful in any proceedings.</w:t>
      </w:r>
    </w:p>
    <w:p>
      <w:pPr>
        <w:pStyle w:val="Footnotesection"/>
      </w:pPr>
      <w:r>
        <w:tab/>
        <w:t>[Section 174AB inserted by No. 42 of 2004 s. 128; amended by No. 31 of 2011 s. 115; No. 12 of 2012 s. 11.]</w:t>
      </w:r>
    </w:p>
    <w:p>
      <w:pPr>
        <w:pStyle w:val="Heading5"/>
      </w:pPr>
      <w:bookmarkStart w:id="314" w:name="_Toc472604877"/>
      <w:r>
        <w:rPr>
          <w:rStyle w:val="CharSectno"/>
        </w:rPr>
        <w:t>174AC</w:t>
      </w:r>
      <w:r>
        <w:t>.</w:t>
      </w:r>
      <w: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’s rights of indemnity and subrogation</w:t>
      </w:r>
      <w:bookmarkEnd w:id="314"/>
    </w:p>
    <w:p>
      <w:pPr>
        <w:pStyle w:val="Subsection"/>
      </w:pPr>
      <w:r>
        <w:tab/>
      </w:r>
      <w:r>
        <w:tab/>
        <w:t xml:space="preserve">If </w:t>
      </w:r>
      <w:smartTag w:uri="urn:schemas-microsoft-com:office:smarttags" w:element="City">
        <w:r>
          <w:t>WorkCover</w:t>
        </w:r>
      </w:smartTag>
      <w:r>
        <w:t xml:space="preserve"> </w:t>
      </w:r>
      <w:smartTag w:uri="urn:schemas-microsoft-com:office:smarttags" w:element="State">
        <w:r>
          <w:t>WA</w:t>
        </w:r>
      </w:smartTag>
      <w:r>
        <w:t xml:space="preserve"> has paid, or is liable to pay, from the General Account an amount as compensation or damages for which an employer is liable,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31 of 2011 s. 116.]</w:t>
      </w:r>
    </w:p>
    <w:p>
      <w:pPr>
        <w:pStyle w:val="Heading5"/>
      </w:pPr>
      <w:bookmarkStart w:id="315" w:name="_Toc472604878"/>
      <w:r>
        <w:rPr>
          <w:rStyle w:val="CharSectno"/>
        </w:rPr>
        <w:t>174AD</w:t>
      </w:r>
      <w:r>
        <w:t>.</w:t>
      </w:r>
      <w:r>
        <w:tab/>
        <w:t xml:space="preserve">Employer’s duty to assist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bookmarkEnd w:id="315"/>
    </w:p>
    <w:p>
      <w:pPr>
        <w:pStyle w:val="Subsection"/>
      </w:pPr>
      <w:r>
        <w:tab/>
        <w:t>(1)</w:t>
      </w:r>
      <w:r>
        <w:tab/>
        <w:t xml:space="preserve">Where under section 174AB or 174AC </w:t>
      </w:r>
      <w:smartTag w:uri="urn:schemas-microsoft-com:office:smarttags" w:element="City">
        <w:r>
          <w:t>WorkCover</w:t>
        </w:r>
      </w:smartTag>
      <w:r>
        <w:t xml:space="preserve"> </w:t>
      </w:r>
      <w:smartTag w:uri="urn:schemas-microsoft-com:office:smarttags" w:element="State">
        <w:r>
          <w:t>WA</w:t>
        </w:r>
      </w:smartTag>
      <w:r>
        <w:t xml:space="preserve"> has or is subrogated to any right of an employer,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 xml:space="preserve">execute any documents or instruments which may be necessary to enable </w:t>
      </w:r>
      <w:smartTag w:uri="urn:schemas-microsoft-com:office:smarttags" w:element="City">
        <w:r>
          <w:t>WorkCover</w:t>
        </w:r>
      </w:smartTag>
      <w:r>
        <w:t xml:space="preserve"> </w:t>
      </w:r>
      <w:smartTag w:uri="urn:schemas-microsoft-com:office:smarttags" w:element="State">
        <w:r>
          <w:t>WA</w:t>
        </w:r>
      </w:smartTag>
      <w:r>
        <w:t xml:space="preserve"> to exercise the right, or to ratify or confirm any exercise or purported exercise of the right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by No. 31 of 2011 s. 116.]</w:t>
      </w:r>
    </w:p>
    <w:p>
      <w:pPr>
        <w:pStyle w:val="Heading5"/>
        <w:rPr>
          <w:snapToGrid w:val="0"/>
        </w:rPr>
      </w:pPr>
      <w:bookmarkStart w:id="316" w:name="_Toc472604879"/>
      <w:r>
        <w:rPr>
          <w:rStyle w:val="CharSectno"/>
        </w:rPr>
        <w:t>174A</w:t>
      </w:r>
      <w:r>
        <w:rPr>
          <w:snapToGrid w:val="0"/>
        </w:rPr>
        <w:t>.</w:t>
      </w:r>
      <w:r>
        <w:rPr>
          <w:snapToGrid w:val="0"/>
        </w:rPr>
        <w:tab/>
        <w:t xml:space="preserve">Insurer may not refuse to indemnify </w:t>
      </w:r>
      <w:r>
        <w:t>in some cases</w:t>
      </w:r>
      <w:bookmarkEnd w:id="316"/>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by No. 72 of 1992 s. 21; amended by No. 42 of 2004 s. 147; No. 31 of 2011 s. 117.]</w:t>
      </w:r>
    </w:p>
    <w:p>
      <w:pPr>
        <w:pStyle w:val="Heading3"/>
      </w:pPr>
      <w:bookmarkStart w:id="317" w:name="_Toc472604880"/>
      <w:r>
        <w:rPr>
          <w:rStyle w:val="CharDivNo"/>
        </w:rPr>
        <w:t>Division 2</w:t>
      </w:r>
      <w:r>
        <w:rPr>
          <w:snapToGrid w:val="0"/>
        </w:rPr>
        <w:t> — </w:t>
      </w:r>
      <w:r>
        <w:rPr>
          <w:rStyle w:val="CharDivText"/>
        </w:rPr>
        <w:t>Insurance by principals, contractors, and sub</w:t>
      </w:r>
      <w:r>
        <w:rPr>
          <w:rStyle w:val="CharDivText"/>
        </w:rPr>
        <w:noBreakHyphen/>
        <w:t>contractors</w:t>
      </w:r>
      <w:bookmarkEnd w:id="317"/>
    </w:p>
    <w:p>
      <w:pPr>
        <w:pStyle w:val="Heading5"/>
        <w:rPr>
          <w:snapToGrid w:val="0"/>
        </w:rPr>
      </w:pPr>
      <w:bookmarkStart w:id="318" w:name="_Toc472604881"/>
      <w:r>
        <w:rPr>
          <w:rStyle w:val="CharSectno"/>
        </w:rPr>
        <w:t>175</w:t>
      </w:r>
      <w:r>
        <w:rPr>
          <w:snapToGrid w:val="0"/>
        </w:rPr>
        <w:t>.</w:t>
      </w:r>
      <w:r>
        <w:rPr>
          <w:snapToGrid w:val="0"/>
        </w:rPr>
        <w:tab/>
        <w:t>When principal, contractor and sub</w:t>
      </w:r>
      <w:r>
        <w:rPr>
          <w:snapToGrid w:val="0"/>
        </w:rPr>
        <w:noBreakHyphen/>
        <w:t>contractor deemed employers</w:t>
      </w:r>
      <w:bookmarkEnd w:id="318"/>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 xml:space="preserve">any amount which the worker receives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section 174 in respect of the contractor’s liability to pay compensation or damages to the worker.</w:t>
      </w:r>
    </w:p>
    <w:p>
      <w:pPr>
        <w:pStyle w:val="Subsection"/>
      </w:pPr>
      <w:r>
        <w:tab/>
        <w:t>(3B)</w:t>
      </w:r>
      <w:r>
        <w:tab/>
        <w:t xml:space="preserve">The indemnity conferred by subsection (2) does not allow the principal to recover any amount from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by No. 42 of 2004 s. 147; No. 31 of 2011 s. 118; No. 12 of 2012 s. 12.]</w:t>
      </w:r>
    </w:p>
    <w:p>
      <w:pPr>
        <w:pStyle w:val="Heading5"/>
      </w:pPr>
      <w:bookmarkStart w:id="319" w:name="_Toc472604882"/>
      <w:r>
        <w:rPr>
          <w:rStyle w:val="CharSectno"/>
        </w:rPr>
        <w:t>175AA</w:t>
      </w:r>
      <w:r>
        <w:t>.</w:t>
      </w:r>
      <w:r>
        <w:tab/>
        <w:t>Certain persons deemed workers</w:t>
      </w:r>
      <w:bookmarkEnd w:id="319"/>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by No. 16 of 2005 s. 13.]</w:t>
      </w:r>
    </w:p>
    <w:p>
      <w:pPr>
        <w:pStyle w:val="Heading3"/>
        <w:spacing w:before="220"/>
      </w:pPr>
      <w:bookmarkStart w:id="320" w:name="_Toc472604883"/>
      <w:r>
        <w:rPr>
          <w:rStyle w:val="CharDivNo"/>
        </w:rPr>
        <w:t>Division 3</w:t>
      </w:r>
      <w:r>
        <w:rPr>
          <w:snapToGrid w:val="0"/>
        </w:rPr>
        <w:t> — </w:t>
      </w:r>
      <w:r>
        <w:rPr>
          <w:rStyle w:val="CharDivText"/>
        </w:rPr>
        <w:t>Inspectors</w:t>
      </w:r>
      <w:bookmarkEnd w:id="320"/>
    </w:p>
    <w:p>
      <w:pPr>
        <w:pStyle w:val="Footnoteheading"/>
        <w:spacing w:before="80"/>
      </w:pPr>
      <w:r>
        <w:tab/>
        <w:t>[Heading inserted by No. 34 of 1999 s. 46(1).]</w:t>
      </w:r>
    </w:p>
    <w:p>
      <w:pPr>
        <w:pStyle w:val="Heading5"/>
        <w:spacing w:before="180"/>
        <w:rPr>
          <w:snapToGrid w:val="0"/>
        </w:rPr>
      </w:pPr>
      <w:bookmarkStart w:id="321" w:name="_Toc472604884"/>
      <w:r>
        <w:rPr>
          <w:rStyle w:val="CharSectno"/>
        </w:rPr>
        <w:t>175A</w:t>
      </w:r>
      <w:r>
        <w:rPr>
          <w:snapToGrid w:val="0"/>
        </w:rPr>
        <w:t>.</w:t>
      </w:r>
      <w:r>
        <w:rPr>
          <w:snapToGrid w:val="0"/>
        </w:rPr>
        <w:tab/>
        <w:t>Authorising etc. inspectors; oath etc. by inspectors</w:t>
      </w:r>
      <w:bookmarkEnd w:id="321"/>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w:t>
      </w:r>
      <w:r>
        <w:rPr>
          <w:vertAlign w:val="superscript"/>
        </w:rPr>
        <w:t> 1</w:t>
      </w:r>
      <w:r>
        <w:t xml:space="preserve">, a person was an inspector authorised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w:t>
      </w:r>
      <w:r>
        <w:rPr>
          <w:vertAlign w:val="superscript"/>
        </w:rPr>
        <w:t> 1</w:t>
      </w:r>
      <w:r>
        <w:t>,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by No. 34 of 1999 s. 46(1); amended by No. 42 of 2004 s. 150; No. 31 of 2011 s. 119.]</w:t>
      </w:r>
    </w:p>
    <w:p>
      <w:pPr>
        <w:pStyle w:val="Heading5"/>
        <w:rPr>
          <w:snapToGrid w:val="0"/>
        </w:rPr>
      </w:pPr>
      <w:bookmarkStart w:id="322" w:name="_Toc472604885"/>
      <w:r>
        <w:rPr>
          <w:rStyle w:val="CharSectno"/>
        </w:rPr>
        <w:t>175B</w:t>
      </w:r>
      <w:r>
        <w:rPr>
          <w:snapToGrid w:val="0"/>
        </w:rPr>
        <w:t>.</w:t>
      </w:r>
      <w:r>
        <w:rPr>
          <w:snapToGrid w:val="0"/>
        </w:rPr>
        <w:tab/>
        <w:t>Powers</w:t>
      </w:r>
      <w:bookmarkEnd w:id="322"/>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23" w:name="_Toc472604886"/>
      <w:r>
        <w:rPr>
          <w:rStyle w:val="CharSectno"/>
        </w:rPr>
        <w:t>175C</w:t>
      </w:r>
      <w:r>
        <w:rPr>
          <w:snapToGrid w:val="0"/>
        </w:rPr>
        <w:t>.</w:t>
      </w:r>
      <w:r>
        <w:rPr>
          <w:snapToGrid w:val="0"/>
        </w:rPr>
        <w:tab/>
        <w:t>Interpreters</w:t>
      </w:r>
      <w:bookmarkEnd w:id="323"/>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by No. 34 of 1999 s. 46(1).]</w:t>
      </w:r>
    </w:p>
    <w:p>
      <w:pPr>
        <w:pStyle w:val="Heading5"/>
        <w:rPr>
          <w:snapToGrid w:val="0"/>
        </w:rPr>
      </w:pPr>
      <w:bookmarkStart w:id="324" w:name="_Toc472604887"/>
      <w:r>
        <w:rPr>
          <w:rStyle w:val="CharSectno"/>
        </w:rPr>
        <w:t>175D</w:t>
      </w:r>
      <w:r>
        <w:rPr>
          <w:snapToGrid w:val="0"/>
        </w:rPr>
        <w:t>.</w:t>
      </w:r>
      <w:r>
        <w:rPr>
          <w:snapToGrid w:val="0"/>
        </w:rPr>
        <w:tab/>
        <w:t>Offences</w:t>
      </w:r>
      <w:bookmarkEnd w:id="32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25" w:name="_Toc472604888"/>
      <w:r>
        <w:rPr>
          <w:rStyle w:val="CharPartNo"/>
        </w:rPr>
        <w:t>Part XA</w:t>
      </w:r>
      <w:r>
        <w:rPr>
          <w:rStyle w:val="CharDivNo"/>
        </w:rPr>
        <w:t> </w:t>
      </w:r>
      <w:r>
        <w:t>—</w:t>
      </w:r>
      <w:r>
        <w:rPr>
          <w:rStyle w:val="CharDivText"/>
        </w:rPr>
        <w:t> </w:t>
      </w:r>
      <w:r>
        <w:rPr>
          <w:rStyle w:val="CharPartText"/>
        </w:rPr>
        <w:t>Infringement notices and modified penalties</w:t>
      </w:r>
      <w:bookmarkEnd w:id="325"/>
    </w:p>
    <w:p>
      <w:pPr>
        <w:pStyle w:val="Footnoteheading"/>
        <w:spacing w:before="80"/>
      </w:pPr>
      <w:r>
        <w:tab/>
        <w:t>[Heading inserted by No. 42 of 2004 s. 129.]</w:t>
      </w:r>
    </w:p>
    <w:p>
      <w:pPr>
        <w:pStyle w:val="Heading5"/>
        <w:spacing w:before="180"/>
      </w:pPr>
      <w:bookmarkStart w:id="326" w:name="_Toc472604889"/>
      <w:r>
        <w:rPr>
          <w:rStyle w:val="CharSectno"/>
        </w:rPr>
        <w:t>175E</w:t>
      </w:r>
      <w:r>
        <w:t>.</w:t>
      </w:r>
      <w:r>
        <w:tab/>
        <w:t>Terms used</w:t>
      </w:r>
      <w:bookmarkEnd w:id="326"/>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by No. 42 of 2004 s. 129.]</w:t>
      </w:r>
    </w:p>
    <w:p>
      <w:pPr>
        <w:pStyle w:val="Heading5"/>
        <w:spacing w:before="180"/>
      </w:pPr>
      <w:bookmarkStart w:id="327" w:name="_Toc472604890"/>
      <w:r>
        <w:rPr>
          <w:rStyle w:val="CharSectno"/>
        </w:rPr>
        <w:t>175F</w:t>
      </w:r>
      <w:r>
        <w:t>.</w:t>
      </w:r>
      <w:r>
        <w:tab/>
        <w:t>Authorised officers, designation of etc.</w:t>
      </w:r>
      <w:bookmarkEnd w:id="327"/>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by No. 42 of 2004 s. 129.]</w:t>
      </w:r>
    </w:p>
    <w:p>
      <w:pPr>
        <w:pStyle w:val="Heading5"/>
        <w:keepLines w:val="0"/>
        <w:spacing w:before="180"/>
      </w:pPr>
      <w:bookmarkStart w:id="328" w:name="_Toc472604891"/>
      <w:r>
        <w:rPr>
          <w:rStyle w:val="CharSectno"/>
        </w:rPr>
        <w:t>175G</w:t>
      </w:r>
      <w:r>
        <w:t>.</w:t>
      </w:r>
      <w:r>
        <w:tab/>
        <w:t>Infringement notices, giving of</w:t>
      </w:r>
      <w:bookmarkEnd w:id="328"/>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by No. 42 of 2004 s. 129.]</w:t>
      </w:r>
    </w:p>
    <w:p>
      <w:pPr>
        <w:pStyle w:val="Heading5"/>
      </w:pPr>
      <w:bookmarkStart w:id="329" w:name="_Toc472604892"/>
      <w:r>
        <w:rPr>
          <w:rStyle w:val="CharSectno"/>
        </w:rPr>
        <w:t>175H</w:t>
      </w:r>
      <w:r>
        <w:t>.</w:t>
      </w:r>
      <w:r>
        <w:tab/>
        <w:t>Infringement notices, content of</w:t>
      </w:r>
      <w:bookmarkEnd w:id="329"/>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by No. 42 of 2004 s. 129; amended by No. 84 of 2004 s. 80; No. 2 of 2008 s. 73.]</w:t>
      </w:r>
    </w:p>
    <w:p>
      <w:pPr>
        <w:pStyle w:val="Heading5"/>
      </w:pPr>
      <w:bookmarkStart w:id="330" w:name="_Toc472604893"/>
      <w:r>
        <w:rPr>
          <w:rStyle w:val="CharSectno"/>
        </w:rPr>
        <w:t>175I</w:t>
      </w:r>
      <w:r>
        <w:t>.</w:t>
      </w:r>
      <w:r>
        <w:tab/>
        <w:t>Extending time for paying modified penalty</w:t>
      </w:r>
      <w:bookmarkEnd w:id="330"/>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by No. 42 of 2004 s. 129.]</w:t>
      </w:r>
    </w:p>
    <w:p>
      <w:pPr>
        <w:pStyle w:val="Heading5"/>
      </w:pPr>
      <w:bookmarkStart w:id="331" w:name="_Toc472604894"/>
      <w:r>
        <w:rPr>
          <w:rStyle w:val="CharSectno"/>
        </w:rPr>
        <w:t>175J</w:t>
      </w:r>
      <w:r>
        <w:t>.</w:t>
      </w:r>
      <w:r>
        <w:tab/>
        <w:t>Withdrawing infringement notices</w:t>
      </w:r>
      <w:bookmarkEnd w:id="331"/>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by No. 42 of 2004 s. 129.]</w:t>
      </w:r>
    </w:p>
    <w:p>
      <w:pPr>
        <w:pStyle w:val="Heading5"/>
      </w:pPr>
      <w:bookmarkStart w:id="332" w:name="_Toc472604895"/>
      <w:r>
        <w:rPr>
          <w:rStyle w:val="CharSectno"/>
        </w:rPr>
        <w:t>175K</w:t>
      </w:r>
      <w:r>
        <w:t>.</w:t>
      </w:r>
      <w:r>
        <w:tab/>
        <w:t>Benefit of paying modified penalty</w:t>
      </w:r>
      <w:bookmarkEnd w:id="3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by No. 42 of 2004 s. 129.]</w:t>
      </w:r>
    </w:p>
    <w:p>
      <w:pPr>
        <w:pStyle w:val="Heading5"/>
      </w:pPr>
      <w:bookmarkStart w:id="333" w:name="_Toc472604896"/>
      <w:r>
        <w:rPr>
          <w:rStyle w:val="CharSectno"/>
        </w:rPr>
        <w:t>175L</w:t>
      </w:r>
      <w:r>
        <w:t>.</w:t>
      </w:r>
      <w:r>
        <w:tab/>
        <w:t>No admission implied by payment</w:t>
      </w:r>
      <w:bookmarkEnd w:id="333"/>
    </w:p>
    <w:p>
      <w:pPr>
        <w:pStyle w:val="Subsection"/>
      </w:pPr>
      <w:r>
        <w:tab/>
      </w:r>
      <w:r>
        <w:tab/>
        <w:t>Payment of a modified penalty is not to be regarded as an admission for the purposes of any proceedings, whether civil or criminal.</w:t>
      </w:r>
    </w:p>
    <w:p>
      <w:pPr>
        <w:pStyle w:val="Footnotesection"/>
      </w:pPr>
      <w:r>
        <w:tab/>
        <w:t>[Section 175L inserted by No. 42 of 2004 s. 129.]</w:t>
      </w:r>
    </w:p>
    <w:p>
      <w:pPr>
        <w:pStyle w:val="Heading5"/>
      </w:pPr>
      <w:bookmarkStart w:id="334" w:name="_Toc472604897"/>
      <w:r>
        <w:rPr>
          <w:rStyle w:val="CharSectno"/>
        </w:rPr>
        <w:t>175M</w:t>
      </w:r>
      <w:r>
        <w:t>.</w:t>
      </w:r>
      <w:r>
        <w:tab/>
        <w:t>Application of penalties collected</w:t>
      </w:r>
      <w:bookmarkEnd w:id="334"/>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35" w:name="_Toc472604898"/>
      <w:r>
        <w:rPr>
          <w:rStyle w:val="CharPartNo"/>
        </w:rPr>
        <w:t>Part XI</w:t>
      </w:r>
      <w:r>
        <w:rPr>
          <w:b w:val="0"/>
        </w:rPr>
        <w:t> </w:t>
      </w:r>
      <w:r>
        <w:t>—</w:t>
      </w:r>
      <w:r>
        <w:rPr>
          <w:b w:val="0"/>
        </w:rPr>
        <w:t> </w:t>
      </w:r>
      <w:r>
        <w:rPr>
          <w:rStyle w:val="CharPartText"/>
        </w:rPr>
        <w:t>Dispute resolution</w:t>
      </w:r>
      <w:bookmarkEnd w:id="335"/>
    </w:p>
    <w:p>
      <w:pPr>
        <w:pStyle w:val="Footnoteheading"/>
      </w:pPr>
      <w:r>
        <w:tab/>
        <w:t>[Heading inserted by No. 42 of 2004 s. 130.]</w:t>
      </w:r>
    </w:p>
    <w:p>
      <w:pPr>
        <w:pStyle w:val="Heading3"/>
      </w:pPr>
      <w:bookmarkStart w:id="336" w:name="_Toc472604899"/>
      <w:r>
        <w:rPr>
          <w:rStyle w:val="CharDivNo"/>
        </w:rPr>
        <w:t>Division 1</w:t>
      </w:r>
      <w:r>
        <w:t> — </w:t>
      </w:r>
      <w:r>
        <w:rPr>
          <w:rStyle w:val="CharDivText"/>
        </w:rPr>
        <w:t>General</w:t>
      </w:r>
      <w:bookmarkEnd w:id="336"/>
    </w:p>
    <w:p>
      <w:pPr>
        <w:pStyle w:val="Footnoteheading"/>
      </w:pPr>
      <w:r>
        <w:tab/>
        <w:t>[Heading inserted by No. 42 of 2004 s. 130.]</w:t>
      </w:r>
    </w:p>
    <w:p>
      <w:pPr>
        <w:pStyle w:val="Heading5"/>
      </w:pPr>
      <w:bookmarkStart w:id="337" w:name="_Toc472604900"/>
      <w:r>
        <w:rPr>
          <w:rStyle w:val="CharSectno"/>
        </w:rPr>
        <w:t>176</w:t>
      </w:r>
      <w:r>
        <w:t>.</w:t>
      </w:r>
      <w:r>
        <w:tab/>
        <w:t>Exclusive jurisdiction of arbitrators</w:t>
      </w:r>
      <w:bookmarkEnd w:id="337"/>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by No. 42 of 2004 s. 130; amended by No. 31 of 2011 s. 41.]</w:t>
      </w:r>
    </w:p>
    <w:p>
      <w:pPr>
        <w:pStyle w:val="Heading5"/>
      </w:pPr>
      <w:bookmarkStart w:id="338" w:name="_Toc472604901"/>
      <w:r>
        <w:rPr>
          <w:rStyle w:val="CharSectno"/>
        </w:rPr>
        <w:t>177</w:t>
      </w:r>
      <w:r>
        <w:t>.</w:t>
      </w:r>
      <w:r>
        <w:tab/>
        <w:t>Object of this Part</w:t>
      </w:r>
      <w:bookmarkEnd w:id="338"/>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 xml:space="preserve">Dispute resolution authorities and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mentioned in section 181(2)(b)(ii) or 182ZO(2)(b)(ii) are to have regard to the object of this Part when they perform their functions.</w:t>
      </w:r>
    </w:p>
    <w:p>
      <w:pPr>
        <w:pStyle w:val="Footnotesection"/>
      </w:pPr>
      <w:r>
        <w:tab/>
        <w:t>[Section 177 inserted by No. 31 of 2011 s. 4.]</w:t>
      </w:r>
    </w:p>
    <w:p>
      <w:pPr>
        <w:pStyle w:val="Heading3"/>
      </w:pPr>
      <w:bookmarkStart w:id="339" w:name="_Toc472604902"/>
      <w:r>
        <w:rPr>
          <w:rStyle w:val="CharDivNo"/>
        </w:rPr>
        <w:t>Division 2</w:t>
      </w:r>
      <w:r>
        <w:t> — </w:t>
      </w:r>
      <w:r>
        <w:rPr>
          <w:rStyle w:val="CharDivText"/>
        </w:rPr>
        <w:t>Requirements before commencing proceeding</w:t>
      </w:r>
      <w:bookmarkEnd w:id="339"/>
    </w:p>
    <w:p>
      <w:pPr>
        <w:pStyle w:val="Footnoteheading"/>
      </w:pPr>
      <w:r>
        <w:tab/>
        <w:t>[Heading inserted by No. 42 of 2004 s. 130.]</w:t>
      </w:r>
    </w:p>
    <w:p>
      <w:pPr>
        <w:pStyle w:val="Heading5"/>
        <w:spacing w:before="120"/>
      </w:pPr>
      <w:bookmarkStart w:id="340" w:name="_Toc472604903"/>
      <w:r>
        <w:rPr>
          <w:rStyle w:val="CharSectno"/>
        </w:rPr>
        <w:t>178</w:t>
      </w:r>
      <w:r>
        <w:t>.</w:t>
      </w:r>
      <w:r>
        <w:tab/>
        <w:t>Notice of injury, and claim for compensation, requirements for</w:t>
      </w:r>
      <w:bookmarkEnd w:id="340"/>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by No. 42 of 2004 s. 130; amended by No. 31 of 2011 s. 120.]</w:t>
      </w:r>
    </w:p>
    <w:p>
      <w:pPr>
        <w:pStyle w:val="Heading5"/>
      </w:pPr>
      <w:bookmarkStart w:id="341" w:name="_Toc472604904"/>
      <w:r>
        <w:rPr>
          <w:rStyle w:val="CharSectno"/>
        </w:rPr>
        <w:t>179</w:t>
      </w:r>
      <w:r>
        <w:t>.</w:t>
      </w:r>
      <w:r>
        <w:tab/>
        <w:t>Notice of injury, service of</w:t>
      </w:r>
      <w:bookmarkEnd w:id="341"/>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by No. 42 of 2004 s. 130.]</w:t>
      </w:r>
    </w:p>
    <w:p>
      <w:pPr>
        <w:pStyle w:val="Heading5"/>
      </w:pPr>
      <w:bookmarkStart w:id="342" w:name="_Toc472604905"/>
      <w:r>
        <w:rPr>
          <w:rStyle w:val="CharSectno"/>
        </w:rPr>
        <w:t>180</w:t>
      </w:r>
      <w:r>
        <w:t>.</w:t>
      </w:r>
      <w:r>
        <w:tab/>
        <w:t>Relevant documents to be provided by parties</w:t>
      </w:r>
      <w:bookmarkEnd w:id="342"/>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t>
      </w:r>
      <w:smartTag w:uri="urn:schemas-microsoft-com:office:smarttags" w:element="City">
        <w:r>
          <w:t>WorkCover</w:t>
        </w:r>
      </w:smartTag>
      <w:r>
        <w:t xml:space="preserve"> </w:t>
      </w:r>
      <w:smartTag w:uri="urn:schemas-microsoft-com:office:smarttags" w:element="State">
        <w:r>
          <w:t>WA</w:t>
        </w:r>
      </w:smartTag>
      <w:r>
        <w:t xml:space="preserve"> to provide the person making the request with a copy of any documents in the possession of or under the control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by No. 42 of 2004 s. 130; amended by No. 16 of 2005 s. 22; No. 31 of 2011 s. 42.]</w:t>
      </w:r>
    </w:p>
    <w:p>
      <w:pPr>
        <w:pStyle w:val="Heading3"/>
      </w:pPr>
      <w:bookmarkStart w:id="343" w:name="_Toc472604906"/>
      <w:r>
        <w:rPr>
          <w:rStyle w:val="CharDivNo"/>
        </w:rPr>
        <w:t>Division 3</w:t>
      </w:r>
      <w:r>
        <w:t> — </w:t>
      </w:r>
      <w:r>
        <w:rPr>
          <w:rStyle w:val="CharDivText"/>
        </w:rPr>
        <w:t>Conciliation</w:t>
      </w:r>
      <w:bookmarkEnd w:id="343"/>
    </w:p>
    <w:p>
      <w:pPr>
        <w:pStyle w:val="Footnoteheading"/>
      </w:pPr>
      <w:r>
        <w:tab/>
        <w:t>[Heading inserted by No. 31 of 2011 s. 5.]</w:t>
      </w:r>
    </w:p>
    <w:p>
      <w:pPr>
        <w:pStyle w:val="Heading4"/>
      </w:pPr>
      <w:bookmarkStart w:id="344" w:name="_Toc472604907"/>
      <w:r>
        <w:t>Subdivision 1 — Workers’ Compensation Conciliation Service</w:t>
      </w:r>
      <w:bookmarkEnd w:id="344"/>
    </w:p>
    <w:p>
      <w:pPr>
        <w:pStyle w:val="Footnoteheading"/>
      </w:pPr>
      <w:r>
        <w:tab/>
        <w:t>[Heading inserted by No. 31 of 2011 s. 5.]</w:t>
      </w:r>
    </w:p>
    <w:p>
      <w:pPr>
        <w:pStyle w:val="Heading5"/>
      </w:pPr>
      <w:bookmarkStart w:id="345" w:name="_Toc472604908"/>
      <w:r>
        <w:rPr>
          <w:rStyle w:val="CharSectno"/>
        </w:rPr>
        <w:t>181</w:t>
      </w:r>
      <w:r>
        <w:t>.</w:t>
      </w:r>
      <w:r>
        <w:tab/>
        <w:t>Workers’ Compensation Conciliation Service established</w:t>
      </w:r>
      <w:bookmarkEnd w:id="345"/>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Conciliation Service and the performance of its functions.</w:t>
      </w:r>
    </w:p>
    <w:p>
      <w:pPr>
        <w:pStyle w:val="Footnotesection"/>
      </w:pPr>
      <w:r>
        <w:tab/>
        <w:t>[Section 181 inserted by No. 31 of 2011 s. 6.]</w:t>
      </w:r>
    </w:p>
    <w:p>
      <w:pPr>
        <w:pStyle w:val="Heading5"/>
      </w:pPr>
      <w:bookmarkStart w:id="346" w:name="_Toc472604909"/>
      <w:r>
        <w:rPr>
          <w:rStyle w:val="CharSectno"/>
        </w:rPr>
        <w:t>182A</w:t>
      </w:r>
      <w:r>
        <w:t>.</w:t>
      </w:r>
      <w:r>
        <w:tab/>
        <w:t>Director, Conciliation, designation and functions of</w:t>
      </w:r>
      <w:bookmarkEnd w:id="346"/>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by No. 31 of 2011 s. 6.]</w:t>
      </w:r>
    </w:p>
    <w:p>
      <w:pPr>
        <w:pStyle w:val="Heading5"/>
      </w:pPr>
      <w:bookmarkStart w:id="347" w:name="_Toc472604910"/>
      <w:r>
        <w:rPr>
          <w:rStyle w:val="CharSectno"/>
        </w:rPr>
        <w:t>182B</w:t>
      </w:r>
      <w:r>
        <w:t>.</w:t>
      </w:r>
      <w:r>
        <w:tab/>
        <w:t>Conciliation officers, designation of etc.</w:t>
      </w:r>
      <w:bookmarkEnd w:id="347"/>
    </w:p>
    <w:p>
      <w:pPr>
        <w:pStyle w:val="Subsection"/>
      </w:pPr>
      <w:r>
        <w:tab/>
        <w:t>(1)</w:t>
      </w:r>
      <w:r>
        <w:tab/>
        <w:t xml:space="preserve">The </w:t>
      </w:r>
      <w:r>
        <w:rPr>
          <w:bCs/>
          <w:iCs/>
        </w:rPr>
        <w:t>chief executive officer may</w:t>
      </w:r>
      <w:r>
        <w:t xml:space="preserve">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by No. 31 of 2011 s. 6.]</w:t>
      </w:r>
    </w:p>
    <w:p>
      <w:pPr>
        <w:pStyle w:val="Heading5"/>
      </w:pPr>
      <w:bookmarkStart w:id="348" w:name="_Toc472604911"/>
      <w:r>
        <w:rPr>
          <w:rStyle w:val="CharSectno"/>
        </w:rPr>
        <w:t>182C</w:t>
      </w:r>
      <w:r>
        <w:t>.</w:t>
      </w:r>
      <w:r>
        <w:tab/>
        <w:t>Provisions about designations</w:t>
      </w:r>
      <w:bookmarkEnd w:id="348"/>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182C inserted by No. 31 of 2011 s. 6.]</w:t>
      </w:r>
    </w:p>
    <w:p>
      <w:pPr>
        <w:pStyle w:val="Heading5"/>
      </w:pPr>
      <w:bookmarkStart w:id="349" w:name="_Toc472604912"/>
      <w:r>
        <w:rPr>
          <w:rStyle w:val="CharSectno"/>
        </w:rPr>
        <w:t>182D</w:t>
      </w:r>
      <w:r>
        <w:t>.</w:t>
      </w:r>
      <w:r>
        <w:tab/>
        <w:t>Delegation by Director</w:t>
      </w:r>
      <w:bookmarkEnd w:id="349"/>
    </w:p>
    <w:p>
      <w:pPr>
        <w:pStyle w:val="Subsection"/>
      </w:pPr>
      <w:r>
        <w:tab/>
        <w:t>(1)</w:t>
      </w:r>
      <w:r>
        <w:tab/>
        <w:t xml:space="preserve">The Director may delegate a power or duty given to the Director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by No. 31 of 2011 s. 6.]</w:t>
      </w:r>
    </w:p>
    <w:p>
      <w:pPr>
        <w:pStyle w:val="Heading4"/>
      </w:pPr>
      <w:bookmarkStart w:id="350" w:name="_Toc472604913"/>
      <w:r>
        <w:t>Subdivision 2 — Resolution of disputes by conciliation</w:t>
      </w:r>
      <w:bookmarkEnd w:id="350"/>
    </w:p>
    <w:p>
      <w:pPr>
        <w:pStyle w:val="Footnoteheading"/>
      </w:pPr>
      <w:r>
        <w:tab/>
        <w:t>[Heading inserted by No. 31 of 2011 s. 6.]</w:t>
      </w:r>
    </w:p>
    <w:p>
      <w:pPr>
        <w:pStyle w:val="Heading5"/>
      </w:pPr>
      <w:bookmarkStart w:id="351" w:name="_Toc472604914"/>
      <w:r>
        <w:rPr>
          <w:rStyle w:val="CharSectno"/>
        </w:rPr>
        <w:t>182E</w:t>
      </w:r>
      <w:r>
        <w:t>.</w:t>
      </w:r>
      <w:r>
        <w:tab/>
        <w:t>Application for conciliation</w:t>
      </w:r>
      <w:bookmarkEnd w:id="351"/>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by No. 31 of 2011 s. 6.]</w:t>
      </w:r>
    </w:p>
    <w:p>
      <w:pPr>
        <w:pStyle w:val="Heading5"/>
      </w:pPr>
      <w:bookmarkStart w:id="352" w:name="_Toc472604915"/>
      <w:r>
        <w:rPr>
          <w:rStyle w:val="CharSectno"/>
        </w:rPr>
        <w:t>182F</w:t>
      </w:r>
      <w:r>
        <w:t>.</w:t>
      </w:r>
      <w:r>
        <w:tab/>
        <w:t>Acceptance of application by Director</w:t>
      </w:r>
      <w:bookmarkEnd w:id="35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by No. 31 of 2011 s. 6.]</w:t>
      </w:r>
    </w:p>
    <w:p>
      <w:pPr>
        <w:pStyle w:val="Heading5"/>
      </w:pPr>
      <w:bookmarkStart w:id="353" w:name="_Toc472604916"/>
      <w:r>
        <w:rPr>
          <w:rStyle w:val="CharSectno"/>
        </w:rPr>
        <w:t>182G</w:t>
      </w:r>
      <w:r>
        <w:t>.</w:t>
      </w:r>
      <w:r>
        <w:tab/>
        <w:t>Director to allocate dispute</w:t>
      </w:r>
      <w:bookmarkEnd w:id="35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by No. 31 of 2011 s. 6.]</w:t>
      </w:r>
    </w:p>
    <w:p>
      <w:pPr>
        <w:pStyle w:val="Heading5"/>
      </w:pPr>
      <w:bookmarkStart w:id="354" w:name="_Toc472604917"/>
      <w:r>
        <w:rPr>
          <w:rStyle w:val="CharSectno"/>
        </w:rPr>
        <w:t>182H</w:t>
      </w:r>
      <w:r>
        <w:t>.</w:t>
      </w:r>
      <w:r>
        <w:tab/>
        <w:t>Director may certify dispute is not suitable for conciliation</w:t>
      </w:r>
      <w:bookmarkEnd w:id="35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by No. 31 of 2011 s. 6.]</w:t>
      </w:r>
    </w:p>
    <w:p>
      <w:pPr>
        <w:pStyle w:val="Heading5"/>
      </w:pPr>
      <w:bookmarkStart w:id="355" w:name="_Toc472604918"/>
      <w:r>
        <w:rPr>
          <w:rStyle w:val="CharSectno"/>
        </w:rPr>
        <w:t>182I</w:t>
      </w:r>
      <w:r>
        <w:t>.</w:t>
      </w:r>
      <w:r>
        <w:tab/>
        <w:t>Duties of conciliation officers</w:t>
      </w:r>
      <w:bookmarkEnd w:id="35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by No. 31 of 2011 s. 6.]</w:t>
      </w:r>
    </w:p>
    <w:p>
      <w:pPr>
        <w:pStyle w:val="Heading5"/>
      </w:pPr>
      <w:bookmarkStart w:id="356" w:name="_Toc472604919"/>
      <w:r>
        <w:rPr>
          <w:rStyle w:val="CharSectno"/>
        </w:rPr>
        <w:t>182J</w:t>
      </w:r>
      <w:r>
        <w:t>.</w:t>
      </w:r>
      <w:r>
        <w:tab/>
        <w:t>Powers of conciliation officers</w:t>
      </w:r>
      <w:bookmarkEnd w:id="356"/>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by No. 31 of 2011 s. 6.]</w:t>
      </w:r>
    </w:p>
    <w:p>
      <w:pPr>
        <w:pStyle w:val="Heading5"/>
      </w:pPr>
      <w:bookmarkStart w:id="357" w:name="_Toc472604920"/>
      <w:r>
        <w:rPr>
          <w:rStyle w:val="CharSectno"/>
        </w:rPr>
        <w:t>182K</w:t>
      </w:r>
      <w:r>
        <w:t>.</w:t>
      </w:r>
      <w:r>
        <w:tab/>
        <w:t>Weekly payments etc., conciliation officers may direct etc.</w:t>
      </w:r>
      <w:bookmarkEnd w:id="35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by No. 31 of 2011 s. 6.]</w:t>
      </w:r>
    </w:p>
    <w:p>
      <w:pPr>
        <w:pStyle w:val="Heading5"/>
      </w:pPr>
      <w:bookmarkStart w:id="358" w:name="_Toc472604921"/>
      <w:r>
        <w:rPr>
          <w:rStyle w:val="CharSectno"/>
        </w:rPr>
        <w:t>182L</w:t>
      </w:r>
      <w:r>
        <w:t>.</w:t>
      </w:r>
      <w:r>
        <w:tab/>
        <w:t>Suspending and reducing weekly payments, conciliation officers’ powers for etc.</w:t>
      </w:r>
      <w:bookmarkEnd w:id="35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by No. 31 of 2011 s. 6.]</w:t>
      </w:r>
    </w:p>
    <w:p>
      <w:pPr>
        <w:pStyle w:val="Heading5"/>
      </w:pPr>
      <w:bookmarkStart w:id="359" w:name="_Toc472604922"/>
      <w:r>
        <w:rPr>
          <w:rStyle w:val="CharSectno"/>
        </w:rPr>
        <w:t>182M</w:t>
      </w:r>
      <w:r>
        <w:t>.</w:t>
      </w:r>
      <w:r>
        <w:tab/>
        <w:t>Provisions about directions</w:t>
      </w:r>
      <w:bookmarkEnd w:id="35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by No. 31 of 2011 s. 6.]</w:t>
      </w:r>
    </w:p>
    <w:p>
      <w:pPr>
        <w:pStyle w:val="Heading5"/>
      </w:pPr>
      <w:bookmarkStart w:id="360" w:name="_Toc472604923"/>
      <w:r>
        <w:rPr>
          <w:rStyle w:val="CharSectno"/>
        </w:rPr>
        <w:t>182N</w:t>
      </w:r>
      <w:r>
        <w:t>.</w:t>
      </w:r>
      <w:r>
        <w:tab/>
        <w:t>Finalising orders</w:t>
      </w:r>
      <w:bookmarkEnd w:id="360"/>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by No. 31 of 2011 s. 6.]</w:t>
      </w:r>
    </w:p>
    <w:p>
      <w:pPr>
        <w:pStyle w:val="Heading5"/>
      </w:pPr>
      <w:bookmarkStart w:id="361" w:name="_Toc472604924"/>
      <w:r>
        <w:rPr>
          <w:rStyle w:val="CharSectno"/>
        </w:rPr>
        <w:t>182O</w:t>
      </w:r>
      <w:r>
        <w:t>.</w:t>
      </w:r>
      <w:r>
        <w:tab/>
        <w:t>Conclusion of conciliation and certificate of outcome</w:t>
      </w:r>
      <w:bookmarkEnd w:id="36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by No. 31 of 2011 s. 6.]</w:t>
      </w:r>
    </w:p>
    <w:p>
      <w:pPr>
        <w:pStyle w:val="Heading4"/>
      </w:pPr>
      <w:bookmarkStart w:id="362" w:name="_Toc472604925"/>
      <w:r>
        <w:t>Subdivision 3 — Practice and procedure</w:t>
      </w:r>
      <w:bookmarkEnd w:id="362"/>
    </w:p>
    <w:p>
      <w:pPr>
        <w:pStyle w:val="Footnoteheading"/>
      </w:pPr>
      <w:r>
        <w:tab/>
        <w:t>[Heading inserted by No. 31 of 2011 s. 6.]</w:t>
      </w:r>
    </w:p>
    <w:p>
      <w:pPr>
        <w:pStyle w:val="Heading5"/>
      </w:pPr>
      <w:bookmarkStart w:id="363" w:name="_Toc472604926"/>
      <w:r>
        <w:rPr>
          <w:rStyle w:val="CharSectno"/>
        </w:rPr>
        <w:t>182P</w:t>
      </w:r>
      <w:r>
        <w:t>.</w:t>
      </w:r>
      <w:r>
        <w:tab/>
        <w:t>Obtaining information</w:t>
      </w:r>
      <w:bookmarkEnd w:id="363"/>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by No. 31 of 2011 s. 6.]</w:t>
      </w:r>
    </w:p>
    <w:p>
      <w:pPr>
        <w:pStyle w:val="Heading5"/>
      </w:pPr>
      <w:bookmarkStart w:id="364" w:name="_Toc472604927"/>
      <w:r>
        <w:rPr>
          <w:rStyle w:val="CharSectno"/>
        </w:rPr>
        <w:t>182Q</w:t>
      </w:r>
      <w:r>
        <w:t>.</w:t>
      </w:r>
      <w:r>
        <w:tab/>
        <w:t>Scope of conciliation</w:t>
      </w:r>
      <w:bookmarkEnd w:id="364"/>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by No. 31 of 2011 s. 6.]</w:t>
      </w:r>
    </w:p>
    <w:p>
      <w:pPr>
        <w:pStyle w:val="Heading5"/>
      </w:pPr>
      <w:bookmarkStart w:id="365" w:name="_Toc472604928"/>
      <w:r>
        <w:rPr>
          <w:rStyle w:val="CharSectno"/>
        </w:rPr>
        <w:t>182R</w:t>
      </w:r>
      <w:r>
        <w:t>.</w:t>
      </w:r>
      <w:r>
        <w:tab/>
        <w:t>Conciliation officer may provide information to another party or a medical practitioner</w:t>
      </w:r>
      <w:bookmarkEnd w:id="365"/>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by No. 31 of 2011 s. 6.]</w:t>
      </w:r>
    </w:p>
    <w:p>
      <w:pPr>
        <w:pStyle w:val="Heading5"/>
      </w:pPr>
      <w:bookmarkStart w:id="366" w:name="_Toc472604929"/>
      <w:r>
        <w:rPr>
          <w:rStyle w:val="CharSectno"/>
        </w:rPr>
        <w:t>182S</w:t>
      </w:r>
      <w:r>
        <w:t>.</w:t>
      </w:r>
      <w:r>
        <w:tab/>
        <w:t>Representation</w:t>
      </w:r>
      <w:bookmarkEnd w:id="366"/>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by No. 31 of 2011 s. 6.]</w:t>
      </w:r>
    </w:p>
    <w:p>
      <w:pPr>
        <w:pStyle w:val="Heading5"/>
      </w:pPr>
      <w:bookmarkStart w:id="367" w:name="_Toc472604930"/>
      <w:r>
        <w:rPr>
          <w:rStyle w:val="CharSectno"/>
        </w:rPr>
        <w:t>182T</w:t>
      </w:r>
      <w:r>
        <w:t>.</w:t>
      </w:r>
      <w:r>
        <w:tab/>
        <w:t>Litigation guardians, rules about</w:t>
      </w:r>
      <w:bookmarkEnd w:id="367"/>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by No. 31 of 2011 s. 6.]</w:t>
      </w:r>
    </w:p>
    <w:p>
      <w:pPr>
        <w:pStyle w:val="Heading5"/>
      </w:pPr>
      <w:bookmarkStart w:id="368" w:name="_Toc472604931"/>
      <w:r>
        <w:rPr>
          <w:rStyle w:val="CharSectno"/>
        </w:rPr>
        <w:t>182U</w:t>
      </w:r>
      <w:r>
        <w:t>.</w:t>
      </w:r>
      <w:r>
        <w:tab/>
        <w:t>Interpreters and assistants</w:t>
      </w:r>
      <w:bookmarkEnd w:id="368"/>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by No. 31 of 2011 s. 6.]</w:t>
      </w:r>
    </w:p>
    <w:p>
      <w:pPr>
        <w:pStyle w:val="Heading5"/>
      </w:pPr>
      <w:bookmarkStart w:id="369" w:name="_Toc472604932"/>
      <w:r>
        <w:rPr>
          <w:rStyle w:val="CharSectno"/>
        </w:rPr>
        <w:t>182V</w:t>
      </w:r>
      <w:r>
        <w:t>.</w:t>
      </w:r>
      <w:r>
        <w:tab/>
        <w:t>Ways of conducting conciliation</w:t>
      </w:r>
      <w:bookmarkEnd w:id="369"/>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by No. 31 of 2011 s. 6.]</w:t>
      </w:r>
    </w:p>
    <w:p>
      <w:pPr>
        <w:pStyle w:val="Heading5"/>
      </w:pPr>
      <w:bookmarkStart w:id="370" w:name="_Toc472604933"/>
      <w:r>
        <w:rPr>
          <w:rStyle w:val="CharSectno"/>
        </w:rPr>
        <w:t>182W</w:t>
      </w:r>
      <w:r>
        <w:t>.</w:t>
      </w:r>
      <w:r>
        <w:tab/>
        <w:t>Conciliation to be in private</w:t>
      </w:r>
      <w:bookmarkEnd w:id="370"/>
    </w:p>
    <w:p>
      <w:pPr>
        <w:pStyle w:val="Subsection"/>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by No. 31 of 2011 s. 6.]</w:t>
      </w:r>
    </w:p>
    <w:p>
      <w:pPr>
        <w:pStyle w:val="Heading5"/>
      </w:pPr>
      <w:bookmarkStart w:id="371" w:name="_Toc472604934"/>
      <w:r>
        <w:rPr>
          <w:rStyle w:val="CharSectno"/>
        </w:rPr>
        <w:t>182X</w:t>
      </w:r>
      <w:r>
        <w:t>.</w:t>
      </w:r>
      <w:r>
        <w:tab/>
        <w:t>Meetings and conferences, notice of and failure to attend</w:t>
      </w:r>
      <w:bookmarkEnd w:id="371"/>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by No. 31 of 2011 s. 6.]</w:t>
      </w:r>
    </w:p>
    <w:p>
      <w:pPr>
        <w:pStyle w:val="Heading5"/>
      </w:pPr>
      <w:bookmarkStart w:id="372" w:name="_Toc472604935"/>
      <w:r>
        <w:rPr>
          <w:rStyle w:val="CharSectno"/>
        </w:rPr>
        <w:t>182Y</w:t>
      </w:r>
      <w:r>
        <w:t>.</w:t>
      </w:r>
      <w:r>
        <w:tab/>
        <w:t>Privilege against self incrimination</w:t>
      </w:r>
      <w:bookmarkEnd w:id="372"/>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by No. 31 of 2011 s. 6.]</w:t>
      </w:r>
    </w:p>
    <w:p>
      <w:pPr>
        <w:pStyle w:val="Heading5"/>
      </w:pPr>
      <w:bookmarkStart w:id="373" w:name="_Toc472604936"/>
      <w:r>
        <w:rPr>
          <w:rStyle w:val="CharSectno"/>
        </w:rPr>
        <w:t>182ZA</w:t>
      </w:r>
      <w:r>
        <w:t>.</w:t>
      </w:r>
      <w:r>
        <w:tab/>
        <w:t>Legal professional privilege in relation to medical reports</w:t>
      </w:r>
      <w:bookmarkEnd w:id="373"/>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or her capacity as a legal practitioner.</w:t>
      </w:r>
    </w:p>
    <w:p>
      <w:pPr>
        <w:pStyle w:val="Footnotesection"/>
      </w:pPr>
      <w:r>
        <w:tab/>
        <w:t>[Section 182ZA inserted by No. 31 of 2011 s. 6.]</w:t>
      </w:r>
    </w:p>
    <w:p>
      <w:pPr>
        <w:pStyle w:val="Heading5"/>
      </w:pPr>
      <w:bookmarkStart w:id="374" w:name="_Toc472604937"/>
      <w:r>
        <w:rPr>
          <w:rStyle w:val="CharSectno"/>
        </w:rPr>
        <w:t>182ZB</w:t>
      </w:r>
      <w:r>
        <w:t>.</w:t>
      </w:r>
      <w:r>
        <w:tab/>
        <w:t>Other claims of privilege</w:t>
      </w:r>
      <w:bookmarkEnd w:id="374"/>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by No. 31 of 2011 s. 6.]</w:t>
      </w:r>
    </w:p>
    <w:p>
      <w:pPr>
        <w:pStyle w:val="Heading5"/>
      </w:pPr>
      <w:bookmarkStart w:id="375" w:name="_Toc472604938"/>
      <w:r>
        <w:rPr>
          <w:rStyle w:val="CharSectno"/>
        </w:rPr>
        <w:t>182ZC</w:t>
      </w:r>
      <w:r>
        <w:t>.</w:t>
      </w:r>
      <w:r>
        <w:tab/>
        <w:t>Documents produced, use of etc. by conciliation officer</w:t>
      </w:r>
      <w:bookmarkEnd w:id="375"/>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by No. 31 of 2011 s. 6.]</w:t>
      </w:r>
    </w:p>
    <w:p>
      <w:pPr>
        <w:pStyle w:val="Heading5"/>
      </w:pPr>
      <w:bookmarkStart w:id="376" w:name="_Toc472604939"/>
      <w:r>
        <w:rPr>
          <w:rStyle w:val="CharSectno"/>
        </w:rPr>
        <w:t>182ZD</w:t>
      </w:r>
      <w:r>
        <w:t>.</w:t>
      </w:r>
      <w:r>
        <w:tab/>
        <w:t>Medical dispute may be referred to medical assessment panel</w:t>
      </w:r>
      <w:bookmarkEnd w:id="376"/>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by No. 31 of 2011 s. 6.]</w:t>
      </w:r>
    </w:p>
    <w:p>
      <w:pPr>
        <w:pStyle w:val="Heading4"/>
      </w:pPr>
      <w:bookmarkStart w:id="377" w:name="_Toc472604940"/>
      <w:r>
        <w:t>Subdivision 4 — General provisions about directions, orders and conciliation agreements</w:t>
      </w:r>
      <w:bookmarkEnd w:id="377"/>
    </w:p>
    <w:p>
      <w:pPr>
        <w:pStyle w:val="Footnoteheading"/>
      </w:pPr>
      <w:r>
        <w:tab/>
        <w:t>[Heading inserted by No. 31 of 2011 s. 6.]</w:t>
      </w:r>
    </w:p>
    <w:p>
      <w:pPr>
        <w:pStyle w:val="Heading5"/>
      </w:pPr>
      <w:bookmarkStart w:id="378" w:name="_Toc472604941"/>
      <w:r>
        <w:rPr>
          <w:rStyle w:val="CharSectno"/>
        </w:rPr>
        <w:t>182ZE</w:t>
      </w:r>
      <w:r>
        <w:t>.</w:t>
      </w:r>
      <w:r>
        <w:tab/>
        <w:t>Terms used</w:t>
      </w:r>
      <w:bookmarkEnd w:id="378"/>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by No. 31 of 2011 s. 6.]</w:t>
      </w:r>
    </w:p>
    <w:p>
      <w:pPr>
        <w:pStyle w:val="Heading5"/>
      </w:pPr>
      <w:bookmarkStart w:id="379" w:name="_Toc472604942"/>
      <w:r>
        <w:rPr>
          <w:rStyle w:val="CharSectno"/>
        </w:rPr>
        <w:t>182ZF</w:t>
      </w:r>
      <w:r>
        <w:t>.</w:t>
      </w:r>
      <w:r>
        <w:tab/>
        <w:t>When decision or conciliation agreement has effect</w:t>
      </w:r>
      <w:bookmarkEnd w:id="379"/>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by No. 31 of 2011 s. 6.]</w:t>
      </w:r>
    </w:p>
    <w:p>
      <w:pPr>
        <w:pStyle w:val="Heading5"/>
      </w:pPr>
      <w:bookmarkStart w:id="380" w:name="_Toc472604943"/>
      <w:r>
        <w:rPr>
          <w:rStyle w:val="CharSectno"/>
        </w:rPr>
        <w:t>182ZG</w:t>
      </w:r>
      <w:r>
        <w:t>.</w:t>
      </w:r>
      <w:r>
        <w:tab/>
        <w:t>Correcting mistakes</w:t>
      </w:r>
      <w:bookmarkEnd w:id="380"/>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by No. 31 of 2011 s. 6.]</w:t>
      </w:r>
    </w:p>
    <w:p>
      <w:pPr>
        <w:pStyle w:val="Heading5"/>
      </w:pPr>
      <w:bookmarkStart w:id="381" w:name="_Toc472604944"/>
      <w:r>
        <w:rPr>
          <w:rStyle w:val="CharSectno"/>
        </w:rPr>
        <w:t>182ZH</w:t>
      </w:r>
      <w:r>
        <w:t>.</w:t>
      </w:r>
      <w:r>
        <w:tab/>
        <w:t>Enforcing decisions and conciliation agreements</w:t>
      </w:r>
      <w:bookmarkEnd w:id="381"/>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by No. 31 of 2011 s. 6.]</w:t>
      </w:r>
    </w:p>
    <w:p>
      <w:pPr>
        <w:pStyle w:val="Heading5"/>
      </w:pPr>
      <w:bookmarkStart w:id="382" w:name="_Toc472604945"/>
      <w:r>
        <w:rPr>
          <w:rStyle w:val="CharSectno"/>
        </w:rPr>
        <w:t>182ZI</w:t>
      </w:r>
      <w:r>
        <w:t>.</w:t>
      </w:r>
      <w:r>
        <w:tab/>
        <w:t>Conciliation decisions not reviewable</w:t>
      </w:r>
      <w:bookmarkEnd w:id="382"/>
    </w:p>
    <w:p>
      <w:pPr>
        <w:pStyle w:val="Subsection"/>
      </w:pPr>
      <w:r>
        <w:tab/>
      </w:r>
      <w:r>
        <w:tab/>
        <w:t>Subject to sections 182ZJ and 182ZK a conciliation decision is not subject to an appeal or amenable to judicial review.</w:t>
      </w:r>
    </w:p>
    <w:p>
      <w:pPr>
        <w:pStyle w:val="Footnotesection"/>
      </w:pPr>
      <w:r>
        <w:tab/>
        <w:t>[Section 182ZI inserted by No. 31 of 2011 s. 6.]</w:t>
      </w:r>
    </w:p>
    <w:p>
      <w:pPr>
        <w:pStyle w:val="Heading5"/>
      </w:pPr>
      <w:bookmarkStart w:id="383" w:name="_Toc472604946"/>
      <w:r>
        <w:rPr>
          <w:rStyle w:val="CharSectno"/>
        </w:rPr>
        <w:t>182ZJ</w:t>
      </w:r>
      <w:r>
        <w:t>.</w:t>
      </w:r>
      <w:r>
        <w:tab/>
        <w:t>Provisions about revoked directions</w:t>
      </w:r>
      <w:bookmarkEnd w:id="383"/>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by No. 31 of 2011 s. 6.]</w:t>
      </w:r>
    </w:p>
    <w:p>
      <w:pPr>
        <w:pStyle w:val="Heading5"/>
      </w:pPr>
      <w:bookmarkStart w:id="384" w:name="_Toc472604947"/>
      <w:r>
        <w:rPr>
          <w:rStyle w:val="CharSectno"/>
        </w:rPr>
        <w:t>182ZK</w:t>
      </w:r>
      <w:r>
        <w:t>.</w:t>
      </w:r>
      <w:r>
        <w:tab/>
        <w:t>Recovery of payments made under s. 182K direction</w:t>
      </w:r>
      <w:bookmarkEnd w:id="384"/>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by No. 31 of 2011 s. 6.]</w:t>
      </w:r>
    </w:p>
    <w:p>
      <w:pPr>
        <w:pStyle w:val="Heading5"/>
      </w:pPr>
      <w:bookmarkStart w:id="385" w:name="_Toc472604948"/>
      <w:r>
        <w:rPr>
          <w:rStyle w:val="CharSectno"/>
        </w:rPr>
        <w:t>182ZL</w:t>
      </w:r>
      <w:r>
        <w:t>.</w:t>
      </w:r>
      <w:r>
        <w:tab/>
        <w:t>Director may order insurer to make payment directed under s. 182K</w:t>
      </w:r>
      <w:bookmarkEnd w:id="385"/>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by No. 31 of 2011 s. 6.]</w:t>
      </w:r>
    </w:p>
    <w:p>
      <w:pPr>
        <w:pStyle w:val="Heading4"/>
      </w:pPr>
      <w:bookmarkStart w:id="386" w:name="_Toc472604949"/>
      <w:r>
        <w:t>Subdivision 5 — Miscellaneous</w:t>
      </w:r>
      <w:bookmarkEnd w:id="386"/>
    </w:p>
    <w:p>
      <w:pPr>
        <w:pStyle w:val="Footnoteheading"/>
      </w:pPr>
      <w:r>
        <w:tab/>
        <w:t>[Heading inserted by No. 31 of 2011 s. 6.]</w:t>
      </w:r>
    </w:p>
    <w:p>
      <w:pPr>
        <w:pStyle w:val="Heading5"/>
      </w:pPr>
      <w:bookmarkStart w:id="387" w:name="_Toc472604950"/>
      <w:r>
        <w:rPr>
          <w:rStyle w:val="CharSectno"/>
        </w:rPr>
        <w:t>182ZM</w:t>
      </w:r>
      <w:r>
        <w:t>.</w:t>
      </w:r>
      <w:r>
        <w:tab/>
        <w:t>Statement made to conciliation officer not admissible in subsequent proceedings</w:t>
      </w:r>
      <w:bookmarkEnd w:id="387"/>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by No. 31 of 2011 s. 6.]</w:t>
      </w:r>
    </w:p>
    <w:p>
      <w:pPr>
        <w:pStyle w:val="Heading5"/>
      </w:pPr>
      <w:bookmarkStart w:id="388" w:name="_Toc472604951"/>
      <w:r>
        <w:rPr>
          <w:rStyle w:val="CharSectno"/>
        </w:rPr>
        <w:t>182ZN</w:t>
      </w:r>
      <w:r>
        <w:t>.</w:t>
      </w:r>
      <w:r>
        <w:tab/>
        <w:t>To whom compensation is to be paid</w:t>
      </w:r>
      <w:bookmarkEnd w:id="388"/>
    </w:p>
    <w:p>
      <w:pPr>
        <w:pStyle w:val="Subsection"/>
      </w:pPr>
      <w:r>
        <w:tab/>
      </w:r>
      <w:r>
        <w:tab/>
        <w:t xml:space="preserve">A sum directed or agreed to be payable as compensation is to be paid to the person to whom it is payable under the direction or conciliation agreement unless it is paid into the custody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182ZN inserted by No. 31 of 2011 s. 6.]</w:t>
      </w:r>
    </w:p>
    <w:p>
      <w:pPr>
        <w:pStyle w:val="Heading3"/>
      </w:pPr>
      <w:bookmarkStart w:id="389" w:name="_Toc472604952"/>
      <w:r>
        <w:rPr>
          <w:rStyle w:val="CharDivNo"/>
        </w:rPr>
        <w:t>Division 4</w:t>
      </w:r>
      <w:r>
        <w:t> — </w:t>
      </w:r>
      <w:r>
        <w:rPr>
          <w:rStyle w:val="CharDivText"/>
        </w:rPr>
        <w:t>Arbitration</w:t>
      </w:r>
      <w:bookmarkEnd w:id="389"/>
    </w:p>
    <w:p>
      <w:pPr>
        <w:pStyle w:val="Footnoteheading"/>
      </w:pPr>
      <w:r>
        <w:tab/>
        <w:t>[Heading inserted by No. 31 of 2011 s. 6.]</w:t>
      </w:r>
    </w:p>
    <w:p>
      <w:pPr>
        <w:pStyle w:val="Heading4"/>
      </w:pPr>
      <w:bookmarkStart w:id="390" w:name="_Toc472604953"/>
      <w:r>
        <w:t>Subdivision 1 — Workers’ Compensation Arbitration Service</w:t>
      </w:r>
      <w:bookmarkEnd w:id="390"/>
    </w:p>
    <w:p>
      <w:pPr>
        <w:pStyle w:val="Footnoteheading"/>
      </w:pPr>
      <w:r>
        <w:tab/>
        <w:t>[Heading inserted by No. 31 of 2011 s. 6.]</w:t>
      </w:r>
    </w:p>
    <w:p>
      <w:pPr>
        <w:pStyle w:val="Heading5"/>
      </w:pPr>
      <w:bookmarkStart w:id="391" w:name="_Toc472604954"/>
      <w:r>
        <w:rPr>
          <w:rStyle w:val="CharSectno"/>
        </w:rPr>
        <w:t>182ZO</w:t>
      </w:r>
      <w:r>
        <w:t>.</w:t>
      </w:r>
      <w:r>
        <w:tab/>
        <w:t>Workers’ Compensation Arbitration Service established</w:t>
      </w:r>
      <w:bookmarkEnd w:id="391"/>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 xml:space="preserve">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assisting in the administration of the Arbitration Service and the performance of its functions.</w:t>
      </w:r>
    </w:p>
    <w:p>
      <w:pPr>
        <w:pStyle w:val="Footnotesection"/>
      </w:pPr>
      <w:r>
        <w:tab/>
        <w:t>[Section 182ZO inserted by No. 31 of 2011 s. 6.]</w:t>
      </w:r>
    </w:p>
    <w:p>
      <w:pPr>
        <w:pStyle w:val="Heading5"/>
      </w:pPr>
      <w:bookmarkStart w:id="392" w:name="_Toc472604955"/>
      <w:r>
        <w:rPr>
          <w:rStyle w:val="CharSectno"/>
        </w:rPr>
        <w:t>182ZP</w:t>
      </w:r>
      <w:r>
        <w:t>.</w:t>
      </w:r>
      <w:r>
        <w:tab/>
        <w:t>Registrar, Arbitration, designation and functions of</w:t>
      </w:r>
      <w:bookmarkEnd w:id="392"/>
    </w:p>
    <w:p>
      <w:pPr>
        <w:pStyle w:val="Subsection"/>
      </w:pPr>
      <w:r>
        <w:tab/>
        <w:t>(1)</w:t>
      </w:r>
      <w:r>
        <w:tab/>
        <w:t xml:space="preserve">The </w:t>
      </w:r>
      <w:r>
        <w:rPr>
          <w:bCs/>
          <w:iCs/>
        </w:rPr>
        <w:t xml:space="preserve">chief executive officer </w:t>
      </w:r>
      <w:r>
        <w:t xml:space="preserve">is to designate a person who 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by No. 31 of 2011 s. 6.]</w:t>
      </w:r>
    </w:p>
    <w:p>
      <w:pPr>
        <w:pStyle w:val="Heading5"/>
      </w:pPr>
      <w:bookmarkStart w:id="393" w:name="_Toc472604956"/>
      <w:r>
        <w:rPr>
          <w:rStyle w:val="CharSectno"/>
        </w:rPr>
        <w:t>182ZQ</w:t>
      </w:r>
      <w:r>
        <w:t>.</w:t>
      </w:r>
      <w:r>
        <w:tab/>
        <w:t>Arbitrators, designation of etc.</w:t>
      </w:r>
      <w:bookmarkEnd w:id="393"/>
    </w:p>
    <w:p>
      <w:pPr>
        <w:pStyle w:val="Subsection"/>
      </w:pPr>
      <w:r>
        <w:tab/>
        <w:t>(1)</w:t>
      </w:r>
      <w:r>
        <w:tab/>
        <w:t xml:space="preserve">The </w:t>
      </w:r>
      <w:r>
        <w:rPr>
          <w:bCs/>
          <w:iCs/>
        </w:rPr>
        <w:t xml:space="preserve">chief executive officer may designate a person who </w:t>
      </w:r>
      <w:r>
        <w:t xml:space="preserve">is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by No. 31 of 2011 s. 6.]</w:t>
      </w:r>
    </w:p>
    <w:p>
      <w:pPr>
        <w:pStyle w:val="Heading5"/>
      </w:pPr>
      <w:bookmarkStart w:id="394" w:name="_Toc472604957"/>
      <w:r>
        <w:rPr>
          <w:rStyle w:val="CharSectno"/>
        </w:rPr>
        <w:t>182ZR</w:t>
      </w:r>
      <w:r>
        <w:t>.</w:t>
      </w:r>
      <w:r>
        <w:tab/>
        <w:t>Provisions about designations</w:t>
      </w:r>
      <w:bookmarkEnd w:id="394"/>
    </w:p>
    <w:p>
      <w:pPr>
        <w:pStyle w:val="Subsection"/>
      </w:pPr>
      <w:r>
        <w:tab/>
        <w:t>(1)</w:t>
      </w:r>
      <w:r>
        <w:tab/>
        <w:t xml:space="preserve">In this section — </w:t>
      </w:r>
    </w:p>
    <w:p>
      <w:pPr>
        <w:pStyle w:val="Defstart"/>
      </w:pPr>
      <w:r>
        <w:tab/>
      </w:r>
      <w:r>
        <w:rPr>
          <w:rStyle w:val="CharDefText"/>
        </w:rPr>
        <w:t xml:space="preserve">designation </w:t>
      </w:r>
      <w:r>
        <w:t>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 xml:space="preserve">The designation of a person ceases to have effect if the person ceases to be 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spacing w:before="100"/>
        <w:ind w:left="890" w:hanging="890"/>
      </w:pPr>
      <w:r>
        <w:tab/>
        <w:t>[Section 182ZR inserted by No. 31 of 2011 s. 6.]</w:t>
      </w:r>
    </w:p>
    <w:p>
      <w:pPr>
        <w:pStyle w:val="Heading5"/>
      </w:pPr>
      <w:bookmarkStart w:id="395" w:name="_Toc472604958"/>
      <w:r>
        <w:rPr>
          <w:rStyle w:val="CharSectno"/>
        </w:rPr>
        <w:t>182ZS</w:t>
      </w:r>
      <w:r>
        <w:t>.</w:t>
      </w:r>
      <w:r>
        <w:tab/>
        <w:t xml:space="preserve">Delegation by </w:t>
      </w:r>
      <w:r>
        <w:rPr>
          <w:bCs/>
          <w:iCs/>
        </w:rPr>
        <w:t>Registrar</w:t>
      </w:r>
      <w:bookmarkEnd w:id="395"/>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by No. 31 of 2011 s. 6.]</w:t>
      </w:r>
    </w:p>
    <w:p>
      <w:pPr>
        <w:pStyle w:val="Heading4"/>
      </w:pPr>
      <w:bookmarkStart w:id="396" w:name="_Toc472604959"/>
      <w:r>
        <w:t>Subdivision 2 — Determination of disputes by arbitration</w:t>
      </w:r>
      <w:bookmarkEnd w:id="396"/>
    </w:p>
    <w:p>
      <w:pPr>
        <w:pStyle w:val="Footnoteheading"/>
      </w:pPr>
      <w:r>
        <w:tab/>
        <w:t>[Heading inserted by No. 31 of 2011 s. 6.]</w:t>
      </w:r>
    </w:p>
    <w:p>
      <w:pPr>
        <w:pStyle w:val="Heading5"/>
      </w:pPr>
      <w:bookmarkStart w:id="397" w:name="_Toc472604960"/>
      <w:r>
        <w:rPr>
          <w:rStyle w:val="CharSectno"/>
        </w:rPr>
        <w:t>182ZT</w:t>
      </w:r>
      <w:r>
        <w:t>.</w:t>
      </w:r>
      <w:r>
        <w:tab/>
        <w:t>Application for arbitration</w:t>
      </w:r>
      <w:bookmarkEnd w:id="397"/>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by No. 31 of 2011 s. 6.]</w:t>
      </w:r>
    </w:p>
    <w:p>
      <w:pPr>
        <w:pStyle w:val="Heading5"/>
      </w:pPr>
      <w:bookmarkStart w:id="398" w:name="_Toc472604961"/>
      <w:r>
        <w:rPr>
          <w:rStyle w:val="CharSectno"/>
        </w:rPr>
        <w:t>182ZU</w:t>
      </w:r>
      <w:r>
        <w:t>.</w:t>
      </w:r>
      <w:r>
        <w:tab/>
        <w:t>Acceptance of application by Registrar</w:t>
      </w:r>
      <w:bookmarkEnd w:id="398"/>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by No. 31 of 2011 s. 6.]</w:t>
      </w:r>
    </w:p>
    <w:p>
      <w:pPr>
        <w:pStyle w:val="Heading5"/>
      </w:pPr>
      <w:bookmarkStart w:id="399" w:name="_Toc472604962"/>
      <w:r>
        <w:rPr>
          <w:rStyle w:val="CharSectno"/>
        </w:rPr>
        <w:t>182ZV</w:t>
      </w:r>
      <w:r>
        <w:t>.</w:t>
      </w:r>
      <w:r>
        <w:tab/>
        <w:t>Registrar to allocate dispute</w:t>
      </w:r>
      <w:bookmarkEnd w:id="399"/>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by No. 31 of 2011 s. 6.]</w:t>
      </w:r>
    </w:p>
    <w:p>
      <w:pPr>
        <w:pStyle w:val="Heading5"/>
      </w:pPr>
      <w:bookmarkStart w:id="400" w:name="_Toc472604963"/>
      <w:r>
        <w:rPr>
          <w:rStyle w:val="CharSectno"/>
        </w:rPr>
        <w:t>182</w:t>
      </w:r>
      <w:r>
        <w:t>.</w:t>
      </w:r>
      <w:r>
        <w:tab/>
        <w:t>Who is to be given a copy of an application</w:t>
      </w:r>
      <w:bookmarkEnd w:id="400"/>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by No. 42 of 2004 s. 130; amended by No. 31 of 2011 s. 43, 75 and 76.]</w:t>
      </w:r>
    </w:p>
    <w:p>
      <w:pPr>
        <w:pStyle w:val="Heading5"/>
      </w:pPr>
      <w:bookmarkStart w:id="401" w:name="_Toc472604964"/>
      <w:r>
        <w:rPr>
          <w:rStyle w:val="CharSectno"/>
        </w:rPr>
        <w:t>183</w:t>
      </w:r>
      <w:r>
        <w:t>.</w:t>
      </w:r>
      <w:r>
        <w:tab/>
        <w:t>Information exchange by parties</w:t>
      </w:r>
      <w:bookmarkEnd w:id="401"/>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 xml:space="preserve">refer the matter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by No. 42 of 2004 s. 130; amended by No. 31 of 2011 s. 44 and 76.]</w:t>
      </w:r>
    </w:p>
    <w:p>
      <w:pPr>
        <w:pStyle w:val="Ednotesection"/>
      </w:pPr>
      <w:r>
        <w:t>[</w:t>
      </w:r>
      <w:r>
        <w:rPr>
          <w:b/>
        </w:rPr>
        <w:t>184.</w:t>
      </w:r>
      <w:r>
        <w:tab/>
      </w:r>
      <w:smartTag w:uri="urn:schemas-microsoft-com:office:smarttags" w:element="State">
        <w:smartTag w:uri="urn:schemas-microsoft-com:office:smarttags" w:element="place">
          <w:r>
            <w:t>Del</w:t>
          </w:r>
        </w:smartTag>
      </w:smartTag>
      <w:r>
        <w:t>eted by No. 31 of 2011 s. 45.]</w:t>
      </w:r>
    </w:p>
    <w:p>
      <w:pPr>
        <w:pStyle w:val="Heading5"/>
      </w:pPr>
      <w:bookmarkStart w:id="402" w:name="_Toc472604965"/>
      <w:r>
        <w:rPr>
          <w:rStyle w:val="CharSectno"/>
        </w:rPr>
        <w:t>185</w:t>
      </w:r>
      <w:r>
        <w:t>.</w:t>
      </w:r>
      <w:r>
        <w:tab/>
        <w:t>Duties of arbitrators</w:t>
      </w:r>
      <w:bookmarkEnd w:id="402"/>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by No. 31 of 2011 s. 7.]</w:t>
      </w:r>
    </w:p>
    <w:p>
      <w:pPr>
        <w:pStyle w:val="Ednotesection"/>
        <w:tabs>
          <w:tab w:val="clear" w:pos="893"/>
          <w:tab w:val="left" w:pos="1254"/>
        </w:tabs>
      </w:pPr>
      <w:r>
        <w:t>[</w:t>
      </w:r>
      <w:r>
        <w:rPr>
          <w:b/>
        </w:rPr>
        <w:t>186, 187.</w:t>
      </w:r>
      <w:r>
        <w:tab/>
      </w:r>
      <w:smartTag w:uri="urn:schemas-microsoft-com:office:smarttags" w:element="State">
        <w:smartTag w:uri="urn:schemas-microsoft-com:office:smarttags" w:element="place">
          <w:r>
            <w:t>Del</w:t>
          </w:r>
        </w:smartTag>
      </w:smartTag>
      <w:r>
        <w:t>eted by No. 31 of 2011 s. 46.]</w:t>
      </w:r>
    </w:p>
    <w:p>
      <w:pPr>
        <w:pStyle w:val="Heading4"/>
      </w:pPr>
      <w:bookmarkStart w:id="403" w:name="_Toc472604966"/>
      <w:r>
        <w:t>Subdivision 3 — Practice and procedure</w:t>
      </w:r>
      <w:bookmarkEnd w:id="403"/>
    </w:p>
    <w:p>
      <w:pPr>
        <w:pStyle w:val="Footnoteheading"/>
      </w:pPr>
      <w:r>
        <w:tab/>
        <w:t>[Heading inserted by No. 31 of 2011 s. 47.]</w:t>
      </w:r>
    </w:p>
    <w:p>
      <w:pPr>
        <w:pStyle w:val="Heading5"/>
      </w:pPr>
      <w:bookmarkStart w:id="404" w:name="_Toc472604967"/>
      <w:r>
        <w:rPr>
          <w:rStyle w:val="CharSectno"/>
        </w:rPr>
        <w:t>188</w:t>
      </w:r>
      <w:r>
        <w:t>.</w:t>
      </w:r>
      <w:r>
        <w:tab/>
        <w:t>Practice and procedure, generally</w:t>
      </w:r>
      <w:bookmarkEnd w:id="40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by No. 42 of 2004 s. 130; amended by No. 31 of 2011 s. 76.]</w:t>
      </w:r>
    </w:p>
    <w:p>
      <w:pPr>
        <w:pStyle w:val="Ednotesection"/>
        <w:outlineLvl w:val="9"/>
      </w:pPr>
      <w:r>
        <w:t>[</w:t>
      </w:r>
      <w:r>
        <w:rPr>
          <w:b/>
        </w:rPr>
        <w:t>188A.</w:t>
      </w:r>
      <w:r>
        <w:tab/>
        <w:t>Deleted by No. 42 of 2004 s. 136.]</w:t>
      </w:r>
    </w:p>
    <w:p>
      <w:pPr>
        <w:pStyle w:val="Heading5"/>
      </w:pPr>
      <w:bookmarkStart w:id="405" w:name="_Toc472604968"/>
      <w:r>
        <w:rPr>
          <w:rStyle w:val="CharSectno"/>
        </w:rPr>
        <w:t>189</w:t>
      </w:r>
      <w:r>
        <w:t>.</w:t>
      </w:r>
      <w:r>
        <w:tab/>
        <w:t>Relief or redress granted need not be restricted to claim</w:t>
      </w:r>
      <w:bookmarkEnd w:id="405"/>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by No. 42 of 2004 s. 130; amended by No. 31 of 2011 s. 8.]</w:t>
      </w:r>
    </w:p>
    <w:p>
      <w:pPr>
        <w:pStyle w:val="Heading5"/>
      </w:pPr>
      <w:bookmarkStart w:id="406" w:name="_Toc472604969"/>
      <w:r>
        <w:rPr>
          <w:rStyle w:val="CharSectno"/>
        </w:rPr>
        <w:t>190</w:t>
      </w:r>
      <w:r>
        <w:t>.</w:t>
      </w:r>
      <w:r>
        <w:tab/>
        <w:t>Directions by arbitrator</w:t>
      </w:r>
      <w:bookmarkEnd w:id="406"/>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by No. 42 of 2004 s. 130.]</w:t>
      </w:r>
    </w:p>
    <w:p>
      <w:pPr>
        <w:pStyle w:val="Heading5"/>
      </w:pPr>
      <w:bookmarkStart w:id="407" w:name="_Toc472604970"/>
      <w:r>
        <w:rPr>
          <w:rStyle w:val="CharSectno"/>
        </w:rPr>
        <w:t>191</w:t>
      </w:r>
      <w:r>
        <w:t>.</w:t>
      </w:r>
      <w:r>
        <w:tab/>
        <w:t>Dependants of workers, proof as to</w:t>
      </w:r>
      <w:bookmarkEnd w:id="407"/>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by No. 42 of 2004 s. 130.]</w:t>
      </w:r>
    </w:p>
    <w:p>
      <w:pPr>
        <w:pStyle w:val="Heading5"/>
      </w:pPr>
      <w:bookmarkStart w:id="408" w:name="_Toc472604971"/>
      <w:r>
        <w:rPr>
          <w:rStyle w:val="CharSectno"/>
        </w:rPr>
        <w:t>192</w:t>
      </w:r>
      <w:r>
        <w:t>.</w:t>
      </w:r>
      <w:r>
        <w:tab/>
        <w:t>Illegal contracts of employment may be treated as valid</w:t>
      </w:r>
      <w:bookmarkEnd w:id="408"/>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by No. 42 of 2004 s. 130.]</w:t>
      </w:r>
    </w:p>
    <w:p>
      <w:pPr>
        <w:pStyle w:val="Heading5"/>
      </w:pPr>
      <w:bookmarkStart w:id="409" w:name="_Toc472604972"/>
      <w:r>
        <w:rPr>
          <w:rStyle w:val="CharSectno"/>
        </w:rPr>
        <w:t>193</w:t>
      </w:r>
      <w:r>
        <w:t>.</w:t>
      </w:r>
      <w:r>
        <w:tab/>
        <w:t>Arbitrator’s powers to obtain information</w:t>
      </w:r>
      <w:bookmarkEnd w:id="409"/>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by No. 42 of 2004 s. 130; amended by No. 31 of 2011 s. 48 and 76.]</w:t>
      </w:r>
    </w:p>
    <w:p>
      <w:pPr>
        <w:pStyle w:val="Heading5"/>
      </w:pPr>
      <w:bookmarkStart w:id="410" w:name="_Toc472604973"/>
      <w:r>
        <w:rPr>
          <w:rStyle w:val="CharSectno"/>
        </w:rPr>
        <w:t>194</w:t>
      </w:r>
      <w:r>
        <w:t>.</w:t>
      </w:r>
      <w:r>
        <w:tab/>
        <w:t>Arbitrator may give information etc. to and restrict disclosure by other party or medical practitioner</w:t>
      </w:r>
      <w:bookmarkEnd w:id="410"/>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by No. 42 of 2004 s. 130; amended by No. 31 of 2011 s. 49.]</w:t>
      </w:r>
    </w:p>
    <w:p>
      <w:pPr>
        <w:pStyle w:val="Heading5"/>
      </w:pPr>
      <w:bookmarkStart w:id="411" w:name="_Toc472604974"/>
      <w:r>
        <w:rPr>
          <w:rStyle w:val="CharSectno"/>
        </w:rPr>
        <w:t>195</w:t>
      </w:r>
      <w:r>
        <w:t>.</w:t>
      </w:r>
      <w:r>
        <w:tab/>
        <w:t>Representation</w:t>
      </w:r>
      <w:bookmarkEnd w:id="411"/>
    </w:p>
    <w:p>
      <w:pPr>
        <w:pStyle w:val="Subsection"/>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by No. 42 of 2004 s. 130; amended by No. 31 of 2011 s. 50 and 76.]</w:t>
      </w:r>
    </w:p>
    <w:p>
      <w:pPr>
        <w:pStyle w:val="Heading5"/>
      </w:pPr>
      <w:bookmarkStart w:id="412" w:name="_Toc472604975"/>
      <w:r>
        <w:rPr>
          <w:rStyle w:val="CharSectno"/>
        </w:rPr>
        <w:t>196</w:t>
      </w:r>
      <w:r>
        <w:t>.</w:t>
      </w:r>
      <w:r>
        <w:tab/>
        <w:t>Litigation guardians, rules about</w:t>
      </w:r>
      <w:bookmarkEnd w:id="412"/>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by No. 31 of 2011 s. 51.]</w:t>
      </w:r>
    </w:p>
    <w:p>
      <w:pPr>
        <w:pStyle w:val="Heading5"/>
      </w:pPr>
      <w:bookmarkStart w:id="413" w:name="_Toc472604976"/>
      <w:r>
        <w:rPr>
          <w:rStyle w:val="CharSectno"/>
        </w:rPr>
        <w:t>197</w:t>
      </w:r>
      <w:r>
        <w:t>.</w:t>
      </w:r>
      <w:r>
        <w:tab/>
        <w:t>Interpreters and assistants</w:t>
      </w:r>
      <w:bookmarkEnd w:id="413"/>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by No. 42 of 2004 s. 130.]</w:t>
      </w:r>
    </w:p>
    <w:p>
      <w:pPr>
        <w:pStyle w:val="Heading5"/>
      </w:pPr>
      <w:bookmarkStart w:id="414" w:name="_Toc472604977"/>
      <w:r>
        <w:rPr>
          <w:rStyle w:val="CharSectno"/>
        </w:rPr>
        <w:t>198</w:t>
      </w:r>
      <w:r>
        <w:t>.</w:t>
      </w:r>
      <w:r>
        <w:tab/>
        <w:t>Ways of conducting arbitration proceedings</w:t>
      </w:r>
      <w:bookmarkEnd w:id="414"/>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by No. 42 of 2004 s. 130; amended by No. 16 of 2005 s. 23; No. 31 of 2011 s. 52.]</w:t>
      </w:r>
    </w:p>
    <w:p>
      <w:pPr>
        <w:pStyle w:val="Heading5"/>
      </w:pPr>
      <w:bookmarkStart w:id="415" w:name="_Toc472604978"/>
      <w:r>
        <w:rPr>
          <w:rStyle w:val="CharSectno"/>
        </w:rPr>
        <w:t>199</w:t>
      </w:r>
      <w:r>
        <w:t>.</w:t>
      </w:r>
      <w:r>
        <w:tab/>
        <w:t>Hearings to be in private</w:t>
      </w:r>
      <w:bookmarkEnd w:id="415"/>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by No. 42 of 2004 s. 130; amended by No. 31 of 2011 s. 53 and 76.]</w:t>
      </w:r>
    </w:p>
    <w:p>
      <w:pPr>
        <w:pStyle w:val="Heading5"/>
      </w:pPr>
      <w:bookmarkStart w:id="416" w:name="_Toc472604979"/>
      <w:r>
        <w:rPr>
          <w:rStyle w:val="CharSectno"/>
        </w:rPr>
        <w:t>200</w:t>
      </w:r>
      <w:r>
        <w:t>.</w:t>
      </w:r>
      <w:r>
        <w:tab/>
        <w:t>Hearings, notice of and failure to attend</w:t>
      </w:r>
      <w:bookmarkEnd w:id="416"/>
    </w:p>
    <w:p>
      <w:pPr>
        <w:pStyle w:val="Subsection"/>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by No. 42 of 2004 s. 130; amended by No. 31 of 2011 s. 76.]</w:t>
      </w:r>
    </w:p>
    <w:p>
      <w:pPr>
        <w:pStyle w:val="Heading5"/>
      </w:pPr>
      <w:bookmarkStart w:id="417" w:name="_Toc472604980"/>
      <w:r>
        <w:rPr>
          <w:rStyle w:val="CharSectno"/>
        </w:rPr>
        <w:t>201</w:t>
      </w:r>
      <w:r>
        <w:t>.</w:t>
      </w:r>
      <w:r>
        <w:tab/>
        <w:t>Experts, use of by arbitrators</w:t>
      </w:r>
      <w:bookmarkEnd w:id="417"/>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by No. 42 of 2004 s. 130.]</w:t>
      </w:r>
    </w:p>
    <w:p>
      <w:pPr>
        <w:pStyle w:val="Heading5"/>
      </w:pPr>
      <w:bookmarkStart w:id="418" w:name="_Toc472604981"/>
      <w:r>
        <w:rPr>
          <w:rStyle w:val="CharSectno"/>
        </w:rPr>
        <w:t>202</w:t>
      </w:r>
      <w:r>
        <w:t>.</w:t>
      </w:r>
      <w:r>
        <w:tab/>
        <w:t>Summoning witnesses</w:t>
      </w:r>
      <w:bookmarkEnd w:id="418"/>
    </w:p>
    <w:p>
      <w:pPr>
        <w:pStyle w:val="Subsection"/>
      </w:pPr>
      <w:r>
        <w:tab/>
      </w:r>
      <w:r>
        <w:tab/>
        <w:t>The Registrar or an arbitrator may issue a summons requiring the attendance of a person before an arbitrator.</w:t>
      </w:r>
    </w:p>
    <w:p>
      <w:pPr>
        <w:pStyle w:val="Footnotesection"/>
      </w:pPr>
      <w:r>
        <w:tab/>
        <w:t>[Section 202 inserted by No. 42 of 2004 s. 130; amended by No. 31 of 2011 s. 75.]</w:t>
      </w:r>
    </w:p>
    <w:p>
      <w:pPr>
        <w:pStyle w:val="Heading5"/>
      </w:pPr>
      <w:bookmarkStart w:id="419" w:name="_Toc472604982"/>
      <w:r>
        <w:rPr>
          <w:rStyle w:val="CharSectno"/>
        </w:rPr>
        <w:t>203</w:t>
      </w:r>
      <w:r>
        <w:t>.</w:t>
      </w:r>
      <w:r>
        <w:tab/>
        <w:t>Arbitrator’s powers as to witnesses</w:t>
      </w:r>
      <w:bookmarkEnd w:id="419"/>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by No. 42 of 2004 s. 130.]</w:t>
      </w:r>
    </w:p>
    <w:p>
      <w:pPr>
        <w:pStyle w:val="Heading5"/>
      </w:pPr>
      <w:bookmarkStart w:id="420" w:name="_Toc472604983"/>
      <w:r>
        <w:rPr>
          <w:rStyle w:val="CharSectno"/>
        </w:rPr>
        <w:t>204A</w:t>
      </w:r>
      <w:r>
        <w:t>.</w:t>
      </w:r>
      <w:r>
        <w:tab/>
        <w:t xml:space="preserve">Communication between worker and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employee not admissible</w:t>
      </w:r>
      <w:bookmarkEnd w:id="420"/>
    </w:p>
    <w:p>
      <w:pPr>
        <w:pStyle w:val="Subsection"/>
      </w:pPr>
      <w:r>
        <w:tab/>
      </w:r>
      <w:r>
        <w:tab/>
        <w:t xml:space="preserve">Evidence of any communication between — </w:t>
      </w:r>
    </w:p>
    <w:p>
      <w:pPr>
        <w:pStyle w:val="Indenta"/>
      </w:pPr>
      <w:r>
        <w:tab/>
        <w:t>(a)</w:t>
      </w:r>
      <w:r>
        <w:tab/>
        <w:t>a worker; and</w:t>
      </w:r>
    </w:p>
    <w:p>
      <w:pPr>
        <w:pStyle w:val="Indenta"/>
      </w:pPr>
      <w:r>
        <w:tab/>
        <w:t>(b)</w:t>
      </w:r>
      <w:r>
        <w:tab/>
        <w:t xml:space="preserve">a person employed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by No. 31 of 2011 s. 9.]</w:t>
      </w:r>
    </w:p>
    <w:p>
      <w:pPr>
        <w:pStyle w:val="Heading5"/>
      </w:pPr>
      <w:bookmarkStart w:id="421" w:name="_Toc472604984"/>
      <w:r>
        <w:rPr>
          <w:rStyle w:val="CharSectno"/>
        </w:rPr>
        <w:t>204</w:t>
      </w:r>
      <w:r>
        <w:t>.</w:t>
      </w:r>
      <w:r>
        <w:tab/>
        <w:t>Privilege against self</w:t>
      </w:r>
      <w:r>
        <w:noBreakHyphen/>
        <w:t>incrimination</w:t>
      </w:r>
      <w:bookmarkEnd w:id="421"/>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by No. 42 of 2004 s. 130; amended by No. 31 of 2011 s. 54.]</w:t>
      </w:r>
    </w:p>
    <w:p>
      <w:pPr>
        <w:pStyle w:val="Heading5"/>
      </w:pPr>
      <w:bookmarkStart w:id="422" w:name="_Toc472604985"/>
      <w:r>
        <w:rPr>
          <w:rStyle w:val="CharSectno"/>
        </w:rPr>
        <w:t>205</w:t>
      </w:r>
      <w:r>
        <w:t>.</w:t>
      </w:r>
      <w:r>
        <w:tab/>
        <w:t>Legal professional privilege in relation to medical reports</w:t>
      </w:r>
      <w:bookmarkEnd w:id="422"/>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spacing w:before="100"/>
        <w:ind w:left="890" w:hanging="890"/>
      </w:pPr>
      <w:r>
        <w:tab/>
        <w:t>[Section 205 inserted by No. 42 of 2004 s. 130; amended by No. 31 of 2011 s. 55.]</w:t>
      </w:r>
    </w:p>
    <w:p>
      <w:pPr>
        <w:pStyle w:val="Heading5"/>
      </w:pPr>
      <w:bookmarkStart w:id="423" w:name="_Toc472604986"/>
      <w:r>
        <w:rPr>
          <w:rStyle w:val="CharSectno"/>
        </w:rPr>
        <w:t>206</w:t>
      </w:r>
      <w:r>
        <w:t>.</w:t>
      </w:r>
      <w:r>
        <w:tab/>
        <w:t>Other claims of privilege</w:t>
      </w:r>
      <w:bookmarkEnd w:id="423"/>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by No. 42 of 2004 s. 130.]</w:t>
      </w:r>
    </w:p>
    <w:p>
      <w:pPr>
        <w:pStyle w:val="Heading5"/>
      </w:pPr>
      <w:bookmarkStart w:id="424" w:name="_Toc472604987"/>
      <w:r>
        <w:rPr>
          <w:rStyle w:val="CharSectno"/>
        </w:rPr>
        <w:t>207</w:t>
      </w:r>
      <w:r>
        <w:t>.</w:t>
      </w:r>
      <w:r>
        <w:tab/>
        <w:t>Oaths and affirmations</w:t>
      </w:r>
      <w:bookmarkEnd w:id="424"/>
    </w:p>
    <w:p>
      <w:pPr>
        <w:pStyle w:val="Subsection"/>
      </w:pPr>
      <w:r>
        <w:tab/>
      </w:r>
      <w:r>
        <w:tab/>
        <w:t>An arbitrator may administer an oath or take an affirmation for the purposes of this Act.</w:t>
      </w:r>
    </w:p>
    <w:p>
      <w:pPr>
        <w:pStyle w:val="Footnotesection"/>
        <w:spacing w:before="100"/>
        <w:ind w:left="890" w:hanging="890"/>
      </w:pPr>
      <w:r>
        <w:tab/>
        <w:t>[Section 207 inserted by No. 42 of 2004 s. 130.]</w:t>
      </w:r>
    </w:p>
    <w:p>
      <w:pPr>
        <w:pStyle w:val="Heading5"/>
      </w:pPr>
      <w:bookmarkStart w:id="425" w:name="_Toc472604988"/>
      <w:r>
        <w:rPr>
          <w:rStyle w:val="CharSectno"/>
        </w:rPr>
        <w:t>208</w:t>
      </w:r>
      <w:r>
        <w:t>.</w:t>
      </w:r>
      <w:r>
        <w:tab/>
        <w:t>Arbitrator may authorise another to take evidence</w:t>
      </w:r>
      <w:bookmarkEnd w:id="425"/>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 xml:space="preserve">The arbitrator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by No. 42 of 2004 s. 130.]</w:t>
      </w:r>
    </w:p>
    <w:p>
      <w:pPr>
        <w:pStyle w:val="Heading5"/>
      </w:pPr>
      <w:bookmarkStart w:id="426" w:name="_Toc472604989"/>
      <w:r>
        <w:rPr>
          <w:rStyle w:val="CharSectno"/>
        </w:rPr>
        <w:t>209</w:t>
      </w:r>
      <w:r>
        <w:t>.</w:t>
      </w:r>
      <w:r>
        <w:tab/>
        <w:t>Things produced, use of etc. by arbitrator</w:t>
      </w:r>
      <w:bookmarkEnd w:id="426"/>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by No. 42 of 2004 s. 130.]</w:t>
      </w:r>
    </w:p>
    <w:p>
      <w:pPr>
        <w:pStyle w:val="Heading5"/>
      </w:pPr>
      <w:bookmarkStart w:id="427" w:name="_Toc472604990"/>
      <w:r>
        <w:rPr>
          <w:rStyle w:val="CharSectno"/>
        </w:rPr>
        <w:t>210</w:t>
      </w:r>
      <w:r>
        <w:t>.</w:t>
      </w:r>
      <w:r>
        <w:tab/>
        <w:t>Medical dispute may be referred to medical assessment panel</w:t>
      </w:r>
      <w:bookmarkEnd w:id="427"/>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by No. 42 of 2004 s. 130.]</w:t>
      </w:r>
    </w:p>
    <w:p>
      <w:pPr>
        <w:pStyle w:val="Heading4"/>
      </w:pPr>
      <w:bookmarkStart w:id="428" w:name="_Toc472604991"/>
      <w:r>
        <w:t>Subdivision 4 — Decisions</w:t>
      </w:r>
      <w:bookmarkEnd w:id="428"/>
    </w:p>
    <w:p>
      <w:pPr>
        <w:pStyle w:val="Footnoteheading"/>
      </w:pPr>
      <w:r>
        <w:tab/>
        <w:t>[Heading inserted by No. 31 of 2011 s. 56.]</w:t>
      </w:r>
    </w:p>
    <w:p>
      <w:pPr>
        <w:pStyle w:val="Footnoteheading"/>
      </w:pPr>
      <w:r>
        <w:tab/>
        <w:t>[Heading deleted by No. 31 of 2011 s. 57.]</w:t>
      </w:r>
    </w:p>
    <w:p>
      <w:pPr>
        <w:pStyle w:val="Heading5"/>
      </w:pPr>
      <w:bookmarkStart w:id="429" w:name="_Toc472604992"/>
      <w:r>
        <w:rPr>
          <w:rStyle w:val="CharSectno"/>
        </w:rPr>
        <w:t>211</w:t>
      </w:r>
      <w:r>
        <w:t>.</w:t>
      </w:r>
      <w:r>
        <w:tab/>
        <w:t>Decisions generally</w:t>
      </w:r>
      <w:bookmarkEnd w:id="429"/>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by No. 42 of 2004 s. 130; amended by No. 31 of 2011 s. 10.]</w:t>
      </w:r>
    </w:p>
    <w:p>
      <w:pPr>
        <w:pStyle w:val="Heading5"/>
      </w:pPr>
      <w:bookmarkStart w:id="430" w:name="_Toc472604993"/>
      <w:r>
        <w:rPr>
          <w:rStyle w:val="CharSectno"/>
        </w:rPr>
        <w:t>212</w:t>
      </w:r>
      <w:r>
        <w:t>.</w:t>
      </w:r>
      <w:r>
        <w:tab/>
        <w:t>Conditional and ancillary orders and directions</w:t>
      </w:r>
      <w:bookmarkEnd w:id="430"/>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by No. 42 of 2004 s. 130.]</w:t>
      </w:r>
    </w:p>
    <w:p>
      <w:pPr>
        <w:pStyle w:val="Heading5"/>
      </w:pPr>
      <w:bookmarkStart w:id="431" w:name="_Toc472604994"/>
      <w:r>
        <w:rPr>
          <w:rStyle w:val="CharSectno"/>
        </w:rPr>
        <w:t>213</w:t>
      </w:r>
      <w:r>
        <w:t>.</w:t>
      </w:r>
      <w:r>
        <w:tab/>
        <w:t>Decisions and reasons, form and content of</w:t>
      </w:r>
      <w:bookmarkEnd w:id="431"/>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by No. 42 of 2004 s. 130; amended by No. 31 of 2011 s. 76.]</w:t>
      </w:r>
    </w:p>
    <w:p>
      <w:pPr>
        <w:pStyle w:val="Heading5"/>
      </w:pPr>
      <w:bookmarkStart w:id="432" w:name="_Toc472604995"/>
      <w:r>
        <w:rPr>
          <w:rStyle w:val="CharSectno"/>
        </w:rPr>
        <w:t>214</w:t>
      </w:r>
      <w:r>
        <w:t>.</w:t>
      </w:r>
      <w:r>
        <w:tab/>
        <w:t>Validity of decision not affected by contravention of this Subdivision</w:t>
      </w:r>
      <w:bookmarkEnd w:id="432"/>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by No. 42 of 2004 s. 130.]</w:t>
      </w:r>
    </w:p>
    <w:p>
      <w:pPr>
        <w:pStyle w:val="Heading5"/>
      </w:pPr>
      <w:bookmarkStart w:id="433" w:name="_Toc472604996"/>
      <w:r>
        <w:rPr>
          <w:rStyle w:val="CharSectno"/>
        </w:rPr>
        <w:t>215</w:t>
      </w:r>
      <w:r>
        <w:t>.</w:t>
      </w:r>
      <w:r>
        <w:tab/>
        <w:t>When decision has effect</w:t>
      </w:r>
      <w:bookmarkEnd w:id="433"/>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by No. 42 of 2004 s. 130.]</w:t>
      </w:r>
    </w:p>
    <w:p>
      <w:pPr>
        <w:pStyle w:val="Heading5"/>
      </w:pPr>
      <w:bookmarkStart w:id="434" w:name="_Toc472604997"/>
      <w:r>
        <w:rPr>
          <w:rStyle w:val="CharSectno"/>
        </w:rPr>
        <w:t>216</w:t>
      </w:r>
      <w:r>
        <w:t>.</w:t>
      </w:r>
      <w:r>
        <w:tab/>
        <w:t>Correcting mistakes</w:t>
      </w:r>
      <w:bookmarkEnd w:id="434"/>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by No. 42 of 2004 s. 130.]</w:t>
      </w:r>
    </w:p>
    <w:p>
      <w:pPr>
        <w:pStyle w:val="Heading5"/>
      </w:pPr>
      <w:bookmarkStart w:id="435" w:name="_Toc472604998"/>
      <w:r>
        <w:rPr>
          <w:rStyle w:val="CharSectno"/>
        </w:rPr>
        <w:t>217A</w:t>
      </w:r>
      <w:r>
        <w:t>.</w:t>
      </w:r>
      <w:r>
        <w:tab/>
        <w:t>Arbitrator may reconsider decision if new information</w:t>
      </w:r>
      <w:bookmarkEnd w:id="435"/>
    </w:p>
    <w:p>
      <w:pPr>
        <w:pStyle w:val="Subsection"/>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by No. 31 of 2011 s. 11.]</w:t>
      </w:r>
    </w:p>
    <w:p>
      <w:pPr>
        <w:pStyle w:val="Heading5"/>
      </w:pPr>
      <w:bookmarkStart w:id="436" w:name="_Toc472604999"/>
      <w:r>
        <w:rPr>
          <w:rStyle w:val="CharSectno"/>
        </w:rPr>
        <w:t>217B</w:t>
      </w:r>
      <w:r>
        <w:t>.</w:t>
      </w:r>
      <w:r>
        <w:tab/>
        <w:t>Arbitration decisions not reviewable</w:t>
      </w:r>
      <w:bookmarkEnd w:id="436"/>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by No. 31 of 2011 s. 11.]</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58.]</w:t>
      </w:r>
    </w:p>
    <w:p>
      <w:pPr>
        <w:pStyle w:val="Heading5"/>
      </w:pPr>
      <w:bookmarkStart w:id="437" w:name="_Toc472605000"/>
      <w:r>
        <w:rPr>
          <w:rStyle w:val="CharSectno"/>
        </w:rPr>
        <w:t>217</w:t>
      </w:r>
      <w:r>
        <w:t>.</w:t>
      </w:r>
      <w:r>
        <w:tab/>
        <w:t>Order as to total liability of employer</w:t>
      </w:r>
      <w:bookmarkEnd w:id="437"/>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by No. 42 of 2004 s. 130.]</w:t>
      </w:r>
    </w:p>
    <w:p>
      <w:pPr>
        <w:pStyle w:val="Heading5"/>
      </w:pPr>
      <w:bookmarkStart w:id="438" w:name="_Toc472605001"/>
      <w:r>
        <w:rPr>
          <w:rStyle w:val="CharSectno"/>
        </w:rPr>
        <w:t>218</w:t>
      </w:r>
      <w:r>
        <w:t>.</w:t>
      </w:r>
      <w:r>
        <w:tab/>
        <w:t>Person under legal disability and dependants of dead workers, payment to etc.</w:t>
      </w:r>
      <w:bookmarkEnd w:id="438"/>
    </w:p>
    <w:p>
      <w:pPr>
        <w:pStyle w:val="Subsection"/>
        <w:spacing w:before="100"/>
      </w:pPr>
      <w:r>
        <w:tab/>
        <w:t>(1)</w:t>
      </w:r>
      <w:r>
        <w:tab/>
        <w:t>A question as to the payment of compensation that is payable to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spacing w:before="100"/>
      </w:pPr>
      <w:r>
        <w:tab/>
      </w:r>
      <w:r>
        <w:tab/>
        <w:t>may be determined on application under this Division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An arbitrator may order that all or any of the compensation that is payable to a dependant or dependants of a deceased worker —</w:t>
      </w:r>
    </w:p>
    <w:p>
      <w:pPr>
        <w:pStyle w:val="Indenta"/>
        <w:spacing w:before="60"/>
      </w:pPr>
      <w:r>
        <w:tab/>
        <w:t>(a)</w:t>
      </w:r>
      <w:r>
        <w:tab/>
        <w:t xml:space="preserve">is to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applied in the manner specified in the order; or</w:t>
      </w:r>
    </w:p>
    <w:p>
      <w:pPr>
        <w:pStyle w:val="Indenta"/>
        <w:spacing w:before="60"/>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question as to —</w:t>
      </w:r>
    </w:p>
    <w:p>
      <w:pPr>
        <w:pStyle w:val="Indenta"/>
        <w:spacing w:before="60"/>
      </w:pPr>
      <w:r>
        <w:tab/>
        <w:t>(a)</w:t>
      </w:r>
      <w:r>
        <w:tab/>
        <w:t>whether the compensation should be applied differently; or</w:t>
      </w:r>
    </w:p>
    <w:p>
      <w:pPr>
        <w:pStyle w:val="Indenta"/>
        <w:spacing w:before="60"/>
      </w:pPr>
      <w:r>
        <w:tab/>
        <w:t>(b)</w:t>
      </w:r>
      <w:r>
        <w:tab/>
        <w:t>if the order was under subsection (3)(a), whether all or any of the compensation should be paid to a dependant or dependants of the deceased worker,</w:t>
      </w:r>
    </w:p>
    <w:p>
      <w:pPr>
        <w:pStyle w:val="Subsection"/>
        <w:spacing w:before="120"/>
      </w:pPr>
      <w:r>
        <w:tab/>
      </w:r>
      <w:r>
        <w:tab/>
        <w:t>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by No. 42 of 2004 s. 130; amended by No. 31 of 2011 s. 59.]</w:t>
      </w:r>
    </w:p>
    <w:p>
      <w:pPr>
        <w:pStyle w:val="Footnoteheading"/>
      </w:pPr>
      <w:r>
        <w:tab/>
        <w:t xml:space="preserve">[Heading </w:t>
      </w:r>
      <w:smartTag w:uri="urn:schemas-microsoft-com:office:smarttags" w:element="State">
        <w:smartTag w:uri="urn:schemas-microsoft-com:office:smarttags" w:element="place">
          <w:r>
            <w:t>del</w:t>
          </w:r>
        </w:smartTag>
      </w:smartTag>
      <w:r>
        <w:t>eted by No. 31 of 2011 s. 60.]</w:t>
      </w:r>
    </w:p>
    <w:p>
      <w:pPr>
        <w:pStyle w:val="Heading5"/>
        <w:keepLines w:val="0"/>
      </w:pPr>
      <w:bookmarkStart w:id="439" w:name="_Toc472605002"/>
      <w:r>
        <w:rPr>
          <w:rStyle w:val="CharSectno"/>
        </w:rPr>
        <w:t>219</w:t>
      </w:r>
      <w:r>
        <w:t>.</w:t>
      </w:r>
      <w:r>
        <w:tab/>
        <w:t>Enforcing decisions</w:t>
      </w:r>
      <w:bookmarkEnd w:id="439"/>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by No. 42 of 2004 s. 130; amended by No. 16 of 2005 s. 24; No. 31 of 2011 s. 75.]</w:t>
      </w:r>
    </w:p>
    <w:p>
      <w:pPr>
        <w:pStyle w:val="Heading4"/>
      </w:pPr>
      <w:bookmarkStart w:id="440" w:name="_Toc472605003"/>
      <w:r>
        <w:t>Subdivision 5 — Miscellaneous</w:t>
      </w:r>
      <w:bookmarkEnd w:id="440"/>
    </w:p>
    <w:p>
      <w:pPr>
        <w:pStyle w:val="Footnoteheading"/>
      </w:pPr>
      <w:r>
        <w:tab/>
        <w:t>[Heading inserted by No. 31 of 2011 s. 61.]</w:t>
      </w:r>
    </w:p>
    <w:p>
      <w:pPr>
        <w:pStyle w:val="Heading5"/>
      </w:pPr>
      <w:bookmarkStart w:id="441" w:name="_Toc472605004"/>
      <w:r>
        <w:rPr>
          <w:rStyle w:val="CharSectno"/>
        </w:rPr>
        <w:t>220</w:t>
      </w:r>
      <w:r>
        <w:t>.</w:t>
      </w:r>
      <w:r>
        <w:tab/>
        <w:t>Statements to arbitrators not admissible in common law proceedings</w:t>
      </w:r>
      <w:bookmarkEnd w:id="441"/>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by No. 42 of 2004 s. 130.]</w:t>
      </w:r>
    </w:p>
    <w:p>
      <w:pPr>
        <w:pStyle w:val="Heading5"/>
        <w:rPr>
          <w:snapToGrid w:val="0"/>
        </w:rPr>
      </w:pPr>
      <w:bookmarkStart w:id="442" w:name="_Toc472605005"/>
      <w:r>
        <w:rPr>
          <w:rStyle w:val="CharSectno"/>
        </w:rPr>
        <w:t>221</w:t>
      </w:r>
      <w:r>
        <w:rPr>
          <w:snapToGrid w:val="0"/>
        </w:rPr>
        <w:t>.</w:t>
      </w:r>
      <w:r>
        <w:rPr>
          <w:snapToGrid w:val="0"/>
        </w:rPr>
        <w:tab/>
        <w:t>To whom compensation is to be paid</w:t>
      </w:r>
      <w:bookmarkEnd w:id="442"/>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by No. 42 of 2004 s. 130.]</w:t>
      </w:r>
    </w:p>
    <w:p>
      <w:pPr>
        <w:pStyle w:val="Heading5"/>
      </w:pPr>
      <w:bookmarkStart w:id="443" w:name="_Toc472605006"/>
      <w:r>
        <w:rPr>
          <w:rStyle w:val="CharSectno"/>
        </w:rPr>
        <w:t>222</w:t>
      </w:r>
      <w:r>
        <w:t>.</w:t>
      </w:r>
      <w:r>
        <w:tab/>
        <w:t>Interest on sums to be paid</w:t>
      </w:r>
      <w:bookmarkEnd w:id="443"/>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by No. 42 of 2004 s. 130.]</w:t>
      </w:r>
    </w:p>
    <w:p>
      <w:pPr>
        <w:pStyle w:val="Heading5"/>
      </w:pPr>
      <w:bookmarkStart w:id="444" w:name="_Toc472605007"/>
      <w:r>
        <w:rPr>
          <w:rStyle w:val="CharSectno"/>
        </w:rPr>
        <w:t>223</w:t>
      </w:r>
      <w:r>
        <w:t>.</w:t>
      </w:r>
      <w:r>
        <w:tab/>
        <w:t>Interest on unpaid sums</w:t>
      </w:r>
      <w:bookmarkEnd w:id="444"/>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by No. 42 of 2004 s. 130.]</w:t>
      </w:r>
    </w:p>
    <w:p>
      <w:pPr>
        <w:pStyle w:val="Heading5"/>
      </w:pPr>
      <w:bookmarkStart w:id="445" w:name="_Toc472605008"/>
      <w:r>
        <w:rPr>
          <w:rStyle w:val="CharSectno"/>
        </w:rPr>
        <w:t>224</w:t>
      </w:r>
      <w:r>
        <w:t>.</w:t>
      </w:r>
      <w:r>
        <w:tab/>
        <w:t>Interest on unpaid amount of agreed sum</w:t>
      </w:r>
      <w:bookmarkEnd w:id="445"/>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by No. 42 of 2004 s. 130.]</w:t>
      </w:r>
    </w:p>
    <w:p>
      <w:pPr>
        <w:pStyle w:val="Heading5"/>
      </w:pPr>
      <w:bookmarkStart w:id="446" w:name="_Toc472605009"/>
      <w:r>
        <w:rPr>
          <w:rStyle w:val="CharSectno"/>
        </w:rPr>
        <w:t>225</w:t>
      </w:r>
      <w:r>
        <w:t>.</w:t>
      </w:r>
      <w:r>
        <w:tab/>
        <w:t>Regulations may exclude interest</w:t>
      </w:r>
      <w:bookmarkEnd w:id="446"/>
    </w:p>
    <w:p>
      <w:pPr>
        <w:pStyle w:val="Subsection"/>
      </w:pPr>
      <w:r>
        <w:tab/>
      </w:r>
      <w:r>
        <w:tab/>
        <w:t>Interest is not payable under section 222, 223 or 224 in the circumstances prescribed in the regulations.</w:t>
      </w:r>
    </w:p>
    <w:p>
      <w:pPr>
        <w:pStyle w:val="Footnotesection"/>
      </w:pPr>
      <w:r>
        <w:tab/>
        <w:t>[Section 225 inserted by No. 42 of 2004 s. 130.]</w:t>
      </w:r>
    </w:p>
    <w:p>
      <w:pPr>
        <w:pStyle w:val="Ednotepart"/>
      </w:pPr>
      <w:r>
        <w:t xml:space="preserve">[Part XII (s. 226-244) </w:t>
      </w:r>
      <w:smartTag w:uri="urn:schemas-microsoft-com:office:smarttags" w:element="State">
        <w:smartTag w:uri="urn:schemas-microsoft-com:office:smarttags" w:element="place">
          <w:r>
            <w:t>del</w:t>
          </w:r>
        </w:smartTag>
      </w:smartTag>
      <w:r>
        <w:t>eted by No. 31 of 2011 s. 12.]</w:t>
      </w:r>
    </w:p>
    <w:p>
      <w:pPr>
        <w:pStyle w:val="Heading2"/>
      </w:pPr>
      <w:bookmarkStart w:id="447" w:name="_Toc472605010"/>
      <w:r>
        <w:rPr>
          <w:rStyle w:val="CharPartNo"/>
        </w:rPr>
        <w:t>Part XIII</w:t>
      </w:r>
      <w:r>
        <w:rPr>
          <w:rStyle w:val="CharDivNo"/>
        </w:rPr>
        <w:t> </w:t>
      </w:r>
      <w:r>
        <w:t>—</w:t>
      </w:r>
      <w:r>
        <w:rPr>
          <w:rStyle w:val="CharDivText"/>
        </w:rPr>
        <w:t> </w:t>
      </w:r>
      <w:r>
        <w:rPr>
          <w:rStyle w:val="CharPartText"/>
        </w:rPr>
        <w:t>Appeals to District Court</w:t>
      </w:r>
      <w:bookmarkEnd w:id="447"/>
    </w:p>
    <w:p>
      <w:pPr>
        <w:pStyle w:val="Footnoteheading"/>
      </w:pPr>
      <w:r>
        <w:tab/>
        <w:t>[Heading inserted by No. 42 of 2004 s. 130; amended by No. 31 of 2011 s. 13.]</w:t>
      </w:r>
    </w:p>
    <w:p>
      <w:pPr>
        <w:pStyle w:val="Ednotesection"/>
      </w:pPr>
      <w:r>
        <w:t>[</w:t>
      </w:r>
      <w:r>
        <w:rPr>
          <w:b/>
        </w:rPr>
        <w:t>245, 246.</w:t>
      </w:r>
      <w:r>
        <w:tab/>
      </w:r>
      <w:smartTag w:uri="urn:schemas-microsoft-com:office:smarttags" w:element="State">
        <w:smartTag w:uri="urn:schemas-microsoft-com:office:smarttags" w:element="place">
          <w:r>
            <w:t>Del</w:t>
          </w:r>
        </w:smartTag>
      </w:smartTag>
      <w:r>
        <w:t>eted by No. 31 of 2011 s. 14.]</w:t>
      </w:r>
    </w:p>
    <w:p>
      <w:pPr>
        <w:pStyle w:val="Heading5"/>
      </w:pPr>
      <w:bookmarkStart w:id="448" w:name="_Toc472605011"/>
      <w:r>
        <w:rPr>
          <w:rStyle w:val="CharSectno"/>
        </w:rPr>
        <w:t>247</w:t>
      </w:r>
      <w:r>
        <w:t>.</w:t>
      </w:r>
      <w:r>
        <w:tab/>
        <w:t>Appeal against arbitrator’s decision made under Part XI</w:t>
      </w:r>
      <w:bookmarkEnd w:id="44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by No. 42 of 2004 s. 130; amended by No. 16 of 2005 s. 27; No. 31 of 2011 s. 15.]</w:t>
      </w:r>
    </w:p>
    <w:p>
      <w:pPr>
        <w:pStyle w:val="Ednotesection"/>
        <w:tabs>
          <w:tab w:val="clear" w:pos="893"/>
          <w:tab w:val="left" w:pos="1197"/>
        </w:tabs>
      </w:pPr>
      <w:r>
        <w:t>[</w:t>
      </w:r>
      <w:r>
        <w:rPr>
          <w:b/>
        </w:rPr>
        <w:t>248, 249.</w:t>
      </w:r>
      <w:r>
        <w:tab/>
      </w:r>
      <w:smartTag w:uri="urn:schemas-microsoft-com:office:smarttags" w:element="State">
        <w:smartTag w:uri="urn:schemas-microsoft-com:office:smarttags" w:element="place">
          <w:r>
            <w:t>Del</w:t>
          </w:r>
        </w:smartTag>
      </w:smartTag>
      <w:r>
        <w:t>eted by No. 31 of 2011 s. 16.]</w:t>
      </w:r>
    </w:p>
    <w:p>
      <w:pPr>
        <w:pStyle w:val="Heading5"/>
      </w:pPr>
      <w:bookmarkStart w:id="449" w:name="_Toc472605012"/>
      <w:r>
        <w:rPr>
          <w:rStyle w:val="CharSectno"/>
        </w:rPr>
        <w:t>250</w:t>
      </w:r>
      <w:r>
        <w:t>.</w:t>
      </w:r>
      <w:r>
        <w:tab/>
        <w:t>Effect of appeal on decision under appeal</w:t>
      </w:r>
      <w:bookmarkEnd w:id="44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by No. 42 of 2004 s. 130; amended by No. 31 of 2011 s. 17.]</w:t>
      </w:r>
    </w:p>
    <w:p>
      <w:pPr>
        <w:pStyle w:val="Ednotesection"/>
        <w:tabs>
          <w:tab w:val="clear" w:pos="893"/>
          <w:tab w:val="left" w:pos="1197"/>
        </w:tabs>
      </w:pPr>
      <w:r>
        <w:t>[</w:t>
      </w:r>
      <w:r>
        <w:rPr>
          <w:b/>
        </w:rPr>
        <w:t>251</w:t>
      </w:r>
      <w:r>
        <w:rPr>
          <w:b/>
        </w:rPr>
        <w:noBreakHyphen/>
        <w:t>253.</w:t>
      </w:r>
      <w:r>
        <w:tab/>
      </w:r>
      <w:smartTag w:uri="urn:schemas-microsoft-com:office:smarttags" w:element="State">
        <w:smartTag w:uri="urn:schemas-microsoft-com:office:smarttags" w:element="place">
          <w:r>
            <w:t>Del</w:t>
          </w:r>
        </w:smartTag>
      </w:smartTag>
      <w:r>
        <w:t>eted by No. 31 of 2011 s. 18.]</w:t>
      </w:r>
    </w:p>
    <w:p>
      <w:pPr>
        <w:pStyle w:val="Heading5"/>
      </w:pPr>
      <w:bookmarkStart w:id="450" w:name="_Toc472605013"/>
      <w:r>
        <w:rPr>
          <w:rStyle w:val="CharSectno"/>
        </w:rPr>
        <w:t>254</w:t>
      </w:r>
      <w:r>
        <w:t>.</w:t>
      </w:r>
      <w:r>
        <w:tab/>
        <w:t>Appeal from District Court to Court of Appeal</w:t>
      </w:r>
      <w:bookmarkEnd w:id="45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by No. 31 of 2011 s. 19.]</w:t>
      </w:r>
    </w:p>
    <w:p>
      <w:pPr>
        <w:pStyle w:val="Heading2"/>
      </w:pPr>
      <w:bookmarkStart w:id="451" w:name="_Toc472605014"/>
      <w:r>
        <w:rPr>
          <w:rStyle w:val="CharPartNo"/>
        </w:rPr>
        <w:t>Part XIV</w:t>
      </w:r>
      <w:r>
        <w:rPr>
          <w:b w:val="0"/>
        </w:rPr>
        <w:t> </w:t>
      </w:r>
      <w:r>
        <w:t>—</w:t>
      </w:r>
      <w:r>
        <w:rPr>
          <w:b w:val="0"/>
        </w:rPr>
        <w:t> </w:t>
      </w:r>
      <w:r>
        <w:rPr>
          <w:rStyle w:val="CharPartText"/>
        </w:rPr>
        <w:t>Offences</w:t>
      </w:r>
      <w:bookmarkEnd w:id="451"/>
    </w:p>
    <w:p>
      <w:pPr>
        <w:pStyle w:val="Footnoteheading"/>
        <w:spacing w:before="100"/>
      </w:pPr>
      <w:r>
        <w:tab/>
        <w:t>[Heading inserted by No. 42 of 2004 s. 130.]</w:t>
      </w:r>
    </w:p>
    <w:p>
      <w:pPr>
        <w:pStyle w:val="Heading5"/>
        <w:spacing w:before="120"/>
      </w:pPr>
      <w:bookmarkStart w:id="452" w:name="_Toc472605015"/>
      <w:r>
        <w:rPr>
          <w:rStyle w:val="CharSectno"/>
        </w:rPr>
        <w:t>255</w:t>
      </w:r>
      <w:r>
        <w:t>.</w:t>
      </w:r>
      <w:r>
        <w:tab/>
        <w:t>Failing to comply with decision of dispute resolution authority</w:t>
      </w:r>
      <w:bookmarkEnd w:id="452"/>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by No. 42 of 2004 s. 130; amended by No. 31 of 2011 s. 62.]</w:t>
      </w:r>
    </w:p>
    <w:p>
      <w:pPr>
        <w:pStyle w:val="Heading5"/>
      </w:pPr>
      <w:bookmarkStart w:id="453" w:name="_Toc472605016"/>
      <w:r>
        <w:rPr>
          <w:rStyle w:val="CharSectno"/>
        </w:rPr>
        <w:t>256</w:t>
      </w:r>
      <w:r>
        <w:t>.</w:t>
      </w:r>
      <w:r>
        <w:tab/>
        <w:t>Failing to comply with summons or requirement to attend</w:t>
      </w:r>
      <w:bookmarkEnd w:id="453"/>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by No. 31 of 2011 s. 63.]</w:t>
      </w:r>
    </w:p>
    <w:p>
      <w:pPr>
        <w:pStyle w:val="Heading5"/>
      </w:pPr>
      <w:bookmarkStart w:id="454" w:name="_Toc472605017"/>
      <w:r>
        <w:rPr>
          <w:rStyle w:val="CharSectno"/>
        </w:rPr>
        <w:t>257</w:t>
      </w:r>
      <w:r>
        <w:t>.</w:t>
      </w:r>
      <w:r>
        <w:tab/>
        <w:t>Failing to give evidence as required</w:t>
      </w:r>
      <w:bookmarkEnd w:id="454"/>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by No. 42 of 2004 s. 130; amended by No. 31 of 2011 s. 64.]</w:t>
      </w:r>
    </w:p>
    <w:p>
      <w:pPr>
        <w:pStyle w:val="Heading5"/>
      </w:pPr>
      <w:bookmarkStart w:id="455" w:name="_Toc472605018"/>
      <w:r>
        <w:rPr>
          <w:rStyle w:val="CharSectno"/>
        </w:rPr>
        <w:t>258</w:t>
      </w:r>
      <w:r>
        <w:t>.</w:t>
      </w:r>
      <w:r>
        <w:tab/>
        <w:t>Giving false or misleading information</w:t>
      </w:r>
      <w:bookmarkEnd w:id="455"/>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by No. 42 of 2004 s. 130.]</w:t>
      </w:r>
    </w:p>
    <w:p>
      <w:pPr>
        <w:pStyle w:val="Heading5"/>
      </w:pPr>
      <w:bookmarkStart w:id="456" w:name="_Toc472605019"/>
      <w:r>
        <w:rPr>
          <w:rStyle w:val="CharSectno"/>
        </w:rPr>
        <w:t>259</w:t>
      </w:r>
      <w:r>
        <w:t>.</w:t>
      </w:r>
      <w:r>
        <w:tab/>
        <w:t>Misbehaviour and other conduct</w:t>
      </w:r>
      <w:bookmarkEnd w:id="456"/>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by No. 42 of 2004 s. 130; amended by No. 31 of 2011 s. 65.]</w:t>
      </w:r>
    </w:p>
    <w:p>
      <w:pPr>
        <w:pStyle w:val="Ednotesection"/>
      </w:pPr>
      <w:r>
        <w:t>[</w:t>
      </w:r>
      <w:r>
        <w:rPr>
          <w:b/>
        </w:rPr>
        <w:t>260.</w:t>
      </w:r>
      <w:r>
        <w:tab/>
      </w:r>
      <w:smartTag w:uri="urn:schemas-microsoft-com:office:smarttags" w:element="State">
        <w:smartTag w:uri="urn:schemas-microsoft-com:office:smarttags" w:element="place">
          <w:r>
            <w:t>Del</w:t>
          </w:r>
        </w:smartTag>
      </w:smartTag>
      <w:r>
        <w:t>eted by No. 31 of 2011 s. 66.]</w:t>
      </w:r>
    </w:p>
    <w:p>
      <w:pPr>
        <w:pStyle w:val="Heading2"/>
      </w:pPr>
      <w:bookmarkStart w:id="457" w:name="_Toc472605020"/>
      <w:r>
        <w:rPr>
          <w:rStyle w:val="CharPartNo"/>
        </w:rPr>
        <w:t>Part XV</w:t>
      </w:r>
      <w:r>
        <w:rPr>
          <w:b w:val="0"/>
        </w:rPr>
        <w:t> </w:t>
      </w:r>
      <w:r>
        <w:t>—</w:t>
      </w:r>
      <w:r>
        <w:rPr>
          <w:b w:val="0"/>
        </w:rPr>
        <w:t> </w:t>
      </w:r>
      <w:r>
        <w:rPr>
          <w:rStyle w:val="CharPartText"/>
        </w:rPr>
        <w:t>Costs</w:t>
      </w:r>
      <w:bookmarkEnd w:id="457"/>
    </w:p>
    <w:p>
      <w:pPr>
        <w:pStyle w:val="Footnoteheading"/>
      </w:pPr>
      <w:r>
        <w:tab/>
        <w:t>[Heading inserted by No. 42 of 2004 s. 130.]</w:t>
      </w:r>
    </w:p>
    <w:p>
      <w:pPr>
        <w:pStyle w:val="Heading3"/>
      </w:pPr>
      <w:bookmarkStart w:id="458" w:name="_Toc472605021"/>
      <w:r>
        <w:rPr>
          <w:rStyle w:val="CharDivNo"/>
        </w:rPr>
        <w:t>Division 1</w:t>
      </w:r>
      <w:r>
        <w:t> — </w:t>
      </w:r>
      <w:r>
        <w:rPr>
          <w:rStyle w:val="CharDivText"/>
        </w:rPr>
        <w:t>General</w:t>
      </w:r>
      <w:bookmarkEnd w:id="458"/>
    </w:p>
    <w:p>
      <w:pPr>
        <w:pStyle w:val="Footnoteheading"/>
      </w:pPr>
      <w:r>
        <w:tab/>
        <w:t>[Heading inserted by No. 42 of 2004 s. 130.]</w:t>
      </w:r>
    </w:p>
    <w:p>
      <w:pPr>
        <w:pStyle w:val="Heading5"/>
      </w:pPr>
      <w:bookmarkStart w:id="459" w:name="_Toc472605022"/>
      <w:r>
        <w:rPr>
          <w:rStyle w:val="CharSectno"/>
        </w:rPr>
        <w:t>261</w:t>
      </w:r>
      <w:r>
        <w:t>.</w:t>
      </w:r>
      <w:r>
        <w:tab/>
        <w:t>Terms used</w:t>
      </w:r>
      <w:bookmarkEnd w:id="459"/>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by No. 42 of 2004 s. 130.]</w:t>
      </w:r>
    </w:p>
    <w:p>
      <w:pPr>
        <w:pStyle w:val="Heading5"/>
      </w:pPr>
      <w:bookmarkStart w:id="460" w:name="_Toc472605023"/>
      <w:r>
        <w:rPr>
          <w:rStyle w:val="CharSectno"/>
        </w:rPr>
        <w:t>262</w:t>
      </w:r>
      <w:r>
        <w:t>.</w:t>
      </w:r>
      <w:r>
        <w:tab/>
        <w:t>Costs to which this Part applies</w:t>
      </w:r>
      <w:bookmarkEnd w:id="460"/>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by No. 42 of 2004 s. 130.]</w:t>
      </w:r>
    </w:p>
    <w:p>
      <w:pPr>
        <w:pStyle w:val="Heading5"/>
      </w:pPr>
      <w:bookmarkStart w:id="461" w:name="_Toc472605024"/>
      <w:r>
        <w:rPr>
          <w:rStyle w:val="CharSectno"/>
        </w:rPr>
        <w:t>263</w:t>
      </w:r>
      <w:r>
        <w:t>.</w:t>
      </w:r>
      <w:r>
        <w:tab/>
        <w:t xml:space="preserve">This Part prevails over </w:t>
      </w:r>
      <w:r>
        <w:rPr>
          <w:i/>
        </w:rPr>
        <w:t>Legal Profession Act 2008</w:t>
      </w:r>
      <w:bookmarkEnd w:id="461"/>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by No. 42 of 2004 s. 130; amended by No. 21 of 2008 s. 713(3).]</w:t>
      </w:r>
    </w:p>
    <w:p>
      <w:pPr>
        <w:pStyle w:val="Heading3"/>
      </w:pPr>
      <w:bookmarkStart w:id="462" w:name="_Toc472605025"/>
      <w:r>
        <w:rPr>
          <w:rStyle w:val="CharDivNo"/>
        </w:rPr>
        <w:t>Division 2</w:t>
      </w:r>
      <w:r>
        <w:t> — </w:t>
      </w:r>
      <w:r>
        <w:rPr>
          <w:rStyle w:val="CharDivText"/>
        </w:rPr>
        <w:t>Costs of parties in proceedings and costs of proceedings</w:t>
      </w:r>
      <w:bookmarkEnd w:id="462"/>
    </w:p>
    <w:p>
      <w:pPr>
        <w:pStyle w:val="Footnoteheading"/>
      </w:pPr>
      <w:r>
        <w:tab/>
        <w:t>[Heading inserted by No. 42 of 2004 s. 130.]</w:t>
      </w:r>
    </w:p>
    <w:p>
      <w:pPr>
        <w:pStyle w:val="Heading5"/>
      </w:pPr>
      <w:bookmarkStart w:id="463" w:name="_Toc472605026"/>
      <w:r>
        <w:rPr>
          <w:rStyle w:val="CharSectno"/>
        </w:rPr>
        <w:t>264</w:t>
      </w:r>
      <w:r>
        <w:t>.</w:t>
      </w:r>
      <w:r>
        <w:tab/>
        <w:t>Costs to be determined by dispute resolution authority</w:t>
      </w:r>
      <w:bookmarkEnd w:id="463"/>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by No. 42 of 2004 s. 130; amended by No. 21 of 2008 s. 713(4).]</w:t>
      </w:r>
    </w:p>
    <w:p>
      <w:pPr>
        <w:pStyle w:val="Heading5"/>
      </w:pPr>
      <w:bookmarkStart w:id="464" w:name="_Toc472605027"/>
      <w:r>
        <w:rPr>
          <w:rStyle w:val="CharSectno"/>
        </w:rPr>
        <w:t>265</w:t>
      </w:r>
      <w:r>
        <w:t>.</w:t>
      </w:r>
      <w:r>
        <w:tab/>
        <w:t>Costs unreasonably incurred by representative</w:t>
      </w:r>
      <w:bookmarkEnd w:id="464"/>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by No. 42 of 2004 s. 130.]</w:t>
      </w:r>
    </w:p>
    <w:p>
      <w:pPr>
        <w:pStyle w:val="Heading5"/>
      </w:pPr>
      <w:bookmarkStart w:id="465" w:name="_Toc472605028"/>
      <w:r>
        <w:rPr>
          <w:rStyle w:val="CharSectno"/>
        </w:rPr>
        <w:t>266</w:t>
      </w:r>
      <w:r>
        <w:t>.</w:t>
      </w:r>
      <w:r>
        <w:tab/>
        <w:t>Agent’s costs</w:t>
      </w:r>
      <w:bookmarkEnd w:id="465"/>
    </w:p>
    <w:p>
      <w:pPr>
        <w:pStyle w:val="Subsection"/>
      </w:pPr>
      <w:r>
        <w:tab/>
      </w:r>
      <w:r>
        <w:tab/>
        <w:t>An agent is not entitled to be paid or recover any amount for an agent service unless the agent is a registered agent.</w:t>
      </w:r>
    </w:p>
    <w:p>
      <w:pPr>
        <w:pStyle w:val="Footnotesection"/>
      </w:pPr>
      <w:r>
        <w:tab/>
        <w:t>[Section 266 inserted by No. 42 of 2004 s. 130.]</w:t>
      </w:r>
    </w:p>
    <w:p>
      <w:pPr>
        <w:pStyle w:val="Heading5"/>
      </w:pPr>
      <w:bookmarkStart w:id="466" w:name="_Toc472605029"/>
      <w:r>
        <w:rPr>
          <w:rStyle w:val="CharSectno"/>
        </w:rPr>
        <w:t>267</w:t>
      </w:r>
      <w:r>
        <w:t>.</w:t>
      </w:r>
      <w:r>
        <w:tab/>
        <w:t>Appeal costs</w:t>
      </w:r>
      <w:bookmarkEnd w:id="466"/>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by No. 31 of 2011 s. 20.]</w:t>
      </w:r>
    </w:p>
    <w:p>
      <w:pPr>
        <w:pStyle w:val="Heading5"/>
      </w:pPr>
      <w:bookmarkStart w:id="467" w:name="_Toc472605030"/>
      <w:r>
        <w:rPr>
          <w:rStyle w:val="CharSectno"/>
        </w:rPr>
        <w:t>268</w:t>
      </w:r>
      <w:r>
        <w:t>.</w:t>
      </w:r>
      <w:r>
        <w:tab/>
        <w:t>Regulations for assessment of costs</w:t>
      </w:r>
      <w:bookmarkEnd w:id="467"/>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by No. 42 of 2004 s. 130; amended by No. 21 of 2008 s. 713(5) and (6); No. 31 of 2011 s. 67.]</w:t>
      </w:r>
    </w:p>
    <w:p>
      <w:pPr>
        <w:pStyle w:val="Heading3"/>
        <w:spacing w:before="200"/>
      </w:pPr>
      <w:bookmarkStart w:id="468" w:name="_Toc472605031"/>
      <w:r>
        <w:rPr>
          <w:rStyle w:val="CharDivNo"/>
        </w:rPr>
        <w:t>Division 3</w:t>
      </w:r>
      <w:r>
        <w:t> — </w:t>
      </w:r>
      <w:r>
        <w:rPr>
          <w:rStyle w:val="CharDivText"/>
        </w:rPr>
        <w:t>Maximum costs</w:t>
      </w:r>
      <w:bookmarkEnd w:id="468"/>
    </w:p>
    <w:p>
      <w:pPr>
        <w:pStyle w:val="Footnoteheading"/>
        <w:spacing w:before="100"/>
      </w:pPr>
      <w:r>
        <w:tab/>
        <w:t>[Heading inserted by No. 42 of 2004 s. 130.]</w:t>
      </w:r>
    </w:p>
    <w:p>
      <w:pPr>
        <w:pStyle w:val="Heading5"/>
        <w:spacing w:before="180"/>
      </w:pPr>
      <w:bookmarkStart w:id="469" w:name="_Toc472605032"/>
      <w:r>
        <w:rPr>
          <w:rStyle w:val="CharSectno"/>
        </w:rPr>
        <w:t>269</w:t>
      </w:r>
      <w:r>
        <w:t>.</w:t>
      </w:r>
      <w:r>
        <w:tab/>
        <w:t>Costs Committee, membership of</w:t>
      </w:r>
      <w:bookmarkEnd w:id="469"/>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 xml:space="preserve">a presiding member who is to be a member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(b)</w:t>
      </w:r>
      <w:r>
        <w:tab/>
        <w:t xml:space="preserve">one or more other members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spacing w:before="60"/>
      </w:pPr>
      <w:r>
        <w:tab/>
        <w:t>(c)</w:t>
      </w:r>
      <w:r>
        <w:tab/>
        <w:t>2 members of the Legal Costs Committee nominated by the chairperson of that Committee.</w:t>
      </w:r>
    </w:p>
    <w:p>
      <w:pPr>
        <w:pStyle w:val="Subsection"/>
        <w:spacing w:before="120"/>
      </w:pPr>
      <w:r>
        <w:tab/>
        <w:t>(4)</w:t>
      </w:r>
      <w:r>
        <w:tab/>
        <w:t xml:space="preserve">The members are to be appointed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by No. 42 of 2004 s. 130; amended by No. 21 of 2008 s. 713(7).]</w:t>
      </w:r>
    </w:p>
    <w:p>
      <w:pPr>
        <w:pStyle w:val="Heading5"/>
      </w:pPr>
      <w:bookmarkStart w:id="470" w:name="_Toc472605033"/>
      <w:r>
        <w:rPr>
          <w:rStyle w:val="CharSectno"/>
        </w:rPr>
        <w:t>270A</w:t>
      </w:r>
      <w:r>
        <w:t>.</w:t>
      </w:r>
      <w:r>
        <w:tab/>
        <w:t>Remuneration of Committee members</w:t>
      </w:r>
      <w:bookmarkEnd w:id="470"/>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 xml:space="preserve">The fees and allowances mentioned in subsection (1) are to be paid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from moneys standing to the credit of the General Account.</w:t>
      </w:r>
    </w:p>
    <w:p>
      <w:pPr>
        <w:pStyle w:val="Footnotesection"/>
        <w:spacing w:before="100"/>
        <w:ind w:left="890" w:hanging="890"/>
      </w:pPr>
      <w:r>
        <w:tab/>
        <w:t>[Section 270A inserted by No. 31 of 2011 s. 121.]</w:t>
      </w:r>
    </w:p>
    <w:p>
      <w:pPr>
        <w:pStyle w:val="Heading5"/>
        <w:spacing w:before="200"/>
      </w:pPr>
      <w:bookmarkStart w:id="471" w:name="_Toc472605034"/>
      <w:r>
        <w:rPr>
          <w:rStyle w:val="CharSectno"/>
        </w:rPr>
        <w:t>270</w:t>
      </w:r>
      <w:r>
        <w:t>.</w:t>
      </w:r>
      <w:r>
        <w:tab/>
        <w:t>Constitution and procedure of Costs Committee</w:t>
      </w:r>
      <w:bookmarkEnd w:id="471"/>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 xml:space="preserve">if not prescribed by the regulations, may be as directed in writing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Subsection"/>
        <w:spacing w:before="140"/>
      </w:pPr>
      <w:r>
        <w:tab/>
        <w:t>(2)</w:t>
      </w:r>
      <w:r>
        <w:tab/>
        <w:t xml:space="preserve">To the extent that the procedure of the Costs Committee is not prescribed by the regulations or directed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the Costs Committee may determine its own procedure.</w:t>
      </w:r>
    </w:p>
    <w:p>
      <w:pPr>
        <w:pStyle w:val="Footnotesection"/>
        <w:spacing w:before="100"/>
        <w:ind w:left="890" w:hanging="890"/>
      </w:pPr>
      <w:r>
        <w:tab/>
        <w:t>[Section 270 inserted by No. 42 of 2004 s. 130.]</w:t>
      </w:r>
    </w:p>
    <w:p>
      <w:pPr>
        <w:pStyle w:val="Heading5"/>
        <w:spacing w:before="200"/>
      </w:pPr>
      <w:bookmarkStart w:id="472" w:name="_Toc472605035"/>
      <w:r>
        <w:rPr>
          <w:rStyle w:val="CharSectno"/>
        </w:rPr>
        <w:t>271</w:t>
      </w:r>
      <w:r>
        <w:t>.</w:t>
      </w:r>
      <w:r>
        <w:tab/>
        <w:t>Determinations as to maximum costs</w:t>
      </w:r>
      <w:bookmarkEnd w:id="472"/>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by No. 42 of 2004 s. 130; amended by No. 21 of 2008 s. 713(8).]</w:t>
      </w:r>
    </w:p>
    <w:p>
      <w:pPr>
        <w:pStyle w:val="Heading5"/>
      </w:pPr>
      <w:bookmarkStart w:id="473" w:name="_Toc472605036"/>
      <w:r>
        <w:rPr>
          <w:rStyle w:val="CharSectno"/>
        </w:rPr>
        <w:t>272</w:t>
      </w:r>
      <w:r>
        <w:t>.</w:t>
      </w:r>
      <w:r>
        <w:tab/>
        <w:t>Making determinations</w:t>
      </w:r>
      <w:bookmarkEnd w:id="473"/>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by No. 42 of 2004 s. 130.]</w:t>
      </w:r>
    </w:p>
    <w:p>
      <w:pPr>
        <w:pStyle w:val="Heading5"/>
      </w:pPr>
      <w:bookmarkStart w:id="474" w:name="_Toc472605037"/>
      <w:r>
        <w:rPr>
          <w:rStyle w:val="CharSectno"/>
        </w:rPr>
        <w:t>273</w:t>
      </w:r>
      <w:r>
        <w:t>.</w:t>
      </w:r>
      <w:r>
        <w:tab/>
        <w:t>Approval and publication of determinations</w:t>
      </w:r>
      <w:bookmarkEnd w:id="474"/>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by No. 42 of 2004 s. 130.]</w:t>
      </w:r>
    </w:p>
    <w:p>
      <w:pPr>
        <w:pStyle w:val="Heading5"/>
        <w:spacing w:before="200"/>
      </w:pPr>
      <w:bookmarkStart w:id="475" w:name="_Toc472605038"/>
      <w:r>
        <w:rPr>
          <w:rStyle w:val="CharSectno"/>
        </w:rPr>
        <w:t>274</w:t>
      </w:r>
      <w:r>
        <w:t>.</w:t>
      </w:r>
      <w:r>
        <w:tab/>
        <w:t>Effect of costs determinations</w:t>
      </w:r>
      <w:bookmarkEnd w:id="475"/>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by No. 42 of 2004 s. 130.]</w:t>
      </w:r>
    </w:p>
    <w:p>
      <w:pPr>
        <w:pStyle w:val="Heading5"/>
        <w:spacing w:before="200"/>
      </w:pPr>
      <w:bookmarkStart w:id="476" w:name="_Toc472605039"/>
      <w:r>
        <w:rPr>
          <w:rStyle w:val="CharSectno"/>
        </w:rPr>
        <w:t>275</w:t>
      </w:r>
      <w:r>
        <w:t>.</w:t>
      </w:r>
      <w:r>
        <w:tab/>
        <w:t>Agreement as to costs, limits on</w:t>
      </w:r>
      <w:bookmarkEnd w:id="476"/>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by No. 42 of 2004 s. 130.]</w:t>
      </w:r>
    </w:p>
    <w:p>
      <w:pPr>
        <w:pStyle w:val="Heading5"/>
      </w:pPr>
      <w:bookmarkStart w:id="477" w:name="_Toc472605040"/>
      <w:r>
        <w:rPr>
          <w:rStyle w:val="CharSectno"/>
        </w:rPr>
        <w:t>276</w:t>
      </w:r>
      <w:r>
        <w:t>.</w:t>
      </w:r>
      <w:r>
        <w:tab/>
        <w:t>Division does not affect s. 87 in relation to Part IV actions</w:t>
      </w:r>
      <w:bookmarkEnd w:id="477"/>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by No. 42 of 2004 s. 130.]</w:t>
      </w:r>
    </w:p>
    <w:p>
      <w:pPr>
        <w:pStyle w:val="Heading2"/>
      </w:pPr>
      <w:bookmarkStart w:id="478" w:name="_Toc472605041"/>
      <w:r>
        <w:rPr>
          <w:rStyle w:val="CharPartNo"/>
        </w:rPr>
        <w:t>Part XVI</w:t>
      </w:r>
      <w:r>
        <w:rPr>
          <w:rStyle w:val="CharDivNo"/>
        </w:rPr>
        <w:t> </w:t>
      </w:r>
      <w:r>
        <w:t>—</w:t>
      </w:r>
      <w:r>
        <w:rPr>
          <w:rStyle w:val="CharDivText"/>
        </w:rPr>
        <w:t> </w:t>
      </w:r>
      <w:r>
        <w:rPr>
          <w:rStyle w:val="CharPartText"/>
        </w:rPr>
        <w:t>Registered agents</w:t>
      </w:r>
      <w:bookmarkEnd w:id="478"/>
    </w:p>
    <w:p>
      <w:pPr>
        <w:pStyle w:val="Footnoteheading"/>
      </w:pPr>
      <w:r>
        <w:tab/>
        <w:t>[Heading inserted by No. 42 of 2004 s. 130.]</w:t>
      </w:r>
    </w:p>
    <w:p>
      <w:pPr>
        <w:pStyle w:val="Heading5"/>
      </w:pPr>
      <w:bookmarkStart w:id="479" w:name="_Toc472605042"/>
      <w:r>
        <w:rPr>
          <w:rStyle w:val="CharSectno"/>
        </w:rPr>
        <w:t>277</w:t>
      </w:r>
      <w:r>
        <w:t>.</w:t>
      </w:r>
      <w:r>
        <w:tab/>
        <w:t>Registration of agents</w:t>
      </w:r>
      <w:bookmarkEnd w:id="479"/>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by No. 42 of 2004 s. 130; amended by No. 16 of 2005 s. 28; No. 31 of 2011 s. 122.]</w:t>
      </w:r>
    </w:p>
    <w:p>
      <w:pPr>
        <w:pStyle w:val="Ednotepart"/>
      </w:pPr>
      <w:r>
        <w:t xml:space="preserve">[Part XVII (s. 278-291) </w:t>
      </w:r>
      <w:smartTag w:uri="urn:schemas-microsoft-com:office:smarttags" w:element="State">
        <w:smartTag w:uri="urn:schemas-microsoft-com:office:smarttags" w:element="place">
          <w:r>
            <w:t>del</w:t>
          </w:r>
        </w:smartTag>
      </w:smartTag>
      <w:r>
        <w:t>eted by No. 31 of 2011 s. 21.]</w:t>
      </w:r>
    </w:p>
    <w:p>
      <w:pPr>
        <w:pStyle w:val="Heading2"/>
      </w:pPr>
      <w:bookmarkStart w:id="480" w:name="_Toc472605043"/>
      <w:r>
        <w:rPr>
          <w:rStyle w:val="CharPartNo"/>
        </w:rPr>
        <w:t>Part XVIII</w:t>
      </w:r>
      <w:r>
        <w:rPr>
          <w:rStyle w:val="CharDivNo"/>
        </w:rPr>
        <w:t> </w:t>
      </w:r>
      <w:r>
        <w:t>—</w:t>
      </w:r>
      <w:r>
        <w:rPr>
          <w:rStyle w:val="CharDivText"/>
        </w:rPr>
        <w:t> </w:t>
      </w:r>
      <w:r>
        <w:rPr>
          <w:rStyle w:val="CharPartText"/>
        </w:rPr>
        <w:t>Regulations, rules and practice notes</w:t>
      </w:r>
      <w:bookmarkEnd w:id="480"/>
    </w:p>
    <w:p>
      <w:pPr>
        <w:pStyle w:val="Footnoteheading"/>
      </w:pPr>
      <w:r>
        <w:tab/>
        <w:t>[Heading inserted by No. 42 of 2004 s. 130.]</w:t>
      </w:r>
    </w:p>
    <w:p>
      <w:pPr>
        <w:pStyle w:val="Heading5"/>
      </w:pPr>
      <w:bookmarkStart w:id="481" w:name="_Toc472605044"/>
      <w:r>
        <w:rPr>
          <w:rStyle w:val="CharSectno"/>
        </w:rPr>
        <w:t>292</w:t>
      </w:r>
      <w:r>
        <w:t>.</w:t>
      </w:r>
      <w:r>
        <w:tab/>
        <w:t>Regulations</w:t>
      </w:r>
      <w:bookmarkEnd w:id="481"/>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 xml:space="preserve">regulating the meetings and proceedings of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 xml:space="preserve">The Governor, on the recommendation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 xml:space="preserve">Without limiting subsection (4),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by No. 42 of 2004 s. 130; amended by No. 77 of 2006 Sch. 1 cl. 189(9); No. 31 of 2011 s. 68.]</w:t>
      </w:r>
    </w:p>
    <w:p>
      <w:pPr>
        <w:pStyle w:val="Heading5"/>
      </w:pPr>
      <w:bookmarkStart w:id="482" w:name="_Toc472605045"/>
      <w:r>
        <w:rPr>
          <w:rStyle w:val="CharSectno"/>
        </w:rPr>
        <w:t>293A</w:t>
      </w:r>
      <w:r>
        <w:t>.</w:t>
      </w:r>
      <w:r>
        <w:tab/>
        <w:t>Conciliation rules</w:t>
      </w:r>
      <w:bookmarkEnd w:id="482"/>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by No. 31 of 2011 s. 22.]</w:t>
      </w:r>
    </w:p>
    <w:p>
      <w:pPr>
        <w:pStyle w:val="Heading5"/>
      </w:pPr>
      <w:bookmarkStart w:id="483" w:name="_Toc472605046"/>
      <w:r>
        <w:rPr>
          <w:rStyle w:val="CharSectno"/>
        </w:rPr>
        <w:t>293B</w:t>
      </w:r>
      <w:r>
        <w:t>.</w:t>
      </w:r>
      <w:r>
        <w:tab/>
        <w:t>Arbitration rules</w:t>
      </w:r>
      <w:bookmarkEnd w:id="483"/>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by No. 31 of 2011 s. 22.]</w:t>
      </w:r>
    </w:p>
    <w:p>
      <w:pPr>
        <w:pStyle w:val="Heading5"/>
      </w:pPr>
      <w:bookmarkStart w:id="484" w:name="_Toc472605047"/>
      <w:r>
        <w:rPr>
          <w:rStyle w:val="CharSectno"/>
        </w:rPr>
        <w:t>293</w:t>
      </w:r>
      <w:r>
        <w:t>.</w:t>
      </w:r>
      <w:r>
        <w:tab/>
      </w:r>
      <w:r>
        <w:rPr>
          <w:bCs/>
        </w:rPr>
        <w:t>General provisions about rules</w:t>
      </w:r>
      <w:bookmarkEnd w:id="484"/>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r>
      <w:smartTag w:uri="urn:schemas-microsoft-com:office:smarttags" w:element="State">
        <w:smartTag w:uri="urn:schemas-microsoft-com:office:smarttags" w:element="place">
          <w:r>
            <w:t>del</w:t>
          </w:r>
        </w:smartTag>
      </w:smartTag>
      <w:r>
        <w:t>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by No. 42 of 2004 s. 130; amended by No. 31 of 2011 s. 23.]</w:t>
      </w:r>
    </w:p>
    <w:p>
      <w:pPr>
        <w:pStyle w:val="Heading5"/>
      </w:pPr>
      <w:bookmarkStart w:id="485" w:name="_Toc472605048"/>
      <w:r>
        <w:rPr>
          <w:rStyle w:val="CharSectno"/>
        </w:rPr>
        <w:t>294</w:t>
      </w:r>
      <w:r>
        <w:t>.</w:t>
      </w:r>
      <w:r>
        <w:tab/>
        <w:t>Practice notes</w:t>
      </w:r>
      <w:bookmarkEnd w:id="485"/>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by No. 31 of 2011 s. 24.]</w:t>
      </w:r>
    </w:p>
    <w:p>
      <w:pPr>
        <w:pStyle w:val="Heading2"/>
      </w:pPr>
      <w:bookmarkStart w:id="486" w:name="_Toc472605049"/>
      <w:r>
        <w:rPr>
          <w:rStyle w:val="CharPartNo"/>
        </w:rPr>
        <w:t>Part XIX</w:t>
      </w:r>
      <w:r>
        <w:rPr>
          <w:rStyle w:val="CharDivNo"/>
        </w:rPr>
        <w:t> </w:t>
      </w:r>
      <w:r>
        <w:t>—</w:t>
      </w:r>
      <w:r>
        <w:rPr>
          <w:rStyle w:val="CharDivText"/>
        </w:rPr>
        <w:t> </w:t>
      </w:r>
      <w:r>
        <w:rPr>
          <w:rStyle w:val="CharPartText"/>
        </w:rPr>
        <w:t>Miscellaneous</w:t>
      </w:r>
      <w:bookmarkEnd w:id="486"/>
    </w:p>
    <w:p>
      <w:pPr>
        <w:pStyle w:val="Footnoteheading"/>
      </w:pPr>
      <w:r>
        <w:tab/>
        <w:t>[Part XIX heading, formerly Part XII heading, renumbered by No. 42 of 2004 s. 154(2).]</w:t>
      </w:r>
    </w:p>
    <w:p>
      <w:pPr>
        <w:pStyle w:val="Heading5"/>
        <w:rPr>
          <w:snapToGrid w:val="0"/>
        </w:rPr>
      </w:pPr>
      <w:bookmarkStart w:id="487" w:name="_Toc472605050"/>
      <w:r>
        <w:rPr>
          <w:rStyle w:val="CharSectno"/>
        </w:rPr>
        <w:t>295</w:t>
      </w:r>
      <w:r>
        <w:rPr>
          <w:snapToGrid w:val="0"/>
        </w:rPr>
        <w:t>.</w:t>
      </w:r>
      <w:r>
        <w:rPr>
          <w:snapToGrid w:val="0"/>
        </w:rPr>
        <w:tab/>
        <w:t>WorkCover WA’s staff etc.</w:t>
      </w:r>
      <w:bookmarkEnd w:id="487"/>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smartTag w:uri="urn:schemas-microsoft-com:office:smarttags" w:element="City">
        <w:r>
          <w:t>WorkCover</w:t>
        </w:r>
      </w:smartTag>
      <w:r>
        <w:t xml:space="preserve"> </w:t>
      </w:r>
      <w:smartTag w:uri="urn:schemas-microsoft-com:office:smarttags" w:element="State">
        <w:r>
          <w:t>WA</w:t>
        </w:r>
      </w:smartTag>
      <w:r>
        <w:rPr>
          <w:snapToGrid w:val="0"/>
        </w:rPr>
        <w:t xml:space="preserve"> shall include such duties as are prescribed and as are directed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295, formerly section 177, amended by No. 86 of 1986 s. 5; No. 72 of 1992 s. 16(5); No. 32 of 1994 s. 19; No. 42 of 2004 s. 150 and 152 and renumbered as section 295 by No. 42 of 2004 s. 154(1).]</w:t>
      </w:r>
    </w:p>
    <w:p>
      <w:pPr>
        <w:pStyle w:val="Heading5"/>
      </w:pPr>
      <w:bookmarkStart w:id="488" w:name="_Toc472605051"/>
      <w:r>
        <w:rPr>
          <w:rStyle w:val="CharSectno"/>
        </w:rPr>
        <w:t>296</w:t>
      </w:r>
      <w:r>
        <w:t>.</w:t>
      </w:r>
      <w:r>
        <w:tab/>
        <w:t>Delegation by chief executive officer</w:t>
      </w:r>
      <w:bookmarkEnd w:id="488"/>
    </w:p>
    <w:p>
      <w:pPr>
        <w:pStyle w:val="Subsection"/>
      </w:pPr>
      <w:r>
        <w:tab/>
        <w:t>(1)</w:t>
      </w:r>
      <w:r>
        <w:tab/>
        <w:t xml:space="preserve">The </w:t>
      </w:r>
      <w:r>
        <w:rPr>
          <w:snapToGrid w:val="0"/>
        </w:rPr>
        <w:t xml:space="preserve">chief executive officer </w:t>
      </w:r>
      <w:r>
        <w:t>may delegate to another officer of</w:t>
      </w:r>
      <w:r>
        <w:rPr>
          <w:snapToGrid w:val="0"/>
        </w:rPr>
        <w:t xml:space="preserve"> </w:t>
      </w: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489" w:name="_Toc472605052"/>
      <w:r>
        <w:rPr>
          <w:rStyle w:val="CharSectno"/>
        </w:rPr>
        <w:t>297</w:t>
      </w:r>
      <w:r>
        <w:rPr>
          <w:snapToGrid w:val="0"/>
        </w:rPr>
        <w:t>.</w:t>
      </w:r>
      <w:r>
        <w:rPr>
          <w:snapToGrid w:val="0"/>
        </w:rPr>
        <w:tab/>
        <w:t>Agreements and receipts under this Act exempt from duty</w:t>
      </w:r>
      <w:bookmarkEnd w:id="489"/>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490" w:name="_Toc472605053"/>
      <w:r>
        <w:rPr>
          <w:rStyle w:val="CharSectno"/>
        </w:rPr>
        <w:t>298</w:t>
      </w:r>
      <w:r>
        <w:rPr>
          <w:snapToGrid w:val="0"/>
        </w:rPr>
        <w:t>.</w:t>
      </w:r>
      <w:r>
        <w:rPr>
          <w:snapToGrid w:val="0"/>
        </w:rPr>
        <w:tab/>
        <w:t>Ships, detention of</w:t>
      </w:r>
      <w:bookmarkEnd w:id="490"/>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491" w:name="_Toc472605054"/>
      <w:r>
        <w:rPr>
          <w:rStyle w:val="CharSectno"/>
        </w:rPr>
        <w:t>299</w:t>
      </w:r>
      <w:r>
        <w:rPr>
          <w:snapToGrid w:val="0"/>
        </w:rPr>
        <w:t>.</w:t>
      </w:r>
      <w:r>
        <w:rPr>
          <w:snapToGrid w:val="0"/>
        </w:rPr>
        <w:tab/>
        <w:t>Judicial notice</w:t>
      </w:r>
      <w:bookmarkEnd w:id="491"/>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by No. 48 of 1993 s. 28(1); No. 42 of 2004 s. 132 and 150 and renumbered as section 299 by No. 42 of 2004 s. 154(1); No. 31 of 2011 s. 69.]</w:t>
      </w:r>
    </w:p>
    <w:p>
      <w:pPr>
        <w:pStyle w:val="Heading5"/>
      </w:pPr>
      <w:bookmarkStart w:id="492" w:name="_Toc472605055"/>
      <w:r>
        <w:rPr>
          <w:rStyle w:val="CharSectno"/>
        </w:rPr>
        <w:t>300</w:t>
      </w:r>
      <w:r>
        <w:t>.</w:t>
      </w:r>
      <w:r>
        <w:tab/>
        <w:t xml:space="preserve">District Court to give information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bookmarkEnd w:id="492"/>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make a written request to the Registrar of the District Court to provide </w:t>
      </w:r>
      <w:smartTag w:uri="urn:schemas-microsoft-com:office:smarttags" w:element="City">
        <w:r>
          <w:t>WorkCover</w:t>
        </w:r>
      </w:smartTag>
      <w:r>
        <w:t xml:space="preserve"> </w:t>
      </w:r>
      <w:smartTag w:uri="urn:schemas-microsoft-com:office:smarttags" w:element="State">
        <w:r>
          <w:t>WA</w:t>
        </w:r>
      </w:smartTag>
      <w:r>
        <w:t xml:space="preserve"> with such information concerning actions to which Part IV applies as </w:t>
      </w:r>
      <w:smartTag w:uri="urn:schemas-microsoft-com:office:smarttags" w:element="City">
        <w:r>
          <w:t>WorkCover</w:t>
        </w:r>
      </w:smartTag>
      <w:r>
        <w:t xml:space="preserve"> </w:t>
      </w:r>
      <w:smartTag w:uri="urn:schemas-microsoft-com:office:smarttags" w:element="State">
        <w:r>
          <w:t>WA</w:t>
        </w:r>
      </w:smartTag>
      <w:r>
        <w:t xml:space="preserve"> specifies and the Registrar of the District Court is to provide that information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[Section 300, inserted as section 180A by No. 42 of 2004 s. 133 and renumbered as section 300 by No. 42 of 2004 s. 154(1).]</w:t>
      </w:r>
    </w:p>
    <w:p>
      <w:pPr>
        <w:pStyle w:val="Heading5"/>
        <w:rPr>
          <w:snapToGrid w:val="0"/>
        </w:rPr>
      </w:pPr>
      <w:bookmarkStart w:id="493" w:name="_Toc472605056"/>
      <w:r>
        <w:rPr>
          <w:rStyle w:val="CharSectno"/>
        </w:rPr>
        <w:t>301</w:t>
      </w:r>
      <w:r>
        <w:rPr>
          <w:snapToGrid w:val="0"/>
        </w:rPr>
        <w:t>.</w:t>
      </w:r>
      <w:r>
        <w:rPr>
          <w:snapToGrid w:val="0"/>
        </w:rPr>
        <w:tab/>
        <w:t>Contracting out prohibited</w:t>
      </w:r>
      <w:bookmarkEnd w:id="493"/>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by No. 42 of 2004 s. 154(1).]</w:t>
      </w:r>
    </w:p>
    <w:p>
      <w:pPr>
        <w:pStyle w:val="Heading5"/>
        <w:rPr>
          <w:snapToGrid w:val="0"/>
        </w:rPr>
      </w:pPr>
      <w:bookmarkStart w:id="494" w:name="_Toc472605057"/>
      <w:r>
        <w:rPr>
          <w:rStyle w:val="CharSectno"/>
        </w:rPr>
        <w:t>302</w:t>
      </w:r>
      <w:r>
        <w:rPr>
          <w:snapToGrid w:val="0"/>
        </w:rPr>
        <w:t>.</w:t>
      </w:r>
      <w:r>
        <w:rPr>
          <w:snapToGrid w:val="0"/>
        </w:rPr>
        <w:tab/>
        <w:t>Deductions from wages towards compensation not lawful</w:t>
      </w:r>
      <w:bookmarkEnd w:id="494"/>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495" w:name="_Toc472605058"/>
      <w:r>
        <w:rPr>
          <w:rStyle w:val="CharSectno"/>
        </w:rPr>
        <w:t>303</w:t>
      </w:r>
      <w:r>
        <w:rPr>
          <w:snapToGrid w:val="0"/>
        </w:rPr>
        <w:t>.</w:t>
      </w:r>
      <w:r>
        <w:rPr>
          <w:snapToGrid w:val="0"/>
        </w:rPr>
        <w:tab/>
        <w:t>Compensation payments not assignable</w:t>
      </w:r>
      <w:bookmarkEnd w:id="495"/>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by No. 48 of 1993 s. 28(1); No. 34 of 1999 s. 50; No. 42 of 2004 s. 134 and renumbered as section 303 by No. 42 of 2004 s. 154(1).]</w:t>
      </w:r>
    </w:p>
    <w:p>
      <w:pPr>
        <w:pStyle w:val="Heading5"/>
      </w:pPr>
      <w:bookmarkStart w:id="496" w:name="_Toc472605059"/>
      <w:r>
        <w:rPr>
          <w:rStyle w:val="CharSectno"/>
        </w:rPr>
        <w:t>303A</w:t>
      </w:r>
      <w:r>
        <w:t>.</w:t>
      </w:r>
      <w:r>
        <w:tab/>
        <w:t>Making employment conditional on avoidance arrangement</w:t>
      </w:r>
      <w:bookmarkEnd w:id="496"/>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by No. 16 of 2005 s. 14.]</w:t>
      </w:r>
    </w:p>
    <w:p>
      <w:pPr>
        <w:pStyle w:val="Heading5"/>
      </w:pPr>
      <w:bookmarkStart w:id="497" w:name="_Toc472605060"/>
      <w:r>
        <w:rPr>
          <w:rStyle w:val="CharSectno"/>
        </w:rPr>
        <w:t>304</w:t>
      </w:r>
      <w:r>
        <w:t>.</w:t>
      </w:r>
      <w:r>
        <w:tab/>
        <w:t>Protection from personal liability</w:t>
      </w:r>
      <w:bookmarkEnd w:id="497"/>
    </w:p>
    <w:p>
      <w:pPr>
        <w:pStyle w:val="Subsection"/>
      </w:pPr>
      <w:r>
        <w:tab/>
        <w:t>(1)</w:t>
      </w:r>
      <w:r>
        <w:tab/>
        <w:t>This section applies to —</w:t>
      </w:r>
    </w:p>
    <w:p>
      <w:pPr>
        <w:pStyle w:val="Indenta"/>
      </w:pPr>
      <w:r>
        <w:tab/>
        <w:t>(a)</w:t>
      </w:r>
      <w:r>
        <w:tab/>
        <w:t>WorkCover WA; and</w:t>
      </w:r>
    </w:p>
    <w:p>
      <w:pPr>
        <w:pStyle w:val="Indenta"/>
      </w:pPr>
      <w:r>
        <w:tab/>
        <w:t>(b)</w:t>
      </w:r>
      <w:r>
        <w:tab/>
        <w:t xml:space="preserve">a member of the governing body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(c)</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 amended by No. 31 of 2011 s. 70.]</w:t>
      </w:r>
    </w:p>
    <w:p>
      <w:pPr>
        <w:pStyle w:val="Heading5"/>
      </w:pPr>
      <w:bookmarkStart w:id="498" w:name="_Toc472605061"/>
      <w:r>
        <w:rPr>
          <w:rStyle w:val="CharSectno"/>
        </w:rPr>
        <w:t>305</w:t>
      </w:r>
      <w:r>
        <w:t>.</w:t>
      </w:r>
      <w:r>
        <w:tab/>
        <w:t>Immunity of conciliation officers, arbitrators etc.</w:t>
      </w:r>
      <w:bookmarkEnd w:id="498"/>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 amended by No. 31 of 2011 s. 71.]</w:t>
      </w:r>
    </w:p>
    <w:p>
      <w:pPr>
        <w:pStyle w:val="Heading5"/>
      </w:pPr>
      <w:bookmarkStart w:id="499" w:name="_Toc472605062"/>
      <w:r>
        <w:rPr>
          <w:rStyle w:val="CharSectno"/>
        </w:rPr>
        <w:t>306</w:t>
      </w:r>
      <w:r>
        <w:t>.</w:t>
      </w:r>
      <w:r>
        <w:tab/>
        <w:t>Protection for compliance with this Act</w:t>
      </w:r>
      <w:bookmarkEnd w:id="49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by No. 42 of 2004 s. 135 and renumbered as section 306 by No. 42 of 2004 s. 154(1).]</w:t>
      </w:r>
    </w:p>
    <w:p>
      <w:pPr>
        <w:pStyle w:val="Heading5"/>
        <w:spacing w:before="180"/>
      </w:pPr>
      <w:bookmarkStart w:id="500" w:name="_Toc472605063"/>
      <w:r>
        <w:rPr>
          <w:rStyle w:val="CharSectno"/>
        </w:rPr>
        <w:t>307</w:t>
      </w:r>
      <w:r>
        <w:t>.</w:t>
      </w:r>
      <w:r>
        <w:tab/>
        <w:t>Protection from liability for publishing decisions etc. of dispute resolution authority</w:t>
      </w:r>
      <w:bookmarkEnd w:id="500"/>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by No. 42 of 2004 s. 135 and renumbered as section 307 by No. 42 of 2004 s. 154(1).]</w:t>
      </w:r>
    </w:p>
    <w:p>
      <w:pPr>
        <w:pStyle w:val="Heading5"/>
        <w:spacing w:before="180"/>
        <w:rPr>
          <w:snapToGrid w:val="0"/>
        </w:rPr>
      </w:pPr>
      <w:bookmarkStart w:id="501" w:name="_Toc472605064"/>
      <w:r>
        <w:rPr>
          <w:rStyle w:val="CharSectno"/>
        </w:rPr>
        <w:t>308</w:t>
      </w:r>
      <w:r>
        <w:rPr>
          <w:snapToGrid w:val="0"/>
        </w:rPr>
        <w:t>.</w:t>
      </w:r>
      <w:r>
        <w:rPr>
          <w:snapToGrid w:val="0"/>
        </w:rPr>
        <w:tab/>
        <w:t>Fraud</w:t>
      </w:r>
      <w:bookmarkEnd w:id="501"/>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by No. 34 of 1999 s. 51; renumbered as section 308 by No. 42 of 2004 s. 154(1).]</w:t>
      </w:r>
    </w:p>
    <w:p>
      <w:pPr>
        <w:pStyle w:val="Heading5"/>
        <w:spacing w:before="180"/>
      </w:pPr>
      <w:bookmarkStart w:id="502" w:name="_Toc472605065"/>
      <w:r>
        <w:rPr>
          <w:rStyle w:val="CharSectno"/>
        </w:rPr>
        <w:t>309</w:t>
      </w:r>
      <w:r>
        <w:t>.</w:t>
      </w:r>
      <w:r>
        <w:tab/>
        <w:t>Who can prosecute offences</w:t>
      </w:r>
      <w:bookmarkEnd w:id="502"/>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by No. 42 of 2004 s. 137 and renumbered as section 309 by No. 42 of 2004 s. 154(1); amended by No. 84 of 2004 s. 80.]</w:t>
      </w:r>
    </w:p>
    <w:p>
      <w:pPr>
        <w:pStyle w:val="Heading5"/>
      </w:pPr>
      <w:bookmarkStart w:id="503" w:name="_Toc472605066"/>
      <w:r>
        <w:rPr>
          <w:rStyle w:val="CharSectno"/>
        </w:rPr>
        <w:t>310</w:t>
      </w:r>
      <w:r>
        <w:t>.</w:t>
      </w:r>
      <w:r>
        <w:tab/>
        <w:t>Time limit for prosecutions</w:t>
      </w:r>
      <w:bookmarkEnd w:id="503"/>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by No. 42 of 2004 s. 137 and renumbered as section 310 by No. 42 of 2004 s. 154(1).]</w:t>
      </w:r>
    </w:p>
    <w:p>
      <w:pPr>
        <w:pStyle w:val="Heading5"/>
        <w:rPr>
          <w:snapToGrid w:val="0"/>
        </w:rPr>
      </w:pPr>
      <w:bookmarkStart w:id="504" w:name="_Toc472605067"/>
      <w:r>
        <w:rPr>
          <w:rStyle w:val="CharSectno"/>
        </w:rPr>
        <w:t>311</w:t>
      </w:r>
      <w:r>
        <w:rPr>
          <w:snapToGrid w:val="0"/>
        </w:rPr>
        <w:t>.</w:t>
      </w:r>
      <w:r>
        <w:rPr>
          <w:snapToGrid w:val="0"/>
        </w:rPr>
        <w:tab/>
        <w:t>General penalty</w:t>
      </w:r>
      <w:bookmarkEnd w:id="504"/>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05" w:name="_Toc472605068"/>
      <w:r>
        <w:rPr>
          <w:rStyle w:val="CharSectno"/>
        </w:rPr>
        <w:t>312</w:t>
      </w:r>
      <w:r>
        <w:rPr>
          <w:snapToGrid w:val="0"/>
        </w:rPr>
        <w:t>.</w:t>
      </w:r>
      <w:r>
        <w:rPr>
          <w:snapToGrid w:val="0"/>
        </w:rPr>
        <w:tab/>
        <w:t>Fines, application of</w:t>
      </w:r>
      <w:bookmarkEnd w:id="505"/>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Footnotesection"/>
      </w:pPr>
      <w:r>
        <w:tab/>
        <w:t>[Section 312, formerly section 190, amended by No. 78 of 1995 s. 138; No. 42 of 2004 s. 150 and renumbered as section 312 by No. 42 of 2004 s. 154(1); amended by No. 77 of 2006 Sch. 1 cl. 189(9).]</w:t>
      </w:r>
    </w:p>
    <w:p>
      <w:pPr>
        <w:pStyle w:val="Heading5"/>
        <w:rPr>
          <w:snapToGrid w:val="0"/>
        </w:rPr>
      </w:pPr>
      <w:bookmarkStart w:id="506" w:name="_Toc472605069"/>
      <w:r>
        <w:rPr>
          <w:rStyle w:val="CharSectno"/>
        </w:rPr>
        <w:t>313</w:t>
      </w:r>
      <w:r>
        <w:rPr>
          <w:snapToGrid w:val="0"/>
        </w:rPr>
        <w:t>.</w:t>
      </w:r>
      <w:r>
        <w:rPr>
          <w:snapToGrid w:val="0"/>
        </w:rPr>
        <w:tab/>
        <w:t>Offences under Acts about workplace safety not affected</w:t>
      </w:r>
      <w:bookmarkEnd w:id="506"/>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07" w:name="_Toc472605070"/>
      <w:r>
        <w:rPr>
          <w:rStyle w:val="CharSectno"/>
        </w:rPr>
        <w:t>314</w:t>
      </w:r>
      <w:r>
        <w:t>.</w:t>
      </w:r>
      <w:r>
        <w:tab/>
        <w:t>WorkCover WA may specify form of sending information</w:t>
      </w:r>
      <w:bookmarkEnd w:id="507"/>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08" w:name="_Toc472605071"/>
      <w:r>
        <w:rPr>
          <w:rStyle w:val="CharSectno"/>
        </w:rPr>
        <w:t>315</w:t>
      </w:r>
      <w:r>
        <w:t>.</w:t>
      </w:r>
      <w:r>
        <w:tab/>
        <w:t>Prescribed amount and Amounts A and C, publication of</w:t>
      </w:r>
      <w:bookmarkEnd w:id="508"/>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09" w:name="_Toc472605072"/>
      <w:r>
        <w:rPr>
          <w:rStyle w:val="CharPartNo"/>
        </w:rPr>
        <w:t>Part XX</w:t>
      </w:r>
      <w:r>
        <w:rPr>
          <w:rStyle w:val="CharDivNo"/>
        </w:rPr>
        <w:t> </w:t>
      </w:r>
      <w:r>
        <w:t>—</w:t>
      </w:r>
      <w:r>
        <w:rPr>
          <w:rStyle w:val="CharDivText"/>
        </w:rPr>
        <w:t> </w:t>
      </w:r>
      <w:r>
        <w:rPr>
          <w:rStyle w:val="CharPartText"/>
        </w:rPr>
        <w:t>Repeal, savings, and transitional</w:t>
      </w:r>
      <w:bookmarkEnd w:id="509"/>
    </w:p>
    <w:p>
      <w:pPr>
        <w:pStyle w:val="Footnoteheading"/>
        <w:keepLines/>
      </w:pPr>
      <w:r>
        <w:tab/>
        <w:t>[Part XX heading, formerly Part XIII heading, renumbered by No. 42 of 2004 s. 154(3).]</w:t>
      </w:r>
    </w:p>
    <w:p>
      <w:pPr>
        <w:pStyle w:val="Heading5"/>
        <w:rPr>
          <w:snapToGrid w:val="0"/>
        </w:rPr>
      </w:pPr>
      <w:bookmarkStart w:id="510" w:name="_Toc472605073"/>
      <w:r>
        <w:rPr>
          <w:rStyle w:val="CharSectno"/>
        </w:rPr>
        <w:t>316</w:t>
      </w:r>
      <w:r>
        <w:rPr>
          <w:snapToGrid w:val="0"/>
        </w:rPr>
        <w:t>.</w:t>
      </w:r>
      <w:r>
        <w:rPr>
          <w:snapToGrid w:val="0"/>
        </w:rPr>
        <w:tab/>
        <w:t>Terms used</w:t>
      </w:r>
      <w:bookmarkEnd w:id="510"/>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11" w:name="_Toc472605074"/>
      <w:r>
        <w:rPr>
          <w:rStyle w:val="CharSectno"/>
        </w:rPr>
        <w:t>317</w:t>
      </w:r>
      <w:r>
        <w:t>.</w:t>
      </w:r>
      <w:r>
        <w:tab/>
        <w:t>Repeal</w:t>
      </w:r>
      <w:bookmarkEnd w:id="511"/>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by No. 42 of 2004 s. 154(1).]</w:t>
      </w:r>
    </w:p>
    <w:p>
      <w:pPr>
        <w:pStyle w:val="Heading5"/>
        <w:rPr>
          <w:snapToGrid w:val="0"/>
        </w:rPr>
      </w:pPr>
      <w:bookmarkStart w:id="512" w:name="_Toc472605075"/>
      <w:r>
        <w:rPr>
          <w:rStyle w:val="CharSectno"/>
        </w:rPr>
        <w:t>318</w:t>
      </w:r>
      <w:r>
        <w:rPr>
          <w:snapToGrid w:val="0"/>
        </w:rPr>
        <w:t>.</w:t>
      </w:r>
      <w:r>
        <w:rPr>
          <w:snapToGrid w:val="0"/>
        </w:rPr>
        <w:tab/>
      </w:r>
      <w:r>
        <w:rPr>
          <w:i/>
          <w:snapToGrid w:val="0"/>
        </w:rPr>
        <w:t>Interpretation Act 1918</w:t>
      </w:r>
      <w:r>
        <w:rPr>
          <w:snapToGrid w:val="0"/>
        </w:rPr>
        <w:t>, application of</w:t>
      </w:r>
      <w:bookmarkEnd w:id="512"/>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by No. 42 of 2004 s. 154(1).]</w:t>
      </w:r>
    </w:p>
    <w:p>
      <w:pPr>
        <w:pStyle w:val="Heading5"/>
        <w:rPr>
          <w:snapToGrid w:val="0"/>
        </w:rPr>
      </w:pPr>
      <w:bookmarkStart w:id="513" w:name="_Toc472605076"/>
      <w:r>
        <w:rPr>
          <w:rStyle w:val="CharSectno"/>
        </w:rPr>
        <w:t>319</w:t>
      </w:r>
      <w:r>
        <w:rPr>
          <w:snapToGrid w:val="0"/>
        </w:rPr>
        <w:t>.</w:t>
      </w:r>
      <w:r>
        <w:rPr>
          <w:snapToGrid w:val="0"/>
        </w:rPr>
        <w:tab/>
        <w:t>Act does not renew liability or entitlement</w:t>
      </w:r>
      <w:bookmarkEnd w:id="513"/>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by No. 42 of 2004 s. 154(1).]</w:t>
      </w:r>
    </w:p>
    <w:p>
      <w:pPr>
        <w:pStyle w:val="Heading5"/>
        <w:rPr>
          <w:snapToGrid w:val="0"/>
        </w:rPr>
      </w:pPr>
      <w:bookmarkStart w:id="514" w:name="_Toc472605077"/>
      <w:r>
        <w:rPr>
          <w:rStyle w:val="CharSectno"/>
        </w:rPr>
        <w:t>320</w:t>
      </w:r>
      <w:r>
        <w:rPr>
          <w:snapToGrid w:val="0"/>
        </w:rPr>
        <w:t>.</w:t>
      </w:r>
      <w:r>
        <w:rPr>
          <w:snapToGrid w:val="0"/>
        </w:rPr>
        <w:tab/>
        <w:t>Moneys paid under repealed Act taken into account</w:t>
      </w:r>
      <w:bookmarkEnd w:id="514"/>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15" w:name="_Toc472605078"/>
      <w:r>
        <w:rPr>
          <w:rStyle w:val="CharSectno"/>
        </w:rPr>
        <w:t>321</w:t>
      </w:r>
      <w:r>
        <w:rPr>
          <w:snapToGrid w:val="0"/>
        </w:rPr>
        <w:t>.</w:t>
      </w:r>
      <w:r>
        <w:rPr>
          <w:snapToGrid w:val="0"/>
        </w:rPr>
        <w:tab/>
        <w:t>Compensation for Sch. 2 injuries</w:t>
      </w:r>
      <w:bookmarkEnd w:id="515"/>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by No. 42 of 2004 s. 154(1).]</w:t>
      </w:r>
    </w:p>
    <w:p>
      <w:pPr>
        <w:pStyle w:val="Heading5"/>
        <w:rPr>
          <w:snapToGrid w:val="0"/>
        </w:rPr>
      </w:pPr>
      <w:bookmarkStart w:id="516" w:name="_Toc472605079"/>
      <w:r>
        <w:rPr>
          <w:rStyle w:val="CharSectno"/>
        </w:rPr>
        <w:t>322</w:t>
      </w:r>
      <w:r>
        <w:rPr>
          <w:snapToGrid w:val="0"/>
        </w:rPr>
        <w:t>.</w:t>
      </w:r>
      <w:r>
        <w:rPr>
          <w:snapToGrid w:val="0"/>
        </w:rPr>
        <w:tab/>
        <w:t>Child’s allowance</w:t>
      </w:r>
      <w:bookmarkEnd w:id="516"/>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by No. 42 of 2004 s. 154(1).]</w:t>
      </w:r>
    </w:p>
    <w:p>
      <w:pPr>
        <w:pStyle w:val="Heading5"/>
        <w:rPr>
          <w:snapToGrid w:val="0"/>
        </w:rPr>
      </w:pPr>
      <w:bookmarkStart w:id="517" w:name="_Toc472605080"/>
      <w:r>
        <w:rPr>
          <w:rStyle w:val="CharSectno"/>
        </w:rPr>
        <w:t>323</w:t>
      </w:r>
      <w:r>
        <w:rPr>
          <w:snapToGrid w:val="0"/>
        </w:rPr>
        <w:t>.</w:t>
      </w:r>
      <w:r>
        <w:rPr>
          <w:snapToGrid w:val="0"/>
        </w:rPr>
        <w:tab/>
        <w:t>Continuation of office holders, agreements etc.</w:t>
      </w:r>
      <w:bookmarkEnd w:id="517"/>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18" w:name="_Toc472605081"/>
      <w:r>
        <w:rPr>
          <w:rStyle w:val="CharSectno"/>
        </w:rPr>
        <w:t>324</w:t>
      </w:r>
      <w:r>
        <w:rPr>
          <w:snapToGrid w:val="0"/>
        </w:rPr>
        <w:t>.</w:t>
      </w:r>
      <w:r>
        <w:rPr>
          <w:snapToGrid w:val="0"/>
        </w:rPr>
        <w:tab/>
        <w:t>References to Board, Supplementary Board or officers</w:t>
      </w:r>
      <w:bookmarkEnd w:id="518"/>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pStyle w:val="Heading5"/>
      </w:pPr>
      <w:bookmarkStart w:id="519" w:name="_Toc472605082"/>
      <w:r>
        <w:rPr>
          <w:rStyle w:val="CharSectno"/>
        </w:rPr>
        <w:t>325</w:t>
      </w:r>
      <w:r>
        <w:t>.</w:t>
      </w:r>
      <w:r>
        <w:tab/>
        <w:t>Transitional provisions (Sch. 8)</w:t>
      </w:r>
      <w:bookmarkEnd w:id="519"/>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by No. 31 of 2011 s. 72.]</w:t>
      </w:r>
    </w:p>
    <w:p>
      <w:pPr>
        <w:pStyle w:val="yFootnoteheading"/>
      </w:pPr>
      <w:r>
        <w:tab/>
        <w:t>[Heading deleted by No. 19 of 2010 s. 42(3).]</w:t>
      </w:r>
    </w:p>
    <w:p>
      <w:pPr>
        <w:rPr>
          <w:rStyle w:val="CharDivText"/>
        </w:rPr>
        <w:sectPr>
          <w:headerReference w:type="even" r:id="rId29"/>
          <w:headerReference w:type="default" r:id="rId30"/>
          <w:footerReference w:type="even" r:id="rId31"/>
          <w:headerReference w:type="first" r:id="rId32"/>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520" w:name="_Toc472605083"/>
      <w:r>
        <w:rPr>
          <w:rStyle w:val="CharSchNo"/>
        </w:rPr>
        <w:t>Schedule 1</w:t>
      </w:r>
      <w:r>
        <w:rPr>
          <w:rStyle w:val="CharSDivNo"/>
        </w:rPr>
        <w:t> </w:t>
      </w:r>
      <w:r>
        <w:t>—</w:t>
      </w:r>
      <w:r>
        <w:rPr>
          <w:rStyle w:val="CharSDivText"/>
        </w:rPr>
        <w:t> </w:t>
      </w:r>
      <w:r>
        <w:rPr>
          <w:rStyle w:val="CharSchText"/>
        </w:rPr>
        <w:t>Compensation entitlements</w:t>
      </w:r>
      <w:bookmarkEnd w:id="520"/>
    </w:p>
    <w:p>
      <w:pPr>
        <w:pStyle w:val="yShoulderClause"/>
      </w:pPr>
      <w:r>
        <w:rPr>
          <w:snapToGrid w:val="0"/>
        </w:rPr>
        <w:t>[s. 18]</w:t>
      </w:r>
    </w:p>
    <w:p>
      <w:pPr>
        <w:pStyle w:val="yFootnoteheading"/>
      </w:pPr>
      <w:r>
        <w:tab/>
        <w:t xml:space="preserve">[Heading inserted by No. 42 of 2004 s. 141(1); </w:t>
      </w:r>
      <w:r>
        <w:rPr>
          <w:snapToGrid w:val="0"/>
        </w:rPr>
        <w:t>amended by No. 19 of 2010 s. 4</w:t>
      </w:r>
      <w:r>
        <w:t>.]</w:t>
      </w:r>
    </w:p>
    <w:p>
      <w:pPr>
        <w:pStyle w:val="yHeading5"/>
      </w:pPr>
      <w:bookmarkStart w:id="521" w:name="_Toc472605084"/>
      <w:r>
        <w:rPr>
          <w:rStyle w:val="CharSClsNo"/>
        </w:rPr>
        <w:t>1</w:t>
      </w:r>
      <w:r>
        <w:t>.</w:t>
      </w:r>
      <w:r>
        <w:tab/>
        <w:t>Death — dependants wholly dependent — notional residual entitlement</w:t>
      </w:r>
      <w:bookmarkEnd w:id="521"/>
    </w:p>
    <w:p>
      <w:pPr>
        <w:pStyle w:val="ySubsection"/>
      </w:pPr>
      <w:r>
        <w:tab/>
        <w:t>(1)</w:t>
      </w:r>
      <w:r>
        <w:tab/>
        <w:t>Subject to subclauses (2) and (3), where death results from the injury and the worker leaves —</w:t>
      </w:r>
    </w:p>
    <w:p>
      <w:pPr>
        <w:pStyle w:val="yIndenta"/>
      </w:pPr>
      <w:r>
        <w:tab/>
        <w:t>(a)</w:t>
      </w:r>
      <w:r>
        <w:tab/>
        <w:t>a dependant who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If death results from the injury and a worker dies leaving —</w:t>
      </w:r>
    </w:p>
    <w:p>
      <w:pPr>
        <w:pStyle w:val="yIndenta"/>
      </w:pPr>
      <w:r>
        <w:tab/>
        <w:t>(a)</w:t>
      </w:r>
      <w:r>
        <w:tab/>
        <w:t>a spouse or de facto partner; or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pPr>
      <w:bookmarkStart w:id="522" w:name="_Toc472605085"/>
      <w:r>
        <w:rPr>
          <w:rStyle w:val="CharSClsNo"/>
        </w:rPr>
        <w:t>1A</w:t>
      </w:r>
      <w:r>
        <w:t>.</w:t>
      </w:r>
      <w:r>
        <w:tab/>
        <w:t>Death — dependants wholly dependent — child’s allowance</w:t>
      </w:r>
      <w:bookmarkEnd w:id="522"/>
    </w:p>
    <w:p>
      <w:pPr>
        <w:pStyle w:val="ySubsection"/>
      </w:pPr>
      <w:r>
        <w:tab/>
      </w:r>
      <w:r>
        <w:tab/>
        <w:t>Subject to clause 1B, where death results from the injury and the worker leaves any dependants wholly dependent upon the worker’s earnings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pPr>
      <w:bookmarkStart w:id="523" w:name="_Toc472605086"/>
      <w:r>
        <w:rPr>
          <w:rStyle w:val="CharSClsNo"/>
        </w:rPr>
        <w:t>1B</w:t>
      </w:r>
      <w:r>
        <w:t>.</w:t>
      </w:r>
      <w:r>
        <w:tab/>
        <w:t>Death — dependants wholly dependent — notional residual entitlement or child’s allowance</w:t>
      </w:r>
      <w:bookmarkEnd w:id="523"/>
    </w:p>
    <w:p>
      <w:pPr>
        <w:pStyle w:val="ySubsection"/>
      </w:pPr>
      <w:r>
        <w:tab/>
        <w:t>(1)</w:t>
      </w:r>
      <w:r>
        <w:tab/>
        <w:t>Where death results from the injury and the worker dies leaving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or where death results from the injury and the worker dies leaving —</w:t>
      </w:r>
    </w:p>
    <w:p>
      <w:pPr>
        <w:pStyle w:val="yIndenta"/>
      </w:pPr>
      <w:r>
        <w:tab/>
        <w:t>(c)</w:t>
      </w:r>
      <w:r>
        <w:tab/>
        <w:t>a child or step</w:t>
      </w:r>
      <w:r>
        <w:noBreakHyphen/>
        <w:t>child of the worker wholly dependent upon the worker’s earnings who, apart from this subclause, would be entitled to a child’s allowance under clause 1A; and</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Where death results from the injury and the worker dies leaving a dependant wholly dependent upon the worker’s earnings who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the compensation entitlement of that dependant is whichever of the following an arbitrator determines as likely to be in the best interests of that dependant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pPr>
      <w:bookmarkStart w:id="524" w:name="_Toc472605087"/>
      <w:r>
        <w:rPr>
          <w:rStyle w:val="CharSClsNo"/>
        </w:rPr>
        <w:t>1C</w:t>
      </w:r>
      <w:r>
        <w:t>.</w:t>
      </w:r>
      <w:r>
        <w:tab/>
        <w:t>Determining entitlement under cl. 1B</w:t>
      </w:r>
      <w:bookmarkEnd w:id="524"/>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In the event of there being more than one dependant who elects to receive the apportionment under this clause, or who is otherwise entitled to receive an apportionment under clause 1, the compensation entitlement of each of those dependants is to be determined as follows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if an election is not made under paragraph (b) in accordance with subclause (6) and registered by the Director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rPr>
          <w:snapToGrid w:val="0"/>
        </w:rPr>
      </w:pPr>
      <w:bookmarkStart w:id="525" w:name="_Toc472605088"/>
      <w:r>
        <w:rPr>
          <w:rStyle w:val="CharSClsNo"/>
        </w:rPr>
        <w:t>2</w:t>
      </w:r>
      <w:r>
        <w:rPr>
          <w:snapToGrid w:val="0"/>
        </w:rPr>
        <w:t>.</w:t>
      </w:r>
      <w:r>
        <w:rPr>
          <w:snapToGrid w:val="0"/>
        </w:rPr>
        <w:tab/>
        <w:t>Death — partial dependants who are not children</w:t>
      </w:r>
      <w:bookmarkEnd w:id="525"/>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rPr>
          <w:snapToGrid w:val="0"/>
        </w:rPr>
      </w:pPr>
      <w:bookmarkStart w:id="526" w:name="_Toc472605089"/>
      <w:r>
        <w:rPr>
          <w:rStyle w:val="CharSClsNo"/>
        </w:rPr>
        <w:t>3</w:t>
      </w:r>
      <w:r>
        <w:rPr>
          <w:snapToGrid w:val="0"/>
        </w:rPr>
        <w:t>.</w:t>
      </w:r>
      <w:r>
        <w:rPr>
          <w:snapToGrid w:val="0"/>
        </w:rPr>
        <w:tab/>
        <w:t>Death — partial dependants who are children</w:t>
      </w:r>
      <w:bookmarkEnd w:id="52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rPr>
          <w:snapToGrid w:val="0"/>
        </w:rPr>
      </w:pPr>
      <w:bookmarkStart w:id="527" w:name="_Toc472605090"/>
      <w:r>
        <w:rPr>
          <w:rStyle w:val="CharSClsNo"/>
        </w:rPr>
        <w:t>4</w:t>
      </w:r>
      <w:r>
        <w:rPr>
          <w:snapToGrid w:val="0"/>
        </w:rPr>
        <w:t>.</w:t>
      </w:r>
      <w:r>
        <w:rPr>
          <w:snapToGrid w:val="0"/>
        </w:rPr>
        <w:tab/>
        <w:t>Death — no dependant</w:t>
      </w:r>
      <w:bookmarkEnd w:id="527"/>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rPr>
          <w:snapToGrid w:val="0"/>
        </w:rPr>
      </w:pPr>
      <w:bookmarkStart w:id="528" w:name="_Toc472605091"/>
      <w:r>
        <w:rPr>
          <w:rStyle w:val="CharSClsNo"/>
        </w:rPr>
        <w:t>5</w:t>
      </w:r>
      <w:r>
        <w:rPr>
          <w:snapToGrid w:val="0"/>
        </w:rPr>
        <w:t>.</w:t>
      </w:r>
      <w:r>
        <w:rPr>
          <w:snapToGrid w:val="0"/>
        </w:rPr>
        <w:tab/>
        <w:t>Death — where not resulting from the injury but weekly payments had been made</w:t>
      </w:r>
      <w:bookmarkEnd w:id="528"/>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w:t>
      </w:r>
    </w:p>
    <w:p>
      <w:pPr>
        <w:pStyle w:val="yIndenti0"/>
        <w:rPr>
          <w:snapToGrid w:val="0"/>
        </w:rPr>
      </w:pPr>
      <w:r>
        <w:rPr>
          <w:snapToGrid w:val="0"/>
        </w:rPr>
        <w:tab/>
        <w:t>(a)</w:t>
      </w:r>
      <w:r>
        <w:rPr>
          <w:snapToGrid w:val="0"/>
        </w:rPr>
        <w:tab/>
        <w:t>in respect of and for the benefit only of all those dependants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pPr>
      <w:r>
        <w:t>[</w:t>
      </w:r>
      <w:r>
        <w:rPr>
          <w:b/>
        </w:rPr>
        <w:t>6.</w:t>
      </w:r>
      <w:r>
        <w:rPr>
          <w:b/>
        </w:rPr>
        <w:tab/>
      </w:r>
      <w:r>
        <w:t>Deleted by No. 34 of 1999 s. 53(b).]</w:t>
      </w:r>
    </w:p>
    <w:p>
      <w:pPr>
        <w:pStyle w:val="yHeading5"/>
        <w:rPr>
          <w:snapToGrid w:val="0"/>
        </w:rPr>
      </w:pPr>
      <w:bookmarkStart w:id="529" w:name="_Toc472605092"/>
      <w:r>
        <w:rPr>
          <w:rStyle w:val="CharSClsNo"/>
        </w:rPr>
        <w:t>7</w:t>
      </w:r>
      <w:r>
        <w:rPr>
          <w:snapToGrid w:val="0"/>
        </w:rPr>
        <w:t>.</w:t>
      </w:r>
      <w:r>
        <w:rPr>
          <w:snapToGrid w:val="0"/>
        </w:rPr>
        <w:tab/>
        <w:t>Total or partial incapacity</w:t>
      </w:r>
      <w:bookmarkEnd w:id="529"/>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 No. 31 of 2011 s. 123(1).]</w:t>
      </w:r>
    </w:p>
    <w:p>
      <w:pPr>
        <w:pStyle w:val="yHeading5"/>
        <w:rPr>
          <w:snapToGrid w:val="0"/>
        </w:rPr>
      </w:pPr>
      <w:bookmarkStart w:id="530" w:name="_Toc472605093"/>
      <w:r>
        <w:rPr>
          <w:rStyle w:val="CharSClsNo"/>
        </w:rPr>
        <w:t>8</w:t>
      </w:r>
      <w:r>
        <w:rPr>
          <w:snapToGrid w:val="0"/>
        </w:rPr>
        <w:t>.</w:t>
      </w:r>
      <w:r>
        <w:rPr>
          <w:snapToGrid w:val="0"/>
        </w:rPr>
        <w:tab/>
        <w:t>Deemed total incapacity</w:t>
      </w:r>
      <w:bookmarkEnd w:id="530"/>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rPr>
          <w:snapToGrid w:val="0"/>
        </w:rPr>
      </w:pPr>
      <w:bookmarkStart w:id="531" w:name="_Toc472605094"/>
      <w:r>
        <w:rPr>
          <w:rStyle w:val="CharSClsNo"/>
        </w:rPr>
        <w:t>9</w:t>
      </w:r>
      <w:r>
        <w:rPr>
          <w:snapToGrid w:val="0"/>
        </w:rPr>
        <w:t>.</w:t>
      </w:r>
      <w:r>
        <w:rPr>
          <w:snapToGrid w:val="0"/>
        </w:rPr>
        <w:tab/>
        <w:t>No incapacity — medical expenses</w:t>
      </w:r>
      <w:bookmarkEnd w:id="531"/>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rPr>
          <w:snapToGrid w:val="0"/>
        </w:rPr>
      </w:pPr>
      <w:bookmarkStart w:id="532" w:name="_Toc472605095"/>
      <w:r>
        <w:rPr>
          <w:rStyle w:val="CharSClsNo"/>
        </w:rPr>
        <w:t>10</w:t>
      </w:r>
      <w:r>
        <w:rPr>
          <w:snapToGrid w:val="0"/>
        </w:rPr>
        <w:t>.</w:t>
      </w:r>
      <w:r>
        <w:rPr>
          <w:snapToGrid w:val="0"/>
        </w:rPr>
        <w:tab/>
        <w:t>Absence from work for medical attendance</w:t>
      </w:r>
      <w:bookmarkEnd w:id="532"/>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533" w:name="_Toc472605096"/>
      <w:r>
        <w:rPr>
          <w:rStyle w:val="CharSClsNo"/>
        </w:rPr>
        <w:t>11</w:t>
      </w:r>
      <w:r>
        <w:rPr>
          <w:snapToGrid w:val="0"/>
        </w:rPr>
        <w:t>.</w:t>
      </w:r>
      <w:r>
        <w:rPr>
          <w:snapToGrid w:val="0"/>
        </w:rPr>
        <w:tab/>
        <w:t>Terms used</w:t>
      </w:r>
      <w:bookmarkEnd w:id="533"/>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by No. 34 of 1999 s. 32(13); amended by No. 42 of 2004 s. 141(9)</w:t>
      </w:r>
      <w:r>
        <w:noBreakHyphen/>
        <w:t>(14) and 147; No. 16 of 2005 s. 15.]</w:t>
      </w:r>
    </w:p>
    <w:p>
      <w:pPr>
        <w:pStyle w:val="yEdnotesection"/>
        <w:outlineLvl w:val="9"/>
      </w:pPr>
      <w:r>
        <w:t>[</w:t>
      </w:r>
      <w:r>
        <w:rPr>
          <w:b/>
        </w:rPr>
        <w:t>11A.</w:t>
      </w:r>
      <w:r>
        <w:tab/>
        <w:t>Deleted by No. 34 of 1999 s. 32(13).]</w:t>
      </w:r>
    </w:p>
    <w:p>
      <w:pPr>
        <w:pStyle w:val="yHeading5"/>
        <w:rPr>
          <w:snapToGrid w:val="0"/>
        </w:rPr>
      </w:pPr>
      <w:bookmarkStart w:id="534" w:name="_Toc472605097"/>
      <w:r>
        <w:rPr>
          <w:rStyle w:val="CharSClsNo"/>
        </w:rPr>
        <w:t>12</w:t>
      </w:r>
      <w:r>
        <w:rPr>
          <w:snapToGrid w:val="0"/>
        </w:rPr>
        <w:t>.</w:t>
      </w:r>
      <w:r>
        <w:rPr>
          <w:snapToGrid w:val="0"/>
        </w:rPr>
        <w:tab/>
        <w:t>Part</w:t>
      </w:r>
      <w:r>
        <w:rPr>
          <w:snapToGrid w:val="0"/>
        </w:rPr>
        <w:noBreakHyphen/>
        <w:t>time worker, deductions in respect of</w:t>
      </w:r>
      <w:bookmarkEnd w:id="534"/>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rPr>
          <w:snapToGrid w:val="0"/>
        </w:rPr>
      </w:pPr>
      <w:bookmarkStart w:id="535" w:name="_Toc472605098"/>
      <w:r>
        <w:rPr>
          <w:rStyle w:val="CharSClsNo"/>
        </w:rPr>
        <w:t>13</w:t>
      </w:r>
      <w:r>
        <w:rPr>
          <w:snapToGrid w:val="0"/>
        </w:rPr>
        <w:t>.</w:t>
      </w:r>
      <w:r>
        <w:rPr>
          <w:snapToGrid w:val="0"/>
        </w:rPr>
        <w:tab/>
        <w:t>Concurrent contracts, deductions in respect of</w:t>
      </w:r>
      <w:bookmarkEnd w:id="535"/>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by No. 34 of 1999 s. 32(15)</w:t>
      </w:r>
      <w:r>
        <w:noBreakHyphen/>
        <w:t>(17) and (19); No. 42 of 2004 s. 147.]</w:t>
      </w:r>
    </w:p>
    <w:p>
      <w:pPr>
        <w:pStyle w:val="yHeading5"/>
        <w:rPr>
          <w:snapToGrid w:val="0"/>
        </w:rPr>
      </w:pPr>
      <w:bookmarkStart w:id="536" w:name="_Toc472605099"/>
      <w:r>
        <w:rPr>
          <w:rStyle w:val="CharSClsNo"/>
        </w:rPr>
        <w:t>14</w:t>
      </w:r>
      <w:r>
        <w:rPr>
          <w:snapToGrid w:val="0"/>
        </w:rPr>
        <w:t>.</w:t>
      </w:r>
      <w:r>
        <w:rPr>
          <w:snapToGrid w:val="0"/>
        </w:rPr>
        <w:tab/>
        <w:t>Casual or seasonal worker, weekly earnings of</w:t>
      </w:r>
      <w:bookmarkEnd w:id="536"/>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537" w:name="_Toc472605100"/>
      <w:r>
        <w:rPr>
          <w:rStyle w:val="CharSClsNo"/>
        </w:rPr>
        <w:t>15</w:t>
      </w:r>
      <w:r>
        <w:rPr>
          <w:snapToGrid w:val="0"/>
        </w:rPr>
        <w:t>.</w:t>
      </w:r>
      <w:r>
        <w:rPr>
          <w:snapToGrid w:val="0"/>
        </w:rPr>
        <w:tab/>
        <w:t>Paid board and lodging, effect on earnings</w:t>
      </w:r>
      <w:bookmarkEnd w:id="537"/>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by No. 34 of 1999 s. 53(c).]</w:t>
      </w:r>
    </w:p>
    <w:p>
      <w:pPr>
        <w:pStyle w:val="yHeading5"/>
      </w:pPr>
      <w:bookmarkStart w:id="538" w:name="_Toc472605101"/>
      <w:r>
        <w:rPr>
          <w:rStyle w:val="CharSClsNo"/>
        </w:rPr>
        <w:t>16A</w:t>
      </w:r>
      <w:r>
        <w:t>.</w:t>
      </w:r>
      <w:r>
        <w:tab/>
        <w:t>Weekly earnings of jockeys</w:t>
      </w:r>
      <w:bookmarkEnd w:id="538"/>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w:t>
      </w:r>
      <w:r>
        <w:rPr>
          <w:vertAlign w:val="superscript"/>
        </w:rPr>
        <w:t> 1</w:t>
      </w:r>
      <w:r>
        <w:t>,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by No. 45 of 2012 s. 6.]</w:t>
      </w:r>
    </w:p>
    <w:p>
      <w:pPr>
        <w:pStyle w:val="yHeading5"/>
        <w:rPr>
          <w:snapToGrid w:val="0"/>
        </w:rPr>
      </w:pPr>
      <w:bookmarkStart w:id="539" w:name="_Toc472605102"/>
      <w:r>
        <w:rPr>
          <w:rStyle w:val="CharSClsNo"/>
        </w:rPr>
        <w:t>16</w:t>
      </w:r>
      <w:r>
        <w:rPr>
          <w:snapToGrid w:val="0"/>
        </w:rPr>
        <w:t>.</w:t>
      </w:r>
      <w:r>
        <w:rPr>
          <w:snapToGrid w:val="0"/>
        </w:rPr>
        <w:tab/>
        <w:t>Varying weekly payments</w:t>
      </w:r>
      <w:bookmarkEnd w:id="539"/>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by No. 44 of 1985 s. 41; amended by No. 34 of 1999 s. 32(18) and (19); No. 42 of 2004 s. 147; No. 31 of 2011 s. 123(8).]</w:t>
      </w:r>
    </w:p>
    <w:p>
      <w:pPr>
        <w:pStyle w:val="yHeading5"/>
        <w:rPr>
          <w:snapToGrid w:val="0"/>
        </w:rPr>
      </w:pPr>
      <w:bookmarkStart w:id="540" w:name="_Toc472605103"/>
      <w:r>
        <w:rPr>
          <w:rStyle w:val="CharSClsNo"/>
        </w:rPr>
        <w:t>17</w:t>
      </w:r>
      <w:r>
        <w:rPr>
          <w:snapToGrid w:val="0"/>
        </w:rPr>
        <w:t>.</w:t>
      </w:r>
      <w:r>
        <w:rPr>
          <w:snapToGrid w:val="0"/>
        </w:rPr>
        <w:tab/>
        <w:t>Medical and other expenses</w:t>
      </w:r>
      <w:bookmarkEnd w:id="54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Indenta"/>
      </w:pPr>
      <w:r>
        <w:tab/>
        <w:t>(2)</w:t>
      </w:r>
      <w:r>
        <w:tab/>
        <w:t>funeral expenses, including all cemetery board charges, in the event of the death of the worker, but not exceeding —</w:t>
      </w:r>
    </w:p>
    <w:p>
      <w:pPr>
        <w:pStyle w:val="yIndenti0"/>
      </w:pPr>
      <w:r>
        <w:tab/>
        <w:t>(a)</w:t>
      </w:r>
      <w:r>
        <w:tab/>
        <w:t>the amount prescribed by the regulations for the purposes of this subclause; or</w:t>
      </w:r>
    </w:p>
    <w:p>
      <w:pPr>
        <w:pStyle w:val="yIndenti0"/>
      </w:pPr>
      <w:r>
        <w:tab/>
        <w:t>(b)</w:t>
      </w:r>
      <w:r>
        <w:tab/>
        <w:t>$7 000,</w:t>
      </w:r>
    </w:p>
    <w:p>
      <w:pPr>
        <w:pStyle w:val="yIndenta"/>
      </w:pPr>
      <w:r>
        <w:tab/>
      </w:r>
      <w:r>
        <w:tab/>
        <w:t>whichever is the greater amount; and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rPr>
          <w:snapToGrid w:val="0"/>
        </w:rPr>
      </w:pPr>
      <w:bookmarkStart w:id="541" w:name="_Toc472605104"/>
      <w:r>
        <w:rPr>
          <w:rStyle w:val="CharSClsNo"/>
        </w:rPr>
        <w:t>18</w:t>
      </w:r>
      <w:r>
        <w:rPr>
          <w:snapToGrid w:val="0"/>
        </w:rPr>
        <w:t>.</w:t>
      </w:r>
      <w:r>
        <w:rPr>
          <w:snapToGrid w:val="0"/>
        </w:rPr>
        <w:tab/>
        <w:t>Hospital charges, amount of</w:t>
      </w:r>
      <w:bookmarkEnd w:id="541"/>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 No. 11 of 2016 s. 306.]</w:t>
      </w:r>
    </w:p>
    <w:p>
      <w:pPr>
        <w:pStyle w:val="yHeading5"/>
        <w:rPr>
          <w:snapToGrid w:val="0"/>
        </w:rPr>
      </w:pPr>
      <w:bookmarkStart w:id="542" w:name="_Toc472605105"/>
      <w:r>
        <w:rPr>
          <w:rStyle w:val="CharSClsNo"/>
        </w:rPr>
        <w:t>18A</w:t>
      </w:r>
      <w:r>
        <w:rPr>
          <w:snapToGrid w:val="0"/>
        </w:rPr>
        <w:t>.</w:t>
      </w:r>
      <w:r>
        <w:rPr>
          <w:snapToGrid w:val="0"/>
        </w:rPr>
        <w:tab/>
        <w:t>Expenses exceeding those provided by cl. 17(1)</w:t>
      </w:r>
      <w:bookmarkEnd w:id="542"/>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 No. 31 of 2011 s. 123(9)</w:t>
      </w:r>
      <w:r>
        <w:noBreakHyphen/>
        <w:t>(16).]</w:t>
      </w:r>
    </w:p>
    <w:p>
      <w:pPr>
        <w:pStyle w:val="yHeading5"/>
      </w:pPr>
      <w:bookmarkStart w:id="543" w:name="_Toc472605106"/>
      <w:r>
        <w:rPr>
          <w:rStyle w:val="CharSClsNo"/>
        </w:rPr>
        <w:t>18B</w:t>
      </w:r>
      <w:r>
        <w:t>.</w:t>
      </w:r>
      <w:r>
        <w:tab/>
        <w:t>Final day for cl. 18A(1b) application</w:t>
      </w:r>
      <w:bookmarkEnd w:id="543"/>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by No. 42 of 2004 s. 141(24).]</w:t>
      </w:r>
    </w:p>
    <w:p>
      <w:pPr>
        <w:pStyle w:val="yHeading5"/>
      </w:pPr>
      <w:bookmarkStart w:id="544" w:name="_Toc472605107"/>
      <w:r>
        <w:rPr>
          <w:rStyle w:val="CharSClsNo"/>
        </w:rPr>
        <w:t>18C</w:t>
      </w:r>
      <w:r>
        <w:t>.</w:t>
      </w:r>
      <w:r>
        <w:tab/>
        <w:t>Degree of permanent whole of person impairment, dispute as to</w:t>
      </w:r>
      <w:bookmarkEnd w:id="544"/>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by No. 42 of 2004 s. 141(24).]</w:t>
      </w:r>
    </w:p>
    <w:p>
      <w:pPr>
        <w:pStyle w:val="yHeading5"/>
      </w:pPr>
      <w:bookmarkStart w:id="545" w:name="_Toc472605108"/>
      <w:r>
        <w:rPr>
          <w:rStyle w:val="CharSClsNo"/>
        </w:rPr>
        <w:t>18D</w:t>
      </w:r>
      <w:r>
        <w:t>.</w:t>
      </w:r>
      <w:r>
        <w:tab/>
        <w:t>Interim payment of expenses exceeding those provided by cl. 17(1)</w:t>
      </w:r>
      <w:bookmarkEnd w:id="545"/>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 amended by No. 31 of 2011 s. 123(17).]</w:t>
      </w:r>
    </w:p>
    <w:p>
      <w:pPr>
        <w:pStyle w:val="yHeading5"/>
        <w:rPr>
          <w:snapToGrid w:val="0"/>
        </w:rPr>
      </w:pPr>
      <w:bookmarkStart w:id="546" w:name="_Toc472605109"/>
      <w:r>
        <w:rPr>
          <w:rStyle w:val="CharSClsNo"/>
        </w:rPr>
        <w:t>19</w:t>
      </w:r>
      <w:r>
        <w:rPr>
          <w:snapToGrid w:val="0"/>
        </w:rPr>
        <w:t>.</w:t>
      </w:r>
      <w:r>
        <w:rPr>
          <w:snapToGrid w:val="0"/>
        </w:rPr>
        <w:tab/>
        <w:t>Travelling expenses</w:t>
      </w:r>
      <w:bookmarkEnd w:id="546"/>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[Clause 19 amended by No. 34 of 1999 s. 53(d); No. 31 of 2011 s. 123(18).]</w:t>
      </w:r>
    </w:p>
    <w:p>
      <w:pPr>
        <w:pStyle w:val="yScheduleHeading"/>
        <w:outlineLvl w:val="9"/>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yScheduleHeading"/>
      </w:pPr>
      <w:bookmarkStart w:id="548" w:name="_Toc472605110"/>
      <w:r>
        <w:rPr>
          <w:rStyle w:val="CharSchNo"/>
        </w:rPr>
        <w:t>Schedule 2</w:t>
      </w:r>
      <w:r>
        <w:t> — </w:t>
      </w:r>
      <w:r>
        <w:rPr>
          <w:rStyle w:val="CharSchText"/>
        </w:rPr>
        <w:t>Table of compensation payable</w:t>
      </w:r>
      <w:bookmarkEnd w:id="548"/>
    </w:p>
    <w:p>
      <w:pPr>
        <w:pStyle w:val="yShoulderClause"/>
      </w:pPr>
      <w:r>
        <w:rPr>
          <w:snapToGrid w:val="0"/>
        </w:rPr>
        <w:t>[s. 24]</w:t>
      </w:r>
    </w:p>
    <w:p>
      <w:pPr>
        <w:pStyle w:val="yFootnoteheading"/>
      </w:pPr>
      <w:r>
        <w:tab/>
        <w:t xml:space="preserve">[Heading inserted by No. 42 of 2004 s. 142(1); </w:t>
      </w:r>
      <w:r>
        <w:rPr>
          <w:snapToGrid w:val="0"/>
        </w:rPr>
        <w:t>amended by No. 19 of 2010 s. 4</w:t>
      </w:r>
      <w:r>
        <w:t>.]</w:t>
      </w:r>
    </w:p>
    <w:p>
      <w:pPr>
        <w:pStyle w:val="yHeading2"/>
        <w:spacing w:before="200"/>
      </w:pPr>
      <w:bookmarkStart w:id="549" w:name="_Toc472605111"/>
      <w:r>
        <w:rPr>
          <w:rStyle w:val="CharSDivNo"/>
          <w:sz w:val="28"/>
        </w:rPr>
        <w:t>Part 1</w:t>
      </w:r>
      <w:bookmarkEnd w:id="549"/>
    </w:p>
    <w:p>
      <w:pPr>
        <w:pStyle w:val="yFootnoteheading"/>
        <w:spacing w:after="4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by No. 44 of 1985 s. 42; No. 48 of 1993 s. 20; No. 34 of 1999 s. 54; No. 42 of 2004 s. 142(2).]</w:t>
      </w:r>
    </w:p>
    <w:p>
      <w:pPr>
        <w:pStyle w:val="yHeading2"/>
      </w:pPr>
      <w:bookmarkStart w:id="550" w:name="_Toc472605112"/>
      <w:r>
        <w:rPr>
          <w:rStyle w:val="CharSDivNo"/>
          <w:sz w:val="28"/>
        </w:rPr>
        <w:t>Part 2</w:t>
      </w:r>
      <w:bookmarkEnd w:id="550"/>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by No. 42 of 2004 s. 142(3).]</w:t>
      </w:r>
    </w:p>
    <w:p>
      <w:pPr>
        <w:tabs>
          <w:tab w:val="right" w:pos="882"/>
        </w:tabs>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551" w:name="_Toc472605113"/>
      <w:r>
        <w:rPr>
          <w:rStyle w:val="CharSchNo"/>
        </w:rPr>
        <w:t>Schedule 3</w:t>
      </w:r>
      <w:r>
        <w:t> — </w:t>
      </w:r>
      <w:r>
        <w:rPr>
          <w:rStyle w:val="CharSchText"/>
        </w:rPr>
        <w:t>Specified industrial diseases</w:t>
      </w:r>
      <w:bookmarkEnd w:id="551"/>
    </w:p>
    <w:p>
      <w:pPr>
        <w:pStyle w:val="yShoulderClause"/>
        <w:rPr>
          <w:snapToGrid w:val="0"/>
        </w:rPr>
      </w:pPr>
      <w:r>
        <w:rPr>
          <w:snapToGrid w:val="0"/>
        </w:rPr>
        <w:t>[s. 32]</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by No. 44 of 1985 s. 43; No. 48 of 1993 s. 42; (see Orders made under s. 45</w:t>
      </w:r>
      <w:r>
        <w:rPr>
          <w:vertAlign w:val="superscript"/>
        </w:rPr>
        <w:t> 5</w:t>
      </w:r>
      <w:r>
        <w:t>); No. 31 of 2011 s. 124.]</w:t>
      </w:r>
    </w:p>
    <w:p>
      <w:pPr>
        <w:pStyle w:val="yScheduleHeading"/>
      </w:pPr>
      <w:bookmarkStart w:id="552" w:name="_Toc472605114"/>
      <w:r>
        <w:rPr>
          <w:rStyle w:val="CharSchNo"/>
        </w:rPr>
        <w:t>Schedule 4A</w:t>
      </w:r>
      <w:r>
        <w:t> — </w:t>
      </w:r>
      <w:r>
        <w:rPr>
          <w:rStyle w:val="CharSchText"/>
        </w:rPr>
        <w:t>Specified diseases for firefighters</w:t>
      </w:r>
      <w:bookmarkEnd w:id="552"/>
    </w:p>
    <w:p>
      <w:pPr>
        <w:pStyle w:val="yShoulderClause"/>
        <w:spacing w:after="80"/>
      </w:pPr>
      <w:r>
        <w:t xml:space="preserve"> [s. 49A and 49C(1)(c)]</w:t>
      </w:r>
    </w:p>
    <w:p>
      <w:pPr>
        <w:pStyle w:val="yFootnoteheading"/>
        <w:spacing w:after="60"/>
      </w:pPr>
      <w:r>
        <w:tab/>
        <w:t>[Heading inserted by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by No. 21 of 2013 s. 5.]</w:t>
      </w:r>
    </w:p>
    <w:p>
      <w:pPr>
        <w:pStyle w:val="yScheduleHeading"/>
      </w:pPr>
      <w:bookmarkStart w:id="553" w:name="_Toc472605115"/>
      <w:r>
        <w:rPr>
          <w:rStyle w:val="CharSchNo"/>
        </w:rPr>
        <w:t>Schedule 4</w:t>
      </w:r>
      <w:r>
        <w:t> — </w:t>
      </w:r>
      <w:r>
        <w:rPr>
          <w:rStyle w:val="CharSchText"/>
        </w:rPr>
        <w:t>Specified losses of functions</w:t>
      </w:r>
      <w:bookmarkEnd w:id="553"/>
    </w:p>
    <w:p>
      <w:pPr>
        <w:pStyle w:val="yShoulderClause"/>
        <w:rPr>
          <w:snapToGrid w:val="0"/>
        </w:rPr>
      </w:pPr>
      <w:r>
        <w:rPr>
          <w:snapToGrid w:val="0"/>
        </w:rPr>
        <w:t>[s. 49]</w:t>
      </w:r>
    </w:p>
    <w:p>
      <w:pPr>
        <w:pStyle w:val="yFootnotesection"/>
      </w:pPr>
      <w:r>
        <w:tab/>
        <w:t>[Heading amended by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554" w:name="_Toc472605116"/>
      <w:r>
        <w:rPr>
          <w:rStyle w:val="CharSchNo"/>
        </w:rPr>
        <w:t>Schedule 5</w:t>
      </w:r>
      <w:r>
        <w:t> — </w:t>
      </w:r>
      <w:r>
        <w:rPr>
          <w:rStyle w:val="CharSchText"/>
        </w:rPr>
        <w:t>Exceptions to cessation of weekly payments by reason of age</w:t>
      </w:r>
      <w:bookmarkEnd w:id="554"/>
    </w:p>
    <w:p>
      <w:pPr>
        <w:pStyle w:val="yShoulderClause"/>
        <w:rPr>
          <w:snapToGrid w:val="0"/>
        </w:rPr>
      </w:pPr>
      <w:r>
        <w:rPr>
          <w:snapToGrid w:val="0"/>
        </w:rPr>
        <w:t>[s. 56]</w:t>
      </w:r>
    </w:p>
    <w:p>
      <w:pPr>
        <w:pStyle w:val="yHeading5"/>
        <w:outlineLvl w:val="0"/>
        <w:rPr>
          <w:snapToGrid w:val="0"/>
        </w:rPr>
      </w:pPr>
      <w:bookmarkStart w:id="555" w:name="_Toc472605117"/>
      <w:r>
        <w:rPr>
          <w:rStyle w:val="CharSClsNo"/>
        </w:rPr>
        <w:t>1</w:t>
      </w:r>
      <w:r>
        <w:rPr>
          <w:snapToGrid w:val="0"/>
        </w:rPr>
        <w:t>.</w:t>
      </w:r>
      <w:r>
        <w:rPr>
          <w:snapToGrid w:val="0"/>
        </w:rPr>
        <w:tab/>
        <w:t>Terms used</w:t>
      </w:r>
      <w:bookmarkEnd w:id="555"/>
    </w:p>
    <w:p>
      <w:pPr>
        <w:pStyle w:val="ySubsection"/>
        <w:rPr>
          <w:snapToGrid w:val="0"/>
        </w:rPr>
      </w:pPr>
      <w:r>
        <w:rPr>
          <w:snapToGrid w:val="0"/>
        </w:rPr>
        <w:tab/>
        <w:t>(1)</w:t>
      </w:r>
      <w:r>
        <w:rPr>
          <w:snapToGrid w:val="0"/>
        </w:rPr>
        <w:tab/>
        <w:t>In this Schedule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by No. 34 of 1999 s. 55(1); No. 28 of 2003 s. 216(1).]</w:t>
      </w:r>
    </w:p>
    <w:p>
      <w:pPr>
        <w:pStyle w:val="yHeading5"/>
        <w:outlineLvl w:val="9"/>
      </w:pPr>
      <w:bookmarkStart w:id="556" w:name="_Toc472605118"/>
      <w:r>
        <w:rPr>
          <w:rStyle w:val="CharSClsNo"/>
        </w:rPr>
        <w:t>1A</w:t>
      </w:r>
      <w:r>
        <w:t>.</w:t>
      </w:r>
      <w:r>
        <w:tab/>
        <w:t>Successive lung diseases to be regarded as one</w:t>
      </w:r>
      <w:bookmarkEnd w:id="556"/>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by No. 34 of 1999 s. 55(2); amended by No. 42 of 2004 s. 147 and 148(1).]</w:t>
      </w:r>
    </w:p>
    <w:p>
      <w:pPr>
        <w:pStyle w:val="yHeading5"/>
        <w:outlineLvl w:val="0"/>
        <w:rPr>
          <w:snapToGrid w:val="0"/>
        </w:rPr>
      </w:pPr>
      <w:bookmarkStart w:id="557" w:name="_Toc472605119"/>
      <w:r>
        <w:rPr>
          <w:rStyle w:val="CharSClsNo"/>
        </w:rPr>
        <w:t>2</w:t>
      </w:r>
      <w:r>
        <w:rPr>
          <w:snapToGrid w:val="0"/>
        </w:rPr>
        <w:t>.</w:t>
      </w:r>
      <w:r>
        <w:rPr>
          <w:snapToGrid w:val="0"/>
        </w:rPr>
        <w:tab/>
        <w:t>Worker who would have worked after age 65</w:t>
      </w:r>
      <w:bookmarkEnd w:id="557"/>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by No. 96 of 1990 s. 49(a); No. 48 of 1993 s. 28(1); No. 42 of 2004 s. 147 and 149.]</w:t>
      </w:r>
    </w:p>
    <w:p>
      <w:pPr>
        <w:pStyle w:val="yHeading5"/>
        <w:outlineLvl w:val="0"/>
        <w:rPr>
          <w:snapToGrid w:val="0"/>
        </w:rPr>
      </w:pPr>
      <w:bookmarkStart w:id="558" w:name="_Toc472605120"/>
      <w:r>
        <w:rPr>
          <w:rStyle w:val="CharSClsNo"/>
        </w:rPr>
        <w:t>3</w:t>
      </w:r>
      <w:r>
        <w:rPr>
          <w:snapToGrid w:val="0"/>
        </w:rPr>
        <w:t>.</w:t>
      </w:r>
      <w:r>
        <w:rPr>
          <w:snapToGrid w:val="0"/>
        </w:rPr>
        <w:tab/>
        <w:t>Incapacity for work resulting from pneumoconiosis, mesothelioma and lung cancer, weekly payments for</w:t>
      </w:r>
      <w:bookmarkEnd w:id="558"/>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Footnotesection"/>
        <w:spacing w:before="80"/>
        <w:rPr>
          <w:iCs/>
        </w:rPr>
      </w:pPr>
      <w:r>
        <w:rPr>
          <w:iCs/>
        </w:rPr>
        <w:tab/>
        <w:t>[Clause 3 inserted by No. 104 of 1984 s. 8; amended by No. 96 of 1990 s. 49(b); No. 42 of 2004 s. 147 and 148(1).]</w:t>
      </w:r>
    </w:p>
    <w:p>
      <w:pPr>
        <w:pStyle w:val="yHeading5"/>
        <w:outlineLvl w:val="0"/>
        <w:rPr>
          <w:snapToGrid w:val="0"/>
        </w:rPr>
      </w:pPr>
      <w:bookmarkStart w:id="559" w:name="_Toc472605121"/>
      <w:r>
        <w:rPr>
          <w:rStyle w:val="CharSClsNo"/>
        </w:rPr>
        <w:t>4</w:t>
      </w:r>
      <w:r>
        <w:rPr>
          <w:snapToGrid w:val="0"/>
        </w:rPr>
        <w:t>.</w:t>
      </w:r>
      <w:r>
        <w:rPr>
          <w:snapToGrid w:val="0"/>
        </w:rPr>
        <w:tab/>
        <w:t>Worker entitled under cl. 3 may elect to take redemption amount as lump sum or to get supplementary amount weekly</w:t>
      </w:r>
      <w:bookmarkEnd w:id="559"/>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by No. 104 of 1984 s. 8; amended by No. 96 of 1990 s. 49(c).]</w:t>
      </w:r>
    </w:p>
    <w:p>
      <w:pPr>
        <w:pStyle w:val="yHeading5"/>
        <w:outlineLvl w:val="0"/>
        <w:rPr>
          <w:snapToGrid w:val="0"/>
        </w:rPr>
      </w:pPr>
      <w:bookmarkStart w:id="560" w:name="_Toc472605122"/>
      <w:r>
        <w:rPr>
          <w:rStyle w:val="CharSClsNo"/>
        </w:rPr>
        <w:t>5</w:t>
      </w:r>
      <w:r>
        <w:rPr>
          <w:snapToGrid w:val="0"/>
        </w:rPr>
        <w:t>.</w:t>
      </w:r>
      <w:r>
        <w:rPr>
          <w:snapToGrid w:val="0"/>
        </w:rPr>
        <w:tab/>
        <w:t>Requirements for election under cl. 4</w:t>
      </w:r>
      <w:bookmarkEnd w:id="560"/>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by No. 104 of 1984 s. 8; amended by No. 48 of 1993 s. 28(1); No. 42 of 2004 s. 143(1) and 147.]</w:t>
      </w:r>
    </w:p>
    <w:p>
      <w:pPr>
        <w:pStyle w:val="yHeading5"/>
        <w:outlineLvl w:val="0"/>
        <w:rPr>
          <w:snapToGrid w:val="0"/>
        </w:rPr>
      </w:pPr>
      <w:bookmarkStart w:id="561" w:name="_Toc472605123"/>
      <w:r>
        <w:rPr>
          <w:rStyle w:val="CharSClsNo"/>
        </w:rPr>
        <w:t>6</w:t>
      </w:r>
      <w:r>
        <w:rPr>
          <w:snapToGrid w:val="0"/>
        </w:rPr>
        <w:t>.</w:t>
      </w:r>
      <w:r>
        <w:rPr>
          <w:snapToGrid w:val="0"/>
        </w:rPr>
        <w:tab/>
        <w:t>Effect of receiving the redemption amount as a lump sum</w:t>
      </w:r>
      <w:bookmarkEnd w:id="561"/>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62" w:name="_Toc472605124"/>
      <w:r>
        <w:rPr>
          <w:rStyle w:val="CharSClsNo"/>
        </w:rPr>
        <w:t>7</w:t>
      </w:r>
      <w:r>
        <w:rPr>
          <w:snapToGrid w:val="0"/>
        </w:rPr>
        <w:t>.</w:t>
      </w:r>
      <w:r>
        <w:rPr>
          <w:snapToGrid w:val="0"/>
        </w:rPr>
        <w:tab/>
        <w:t>Effect of receiving supplementary amount weekly</w:t>
      </w:r>
      <w:bookmarkEnd w:id="562"/>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r>
        <w:tab/>
        <w:t>[Clause 7 inserted by No. 104 of 1984 s. 8; amended by No. 28 of 2003 s. 216(2); No. 42 of 2004 s. 147, 149 and 150.]</w:t>
      </w:r>
    </w:p>
    <w:p>
      <w:pPr>
        <w:pStyle w:val="yHeading5"/>
        <w:outlineLvl w:val="0"/>
        <w:rPr>
          <w:snapToGrid w:val="0"/>
        </w:rPr>
      </w:pPr>
      <w:bookmarkStart w:id="563" w:name="_Toc472605125"/>
      <w:r>
        <w:rPr>
          <w:rStyle w:val="CharSClsNo"/>
        </w:rPr>
        <w:t>8</w:t>
      </w:r>
      <w:r>
        <w:rPr>
          <w:snapToGrid w:val="0"/>
        </w:rPr>
        <w:t>.</w:t>
      </w:r>
      <w:r>
        <w:rPr>
          <w:snapToGrid w:val="0"/>
        </w:rPr>
        <w:tab/>
        <w:t>Payment of supplementary amount weekly</w:t>
      </w:r>
      <w:bookmarkEnd w:id="563"/>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keepNext w:val="0"/>
        <w:keepLines w:val="0"/>
        <w:outlineLvl w:val="0"/>
        <w:rPr>
          <w:snapToGrid w:val="0"/>
        </w:rPr>
      </w:pPr>
      <w:bookmarkStart w:id="564" w:name="_Toc472605126"/>
      <w:r>
        <w:rPr>
          <w:rStyle w:val="CharSClsNo"/>
        </w:rPr>
        <w:t>9</w:t>
      </w:r>
      <w:r>
        <w:rPr>
          <w:snapToGrid w:val="0"/>
        </w:rPr>
        <w:t>.</w:t>
      </w:r>
      <w:r>
        <w:rPr>
          <w:snapToGrid w:val="0"/>
        </w:rPr>
        <w:tab/>
        <w:t>Death of a worker before 8 Mar 1991 — dependent spouse’s entitlements</w:t>
      </w:r>
      <w:bookmarkEnd w:id="564"/>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5" w:name="_Toc472605127"/>
      <w:r>
        <w:rPr>
          <w:rStyle w:val="CharSchNo"/>
        </w:rPr>
        <w:t>Schedule 6</w:t>
      </w:r>
      <w:r>
        <w:t> — </w:t>
      </w:r>
      <w:r>
        <w:rPr>
          <w:rStyle w:val="CharSchText"/>
        </w:rPr>
        <w:t>Adjacent areas</w:t>
      </w:r>
      <w:bookmarkEnd w:id="565"/>
    </w:p>
    <w:p>
      <w:pPr>
        <w:pStyle w:val="yShoulderClause"/>
      </w:pPr>
      <w:r>
        <w:t>[s. 20]</w:t>
      </w:r>
    </w:p>
    <w:p>
      <w:pPr>
        <w:pStyle w:val="yFootnoteheading"/>
        <w:tabs>
          <w:tab w:val="left" w:pos="851"/>
        </w:tabs>
      </w:pPr>
      <w:r>
        <w:tab/>
        <w:t>[Heading inserted by No. 36 of 2004 s. 13.]</w:t>
      </w:r>
    </w:p>
    <w:p>
      <w:pPr>
        <w:pStyle w:val="yHeading5"/>
        <w:outlineLvl w:val="0"/>
      </w:pPr>
      <w:bookmarkStart w:id="566" w:name="_Toc472605128"/>
      <w:r>
        <w:rPr>
          <w:rStyle w:val="CharSClsNo"/>
        </w:rPr>
        <w:t>1</w:t>
      </w:r>
      <w:r>
        <w:t>.</w:t>
      </w:r>
      <w:r>
        <w:tab/>
        <w:t>Terms used</w:t>
      </w:r>
      <w:bookmarkEnd w:id="566"/>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w:t>
      </w:r>
      <w:smartTag w:uri="urn:schemas-microsoft-com:office:smarttags" w:element="place">
        <w:r>
          <w:rPr>
            <w:i/>
          </w:rPr>
          <w:t>Timor Sea</w:t>
        </w:r>
      </w:smartTag>
      <w:r>
        <w:rPr>
          <w:i/>
        </w:rPr>
        <w:t xml:space="preserve">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 amended by No. 42 of 2010 s. 186(2) and (3).]</w:t>
      </w:r>
    </w:p>
    <w:p>
      <w:pPr>
        <w:pStyle w:val="yHeading5"/>
        <w:outlineLvl w:val="0"/>
      </w:pPr>
      <w:bookmarkStart w:id="567" w:name="_Toc472605129"/>
      <w:r>
        <w:rPr>
          <w:rStyle w:val="CharSClsNo"/>
        </w:rPr>
        <w:t>2</w:t>
      </w:r>
      <w:r>
        <w:t>.</w:t>
      </w:r>
      <w:r>
        <w:tab/>
        <w:t>Adjacent areas defined</w:t>
      </w:r>
      <w:bookmarkEnd w:id="567"/>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w:t>
      </w:r>
      <w:smartTag w:uri="urn:schemas-microsoft-com:office:smarttags" w:element="place">
        <w:smartTag w:uri="urn:schemas-microsoft-com:office:smarttags" w:element="State">
          <w:r>
            <w:t>Queensland</w:t>
          </w:r>
        </w:smartTag>
      </w:smartTag>
      <w:r>
        <w:t xml:space="preserve">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 xml:space="preserve">the Coral Sea area (within the meaning of section 7(2) of the Petroleum Act) other than the territorial sea within the </w:t>
      </w:r>
      <w:smartTag w:uri="urn:schemas-microsoft-com:office:smarttags" w:element="place">
        <w:r>
          <w:t>Coral Sea</w:t>
        </w:r>
      </w:smartTag>
      <w:r>
        <w:t xml:space="preserve">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t>
      </w:r>
      <w:smartTag w:uri="urn:schemas-microsoft-com:office:smarttags" w:element="State">
        <w:r>
          <w:t>Western Australia</w:t>
        </w:r>
      </w:smartTag>
      <w:r>
        <w:t xml:space="preserve"> is so much of the area described in Schedule 1 to the Petroleum Act in relation to </w:t>
      </w:r>
      <w:smartTag w:uri="urn:schemas-microsoft-com:office:smarttags" w:element="place">
        <w:smartTag w:uri="urn:schemas-microsoft-com:office:smarttags" w:element="State">
          <w:r>
            <w:t>Western Australia</w:t>
          </w:r>
        </w:smartTag>
      </w:smartTag>
      <w:r>
        <w:t xml:space="preserve">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w:t>
      </w:r>
      <w:smartTag w:uri="urn:schemas-microsoft-com:office:smarttags" w:element="place">
        <w:smartTag w:uri="urn:schemas-microsoft-com:office:smarttags" w:element="State">
          <w:r>
            <w:t>Northern Territory</w:t>
          </w:r>
        </w:smartTag>
      </w:smartTag>
      <w:r>
        <w:t xml:space="preserve"> is —</w:t>
      </w:r>
    </w:p>
    <w:p>
      <w:pPr>
        <w:pStyle w:val="yIndenta"/>
      </w:pPr>
      <w:r>
        <w:tab/>
        <w:t>(a)</w:t>
      </w:r>
      <w:r>
        <w:tab/>
        <w:t xml:space="preserve">so much of the area described in Schedule 1 to the Petroleum Act in relation to the </w:t>
      </w:r>
      <w:smartTag w:uri="urn:schemas-microsoft-com:office:smarttags" w:element="place">
        <w:smartTag w:uri="urn:schemas-microsoft-com:office:smarttags" w:element="State">
          <w:r>
            <w:t>Northern Territory</w:t>
          </w:r>
        </w:smartTag>
      </w:smartTag>
      <w:r>
        <w:t xml:space="preserve">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 xml:space="preserve">the offshore area for the </w:t>
      </w:r>
      <w:smartTag w:uri="urn:schemas-microsoft-com:office:smarttags" w:element="PlaceType">
        <w:r>
          <w:t>Territory</w:t>
        </w:r>
      </w:smartTag>
      <w:r>
        <w:t xml:space="preserve"> of </w:t>
      </w:r>
      <w:smartTag w:uri="urn:schemas-microsoft-com:office:smarttags" w:element="PlaceName">
        <w:r>
          <w:t>Ashmore</w:t>
        </w:r>
      </w:smartTag>
      <w:r>
        <w:t xml:space="preserve"> and </w:t>
      </w:r>
      <w:smartTag w:uri="urn:schemas-microsoft-com:office:smarttags" w:element="place">
        <w:smartTag w:uri="urn:schemas-microsoft-com:office:smarttags" w:element="PlaceName">
          <w:r>
            <w:t>Cartier</w:t>
          </w:r>
        </w:smartTag>
        <w:r>
          <w:t xml:space="preserve"> </w:t>
        </w:r>
        <w:smartTag w:uri="urn:schemas-microsoft-com:office:smarttags" w:element="PlaceType">
          <w:r>
            <w:t>Islands</w:t>
          </w:r>
        </w:smartTag>
      </w:smartTag>
      <w:r>
        <w:t xml:space="preserve">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by No. 36 of 2004 s. 13; amended by No. 42 of 2010 s. 186(4)-(8).]</w:t>
      </w:r>
    </w:p>
    <w:p>
      <w:pPr>
        <w:pStyle w:val="yScheduleHeading"/>
      </w:pPr>
      <w:bookmarkStart w:id="568" w:name="_Toc472605130"/>
      <w:r>
        <w:rPr>
          <w:rStyle w:val="CharSchNo"/>
        </w:rPr>
        <w:t>Schedule 7</w:t>
      </w:r>
      <w:r>
        <w:t> — </w:t>
      </w:r>
      <w:r>
        <w:rPr>
          <w:rStyle w:val="CharSchText"/>
        </w:rPr>
        <w:t>Noise induced hearing loss</w:t>
      </w:r>
      <w:bookmarkEnd w:id="568"/>
    </w:p>
    <w:p>
      <w:pPr>
        <w:pStyle w:val="yShoulderClause"/>
        <w:spacing w:before="80"/>
        <w:rPr>
          <w:snapToGrid w:val="0"/>
        </w:rPr>
      </w:pPr>
      <w:r>
        <w:rPr>
          <w:snapToGrid w:val="0"/>
        </w:rPr>
        <w:t>[s. 24A]</w:t>
      </w:r>
    </w:p>
    <w:p>
      <w:pPr>
        <w:pStyle w:val="yFootnoteheading"/>
        <w:spacing w:before="40"/>
        <w:rPr>
          <w:snapToGrid w:val="0"/>
        </w:rPr>
      </w:pPr>
      <w:r>
        <w:tab/>
        <w:t>[Heading inserted by No. 36 of 1988 s. 12.]</w:t>
      </w:r>
    </w:p>
    <w:p>
      <w:pPr>
        <w:pStyle w:val="yHeading5"/>
        <w:outlineLvl w:val="0"/>
        <w:rPr>
          <w:snapToGrid w:val="0"/>
        </w:rPr>
      </w:pPr>
      <w:bookmarkStart w:id="569" w:name="_Toc472605131"/>
      <w:r>
        <w:rPr>
          <w:rStyle w:val="CharSClsNo"/>
        </w:rPr>
        <w:t>1</w:t>
      </w:r>
      <w:r>
        <w:rPr>
          <w:snapToGrid w:val="0"/>
        </w:rPr>
        <w:t>.</w:t>
      </w:r>
      <w:r>
        <w:rPr>
          <w:snapToGrid w:val="0"/>
        </w:rPr>
        <w:tab/>
        <w:t>Terms used</w:t>
      </w:r>
      <w:bookmarkEnd w:id="569"/>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70" w:name="_Toc472605132"/>
      <w:r>
        <w:rPr>
          <w:rStyle w:val="CharSClsNo"/>
        </w:rPr>
        <w:t>2</w:t>
      </w:r>
      <w:r>
        <w:rPr>
          <w:snapToGrid w:val="0"/>
        </w:rPr>
        <w:t>.</w:t>
      </w:r>
      <w:r>
        <w:rPr>
          <w:snapToGrid w:val="0"/>
        </w:rPr>
        <w:tab/>
        <w:t>Audiometric tests, when some workers have to undergo</w:t>
      </w:r>
      <w:bookmarkEnd w:id="570"/>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71" w:name="_Toc472605133"/>
      <w:r>
        <w:rPr>
          <w:rStyle w:val="CharSClsNo"/>
        </w:rPr>
        <w:t>3</w:t>
      </w:r>
      <w:r>
        <w:rPr>
          <w:snapToGrid w:val="0"/>
        </w:rPr>
        <w:t>.</w:t>
      </w:r>
      <w:r>
        <w:rPr>
          <w:snapToGrid w:val="0"/>
        </w:rPr>
        <w:tab/>
        <w:t>Employer to arrange and pay for audiometric test</w:t>
      </w:r>
      <w:bookmarkEnd w:id="571"/>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72" w:name="_Toc472605134"/>
      <w:r>
        <w:rPr>
          <w:rStyle w:val="CharSClsNo"/>
        </w:rPr>
        <w:t>4</w:t>
      </w:r>
      <w:r>
        <w:rPr>
          <w:snapToGrid w:val="0"/>
        </w:rPr>
        <w:t>.</w:t>
      </w:r>
      <w:r>
        <w:rPr>
          <w:snapToGrid w:val="0"/>
        </w:rPr>
        <w:tab/>
        <w:t>Carrying out of audiometric tests</w:t>
      </w:r>
      <w:bookmarkEnd w:id="572"/>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3" w:name="_Toc472605135"/>
      <w:r>
        <w:rPr>
          <w:rStyle w:val="CharSClsNo"/>
        </w:rPr>
        <w:t>5</w:t>
      </w:r>
      <w:r>
        <w:rPr>
          <w:snapToGrid w:val="0"/>
        </w:rPr>
        <w:t>.</w:t>
      </w:r>
      <w:r>
        <w:rPr>
          <w:snapToGrid w:val="0"/>
        </w:rPr>
        <w:tab/>
        <w:t>Communication and storage of audiometric test results</w:t>
      </w:r>
      <w:bookmarkEnd w:id="573"/>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4" w:name="_Toc472605136"/>
      <w:r>
        <w:rPr>
          <w:rStyle w:val="CharSClsNo"/>
        </w:rPr>
        <w:t>6</w:t>
      </w:r>
      <w:r>
        <w:t>.</w:t>
      </w:r>
      <w:r>
        <w:tab/>
        <w:t>Referring questions about hearing loss etc. to medical assessment panel</w:t>
      </w:r>
      <w:bookmarkEnd w:id="574"/>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by No. 42 of 2004 s. 144(2); amended by No. 31 of 2011 s. 73.]</w:t>
      </w:r>
    </w:p>
    <w:p>
      <w:pPr>
        <w:pStyle w:val="yHeading5"/>
        <w:outlineLvl w:val="0"/>
        <w:rPr>
          <w:snapToGrid w:val="0"/>
        </w:rPr>
      </w:pPr>
      <w:bookmarkStart w:id="575" w:name="_Toc472605137"/>
      <w:r>
        <w:rPr>
          <w:rStyle w:val="CharSClsNo"/>
        </w:rPr>
        <w:t>7</w:t>
      </w:r>
      <w:r>
        <w:rPr>
          <w:snapToGrid w:val="0"/>
        </w:rPr>
        <w:t>.</w:t>
      </w:r>
      <w:r>
        <w:rPr>
          <w:snapToGrid w:val="0"/>
        </w:rPr>
        <w:tab/>
        <w:t>Re</w:t>
      </w:r>
      <w:r>
        <w:rPr>
          <w:snapToGrid w:val="0"/>
        </w:rPr>
        <w:noBreakHyphen/>
        <w:t>test of person’s hearing</w:t>
      </w:r>
      <w:bookmarkEnd w:id="575"/>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6" w:name="_Toc472605138"/>
      <w:r>
        <w:rPr>
          <w:rStyle w:val="CharSClsNo"/>
        </w:rPr>
        <w:t>8</w:t>
      </w:r>
      <w:r>
        <w:rPr>
          <w:snapToGrid w:val="0"/>
        </w:rPr>
        <w:t>.</w:t>
      </w:r>
      <w:r>
        <w:rPr>
          <w:snapToGrid w:val="0"/>
        </w:rPr>
        <w:tab/>
        <w:t>Determining extent of hearing loss</w:t>
      </w:r>
      <w:bookmarkEnd w:id="576"/>
    </w:p>
    <w:p>
      <w:pPr>
        <w:pStyle w:val="ySubsection"/>
        <w:rPr>
          <w:snapToGrid w:val="0"/>
        </w:rPr>
      </w:pPr>
      <w:r>
        <w:rPr>
          <w:snapToGrid w:val="0"/>
        </w:rPr>
        <w:tab/>
        <w:t>(1)</w:t>
      </w:r>
      <w:r>
        <w:rPr>
          <w:snapToGrid w:val="0"/>
        </w:rPr>
        <w:tab/>
        <w:t xml:space="preserve">The results of an audiometric test carried out on a worker and stored in any form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77" w:name="_Toc472605139"/>
      <w:r>
        <w:rPr>
          <w:rStyle w:val="CharSClsNo"/>
        </w:rPr>
        <w:t>9</w:t>
      </w:r>
      <w:r>
        <w:rPr>
          <w:snapToGrid w:val="0"/>
        </w:rPr>
        <w:t>.</w:t>
      </w:r>
      <w:r>
        <w:rPr>
          <w:snapToGrid w:val="0"/>
        </w:rPr>
        <w:tab/>
        <w:t>Audiometric test not conclusive proof that hearing loss is noise induced</w:t>
      </w:r>
      <w:bookmarkEnd w:id="577"/>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by No. 36 of 1988 s. 12.]</w:t>
      </w:r>
    </w:p>
    <w:p>
      <w:pPr>
        <w:pStyle w:val="yHeading5"/>
        <w:outlineLvl w:val="0"/>
        <w:rPr>
          <w:snapToGrid w:val="0"/>
        </w:rPr>
      </w:pPr>
      <w:bookmarkStart w:id="578" w:name="_Toc472605140"/>
      <w:r>
        <w:rPr>
          <w:rStyle w:val="CharSClsNo"/>
        </w:rPr>
        <w:t>10</w:t>
      </w:r>
      <w:r>
        <w:rPr>
          <w:snapToGrid w:val="0"/>
        </w:rPr>
        <w:t>.</w:t>
      </w:r>
      <w:r>
        <w:rPr>
          <w:snapToGrid w:val="0"/>
        </w:rPr>
        <w:tab/>
        <w:t>Workplaces to be prescribed</w:t>
      </w:r>
      <w:bookmarkEnd w:id="578"/>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79" w:name="_Toc472605141"/>
      <w:r>
        <w:rPr>
          <w:rStyle w:val="CharSchNo"/>
        </w:rPr>
        <w:t>Schedule 8</w:t>
      </w:r>
      <w:r>
        <w:rPr>
          <w:rStyle w:val="CharSDivNo"/>
        </w:rPr>
        <w:t> </w:t>
      </w:r>
      <w:r>
        <w:t>—</w:t>
      </w:r>
      <w:r>
        <w:rPr>
          <w:rStyle w:val="CharSDivText"/>
        </w:rPr>
        <w:t> </w:t>
      </w:r>
      <w:r>
        <w:rPr>
          <w:rStyle w:val="CharSchText"/>
        </w:rPr>
        <w:t>Transitional provisions</w:t>
      </w:r>
      <w:bookmarkEnd w:id="579"/>
    </w:p>
    <w:p>
      <w:pPr>
        <w:pStyle w:val="yShoulderClause"/>
      </w:pPr>
      <w:r>
        <w:t>[s. 325]</w:t>
      </w:r>
    </w:p>
    <w:p>
      <w:pPr>
        <w:pStyle w:val="yFootnoteheading"/>
        <w:spacing w:before="40"/>
        <w:rPr>
          <w:snapToGrid w:val="0"/>
        </w:rPr>
      </w:pPr>
      <w:r>
        <w:tab/>
        <w:t>[Heading inserted by No. 31 of 2011 s. 74.]</w:t>
      </w:r>
    </w:p>
    <w:p>
      <w:pPr>
        <w:pStyle w:val="yHeading5"/>
      </w:pPr>
      <w:bookmarkStart w:id="580" w:name="_Toc472605142"/>
      <w:r>
        <w:rPr>
          <w:rStyle w:val="CharSClsNo"/>
        </w:rPr>
        <w:t>1</w:t>
      </w:r>
      <w:r>
        <w:t>.</w:t>
      </w:r>
      <w:r>
        <w:tab/>
        <w:t>Terms used</w:t>
      </w:r>
      <w:bookmarkEnd w:id="580"/>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by No. 31 of 2011 s. 74.]</w:t>
      </w:r>
    </w:p>
    <w:p>
      <w:pPr>
        <w:pStyle w:val="yHeading5"/>
      </w:pPr>
      <w:bookmarkStart w:id="581" w:name="_Toc472605143"/>
      <w:r>
        <w:rPr>
          <w:rStyle w:val="CharSClsNo"/>
        </w:rPr>
        <w:t>2</w:t>
      </w:r>
      <w:r>
        <w:t>.</w:t>
      </w:r>
      <w:r>
        <w:tab/>
        <w:t>Pending arbitration proceedings</w:t>
      </w:r>
      <w:bookmarkEnd w:id="581"/>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by No. 31 of 2011 s. 74.]</w:t>
      </w:r>
    </w:p>
    <w:p>
      <w:pPr>
        <w:pStyle w:val="yHeading5"/>
      </w:pPr>
      <w:bookmarkStart w:id="582" w:name="_Toc472605144"/>
      <w:r>
        <w:rPr>
          <w:rStyle w:val="CharSClsNo"/>
        </w:rPr>
        <w:t>3</w:t>
      </w:r>
      <w:r>
        <w:t>.</w:t>
      </w:r>
      <w:r>
        <w:tab/>
        <w:t>Pending Part XII applications</w:t>
      </w:r>
      <w:bookmarkEnd w:id="582"/>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by No. 31 of 2011 s. 74.]</w:t>
      </w:r>
    </w:p>
    <w:p>
      <w:pPr>
        <w:pStyle w:val="yHeading5"/>
      </w:pPr>
      <w:bookmarkStart w:id="583" w:name="_Toc472605145"/>
      <w:r>
        <w:rPr>
          <w:rStyle w:val="CharSClsNo"/>
        </w:rPr>
        <w:t>4</w:t>
      </w:r>
      <w:r>
        <w:t>.</w:t>
      </w:r>
      <w:r>
        <w:tab/>
        <w:t>DRD records</w:t>
      </w:r>
      <w:bookmarkEnd w:id="583"/>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by No. 31 of 2011 s. 74.]</w:t>
      </w:r>
    </w:p>
    <w:p>
      <w:pPr>
        <w:pStyle w:val="yHeading5"/>
      </w:pPr>
      <w:bookmarkStart w:id="584" w:name="_Toc472605146"/>
      <w:r>
        <w:rPr>
          <w:rStyle w:val="CharSClsNo"/>
        </w:rPr>
        <w:t>5</w:t>
      </w:r>
      <w:r>
        <w:t>.</w:t>
      </w:r>
      <w:r>
        <w:tab/>
        <w:t>Pending Part XIII matters</w:t>
      </w:r>
      <w:bookmarkEnd w:id="584"/>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by No. 31 of 2011 s. 74.]</w:t>
      </w:r>
    </w:p>
    <w:p>
      <w:pPr>
        <w:pStyle w:val="yHeading5"/>
      </w:pPr>
      <w:bookmarkStart w:id="585" w:name="_Toc472605147"/>
      <w:r>
        <w:rPr>
          <w:rStyle w:val="CharSClsNo"/>
        </w:rPr>
        <w:t>6</w:t>
      </w:r>
      <w:r>
        <w:t>.</w:t>
      </w:r>
      <w:r>
        <w:tab/>
        <w:t>Pending Court of Appeal matters</w:t>
      </w:r>
      <w:bookmarkEnd w:id="585"/>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by No. 31 of 2011 s. 74.]</w:t>
      </w:r>
    </w:p>
    <w:p>
      <w:pPr>
        <w:pStyle w:val="yHeading5"/>
      </w:pPr>
      <w:bookmarkStart w:id="586" w:name="_Toc472605148"/>
      <w:r>
        <w:rPr>
          <w:rStyle w:val="CharSClsNo"/>
        </w:rPr>
        <w:t>7</w:t>
      </w:r>
      <w:r>
        <w:t>.</w:t>
      </w:r>
      <w:r>
        <w:tab/>
        <w:t>Further Court of Appeal matters</w:t>
      </w:r>
      <w:bookmarkEnd w:id="586"/>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by No. 31 of 2011 s. 74.]</w:t>
      </w:r>
    </w:p>
    <w:p>
      <w:pPr>
        <w:pStyle w:val="yHeading5"/>
      </w:pPr>
      <w:bookmarkStart w:id="587" w:name="_Toc472605149"/>
      <w:r>
        <w:rPr>
          <w:rStyle w:val="CharSClsNo"/>
        </w:rPr>
        <w:t>8</w:t>
      </w:r>
      <w:r>
        <w:t>.</w:t>
      </w:r>
      <w:r>
        <w:tab/>
        <w:t>Continuation of Commissioner’s appointment</w:t>
      </w:r>
      <w:bookmarkEnd w:id="587"/>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by No. 31 of 2011 s. 74.]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headerReference w:type="first" r:id="rId43"/>
          <w:pgSz w:w="11907" w:h="16840" w:code="9"/>
          <w:pgMar w:top="2376" w:right="2405" w:bottom="3542" w:left="2405" w:header="706" w:footer="3380" w:gutter="0"/>
          <w:cols w:space="720"/>
          <w:noEndnote/>
          <w:docGrid w:linePitch="326"/>
        </w:sectPr>
      </w:pPr>
    </w:p>
    <w:p>
      <w:pPr>
        <w:pStyle w:val="nHeading2"/>
        <w:outlineLvl w:val="0"/>
      </w:pPr>
      <w:bookmarkStart w:id="588" w:name="_Toc472605150"/>
      <w:r>
        <w:t>Notes</w:t>
      </w:r>
      <w:bookmarkEnd w:id="588"/>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9" w:name="_Toc472605151"/>
      <w:r>
        <w:rPr>
          <w:snapToGrid w:val="0"/>
        </w:rPr>
        <w:t>Compilation table</w:t>
      </w:r>
      <w:bookmarkEnd w:id="589"/>
    </w:p>
    <w:tbl>
      <w:tblPr>
        <w:tblW w:w="7088"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4"/>
      </w:tblGrid>
      <w:tr>
        <w:trPr>
          <w:cantSplit/>
          <w:tblHeader/>
        </w:trPr>
        <w:tc>
          <w:tcPr>
            <w:tcW w:w="2266"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4"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6" w:type="dxa"/>
            <w:tcBorders>
              <w:top w:val="single" w:sz="8" w:space="0" w:color="auto"/>
            </w:tcBorders>
          </w:tcPr>
          <w:p>
            <w:pPr>
              <w:pStyle w:val="nTable"/>
              <w:spacing w:before="60" w:after="60"/>
            </w:pPr>
            <w:r>
              <w:rPr>
                <w:i/>
              </w:rPr>
              <w:t>Workers’ Compensation and Assistance Act 1981</w:t>
            </w:r>
            <w:r>
              <w:rPr>
                <w:vertAlign w:val="superscript"/>
              </w:rPr>
              <w:t> 9</w:t>
            </w:r>
          </w:p>
        </w:tc>
        <w:tc>
          <w:tcPr>
            <w:tcW w:w="1134" w:type="dxa"/>
            <w:tcBorders>
              <w:top w:val="single" w:sz="8" w:space="0" w:color="auto"/>
            </w:tcBorders>
          </w:tcPr>
          <w:p>
            <w:pPr>
              <w:pStyle w:val="nTable"/>
              <w:spacing w:before="60" w:after="60"/>
            </w:pPr>
            <w:r>
              <w:t>86 of 1981</w:t>
            </w:r>
          </w:p>
        </w:tc>
        <w:tc>
          <w:tcPr>
            <w:tcW w:w="1134" w:type="dxa"/>
            <w:tcBorders>
              <w:top w:val="single" w:sz="8" w:space="0" w:color="auto"/>
            </w:tcBorders>
          </w:tcPr>
          <w:p>
            <w:pPr>
              <w:pStyle w:val="nTable"/>
              <w:spacing w:before="60" w:after="60"/>
            </w:pPr>
            <w:r>
              <w:t>23 Nov 1981</w:t>
            </w:r>
          </w:p>
        </w:tc>
        <w:tc>
          <w:tcPr>
            <w:tcW w:w="2554" w:type="dxa"/>
            <w:tcBorders>
              <w:top w:val="single" w:sz="8" w:space="0" w:color="auto"/>
            </w:tcBorders>
          </w:tcPr>
          <w:p>
            <w:pPr>
              <w:pStyle w:val="nTable"/>
              <w:spacing w:before="60" w:after="60"/>
            </w:pPr>
            <w:r>
              <w:t xml:space="preserve">3 May 1982 (see s. 2 and </w:t>
            </w:r>
            <w:r>
              <w:rPr>
                <w:i/>
              </w:rPr>
              <w:t>Gazette</w:t>
            </w:r>
            <w:r>
              <w:t xml:space="preserve"> 8 Apr 1982 p. 1205)</w:t>
            </w:r>
          </w:p>
        </w:tc>
      </w:tr>
      <w:tr>
        <w:trPr>
          <w:cantSplit/>
        </w:trPr>
        <w:tc>
          <w:tcPr>
            <w:tcW w:w="2266" w:type="dxa"/>
          </w:tcPr>
          <w:p>
            <w:pPr>
              <w:pStyle w:val="nTable"/>
              <w:spacing w:before="60" w:after="60"/>
            </w:pPr>
            <w:r>
              <w:rPr>
                <w:i/>
              </w:rPr>
              <w:t>Workers’ Compensation and Assistance Amendment Act 1983</w:t>
            </w:r>
          </w:p>
        </w:tc>
        <w:tc>
          <w:tcPr>
            <w:tcW w:w="1134" w:type="dxa"/>
          </w:tcPr>
          <w:p>
            <w:pPr>
              <w:pStyle w:val="nTable"/>
              <w:spacing w:before="60" w:after="60"/>
            </w:pPr>
            <w:r>
              <w:t>16 of 1983</w:t>
            </w:r>
          </w:p>
        </w:tc>
        <w:tc>
          <w:tcPr>
            <w:tcW w:w="1134" w:type="dxa"/>
          </w:tcPr>
          <w:p>
            <w:pPr>
              <w:pStyle w:val="nTable"/>
              <w:spacing w:before="60" w:after="60"/>
            </w:pPr>
            <w:r>
              <w:t>7 Nov 1983</w:t>
            </w:r>
          </w:p>
        </w:tc>
        <w:tc>
          <w:tcPr>
            <w:tcW w:w="2554" w:type="dxa"/>
          </w:tcPr>
          <w:p>
            <w:pPr>
              <w:pStyle w:val="nTable"/>
              <w:spacing w:before="60" w:after="60"/>
            </w:pPr>
            <w:r>
              <w:t>7 Nov 1983</w:t>
            </w:r>
          </w:p>
        </w:tc>
      </w:tr>
      <w:tr>
        <w:trPr>
          <w:cantSplit/>
        </w:trPr>
        <w:tc>
          <w:tcPr>
            <w:tcW w:w="2266" w:type="dxa"/>
          </w:tcPr>
          <w:p>
            <w:pPr>
              <w:pStyle w:val="nTable"/>
              <w:spacing w:before="60" w:after="60"/>
            </w:pPr>
            <w:r>
              <w:rPr>
                <w:i/>
              </w:rPr>
              <w:t>Workers’ Compensation and Assistance Amendment Act (No. 2) 1983</w:t>
            </w:r>
          </w:p>
        </w:tc>
        <w:tc>
          <w:tcPr>
            <w:tcW w:w="1134" w:type="dxa"/>
          </w:tcPr>
          <w:p>
            <w:pPr>
              <w:pStyle w:val="nTable"/>
              <w:spacing w:before="60" w:after="60"/>
            </w:pPr>
            <w:r>
              <w:t>79 of 1983</w:t>
            </w:r>
          </w:p>
        </w:tc>
        <w:tc>
          <w:tcPr>
            <w:tcW w:w="1134" w:type="dxa"/>
          </w:tcPr>
          <w:p>
            <w:pPr>
              <w:pStyle w:val="nTable"/>
              <w:spacing w:before="60" w:after="60"/>
            </w:pPr>
            <w:r>
              <w:t>22 Dec 1983</w:t>
            </w:r>
          </w:p>
        </w:tc>
        <w:tc>
          <w:tcPr>
            <w:tcW w:w="2554" w:type="dxa"/>
          </w:tcPr>
          <w:p>
            <w:pPr>
              <w:pStyle w:val="nTable"/>
              <w:spacing w:before="60" w:after="60"/>
            </w:pPr>
            <w:r>
              <w:t>22 Dec 1983</w:t>
            </w:r>
          </w:p>
        </w:tc>
      </w:tr>
      <w:tr>
        <w:trPr>
          <w:cantSplit/>
        </w:trPr>
        <w:tc>
          <w:tcPr>
            <w:tcW w:w="2266" w:type="dxa"/>
          </w:tcPr>
          <w:p>
            <w:pPr>
              <w:pStyle w:val="nTable"/>
              <w:spacing w:before="60" w:after="60"/>
            </w:pPr>
            <w:r>
              <w:rPr>
                <w:i/>
              </w:rPr>
              <w:t>Health Legislation Amendment Act 1984</w:t>
            </w:r>
            <w:r>
              <w:t xml:space="preserve"> Pt. XXIV</w:t>
            </w:r>
          </w:p>
        </w:tc>
        <w:tc>
          <w:tcPr>
            <w:tcW w:w="1134" w:type="dxa"/>
          </w:tcPr>
          <w:p>
            <w:pPr>
              <w:pStyle w:val="nTable"/>
              <w:spacing w:before="60" w:after="60"/>
            </w:pPr>
            <w:r>
              <w:t>28 of 1984</w:t>
            </w:r>
          </w:p>
        </w:tc>
        <w:tc>
          <w:tcPr>
            <w:tcW w:w="1134" w:type="dxa"/>
          </w:tcPr>
          <w:p>
            <w:pPr>
              <w:pStyle w:val="nTable"/>
              <w:spacing w:before="60" w:after="60"/>
            </w:pPr>
            <w:r>
              <w:t xml:space="preserve">31 May 1984 </w:t>
            </w:r>
          </w:p>
        </w:tc>
        <w:tc>
          <w:tcPr>
            <w:tcW w:w="2554" w:type="dxa"/>
          </w:tcPr>
          <w:p>
            <w:pPr>
              <w:pStyle w:val="nTable"/>
              <w:spacing w:before="60" w:after="60"/>
            </w:pPr>
            <w:r>
              <w:t xml:space="preserve">1 Jul 1984 (see s. 2 and </w:t>
            </w:r>
            <w:r>
              <w:rPr>
                <w:i/>
              </w:rPr>
              <w:t>Gazette</w:t>
            </w:r>
            <w:r>
              <w:t xml:space="preserve"> 15 Jun 1984 p. 1629)</w:t>
            </w:r>
          </w:p>
        </w:tc>
      </w:tr>
      <w:tr>
        <w:trPr>
          <w:cantSplit/>
        </w:trPr>
        <w:tc>
          <w:tcPr>
            <w:tcW w:w="2266" w:type="dxa"/>
          </w:tcPr>
          <w:p>
            <w:pPr>
              <w:pStyle w:val="nTable"/>
              <w:spacing w:before="60" w:after="60"/>
            </w:pPr>
            <w:r>
              <w:rPr>
                <w:i/>
              </w:rPr>
              <w:t>Workers’ Compensation and Assistance Amendment Act 1984</w:t>
            </w:r>
            <w:r>
              <w:rPr>
                <w:vertAlign w:val="superscript"/>
              </w:rPr>
              <w:t> 10</w:t>
            </w:r>
          </w:p>
        </w:tc>
        <w:tc>
          <w:tcPr>
            <w:tcW w:w="1134" w:type="dxa"/>
          </w:tcPr>
          <w:p>
            <w:pPr>
              <w:pStyle w:val="nTable"/>
              <w:spacing w:before="60" w:after="60"/>
            </w:pPr>
            <w:r>
              <w:t>104 of 1984</w:t>
            </w:r>
          </w:p>
        </w:tc>
        <w:tc>
          <w:tcPr>
            <w:tcW w:w="1134" w:type="dxa"/>
          </w:tcPr>
          <w:p>
            <w:pPr>
              <w:pStyle w:val="nTable"/>
              <w:spacing w:before="60" w:after="60"/>
            </w:pPr>
            <w:r>
              <w:t>19 Dec 1984</w:t>
            </w:r>
          </w:p>
        </w:tc>
        <w:tc>
          <w:tcPr>
            <w:tcW w:w="2554" w:type="dxa"/>
          </w:tcPr>
          <w:p>
            <w:pPr>
              <w:pStyle w:val="nTable"/>
              <w:spacing w:before="60" w:after="60"/>
            </w:pPr>
            <w:r>
              <w:t>19 Dec 1984 (see s. 2)</w:t>
            </w:r>
          </w:p>
        </w:tc>
      </w:tr>
      <w:tr>
        <w:trPr>
          <w:cantSplit/>
        </w:trPr>
        <w:tc>
          <w:tcPr>
            <w:tcW w:w="2266" w:type="dxa"/>
          </w:tcPr>
          <w:p>
            <w:pPr>
              <w:pStyle w:val="nTable"/>
              <w:spacing w:before="60" w:after="60"/>
              <w:rPr>
                <w:vertAlign w:val="superscript"/>
              </w:rPr>
            </w:pPr>
            <w:r>
              <w:rPr>
                <w:i/>
              </w:rPr>
              <w:t>Workers’ Compensation and Assistance Amendment Act 1985</w:t>
            </w:r>
            <w:r>
              <w:rPr>
                <w:vertAlign w:val="superscript"/>
              </w:rPr>
              <w:t> 11</w:t>
            </w:r>
            <w:r>
              <w:rPr>
                <w:vertAlign w:val="superscript"/>
              </w:rPr>
              <w:noBreakHyphen/>
              <w:t>14</w:t>
            </w:r>
          </w:p>
        </w:tc>
        <w:tc>
          <w:tcPr>
            <w:tcW w:w="1134" w:type="dxa"/>
          </w:tcPr>
          <w:p>
            <w:pPr>
              <w:pStyle w:val="nTable"/>
              <w:keepNext/>
              <w:keepLines/>
              <w:spacing w:before="60" w:after="60"/>
            </w:pPr>
            <w:r>
              <w:t>44 of 1985</w:t>
            </w:r>
          </w:p>
        </w:tc>
        <w:tc>
          <w:tcPr>
            <w:tcW w:w="1134" w:type="dxa"/>
          </w:tcPr>
          <w:p>
            <w:pPr>
              <w:pStyle w:val="nTable"/>
              <w:keepNext/>
              <w:keepLines/>
              <w:spacing w:before="60" w:after="60"/>
            </w:pPr>
            <w:r>
              <w:t>20 May 1985</w:t>
            </w:r>
          </w:p>
        </w:tc>
        <w:tc>
          <w:tcPr>
            <w:tcW w:w="2554" w:type="dxa"/>
          </w:tcPr>
          <w:p>
            <w:pPr>
              <w:pStyle w:val="nTable"/>
              <w:spacing w:before="60" w:after="60"/>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r>
              <w:br/>
              <w:t xml:space="preserve">s. 38: 25 Jul 1986 (see s. 2(2) and </w:t>
            </w:r>
            <w:r>
              <w:rPr>
                <w:i/>
              </w:rPr>
              <w:t>Gazette</w:t>
            </w:r>
            <w:r>
              <w:t xml:space="preserve"> 25 Jul 1986 p. 2453)</w:t>
            </w:r>
          </w:p>
        </w:tc>
      </w:tr>
      <w:tr>
        <w:trPr>
          <w:cantSplit/>
        </w:trPr>
        <w:tc>
          <w:tcPr>
            <w:tcW w:w="2266" w:type="dxa"/>
          </w:tcPr>
          <w:p>
            <w:pPr>
              <w:pStyle w:val="nTable"/>
              <w:spacing w:before="60" w:after="60"/>
            </w:pPr>
            <w:r>
              <w:rPr>
                <w:i/>
              </w:rPr>
              <w:t>Acts Amendment (Financial Administration and Audit) Act 1985</w:t>
            </w:r>
            <w:r>
              <w:t xml:space="preserve"> s. 3</w:t>
            </w:r>
          </w:p>
        </w:tc>
        <w:tc>
          <w:tcPr>
            <w:tcW w:w="1134" w:type="dxa"/>
          </w:tcPr>
          <w:p>
            <w:pPr>
              <w:pStyle w:val="nTable"/>
              <w:spacing w:before="60" w:after="60"/>
            </w:pPr>
            <w:r>
              <w:t>98 of 1985</w:t>
            </w:r>
          </w:p>
        </w:tc>
        <w:tc>
          <w:tcPr>
            <w:tcW w:w="1134" w:type="dxa"/>
          </w:tcPr>
          <w:p>
            <w:pPr>
              <w:pStyle w:val="nTable"/>
              <w:spacing w:before="60" w:after="60"/>
            </w:pPr>
            <w:r>
              <w:t>4 Dec 1985</w:t>
            </w:r>
          </w:p>
        </w:tc>
        <w:tc>
          <w:tcPr>
            <w:tcW w:w="2554" w:type="dxa"/>
          </w:tcPr>
          <w:p>
            <w:pPr>
              <w:pStyle w:val="nTable"/>
              <w:spacing w:before="60" w:after="60"/>
            </w:pPr>
            <w:r>
              <w:t xml:space="preserve">1 Jul 1986 (see s. 2 and </w:t>
            </w:r>
            <w:r>
              <w:rPr>
                <w:i/>
              </w:rPr>
              <w:t>Gazette</w:t>
            </w:r>
            <w:r>
              <w:t xml:space="preserve"> 30 Jun 1986 p. 2255)</w:t>
            </w:r>
          </w:p>
        </w:tc>
      </w:tr>
      <w:tr>
        <w:trPr>
          <w:cantSplit/>
        </w:trPr>
        <w:tc>
          <w:tcPr>
            <w:tcW w:w="2266" w:type="dxa"/>
          </w:tcPr>
          <w:p>
            <w:pPr>
              <w:pStyle w:val="nTable"/>
              <w:spacing w:before="60" w:after="60"/>
              <w:rPr>
                <w:vertAlign w:val="superscript"/>
              </w:rPr>
            </w:pPr>
            <w:r>
              <w:rPr>
                <w:i/>
              </w:rPr>
              <w:t>Workers’ Compensation and Assistance Amendment Act 1986</w:t>
            </w:r>
            <w:r>
              <w:t> </w:t>
            </w:r>
            <w:r>
              <w:rPr>
                <w:vertAlign w:val="superscript"/>
              </w:rPr>
              <w:t>15</w:t>
            </w:r>
          </w:p>
        </w:tc>
        <w:tc>
          <w:tcPr>
            <w:tcW w:w="1134" w:type="dxa"/>
          </w:tcPr>
          <w:p>
            <w:pPr>
              <w:pStyle w:val="nTable"/>
              <w:spacing w:before="60" w:after="60"/>
            </w:pPr>
            <w:r>
              <w:t>33 of 1986</w:t>
            </w:r>
          </w:p>
        </w:tc>
        <w:tc>
          <w:tcPr>
            <w:tcW w:w="1134" w:type="dxa"/>
          </w:tcPr>
          <w:p>
            <w:pPr>
              <w:pStyle w:val="nTable"/>
              <w:spacing w:before="60" w:after="60"/>
            </w:pPr>
            <w:r>
              <w:t>1 Aug 1986</w:t>
            </w:r>
          </w:p>
        </w:tc>
        <w:tc>
          <w:tcPr>
            <w:tcW w:w="2554" w:type="dxa"/>
          </w:tcPr>
          <w:p>
            <w:pPr>
              <w:pStyle w:val="nTable"/>
              <w:spacing w:before="60" w:after="60"/>
            </w:pPr>
            <w:r>
              <w:t>1 Aug 1986 (see s. 2)</w:t>
            </w:r>
          </w:p>
        </w:tc>
      </w:tr>
      <w:tr>
        <w:trPr>
          <w:cantSplit/>
        </w:trPr>
        <w:tc>
          <w:tcPr>
            <w:tcW w:w="2266" w:type="dxa"/>
          </w:tcPr>
          <w:p>
            <w:pPr>
              <w:pStyle w:val="nTable"/>
              <w:spacing w:before="60" w:after="60"/>
            </w:pPr>
            <w:r>
              <w:rPr>
                <w:i/>
              </w:rPr>
              <w:t>State Government Insurance Commission Act 1986</w:t>
            </w:r>
            <w:r>
              <w:t xml:space="preserve"> s. 46(2)</w:t>
            </w:r>
          </w:p>
        </w:tc>
        <w:tc>
          <w:tcPr>
            <w:tcW w:w="1134" w:type="dxa"/>
          </w:tcPr>
          <w:p>
            <w:pPr>
              <w:pStyle w:val="nTable"/>
              <w:spacing w:before="60" w:after="60"/>
            </w:pPr>
            <w:r>
              <w:t>51 of 1986</w:t>
            </w:r>
          </w:p>
        </w:tc>
        <w:tc>
          <w:tcPr>
            <w:tcW w:w="1134" w:type="dxa"/>
          </w:tcPr>
          <w:p>
            <w:pPr>
              <w:pStyle w:val="nTable"/>
              <w:spacing w:before="60" w:after="60"/>
            </w:pPr>
            <w:r>
              <w:t>5 Aug 1986</w:t>
            </w:r>
          </w:p>
        </w:tc>
        <w:tc>
          <w:tcPr>
            <w:tcW w:w="2554" w:type="dxa"/>
          </w:tcPr>
          <w:p>
            <w:pPr>
              <w:pStyle w:val="nTable"/>
              <w:spacing w:before="60" w:after="60"/>
            </w:pPr>
            <w:r>
              <w:t xml:space="preserve">1 Jan 1987 (see s. 2 and </w:t>
            </w:r>
            <w:r>
              <w:rPr>
                <w:i/>
              </w:rPr>
              <w:t>Gazette</w:t>
            </w:r>
            <w:r>
              <w:t xml:space="preserve"> 19 Dec 1986 p. 4859)</w:t>
            </w:r>
          </w:p>
        </w:tc>
      </w:tr>
      <w:tr>
        <w:trPr>
          <w:cantSplit/>
        </w:trPr>
        <w:tc>
          <w:tcPr>
            <w:tcW w:w="2266" w:type="dxa"/>
          </w:tcPr>
          <w:p>
            <w:pPr>
              <w:pStyle w:val="nTable"/>
              <w:spacing w:before="60" w:after="60"/>
            </w:pPr>
            <w:r>
              <w:rPr>
                <w:i/>
              </w:rPr>
              <w:t>Workers’ Compensation and Assistance Amendment Act (No. 2) 1986</w:t>
            </w:r>
          </w:p>
        </w:tc>
        <w:tc>
          <w:tcPr>
            <w:tcW w:w="1134" w:type="dxa"/>
          </w:tcPr>
          <w:p>
            <w:pPr>
              <w:pStyle w:val="nTable"/>
              <w:keepNext/>
              <w:spacing w:before="60" w:after="60"/>
            </w:pPr>
            <w:r>
              <w:t>85 of 1986</w:t>
            </w:r>
          </w:p>
        </w:tc>
        <w:tc>
          <w:tcPr>
            <w:tcW w:w="1134" w:type="dxa"/>
          </w:tcPr>
          <w:p>
            <w:pPr>
              <w:pStyle w:val="nTable"/>
              <w:keepNext/>
              <w:spacing w:before="60" w:after="60"/>
            </w:pPr>
            <w:r>
              <w:t>5 Dec 1986</w:t>
            </w:r>
          </w:p>
        </w:tc>
        <w:tc>
          <w:tcPr>
            <w:tcW w:w="2554" w:type="dxa"/>
          </w:tcPr>
          <w:p>
            <w:pPr>
              <w:pStyle w:val="nTable"/>
              <w:keepNext/>
              <w:spacing w:before="60" w:after="60"/>
            </w:pPr>
            <w:r>
              <w:t>Act other than s. 7 and 11: 5 Dec 1986 (see s. 2(1));</w:t>
            </w:r>
            <w:r>
              <w:br/>
              <w:t xml:space="preserve">s. 7 and 11: 22 May 1987 (see s. 2(2) and </w:t>
            </w:r>
            <w:r>
              <w:rPr>
                <w:i/>
              </w:rPr>
              <w:t>Gazette</w:t>
            </w:r>
            <w:r>
              <w:t xml:space="preserve"> 22 May 1987 p. 2167) </w:t>
            </w:r>
          </w:p>
        </w:tc>
      </w:tr>
      <w:tr>
        <w:trPr>
          <w:cantSplit/>
        </w:trPr>
        <w:tc>
          <w:tcPr>
            <w:tcW w:w="2266" w:type="dxa"/>
          </w:tcPr>
          <w:p>
            <w:pPr>
              <w:pStyle w:val="nTable"/>
              <w:spacing w:before="60" w:after="60"/>
            </w:pPr>
            <w:r>
              <w:rPr>
                <w:i/>
              </w:rPr>
              <w:t>Acts Amendment (Workers’ Compensation and Assistance) Act 1986</w:t>
            </w:r>
            <w:r>
              <w:t xml:space="preserve"> Pt. III</w:t>
            </w:r>
          </w:p>
        </w:tc>
        <w:tc>
          <w:tcPr>
            <w:tcW w:w="1134" w:type="dxa"/>
          </w:tcPr>
          <w:p>
            <w:pPr>
              <w:pStyle w:val="nTable"/>
              <w:spacing w:before="60" w:after="60"/>
            </w:pPr>
            <w:r>
              <w:t>86 of 1986</w:t>
            </w:r>
          </w:p>
        </w:tc>
        <w:tc>
          <w:tcPr>
            <w:tcW w:w="1134" w:type="dxa"/>
          </w:tcPr>
          <w:p>
            <w:pPr>
              <w:pStyle w:val="nTable"/>
              <w:spacing w:before="60" w:after="60"/>
            </w:pPr>
            <w:r>
              <w:t>5 Dec 1986</w:t>
            </w:r>
          </w:p>
        </w:tc>
        <w:tc>
          <w:tcPr>
            <w:tcW w:w="2554" w:type="dxa"/>
          </w:tcPr>
          <w:p>
            <w:pPr>
              <w:pStyle w:val="nTable"/>
              <w:spacing w:before="60" w:after="60"/>
            </w:pPr>
            <w:r>
              <w:t>2 Jan 1987</w:t>
            </w:r>
          </w:p>
        </w:tc>
      </w:tr>
      <w:tr>
        <w:trPr>
          <w:cantSplit/>
        </w:trPr>
        <w:tc>
          <w:tcPr>
            <w:tcW w:w="7088" w:type="dxa"/>
            <w:gridSpan w:val="4"/>
          </w:tcPr>
          <w:p>
            <w:pPr>
              <w:pStyle w:val="nTable"/>
              <w:spacing w:before="60" w:after="6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cantSplit/>
        </w:trPr>
        <w:tc>
          <w:tcPr>
            <w:tcW w:w="2266" w:type="dxa"/>
          </w:tcPr>
          <w:p>
            <w:pPr>
              <w:pStyle w:val="nTable"/>
              <w:spacing w:before="60" w:after="60"/>
            </w:pPr>
            <w:r>
              <w:rPr>
                <w:i/>
              </w:rPr>
              <w:t>Workers’ Compensation and Assistance Amendment Act 1987</w:t>
            </w:r>
            <w:r>
              <w:t> </w:t>
            </w:r>
            <w:r>
              <w:rPr>
                <w:vertAlign w:val="superscript"/>
              </w:rPr>
              <w:t>16</w:t>
            </w:r>
          </w:p>
        </w:tc>
        <w:tc>
          <w:tcPr>
            <w:tcW w:w="1134" w:type="dxa"/>
          </w:tcPr>
          <w:p>
            <w:pPr>
              <w:pStyle w:val="nTable"/>
              <w:spacing w:before="60" w:after="60"/>
            </w:pPr>
            <w:r>
              <w:t>21 of 1987</w:t>
            </w:r>
          </w:p>
        </w:tc>
        <w:tc>
          <w:tcPr>
            <w:tcW w:w="1134" w:type="dxa"/>
          </w:tcPr>
          <w:p>
            <w:pPr>
              <w:pStyle w:val="nTable"/>
              <w:spacing w:before="60" w:after="60"/>
            </w:pPr>
            <w:r>
              <w:t>25 Jun 1987</w:t>
            </w:r>
          </w:p>
        </w:tc>
        <w:tc>
          <w:tcPr>
            <w:tcW w:w="2554" w:type="dxa"/>
          </w:tcPr>
          <w:p>
            <w:pPr>
              <w:pStyle w:val="nTable"/>
              <w:spacing w:before="60" w:after="60"/>
            </w:pPr>
            <w:r>
              <w:t>23 Jul 1987</w:t>
            </w:r>
          </w:p>
        </w:tc>
      </w:tr>
      <w:tr>
        <w:trPr>
          <w:cantSplit/>
        </w:trPr>
        <w:tc>
          <w:tcPr>
            <w:tcW w:w="2266" w:type="dxa"/>
          </w:tcPr>
          <w:p>
            <w:pPr>
              <w:pStyle w:val="nTable"/>
              <w:spacing w:before="60" w:after="60"/>
            </w:pPr>
            <w:r>
              <w:rPr>
                <w:i/>
              </w:rPr>
              <w:t>Acts Amendment (Legal Practitioners, Costs and Taxation) Act 1987</w:t>
            </w:r>
            <w:r>
              <w:t xml:space="preserve"> Pt. VII</w:t>
            </w:r>
          </w:p>
        </w:tc>
        <w:tc>
          <w:tcPr>
            <w:tcW w:w="1134" w:type="dxa"/>
          </w:tcPr>
          <w:p>
            <w:pPr>
              <w:pStyle w:val="nTable"/>
              <w:spacing w:before="60" w:after="60"/>
            </w:pPr>
            <w:r>
              <w:t>65 of 1987</w:t>
            </w:r>
          </w:p>
        </w:tc>
        <w:tc>
          <w:tcPr>
            <w:tcW w:w="1134" w:type="dxa"/>
          </w:tcPr>
          <w:p>
            <w:pPr>
              <w:pStyle w:val="nTable"/>
              <w:spacing w:before="60" w:after="60"/>
            </w:pPr>
            <w:r>
              <w:t>1 Dec 1987</w:t>
            </w:r>
          </w:p>
        </w:tc>
        <w:tc>
          <w:tcPr>
            <w:tcW w:w="2554" w:type="dxa"/>
          </w:tcPr>
          <w:p>
            <w:pPr>
              <w:pStyle w:val="nTable"/>
              <w:spacing w:before="60" w:after="60"/>
            </w:pPr>
            <w:r>
              <w:t xml:space="preserve">12 Feb 1988 (see s. 2(2) and </w:t>
            </w:r>
            <w:r>
              <w:rPr>
                <w:i/>
              </w:rPr>
              <w:t>Gazette</w:t>
            </w:r>
            <w:r>
              <w:t xml:space="preserve"> 12 Feb 1988 p. 397)</w:t>
            </w:r>
          </w:p>
        </w:tc>
      </w:tr>
      <w:tr>
        <w:trPr>
          <w:cantSplit/>
        </w:trPr>
        <w:tc>
          <w:tcPr>
            <w:tcW w:w="2266" w:type="dxa"/>
          </w:tcPr>
          <w:p>
            <w:pPr>
              <w:pStyle w:val="nTable"/>
              <w:spacing w:before="60" w:after="60"/>
            </w:pPr>
            <w:r>
              <w:rPr>
                <w:i/>
              </w:rPr>
              <w:t>Workers’ Compensation and Assistance Amendment Act 1988</w:t>
            </w:r>
            <w:r>
              <w:t xml:space="preserve"> Pt. 2</w:t>
            </w:r>
          </w:p>
        </w:tc>
        <w:tc>
          <w:tcPr>
            <w:tcW w:w="1134" w:type="dxa"/>
          </w:tcPr>
          <w:p>
            <w:pPr>
              <w:pStyle w:val="nTable"/>
              <w:spacing w:before="60" w:after="60"/>
            </w:pPr>
            <w:r>
              <w:t>36 of 1988</w:t>
            </w:r>
          </w:p>
        </w:tc>
        <w:tc>
          <w:tcPr>
            <w:tcW w:w="1134" w:type="dxa"/>
          </w:tcPr>
          <w:p>
            <w:pPr>
              <w:pStyle w:val="nTable"/>
              <w:spacing w:before="60" w:after="60"/>
            </w:pPr>
            <w:r>
              <w:t>24 Nov 1988</w:t>
            </w:r>
          </w:p>
        </w:tc>
        <w:tc>
          <w:tcPr>
            <w:tcW w:w="2554" w:type="dxa"/>
          </w:tcPr>
          <w:p>
            <w:pPr>
              <w:pStyle w:val="nTable"/>
              <w:spacing w:before="60" w:after="60"/>
            </w:pPr>
            <w:r>
              <w:t xml:space="preserve">1 Mar 1991 (see s. 2 and </w:t>
            </w:r>
            <w:r>
              <w:rPr>
                <w:i/>
              </w:rPr>
              <w:t>Gazette</w:t>
            </w:r>
            <w:r>
              <w:t xml:space="preserve"> 1 Mar 1991 p. 967)</w:t>
            </w:r>
          </w:p>
        </w:tc>
      </w:tr>
      <w:tr>
        <w:trPr>
          <w:cantSplit/>
        </w:trPr>
        <w:tc>
          <w:tcPr>
            <w:tcW w:w="2266" w:type="dxa"/>
          </w:tcPr>
          <w:p>
            <w:pPr>
              <w:pStyle w:val="nTable"/>
              <w:spacing w:before="60" w:after="60"/>
            </w:pPr>
            <w:r>
              <w:rPr>
                <w:i/>
              </w:rPr>
              <w:t>Workers’ Compensation and Assistance Amendment Act 1990</w:t>
            </w:r>
            <w:r>
              <w:t> </w:t>
            </w:r>
            <w:r>
              <w:rPr>
                <w:vertAlign w:val="superscript"/>
              </w:rPr>
              <w:t>17, 18</w:t>
            </w:r>
          </w:p>
        </w:tc>
        <w:tc>
          <w:tcPr>
            <w:tcW w:w="1134" w:type="dxa"/>
          </w:tcPr>
          <w:p>
            <w:pPr>
              <w:pStyle w:val="nTable"/>
              <w:spacing w:before="60" w:after="60"/>
            </w:pPr>
            <w:r>
              <w:t>96 of 1990</w:t>
            </w:r>
          </w:p>
        </w:tc>
        <w:tc>
          <w:tcPr>
            <w:tcW w:w="1134" w:type="dxa"/>
          </w:tcPr>
          <w:p>
            <w:pPr>
              <w:pStyle w:val="nTable"/>
              <w:spacing w:before="60" w:after="60"/>
            </w:pPr>
            <w:r>
              <w:t>22 Dec 1990</w:t>
            </w:r>
          </w:p>
        </w:tc>
        <w:tc>
          <w:tcPr>
            <w:tcW w:w="2554" w:type="dxa"/>
          </w:tcPr>
          <w:p>
            <w:pPr>
              <w:pStyle w:val="nTable"/>
              <w:spacing w:before="60" w:after="60"/>
            </w:pPr>
            <w:r>
              <w:t>s. 1 and 2: 22 Dec 1990;</w:t>
            </w:r>
            <w:r>
              <w:br/>
              <w:t xml:space="preserve">Act other than s. 1 and 2: 8 Mar 1991 (see s. 2 and </w:t>
            </w:r>
            <w:r>
              <w:rPr>
                <w:i/>
              </w:rPr>
              <w:t>Gazette</w:t>
            </w:r>
            <w:r>
              <w:t xml:space="preserve"> 8 Mar 1991 p. 1030)</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cantSplit/>
        </w:trPr>
        <w:tc>
          <w:tcPr>
            <w:tcW w:w="2266" w:type="dxa"/>
          </w:tcPr>
          <w:p>
            <w:pPr>
              <w:pStyle w:val="nTable"/>
              <w:spacing w:before="60" w:after="60"/>
            </w:pPr>
            <w:r>
              <w:rPr>
                <w:i/>
              </w:rPr>
              <w:t>Acts Amendment (Parliamentary, Electorate and Gubernatorial Staff) Act 1992</w:t>
            </w:r>
            <w:r>
              <w:t xml:space="preserve"> Pt. 6</w:t>
            </w:r>
          </w:p>
        </w:tc>
        <w:tc>
          <w:tcPr>
            <w:tcW w:w="1134" w:type="dxa"/>
          </w:tcPr>
          <w:p>
            <w:pPr>
              <w:pStyle w:val="nTable"/>
              <w:spacing w:before="60" w:after="60"/>
            </w:pPr>
            <w:r>
              <w:t>40 of 1992</w:t>
            </w:r>
          </w:p>
        </w:tc>
        <w:tc>
          <w:tcPr>
            <w:tcW w:w="1134" w:type="dxa"/>
          </w:tcPr>
          <w:p>
            <w:pPr>
              <w:pStyle w:val="nTable"/>
              <w:spacing w:before="60" w:after="60"/>
            </w:pPr>
            <w:r>
              <w:t>2 Oct 1992</w:t>
            </w:r>
          </w:p>
        </w:tc>
        <w:tc>
          <w:tcPr>
            <w:tcW w:w="2554" w:type="dxa"/>
          </w:tcPr>
          <w:p>
            <w:pPr>
              <w:pStyle w:val="nTable"/>
              <w:spacing w:before="60" w:after="60"/>
            </w:pPr>
            <w:r>
              <w:t xml:space="preserve">3 Nov 1992 (see s. 2 and </w:t>
            </w:r>
            <w:r>
              <w:rPr>
                <w:i/>
              </w:rPr>
              <w:t>Gazette</w:t>
            </w:r>
            <w:r>
              <w:t xml:space="preserve"> 3 Nov 1992 p. 5389)</w:t>
            </w:r>
          </w:p>
        </w:tc>
      </w:tr>
      <w:tr>
        <w:trPr>
          <w:cantSplit/>
        </w:trPr>
        <w:tc>
          <w:tcPr>
            <w:tcW w:w="2266" w:type="dxa"/>
          </w:tcPr>
          <w:p>
            <w:pPr>
              <w:pStyle w:val="nTable"/>
              <w:spacing w:before="60" w:after="60"/>
            </w:pPr>
            <w:r>
              <w:rPr>
                <w:i/>
              </w:rPr>
              <w:t>Workers’ Compensation and Rehabilitation Amendment Act (No. 2) 1992</w:t>
            </w:r>
          </w:p>
        </w:tc>
        <w:tc>
          <w:tcPr>
            <w:tcW w:w="1134" w:type="dxa"/>
          </w:tcPr>
          <w:p>
            <w:pPr>
              <w:pStyle w:val="nTable"/>
              <w:spacing w:before="60" w:after="60"/>
            </w:pPr>
            <w:r>
              <w:t>72 of 1992</w:t>
            </w:r>
          </w:p>
        </w:tc>
        <w:tc>
          <w:tcPr>
            <w:tcW w:w="1134" w:type="dxa"/>
          </w:tcPr>
          <w:p>
            <w:pPr>
              <w:pStyle w:val="nTable"/>
              <w:spacing w:before="60" w:after="60"/>
            </w:pPr>
            <w:r>
              <w:t>15 Dec 1992</w:t>
            </w:r>
          </w:p>
        </w:tc>
        <w:tc>
          <w:tcPr>
            <w:tcW w:w="2554" w:type="dxa"/>
          </w:tcPr>
          <w:p>
            <w:pPr>
              <w:pStyle w:val="nTable"/>
              <w:spacing w:before="60" w:after="6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cantSplit/>
        </w:trPr>
        <w:tc>
          <w:tcPr>
            <w:tcW w:w="2266" w:type="dxa"/>
          </w:tcPr>
          <w:p>
            <w:pPr>
              <w:pStyle w:val="nTable"/>
              <w:spacing w:before="60" w:after="60"/>
            </w:pPr>
            <w:r>
              <w:rPr>
                <w:i/>
              </w:rPr>
              <w:t>Employers’ Indemnity Supplementation Fund Amendment Act 1993</w:t>
            </w:r>
            <w:r>
              <w:t xml:space="preserve"> s. 14</w:t>
            </w:r>
          </w:p>
        </w:tc>
        <w:tc>
          <w:tcPr>
            <w:tcW w:w="1134" w:type="dxa"/>
          </w:tcPr>
          <w:p>
            <w:pPr>
              <w:pStyle w:val="nTable"/>
              <w:spacing w:before="60" w:after="60"/>
            </w:pPr>
            <w:r>
              <w:t>1 of 1993</w:t>
            </w:r>
          </w:p>
        </w:tc>
        <w:tc>
          <w:tcPr>
            <w:tcW w:w="1134" w:type="dxa"/>
          </w:tcPr>
          <w:p>
            <w:pPr>
              <w:pStyle w:val="nTable"/>
              <w:spacing w:before="60" w:after="60"/>
            </w:pPr>
            <w:r>
              <w:t>19 Jul 1993</w:t>
            </w:r>
          </w:p>
        </w:tc>
        <w:tc>
          <w:tcPr>
            <w:tcW w:w="2554" w:type="dxa"/>
          </w:tcPr>
          <w:p>
            <w:pPr>
              <w:pStyle w:val="nTable"/>
              <w:spacing w:before="60" w:after="60"/>
            </w:pPr>
            <w:r>
              <w:t>19 Jul 1993 (see s. 2)</w:t>
            </w:r>
          </w:p>
        </w:tc>
      </w:tr>
      <w:tr>
        <w:trPr>
          <w:cantSplit/>
        </w:trPr>
        <w:tc>
          <w:tcPr>
            <w:tcW w:w="2266" w:type="dxa"/>
          </w:tcPr>
          <w:p>
            <w:pPr>
              <w:pStyle w:val="nTable"/>
              <w:spacing w:before="60" w:after="60"/>
            </w:pPr>
            <w:r>
              <w:rPr>
                <w:i/>
              </w:rPr>
              <w:t>Financial Administration Legislation Amendment Act 1993</w:t>
            </w:r>
            <w:r>
              <w:t xml:space="preserve"> s. 11</w:t>
            </w:r>
          </w:p>
        </w:tc>
        <w:tc>
          <w:tcPr>
            <w:tcW w:w="1134" w:type="dxa"/>
          </w:tcPr>
          <w:p>
            <w:pPr>
              <w:pStyle w:val="nTable"/>
              <w:spacing w:before="60" w:after="60"/>
            </w:pPr>
            <w:r>
              <w:t>6 of 1993</w:t>
            </w:r>
          </w:p>
        </w:tc>
        <w:tc>
          <w:tcPr>
            <w:tcW w:w="1134" w:type="dxa"/>
          </w:tcPr>
          <w:p>
            <w:pPr>
              <w:pStyle w:val="nTable"/>
              <w:spacing w:before="60" w:after="60"/>
            </w:pPr>
            <w:r>
              <w:t>27 Aug 1993</w:t>
            </w:r>
          </w:p>
        </w:tc>
        <w:tc>
          <w:tcPr>
            <w:tcW w:w="2554" w:type="dxa"/>
          </w:tcPr>
          <w:p>
            <w:pPr>
              <w:pStyle w:val="nTable"/>
              <w:spacing w:before="60" w:after="60"/>
            </w:pPr>
            <w:r>
              <w:t>1 Jul 1993 (see s. 2(1))</w:t>
            </w:r>
          </w:p>
        </w:tc>
      </w:tr>
      <w:tr>
        <w:trPr>
          <w:cantSplit/>
        </w:trPr>
        <w:tc>
          <w:tcPr>
            <w:tcW w:w="2266" w:type="dxa"/>
          </w:tcPr>
          <w:p>
            <w:pPr>
              <w:pStyle w:val="nTable"/>
              <w:spacing w:before="60" w:after="60"/>
            </w:pPr>
            <w:r>
              <w:rPr>
                <w:i/>
              </w:rPr>
              <w:t>Mines Regulation Amendment Act 1993</w:t>
            </w:r>
            <w:r>
              <w:t xml:space="preserve"> s. 13</w:t>
            </w:r>
          </w:p>
        </w:tc>
        <w:tc>
          <w:tcPr>
            <w:tcW w:w="1134" w:type="dxa"/>
          </w:tcPr>
          <w:p>
            <w:pPr>
              <w:pStyle w:val="nTable"/>
              <w:spacing w:before="60" w:after="60"/>
            </w:pPr>
            <w:r>
              <w:t>30 of 1993</w:t>
            </w:r>
          </w:p>
        </w:tc>
        <w:tc>
          <w:tcPr>
            <w:tcW w:w="1134" w:type="dxa"/>
          </w:tcPr>
          <w:p>
            <w:pPr>
              <w:pStyle w:val="nTable"/>
              <w:spacing w:before="60" w:after="60"/>
            </w:pPr>
            <w:r>
              <w:t>16 Dec 1993</w:t>
            </w:r>
          </w:p>
        </w:tc>
        <w:tc>
          <w:tcPr>
            <w:tcW w:w="2554" w:type="dxa"/>
          </w:tcPr>
          <w:p>
            <w:pPr>
              <w:pStyle w:val="nTable"/>
              <w:spacing w:before="60" w:after="60"/>
            </w:pPr>
            <w:r>
              <w:t xml:space="preserve">24 Dec 1993 (see s. 2 and </w:t>
            </w:r>
            <w:r>
              <w:rPr>
                <w:i/>
              </w:rPr>
              <w:t>Gazette</w:t>
            </w:r>
            <w:r>
              <w:t xml:space="preserve"> 24 Dec 1993 p. 6796)</w:t>
            </w:r>
          </w:p>
        </w:tc>
      </w:tr>
      <w:tr>
        <w:trPr>
          <w:cantSplit/>
        </w:trPr>
        <w:tc>
          <w:tcPr>
            <w:tcW w:w="2266" w:type="dxa"/>
            <w:tcBorders>
              <w:bottom w:val="nil"/>
            </w:tcBorders>
          </w:tcPr>
          <w:p>
            <w:pPr>
              <w:pStyle w:val="nTable"/>
              <w:spacing w:before="60" w:after="60"/>
            </w:pPr>
            <w:r>
              <w:rPr>
                <w:i/>
              </w:rPr>
              <w:t>Workers’ Compensation and Rehabilitation Amendment Act 1993</w:t>
            </w:r>
            <w:r>
              <w:t> </w:t>
            </w:r>
            <w:r>
              <w:rPr>
                <w:vertAlign w:val="superscript"/>
              </w:rPr>
              <w:t>19-26</w:t>
            </w:r>
          </w:p>
        </w:tc>
        <w:tc>
          <w:tcPr>
            <w:tcW w:w="1134" w:type="dxa"/>
          </w:tcPr>
          <w:p>
            <w:pPr>
              <w:pStyle w:val="nTable"/>
              <w:spacing w:before="60" w:after="60"/>
            </w:pPr>
            <w:r>
              <w:t>48 of 1993</w:t>
            </w:r>
            <w:r>
              <w:br/>
              <w:t>(as amended by No. 34 of 1999 Pt. 3 and No. 42 of 2004 s. 172)</w:t>
            </w:r>
          </w:p>
        </w:tc>
        <w:tc>
          <w:tcPr>
            <w:tcW w:w="1134" w:type="dxa"/>
          </w:tcPr>
          <w:p>
            <w:pPr>
              <w:pStyle w:val="nTable"/>
              <w:spacing w:before="60" w:after="60"/>
            </w:pPr>
            <w:r>
              <w:t>20 Dec 1993</w:t>
            </w:r>
          </w:p>
        </w:tc>
        <w:tc>
          <w:tcPr>
            <w:tcW w:w="2554" w:type="dxa"/>
          </w:tcPr>
          <w:p>
            <w:pPr>
              <w:pStyle w:val="nTable"/>
              <w:spacing w:before="60" w:after="6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cantSplit/>
        </w:trPr>
        <w:tc>
          <w:tcPr>
            <w:tcW w:w="7088" w:type="dxa"/>
            <w:gridSpan w:val="4"/>
            <w:tcBorders>
              <w:bottom w:val="nil"/>
            </w:tcBorders>
          </w:tcPr>
          <w:p>
            <w:pPr>
              <w:pStyle w:val="nTable"/>
              <w:spacing w:before="60" w:after="6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cantSplit/>
        </w:trPr>
        <w:tc>
          <w:tcPr>
            <w:tcW w:w="2266" w:type="dxa"/>
          </w:tcPr>
          <w:p>
            <w:pPr>
              <w:pStyle w:val="nTable"/>
              <w:spacing w:before="60" w:after="60"/>
            </w:pPr>
            <w:r>
              <w:rPr>
                <w:i/>
              </w:rPr>
              <w:t>Acts Amendment (Public Sector Management) Act 1994</w:t>
            </w:r>
            <w:r>
              <w:t xml:space="preserve"> s. 19</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554" w:type="dxa"/>
          </w:tcPr>
          <w:p>
            <w:pPr>
              <w:pStyle w:val="nTable"/>
              <w:spacing w:before="60" w:after="60"/>
            </w:pPr>
            <w:r>
              <w:t xml:space="preserve">1 Oct 1994 (see s. 2 and </w:t>
            </w:r>
            <w:r>
              <w:rPr>
                <w:i/>
              </w:rPr>
              <w:t>Gazette</w:t>
            </w:r>
            <w:r>
              <w:t xml:space="preserve"> 30 Sep 1994 p. 4948)</w:t>
            </w:r>
          </w:p>
        </w:tc>
      </w:tr>
      <w:tr>
        <w:trPr>
          <w:cantSplit/>
        </w:trPr>
        <w:tc>
          <w:tcPr>
            <w:tcW w:w="2266" w:type="dxa"/>
          </w:tcPr>
          <w:p>
            <w:pPr>
              <w:pStyle w:val="nTable"/>
              <w:spacing w:before="60" w:after="60"/>
            </w:pPr>
            <w:r>
              <w:rPr>
                <w:i/>
              </w:rPr>
              <w:t>Mines Safety and Inspection Act 1994</w:t>
            </w:r>
            <w:r>
              <w:t xml:space="preserve"> s. 109</w:t>
            </w:r>
          </w:p>
        </w:tc>
        <w:tc>
          <w:tcPr>
            <w:tcW w:w="1134" w:type="dxa"/>
          </w:tcPr>
          <w:p>
            <w:pPr>
              <w:pStyle w:val="nTable"/>
              <w:spacing w:before="60" w:after="60"/>
            </w:pPr>
            <w:r>
              <w:t>62 of 1994</w:t>
            </w:r>
          </w:p>
        </w:tc>
        <w:tc>
          <w:tcPr>
            <w:tcW w:w="1134" w:type="dxa"/>
          </w:tcPr>
          <w:p>
            <w:pPr>
              <w:pStyle w:val="nTable"/>
              <w:spacing w:before="60" w:after="60"/>
            </w:pPr>
            <w:r>
              <w:t>7 Nov 1994</w:t>
            </w:r>
          </w:p>
        </w:tc>
        <w:tc>
          <w:tcPr>
            <w:tcW w:w="2554" w:type="dxa"/>
          </w:tcPr>
          <w:p>
            <w:pPr>
              <w:pStyle w:val="nTable"/>
              <w:spacing w:before="60" w:after="60"/>
            </w:pPr>
            <w:r>
              <w:t xml:space="preserve">9 Dec 1995 (see s. 2 and </w:t>
            </w:r>
            <w:r>
              <w:rPr>
                <w:i/>
              </w:rPr>
              <w:t>Gazette</w:t>
            </w:r>
            <w:r>
              <w:t xml:space="preserve"> 8 Dec 1995 p. 5935)</w:t>
            </w:r>
          </w:p>
        </w:tc>
      </w:tr>
      <w:tr>
        <w:trPr>
          <w:cantSplit/>
        </w:trPr>
        <w:tc>
          <w:tcPr>
            <w:tcW w:w="2266" w:type="dxa"/>
          </w:tcPr>
          <w:p>
            <w:pPr>
              <w:pStyle w:val="nTable"/>
              <w:spacing w:before="60" w:after="60"/>
            </w:pPr>
            <w:r>
              <w:rPr>
                <w:i/>
              </w:rPr>
              <w:t>Hospitals Amendment Act 1994</w:t>
            </w:r>
            <w:r>
              <w:t xml:space="preserve"> s. 18</w:t>
            </w:r>
          </w:p>
        </w:tc>
        <w:tc>
          <w:tcPr>
            <w:tcW w:w="1134" w:type="dxa"/>
          </w:tcPr>
          <w:p>
            <w:pPr>
              <w:pStyle w:val="nTable"/>
              <w:spacing w:before="60" w:after="60"/>
            </w:pPr>
            <w:r>
              <w:t>103 of 1994</w:t>
            </w:r>
          </w:p>
        </w:tc>
        <w:tc>
          <w:tcPr>
            <w:tcW w:w="1134" w:type="dxa"/>
          </w:tcPr>
          <w:p>
            <w:pPr>
              <w:pStyle w:val="nTable"/>
              <w:spacing w:before="60" w:after="60"/>
            </w:pPr>
            <w:r>
              <w:t>11 Jan 1995</w:t>
            </w:r>
          </w:p>
        </w:tc>
        <w:tc>
          <w:tcPr>
            <w:tcW w:w="2554" w:type="dxa"/>
          </w:tcPr>
          <w:p>
            <w:pPr>
              <w:pStyle w:val="nTable"/>
              <w:spacing w:before="60" w:after="60"/>
            </w:pPr>
            <w:r>
              <w:t xml:space="preserve">3 Feb 1995 (see s. 2 and </w:t>
            </w:r>
            <w:r>
              <w:rPr>
                <w:i/>
              </w:rPr>
              <w:t>Gazette</w:t>
            </w:r>
            <w:r>
              <w:t xml:space="preserve"> 3 Feb 1995 p. 333)</w:t>
            </w:r>
          </w:p>
        </w:tc>
      </w:tr>
      <w:tr>
        <w:trPr>
          <w:cantSplit/>
        </w:trPr>
        <w:tc>
          <w:tcPr>
            <w:tcW w:w="2266" w:type="dxa"/>
          </w:tcPr>
          <w:p>
            <w:pPr>
              <w:pStyle w:val="nTable"/>
              <w:spacing w:before="60" w:after="60"/>
            </w:pPr>
            <w:r>
              <w:rPr>
                <w:i/>
              </w:rPr>
              <w:t>Occupational Safety and Health Legislation Amendment Act 1995</w:t>
            </w:r>
            <w:r>
              <w:t xml:space="preserve"> s. 48</w:t>
            </w:r>
          </w:p>
        </w:tc>
        <w:tc>
          <w:tcPr>
            <w:tcW w:w="1134" w:type="dxa"/>
          </w:tcPr>
          <w:p>
            <w:pPr>
              <w:pStyle w:val="nTable"/>
              <w:spacing w:before="60" w:after="60"/>
            </w:pPr>
            <w:r>
              <w:t>30 of 1995</w:t>
            </w:r>
          </w:p>
        </w:tc>
        <w:tc>
          <w:tcPr>
            <w:tcW w:w="1134" w:type="dxa"/>
          </w:tcPr>
          <w:p>
            <w:pPr>
              <w:pStyle w:val="nTable"/>
              <w:spacing w:before="60" w:after="60"/>
            </w:pPr>
            <w:r>
              <w:t>11 Sep 1995</w:t>
            </w:r>
          </w:p>
        </w:tc>
        <w:tc>
          <w:tcPr>
            <w:tcW w:w="2554" w:type="dxa"/>
          </w:tcPr>
          <w:p>
            <w:pPr>
              <w:pStyle w:val="nTable"/>
              <w:spacing w:before="60" w:after="60"/>
            </w:pPr>
            <w:r>
              <w:t xml:space="preserve">1 Oct 1995 (see s. 2 and </w:t>
            </w:r>
            <w:r>
              <w:rPr>
                <w:i/>
              </w:rPr>
              <w:t>Gazette</w:t>
            </w:r>
            <w:r>
              <w:t xml:space="preserve"> 15 Sep 1995 p. 4301)</w:t>
            </w:r>
          </w:p>
        </w:tc>
      </w:tr>
      <w:tr>
        <w:trPr>
          <w:cantSplit/>
        </w:trPr>
        <w:tc>
          <w:tcPr>
            <w:tcW w:w="2266" w:type="dxa"/>
          </w:tcPr>
          <w:p>
            <w:pPr>
              <w:pStyle w:val="nTable"/>
              <w:spacing w:before="60" w:after="60"/>
            </w:pPr>
            <w:r>
              <w:rPr>
                <w:i/>
              </w:rPr>
              <w:t>Sentencing (Consequential Provisions) Act 1995</w:t>
            </w:r>
            <w:r>
              <w:t xml:space="preserve"> Pt. 84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554" w:type="dxa"/>
          </w:tcPr>
          <w:p>
            <w:pPr>
              <w:pStyle w:val="nTable"/>
              <w:spacing w:before="60" w:after="60"/>
            </w:pPr>
            <w:r>
              <w:t xml:space="preserve">4 Nov 1996 (see s. 2 and </w:t>
            </w:r>
            <w:r>
              <w:rPr>
                <w:i/>
              </w:rPr>
              <w:t>Gazette</w:t>
            </w:r>
            <w:r>
              <w:t xml:space="preserve"> 25 Oct 1996 p. 5632)</w:t>
            </w:r>
          </w:p>
        </w:tc>
      </w:tr>
      <w:tr>
        <w:trPr>
          <w:cantSplit/>
        </w:trPr>
        <w:tc>
          <w:tcPr>
            <w:tcW w:w="2266" w:type="dxa"/>
          </w:tcPr>
          <w:p>
            <w:pPr>
              <w:pStyle w:val="nTable"/>
              <w:spacing w:before="60" w:after="60"/>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4" w:type="dxa"/>
          </w:tcPr>
          <w:p>
            <w:pPr>
              <w:pStyle w:val="nTable"/>
              <w:spacing w:before="60" w:after="60"/>
            </w:pPr>
            <w:r>
              <w:t>1 Jul 1996 (see s. 2)</w:t>
            </w:r>
          </w:p>
        </w:tc>
      </w:tr>
      <w:tr>
        <w:trPr>
          <w:cantSplit/>
        </w:trPr>
        <w:tc>
          <w:tcPr>
            <w:tcW w:w="2266" w:type="dxa"/>
          </w:tcPr>
          <w:p>
            <w:pPr>
              <w:pStyle w:val="nTable"/>
              <w:spacing w:before="60" w:after="60"/>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554" w:type="dxa"/>
          </w:tcPr>
          <w:p>
            <w:pPr>
              <w:pStyle w:val="nTable"/>
              <w:spacing w:before="60" w:after="60"/>
            </w:pPr>
            <w:r>
              <w:t>25 Oct 1996 (see s. 2(1))</w:t>
            </w:r>
          </w:p>
        </w:tc>
      </w:tr>
      <w:tr>
        <w:trPr>
          <w:cantSplit/>
        </w:trPr>
        <w:tc>
          <w:tcPr>
            <w:tcW w:w="2266" w:type="dxa"/>
          </w:tcPr>
          <w:p>
            <w:pPr>
              <w:pStyle w:val="nTable"/>
              <w:spacing w:before="60" w:after="6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tcPr>
          <w:p>
            <w:pPr>
              <w:pStyle w:val="nTable"/>
              <w:spacing w:before="60" w:after="60"/>
            </w:pPr>
            <w:r>
              <w:t>45 of 1996</w:t>
            </w:r>
            <w:r>
              <w:br/>
              <w:t>(as amended by No. 42 of 2004 s. 155)</w:t>
            </w:r>
          </w:p>
        </w:tc>
        <w:tc>
          <w:tcPr>
            <w:tcW w:w="1134" w:type="dxa"/>
          </w:tcPr>
          <w:p>
            <w:pPr>
              <w:pStyle w:val="nTable"/>
              <w:spacing w:before="60" w:after="60"/>
            </w:pPr>
            <w:r>
              <w:t>25 Oct 1996</w:t>
            </w:r>
          </w:p>
        </w:tc>
        <w:tc>
          <w:tcPr>
            <w:tcW w:w="2554" w:type="dxa"/>
          </w:tcPr>
          <w:p>
            <w:pPr>
              <w:pStyle w:val="nTable"/>
              <w:spacing w:before="60" w:after="60"/>
            </w:pPr>
            <w:r>
              <w:t xml:space="preserve">1 Jul 2012 (see s. 2 and </w:t>
            </w:r>
            <w:r>
              <w:rPr>
                <w:i/>
              </w:rPr>
              <w:t>Gazette</w:t>
            </w:r>
            <w:r>
              <w:t xml:space="preserve"> 8 Jun 2012 p. 2385)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Workers’ Compensation and Rehabilitation Amendment Act (No. 2) 1999</w:t>
            </w:r>
            <w:r>
              <w:t> </w:t>
            </w:r>
            <w:r>
              <w:rPr>
                <w:vertAlign w:val="superscript"/>
              </w:rPr>
              <w:t>28</w:t>
            </w:r>
          </w:p>
        </w:tc>
        <w:tc>
          <w:tcPr>
            <w:tcW w:w="1134" w:type="dxa"/>
          </w:tcPr>
          <w:p>
            <w:pPr>
              <w:pStyle w:val="nTable"/>
              <w:spacing w:before="60" w:after="60"/>
            </w:pPr>
            <w:r>
              <w:t>33 of 1999</w:t>
            </w:r>
          </w:p>
        </w:tc>
        <w:tc>
          <w:tcPr>
            <w:tcW w:w="1134" w:type="dxa"/>
          </w:tcPr>
          <w:p>
            <w:pPr>
              <w:pStyle w:val="nTable"/>
              <w:spacing w:before="60" w:after="60"/>
            </w:pPr>
            <w:r>
              <w:t>5 Oct 1999</w:t>
            </w:r>
          </w:p>
        </w:tc>
        <w:tc>
          <w:tcPr>
            <w:tcW w:w="2554" w:type="dxa"/>
          </w:tcPr>
          <w:p>
            <w:pPr>
              <w:pStyle w:val="nTable"/>
              <w:spacing w:before="60" w:after="60"/>
            </w:pPr>
            <w:r>
              <w:t>5 Oct 1999 (see s. 2)</w:t>
            </w:r>
          </w:p>
        </w:tc>
      </w:tr>
      <w:tr>
        <w:trPr>
          <w:cantSplit/>
        </w:trPr>
        <w:tc>
          <w:tcPr>
            <w:tcW w:w="2266" w:type="dxa"/>
          </w:tcPr>
          <w:p>
            <w:pPr>
              <w:pStyle w:val="nTable"/>
              <w:spacing w:before="60" w:after="60"/>
            </w:pPr>
            <w:r>
              <w:rPr>
                <w:i/>
              </w:rPr>
              <w:t>Workers’ Compensation and Rehabilitation Amendment Act 1999</w:t>
            </w:r>
            <w:r>
              <w:rPr>
                <w:vertAlign w:val="superscript"/>
              </w:rPr>
              <w:t> 29-31</w:t>
            </w:r>
          </w:p>
        </w:tc>
        <w:tc>
          <w:tcPr>
            <w:tcW w:w="1134" w:type="dxa"/>
          </w:tcPr>
          <w:p>
            <w:pPr>
              <w:pStyle w:val="nTable"/>
              <w:spacing w:before="60" w:after="60"/>
            </w:pPr>
            <w:r>
              <w:t>34 of 1999</w:t>
            </w:r>
            <w:r>
              <w:br/>
              <w:t>(as amended by No. 37 of 1999 s. 3) (as affected by No. 35 of 2004 Pt. 2)</w:t>
            </w:r>
          </w:p>
        </w:tc>
        <w:tc>
          <w:tcPr>
            <w:tcW w:w="1134" w:type="dxa"/>
          </w:tcPr>
          <w:p>
            <w:pPr>
              <w:pStyle w:val="nTable"/>
              <w:spacing w:before="60" w:after="60"/>
            </w:pPr>
            <w:r>
              <w:t>5 Oct 1999</w:t>
            </w:r>
          </w:p>
        </w:tc>
        <w:tc>
          <w:tcPr>
            <w:tcW w:w="2554" w:type="dxa"/>
          </w:tcPr>
          <w:p>
            <w:pPr>
              <w:pStyle w:val="nTable"/>
              <w:spacing w:before="60" w:after="6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cantSplit/>
        </w:trPr>
        <w:tc>
          <w:tcPr>
            <w:tcW w:w="2266" w:type="dxa"/>
          </w:tcPr>
          <w:p>
            <w:pPr>
              <w:pStyle w:val="nTable"/>
              <w:spacing w:before="60" w:after="60"/>
              <w:rPr>
                <w:i/>
              </w:rPr>
            </w:pPr>
            <w:r>
              <w:rPr>
                <w:i/>
              </w:rPr>
              <w:t>Workers’ Compensation and Rehabilitation Amendment Act 2000</w:t>
            </w:r>
          </w:p>
        </w:tc>
        <w:tc>
          <w:tcPr>
            <w:tcW w:w="1134" w:type="dxa"/>
          </w:tcPr>
          <w:p>
            <w:pPr>
              <w:pStyle w:val="nTable"/>
              <w:spacing w:before="60" w:after="60"/>
            </w:pPr>
            <w:r>
              <w:t>44 of 2000</w:t>
            </w:r>
          </w:p>
        </w:tc>
        <w:tc>
          <w:tcPr>
            <w:tcW w:w="1134" w:type="dxa"/>
          </w:tcPr>
          <w:p>
            <w:pPr>
              <w:pStyle w:val="nTable"/>
              <w:spacing w:before="60" w:after="60"/>
            </w:pPr>
            <w:r>
              <w:t>17 Nov 2000</w:t>
            </w:r>
          </w:p>
        </w:tc>
        <w:tc>
          <w:tcPr>
            <w:tcW w:w="2554" w:type="dxa"/>
          </w:tcPr>
          <w:p>
            <w:pPr>
              <w:pStyle w:val="nTable"/>
              <w:spacing w:before="60" w:after="60"/>
            </w:pPr>
            <w:r>
              <w:t>Act other than s. 1, 2 and 4(2)(b): 5 Oct 1999 (see s. 2(1));</w:t>
            </w:r>
            <w:r>
              <w:br/>
              <w:t>s. 1, 2 and 4(2)(b): 17 Nov 2000 (see s. 2(2))</w:t>
            </w:r>
          </w:p>
        </w:tc>
      </w:tr>
      <w:tr>
        <w:trPr>
          <w:cantSplit/>
        </w:trPr>
        <w:tc>
          <w:tcPr>
            <w:tcW w:w="2266" w:type="dxa"/>
          </w:tcPr>
          <w:p>
            <w:pPr>
              <w:pStyle w:val="nTable"/>
              <w:spacing w:before="60" w:after="60"/>
              <w:rPr>
                <w:i/>
              </w:rPr>
            </w:pPr>
            <w:r>
              <w:rPr>
                <w:i/>
              </w:rPr>
              <w:t>Corporations (Consequential Amendments) Act 2001</w:t>
            </w:r>
            <w:r>
              <w:t xml:space="preserve"> Pt. 57</w:t>
            </w:r>
          </w:p>
        </w:tc>
        <w:tc>
          <w:tcPr>
            <w:tcW w:w="1134" w:type="dxa"/>
          </w:tcPr>
          <w:p>
            <w:pPr>
              <w:pStyle w:val="nTable"/>
              <w:spacing w:before="60" w:after="60"/>
            </w:pPr>
            <w:r>
              <w:t>10 of 2001</w:t>
            </w:r>
          </w:p>
        </w:tc>
        <w:tc>
          <w:tcPr>
            <w:tcW w:w="1134" w:type="dxa"/>
          </w:tcPr>
          <w:p>
            <w:pPr>
              <w:pStyle w:val="nTable"/>
              <w:spacing w:before="60" w:after="60"/>
            </w:pPr>
            <w:r>
              <w:t>28 Jun 2001</w:t>
            </w:r>
          </w:p>
        </w:tc>
        <w:tc>
          <w:tcPr>
            <w:tcW w:w="2554" w:type="dxa"/>
          </w:tcPr>
          <w:p>
            <w:pPr>
              <w:pStyle w:val="nTable"/>
              <w:spacing w:before="60" w:after="6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7088" w:type="dxa"/>
            <w:gridSpan w:val="4"/>
          </w:tcPr>
          <w:p>
            <w:pPr>
              <w:pStyle w:val="nTable"/>
              <w:spacing w:before="60" w:after="6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pPr>
            <w:r>
              <w:rPr>
                <w:i/>
              </w:rPr>
              <w:t>Acts Amendment (Equality of Status) Act 2003</w:t>
            </w:r>
            <w:r>
              <w:t xml:space="preserve"> Pt. 63</w:t>
            </w:r>
          </w:p>
        </w:tc>
        <w:tc>
          <w:tcPr>
            <w:tcW w:w="1134" w:type="dxa"/>
          </w:tcPr>
          <w:p>
            <w:pPr>
              <w:pStyle w:val="nTable"/>
              <w:spacing w:before="60" w:after="60"/>
            </w:pPr>
            <w:r>
              <w:t>28 of 2003</w:t>
            </w:r>
          </w:p>
        </w:tc>
        <w:tc>
          <w:tcPr>
            <w:tcW w:w="1134" w:type="dxa"/>
          </w:tcPr>
          <w:p>
            <w:pPr>
              <w:pStyle w:val="nTable"/>
              <w:spacing w:before="60" w:after="60"/>
            </w:pPr>
            <w:r>
              <w:t>22 May 2003</w:t>
            </w:r>
          </w:p>
        </w:tc>
        <w:tc>
          <w:tcPr>
            <w:tcW w:w="2554" w:type="dxa"/>
          </w:tcPr>
          <w:p>
            <w:pPr>
              <w:pStyle w:val="nTable"/>
              <w:spacing w:before="60" w:after="60"/>
            </w:pPr>
            <w:r>
              <w:t xml:space="preserve">1 Jul 2003 (see s. 2 and </w:t>
            </w:r>
            <w:r>
              <w:rPr>
                <w:i/>
              </w:rPr>
              <w:t xml:space="preserve">Gazette </w:t>
            </w:r>
            <w:r>
              <w:t>30 Jun 2003 p. 2579)</w:t>
            </w:r>
          </w:p>
        </w:tc>
      </w:tr>
      <w:tr>
        <w:trPr>
          <w:cantSplit/>
        </w:trPr>
        <w:tc>
          <w:tcPr>
            <w:tcW w:w="2266" w:type="dxa"/>
          </w:tcPr>
          <w:p>
            <w:pPr>
              <w:pStyle w:val="nTable"/>
              <w:spacing w:before="60" w:after="60"/>
              <w:rPr>
                <w:i/>
              </w:rPr>
            </w:pPr>
            <w:r>
              <w:rPr>
                <w:i/>
              </w:rPr>
              <w:t>Racing and Gambling Legislation Amendment and Repeal Act 2003</w:t>
            </w:r>
            <w:r>
              <w:t xml:space="preserve"> Pt. 15</w:t>
            </w:r>
          </w:p>
        </w:tc>
        <w:tc>
          <w:tcPr>
            <w:tcW w:w="1134" w:type="dxa"/>
          </w:tcPr>
          <w:p>
            <w:pPr>
              <w:pStyle w:val="nTable"/>
              <w:spacing w:before="60" w:after="60"/>
            </w:pPr>
            <w:r>
              <w:t>35 of 2003</w:t>
            </w:r>
          </w:p>
        </w:tc>
        <w:tc>
          <w:tcPr>
            <w:tcW w:w="1134" w:type="dxa"/>
          </w:tcPr>
          <w:p>
            <w:pPr>
              <w:pStyle w:val="nTable"/>
              <w:spacing w:before="60" w:after="60"/>
            </w:pPr>
            <w:r>
              <w:t>26 Jun 2003</w:t>
            </w:r>
          </w:p>
        </w:tc>
        <w:tc>
          <w:tcPr>
            <w:tcW w:w="2554" w:type="dxa"/>
          </w:tcPr>
          <w:p>
            <w:pPr>
              <w:pStyle w:val="nTable"/>
              <w:spacing w:before="60" w:after="60"/>
            </w:pPr>
            <w:r>
              <w:t xml:space="preserve">1 Aug 2003 (see s. 2 and </w:t>
            </w:r>
            <w:r>
              <w:rPr>
                <w:i/>
              </w:rPr>
              <w:t>Gazette</w:t>
            </w:r>
            <w:r>
              <w:t xml:space="preserve"> 29 Jul 2003 p. 3259)</w:t>
            </w:r>
          </w:p>
        </w:tc>
      </w:tr>
      <w:tr>
        <w:trPr>
          <w:cantSplit/>
        </w:trPr>
        <w:tc>
          <w:tcPr>
            <w:tcW w:w="2266" w:type="dxa"/>
          </w:tcPr>
          <w:p>
            <w:pPr>
              <w:pStyle w:val="nTable"/>
              <w:spacing w:before="60" w:after="60"/>
              <w:rPr>
                <w:vertAlign w:val="superscript"/>
              </w:rPr>
            </w:pPr>
            <w:r>
              <w:rPr>
                <w:i/>
              </w:rPr>
              <w:t>Acts Amendment and Repeal (Courts and Legal Practice) Act 2003</w:t>
            </w:r>
            <w:r>
              <w:t xml:space="preserve"> s. 72 and 96</w:t>
            </w:r>
          </w:p>
        </w:tc>
        <w:tc>
          <w:tcPr>
            <w:tcW w:w="1134" w:type="dxa"/>
          </w:tcPr>
          <w:p>
            <w:pPr>
              <w:pStyle w:val="nTable"/>
              <w:spacing w:before="60" w:after="60"/>
            </w:pPr>
            <w:r>
              <w:t>65 of 2003</w:t>
            </w:r>
          </w:p>
        </w:tc>
        <w:tc>
          <w:tcPr>
            <w:tcW w:w="1134" w:type="dxa"/>
          </w:tcPr>
          <w:p>
            <w:pPr>
              <w:pStyle w:val="nTable"/>
              <w:spacing w:before="60" w:after="60"/>
            </w:pPr>
            <w:r>
              <w:t>4 Dec 2003</w:t>
            </w:r>
          </w:p>
        </w:tc>
        <w:tc>
          <w:tcPr>
            <w:tcW w:w="2554" w:type="dxa"/>
          </w:tcPr>
          <w:p>
            <w:pPr>
              <w:pStyle w:val="nTable"/>
              <w:spacing w:before="60" w:after="60"/>
            </w:pPr>
            <w:r>
              <w:t xml:space="preserve">1 Jan 2004 (see s. 2 and </w:t>
            </w:r>
            <w:r>
              <w:rPr>
                <w:i/>
              </w:rPr>
              <w:t>Gazette</w:t>
            </w:r>
            <w:r>
              <w:t xml:space="preserve"> 30 Dec 2003 p. 5722)</w:t>
            </w:r>
          </w:p>
        </w:tc>
      </w:tr>
      <w:tr>
        <w:trPr>
          <w:cantSplit/>
        </w:trPr>
        <w:tc>
          <w:tcPr>
            <w:tcW w:w="2266" w:type="dxa"/>
          </w:tcPr>
          <w:p>
            <w:pPr>
              <w:pStyle w:val="nTable"/>
              <w:spacing w:before="60" w:after="60"/>
            </w:pPr>
            <w:r>
              <w:rPr>
                <w:i/>
              </w:rPr>
              <w:t>Statutes (Repeals and Minor Amendments) Act 2003</w:t>
            </w:r>
            <w:r>
              <w:t xml:space="preserve"> s. 134</w:t>
            </w:r>
          </w:p>
        </w:tc>
        <w:tc>
          <w:tcPr>
            <w:tcW w:w="1134" w:type="dxa"/>
          </w:tcPr>
          <w:p>
            <w:pPr>
              <w:pStyle w:val="nTable"/>
              <w:spacing w:before="60" w:after="60"/>
            </w:pPr>
            <w:r>
              <w:t>74 of 2003</w:t>
            </w:r>
          </w:p>
        </w:tc>
        <w:tc>
          <w:tcPr>
            <w:tcW w:w="1134" w:type="dxa"/>
          </w:tcPr>
          <w:p>
            <w:pPr>
              <w:pStyle w:val="nTable"/>
              <w:spacing w:before="60" w:after="60"/>
            </w:pPr>
            <w:r>
              <w:t>15 Dec 2003</w:t>
            </w:r>
          </w:p>
        </w:tc>
        <w:tc>
          <w:tcPr>
            <w:tcW w:w="2554" w:type="dxa"/>
          </w:tcPr>
          <w:p>
            <w:pPr>
              <w:pStyle w:val="nTable"/>
              <w:spacing w:before="60" w:after="60"/>
            </w:pPr>
            <w:r>
              <w:t>15 Dec 2003 (see s. 2)</w:t>
            </w:r>
          </w:p>
        </w:tc>
      </w:tr>
      <w:tr>
        <w:trPr>
          <w:cantSplit/>
        </w:trPr>
        <w:tc>
          <w:tcPr>
            <w:tcW w:w="2266" w:type="dxa"/>
          </w:tcPr>
          <w:p>
            <w:pPr>
              <w:pStyle w:val="nTable"/>
              <w:spacing w:before="60" w:after="60"/>
            </w:pPr>
            <w:r>
              <w:rPr>
                <w:i/>
              </w:rPr>
              <w:t>Workers’ Compensation (Common Law Proceedings) Act 2004</w:t>
            </w:r>
            <w:r>
              <w:t xml:space="preserve"> </w:t>
            </w:r>
          </w:p>
        </w:tc>
        <w:tc>
          <w:tcPr>
            <w:tcW w:w="1134" w:type="dxa"/>
          </w:tcPr>
          <w:p>
            <w:pPr>
              <w:pStyle w:val="nTable"/>
              <w:spacing w:before="60" w:after="60"/>
            </w:pPr>
            <w:r>
              <w:t>35 of 2004</w:t>
            </w:r>
          </w:p>
        </w:tc>
        <w:tc>
          <w:tcPr>
            <w:tcW w:w="1134" w:type="dxa"/>
          </w:tcPr>
          <w:p>
            <w:pPr>
              <w:pStyle w:val="nTable"/>
              <w:spacing w:before="60" w:after="60"/>
            </w:pPr>
            <w:r>
              <w:t>25 Oct 2004</w:t>
            </w:r>
          </w:p>
        </w:tc>
        <w:tc>
          <w:tcPr>
            <w:tcW w:w="2554" w:type="dxa"/>
          </w:tcPr>
          <w:p>
            <w:pPr>
              <w:pStyle w:val="nTable"/>
              <w:spacing w:before="60" w:after="60"/>
            </w:pPr>
            <w:r>
              <w:t>s. 5(1) and (2): 5 Oct 1999 (see s. 2(2));</w:t>
            </w:r>
            <w:r>
              <w:br/>
              <w:t>Act other than s. 5(1) and (2): 25 Oct 2004 (see s. 2(1))</w:t>
            </w:r>
          </w:p>
        </w:tc>
      </w:tr>
      <w:tr>
        <w:trPr>
          <w:cantSplit/>
        </w:trPr>
        <w:tc>
          <w:tcPr>
            <w:tcW w:w="2266" w:type="dxa"/>
          </w:tcPr>
          <w:p>
            <w:pPr>
              <w:pStyle w:val="nTable"/>
              <w:spacing w:before="60" w:after="60"/>
              <w:rPr>
                <w:vertAlign w:val="superscript"/>
              </w:rPr>
            </w:pPr>
            <w:r>
              <w:rPr>
                <w:i/>
              </w:rPr>
              <w:t>Workers’ Compensation and Rehabilitation Amendment (Cross Border) Act 2004</w:t>
            </w:r>
            <w:r>
              <w:rPr>
                <w:vertAlign w:val="superscript"/>
              </w:rPr>
              <w:t> 32</w:t>
            </w:r>
          </w:p>
        </w:tc>
        <w:tc>
          <w:tcPr>
            <w:tcW w:w="1134" w:type="dxa"/>
          </w:tcPr>
          <w:p>
            <w:pPr>
              <w:pStyle w:val="nTable"/>
              <w:spacing w:before="60" w:after="60"/>
            </w:pPr>
            <w:r>
              <w:t>36 of 2004 (as amended by this Act s. 16, 17(5) and 19)</w:t>
            </w:r>
          </w:p>
        </w:tc>
        <w:tc>
          <w:tcPr>
            <w:tcW w:w="1134" w:type="dxa"/>
          </w:tcPr>
          <w:p>
            <w:pPr>
              <w:pStyle w:val="nTable"/>
              <w:spacing w:before="60" w:after="60"/>
            </w:pPr>
            <w:r>
              <w:t>28 Oct 2004</w:t>
            </w:r>
          </w:p>
        </w:tc>
        <w:tc>
          <w:tcPr>
            <w:tcW w:w="2554" w:type="dxa"/>
          </w:tcPr>
          <w:p>
            <w:pPr>
              <w:pStyle w:val="nTable"/>
              <w:spacing w:before="60" w:after="6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c>
          <w:tcPr>
            <w:tcW w:w="2266" w:type="dxa"/>
          </w:tcPr>
          <w:p>
            <w:pPr>
              <w:pStyle w:val="nTable"/>
              <w:spacing w:before="60" w:after="60"/>
              <w:rPr>
                <w:i/>
              </w:rPr>
            </w:pPr>
            <w:r>
              <w:rPr>
                <w:i/>
                <w:snapToGrid w:val="0"/>
              </w:rPr>
              <w:t>Workers’ Compensation Reform Act 2004 </w:t>
            </w:r>
            <w:r>
              <w:rPr>
                <w:snapToGrid w:val="0"/>
                <w:vertAlign w:val="superscript"/>
              </w:rPr>
              <w:t xml:space="preserve"> 33, 34</w:t>
            </w:r>
          </w:p>
        </w:tc>
        <w:tc>
          <w:tcPr>
            <w:tcW w:w="1134" w:type="dxa"/>
          </w:tcPr>
          <w:p>
            <w:pPr>
              <w:pStyle w:val="nTable"/>
              <w:spacing w:before="60" w:after="60"/>
            </w:pPr>
            <w:r>
              <w:t>42 of 2004</w:t>
            </w:r>
            <w:r>
              <w:br/>
              <w:t>(as amended by No. 16 of 2005 s. 4</w:t>
            </w:r>
            <w:r>
              <w:noBreakHyphen/>
              <w:t>7)</w:t>
            </w:r>
          </w:p>
        </w:tc>
        <w:tc>
          <w:tcPr>
            <w:tcW w:w="1134" w:type="dxa"/>
          </w:tcPr>
          <w:p>
            <w:pPr>
              <w:pStyle w:val="nTable"/>
              <w:spacing w:before="60" w:after="60"/>
            </w:pPr>
            <w:r>
              <w:t>9 Nov 2004</w:t>
            </w:r>
          </w:p>
        </w:tc>
        <w:tc>
          <w:tcPr>
            <w:tcW w:w="2554" w:type="dxa"/>
          </w:tcPr>
          <w:p>
            <w:pPr>
              <w:pStyle w:val="nTable"/>
              <w:spacing w:before="60" w:after="60"/>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cantSplit/>
        </w:trPr>
        <w:tc>
          <w:tcPr>
            <w:tcW w:w="2266" w:type="dxa"/>
          </w:tcPr>
          <w:p>
            <w:pPr>
              <w:pStyle w:val="nTable"/>
              <w:spacing w:before="60" w:after="60"/>
              <w:rPr>
                <w:i/>
                <w:snapToGrid w:val="0"/>
              </w:rPr>
            </w:pPr>
          </w:p>
        </w:tc>
        <w:tc>
          <w:tcPr>
            <w:tcW w:w="1134" w:type="dxa"/>
          </w:tcPr>
          <w:p>
            <w:pPr>
              <w:pStyle w:val="nTable"/>
              <w:spacing w:before="60" w:after="60"/>
              <w:rPr>
                <w:snapToGrid w:val="0"/>
              </w:rPr>
            </w:pPr>
          </w:p>
        </w:tc>
        <w:tc>
          <w:tcPr>
            <w:tcW w:w="1134" w:type="dxa"/>
          </w:tcPr>
          <w:p>
            <w:pPr>
              <w:pStyle w:val="nTable"/>
              <w:spacing w:before="60" w:after="60"/>
            </w:pPr>
          </w:p>
        </w:tc>
        <w:tc>
          <w:tcPr>
            <w:tcW w:w="2554" w:type="dxa"/>
          </w:tcPr>
          <w:p>
            <w:pPr>
              <w:pStyle w:val="nTable"/>
              <w:spacing w:before="60" w:after="6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cantSplit/>
        </w:trPr>
        <w:tc>
          <w:tcPr>
            <w:tcW w:w="2266" w:type="dxa"/>
          </w:tcPr>
          <w:p>
            <w:pPr>
              <w:pStyle w:val="nTable"/>
              <w:spacing w:before="60" w:after="6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tcPr>
          <w:p>
            <w:pPr>
              <w:pStyle w:val="nTable"/>
              <w:spacing w:before="60" w:after="60"/>
            </w:pPr>
            <w:r>
              <w:rPr>
                <w:snapToGrid w:val="0"/>
              </w:rPr>
              <w:t>45 of 2004</w:t>
            </w:r>
            <w:r>
              <w:rPr>
                <w:snapToGrid w:val="0"/>
              </w:rPr>
              <w:br/>
              <w:t>(as amended by No. 16 of 2005 s. 31)</w:t>
            </w:r>
          </w:p>
        </w:tc>
        <w:tc>
          <w:tcPr>
            <w:tcW w:w="1134" w:type="dxa"/>
          </w:tcPr>
          <w:p>
            <w:pPr>
              <w:pStyle w:val="nTable"/>
              <w:spacing w:before="60" w:after="60"/>
            </w:pPr>
            <w:r>
              <w:t>9 Nov 2004</w:t>
            </w:r>
          </w:p>
        </w:tc>
        <w:tc>
          <w:tcPr>
            <w:tcW w:w="2554" w:type="dxa"/>
          </w:tcPr>
          <w:p>
            <w:pPr>
              <w:pStyle w:val="nTable"/>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6" w:type="dxa"/>
          </w:tcPr>
          <w:p>
            <w:pPr>
              <w:pStyle w:val="nTable"/>
              <w:spacing w:before="60" w:after="60"/>
              <w:rPr>
                <w:i/>
                <w:snapToGrid w:val="0"/>
              </w:rPr>
            </w:pPr>
            <w:r>
              <w:rPr>
                <w:i/>
              </w:rPr>
              <w:t xml:space="preserve">Courts Legislation Amendment and Repeal Act 2004 </w:t>
            </w:r>
            <w:r>
              <w:t>Pt. 19</w:t>
            </w:r>
          </w:p>
        </w:tc>
        <w:tc>
          <w:tcPr>
            <w:tcW w:w="1134" w:type="dxa"/>
          </w:tcPr>
          <w:p>
            <w:pPr>
              <w:pStyle w:val="nTable"/>
              <w:spacing w:before="60" w:after="60"/>
              <w:rPr>
                <w:snapToGrid w:val="0"/>
              </w:rPr>
            </w:pPr>
            <w:r>
              <w:t>59 of 2004</w:t>
            </w:r>
          </w:p>
        </w:tc>
        <w:tc>
          <w:tcPr>
            <w:tcW w:w="1134" w:type="dxa"/>
          </w:tcPr>
          <w:p>
            <w:pPr>
              <w:pStyle w:val="nTable"/>
              <w:spacing w:before="60" w:after="60"/>
            </w:pPr>
            <w:r>
              <w:t>23 Nov 2004</w:t>
            </w:r>
          </w:p>
        </w:tc>
        <w:tc>
          <w:tcPr>
            <w:tcW w:w="2554" w:type="dxa"/>
          </w:tcPr>
          <w:p>
            <w:pPr>
              <w:pStyle w:val="nTable"/>
              <w:spacing w:before="60" w:after="60"/>
              <w:rPr>
                <w:snapToGrid w:val="0"/>
              </w:rPr>
            </w:pPr>
            <w:r>
              <w:t xml:space="preserve">1 May 2005 (see s. 2 and </w:t>
            </w:r>
            <w:r>
              <w:rPr>
                <w:i/>
              </w:rPr>
              <w:t>Gazette</w:t>
            </w:r>
            <w:r>
              <w:t xml:space="preserve"> 31 Dec 2004 p. 7128)</w:t>
            </w:r>
          </w:p>
        </w:tc>
      </w:tr>
      <w:tr>
        <w:trPr>
          <w:cantSplit/>
        </w:trPr>
        <w:tc>
          <w:tcPr>
            <w:tcW w:w="2266" w:type="dxa"/>
          </w:tcPr>
          <w:p>
            <w:pPr>
              <w:pStyle w:val="nTable"/>
              <w:spacing w:before="60" w:after="6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tcPr>
          <w:p>
            <w:pPr>
              <w:pStyle w:val="nTable"/>
              <w:spacing w:before="60" w:after="60"/>
            </w:pPr>
            <w:r>
              <w:t xml:space="preserve">84 of 2004 </w:t>
            </w:r>
            <w:r>
              <w:rPr>
                <w:snapToGrid w:val="0"/>
              </w:rPr>
              <w:t>(as amended by No. 2 of 2008 s. 78(10))</w:t>
            </w:r>
          </w:p>
        </w:tc>
        <w:tc>
          <w:tcPr>
            <w:tcW w:w="1134" w:type="dxa"/>
          </w:tcPr>
          <w:p>
            <w:pPr>
              <w:pStyle w:val="nTable"/>
              <w:spacing w:before="60" w:after="60"/>
            </w:pPr>
            <w:r>
              <w:t>16 Dec 2004</w:t>
            </w:r>
          </w:p>
        </w:tc>
        <w:tc>
          <w:tcPr>
            <w:tcW w:w="2554" w:type="dxa"/>
          </w:tcPr>
          <w:p>
            <w:pPr>
              <w:pStyle w:val="nTable"/>
              <w:spacing w:before="60" w:after="6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spacing w:before="60" w:after="6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cantSplit/>
        </w:trPr>
        <w:tc>
          <w:tcPr>
            <w:tcW w:w="2266" w:type="dxa"/>
          </w:tcPr>
          <w:p>
            <w:pPr>
              <w:pStyle w:val="nTable"/>
              <w:spacing w:before="60" w:after="6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tcPr>
          <w:p>
            <w:pPr>
              <w:pStyle w:val="nTable"/>
              <w:spacing w:before="60" w:after="60"/>
              <w:rPr>
                <w:snapToGrid w:val="0"/>
              </w:rPr>
            </w:pPr>
            <w:r>
              <w:rPr>
                <w:snapToGrid w:val="0"/>
              </w:rPr>
              <w:t>16 of 2005</w:t>
            </w:r>
          </w:p>
        </w:tc>
        <w:tc>
          <w:tcPr>
            <w:tcW w:w="1134" w:type="dxa"/>
          </w:tcPr>
          <w:p>
            <w:pPr>
              <w:pStyle w:val="nTable"/>
              <w:spacing w:before="60" w:after="60"/>
            </w:pPr>
            <w:r>
              <w:t>27 Sep 2005</w:t>
            </w:r>
          </w:p>
        </w:tc>
        <w:tc>
          <w:tcPr>
            <w:tcW w:w="2554" w:type="dxa"/>
          </w:tcPr>
          <w:p>
            <w:pPr>
              <w:pStyle w:val="nTable"/>
              <w:spacing w:before="60" w:after="60"/>
              <w:rPr>
                <w:snapToGrid w:val="0"/>
              </w:rPr>
            </w:pPr>
            <w:r>
              <w:t>s. 30(1) and (2): 1 Jul 2005 (see s. 2(2));</w:t>
            </w:r>
            <w:r>
              <w:br/>
              <w:t>s. 30(3): 27 Sep 2005 (see s. 2(1));</w:t>
            </w:r>
            <w:r>
              <w:br/>
              <w:t>Pt. 3 and s. 32: 14 Nov 2005 (see s. 2(3))</w:t>
            </w:r>
          </w:p>
        </w:tc>
      </w:tr>
      <w:tr>
        <w:tc>
          <w:tcPr>
            <w:tcW w:w="2266" w:type="dxa"/>
          </w:tcPr>
          <w:p>
            <w:pPr>
              <w:pStyle w:val="nTable"/>
              <w:spacing w:before="60" w:after="60"/>
              <w:rPr>
                <w:snapToGrid w:val="0"/>
                <w:vertAlign w:val="superscript"/>
              </w:rPr>
            </w:pPr>
            <w:r>
              <w:rPr>
                <w:i/>
                <w:snapToGrid w:val="0"/>
              </w:rPr>
              <w:t>Limitation Legislation Amendment and Repeal Act 2005</w:t>
            </w:r>
            <w:r>
              <w:rPr>
                <w:snapToGrid w:val="0"/>
              </w:rPr>
              <w:t xml:space="preserve"> Pt. 9</w:t>
            </w:r>
          </w:p>
        </w:tc>
        <w:tc>
          <w:tcPr>
            <w:tcW w:w="1134" w:type="dxa"/>
          </w:tcPr>
          <w:p>
            <w:pPr>
              <w:pStyle w:val="nTable"/>
              <w:spacing w:before="60" w:after="60"/>
              <w:rPr>
                <w:snapToGrid w:val="0"/>
              </w:rPr>
            </w:pPr>
            <w:r>
              <w:rPr>
                <w:snapToGrid w:val="0"/>
              </w:rPr>
              <w:t>20 of 2005</w:t>
            </w:r>
          </w:p>
        </w:tc>
        <w:tc>
          <w:tcPr>
            <w:tcW w:w="1134" w:type="dxa"/>
          </w:tcPr>
          <w:p>
            <w:pPr>
              <w:pStyle w:val="nTable"/>
              <w:spacing w:before="60" w:after="60"/>
            </w:pPr>
            <w:r>
              <w:t>15 Nov 2005</w:t>
            </w:r>
          </w:p>
        </w:tc>
        <w:tc>
          <w:tcPr>
            <w:tcW w:w="2554" w:type="dxa"/>
          </w:tcPr>
          <w:p>
            <w:pPr>
              <w:pStyle w:val="nTable"/>
              <w:spacing w:before="60" w:after="60"/>
              <w:rPr>
                <w:snapToGrid w:val="0"/>
              </w:rPr>
            </w:pPr>
            <w:r>
              <w:rPr>
                <w:snapToGrid w:val="0"/>
              </w:rPr>
              <w:t>15 Nov 2005 (see s. 2)</w:t>
            </w:r>
          </w:p>
        </w:tc>
      </w:tr>
      <w:tr>
        <w:trPr>
          <w:cantSplit/>
        </w:trPr>
        <w:tc>
          <w:tcPr>
            <w:tcW w:w="2266" w:type="dxa"/>
          </w:tcPr>
          <w:p>
            <w:pPr>
              <w:pStyle w:val="nTable"/>
              <w:spacing w:before="60" w:after="60"/>
              <w:rPr>
                <w:i/>
                <w:snapToGrid w:val="0"/>
              </w:rPr>
            </w:pPr>
            <w:r>
              <w:rPr>
                <w:i/>
              </w:rPr>
              <w:t xml:space="preserve">Chiropractors Act 2005 </w:t>
            </w:r>
            <w:r>
              <w:t>Sch. 3 cl. 8</w:t>
            </w:r>
            <w:r>
              <w:rPr>
                <w:vertAlign w:val="superscript"/>
              </w:rPr>
              <w:t> 39</w:t>
            </w:r>
          </w:p>
        </w:tc>
        <w:tc>
          <w:tcPr>
            <w:tcW w:w="1134" w:type="dxa"/>
          </w:tcPr>
          <w:p>
            <w:pPr>
              <w:pStyle w:val="nTable"/>
              <w:spacing w:before="60" w:after="60"/>
              <w:rPr>
                <w:snapToGrid w:val="0"/>
              </w:rPr>
            </w:pPr>
            <w:r>
              <w:rPr>
                <w:snapToGrid w:val="0"/>
              </w:rPr>
              <w:t>31 of 2005</w:t>
            </w:r>
          </w:p>
        </w:tc>
        <w:tc>
          <w:tcPr>
            <w:tcW w:w="1134" w:type="dxa"/>
          </w:tcPr>
          <w:p>
            <w:pPr>
              <w:pStyle w:val="nTable"/>
              <w:spacing w:before="60" w:after="60"/>
            </w:pPr>
            <w:r>
              <w:t>12 Dec 2005</w:t>
            </w:r>
          </w:p>
        </w:tc>
        <w:tc>
          <w:tcPr>
            <w:tcW w:w="2554" w:type="dxa"/>
          </w:tcPr>
          <w:p>
            <w:pPr>
              <w:pStyle w:val="nTable"/>
              <w:spacing w:before="60" w:after="60"/>
              <w:rPr>
                <w:snapToGrid w:val="0"/>
              </w:rPr>
            </w:pPr>
            <w:r>
              <w:rPr>
                <w:snapToGrid w:val="0"/>
              </w:rPr>
              <w:t xml:space="preserve">1 Aug 2007 (see s. 2 and </w:t>
            </w:r>
            <w:r>
              <w:rPr>
                <w:i/>
                <w:iCs/>
                <w:snapToGrid w:val="0"/>
              </w:rPr>
              <w:t>Gazette</w:t>
            </w:r>
            <w:r>
              <w:rPr>
                <w:snapToGrid w:val="0"/>
              </w:rPr>
              <w:t xml:space="preserve"> 31 Jul 2007 p. 3789)</w:t>
            </w:r>
          </w:p>
        </w:tc>
      </w:tr>
      <w:tr>
        <w:trPr>
          <w:cantSplit/>
        </w:trPr>
        <w:tc>
          <w:tcPr>
            <w:tcW w:w="7088" w:type="dxa"/>
            <w:gridSpan w:val="4"/>
          </w:tcPr>
          <w:p>
            <w:pPr>
              <w:pStyle w:val="nTable"/>
              <w:spacing w:before="60" w:after="6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c>
          <w:tcPr>
            <w:tcW w:w="2266" w:type="dxa"/>
          </w:tcPr>
          <w:p>
            <w:pPr>
              <w:pStyle w:val="nTable"/>
              <w:spacing w:before="60" w:after="60"/>
              <w:rPr>
                <w:snapToGrid w:val="0"/>
              </w:rPr>
            </w:pPr>
            <w:r>
              <w:rPr>
                <w:i/>
                <w:snapToGrid w:val="0"/>
              </w:rPr>
              <w:t xml:space="preserve">Financial Legislation Amendment and Repeal Act 2006 </w:t>
            </w:r>
            <w:r>
              <w:rPr>
                <w:snapToGrid w:val="0"/>
              </w:rPr>
              <w:t>s. 4 and Sch. 1 cl. 189</w:t>
            </w:r>
          </w:p>
        </w:tc>
        <w:tc>
          <w:tcPr>
            <w:tcW w:w="1134" w:type="dxa"/>
          </w:tcPr>
          <w:p>
            <w:pPr>
              <w:pStyle w:val="nTable"/>
              <w:spacing w:before="60" w:after="60"/>
              <w:rPr>
                <w:snapToGrid w:val="0"/>
              </w:rPr>
            </w:pPr>
            <w:r>
              <w:rPr>
                <w:snapToGrid w:val="0"/>
              </w:rPr>
              <w:t>77 of 2006</w:t>
            </w:r>
          </w:p>
        </w:tc>
        <w:tc>
          <w:tcPr>
            <w:tcW w:w="1134" w:type="dxa"/>
          </w:tcPr>
          <w:p>
            <w:pPr>
              <w:pStyle w:val="nTable"/>
              <w:spacing w:before="60" w:after="60"/>
            </w:pPr>
            <w:r>
              <w:t>21 Dec 2006</w:t>
            </w:r>
          </w:p>
        </w:tc>
        <w:tc>
          <w:tcPr>
            <w:tcW w:w="2554"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c>
          <w:tcPr>
            <w:tcW w:w="2266" w:type="dxa"/>
          </w:tcPr>
          <w:p>
            <w:pPr>
              <w:pStyle w:val="nTable"/>
              <w:spacing w:before="60" w:after="60"/>
              <w:rPr>
                <w:i/>
                <w:snapToGrid w:val="0"/>
              </w:rPr>
            </w:pPr>
            <w:r>
              <w:rPr>
                <w:i/>
                <w:snapToGrid w:val="0"/>
              </w:rPr>
              <w:t>Criminal Law and Evidence Amendment Act 2008</w:t>
            </w:r>
            <w:r>
              <w:rPr>
                <w:iCs/>
                <w:snapToGrid w:val="0"/>
              </w:rPr>
              <w:t xml:space="preserve"> s. 73</w:t>
            </w:r>
          </w:p>
        </w:tc>
        <w:tc>
          <w:tcPr>
            <w:tcW w:w="1134" w:type="dxa"/>
          </w:tcPr>
          <w:p>
            <w:pPr>
              <w:pStyle w:val="nTable"/>
              <w:spacing w:before="60" w:after="60"/>
              <w:rPr>
                <w:snapToGrid w:val="0"/>
              </w:rPr>
            </w:pPr>
            <w:r>
              <w:t>2 of 2008</w:t>
            </w:r>
          </w:p>
        </w:tc>
        <w:tc>
          <w:tcPr>
            <w:tcW w:w="1134" w:type="dxa"/>
          </w:tcPr>
          <w:p>
            <w:pPr>
              <w:pStyle w:val="nTable"/>
              <w:spacing w:before="60" w:after="60"/>
            </w:pPr>
            <w:r>
              <w:t>12 Mar 2008</w:t>
            </w:r>
          </w:p>
        </w:tc>
        <w:tc>
          <w:tcPr>
            <w:tcW w:w="2554" w:type="dxa"/>
          </w:tcPr>
          <w:p>
            <w:pPr>
              <w:pStyle w:val="nTable"/>
              <w:spacing w:before="60" w:after="6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6" w:type="dxa"/>
          </w:tcPr>
          <w:p>
            <w:pPr>
              <w:pStyle w:val="nTable"/>
              <w:spacing w:before="60" w:after="60"/>
              <w:rPr>
                <w:rFonts w:ascii="Times" w:hAnsi="Times"/>
                <w:iCs/>
                <w:vertAlign w:val="superscript"/>
              </w:rPr>
            </w:pPr>
            <w:r>
              <w:rPr>
                <w:i/>
              </w:rPr>
              <w:t>Duties Legislation Amendment Act 2008</w:t>
            </w:r>
            <w:r>
              <w:rPr>
                <w:iCs/>
              </w:rPr>
              <w:t xml:space="preserve"> Sch. 1 cl. 42</w:t>
            </w:r>
          </w:p>
        </w:tc>
        <w:tc>
          <w:tcPr>
            <w:tcW w:w="1134" w:type="dxa"/>
          </w:tcPr>
          <w:p>
            <w:pPr>
              <w:pStyle w:val="nTable"/>
              <w:spacing w:before="60" w:after="60"/>
            </w:pPr>
            <w:r>
              <w:t>12 of 2008</w:t>
            </w:r>
          </w:p>
        </w:tc>
        <w:tc>
          <w:tcPr>
            <w:tcW w:w="1134" w:type="dxa"/>
          </w:tcPr>
          <w:p>
            <w:pPr>
              <w:pStyle w:val="nTable"/>
              <w:spacing w:before="60" w:after="60"/>
            </w:pPr>
            <w:r>
              <w:t>14 Apr 2008</w:t>
            </w:r>
          </w:p>
        </w:tc>
        <w:tc>
          <w:tcPr>
            <w:tcW w:w="2554" w:type="dxa"/>
          </w:tcPr>
          <w:p>
            <w:pPr>
              <w:pStyle w:val="nTable"/>
              <w:spacing w:before="60" w:after="60"/>
            </w:pPr>
            <w:r>
              <w:t>1 Jul 2008 (see s. 2(d))</w:t>
            </w:r>
          </w:p>
        </w:tc>
      </w:tr>
      <w:tr>
        <w:tc>
          <w:tcPr>
            <w:tcW w:w="2266" w:type="dxa"/>
          </w:tcPr>
          <w:p>
            <w:pPr>
              <w:pStyle w:val="nTable"/>
              <w:spacing w:before="60" w:after="60"/>
              <w:rPr>
                <w:i/>
                <w:snapToGrid w:val="0"/>
              </w:rPr>
            </w:pPr>
            <w:r>
              <w:rPr>
                <w:i/>
                <w:iCs/>
                <w:snapToGrid w:val="0"/>
              </w:rPr>
              <w:t>Legal Profession Act 2008</w:t>
            </w:r>
            <w:r>
              <w:rPr>
                <w:i/>
                <w:snapToGrid w:val="0"/>
              </w:rPr>
              <w:t xml:space="preserve"> </w:t>
            </w:r>
            <w:r>
              <w:rPr>
                <w:iCs/>
                <w:snapToGrid w:val="0"/>
              </w:rPr>
              <w:t>s. 713</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4"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c>
          <w:tcPr>
            <w:tcW w:w="2266" w:type="dxa"/>
          </w:tcPr>
          <w:p>
            <w:pPr>
              <w:pStyle w:val="nTable"/>
              <w:spacing w:before="60" w:after="60"/>
              <w:rPr>
                <w:rFonts w:ascii="Times" w:hAnsi="Times"/>
                <w:i/>
              </w:rPr>
            </w:pPr>
            <w:r>
              <w:rPr>
                <w:i/>
                <w:snapToGrid w:val="0"/>
              </w:rPr>
              <w:t>Medical Practitioners Act 2008</w:t>
            </w:r>
            <w:r>
              <w:t xml:space="preserve"> Sch. 3 cl. 54</w:t>
            </w:r>
          </w:p>
        </w:tc>
        <w:tc>
          <w:tcPr>
            <w:tcW w:w="1134" w:type="dxa"/>
          </w:tcPr>
          <w:p>
            <w:pPr>
              <w:pStyle w:val="nTable"/>
              <w:spacing w:before="60" w:after="60"/>
            </w:pPr>
            <w:r>
              <w:t>22 of 2008</w:t>
            </w:r>
          </w:p>
        </w:tc>
        <w:tc>
          <w:tcPr>
            <w:tcW w:w="1134" w:type="dxa"/>
          </w:tcPr>
          <w:p>
            <w:pPr>
              <w:pStyle w:val="nTable"/>
              <w:spacing w:before="60" w:after="60"/>
            </w:pPr>
            <w:r>
              <w:t>27 May 2008</w:t>
            </w:r>
          </w:p>
        </w:tc>
        <w:tc>
          <w:tcPr>
            <w:tcW w:w="2554" w:type="dxa"/>
          </w:tcPr>
          <w:p>
            <w:pPr>
              <w:pStyle w:val="nTable"/>
              <w:spacing w:before="60" w:after="60"/>
              <w:rPr>
                <w:rFonts w:ascii="Times" w:hAnsi="Times"/>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Pr>
          <w:p>
            <w:pPr>
              <w:pStyle w:val="nTable"/>
              <w:spacing w:before="60" w:after="6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cantSplit/>
        </w:trPr>
        <w:tc>
          <w:tcPr>
            <w:tcW w:w="2266" w:type="dxa"/>
          </w:tcPr>
          <w:p>
            <w:pPr>
              <w:pStyle w:val="nTable"/>
              <w:spacing w:before="60" w:after="60"/>
              <w:ind w:right="113"/>
              <w:rPr>
                <w:iCs/>
              </w:rPr>
            </w:pPr>
            <w:r>
              <w:rPr>
                <w:i/>
              </w:rPr>
              <w:t>Statutes (Repeals and Miscellaneous Amendments) Act 2009</w:t>
            </w:r>
            <w:r>
              <w:rPr>
                <w:iCs/>
              </w:rPr>
              <w:t xml:space="preserve"> s. 139</w:t>
            </w:r>
          </w:p>
        </w:tc>
        <w:tc>
          <w:tcPr>
            <w:tcW w:w="1134" w:type="dxa"/>
          </w:tcPr>
          <w:p>
            <w:pPr>
              <w:pStyle w:val="nTable"/>
              <w:spacing w:before="60" w:after="60"/>
            </w:pPr>
            <w:r>
              <w:t xml:space="preserve">8 of 2009 </w:t>
            </w:r>
          </w:p>
        </w:tc>
        <w:tc>
          <w:tcPr>
            <w:tcW w:w="1134" w:type="dxa"/>
          </w:tcPr>
          <w:p>
            <w:pPr>
              <w:pStyle w:val="nTable"/>
              <w:spacing w:before="60" w:after="60"/>
            </w:pPr>
            <w:r>
              <w:t>21 May 2009</w:t>
            </w:r>
          </w:p>
        </w:tc>
        <w:tc>
          <w:tcPr>
            <w:tcW w:w="2554" w:type="dxa"/>
          </w:tcPr>
          <w:p>
            <w:pPr>
              <w:pStyle w:val="nTable"/>
              <w:spacing w:before="60" w:after="60"/>
            </w:pPr>
            <w:r>
              <w:t>22 May 2009 (see s. 2(b))</w:t>
            </w:r>
          </w:p>
        </w:tc>
      </w:tr>
      <w:tr>
        <w:trPr>
          <w:cantSplit/>
        </w:trPr>
        <w:tc>
          <w:tcPr>
            <w:tcW w:w="2266" w:type="dxa"/>
          </w:tcPr>
          <w:p>
            <w:pPr>
              <w:pStyle w:val="nTable"/>
              <w:spacing w:before="60" w:after="60"/>
              <w:rPr>
                <w:iCs/>
                <w:snapToGrid w:val="0"/>
              </w:rPr>
            </w:pPr>
            <w:r>
              <w:rPr>
                <w:i/>
                <w:snapToGrid w:val="0"/>
              </w:rPr>
              <w:t>Acts Amendment (Bankruptcy) Act 2009</w:t>
            </w:r>
            <w:r>
              <w:rPr>
                <w:iCs/>
                <w:snapToGrid w:val="0"/>
              </w:rPr>
              <w:t xml:space="preserve"> s. 94</w:t>
            </w:r>
          </w:p>
        </w:tc>
        <w:tc>
          <w:tcPr>
            <w:tcW w:w="1134" w:type="dxa"/>
          </w:tcPr>
          <w:p>
            <w:pPr>
              <w:pStyle w:val="nTable"/>
              <w:spacing w:before="60" w:after="60"/>
            </w:pPr>
            <w:r>
              <w:t>18 of 2009</w:t>
            </w:r>
          </w:p>
        </w:tc>
        <w:tc>
          <w:tcPr>
            <w:tcW w:w="1134" w:type="dxa"/>
          </w:tcPr>
          <w:p>
            <w:pPr>
              <w:pStyle w:val="nTable"/>
              <w:spacing w:before="60" w:after="60"/>
            </w:pPr>
            <w:r>
              <w:t>16 Sep 2009</w:t>
            </w:r>
          </w:p>
        </w:tc>
        <w:tc>
          <w:tcPr>
            <w:tcW w:w="2554" w:type="dxa"/>
          </w:tcPr>
          <w:p>
            <w:pPr>
              <w:pStyle w:val="nTable"/>
              <w:spacing w:before="60" w:after="60"/>
            </w:pPr>
            <w:r>
              <w:t>17 Sep 2009 (see s. 2(b))</w:t>
            </w:r>
          </w:p>
        </w:tc>
      </w:tr>
      <w:tr>
        <w:trPr>
          <w:cantSplit/>
        </w:trPr>
        <w:tc>
          <w:tcPr>
            <w:tcW w:w="2266" w:type="dxa"/>
          </w:tcPr>
          <w:p>
            <w:pPr>
              <w:pStyle w:val="nTable"/>
              <w:spacing w:before="60" w:after="60"/>
              <w:ind w:right="113"/>
              <w:rPr>
                <w:i/>
              </w:rPr>
            </w:pPr>
            <w:r>
              <w:rPr>
                <w:i/>
                <w:snapToGrid w:val="0"/>
              </w:rPr>
              <w:t>Police Amendment Act 2009</w:t>
            </w:r>
            <w:r>
              <w:rPr>
                <w:i/>
                <w:iCs/>
                <w:snapToGrid w:val="0"/>
              </w:rPr>
              <w:t xml:space="preserve"> </w:t>
            </w:r>
            <w:r>
              <w:rPr>
                <w:snapToGrid w:val="0"/>
              </w:rPr>
              <w:t>s. 25</w:t>
            </w:r>
          </w:p>
        </w:tc>
        <w:tc>
          <w:tcPr>
            <w:tcW w:w="1134" w:type="dxa"/>
          </w:tcPr>
          <w:p>
            <w:pPr>
              <w:pStyle w:val="nTable"/>
              <w:spacing w:before="60" w:after="60"/>
            </w:pPr>
            <w:r>
              <w:rPr>
                <w:snapToGrid w:val="0"/>
              </w:rPr>
              <w:t>42 of 2009</w:t>
            </w:r>
          </w:p>
        </w:tc>
        <w:tc>
          <w:tcPr>
            <w:tcW w:w="1134" w:type="dxa"/>
          </w:tcPr>
          <w:p>
            <w:pPr>
              <w:pStyle w:val="nTable"/>
              <w:spacing w:before="60" w:after="60"/>
            </w:pPr>
            <w:r>
              <w:rPr>
                <w:snapToGrid w:val="0"/>
              </w:rPr>
              <w:t>3 Dec 2009</w:t>
            </w:r>
          </w:p>
        </w:tc>
        <w:tc>
          <w:tcPr>
            <w:tcW w:w="2554" w:type="dxa"/>
          </w:tcPr>
          <w:p>
            <w:pPr>
              <w:pStyle w:val="nTable"/>
              <w:spacing w:before="60" w:after="60"/>
            </w:pPr>
            <w:r>
              <w:rPr>
                <w:snapToGrid w:val="0"/>
              </w:rPr>
              <w:t xml:space="preserve">13 Mar 2010 (see s. 2(b) and </w:t>
            </w:r>
            <w:r>
              <w:rPr>
                <w:i/>
                <w:iCs/>
                <w:snapToGrid w:val="0"/>
              </w:rPr>
              <w:t>Gazette</w:t>
            </w:r>
            <w:r>
              <w:rPr>
                <w:snapToGrid w:val="0"/>
              </w:rPr>
              <w:t xml:space="preserve"> 12 Mar 2010 p. 941)</w:t>
            </w:r>
          </w:p>
        </w:tc>
      </w:tr>
      <w:tr>
        <w:trPr>
          <w:cantSplit/>
        </w:trPr>
        <w:tc>
          <w:tcPr>
            <w:tcW w:w="2266" w:type="dxa"/>
          </w:tcPr>
          <w:p>
            <w:pPr>
              <w:pStyle w:val="nTable"/>
              <w:spacing w:before="60" w:after="60"/>
              <w:ind w:right="113"/>
              <w:rPr>
                <w:i/>
              </w:rPr>
            </w:pPr>
            <w:r>
              <w:rPr>
                <w:i/>
              </w:rPr>
              <w:t>Statutes (Repeals and Minor Amendments) Act 2009</w:t>
            </w:r>
            <w:r>
              <w:rPr>
                <w:iCs/>
              </w:rPr>
              <w:t xml:space="preserve"> s. 17</w:t>
            </w:r>
          </w:p>
        </w:tc>
        <w:tc>
          <w:tcPr>
            <w:tcW w:w="1134" w:type="dxa"/>
          </w:tcPr>
          <w:p>
            <w:pPr>
              <w:pStyle w:val="nTable"/>
              <w:spacing w:before="60" w:after="60"/>
            </w:pPr>
            <w:r>
              <w:t>46 of 2009</w:t>
            </w:r>
          </w:p>
        </w:tc>
        <w:tc>
          <w:tcPr>
            <w:tcW w:w="1134" w:type="dxa"/>
          </w:tcPr>
          <w:p>
            <w:pPr>
              <w:pStyle w:val="nTable"/>
              <w:spacing w:before="60" w:after="60"/>
            </w:pPr>
            <w:r>
              <w:t>3 Dec 2009</w:t>
            </w:r>
          </w:p>
        </w:tc>
        <w:tc>
          <w:tcPr>
            <w:tcW w:w="2554" w:type="dxa"/>
          </w:tcPr>
          <w:p>
            <w:pPr>
              <w:pStyle w:val="nTable"/>
              <w:spacing w:before="60" w:after="60"/>
            </w:pPr>
            <w:r>
              <w:t>4 Dec 2009 (see s. 2(b))</w:t>
            </w:r>
          </w:p>
        </w:tc>
      </w:tr>
      <w:tr>
        <w:trPr>
          <w:cantSplit/>
        </w:trPr>
        <w:tc>
          <w:tcPr>
            <w:tcW w:w="2266" w:type="dxa"/>
          </w:tcPr>
          <w:p>
            <w:pPr>
              <w:pStyle w:val="nTable"/>
              <w:spacing w:before="60" w:after="60"/>
              <w:ind w:right="113"/>
              <w:rPr>
                <w:iCs/>
                <w:snapToGrid w:val="0"/>
              </w:rPr>
            </w:pPr>
            <w:r>
              <w:rPr>
                <w:i/>
                <w:snapToGrid w:val="0"/>
              </w:rPr>
              <w:t>Standardisation of Formatting Act 2010</w:t>
            </w:r>
            <w:r>
              <w:rPr>
                <w:iCs/>
                <w:snapToGrid w:val="0"/>
              </w:rPr>
              <w:t xml:space="preserve"> s. 4, 42(3) and 51</w:t>
            </w:r>
          </w:p>
        </w:tc>
        <w:tc>
          <w:tcPr>
            <w:tcW w:w="1134" w:type="dxa"/>
          </w:tcPr>
          <w:p>
            <w:pPr>
              <w:pStyle w:val="nTable"/>
              <w:spacing w:before="60" w:after="60"/>
              <w:rPr>
                <w:snapToGrid w:val="0"/>
              </w:rPr>
            </w:pPr>
            <w:r>
              <w:rPr>
                <w:snapToGrid w:val="0"/>
              </w:rPr>
              <w:t>19 of 2010</w:t>
            </w:r>
          </w:p>
        </w:tc>
        <w:tc>
          <w:tcPr>
            <w:tcW w:w="1134" w:type="dxa"/>
          </w:tcPr>
          <w:p>
            <w:pPr>
              <w:pStyle w:val="nTable"/>
              <w:spacing w:before="60" w:after="60"/>
              <w:rPr>
                <w:snapToGrid w:val="0"/>
              </w:rPr>
            </w:pPr>
            <w:r>
              <w:rPr>
                <w:snapToGrid w:val="0"/>
              </w:rPr>
              <w:t>28 Jun 2010</w:t>
            </w:r>
          </w:p>
        </w:tc>
        <w:tc>
          <w:tcPr>
            <w:tcW w:w="2554" w:type="dxa"/>
          </w:tcPr>
          <w:p>
            <w:pPr>
              <w:pStyle w:val="nTable"/>
              <w:spacing w:before="60" w:after="6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before="60" w:after="60"/>
              <w:ind w:right="113"/>
              <w:rPr>
                <w:i/>
                <w:snapToGrid w:val="0"/>
              </w:rPr>
            </w:pPr>
            <w:r>
              <w:rPr>
                <w:i/>
                <w:snapToGrid w:val="0"/>
              </w:rPr>
              <w:t>Health Practitioner Regulation National Law (WA) Act 2010</w:t>
            </w:r>
            <w:r>
              <w:rPr>
                <w:iCs/>
                <w:snapToGrid w:val="0"/>
              </w:rPr>
              <w:t xml:space="preserve"> Pt. 5 Div. 50</w:t>
            </w:r>
          </w:p>
        </w:tc>
        <w:tc>
          <w:tcPr>
            <w:tcW w:w="1134" w:type="dxa"/>
          </w:tcPr>
          <w:p>
            <w:pPr>
              <w:pStyle w:val="nTable"/>
              <w:spacing w:before="60" w:after="60"/>
            </w:pPr>
            <w:r>
              <w:rPr>
                <w:snapToGrid w:val="0"/>
              </w:rPr>
              <w:t>35 of 2010</w:t>
            </w:r>
          </w:p>
        </w:tc>
        <w:tc>
          <w:tcPr>
            <w:tcW w:w="1134" w:type="dxa"/>
          </w:tcPr>
          <w:p>
            <w:pPr>
              <w:pStyle w:val="nTable"/>
              <w:spacing w:before="60" w:after="60"/>
              <w:rPr>
                <w:snapToGrid w:val="0"/>
              </w:rPr>
            </w:pPr>
            <w:r>
              <w:rPr>
                <w:snapToGrid w:val="0"/>
              </w:rPr>
              <w:t>30 Aug 2010</w:t>
            </w:r>
          </w:p>
        </w:tc>
        <w:tc>
          <w:tcPr>
            <w:tcW w:w="2554" w:type="dxa"/>
          </w:tcPr>
          <w:p>
            <w:pPr>
              <w:pStyle w:val="nTable"/>
              <w:spacing w:before="60" w:after="6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6" w:type="dxa"/>
          </w:tcPr>
          <w:p>
            <w:pPr>
              <w:pStyle w:val="nTable"/>
              <w:spacing w:before="60" w:after="60"/>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60" w:after="60"/>
              <w:rPr>
                <w:snapToGrid w:val="0"/>
              </w:rPr>
            </w:pPr>
            <w:r>
              <w:rPr>
                <w:snapToGrid w:val="0"/>
              </w:rPr>
              <w:t>39 of 2010</w:t>
            </w:r>
          </w:p>
        </w:tc>
        <w:tc>
          <w:tcPr>
            <w:tcW w:w="1134" w:type="dxa"/>
          </w:tcPr>
          <w:p>
            <w:pPr>
              <w:pStyle w:val="nTable"/>
              <w:spacing w:before="60" w:after="60"/>
              <w:rPr>
                <w:snapToGrid w:val="0"/>
              </w:rPr>
            </w:pPr>
            <w:r>
              <w:rPr>
                <w:snapToGrid w:val="0"/>
              </w:rPr>
              <w:t>1 Oct 2010</w:t>
            </w:r>
          </w:p>
        </w:tc>
        <w:tc>
          <w:tcPr>
            <w:tcW w:w="2554" w:type="dxa"/>
          </w:tcPr>
          <w:p>
            <w:pPr>
              <w:pStyle w:val="nTable"/>
              <w:spacing w:before="60" w:after="6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6" w:type="dxa"/>
          </w:tcPr>
          <w:p>
            <w:pPr>
              <w:pStyle w:val="nTable"/>
              <w:spacing w:before="60" w:after="6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tcPr>
          <w:p>
            <w:pPr>
              <w:pStyle w:val="nTable"/>
              <w:spacing w:before="60" w:after="60"/>
              <w:rPr>
                <w:snapToGrid w:val="0"/>
              </w:rPr>
            </w:pPr>
            <w:r>
              <w:rPr>
                <w:snapToGrid w:val="0"/>
              </w:rPr>
              <w:t>42 of 2010</w:t>
            </w:r>
          </w:p>
        </w:tc>
        <w:tc>
          <w:tcPr>
            <w:tcW w:w="1134" w:type="dxa"/>
          </w:tcPr>
          <w:p>
            <w:pPr>
              <w:pStyle w:val="nTable"/>
              <w:spacing w:before="60" w:after="60"/>
              <w:rPr>
                <w:snapToGrid w:val="0"/>
              </w:rPr>
            </w:pPr>
            <w:r>
              <w:rPr>
                <w:snapToGrid w:val="0"/>
              </w:rPr>
              <w:t>28 Oct 2010</w:t>
            </w:r>
          </w:p>
        </w:tc>
        <w:tc>
          <w:tcPr>
            <w:tcW w:w="2554" w:type="dxa"/>
          </w:tcPr>
          <w:p>
            <w:pPr>
              <w:pStyle w:val="nTable"/>
              <w:spacing w:before="60" w:after="60"/>
              <w:rPr>
                <w:snapToGrid w:val="0"/>
              </w:rPr>
            </w:pPr>
            <w:r>
              <w:rPr>
                <w:snapToGrid w:val="0"/>
              </w:rPr>
              <w:t xml:space="preserve">25 May 2011 (see s. 2(b) and </w:t>
            </w:r>
            <w:r>
              <w:rPr>
                <w:i/>
                <w:snapToGrid w:val="0"/>
              </w:rPr>
              <w:t>Gazette</w:t>
            </w:r>
            <w:r>
              <w:rPr>
                <w:snapToGrid w:val="0"/>
              </w:rPr>
              <w:t xml:space="preserve"> 24 May 2011 p. 1892)</w:t>
            </w:r>
          </w:p>
        </w:tc>
      </w:tr>
      <w:tr>
        <w:trPr>
          <w:cantSplit/>
        </w:trPr>
        <w:tc>
          <w:tcPr>
            <w:tcW w:w="7088" w:type="dxa"/>
            <w:gridSpan w:val="4"/>
          </w:tcPr>
          <w:p>
            <w:pPr>
              <w:pStyle w:val="nTable"/>
              <w:spacing w:before="60" w:after="6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cantSplit/>
        </w:trPr>
        <w:tc>
          <w:tcPr>
            <w:tcW w:w="2266" w:type="dxa"/>
          </w:tcPr>
          <w:p>
            <w:pPr>
              <w:pStyle w:val="nTable"/>
              <w:spacing w:before="60" w:after="60"/>
              <w:ind w:right="113"/>
              <w:rPr>
                <w:iCs/>
                <w:snapToGrid w:val="0"/>
              </w:rPr>
            </w:pPr>
            <w:r>
              <w:rPr>
                <w:i/>
                <w:snapToGrid w:val="0"/>
              </w:rPr>
              <w:t>Workers’ Compensation and Injury Management Amendment Act 2011</w:t>
            </w:r>
          </w:p>
        </w:tc>
        <w:tc>
          <w:tcPr>
            <w:tcW w:w="1134" w:type="dxa"/>
          </w:tcPr>
          <w:p>
            <w:pPr>
              <w:pStyle w:val="nTable"/>
              <w:spacing w:before="60" w:after="60"/>
              <w:rPr>
                <w:snapToGrid w:val="0"/>
              </w:rPr>
            </w:pPr>
            <w:r>
              <w:t>31 of 2011</w:t>
            </w:r>
          </w:p>
        </w:tc>
        <w:tc>
          <w:tcPr>
            <w:tcW w:w="1134" w:type="dxa"/>
          </w:tcPr>
          <w:p>
            <w:pPr>
              <w:pStyle w:val="nTable"/>
              <w:spacing w:before="60" w:after="60"/>
              <w:rPr>
                <w:snapToGrid w:val="0"/>
              </w:rPr>
            </w:pPr>
            <w:r>
              <w:t>31 Aug 2011</w:t>
            </w:r>
          </w:p>
        </w:tc>
        <w:tc>
          <w:tcPr>
            <w:tcW w:w="2554" w:type="dxa"/>
          </w:tcPr>
          <w:p>
            <w:pPr>
              <w:pStyle w:val="nTable"/>
              <w:spacing w:before="60" w:after="6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cantSplit/>
        </w:trPr>
        <w:tc>
          <w:tcPr>
            <w:tcW w:w="2266" w:type="dxa"/>
            <w:shd w:val="clear" w:color="auto" w:fill="auto"/>
          </w:tcPr>
          <w:p>
            <w:pPr>
              <w:pStyle w:val="nTable"/>
              <w:spacing w:before="60" w:after="60"/>
              <w:ind w:right="113"/>
              <w:rPr>
                <w:snapToGrid w:val="0"/>
              </w:rPr>
            </w:pPr>
            <w:r>
              <w:rPr>
                <w:i/>
                <w:snapToGrid w:val="0"/>
              </w:rPr>
              <w:t>Statutes (Repeals and Minor Amendments) Act 2011</w:t>
            </w:r>
            <w:r>
              <w:rPr>
                <w:snapToGrid w:val="0"/>
              </w:rPr>
              <w:t xml:space="preserve"> s. 7 and 27</w:t>
            </w:r>
          </w:p>
        </w:tc>
        <w:tc>
          <w:tcPr>
            <w:tcW w:w="1134" w:type="dxa"/>
            <w:shd w:val="clear" w:color="auto" w:fill="auto"/>
          </w:tcPr>
          <w:p>
            <w:pPr>
              <w:pStyle w:val="nTable"/>
              <w:spacing w:before="60" w:after="60"/>
            </w:pPr>
            <w:r>
              <w:rPr>
                <w:snapToGrid w:val="0"/>
              </w:rPr>
              <w:t>47 of 2011</w:t>
            </w:r>
          </w:p>
        </w:tc>
        <w:tc>
          <w:tcPr>
            <w:tcW w:w="1134" w:type="dxa"/>
            <w:shd w:val="clear" w:color="auto" w:fill="auto"/>
          </w:tcPr>
          <w:p>
            <w:pPr>
              <w:pStyle w:val="nTable"/>
              <w:spacing w:before="60" w:after="60"/>
            </w:pPr>
            <w:r>
              <w:rPr>
                <w:snapToGrid w:val="0"/>
              </w:rPr>
              <w:t>25 Oct 2011</w:t>
            </w:r>
          </w:p>
        </w:tc>
        <w:tc>
          <w:tcPr>
            <w:tcW w:w="2554" w:type="dxa"/>
            <w:shd w:val="clear" w:color="auto" w:fill="auto"/>
          </w:tcPr>
          <w:p>
            <w:pPr>
              <w:pStyle w:val="nTable"/>
              <w:spacing w:before="60" w:after="60"/>
              <w:rPr>
                <w:snapToGrid w:val="0"/>
              </w:rPr>
            </w:pPr>
            <w:r>
              <w:rPr>
                <w:snapToGrid w:val="0"/>
              </w:rPr>
              <w:t>26 Oct 2011 (see s. 2(b))</w:t>
            </w:r>
          </w:p>
        </w:tc>
      </w:tr>
      <w:tr>
        <w:trPr>
          <w:cantSplit/>
        </w:trPr>
        <w:tc>
          <w:tcPr>
            <w:tcW w:w="7088" w:type="dxa"/>
            <w:gridSpan w:val="4"/>
            <w:shd w:val="clear" w:color="auto" w:fill="auto"/>
          </w:tcPr>
          <w:p>
            <w:pPr>
              <w:pStyle w:val="nTable"/>
              <w:spacing w:before="60" w:after="6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shd w:val="clear" w:color="auto" w:fill="auto"/>
          </w:tcPr>
          <w:p>
            <w:pPr>
              <w:pStyle w:val="nTable"/>
              <w:keepNext/>
              <w:spacing w:before="60" w:after="60"/>
            </w:pPr>
            <w:r>
              <w:t>12 of 2012</w:t>
            </w:r>
          </w:p>
        </w:tc>
        <w:tc>
          <w:tcPr>
            <w:tcW w:w="1134" w:type="dxa"/>
            <w:shd w:val="clear" w:color="auto" w:fill="auto"/>
          </w:tcPr>
          <w:p>
            <w:pPr>
              <w:pStyle w:val="nTable"/>
              <w:keepNext/>
              <w:spacing w:before="60" w:after="60"/>
            </w:pPr>
            <w:r>
              <w:t>3 Jul 2012</w:t>
            </w:r>
          </w:p>
        </w:tc>
        <w:tc>
          <w:tcPr>
            <w:tcW w:w="2554" w:type="dxa"/>
            <w:shd w:val="clear" w:color="auto" w:fill="auto"/>
          </w:tcPr>
          <w:p>
            <w:pPr>
              <w:pStyle w:val="nTable"/>
              <w:keepNext/>
              <w:spacing w:before="60" w:after="60"/>
              <w:rPr>
                <w:rFonts w:ascii="Times" w:hAnsi="Times"/>
              </w:rPr>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cantSplit/>
        </w:trPr>
        <w:tc>
          <w:tcPr>
            <w:tcW w:w="2266" w:type="dxa"/>
            <w:shd w:val="clear" w:color="auto" w:fill="auto"/>
          </w:tcPr>
          <w:p>
            <w:pPr>
              <w:pStyle w:val="nTable"/>
              <w:spacing w:before="60" w:after="60"/>
              <w:ind w:right="113"/>
              <w:rPr>
                <w:rFonts w:ascii="Times" w:hAnsi="Times"/>
                <w:i/>
                <w:snapToGrid w:val="0"/>
              </w:rPr>
            </w:pPr>
            <w:r>
              <w:rPr>
                <w:i/>
                <w:snapToGrid w:val="0"/>
              </w:rPr>
              <w:t>Workers’ Compensation and Injury Management Amendment (Jockeys) Act 2012</w:t>
            </w:r>
          </w:p>
        </w:tc>
        <w:tc>
          <w:tcPr>
            <w:tcW w:w="1134" w:type="dxa"/>
            <w:shd w:val="clear" w:color="auto" w:fill="auto"/>
          </w:tcPr>
          <w:p>
            <w:pPr>
              <w:pStyle w:val="nTable"/>
              <w:keepNext/>
              <w:spacing w:before="60" w:after="60"/>
            </w:pPr>
            <w:r>
              <w:t>45 of 2012</w:t>
            </w:r>
          </w:p>
        </w:tc>
        <w:tc>
          <w:tcPr>
            <w:tcW w:w="1134" w:type="dxa"/>
            <w:shd w:val="clear" w:color="auto" w:fill="auto"/>
          </w:tcPr>
          <w:p>
            <w:pPr>
              <w:pStyle w:val="nTable"/>
              <w:keepNext/>
              <w:spacing w:before="60" w:after="60"/>
            </w:pPr>
            <w:r>
              <w:t>20 Nov 2012</w:t>
            </w:r>
          </w:p>
        </w:tc>
        <w:tc>
          <w:tcPr>
            <w:tcW w:w="2554" w:type="dxa"/>
            <w:shd w:val="clear" w:color="auto" w:fill="auto"/>
          </w:tcPr>
          <w:p>
            <w:pPr>
              <w:pStyle w:val="nTable"/>
              <w:keepNext/>
              <w:spacing w:before="60" w:after="60"/>
              <w:rPr>
                <w:rFonts w:ascii="Times" w:hAnsi="Times"/>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cantSplit/>
        </w:trPr>
        <w:tc>
          <w:tcPr>
            <w:tcW w:w="2266" w:type="dxa"/>
            <w:shd w:val="clear" w:color="auto" w:fill="auto"/>
          </w:tcPr>
          <w:p>
            <w:pPr>
              <w:pStyle w:val="nTable"/>
              <w:spacing w:before="60" w:after="60"/>
              <w:ind w:right="113"/>
              <w:rPr>
                <w:i/>
                <w:snapToGrid w:val="0"/>
              </w:rPr>
            </w:pPr>
            <w:r>
              <w:rPr>
                <w:i/>
                <w:snapToGrid w:val="0"/>
              </w:rPr>
              <w:t>Workers’ Compensation and Injury Management Amendment Act 2013</w:t>
            </w:r>
          </w:p>
        </w:tc>
        <w:tc>
          <w:tcPr>
            <w:tcW w:w="1134" w:type="dxa"/>
            <w:shd w:val="clear" w:color="auto" w:fill="auto"/>
          </w:tcPr>
          <w:p>
            <w:pPr>
              <w:pStyle w:val="nTable"/>
              <w:keepNext/>
              <w:spacing w:before="60" w:after="60"/>
            </w:pPr>
            <w:r>
              <w:t>21 of 2013</w:t>
            </w:r>
          </w:p>
        </w:tc>
        <w:tc>
          <w:tcPr>
            <w:tcW w:w="1134" w:type="dxa"/>
            <w:shd w:val="clear" w:color="auto" w:fill="auto"/>
          </w:tcPr>
          <w:p>
            <w:pPr>
              <w:pStyle w:val="nTable"/>
              <w:keepNext/>
              <w:spacing w:before="60" w:after="60"/>
            </w:pPr>
            <w:r>
              <w:t>12 Nov 2013</w:t>
            </w:r>
          </w:p>
        </w:tc>
        <w:tc>
          <w:tcPr>
            <w:tcW w:w="2554" w:type="dxa"/>
            <w:shd w:val="clear" w:color="auto" w:fill="auto"/>
          </w:tcPr>
          <w:p>
            <w:pPr>
              <w:pStyle w:val="nTable"/>
              <w:keepNext/>
              <w:spacing w:before="60" w:after="60"/>
              <w:rPr>
                <w:rFonts w:ascii="Times" w:hAnsi="Times"/>
                <w:snapToGrid w:val="0"/>
              </w:rPr>
            </w:pPr>
            <w:r>
              <w:rPr>
                <w:snapToGrid w:val="0"/>
              </w:rPr>
              <w:t>s. 1 and 2: 12 Nov 2013 (see s. 2(a));</w:t>
            </w:r>
            <w:r>
              <w:rPr>
                <w:snapToGrid w:val="0"/>
              </w:rPr>
              <w:br/>
              <w:t xml:space="preserve">Act other than s. 1 and 2: </w:t>
            </w:r>
            <w:r>
              <w:t>13 Nov 2013 (see s. 2(b))</w:t>
            </w:r>
          </w:p>
        </w:tc>
      </w:tr>
      <w:tr>
        <w:trPr>
          <w:cantSplit/>
        </w:trPr>
        <w:tc>
          <w:tcPr>
            <w:tcW w:w="7088" w:type="dxa"/>
            <w:gridSpan w:val="4"/>
            <w:shd w:val="clear" w:color="auto" w:fill="auto"/>
          </w:tcPr>
          <w:p>
            <w:pPr>
              <w:pStyle w:val="nTable"/>
              <w:keepNext/>
              <w:spacing w:before="60" w:after="6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w:t>
            </w:r>
          </w:p>
        </w:tc>
      </w:tr>
      <w:tr>
        <w:trPr>
          <w:cantSplit/>
        </w:trPr>
        <w:tc>
          <w:tcPr>
            <w:tcW w:w="2266" w:type="dxa"/>
            <w:shd w:val="clear" w:color="auto" w:fill="auto"/>
          </w:tcPr>
          <w:p>
            <w:pPr>
              <w:pStyle w:val="nTable"/>
              <w:spacing w:before="60" w:after="60"/>
              <w:ind w:right="113"/>
              <w:rPr>
                <w:i/>
                <w:snapToGrid w:val="0"/>
              </w:rPr>
            </w:pPr>
            <w:r>
              <w:rPr>
                <w:i/>
                <w:snapToGrid w:val="0"/>
              </w:rPr>
              <w:t>Health Services Act 2016</w:t>
            </w:r>
            <w:r>
              <w:rPr>
                <w:snapToGrid w:val="0"/>
              </w:rPr>
              <w:t xml:space="preserve"> s. 306</w:t>
            </w:r>
          </w:p>
        </w:tc>
        <w:tc>
          <w:tcPr>
            <w:tcW w:w="1134" w:type="dxa"/>
            <w:shd w:val="clear" w:color="auto" w:fill="auto"/>
          </w:tcPr>
          <w:p>
            <w:pPr>
              <w:pStyle w:val="nTable"/>
              <w:keepNext/>
              <w:spacing w:before="60" w:after="60"/>
            </w:pPr>
            <w:r>
              <w:t>11 of 2016</w:t>
            </w:r>
          </w:p>
        </w:tc>
        <w:tc>
          <w:tcPr>
            <w:tcW w:w="1134" w:type="dxa"/>
            <w:shd w:val="clear" w:color="auto" w:fill="auto"/>
          </w:tcPr>
          <w:p>
            <w:pPr>
              <w:pStyle w:val="nTable"/>
              <w:keepNext/>
              <w:spacing w:before="60" w:after="60"/>
            </w:pPr>
            <w:r>
              <w:t>26 May 2016</w:t>
            </w:r>
          </w:p>
        </w:tc>
        <w:tc>
          <w:tcPr>
            <w:tcW w:w="2554" w:type="dxa"/>
            <w:shd w:val="clear" w:color="auto" w:fill="auto"/>
          </w:tcPr>
          <w:p>
            <w:pPr>
              <w:pStyle w:val="nTable"/>
              <w:keepNext/>
              <w:spacing w:before="60" w:after="60"/>
              <w:rPr>
                <w:rFonts w:ascii="Times" w:hAnsi="Times"/>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6" w:type="dxa"/>
            <w:shd w:val="clear" w:color="auto" w:fill="auto"/>
          </w:tcPr>
          <w:p>
            <w:pPr>
              <w:pStyle w:val="nTable"/>
              <w:spacing w:before="60" w:after="60"/>
              <w:ind w:right="113"/>
              <w:rPr>
                <w:snapToGrid w:val="0"/>
              </w:rPr>
            </w:pPr>
            <w:r>
              <w:rPr>
                <w:i/>
                <w:snapToGrid w:val="0"/>
              </w:rPr>
              <w:t>Statutes (Repeals) Act 2016</w:t>
            </w:r>
            <w:r>
              <w:rPr>
                <w:snapToGrid w:val="0"/>
              </w:rPr>
              <w:t xml:space="preserve"> Pt. 2 Div. 4</w:t>
            </w:r>
          </w:p>
        </w:tc>
        <w:tc>
          <w:tcPr>
            <w:tcW w:w="1134" w:type="dxa"/>
            <w:shd w:val="clear" w:color="auto" w:fill="auto"/>
          </w:tcPr>
          <w:p>
            <w:pPr>
              <w:pStyle w:val="nTable"/>
              <w:keepNext/>
              <w:spacing w:before="60" w:after="60"/>
            </w:pPr>
            <w:r>
              <w:t>50 of 2016</w:t>
            </w:r>
          </w:p>
        </w:tc>
        <w:tc>
          <w:tcPr>
            <w:tcW w:w="1134" w:type="dxa"/>
            <w:shd w:val="clear" w:color="auto" w:fill="auto"/>
          </w:tcPr>
          <w:p>
            <w:pPr>
              <w:pStyle w:val="nTable"/>
              <w:keepNext/>
              <w:spacing w:before="60" w:after="60"/>
            </w:pPr>
            <w:r>
              <w:t>28 Nov 2016</w:t>
            </w:r>
          </w:p>
        </w:tc>
        <w:tc>
          <w:tcPr>
            <w:tcW w:w="2554" w:type="dxa"/>
            <w:shd w:val="clear" w:color="auto" w:fill="auto"/>
          </w:tcPr>
          <w:p>
            <w:pPr>
              <w:pStyle w:val="nTable"/>
              <w:keepNext/>
              <w:spacing w:before="60" w:after="60"/>
              <w:rPr>
                <w:snapToGrid w:val="0"/>
              </w:rPr>
            </w:pPr>
            <w:r>
              <w:rPr>
                <w:snapToGrid w:val="0"/>
              </w:rPr>
              <w:t>29 Nov 2016 (see s. 2(b))</w:t>
            </w:r>
          </w:p>
        </w:tc>
      </w:tr>
      <w:tr>
        <w:trPr>
          <w:cantSplit/>
        </w:trPr>
        <w:tc>
          <w:tcPr>
            <w:tcW w:w="2266" w:type="dxa"/>
            <w:tcBorders>
              <w:bottom w:val="single" w:sz="4" w:space="0" w:color="auto"/>
            </w:tcBorders>
            <w:shd w:val="clear" w:color="auto" w:fill="auto"/>
          </w:tcPr>
          <w:p>
            <w:pPr>
              <w:pStyle w:val="nTable"/>
              <w:spacing w:before="60" w:after="6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tcBorders>
              <w:bottom w:val="single" w:sz="4" w:space="0" w:color="auto"/>
            </w:tcBorders>
            <w:shd w:val="clear" w:color="auto" w:fill="auto"/>
          </w:tcPr>
          <w:p>
            <w:pPr>
              <w:pStyle w:val="nTable"/>
              <w:keepNext/>
              <w:spacing w:before="60" w:after="60"/>
            </w:pPr>
            <w:r>
              <w:t>28 of 2016</w:t>
            </w:r>
          </w:p>
        </w:tc>
        <w:tc>
          <w:tcPr>
            <w:tcW w:w="1134" w:type="dxa"/>
            <w:tcBorders>
              <w:bottom w:val="single" w:sz="4" w:space="0" w:color="auto"/>
            </w:tcBorders>
            <w:shd w:val="clear" w:color="auto" w:fill="auto"/>
          </w:tcPr>
          <w:p>
            <w:pPr>
              <w:pStyle w:val="nTable"/>
              <w:keepNext/>
              <w:spacing w:before="60" w:after="60"/>
            </w:pPr>
            <w:r>
              <w:t>21 Sep 2016</w:t>
            </w:r>
          </w:p>
        </w:tc>
        <w:tc>
          <w:tcPr>
            <w:tcW w:w="2554" w:type="dxa"/>
            <w:tcBorders>
              <w:bottom w:val="single" w:sz="4" w:space="0" w:color="auto"/>
            </w:tcBorders>
            <w:shd w:val="clear" w:color="auto" w:fill="auto"/>
          </w:tcPr>
          <w:p>
            <w:pPr>
              <w:pStyle w:val="nTable"/>
              <w:keepNext/>
              <w:spacing w:before="60" w:after="60"/>
              <w:rPr>
                <w:snapToGrid w:val="0"/>
              </w:rPr>
            </w:pPr>
            <w:r>
              <w:rPr>
                <w:snapToGrid w:val="0"/>
              </w:rPr>
              <w:t xml:space="preserve">21 Jan 2017 (see s. 2(b) and </w:t>
            </w:r>
            <w:r>
              <w:rPr>
                <w:i/>
                <w:snapToGrid w:val="0"/>
              </w:rPr>
              <w:t xml:space="preserve">Gazette </w:t>
            </w:r>
            <w:r>
              <w:rPr>
                <w:snapToGrid w:val="0"/>
              </w:rPr>
              <w:t>20 Jan 2017 p. 647)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0" w:name="_Toc472605152"/>
      <w:r>
        <w:t>Provisions that have not come into operation</w:t>
      </w:r>
      <w:bookmarkEnd w:id="590"/>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 </w:t>
            </w:r>
            <w:r>
              <w:rPr>
                <w:snapToGrid w:val="0"/>
                <w:vertAlign w:val="superscript"/>
              </w:rPr>
              <w:t>41</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 </w:t>
            </w:r>
            <w:r>
              <w:rPr>
                <w:snapToGrid w:val="0"/>
                <w:vertAlign w:val="superscript"/>
              </w:rPr>
              <w:t>42</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tcBorders>
              <w:bottom w:val="single" w:sz="4" w:space="0" w:color="auto"/>
            </w:tcBorders>
            <w:shd w:val="clear" w:color="auto" w:fill="auto"/>
          </w:tcPr>
          <w:p>
            <w:pPr>
              <w:pStyle w:val="nTable"/>
              <w:rPr>
                <w:i/>
                <w:iCs/>
              </w:rPr>
            </w:pPr>
            <w:r>
              <w:rPr>
                <w:i/>
                <w:iCs/>
                <w:noProof/>
                <w:snapToGrid w:val="0"/>
              </w:rPr>
              <w:t>Medicines and Poisons Act 2014</w:t>
            </w:r>
            <w:r>
              <w:rPr>
                <w:iCs/>
                <w:noProof/>
                <w:snapToGrid w:val="0"/>
              </w:rPr>
              <w:t xml:space="preserve"> s. 191</w:t>
            </w:r>
            <w:r>
              <w:rPr>
                <w:iCs/>
                <w:noProof/>
                <w:snapToGrid w:val="0"/>
                <w:vertAlign w:val="superscript"/>
              </w:rPr>
              <w:t> 43</w:t>
            </w:r>
          </w:p>
        </w:tc>
        <w:tc>
          <w:tcPr>
            <w:tcW w:w="1138" w:type="dxa"/>
            <w:tcBorders>
              <w:bottom w:val="single" w:sz="4" w:space="0" w:color="auto"/>
            </w:tcBorders>
            <w:shd w:val="clear" w:color="auto" w:fill="auto"/>
          </w:tcPr>
          <w:p>
            <w:pPr>
              <w:pStyle w:val="nTable"/>
              <w:spacing w:after="40"/>
            </w:pPr>
            <w:r>
              <w:t>13 of 2014</w:t>
            </w:r>
          </w:p>
        </w:tc>
        <w:tc>
          <w:tcPr>
            <w:tcW w:w="1139" w:type="dxa"/>
            <w:tcBorders>
              <w:bottom w:val="single" w:sz="4" w:space="0" w:color="auto"/>
            </w:tcBorders>
            <w:shd w:val="clear" w:color="auto" w:fill="auto"/>
          </w:tcPr>
          <w:p>
            <w:pPr>
              <w:pStyle w:val="nTable"/>
              <w:spacing w:after="40"/>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spacing w:before="120"/>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Subsection"/>
        <w:keepNext/>
        <w:spacing w:before="120"/>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Subsection"/>
        <w:spacing w:before="120"/>
      </w:pPr>
      <w:r>
        <w:rPr>
          <w:vertAlign w:val="superscript"/>
        </w:rPr>
        <w:t>6</w:t>
      </w:r>
      <w:r>
        <w:rPr>
          <w:vertAlign w:val="superscript"/>
        </w:rPr>
        <w:tab/>
      </w:r>
      <w:r>
        <w:t>Repealed by s. 317 of this Act.</w:t>
      </w:r>
    </w:p>
    <w:p>
      <w:pPr>
        <w:pStyle w:val="nSubsection"/>
        <w:spacing w:before="120"/>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Subsection"/>
        <w:spacing w:before="120"/>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spacing w:before="120"/>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Subsection"/>
        <w:spacing w:before="120"/>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spacing w:before="120"/>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Subsection"/>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Subsection"/>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Subsection"/>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Subsection"/>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Subsection"/>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Subsection"/>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Subsection"/>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Subsection"/>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Subsection"/>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Subsection"/>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Subsection"/>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Subsection"/>
        <w:spacing w:before="140"/>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Subsection"/>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pStyle w:val="BlankClose"/>
      </w:pPr>
    </w:p>
    <w:p>
      <w:pPr>
        <w:pStyle w:val="nSubsection"/>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Subsection"/>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Subsection"/>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pStyle w:val="BlankClose"/>
      </w:pPr>
    </w:p>
    <w:p>
      <w:pPr>
        <w:pStyle w:val="nSubsection"/>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smartTag w:uri="urn:schemas-microsoft-com:office:smarttags" w:element="place">
        <w:smartTag w:uri="urn:schemas-microsoft-com:office:smarttags" w:element="City">
          <w:r>
            <w:rPr>
              <w:b/>
              <w:bCs/>
              <w:i/>
              <w:iCs/>
            </w:rPr>
            <w:t>WorkCover</w:t>
          </w:r>
        </w:smartTag>
        <w:r>
          <w:rPr>
            <w:b/>
            <w:bCs/>
            <w:i/>
            <w:iCs/>
          </w:rPr>
          <w:t xml:space="preserve"> </w:t>
        </w:r>
        <w:smartTag w:uri="urn:schemas-microsoft-com:office:smarttags" w:element="State">
          <w:r>
            <w:rPr>
              <w:b/>
              <w:bCs/>
              <w:i/>
              <w:iCs/>
            </w:rPr>
            <w:t>WA</w:t>
          </w:r>
        </w:smartTag>
      </w:smartTag>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Subsection"/>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Subsection"/>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Subsection"/>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Subsection"/>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Subsection"/>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Subsection"/>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Subsection"/>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Subsection"/>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Subsection"/>
        <w:keepNext/>
        <w:rPr>
          <w:snapToGrid w:val="0"/>
        </w:rPr>
      </w:pPr>
      <w:bookmarkStart w:id="591" w:name="Start_Cursor"/>
      <w:bookmarkEnd w:id="591"/>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rPr>
          <w:rStyle w:val="CharPartNo"/>
        </w:rPr>
        <w:t>Part 3</w:t>
      </w:r>
      <w:r>
        <w:rPr>
          <w:rStyle w:val="CharDivNo"/>
        </w:rPr>
        <w:t> </w:t>
      </w:r>
      <w:r>
        <w:t>—</w:t>
      </w:r>
      <w:r>
        <w:rPr>
          <w:rStyle w:val="CharDivText"/>
        </w:rPr>
        <w:t> </w:t>
      </w:r>
      <w:r>
        <w:rPr>
          <w:rStyle w:val="CharPartText"/>
        </w:rP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Pr>
        <w:pStyle w:val="nSubsection"/>
        <w:spacing w:before="160"/>
        <w:rPr>
          <w:snapToGrid w:val="0"/>
        </w:rPr>
      </w:pPr>
      <w:r>
        <w:rPr>
          <w:snapToGrid w:val="0"/>
          <w:vertAlign w:val="superscript"/>
        </w:rPr>
        <w:t>41</w:t>
      </w:r>
      <w:r>
        <w:rPr>
          <w:snapToGrid w:val="0"/>
        </w:rPr>
        <w:tab/>
        <w:t xml:space="preserve">On the date as at which this </w:t>
      </w:r>
      <w:r>
        <w:t>compilation</w:t>
      </w:r>
      <w:r>
        <w:rPr>
          <w:snapToGrid w:val="0"/>
        </w:rPr>
        <w:t xml:space="preserve">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pStyle w:val="BlankOpen"/>
      </w:pPr>
    </w:p>
    <w:p>
      <w:pPr>
        <w:pStyle w:val="nzHeading5"/>
        <w:spacing w:before="0"/>
      </w:pPr>
      <w:r>
        <w:rPr>
          <w:rStyle w:val="CharSectno"/>
        </w:rPr>
        <w:t>74</w:t>
      </w:r>
      <w:r>
        <w:t>.</w:t>
      </w:r>
      <w:r>
        <w:tab/>
      </w:r>
      <w:r>
        <w:rPr>
          <w:i/>
        </w:rPr>
        <w:t>Workers’ Compensation and Injury Management Act 1981</w:t>
      </w:r>
      <w:r>
        <w:t xml:space="preserve"> amended</w:t>
      </w:r>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pStyle w:val="BlankClose"/>
      </w:pPr>
    </w:p>
    <w:p>
      <w:pPr>
        <w:pStyle w:val="nSubsection"/>
        <w:rPr>
          <w:snapToGrid w:val="0"/>
        </w:rPr>
      </w:pPr>
      <w:r>
        <w:rPr>
          <w:snapToGrid w:val="0"/>
          <w:vertAlign w:val="superscript"/>
        </w:rPr>
        <w:t>42</w:t>
      </w:r>
      <w:r>
        <w:rPr>
          <w:snapToGrid w:val="0"/>
        </w:rPr>
        <w:tab/>
      </w:r>
      <w:r>
        <w:t xml:space="preserve">On the date as at which this compilation was prepared, </w:t>
      </w:r>
      <w:r>
        <w:rPr>
          <w:snapToGrid w:val="0"/>
        </w:rPr>
        <w:t xml:space="preserve">the </w:t>
      </w:r>
      <w:r>
        <w:rPr>
          <w:i/>
          <w:snapToGrid w:val="0"/>
        </w:rPr>
        <w:t xml:space="preserve">Workers’ Compensation and Injury Management Amendment Act 2011 </w:t>
      </w:r>
      <w:r>
        <w:rPr>
          <w:snapToGrid w:val="0"/>
        </w:rPr>
        <w:t>s. 123(2)</w:t>
      </w:r>
      <w:r>
        <w:rPr>
          <w:snapToGrid w:val="0"/>
        </w:rPr>
        <w:noBreakHyphen/>
        <w:t>(7) had not come into operation.  They read as follows:</w:t>
      </w:r>
    </w:p>
    <w:p>
      <w:pPr>
        <w:pStyle w:val="BlankOpen"/>
      </w:pPr>
    </w:p>
    <w:p>
      <w:pPr>
        <w:pStyle w:val="nzSubsection"/>
      </w:pPr>
      <w:r>
        <w:tab/>
        <w:t>(2)</w:t>
      </w:r>
      <w:r>
        <w:tab/>
        <w:t>In Schedule 1 clause 11(2) delete the definitions of:</w:t>
      </w:r>
    </w:p>
    <w:p>
      <w:pPr>
        <w:pStyle w:val="DeleteListSub"/>
        <w:spacing w:before="40"/>
        <w:ind w:left="1440"/>
        <w:rPr>
          <w:b/>
          <w:bCs/>
          <w:i/>
          <w:iCs/>
          <w:sz w:val="20"/>
        </w:rPr>
      </w:pPr>
      <w:r>
        <w:rPr>
          <w:b/>
          <w:bCs/>
          <w:i/>
          <w:iCs/>
          <w:sz w:val="20"/>
        </w:rPr>
        <w:t>Amount A</w:t>
      </w:r>
    </w:p>
    <w:p>
      <w:pPr>
        <w:pStyle w:val="DeleteListSub"/>
        <w:spacing w:before="40"/>
        <w:ind w:left="1440"/>
        <w:rPr>
          <w:sz w:val="20"/>
        </w:rPr>
      </w:pPr>
      <w:r>
        <w:rPr>
          <w:b/>
          <w:bCs/>
          <w:i/>
          <w:iCs/>
          <w:sz w:val="20"/>
        </w:rPr>
        <w:t>Amount D</w:t>
      </w:r>
    </w:p>
    <w:p>
      <w:pPr>
        <w:pStyle w:val="nzSubsection"/>
        <w:keepNext/>
      </w:pPr>
      <w:r>
        <w:tab/>
        <w:t>(3)</w:t>
      </w:r>
      <w:r>
        <w:tab/>
        <w:t>In Schedule 1 clause 11(3)(a):</w:t>
      </w:r>
    </w:p>
    <w:p>
      <w:pPr>
        <w:pStyle w:val="nzIndenta"/>
        <w:keepNext/>
      </w:pPr>
      <w:r>
        <w:tab/>
        <w:t>(a)</w:t>
      </w:r>
      <w:r>
        <w:tab/>
        <w:t>delete “Amount A” and insert:</w:t>
      </w:r>
    </w:p>
    <w:p>
      <w:pPr>
        <w:pStyle w:val="BlankOpen"/>
        <w:rPr>
          <w:sz w:val="20"/>
          <w:szCs w:val="20"/>
        </w:rPr>
      </w:pPr>
    </w:p>
    <w:p>
      <w:pPr>
        <w:pStyle w:val="nzIndenta"/>
        <w:spacing w:before="0"/>
      </w:pPr>
      <w:r>
        <w:tab/>
      </w:r>
      <w:r>
        <w:tab/>
        <w:t>Amount B</w:t>
      </w:r>
    </w:p>
    <w:p>
      <w:pPr>
        <w:pStyle w:val="BlankClose"/>
        <w:rPr>
          <w:sz w:val="20"/>
          <w:szCs w:val="20"/>
        </w:rPr>
      </w:pPr>
    </w:p>
    <w:p>
      <w:pPr>
        <w:pStyle w:val="nzIndenta"/>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pPr>
      <w:r>
        <w:tab/>
        <w:t>(4)</w:t>
      </w:r>
      <w:r>
        <w:tab/>
        <w:t>In Schedule 1 clause 11(3)(b):</w:t>
      </w:r>
    </w:p>
    <w:p>
      <w:pPr>
        <w:pStyle w:val="nzIndenta"/>
      </w:pPr>
      <w:r>
        <w:tab/>
        <w:t>(a)</w:t>
      </w:r>
      <w:r>
        <w:tab/>
        <w:t>delete “Amount Aa,” and insert:</w:t>
      </w:r>
    </w:p>
    <w:p>
      <w:pPr>
        <w:pStyle w:val="BlankOpen"/>
        <w:rPr>
          <w:sz w:val="20"/>
          <w:szCs w:val="20"/>
        </w:rPr>
      </w:pPr>
    </w:p>
    <w:p>
      <w:pPr>
        <w:pStyle w:val="nzIndenta"/>
        <w:spacing w:before="0"/>
      </w:pPr>
      <w:r>
        <w:tab/>
      </w:r>
      <w:r>
        <w:tab/>
        <w:t>85% of Amount B,</w:t>
      </w:r>
    </w:p>
    <w:p>
      <w:pPr>
        <w:pStyle w:val="BlankClose"/>
        <w:rPr>
          <w:sz w:val="20"/>
          <w:szCs w:val="20"/>
        </w:rPr>
      </w:pPr>
    </w:p>
    <w:p>
      <w:pPr>
        <w:pStyle w:val="nzIndenta"/>
        <w:keepNext/>
      </w:pPr>
      <w:r>
        <w:tab/>
        <w:t>(b)</w:t>
      </w:r>
      <w:r>
        <w:tab/>
        <w:t>delete “Amount D.” and insert:</w:t>
      </w:r>
    </w:p>
    <w:p>
      <w:pPr>
        <w:pStyle w:val="BlankOpen"/>
        <w:rPr>
          <w:sz w:val="20"/>
          <w:szCs w:val="20"/>
        </w:rPr>
      </w:pPr>
    </w:p>
    <w:p>
      <w:pPr>
        <w:pStyle w:val="nzIndenta"/>
        <w:spacing w:before="0"/>
      </w:pPr>
      <w:r>
        <w:tab/>
      </w:r>
      <w:r>
        <w:tab/>
        <w:t>Amount Aa.</w:t>
      </w:r>
    </w:p>
    <w:p>
      <w:pPr>
        <w:pStyle w:val="BlankClose"/>
        <w:rPr>
          <w:sz w:val="20"/>
          <w:szCs w:val="20"/>
        </w:rPr>
      </w:pPr>
    </w:p>
    <w:p>
      <w:pPr>
        <w:pStyle w:val="nzSubsection"/>
        <w:keepNext/>
      </w:pPr>
      <w:r>
        <w:tab/>
        <w:t>(5)</w:t>
      </w:r>
      <w:r>
        <w:tab/>
        <w:t>Delete Schedule 1 clause 11(5) and insert:</w:t>
      </w:r>
    </w:p>
    <w:p>
      <w:pPr>
        <w:pStyle w:val="BlankOpen"/>
        <w:rPr>
          <w:sz w:val="20"/>
          <w:szCs w:val="20"/>
        </w:rPr>
      </w:pPr>
    </w:p>
    <w:p>
      <w:pPr>
        <w:pStyle w:val="nzSubsection"/>
        <w:tabs>
          <w:tab w:val="clear" w:pos="1162"/>
          <w:tab w:val="clear" w:pos="1446"/>
          <w:tab w:val="right" w:pos="1560"/>
          <w:tab w:val="left" w:pos="1843"/>
        </w:tabs>
        <w:spacing w:before="0"/>
        <w:ind w:left="1843"/>
      </w:pPr>
      <w:r>
        <w:tab/>
        <w:t>(5)</w:t>
      </w:r>
      <w:r>
        <w:tab/>
        <w:t xml:space="preserve">Subject to subclause (6), the references in the definition of </w:t>
      </w:r>
      <w:r>
        <w:rPr>
          <w:b/>
          <w:bCs/>
          <w:i/>
          <w:iCs/>
        </w:rPr>
        <w:t>Amount Aa</w:t>
      </w:r>
      <w:r>
        <w:rPr>
          <w:b/>
          <w:bCs/>
        </w:rPr>
        <w:t xml:space="preserve"> </w:t>
      </w:r>
      <w:r>
        <w:t>to allowances are references to allowances averaged over the period of one year ending at the date of incapacity.</w:t>
      </w:r>
    </w:p>
    <w:p>
      <w:pPr>
        <w:pStyle w:val="BlankClose"/>
      </w:pPr>
    </w:p>
    <w:p>
      <w:pPr>
        <w:pStyle w:val="nzSubsection"/>
      </w:pPr>
      <w:r>
        <w:tab/>
        <w:t>(6)</w:t>
      </w:r>
      <w:r>
        <w:tab/>
        <w:t>In Schedule 1 clause 11(6) delete “</w:t>
      </w:r>
      <w:r>
        <w:rPr>
          <w:sz w:val="22"/>
          <w:szCs w:val="22"/>
        </w:rPr>
        <w:t>13 weeks mentioned in subclause (5),</w:t>
      </w:r>
      <w:r>
        <w:t>” and insert:</w:t>
      </w:r>
    </w:p>
    <w:p>
      <w:pPr>
        <w:pStyle w:val="BlankOpen"/>
        <w:rPr>
          <w:snapToGrid w:val="0"/>
          <w:sz w:val="20"/>
          <w:szCs w:val="20"/>
        </w:rPr>
      </w:pPr>
    </w:p>
    <w:p>
      <w:pPr>
        <w:pStyle w:val="nzSubsection"/>
        <w:spacing w:before="0"/>
        <w:rPr>
          <w:snapToGrid w:val="0"/>
        </w:rPr>
      </w:pPr>
      <w:r>
        <w:rPr>
          <w:snapToGrid w:val="0"/>
        </w:rPr>
        <w:tab/>
      </w:r>
      <w:r>
        <w:rPr>
          <w:snapToGrid w:val="0"/>
        </w:rPr>
        <w:tab/>
        <w:t>one year mentioned in subclause (5), or if for part of that period the worker was not in the employment that the worker is in on the date of incapacity,</w:t>
      </w:r>
    </w:p>
    <w:p>
      <w:pPr>
        <w:pStyle w:val="BlankClose"/>
      </w:pPr>
    </w:p>
    <w:p>
      <w:pPr>
        <w:pStyle w:val="nzSubsection"/>
      </w:pPr>
      <w:r>
        <w:tab/>
        <w:t>(7)</w:t>
      </w:r>
      <w:r>
        <w:tab/>
        <w:t>In Schedule 1 clause 11(7) delete “Amount D” and insert:</w:t>
      </w:r>
    </w:p>
    <w:p>
      <w:pPr>
        <w:pStyle w:val="BlankOpen"/>
        <w:rPr>
          <w:sz w:val="20"/>
          <w:szCs w:val="20"/>
        </w:rPr>
      </w:pPr>
    </w:p>
    <w:p>
      <w:pPr>
        <w:pStyle w:val="nzSubsection"/>
        <w:spacing w:before="0"/>
      </w:pPr>
      <w:r>
        <w:tab/>
      </w:r>
      <w:r>
        <w:tab/>
        <w:t>Amount Aa</w:t>
      </w:r>
    </w:p>
    <w:p>
      <w:pPr>
        <w:pStyle w:val="BlankClose"/>
      </w:pPr>
    </w:p>
    <w:p>
      <w:pPr>
        <w:pStyle w:val="nSubsection"/>
        <w:keepLines/>
        <w:spacing w:before="0"/>
        <w:rPr>
          <w:snapToGrid w:val="0"/>
        </w:rPr>
      </w:pPr>
      <w:r>
        <w:rPr>
          <w:snapToGrid w:val="0"/>
          <w:vertAlign w:val="superscript"/>
        </w:rPr>
        <w:t>43</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191 </w:t>
      </w:r>
      <w:r>
        <w:rPr>
          <w:snapToGrid w:val="0"/>
        </w:rPr>
        <w:t>had not come into operation.  It reads as follows:</w:t>
      </w:r>
    </w:p>
    <w:p>
      <w:pPr>
        <w:pStyle w:val="BlankOpen"/>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rPr>
          <w:sz w:val="20"/>
          <w:szCs w:val="20"/>
        </w:rPr>
      </w:pPr>
    </w:p>
    <w:p>
      <w:pPr>
        <w:pStyle w:val="nzDefstart"/>
        <w:spacing w:before="0"/>
      </w:pPr>
      <w:r>
        <w:tab/>
      </w:r>
      <w:r>
        <w:rPr>
          <w:rStyle w:val="CharDefText"/>
        </w:rPr>
        <w:t>drug of addiction</w:t>
      </w:r>
      <w:r>
        <w:t xml:space="preserve"> has the meaning given in the </w:t>
      </w:r>
      <w:r>
        <w:rPr>
          <w:i/>
        </w:rPr>
        <w:t>Misuse of Drugs Act 1981</w:t>
      </w:r>
      <w:r>
        <w:t xml:space="preserve"> section 3(1);</w:t>
      </w:r>
    </w:p>
    <w:p>
      <w:pPr>
        <w:pStyle w:val="BlankClose"/>
      </w:pPr>
    </w:p>
    <w:p/>
    <w:p>
      <w:pPr>
        <w:sectPr>
          <w:headerReference w:type="even" r:id="rId44"/>
          <w:headerReference w:type="default" r:id="rId45"/>
          <w:headerReference w:type="first" r:id="rId46"/>
          <w:pgSz w:w="11907" w:h="16840" w:code="9"/>
          <w:pgMar w:top="2376" w:right="2405" w:bottom="3542" w:left="2405" w:header="706" w:footer="3380" w:gutter="0"/>
          <w:cols w:space="720"/>
          <w:noEndnote/>
          <w:docGrid w:linePitch="326"/>
        </w:sectPr>
      </w:pPr>
    </w:p>
    <w:p>
      <w:pPr>
        <w:pStyle w:val="nHeading2"/>
        <w:rPr>
          <w:sz w:val="28"/>
        </w:rPr>
      </w:pPr>
      <w:bookmarkStart w:id="592" w:name="_Toc472605153"/>
      <w:r>
        <w:rPr>
          <w:sz w:val="28"/>
        </w:rPr>
        <w:t>Defined terms</w:t>
      </w:r>
      <w:bookmarkEnd w:id="5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cl. 2(2), cl. 2(3) and cl. 2(4)</w:t>
      </w:r>
    </w:p>
    <w:p>
      <w:pPr>
        <w:pStyle w:val="DefinedTerms"/>
      </w:pPr>
      <w:r>
        <w:t>agent</w:t>
      </w:r>
      <w:r>
        <w:tab/>
        <w:t>261</w:t>
      </w:r>
    </w:p>
    <w:p>
      <w:pPr>
        <w:pStyle w:val="DefinedTerms"/>
      </w:pPr>
      <w:r>
        <w:t>agent service</w:t>
      </w:r>
      <w:r>
        <w:tab/>
        <w:t>261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 for conciliation</w:t>
      </w:r>
      <w:r>
        <w:tab/>
        <w:t>5(1)</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child’s allowance</w:t>
      </w:r>
      <w:r>
        <w:tab/>
        <w:t>5(1)</w:t>
      </w:r>
    </w:p>
    <w:p>
      <w:pPr>
        <w:pStyle w:val="DefinedTerms"/>
      </w:pPr>
      <w:r>
        <w:t>chiropractor</w:t>
      </w:r>
      <w:r>
        <w:tab/>
        <w:t>5(1)</w:t>
      </w:r>
    </w:p>
    <w:p>
      <w:pPr>
        <w:pStyle w:val="DefinedTerms"/>
      </w:pPr>
      <w:r>
        <w:t>claim for compensation by way of weekly payments</w:t>
      </w:r>
      <w:r>
        <w:tab/>
        <w:t>93M(2)</w:t>
      </w:r>
    </w:p>
    <w:p>
      <w:pPr>
        <w:pStyle w:val="DefinedTerms"/>
      </w:pPr>
      <w:r>
        <w:t>clause</w:t>
      </w:r>
      <w:r>
        <w:tab/>
        <w:t>5(1)</w:t>
      </w:r>
    </w:p>
    <w:p>
      <w:pPr>
        <w:pStyle w:val="DefinedTerms"/>
      </w:pPr>
      <w:r>
        <w:t>code</w:t>
      </w:r>
      <w:r>
        <w:tab/>
        <w:t>155</w:t>
      </w:r>
    </w:p>
    <w:p>
      <w:pPr>
        <w:pStyle w:val="DefinedTerms"/>
      </w:pPr>
      <w:r>
        <w:t>commencement day</w:t>
      </w:r>
      <w:r>
        <w:tab/>
        <w:t>93EA(4), 93EB(4), Sch. 8 cl. 1</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175(6)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93A, 159</w:t>
      </w:r>
    </w:p>
    <w:p>
      <w:pPr>
        <w:pStyle w:val="DefinedTerms"/>
      </w:pPr>
      <w:r>
        <w:t>date of injury</w:t>
      </w:r>
      <w:r>
        <w:tab/>
        <w:t>49A</w:t>
      </w:r>
    </w:p>
    <w:p>
      <w:pPr>
        <w:pStyle w:val="DefinedTerms"/>
      </w:pPr>
      <w:r>
        <w:t>de facto partner</w:t>
      </w:r>
      <w:r>
        <w:tab/>
        <w:t>5(1)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t xml:space="preserve">93H(1), 158(1), </w:t>
      </w:r>
      <w:r>
        <w:br/>
      </w:r>
      <w:r>
        <w:tab/>
        <w:t>Sch. 1 cl. 18C(3)</w:t>
      </w:r>
    </w:p>
    <w:p>
      <w:pPr>
        <w:pStyle w:val="DefinedTerms"/>
      </w:pPr>
      <w:r>
        <w:t>dentist</w:t>
      </w:r>
      <w:r>
        <w:tab/>
        <w:t>5(1)</w:t>
      </w:r>
    </w:p>
    <w:p>
      <w:pPr>
        <w:pStyle w:val="DefinedTerms"/>
      </w:pPr>
      <w:r>
        <w:t>dependants</w:t>
      </w:r>
      <w:r>
        <w:tab/>
        <w:t>5(1)</w:t>
      </w:r>
    </w:p>
    <w:p>
      <w:pPr>
        <w:pStyle w:val="DefinedTerms"/>
      </w:pPr>
      <w:r>
        <w:t>designation</w:t>
      </w:r>
      <w:r>
        <w:tab/>
        <w:t>182C(1)</w:t>
      </w:r>
    </w:p>
    <w:p>
      <w:pPr>
        <w:pStyle w:val="DefinedTerms"/>
      </w:pPr>
      <w:r>
        <w:t xml:space="preserve">designation </w:t>
      </w:r>
      <w:r>
        <w:tab/>
        <w:t>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employer</w:t>
      </w:r>
      <w:r>
        <w:tab/>
        <w:t>5(1), 5(1), 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w:t>
      </w:r>
    </w:p>
    <w:p>
      <w:pPr>
        <w:pStyle w:val="DefinedTerms"/>
      </w:pPr>
      <w:r>
        <w:t>former Supplementary Board</w:t>
      </w:r>
      <w:r>
        <w:tab/>
        <w:t>316</w:t>
      </w:r>
    </w:p>
    <w:p>
      <w:pPr>
        <w:pStyle w:val="DefinedTerms"/>
      </w:pPr>
      <w:r>
        <w:t>full amount</w:t>
      </w:r>
      <w:r>
        <w:tab/>
        <w:t>31D(1)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5(1), 93F(8)</w:t>
      </w:r>
    </w:p>
    <w:p>
      <w:pPr>
        <w:pStyle w:val="DefinedTerms"/>
      </w:pPr>
      <w:r>
        <w:t>March CPI</w:t>
      </w:r>
      <w:r>
        <w:tab/>
        <w:t>5A(2)</w:t>
      </w:r>
    </w:p>
    <w:p>
      <w:pPr>
        <w:pStyle w:val="DefinedTerms"/>
      </w:pPr>
      <w:r>
        <w:t>medical assessment panel</w:t>
      </w:r>
      <w:r>
        <w:tab/>
        <w:t>5(1)</w:t>
      </w:r>
    </w:p>
    <w:p>
      <w:pPr>
        <w:pStyle w:val="DefinedTerms"/>
      </w:pPr>
      <w:r>
        <w:t>medical practitioner</w:t>
      </w:r>
      <w:r>
        <w:tab/>
        <w:t>5(1)</w:t>
      </w:r>
    </w:p>
    <w:p>
      <w:pPr>
        <w:pStyle w:val="DefinedTerms"/>
      </w:pPr>
      <w:r>
        <w:t>medical report</w:t>
      </w:r>
      <w:r>
        <w:tab/>
        <w:t>5(1)</w:t>
      </w:r>
    </w:p>
    <w:p>
      <w:pPr>
        <w:pStyle w:val="DefinedTerms"/>
      </w:pPr>
      <w:r>
        <w:t>member of a family</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notional residual entitlement</w:t>
      </w:r>
      <w:r>
        <w:tab/>
        <w:t>5(1)</w:t>
      </w:r>
    </w:p>
    <w:p>
      <w:pPr>
        <w:pStyle w:val="DefinedTerms"/>
      </w:pPr>
      <w:r>
        <w:t>NRE amount</w:t>
      </w:r>
      <w:r>
        <w:tab/>
        <w:t>5(1)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 xml:space="preserve">Sch. 1 cl. 18A(1AA) and </w:t>
      </w:r>
      <w:r>
        <w:br/>
      </w:r>
      <w:r>
        <w:tab/>
        <w:t>cl.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5(1)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vocational rehabilitation</w:t>
      </w:r>
      <w:r>
        <w:tab/>
        <w:t>5(1)</w:t>
      </w:r>
    </w:p>
    <w:p>
      <w:pPr>
        <w:pStyle w:val="DefinedTerms"/>
      </w:pPr>
      <w:r>
        <w:t>W</w:t>
      </w:r>
      <w:r>
        <w:tab/>
        <w:t>175AA(1)</w:t>
      </w:r>
    </w:p>
    <w:p>
      <w:pPr>
        <w:pStyle w:val="DefinedTerms"/>
      </w:pPr>
      <w:r>
        <w:t>weekly earnings</w:t>
      </w:r>
      <w:r>
        <w:tab/>
        <w:t>Sch. 1 cl. 11(1), Sch. 1 cl.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w:t>
      </w:r>
    </w:p>
    <w:p>
      <w:pPr>
        <w:pStyle w:val="DefinedTerms"/>
      </w:pPr>
      <w:r>
        <w:t>workers’ compensation cover</w:t>
      </w:r>
      <w:r>
        <w:tab/>
        <w:t>170(7)</w:t>
      </w:r>
    </w:p>
    <w:p>
      <w:pPr>
        <w:pStyle w:val="DefinedTerms"/>
      </w:pPr>
      <w:r>
        <w:t>working director</w:t>
      </w:r>
      <w:r>
        <w:tab/>
        <w:t>10A(1)</w:t>
      </w:r>
    </w:p>
    <w:p/>
    <w:p>
      <w:pPr>
        <w:sectPr>
          <w:headerReference w:type="even" r:id="rId47"/>
          <w:headerReference w:type="default" r:id="rId48"/>
          <w:pgSz w:w="11907" w:h="16840" w:code="9"/>
          <w:pgMar w:top="2381" w:right="2409" w:bottom="3543" w:left="2409"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11-f0-00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47" w:name="Schedule"/>
    <w:bookmarkEnd w:id="5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3" w:name="DefinedTerms"/>
    <w:bookmarkEnd w:id="59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4" w:name="Coversheet"/>
    <w:bookmarkEnd w:id="5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0"/>
  </w:num>
  <w:num w:numId="28">
    <w:abstractNumId w:val="11"/>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3461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header" Target="header11.xml"/><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header" Target="header26.xm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54"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image" Target="media/image6.png"/><Relationship Id="rId45" Type="http://schemas.openxmlformats.org/officeDocument/2006/relationships/header" Target="header21.xml"/><Relationship Id="rId53"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header" Target="header13.xml"/><Relationship Id="rId49"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header" Target="header20.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header" Target="header19.xml"/><Relationship Id="rId48" Type="http://schemas.openxmlformats.org/officeDocument/2006/relationships/header" Target="header24.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479</Pages>
  <Words>125699</Words>
  <Characters>624086</Characters>
  <Application>Microsoft Office Word</Application>
  <DocSecurity>0</DocSecurity>
  <Lines>16423</Lines>
  <Paragraphs>8149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1981 - 11-f0-00</dc:title>
  <dc:subject/>
  <dc:creator/>
  <cp:keywords/>
  <dc:description/>
  <cp:lastModifiedBy>svcMRProcess</cp:lastModifiedBy>
  <cp:revision>4</cp:revision>
  <cp:lastPrinted>2015-11-24T03:42:00Z</cp:lastPrinted>
  <dcterms:created xsi:type="dcterms:W3CDTF">2020-02-21T23:52:00Z</dcterms:created>
  <dcterms:modified xsi:type="dcterms:W3CDTF">2020-02-21T23:52:00Z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No">
    <vt:lpwstr>11</vt:lpwstr>
  </property>
  <property fmtid="{D5CDD505-2E9C-101B-9397-08002B2CF9AE}" pid="6" name="ReprintedAsAt">
    <vt:filetime>2015-02-12T16:00:00Z</vt:filetime>
  </property>
  <property fmtid="{D5CDD505-2E9C-101B-9397-08002B2CF9AE}" pid="7" name="AsAtDate">
    <vt:lpwstr>21 Jan 2017</vt:lpwstr>
  </property>
  <property fmtid="{D5CDD505-2E9C-101B-9397-08002B2CF9AE}" pid="8" name="Suffix">
    <vt:lpwstr>11-f0-00</vt:lpwstr>
  </property>
  <property fmtid="{D5CDD505-2E9C-101B-9397-08002B2CF9AE}" pid="9" name="CommencementDate">
    <vt:lpwstr>20170121</vt:lpwstr>
  </property>
</Properties>
</file>