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Interest Disclosure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_Toc472685219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_Toc472685220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_Toc472685221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_Toc472685222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Public interest disclosures</w:t>
      </w:r>
    </w:p>
    <w:p>
      <w:pPr>
        <w:pStyle w:val="TOC4"/>
        <w:tabs>
          <w:tab w:val="right" w:leader="dot" w:pos="7077"/>
        </w:tabs>
        <w:rPr>
          <w:rFonts w:asciiTheme="minorHAnsi" w:eastAsiaTheme="minorEastAsia" w:hAnsiTheme="minorHAnsi" w:cstheme="minorBidi"/>
          <w:b w:val="0"/>
          <w:szCs w:val="22"/>
        </w:rPr>
      </w:pPr>
      <w:r>
        <w:t>Division 1 — Disclosures</w:t>
      </w:r>
    </w:p>
    <w:p>
      <w:pPr>
        <w:pStyle w:val="TOC8"/>
        <w:rPr>
          <w:rFonts w:asciiTheme="minorHAnsi" w:eastAsiaTheme="minorEastAsia" w:hAnsiTheme="minorHAnsi" w:cstheme="minorBidi"/>
          <w:szCs w:val="22"/>
        </w:rPr>
      </w:pPr>
      <w:r>
        <w:t>5.</w:t>
      </w:r>
      <w:r>
        <w:tab/>
        <w:t>Appropriate disclosure of public interest information, making</w:t>
      </w:r>
      <w:r>
        <w:tab/>
      </w:r>
      <w:r>
        <w:fldChar w:fldCharType="begin"/>
      </w:r>
      <w:r>
        <w:instrText xml:space="preserve"> PAGEREF _Toc472685225 \h </w:instrText>
      </w:r>
      <w:r>
        <w:fldChar w:fldCharType="separate"/>
      </w:r>
      <w:r>
        <w:t>6</w:t>
      </w:r>
      <w:r>
        <w:fldChar w:fldCharType="end"/>
      </w:r>
    </w:p>
    <w:p>
      <w:pPr>
        <w:pStyle w:val="TOC8"/>
        <w:rPr>
          <w:rFonts w:asciiTheme="minorHAnsi" w:eastAsiaTheme="minorEastAsia" w:hAnsiTheme="minorHAnsi" w:cstheme="minorBidi"/>
          <w:szCs w:val="22"/>
        </w:rPr>
      </w:pPr>
      <w:r>
        <w:t>6.</w:t>
      </w:r>
      <w:r>
        <w:tab/>
        <w:t>Liability of person disclosing unaffected</w:t>
      </w:r>
      <w:r>
        <w:tab/>
      </w:r>
      <w:r>
        <w:fldChar w:fldCharType="begin"/>
      </w:r>
      <w:r>
        <w:instrText xml:space="preserve"> PAGEREF _Toc472685226 \h </w:instrText>
      </w:r>
      <w:r>
        <w:fldChar w:fldCharType="separate"/>
      </w:r>
      <w:r>
        <w:t>8</w:t>
      </w:r>
      <w:r>
        <w:fldChar w:fldCharType="end"/>
      </w:r>
    </w:p>
    <w:p>
      <w:pPr>
        <w:pStyle w:val="TOC8"/>
        <w:rPr>
          <w:rFonts w:asciiTheme="minorHAnsi" w:eastAsiaTheme="minorEastAsia" w:hAnsiTheme="minorHAnsi" w:cstheme="minorBidi"/>
          <w:szCs w:val="22"/>
        </w:rPr>
      </w:pPr>
      <w:r>
        <w:t>7A.</w:t>
      </w:r>
      <w:r>
        <w:tab/>
        <w:t>Disclosure of public interest information to journalist, when may be made</w:t>
      </w:r>
      <w:r>
        <w:tab/>
      </w:r>
      <w:r>
        <w:fldChar w:fldCharType="begin"/>
      </w:r>
      <w:r>
        <w:instrText xml:space="preserve"> PAGEREF _Toc472685227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Obligations of a person to whom a disclosure is made</w:t>
      </w:r>
    </w:p>
    <w:p>
      <w:pPr>
        <w:pStyle w:val="TOC8"/>
        <w:rPr>
          <w:rFonts w:asciiTheme="minorHAnsi" w:eastAsiaTheme="minorEastAsia" w:hAnsiTheme="minorHAnsi" w:cstheme="minorBidi"/>
          <w:szCs w:val="22"/>
        </w:rPr>
      </w:pPr>
      <w:r>
        <w:t>7.</w:t>
      </w:r>
      <w:r>
        <w:tab/>
        <w:t>Term used: proper authority</w:t>
      </w:r>
      <w:r>
        <w:tab/>
      </w:r>
      <w:r>
        <w:fldChar w:fldCharType="begin"/>
      </w:r>
      <w:r>
        <w:instrText xml:space="preserve"> PAGEREF _Toc472685229 \h </w:instrText>
      </w:r>
      <w:r>
        <w:fldChar w:fldCharType="separate"/>
      </w:r>
      <w:r>
        <w:t>9</w:t>
      </w:r>
      <w:r>
        <w:fldChar w:fldCharType="end"/>
      </w:r>
    </w:p>
    <w:p>
      <w:pPr>
        <w:pStyle w:val="TOC8"/>
        <w:rPr>
          <w:rFonts w:asciiTheme="minorHAnsi" w:eastAsiaTheme="minorEastAsia" w:hAnsiTheme="minorHAnsi" w:cstheme="minorBidi"/>
          <w:szCs w:val="22"/>
        </w:rPr>
      </w:pPr>
      <w:r>
        <w:t>8.</w:t>
      </w:r>
      <w:r>
        <w:tab/>
        <w:t>Proper authority’s functions as to disclosed information</w:t>
      </w:r>
      <w:r>
        <w:tab/>
      </w:r>
      <w:r>
        <w:fldChar w:fldCharType="begin"/>
      </w:r>
      <w:r>
        <w:instrText xml:space="preserve"> PAGEREF _Toc472685230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 authority’s duties as to matter that might be disclosed</w:t>
      </w:r>
      <w:r>
        <w:tab/>
      </w:r>
      <w:r>
        <w:fldChar w:fldCharType="begin"/>
      </w:r>
      <w:r>
        <w:instrText xml:space="preserve"> PAGEREF _Toc472685231 \h </w:instrText>
      </w:r>
      <w:r>
        <w:fldChar w:fldCharType="separate"/>
      </w:r>
      <w:r>
        <w:t>10</w:t>
      </w:r>
      <w:r>
        <w:fldChar w:fldCharType="end"/>
      </w:r>
    </w:p>
    <w:p>
      <w:pPr>
        <w:pStyle w:val="TOC8"/>
        <w:rPr>
          <w:rFonts w:asciiTheme="minorHAnsi" w:eastAsiaTheme="minorEastAsia" w:hAnsiTheme="minorHAnsi" w:cstheme="minorBidi"/>
          <w:szCs w:val="22"/>
        </w:rPr>
      </w:pPr>
      <w:r>
        <w:t>10.</w:t>
      </w:r>
      <w:r>
        <w:tab/>
        <w:t>Proper authority to notify informant of action taken</w:t>
      </w:r>
      <w:r>
        <w:tab/>
      </w:r>
      <w:r>
        <w:fldChar w:fldCharType="begin"/>
      </w:r>
      <w:r>
        <w:instrText xml:space="preserve"> PAGEREF _Toc472685232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under s. 10 not to disclose certain matters</w:t>
      </w:r>
      <w:r>
        <w:tab/>
      </w:r>
      <w:r>
        <w:fldChar w:fldCharType="begin"/>
      </w:r>
      <w:r>
        <w:instrText xml:space="preserve"> PAGEREF _Toc472685233 \h </w:instrText>
      </w:r>
      <w:r>
        <w:fldChar w:fldCharType="separate"/>
      </w:r>
      <w:r>
        <w:t>11</w:t>
      </w:r>
      <w:r>
        <w:fldChar w:fldCharType="end"/>
      </w:r>
    </w:p>
    <w:p>
      <w:pPr>
        <w:pStyle w:val="TOC8"/>
        <w:rPr>
          <w:rFonts w:asciiTheme="minorHAnsi" w:eastAsiaTheme="minorEastAsia" w:hAnsiTheme="minorHAnsi" w:cstheme="minorBidi"/>
          <w:szCs w:val="22"/>
        </w:rPr>
      </w:pPr>
      <w:r>
        <w:t>12.</w:t>
      </w:r>
      <w:r>
        <w:tab/>
        <w:t>Duties under this Act of certain persons limited</w:t>
      </w:r>
      <w:r>
        <w:tab/>
      </w:r>
      <w:r>
        <w:fldChar w:fldCharType="begin"/>
      </w:r>
      <w:r>
        <w:instrText xml:space="preserve"> PAGEREF _Toc472685234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w:t>
      </w:r>
    </w:p>
    <w:p>
      <w:pPr>
        <w:pStyle w:val="TOC8"/>
        <w:rPr>
          <w:rFonts w:asciiTheme="minorHAnsi" w:eastAsiaTheme="minorEastAsia" w:hAnsiTheme="minorHAnsi" w:cstheme="minorBidi"/>
          <w:szCs w:val="22"/>
        </w:rPr>
      </w:pPr>
      <w:r>
        <w:t>13.</w:t>
      </w:r>
      <w:r>
        <w:tab/>
        <w:t>Immunity for person making appropriate disclosure of public interest information</w:t>
      </w:r>
      <w:r>
        <w:tab/>
      </w:r>
      <w:r>
        <w:fldChar w:fldCharType="begin"/>
      </w:r>
      <w:r>
        <w:instrText xml:space="preserve"> PAGEREF _Toc472685236 \h </w:instrText>
      </w:r>
      <w:r>
        <w:fldChar w:fldCharType="separate"/>
      </w:r>
      <w:r>
        <w:t>14</w:t>
      </w:r>
      <w:r>
        <w:fldChar w:fldCharType="end"/>
      </w:r>
    </w:p>
    <w:p>
      <w:pPr>
        <w:pStyle w:val="TOC8"/>
        <w:rPr>
          <w:rFonts w:asciiTheme="minorHAnsi" w:eastAsiaTheme="minorEastAsia" w:hAnsiTheme="minorHAnsi" w:cstheme="minorBidi"/>
          <w:szCs w:val="22"/>
        </w:rPr>
      </w:pPr>
      <w:r>
        <w:t>14.</w:t>
      </w:r>
      <w:r>
        <w:tab/>
        <w:t>Detrimental action against informant etc., offence</w:t>
      </w:r>
      <w:r>
        <w:tab/>
      </w:r>
      <w:r>
        <w:fldChar w:fldCharType="begin"/>
      </w:r>
      <w:r>
        <w:instrText xml:space="preserve"> PAGEREF _Toc472685237 \h </w:instrText>
      </w:r>
      <w:r>
        <w:fldChar w:fldCharType="separate"/>
      </w:r>
      <w:r>
        <w:t>14</w:t>
      </w:r>
      <w:r>
        <w:fldChar w:fldCharType="end"/>
      </w:r>
    </w:p>
    <w:p>
      <w:pPr>
        <w:pStyle w:val="TOC8"/>
        <w:rPr>
          <w:rFonts w:asciiTheme="minorHAnsi" w:eastAsiaTheme="minorEastAsia" w:hAnsiTheme="minorHAnsi" w:cstheme="minorBidi"/>
          <w:szCs w:val="22"/>
        </w:rPr>
      </w:pPr>
      <w:r>
        <w:t>15A.</w:t>
      </w:r>
      <w:r>
        <w:tab/>
        <w:t>Injunction etc. as to detrimental action</w:t>
      </w:r>
      <w:r>
        <w:tab/>
      </w:r>
      <w:r>
        <w:fldChar w:fldCharType="begin"/>
      </w:r>
      <w:r>
        <w:instrText xml:space="preserve"> PAGEREF _Toc472685238 \h </w:instrText>
      </w:r>
      <w:r>
        <w:fldChar w:fldCharType="separate"/>
      </w:r>
      <w:r>
        <w:t>15</w:t>
      </w:r>
      <w:r>
        <w:fldChar w:fldCharType="end"/>
      </w:r>
    </w:p>
    <w:p>
      <w:pPr>
        <w:pStyle w:val="TOC8"/>
        <w:rPr>
          <w:rFonts w:asciiTheme="minorHAnsi" w:eastAsiaTheme="minorEastAsia" w:hAnsiTheme="minorHAnsi" w:cstheme="minorBidi"/>
          <w:szCs w:val="22"/>
        </w:rPr>
      </w:pPr>
      <w:r>
        <w:t>15B.</w:t>
      </w:r>
      <w:r>
        <w:tab/>
        <w:t>Public service employee, relocating to prevent etc. reprisal</w:t>
      </w:r>
      <w:r>
        <w:tab/>
      </w:r>
      <w:r>
        <w:fldChar w:fldCharType="begin"/>
      </w:r>
      <w:r>
        <w:instrText xml:space="preserve"> PAGEREF _Toc472685239 \h </w:instrText>
      </w:r>
      <w:r>
        <w:fldChar w:fldCharType="separate"/>
      </w:r>
      <w:r>
        <w:t>15</w:t>
      </w:r>
      <w:r>
        <w:fldChar w:fldCharType="end"/>
      </w:r>
    </w:p>
    <w:p>
      <w:pPr>
        <w:pStyle w:val="TOC8"/>
        <w:rPr>
          <w:rFonts w:asciiTheme="minorHAnsi" w:eastAsiaTheme="minorEastAsia" w:hAnsiTheme="minorHAnsi" w:cstheme="minorBidi"/>
          <w:szCs w:val="22"/>
        </w:rPr>
      </w:pPr>
      <w:r>
        <w:t>15.</w:t>
      </w:r>
      <w:r>
        <w:tab/>
        <w:t>Act of victimisation defined; remedies for</w:t>
      </w:r>
      <w:r>
        <w:tab/>
      </w:r>
      <w:r>
        <w:fldChar w:fldCharType="begin"/>
      </w:r>
      <w:r>
        <w:instrText xml:space="preserve"> PAGEREF _Toc472685240 \h </w:instrText>
      </w:r>
      <w:r>
        <w:fldChar w:fldCharType="separate"/>
      </w:r>
      <w:r>
        <w:t>16</w:t>
      </w:r>
      <w:r>
        <w:fldChar w:fldCharType="end"/>
      </w:r>
    </w:p>
    <w:p>
      <w:pPr>
        <w:pStyle w:val="TOC8"/>
        <w:rPr>
          <w:rFonts w:asciiTheme="minorHAnsi" w:eastAsiaTheme="minorEastAsia" w:hAnsiTheme="minorHAnsi" w:cstheme="minorBidi"/>
          <w:szCs w:val="22"/>
        </w:rPr>
      </w:pPr>
      <w:r>
        <w:t>16.</w:t>
      </w:r>
      <w:r>
        <w:tab/>
        <w:t>Disclosure of identity of informant etc. restricted</w:t>
      </w:r>
      <w:r>
        <w:tab/>
      </w:r>
      <w:r>
        <w:fldChar w:fldCharType="begin"/>
      </w:r>
      <w:r>
        <w:instrText xml:space="preserve"> PAGEREF _Toc472685241 \h </w:instrText>
      </w:r>
      <w:r>
        <w:fldChar w:fldCharType="separate"/>
      </w:r>
      <w:r>
        <w:t>17</w:t>
      </w:r>
      <w:r>
        <w:fldChar w:fldCharType="end"/>
      </w:r>
    </w:p>
    <w:p>
      <w:pPr>
        <w:pStyle w:val="TOC8"/>
        <w:rPr>
          <w:rFonts w:asciiTheme="minorHAnsi" w:eastAsiaTheme="minorEastAsia" w:hAnsiTheme="minorHAnsi" w:cstheme="minorBidi"/>
          <w:szCs w:val="22"/>
        </w:rPr>
      </w:pPr>
      <w:r>
        <w:t>17.</w:t>
      </w:r>
      <w:r>
        <w:tab/>
        <w:t>Protection of s. 13 forfeited in some cases etc.</w:t>
      </w:r>
      <w:r>
        <w:tab/>
      </w:r>
      <w:r>
        <w:fldChar w:fldCharType="begin"/>
      </w:r>
      <w:r>
        <w:instrText xml:space="preserve"> PAGEREF _Toc472685242 \h </w:instrText>
      </w:r>
      <w:r>
        <w:fldChar w:fldCharType="separate"/>
      </w:r>
      <w:r>
        <w:t>19</w:t>
      </w:r>
      <w:r>
        <w:fldChar w:fldCharType="end"/>
      </w:r>
    </w:p>
    <w:p>
      <w:pPr>
        <w:pStyle w:val="TOC8"/>
        <w:rPr>
          <w:rFonts w:asciiTheme="minorHAnsi" w:eastAsiaTheme="minorEastAsia" w:hAnsiTheme="minorHAnsi" w:cstheme="minorBidi"/>
          <w:szCs w:val="22"/>
        </w:rPr>
      </w:pPr>
      <w:r>
        <w:t>18A.</w:t>
      </w:r>
      <w:r>
        <w:tab/>
        <w:t>Disclosure under s. 7A(2) to journalist, application of Part to</w:t>
      </w:r>
      <w:r>
        <w:tab/>
      </w:r>
      <w:r>
        <w:fldChar w:fldCharType="begin"/>
      </w:r>
      <w:r>
        <w:instrText xml:space="preserve"> PAGEREF _Toc472685243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Role of Public Sector Commissioner</w:t>
      </w:r>
    </w:p>
    <w:p>
      <w:pPr>
        <w:pStyle w:val="TOC8"/>
        <w:rPr>
          <w:rFonts w:asciiTheme="minorHAnsi" w:eastAsiaTheme="minorEastAsia" w:hAnsiTheme="minorHAnsi" w:cstheme="minorBidi"/>
          <w:szCs w:val="22"/>
        </w:rPr>
      </w:pPr>
      <w:r>
        <w:t>18.</w:t>
      </w:r>
      <w:r>
        <w:tab/>
        <w:t>Term used: proper authority</w:t>
      </w:r>
      <w:r>
        <w:tab/>
      </w:r>
      <w:r>
        <w:fldChar w:fldCharType="begin"/>
      </w:r>
      <w:r>
        <w:instrText xml:space="preserve"> PAGEREF _Toc472685245 \h </w:instrText>
      </w:r>
      <w:r>
        <w:fldChar w:fldCharType="separate"/>
      </w:r>
      <w:r>
        <w:t>21</w:t>
      </w:r>
      <w:r>
        <w:fldChar w:fldCharType="end"/>
      </w:r>
    </w:p>
    <w:p>
      <w:pPr>
        <w:pStyle w:val="TOC8"/>
        <w:rPr>
          <w:rFonts w:asciiTheme="minorHAnsi" w:eastAsiaTheme="minorEastAsia" w:hAnsiTheme="minorHAnsi" w:cstheme="minorBidi"/>
          <w:szCs w:val="22"/>
        </w:rPr>
      </w:pPr>
      <w:r>
        <w:t>19.</w:t>
      </w:r>
      <w:r>
        <w:tab/>
        <w:t>Commissioner’s functions</w:t>
      </w:r>
      <w:r>
        <w:tab/>
      </w:r>
      <w:r>
        <w:fldChar w:fldCharType="begin"/>
      </w:r>
      <w:r>
        <w:instrText xml:space="preserve"> PAGEREF _Toc472685246 \h </w:instrText>
      </w:r>
      <w:r>
        <w:fldChar w:fldCharType="separate"/>
      </w:r>
      <w:r>
        <w:t>21</w:t>
      </w:r>
      <w:r>
        <w:fldChar w:fldCharType="end"/>
      </w:r>
    </w:p>
    <w:p>
      <w:pPr>
        <w:pStyle w:val="TOC8"/>
        <w:rPr>
          <w:rFonts w:asciiTheme="minorHAnsi" w:eastAsiaTheme="minorEastAsia" w:hAnsiTheme="minorHAnsi" w:cstheme="minorBidi"/>
          <w:szCs w:val="22"/>
        </w:rPr>
      </w:pPr>
      <w:r>
        <w:t>20.</w:t>
      </w:r>
      <w:r>
        <w:tab/>
        <w:t>Code of minimum standards of conduct etc., establishing etc.</w:t>
      </w:r>
      <w:r>
        <w:tab/>
      </w:r>
      <w:r>
        <w:fldChar w:fldCharType="begin"/>
      </w:r>
      <w:r>
        <w:instrText xml:space="preserve"> PAGEREF _Toc472685247 \h </w:instrText>
      </w:r>
      <w:r>
        <w:fldChar w:fldCharType="separate"/>
      </w:r>
      <w:r>
        <w:t>21</w:t>
      </w:r>
      <w:r>
        <w:fldChar w:fldCharType="end"/>
      </w:r>
    </w:p>
    <w:p>
      <w:pPr>
        <w:pStyle w:val="TOC8"/>
        <w:rPr>
          <w:rFonts w:asciiTheme="minorHAnsi" w:eastAsiaTheme="minorEastAsia" w:hAnsiTheme="minorHAnsi" w:cstheme="minorBidi"/>
          <w:szCs w:val="22"/>
        </w:rPr>
      </w:pPr>
      <w:r>
        <w:t>21.</w:t>
      </w:r>
      <w:r>
        <w:tab/>
        <w:t>Guidelines, Commissioner’s duties as to</w:t>
      </w:r>
      <w:r>
        <w:tab/>
      </w:r>
      <w:r>
        <w:fldChar w:fldCharType="begin"/>
      </w:r>
      <w:r>
        <w:instrText xml:space="preserve"> PAGEREF _Toc472685248 \h </w:instrText>
      </w:r>
      <w:r>
        <w:fldChar w:fldCharType="separate"/>
      </w:r>
      <w:r>
        <w:t>22</w:t>
      </w:r>
      <w:r>
        <w:fldChar w:fldCharType="end"/>
      </w:r>
    </w:p>
    <w:p>
      <w:pPr>
        <w:pStyle w:val="TOC8"/>
        <w:rPr>
          <w:rFonts w:asciiTheme="minorHAnsi" w:eastAsiaTheme="minorEastAsia" w:hAnsiTheme="minorHAnsi" w:cstheme="minorBidi"/>
          <w:szCs w:val="22"/>
        </w:rPr>
      </w:pPr>
      <w:r>
        <w:t>22.</w:t>
      </w:r>
      <w:r>
        <w:tab/>
        <w:t>Annual report and other reports to Parliament</w:t>
      </w:r>
      <w:r>
        <w:tab/>
      </w:r>
      <w:r>
        <w:fldChar w:fldCharType="begin"/>
      </w:r>
      <w:r>
        <w:instrText xml:space="preserve"> PAGEREF _Toc472685249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23.</w:t>
      </w:r>
      <w:r>
        <w:tab/>
        <w:t>Principal executive officer of public authority, duties of</w:t>
      </w:r>
      <w:r>
        <w:tab/>
      </w:r>
      <w:r>
        <w:fldChar w:fldCharType="begin"/>
      </w:r>
      <w:r>
        <w:instrText xml:space="preserve"> PAGEREF _Toc472685251 \h </w:instrText>
      </w:r>
      <w:r>
        <w:fldChar w:fldCharType="separate"/>
      </w:r>
      <w:r>
        <w:t>23</w:t>
      </w:r>
      <w:r>
        <w:fldChar w:fldCharType="end"/>
      </w:r>
    </w:p>
    <w:p>
      <w:pPr>
        <w:pStyle w:val="TOC8"/>
        <w:rPr>
          <w:rFonts w:asciiTheme="minorHAnsi" w:eastAsiaTheme="minorEastAsia" w:hAnsiTheme="minorHAnsi" w:cstheme="minorBidi"/>
          <w:szCs w:val="22"/>
        </w:rPr>
      </w:pPr>
      <w:r>
        <w:t>24.</w:t>
      </w:r>
      <w:r>
        <w:tab/>
        <w:t>False or misleading disclosure, offence</w:t>
      </w:r>
      <w:r>
        <w:tab/>
      </w:r>
      <w:r>
        <w:fldChar w:fldCharType="begin"/>
      </w:r>
      <w:r>
        <w:instrText xml:space="preserve"> PAGEREF _Toc472685252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laws not excluded</w:t>
      </w:r>
      <w:r>
        <w:tab/>
      </w:r>
      <w:r>
        <w:fldChar w:fldCharType="begin"/>
      </w:r>
      <w:r>
        <w:instrText xml:space="preserve"> PAGEREF _Toc472685253 \h </w:instrText>
      </w:r>
      <w:r>
        <w:fldChar w:fldCharType="separate"/>
      </w:r>
      <w:r>
        <w:t>24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_Toc472685254 \h </w:instrText>
      </w:r>
      <w:r>
        <w:fldChar w:fldCharType="separate"/>
      </w:r>
      <w:r>
        <w:t>24</w:t>
      </w:r>
      <w:r>
        <w:fldChar w:fldCharType="end"/>
      </w:r>
    </w:p>
    <w:p>
      <w:pPr>
        <w:pStyle w:val="TOC8"/>
        <w:rPr>
          <w:rFonts w:asciiTheme="minorHAnsi" w:eastAsiaTheme="minorEastAsia" w:hAnsiTheme="minorHAnsi" w:cstheme="minorBidi"/>
          <w:szCs w:val="22"/>
        </w:rPr>
      </w:pPr>
      <w:r>
        <w:t>27.</w:t>
      </w:r>
      <w:r>
        <w:tab/>
        <w:t>Review of Act</w:t>
      </w:r>
      <w:r>
        <w:tab/>
      </w:r>
      <w:r>
        <w:fldChar w:fldCharType="begin"/>
      </w:r>
      <w:r>
        <w:instrText xml:space="preserve"> PAGEREF _Toc472685255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_Toc472685257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3" w:name="_Toc381880541"/>
      <w:bookmarkStart w:id="4" w:name="_Toc381880582"/>
      <w:bookmarkStart w:id="5" w:name="_Toc406080261"/>
      <w:bookmarkStart w:id="6" w:name="_Toc406080303"/>
      <w:bookmarkStart w:id="7" w:name="_Toc423090507"/>
      <w:bookmarkStart w:id="8" w:name="_Toc423593815"/>
      <w:bookmarkStart w:id="9" w:name="_Toc423593856"/>
      <w:bookmarkStart w:id="10" w:name="_Toc462733346"/>
      <w:bookmarkStart w:id="11" w:name="_Toc462751942"/>
      <w:bookmarkStart w:id="12" w:name="_Toc462751984"/>
      <w:bookmarkStart w:id="13" w:name="_Toc472681755"/>
      <w:bookmarkStart w:id="14" w:name="_Toc47268521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06080304"/>
      <w:bookmarkStart w:id="16" w:name="_Toc472685219"/>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7" w:name="_Toc406080305"/>
      <w:bookmarkStart w:id="18" w:name="_Toc472685220"/>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9" w:name="_Toc406080306"/>
      <w:bookmarkStart w:id="20" w:name="_Toc472685221"/>
      <w:r>
        <w:rPr>
          <w:rStyle w:val="CharSectno"/>
        </w:rPr>
        <w:t>3</w:t>
      </w:r>
      <w:r>
        <w:t>.</w:t>
      </w:r>
      <w:r>
        <w:tab/>
        <w:t>Terms used</w:t>
      </w:r>
      <w:bookmarkEnd w:id="19"/>
      <w:bookmarkEnd w:id="20"/>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a regional local government or a regional subsidiary;</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No. 48 of 2003 s. 62; No. 78 of 2003 s. 74(2); No. 59 of 2006 s. 73; No. 77 of 2006 Sch. 1 cl. 136; No. 8 of 2008 s. 18; No. 42 of 2009 s. 22(2) and (3); No. 39 of 2010 s. 82(2); No. 35 of 2014 s. 39; No. 26 of 2016 s. 84.]</w:t>
      </w:r>
    </w:p>
    <w:p>
      <w:pPr>
        <w:pStyle w:val="Heading5"/>
      </w:pPr>
      <w:bookmarkStart w:id="21" w:name="_Toc406080307"/>
      <w:bookmarkStart w:id="22" w:name="_Toc472685222"/>
      <w:r>
        <w:rPr>
          <w:rStyle w:val="CharSectno"/>
        </w:rPr>
        <w:t>4</w:t>
      </w:r>
      <w:r>
        <w:t>.</w:t>
      </w:r>
      <w:r>
        <w:tab/>
        <w:t>Crown bound</w:t>
      </w:r>
      <w:bookmarkEnd w:id="21"/>
      <w:bookmarkEnd w:id="22"/>
    </w:p>
    <w:p>
      <w:pPr>
        <w:pStyle w:val="Subsection"/>
      </w:pPr>
      <w:r>
        <w:tab/>
      </w:r>
      <w:r>
        <w:tab/>
        <w:t>This Act binds the Crown in right of the State.</w:t>
      </w:r>
    </w:p>
    <w:p>
      <w:pPr>
        <w:pStyle w:val="Heading2"/>
      </w:pPr>
      <w:bookmarkStart w:id="23" w:name="_Toc381880546"/>
      <w:bookmarkStart w:id="24" w:name="_Toc381880587"/>
      <w:bookmarkStart w:id="25" w:name="_Toc406080266"/>
      <w:bookmarkStart w:id="26" w:name="_Toc406080308"/>
      <w:bookmarkStart w:id="27" w:name="_Toc423090512"/>
      <w:bookmarkStart w:id="28" w:name="_Toc423593820"/>
      <w:bookmarkStart w:id="29" w:name="_Toc423593861"/>
      <w:bookmarkStart w:id="30" w:name="_Toc462733351"/>
      <w:bookmarkStart w:id="31" w:name="_Toc462751947"/>
      <w:bookmarkStart w:id="32" w:name="_Toc462751989"/>
      <w:bookmarkStart w:id="33" w:name="_Toc472681760"/>
      <w:bookmarkStart w:id="34" w:name="_Toc472685223"/>
      <w:r>
        <w:rPr>
          <w:rStyle w:val="CharPartNo"/>
        </w:rPr>
        <w:t>Part 2</w:t>
      </w:r>
      <w:r>
        <w:t xml:space="preserve"> — </w:t>
      </w:r>
      <w:r>
        <w:rPr>
          <w:rStyle w:val="CharPartText"/>
        </w:rPr>
        <w:t>Public interest disclosures</w:t>
      </w:r>
      <w:bookmarkEnd w:id="23"/>
      <w:bookmarkEnd w:id="24"/>
      <w:bookmarkEnd w:id="25"/>
      <w:bookmarkEnd w:id="26"/>
      <w:bookmarkEnd w:id="27"/>
      <w:bookmarkEnd w:id="28"/>
      <w:bookmarkEnd w:id="29"/>
      <w:bookmarkEnd w:id="30"/>
      <w:bookmarkEnd w:id="31"/>
      <w:bookmarkEnd w:id="32"/>
      <w:bookmarkEnd w:id="33"/>
      <w:bookmarkEnd w:id="34"/>
    </w:p>
    <w:p>
      <w:pPr>
        <w:pStyle w:val="Heading3"/>
      </w:pPr>
      <w:bookmarkStart w:id="35" w:name="_Toc381880547"/>
      <w:bookmarkStart w:id="36" w:name="_Toc381880588"/>
      <w:bookmarkStart w:id="37" w:name="_Toc406080267"/>
      <w:bookmarkStart w:id="38" w:name="_Toc406080309"/>
      <w:bookmarkStart w:id="39" w:name="_Toc423090513"/>
      <w:bookmarkStart w:id="40" w:name="_Toc423593821"/>
      <w:bookmarkStart w:id="41" w:name="_Toc423593862"/>
      <w:bookmarkStart w:id="42" w:name="_Toc462733352"/>
      <w:bookmarkStart w:id="43" w:name="_Toc462751948"/>
      <w:bookmarkStart w:id="44" w:name="_Toc462751990"/>
      <w:bookmarkStart w:id="45" w:name="_Toc472681761"/>
      <w:bookmarkStart w:id="46" w:name="_Toc472685224"/>
      <w:r>
        <w:rPr>
          <w:rStyle w:val="CharDivNo"/>
        </w:rPr>
        <w:t>Division 1</w:t>
      </w:r>
      <w:r>
        <w:t xml:space="preserve"> — </w:t>
      </w:r>
      <w:r>
        <w:rPr>
          <w:rStyle w:val="CharDivText"/>
        </w:rPr>
        <w:t>Disclosures</w:t>
      </w:r>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06080310"/>
      <w:bookmarkStart w:id="48" w:name="_Toc472685225"/>
      <w:r>
        <w:rPr>
          <w:rStyle w:val="CharSectno"/>
        </w:rPr>
        <w:t>5</w:t>
      </w:r>
      <w:r>
        <w:t>.</w:t>
      </w:r>
      <w:r>
        <w:tab/>
        <w:t>Appropriate disclosure of public interest information, making</w:t>
      </w:r>
      <w:bookmarkEnd w:id="47"/>
      <w:bookmarkEnd w:id="48"/>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No. 48 of 2003 s. 62; No. 78 of 2003 s. 74(2); No. 42 of 2009 s. 22(4); No. 31 of 2012 s. 9.]</w:t>
      </w:r>
    </w:p>
    <w:p>
      <w:pPr>
        <w:pStyle w:val="Heading5"/>
      </w:pPr>
      <w:bookmarkStart w:id="49" w:name="_Toc406080311"/>
      <w:bookmarkStart w:id="50" w:name="_Toc472685226"/>
      <w:r>
        <w:rPr>
          <w:rStyle w:val="CharSectno"/>
        </w:rPr>
        <w:t>6</w:t>
      </w:r>
      <w:r>
        <w:t>.</w:t>
      </w:r>
      <w:r>
        <w:tab/>
        <w:t>Liability of person disclosing unaffected</w:t>
      </w:r>
      <w:bookmarkEnd w:id="49"/>
      <w:bookmarkEnd w:id="50"/>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51" w:name="_Toc406080312"/>
      <w:bookmarkStart w:id="52" w:name="_Toc472685227"/>
      <w:r>
        <w:rPr>
          <w:rStyle w:val="CharSectno"/>
        </w:rPr>
        <w:t>7A</w:t>
      </w:r>
      <w:r>
        <w:t>.</w:t>
      </w:r>
      <w:r>
        <w:tab/>
        <w:t>Disclosure of public interest information to journalist, when may be made</w:t>
      </w:r>
      <w:bookmarkEnd w:id="51"/>
      <w:bookmarkEnd w:id="52"/>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No. 31 of 2012 s. 15.]</w:t>
      </w:r>
    </w:p>
    <w:p>
      <w:pPr>
        <w:pStyle w:val="Heading3"/>
      </w:pPr>
      <w:bookmarkStart w:id="53" w:name="_Toc381880551"/>
      <w:bookmarkStart w:id="54" w:name="_Toc381880592"/>
      <w:bookmarkStart w:id="55" w:name="_Toc406080271"/>
      <w:bookmarkStart w:id="56" w:name="_Toc406080313"/>
      <w:bookmarkStart w:id="57" w:name="_Toc423090517"/>
      <w:bookmarkStart w:id="58" w:name="_Toc423593825"/>
      <w:bookmarkStart w:id="59" w:name="_Toc423593866"/>
      <w:bookmarkStart w:id="60" w:name="_Toc462733356"/>
      <w:bookmarkStart w:id="61" w:name="_Toc462751952"/>
      <w:bookmarkStart w:id="62" w:name="_Toc462751994"/>
      <w:bookmarkStart w:id="63" w:name="_Toc472681765"/>
      <w:bookmarkStart w:id="64" w:name="_Toc472685228"/>
      <w:r>
        <w:rPr>
          <w:rStyle w:val="CharDivNo"/>
        </w:rPr>
        <w:t>Division 2</w:t>
      </w:r>
      <w:r>
        <w:t xml:space="preserve"> — </w:t>
      </w:r>
      <w:r>
        <w:rPr>
          <w:rStyle w:val="CharDivText"/>
        </w:rPr>
        <w:t>Obligations of a person to whom a disclosure is made</w:t>
      </w:r>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06080314"/>
      <w:bookmarkStart w:id="66" w:name="_Toc472685229"/>
      <w:r>
        <w:rPr>
          <w:rStyle w:val="CharSectno"/>
        </w:rPr>
        <w:t>7</w:t>
      </w:r>
      <w:r>
        <w:t>.</w:t>
      </w:r>
      <w:r>
        <w:tab/>
        <w:t>Term used: proper authority</w:t>
      </w:r>
      <w:bookmarkEnd w:id="65"/>
      <w:bookmarkEnd w:id="66"/>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67" w:name="_Toc406080315"/>
      <w:bookmarkStart w:id="68" w:name="_Toc472685230"/>
      <w:r>
        <w:rPr>
          <w:rStyle w:val="CharSectno"/>
        </w:rPr>
        <w:t>8</w:t>
      </w:r>
      <w:r>
        <w:t>.</w:t>
      </w:r>
      <w:r>
        <w:tab/>
        <w:t>Proper authority’s functions as to disclosed information</w:t>
      </w:r>
      <w:bookmarkEnd w:id="67"/>
      <w:bookmarkEnd w:id="68"/>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No. 31 of 2012 s. 10.]</w:t>
      </w:r>
    </w:p>
    <w:p>
      <w:pPr>
        <w:pStyle w:val="Heading5"/>
        <w:rPr>
          <w:snapToGrid w:val="0"/>
        </w:rPr>
      </w:pPr>
      <w:bookmarkStart w:id="69" w:name="_Toc406080316"/>
      <w:bookmarkStart w:id="70" w:name="_Toc472685231"/>
      <w:r>
        <w:rPr>
          <w:rStyle w:val="CharSectno"/>
        </w:rPr>
        <w:t>9</w:t>
      </w:r>
      <w:r>
        <w:rPr>
          <w:snapToGrid w:val="0"/>
        </w:rPr>
        <w:t>.</w:t>
      </w:r>
      <w:r>
        <w:rPr>
          <w:snapToGrid w:val="0"/>
        </w:rPr>
        <w:tab/>
        <w:t>Proper authority’s duties as to matter that might be disclosed</w:t>
      </w:r>
      <w:bookmarkEnd w:id="69"/>
      <w:bookmarkEnd w:id="7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71" w:name="_Toc406080317"/>
      <w:bookmarkStart w:id="72" w:name="_Toc472685232"/>
      <w:r>
        <w:rPr>
          <w:rStyle w:val="CharSectno"/>
        </w:rPr>
        <w:t>10</w:t>
      </w:r>
      <w:r>
        <w:t>.</w:t>
      </w:r>
      <w:r>
        <w:tab/>
        <w:t>Proper authority to notify informant of action taken</w:t>
      </w:r>
      <w:bookmarkEnd w:id="71"/>
      <w:bookmarkEnd w:id="72"/>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No. 31 of 2012 s. 11.]</w:t>
      </w:r>
    </w:p>
    <w:p>
      <w:pPr>
        <w:pStyle w:val="Heading5"/>
        <w:rPr>
          <w:snapToGrid w:val="0"/>
        </w:rPr>
      </w:pPr>
      <w:bookmarkStart w:id="73" w:name="_Toc406080318"/>
      <w:bookmarkStart w:id="74" w:name="_Toc472685233"/>
      <w:r>
        <w:rPr>
          <w:rStyle w:val="CharSectno"/>
        </w:rPr>
        <w:t>11</w:t>
      </w:r>
      <w:r>
        <w:rPr>
          <w:snapToGrid w:val="0"/>
        </w:rPr>
        <w:t>.</w:t>
      </w:r>
      <w:r>
        <w:rPr>
          <w:snapToGrid w:val="0"/>
        </w:rPr>
        <w:tab/>
        <w:t>Notice under s. 10 not to disclose certain matters</w:t>
      </w:r>
      <w:bookmarkEnd w:id="73"/>
      <w:bookmarkEnd w:id="74"/>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Crime and Misconduct Act 2003</w:t>
      </w:r>
      <w:r>
        <w:t xml:space="preserve"> prevents a person from disclosing is not to be given or disclosed under section 10.</w:t>
      </w:r>
    </w:p>
    <w:p>
      <w:pPr>
        <w:pStyle w:val="Footnotesection"/>
      </w:pPr>
      <w:r>
        <w:tab/>
        <w:t>[Section 11 amended: No. 48 of 2003 s. 62 (as amended: No. 78 of 2003 s. 35(13)); No. 78 of 2003 s. 74(2); No. 35 of 2014 s. 39.]</w:t>
      </w:r>
    </w:p>
    <w:p>
      <w:pPr>
        <w:pStyle w:val="Heading5"/>
      </w:pPr>
      <w:bookmarkStart w:id="75" w:name="_Toc406080319"/>
      <w:bookmarkStart w:id="76" w:name="_Toc472685234"/>
      <w:r>
        <w:rPr>
          <w:rStyle w:val="CharSectno"/>
        </w:rPr>
        <w:t>12</w:t>
      </w:r>
      <w:r>
        <w:t>.</w:t>
      </w:r>
      <w:r>
        <w:tab/>
        <w:t>Duties under this Act of certain persons limited</w:t>
      </w:r>
      <w:bookmarkEnd w:id="75"/>
      <w:bookmarkEnd w:id="76"/>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No. 48 of 2003 s. 62; No. 78 of 2003 s. 74(2); No. 8 of 2009 s. 104(2); No. 31 of 2012 s. 12.]</w:t>
      </w:r>
    </w:p>
    <w:p>
      <w:pPr>
        <w:pStyle w:val="Heading2"/>
      </w:pPr>
      <w:bookmarkStart w:id="77" w:name="_Toc381880558"/>
      <w:bookmarkStart w:id="78" w:name="_Toc381880599"/>
      <w:bookmarkStart w:id="79" w:name="_Toc406080278"/>
      <w:bookmarkStart w:id="80" w:name="_Toc406080320"/>
      <w:bookmarkStart w:id="81" w:name="_Toc423090524"/>
      <w:bookmarkStart w:id="82" w:name="_Toc423593832"/>
      <w:bookmarkStart w:id="83" w:name="_Toc423593873"/>
      <w:bookmarkStart w:id="84" w:name="_Toc462733363"/>
      <w:bookmarkStart w:id="85" w:name="_Toc462751959"/>
      <w:bookmarkStart w:id="86" w:name="_Toc462752001"/>
      <w:bookmarkStart w:id="87" w:name="_Toc472681772"/>
      <w:bookmarkStart w:id="88" w:name="_Toc472685235"/>
      <w:r>
        <w:rPr>
          <w:rStyle w:val="CharPartNo"/>
        </w:rPr>
        <w:t>Part 3</w:t>
      </w:r>
      <w:r>
        <w:rPr>
          <w:rStyle w:val="CharDivNo"/>
        </w:rPr>
        <w:t xml:space="preserve"> </w:t>
      </w:r>
      <w:r>
        <w:t>—</w:t>
      </w:r>
      <w:r>
        <w:rPr>
          <w:rStyle w:val="CharDivText"/>
        </w:rPr>
        <w:t xml:space="preserve"> </w:t>
      </w:r>
      <w:r>
        <w:rPr>
          <w:rStyle w:val="CharPartText"/>
        </w:rPr>
        <w:t>Protection</w:t>
      </w:r>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06080321"/>
      <w:bookmarkStart w:id="90" w:name="_Toc472685236"/>
      <w:r>
        <w:rPr>
          <w:rStyle w:val="CharSectno"/>
        </w:rPr>
        <w:t>13</w:t>
      </w:r>
      <w:r>
        <w:t>.</w:t>
      </w:r>
      <w:r>
        <w:tab/>
        <w:t>Immunity for person making appropriate disclosure of public interest information</w:t>
      </w:r>
      <w:bookmarkEnd w:id="89"/>
      <w:bookmarkEnd w:id="90"/>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91" w:name="_Toc406080322"/>
      <w:bookmarkStart w:id="92" w:name="_Toc472685237"/>
      <w:r>
        <w:rPr>
          <w:rStyle w:val="CharSectno"/>
        </w:rPr>
        <w:t>14</w:t>
      </w:r>
      <w:r>
        <w:t>.</w:t>
      </w:r>
      <w:r>
        <w:tab/>
        <w:t>Detrimental action against informant etc., offence</w:t>
      </w:r>
      <w:bookmarkEnd w:id="91"/>
      <w:bookmarkEnd w:id="9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93" w:name="_Toc406080323"/>
      <w:bookmarkStart w:id="94" w:name="_Toc472685238"/>
      <w:r>
        <w:rPr>
          <w:rStyle w:val="CharSectno"/>
        </w:rPr>
        <w:t>15A</w:t>
      </w:r>
      <w:r>
        <w:t>.</w:t>
      </w:r>
      <w:r>
        <w:tab/>
        <w:t>Injunction etc. as to detrimental action</w:t>
      </w:r>
      <w:bookmarkEnd w:id="93"/>
      <w:bookmarkEnd w:id="94"/>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No. 31 of 2012 s. 7.]</w:t>
      </w:r>
    </w:p>
    <w:p>
      <w:pPr>
        <w:pStyle w:val="Heading5"/>
      </w:pPr>
      <w:bookmarkStart w:id="95" w:name="_Toc406080324"/>
      <w:bookmarkStart w:id="96" w:name="_Toc472685239"/>
      <w:r>
        <w:rPr>
          <w:rStyle w:val="CharSectno"/>
        </w:rPr>
        <w:t>15B</w:t>
      </w:r>
      <w:r>
        <w:t>.</w:t>
      </w:r>
      <w:r>
        <w:tab/>
        <w:t>Public service employee, relocating to prevent etc. reprisal</w:t>
      </w:r>
      <w:bookmarkEnd w:id="95"/>
      <w:bookmarkEnd w:id="96"/>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No. 31 of 2012 s. 8.]</w:t>
      </w:r>
    </w:p>
    <w:p>
      <w:pPr>
        <w:pStyle w:val="Heading5"/>
      </w:pPr>
      <w:bookmarkStart w:id="97" w:name="_Toc406080325"/>
      <w:bookmarkStart w:id="98" w:name="_Toc472685240"/>
      <w:r>
        <w:rPr>
          <w:rStyle w:val="CharSectno"/>
        </w:rPr>
        <w:t>15</w:t>
      </w:r>
      <w:r>
        <w:t>.</w:t>
      </w:r>
      <w:r>
        <w:tab/>
        <w:t>Act of victimisation defined; remedies for</w:t>
      </w:r>
      <w:bookmarkEnd w:id="97"/>
      <w:bookmarkEnd w:id="9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99" w:name="_Toc406080326"/>
      <w:bookmarkStart w:id="100" w:name="_Toc472685241"/>
      <w:r>
        <w:rPr>
          <w:rStyle w:val="CharSectno"/>
        </w:rPr>
        <w:t>16</w:t>
      </w:r>
      <w:r>
        <w:t>.</w:t>
      </w:r>
      <w:r>
        <w:tab/>
        <w:t>Disclosure of identity of informant etc. restricted</w:t>
      </w:r>
      <w:bookmarkEnd w:id="99"/>
      <w:bookmarkEnd w:id="100"/>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Crime and Misconduct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Crime and Misconduct Act 2003</w:t>
      </w:r>
      <w:r>
        <w:t>.</w:t>
      </w:r>
    </w:p>
    <w:p>
      <w:pPr>
        <w:pStyle w:val="Penstart"/>
        <w:rPr>
          <w:snapToGrid w:val="0"/>
        </w:rPr>
      </w:pPr>
      <w:r>
        <w:rPr>
          <w:snapToGrid w:val="0"/>
        </w:rPr>
        <w:tab/>
        <w:t>Penalty: $24 000 or imprisonment for 2 years.</w:t>
      </w:r>
    </w:p>
    <w:p>
      <w:pPr>
        <w:pStyle w:val="Footnotesection"/>
        <w:ind w:left="890" w:hanging="890"/>
      </w:pPr>
      <w:r>
        <w:tab/>
        <w:t>[Section 16 amended: No. 48 of 2003 s. 62 (as amended: No. 78 of 2003 s. 35(13)); No. 78 of 2003 s. 74(2); No. 8 of 2009 s. 104(3); No. 31 of 2012 s. 13 and 16; No. 35 of 2014 s. 39.]</w:t>
      </w:r>
    </w:p>
    <w:p>
      <w:pPr>
        <w:pStyle w:val="Heading5"/>
      </w:pPr>
      <w:bookmarkStart w:id="101" w:name="_Toc406080327"/>
      <w:bookmarkStart w:id="102" w:name="_Toc472685242"/>
      <w:r>
        <w:rPr>
          <w:rStyle w:val="CharSectno"/>
        </w:rPr>
        <w:t>17</w:t>
      </w:r>
      <w:r>
        <w:t>.</w:t>
      </w:r>
      <w:r>
        <w:tab/>
        <w:t>Protection of s. 13 forfeited in some cases etc.</w:t>
      </w:r>
      <w:bookmarkEnd w:id="101"/>
      <w:bookmarkEnd w:id="10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No. 31 of 2012 s. 14.]</w:t>
      </w:r>
    </w:p>
    <w:p>
      <w:pPr>
        <w:pStyle w:val="Heading5"/>
      </w:pPr>
      <w:bookmarkStart w:id="103" w:name="_Toc406080328"/>
      <w:bookmarkStart w:id="104" w:name="_Toc472685243"/>
      <w:r>
        <w:rPr>
          <w:rStyle w:val="CharSectno"/>
        </w:rPr>
        <w:t>18A</w:t>
      </w:r>
      <w:r>
        <w:t>.</w:t>
      </w:r>
      <w:r>
        <w:tab/>
        <w:t>Disclosure under s. 7A(2) to journalist, application of Part to</w:t>
      </w:r>
      <w:bookmarkEnd w:id="103"/>
      <w:bookmarkEnd w:id="104"/>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No. 31 of 2012 s. 17.]</w:t>
      </w:r>
    </w:p>
    <w:p>
      <w:pPr>
        <w:pStyle w:val="Heading2"/>
      </w:pPr>
      <w:bookmarkStart w:id="105" w:name="_Toc381880567"/>
      <w:bookmarkStart w:id="106" w:name="_Toc381880608"/>
      <w:bookmarkStart w:id="107" w:name="_Toc406080287"/>
      <w:bookmarkStart w:id="108" w:name="_Toc406080329"/>
      <w:bookmarkStart w:id="109" w:name="_Toc423090533"/>
      <w:bookmarkStart w:id="110" w:name="_Toc423593841"/>
      <w:bookmarkStart w:id="111" w:name="_Toc423593882"/>
      <w:bookmarkStart w:id="112" w:name="_Toc462733372"/>
      <w:bookmarkStart w:id="113" w:name="_Toc462751968"/>
      <w:bookmarkStart w:id="114" w:name="_Toc462752010"/>
      <w:bookmarkStart w:id="115" w:name="_Toc472681781"/>
      <w:bookmarkStart w:id="116" w:name="_Toc472685244"/>
      <w:r>
        <w:rPr>
          <w:rStyle w:val="CharPartNo"/>
        </w:rPr>
        <w:t>Part 4</w:t>
      </w:r>
      <w:r>
        <w:rPr>
          <w:rStyle w:val="CharDivNo"/>
        </w:rPr>
        <w:t> </w:t>
      </w:r>
      <w:r>
        <w:t>—</w:t>
      </w:r>
      <w:r>
        <w:rPr>
          <w:rStyle w:val="CharDivText"/>
        </w:rPr>
        <w:t> </w:t>
      </w:r>
      <w:r>
        <w:rPr>
          <w:rStyle w:val="CharPartText"/>
        </w:rPr>
        <w:t>Role of Public Sector Commissioner</w:t>
      </w:r>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No. 39 of 2010 s. 82(3).]</w:t>
      </w:r>
    </w:p>
    <w:p>
      <w:pPr>
        <w:pStyle w:val="Heading5"/>
      </w:pPr>
      <w:bookmarkStart w:id="117" w:name="_Toc406080330"/>
      <w:bookmarkStart w:id="118" w:name="_Toc472685245"/>
      <w:r>
        <w:rPr>
          <w:rStyle w:val="CharSectno"/>
        </w:rPr>
        <w:t>18</w:t>
      </w:r>
      <w:r>
        <w:t>.</w:t>
      </w:r>
      <w:r>
        <w:tab/>
        <w:t>Term used: proper authority</w:t>
      </w:r>
      <w:bookmarkEnd w:id="117"/>
      <w:bookmarkEnd w:id="118"/>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19" w:name="_Toc406080331"/>
      <w:bookmarkStart w:id="120" w:name="_Toc472685246"/>
      <w:r>
        <w:rPr>
          <w:rStyle w:val="CharSectno"/>
        </w:rPr>
        <w:t>19</w:t>
      </w:r>
      <w:r>
        <w:t>.</w:t>
      </w:r>
      <w:r>
        <w:tab/>
        <w:t>Commissioner’s functions</w:t>
      </w:r>
      <w:bookmarkEnd w:id="119"/>
      <w:bookmarkEnd w:id="120"/>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21" w:name="_Toc406080332"/>
      <w:bookmarkStart w:id="122" w:name="_Toc472685247"/>
      <w:r>
        <w:rPr>
          <w:rStyle w:val="CharSectno"/>
        </w:rPr>
        <w:t>20</w:t>
      </w:r>
      <w:r>
        <w:t>.</w:t>
      </w:r>
      <w:r>
        <w:tab/>
        <w:t>Code of minimum standards of conduct etc., establishing etc.</w:t>
      </w:r>
      <w:bookmarkEnd w:id="121"/>
      <w:bookmarkEnd w:id="12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23" w:name="_Toc406080333"/>
      <w:bookmarkStart w:id="124" w:name="_Toc472685248"/>
      <w:r>
        <w:rPr>
          <w:rStyle w:val="CharSectno"/>
        </w:rPr>
        <w:t>21</w:t>
      </w:r>
      <w:r>
        <w:t>.</w:t>
      </w:r>
      <w:r>
        <w:tab/>
        <w:t>Guidelines, Commissioner’s duties as to</w:t>
      </w:r>
      <w:bookmarkEnd w:id="123"/>
      <w:bookmarkEnd w:id="124"/>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25" w:name="_Toc406080334"/>
      <w:bookmarkStart w:id="126" w:name="_Toc472685249"/>
      <w:r>
        <w:rPr>
          <w:rStyle w:val="CharSectno"/>
        </w:rPr>
        <w:t>22</w:t>
      </w:r>
      <w:r>
        <w:t>.</w:t>
      </w:r>
      <w:r>
        <w:tab/>
        <w:t>Annual report and other reports to Parliament</w:t>
      </w:r>
      <w:bookmarkEnd w:id="125"/>
      <w:bookmarkEnd w:id="126"/>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27" w:name="_Toc381880573"/>
      <w:bookmarkStart w:id="128" w:name="_Toc381880614"/>
      <w:bookmarkStart w:id="129" w:name="_Toc406080293"/>
      <w:bookmarkStart w:id="130" w:name="_Toc406080335"/>
      <w:bookmarkStart w:id="131" w:name="_Toc423090539"/>
      <w:bookmarkStart w:id="132" w:name="_Toc423593847"/>
      <w:bookmarkStart w:id="133" w:name="_Toc423593888"/>
      <w:bookmarkStart w:id="134" w:name="_Toc462733378"/>
      <w:bookmarkStart w:id="135" w:name="_Toc462751974"/>
      <w:bookmarkStart w:id="136" w:name="_Toc462752016"/>
      <w:bookmarkStart w:id="137" w:name="_Toc472681787"/>
      <w:bookmarkStart w:id="138" w:name="_Toc472685250"/>
      <w:r>
        <w:rPr>
          <w:rStyle w:val="CharPartNo"/>
        </w:rPr>
        <w:t>Part 5</w:t>
      </w:r>
      <w:r>
        <w:rPr>
          <w:rStyle w:val="CharDivNo"/>
        </w:rPr>
        <w:t xml:space="preserve"> </w:t>
      </w:r>
      <w:r>
        <w:t>—</w:t>
      </w:r>
      <w:r>
        <w:rPr>
          <w:rStyle w:val="CharDivText"/>
        </w:rPr>
        <w:t xml:space="preserve"> </w:t>
      </w:r>
      <w:r>
        <w:rPr>
          <w:rStyle w:val="CharPartText"/>
        </w:rPr>
        <w:t>Miscellaneous</w:t>
      </w:r>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06080336"/>
      <w:bookmarkStart w:id="140" w:name="_Toc472685251"/>
      <w:r>
        <w:rPr>
          <w:rStyle w:val="CharSectno"/>
        </w:rPr>
        <w:t>23</w:t>
      </w:r>
      <w:r>
        <w:t>.</w:t>
      </w:r>
      <w:r>
        <w:tab/>
        <w:t>Principal executive officer of public authority, duties of</w:t>
      </w:r>
      <w:bookmarkEnd w:id="139"/>
      <w:bookmarkEnd w:id="140"/>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41" w:name="_Toc406080337"/>
      <w:bookmarkStart w:id="142" w:name="_Toc472685252"/>
      <w:r>
        <w:rPr>
          <w:rStyle w:val="CharSectno"/>
        </w:rPr>
        <w:t>24</w:t>
      </w:r>
      <w:r>
        <w:t>.</w:t>
      </w:r>
      <w:r>
        <w:tab/>
        <w:t>False or misleading disclosure, offence</w:t>
      </w:r>
      <w:bookmarkEnd w:id="141"/>
      <w:bookmarkEnd w:id="142"/>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No. 48 of 2003 s. 62.]</w:t>
      </w:r>
    </w:p>
    <w:p>
      <w:pPr>
        <w:pStyle w:val="Heading5"/>
        <w:rPr>
          <w:snapToGrid w:val="0"/>
        </w:rPr>
      </w:pPr>
      <w:bookmarkStart w:id="143" w:name="_Toc406080338"/>
      <w:bookmarkStart w:id="144" w:name="_Toc472685253"/>
      <w:r>
        <w:rPr>
          <w:rStyle w:val="CharSectno"/>
        </w:rPr>
        <w:t>25</w:t>
      </w:r>
      <w:r>
        <w:rPr>
          <w:snapToGrid w:val="0"/>
        </w:rPr>
        <w:t>.</w:t>
      </w:r>
      <w:r>
        <w:rPr>
          <w:snapToGrid w:val="0"/>
        </w:rPr>
        <w:tab/>
        <w:t>Other laws not excluded</w:t>
      </w:r>
      <w:bookmarkEnd w:id="143"/>
      <w:bookmarkEnd w:id="14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45" w:name="_Toc406080339"/>
      <w:bookmarkStart w:id="146" w:name="_Toc472685254"/>
      <w:r>
        <w:rPr>
          <w:rStyle w:val="CharSectno"/>
        </w:rPr>
        <w:t>26</w:t>
      </w:r>
      <w:r>
        <w:t>.</w:t>
      </w:r>
      <w:r>
        <w:tab/>
        <w:t>Regulations</w:t>
      </w:r>
      <w:bookmarkEnd w:id="145"/>
      <w:bookmarkEnd w:id="1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7" w:name="_Toc406080340"/>
      <w:bookmarkStart w:id="148" w:name="_Toc472685255"/>
      <w:r>
        <w:rPr>
          <w:rStyle w:val="CharSectno"/>
        </w:rPr>
        <w:t>27</w:t>
      </w:r>
      <w:r>
        <w:t>.</w:t>
      </w:r>
      <w:r>
        <w:tab/>
        <w:t>Review of Act</w:t>
      </w:r>
      <w:bookmarkEnd w:id="147"/>
      <w:bookmarkEnd w:id="148"/>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nHeading2"/>
      </w:pPr>
      <w:bookmarkStart w:id="149" w:name="_Toc381880579"/>
      <w:bookmarkStart w:id="150" w:name="_Toc381880620"/>
      <w:bookmarkStart w:id="151" w:name="_Toc406080299"/>
      <w:bookmarkStart w:id="152" w:name="_Toc406080341"/>
      <w:bookmarkStart w:id="153" w:name="_Toc423090545"/>
      <w:bookmarkStart w:id="154" w:name="_Toc423593853"/>
      <w:bookmarkStart w:id="155" w:name="_Toc423593894"/>
      <w:bookmarkStart w:id="156" w:name="_Toc462733384"/>
      <w:bookmarkStart w:id="157" w:name="_Toc462751980"/>
      <w:bookmarkStart w:id="158" w:name="_Toc462752022"/>
      <w:bookmarkStart w:id="159" w:name="_Toc472681793"/>
      <w:bookmarkStart w:id="160" w:name="_Toc472685256"/>
      <w:r>
        <w:t>Notes</w:t>
      </w:r>
      <w:bookmarkEnd w:id="149"/>
      <w:bookmarkEnd w:id="150"/>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406080342"/>
      <w:bookmarkStart w:id="162" w:name="_Toc472685257"/>
      <w:r>
        <w:rPr>
          <w:snapToGrid w:val="0"/>
        </w:rPr>
        <w:t>Compilation table</w:t>
      </w:r>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Public Interest Disclosure Act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29 of 2003</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22 May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22 May 2003;</w:t>
            </w:r>
            <w:r>
              <w:rPr>
                <w:rFonts w:ascii="Times New Roman" w:hAnsi="Times New Roman"/>
              </w:rPr>
              <w:br/>
              <w:t xml:space="preserve">Act other than s. 1 and 2: 1 Jul 2003 (see s. 2 and </w:t>
            </w:r>
            <w:r>
              <w:rPr>
                <w:rFonts w:ascii="Times New Roman" w:hAnsi="Times New Roman"/>
                <w:i/>
              </w:rPr>
              <w:t>Gazette</w:t>
            </w:r>
            <w:r>
              <w:rPr>
                <w:rFonts w:ascii="Times New Roman" w:hAnsi="Times New Roman"/>
              </w:rPr>
              <w:t xml:space="preserve"> 27 Jun 2003 p. 2383)</w:t>
            </w:r>
          </w:p>
        </w:tc>
      </w:tr>
      <w:tr>
        <w:tc>
          <w:tcPr>
            <w:tcW w:w="2268" w:type="dxa"/>
          </w:tcPr>
          <w:p>
            <w:pPr>
              <w:pStyle w:val="nTable"/>
              <w:spacing w:after="40"/>
              <w:rPr>
                <w:rFonts w:ascii="Times New Roman" w:hAnsi="Times New Roman"/>
                <w:noProof/>
                <w:snapToGrid w:val="0"/>
                <w:vertAlign w:val="superscript"/>
              </w:rPr>
            </w:pPr>
            <w:r>
              <w:rPr>
                <w:rFonts w:ascii="Times New Roman" w:hAnsi="Times New Roman"/>
                <w:i/>
                <w:noProof/>
                <w:snapToGrid w:val="0"/>
              </w:rPr>
              <w:t>Corruption and Crime Commission Act 2003</w:t>
            </w:r>
            <w:r>
              <w:rPr>
                <w:rFonts w:ascii="Times New Roman" w:hAnsi="Times New Roman"/>
                <w:noProof/>
                <w:snapToGrid w:val="0"/>
              </w:rPr>
              <w:t xml:space="preserve"> s. 62</w:t>
            </w:r>
            <w:r>
              <w:rPr>
                <w:rFonts w:ascii="Times New Roman" w:hAnsi="Times New Roman"/>
                <w:noProof/>
                <w:snapToGrid w:val="0"/>
                <w:vertAlign w:val="superscript"/>
              </w:rPr>
              <w:t> 2</w:t>
            </w:r>
          </w:p>
        </w:tc>
        <w:tc>
          <w:tcPr>
            <w:tcW w:w="1134" w:type="dxa"/>
          </w:tcPr>
          <w:p>
            <w:pPr>
              <w:pStyle w:val="nTable"/>
              <w:spacing w:after="40"/>
              <w:rPr>
                <w:rFonts w:ascii="Times New Roman" w:hAnsi="Times New Roman"/>
              </w:rPr>
            </w:pPr>
            <w:r>
              <w:rPr>
                <w:rFonts w:ascii="Times New Roman" w:hAnsi="Times New Roman"/>
              </w:rPr>
              <w:t>48 of 2003</w:t>
            </w:r>
            <w:r>
              <w:rPr>
                <w:rFonts w:ascii="Times New Roman" w:hAnsi="Times New Roman"/>
              </w:rPr>
              <w:br/>
              <w:t>(as amended by No. 78 of 2003 s. 35(13))</w:t>
            </w:r>
          </w:p>
        </w:tc>
        <w:tc>
          <w:tcPr>
            <w:tcW w:w="1134" w:type="dxa"/>
          </w:tcPr>
          <w:p>
            <w:pPr>
              <w:pStyle w:val="nTable"/>
              <w:spacing w:after="40"/>
              <w:rPr>
                <w:rFonts w:ascii="Times New Roman" w:hAnsi="Times New Roman"/>
              </w:rPr>
            </w:pPr>
            <w:r>
              <w:rPr>
                <w:rFonts w:ascii="Times New Roman" w:hAnsi="Times New Roman"/>
              </w:rPr>
              <w:t>3 Jul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5723)</w:t>
            </w:r>
          </w:p>
        </w:tc>
      </w:tr>
      <w:tr>
        <w:trPr>
          <w:cantSplit/>
        </w:trPr>
        <w:tc>
          <w:tcPr>
            <w:tcW w:w="2268" w:type="dxa"/>
          </w:tcPr>
          <w:p>
            <w:pPr>
              <w:pStyle w:val="nTable"/>
              <w:spacing w:after="40"/>
              <w:ind w:right="113"/>
              <w:rPr>
                <w:rFonts w:ascii="Times New Roman" w:hAnsi="Times New Roman"/>
              </w:rPr>
            </w:pPr>
            <w:r>
              <w:rPr>
                <w:rFonts w:ascii="Times New Roman" w:hAnsi="Times New Roman"/>
                <w:i/>
              </w:rPr>
              <w:t>Corruption and Crime Commission Amendment and Repeal Act 2003</w:t>
            </w:r>
            <w:r>
              <w:rPr>
                <w:rFonts w:ascii="Times New Roman" w:hAnsi="Times New Roman"/>
              </w:rPr>
              <w:t xml:space="preserve"> s. 74(2)</w:t>
            </w:r>
            <w:r>
              <w:rPr>
                <w:rFonts w:ascii="Times New Roman" w:hAnsi="Times New Roman"/>
                <w:vertAlign w:val="superscript"/>
              </w:rPr>
              <w:t xml:space="preserve"> </w:t>
            </w:r>
          </w:p>
        </w:tc>
        <w:tc>
          <w:tcPr>
            <w:tcW w:w="1134" w:type="dxa"/>
          </w:tcPr>
          <w:p>
            <w:pPr>
              <w:pStyle w:val="nTable"/>
              <w:spacing w:after="40"/>
              <w:rPr>
                <w:rFonts w:ascii="Times New Roman" w:hAnsi="Times New Roman"/>
              </w:rPr>
            </w:pPr>
            <w:r>
              <w:rPr>
                <w:rFonts w:ascii="Times New Roman" w:hAnsi="Times New Roman"/>
              </w:rPr>
              <w:t>78 of 2003</w:t>
            </w:r>
          </w:p>
        </w:tc>
        <w:tc>
          <w:tcPr>
            <w:tcW w:w="1134" w:type="dxa"/>
          </w:tcPr>
          <w:p>
            <w:pPr>
              <w:pStyle w:val="nTable"/>
              <w:spacing w:after="40"/>
              <w:rPr>
                <w:rFonts w:ascii="Times New Roman" w:hAnsi="Times New Roman"/>
              </w:rPr>
            </w:pPr>
            <w:r>
              <w:rPr>
                <w:rFonts w:ascii="Times New Roman" w:hAnsi="Times New Roman"/>
              </w:rPr>
              <w:t>22 Dec 2003</w:t>
            </w:r>
          </w:p>
        </w:tc>
        <w:tc>
          <w:tcPr>
            <w:tcW w:w="2551" w:type="dxa"/>
          </w:tcPr>
          <w:p>
            <w:pPr>
              <w:pStyle w:val="nTable"/>
              <w:spacing w:after="40"/>
              <w:rPr>
                <w:rFonts w:ascii="Times New Roman" w:hAnsi="Times New Roman"/>
              </w:rPr>
            </w:pPr>
            <w:r>
              <w:rPr>
                <w:rFonts w:ascii="Times New Roman" w:hAnsi="Times New Roman"/>
              </w:rPr>
              <w:t xml:space="preserve">7 Jul 2004 (see s. 2 and </w:t>
            </w:r>
            <w:r>
              <w:rPr>
                <w:rFonts w:ascii="Times New Roman" w:hAnsi="Times New Roman"/>
                <w:i/>
              </w:rPr>
              <w:t xml:space="preserve">Gazette </w:t>
            </w:r>
            <w:r>
              <w:rPr>
                <w:rFonts w:ascii="Times New Roman" w:hAnsi="Times New Roman"/>
              </w:rPr>
              <w:t>6 Jul 2004 p. 2697)</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s. 73</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 xml:space="preserve">Financial Legislation Amendment and Repeal Act 2006 </w:t>
            </w:r>
            <w:r>
              <w:rPr>
                <w:rFonts w:ascii="Times New Roman" w:hAnsi="Times New Roman"/>
                <w:iCs/>
                <w:snapToGrid w:val="0"/>
              </w:rPr>
              <w:t>Sch. 1 cl. 136</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87"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Public Interest Disclosure Act 2003</w:t>
            </w:r>
            <w:r>
              <w:rPr>
                <w:rFonts w:ascii="Times New Roman" w:hAnsi="Times New Roman"/>
                <w:b/>
                <w:bCs/>
                <w:snapToGrid w:val="0"/>
              </w:rPr>
              <w:t xml:space="preserve"> as at 12 Oct 2007</w:t>
            </w:r>
            <w:r>
              <w:rPr>
                <w:rFonts w:ascii="Times New Roman" w:hAnsi="Times New Roman"/>
                <w:snapToGrid w:val="0"/>
              </w:rPr>
              <w:t xml:space="preserve"> (includes amendments listed above)</w:t>
            </w:r>
          </w:p>
        </w:tc>
      </w:tr>
      <w:tr>
        <w:trPr>
          <w:cantSplit/>
        </w:trPr>
        <w:tc>
          <w:tcPr>
            <w:tcW w:w="2268" w:type="dxa"/>
          </w:tcPr>
          <w:p>
            <w:pPr>
              <w:pStyle w:val="nTable"/>
              <w:spacing w:after="40"/>
              <w:ind w:right="170"/>
              <w:rPr>
                <w:rFonts w:ascii="Times New Roman" w:hAnsi="Times New Roman"/>
                <w:iCs/>
              </w:rPr>
            </w:pPr>
            <w:r>
              <w:rPr>
                <w:rFonts w:ascii="Times New Roman" w:hAnsi="Times New Roman"/>
                <w:i/>
              </w:rPr>
              <w:t xml:space="preserve">Police Amendment Act 2008 </w:t>
            </w:r>
            <w:r>
              <w:rPr>
                <w:rFonts w:ascii="Times New Roman" w:hAnsi="Times New Roman"/>
                <w:iCs/>
              </w:rPr>
              <w:t>s. 18</w:t>
            </w:r>
          </w:p>
        </w:tc>
        <w:tc>
          <w:tcPr>
            <w:tcW w:w="1134" w:type="dxa"/>
          </w:tcPr>
          <w:p>
            <w:pPr>
              <w:pStyle w:val="nTable"/>
              <w:spacing w:after="40"/>
              <w:rPr>
                <w:rFonts w:ascii="Times New Roman" w:hAnsi="Times New Roman"/>
              </w:rPr>
            </w:pPr>
            <w:r>
              <w:rPr>
                <w:rFonts w:ascii="Times New Roman" w:hAnsi="Times New Roman"/>
              </w:rPr>
              <w:t>8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1" w:type="dxa"/>
          </w:tcPr>
          <w:p>
            <w:pPr>
              <w:pStyle w:val="nTable"/>
              <w:keepNext/>
              <w:keepLines/>
              <w:spacing w:after="40"/>
              <w:rPr>
                <w:rFonts w:ascii="Times New Roman" w:hAnsi="Times New Roman"/>
              </w:rPr>
            </w:pPr>
            <w:r>
              <w:rPr>
                <w:rFonts w:ascii="Times New Roman" w:hAnsi="Times New Roman"/>
              </w:rPr>
              <w:t>1 Apr 2008 (see s. 2(1))</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104</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22</w:t>
            </w:r>
          </w:p>
        </w:tc>
        <w:tc>
          <w:tcPr>
            <w:tcW w:w="1134" w:type="dxa"/>
          </w:tcPr>
          <w:p>
            <w:pPr>
              <w:pStyle w:val="nTable"/>
              <w:spacing w:after="40"/>
              <w:rPr>
                <w:rFonts w:ascii="Times New Roman" w:hAnsi="Times New Roman"/>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1" w:type="dxa"/>
          </w:tcPr>
          <w:p>
            <w:pPr>
              <w:pStyle w:val="nTable"/>
              <w:spacing w:after="40"/>
              <w:rPr>
                <w:rFonts w:ascii="Times New Roman" w:hAnsi="Times New Roman"/>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82</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snapToGrid w:val="0"/>
              </w:rPr>
            </w:pPr>
            <w:r>
              <w:rPr>
                <w:rFonts w:ascii="Times New Roman" w:hAnsi="Times New Roman"/>
              </w:rPr>
              <w:t>1 Oct 2010</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rPr>
              <w:t>Evidence and Public Interest Disclosure Legislation Amendment Act 2012</w:t>
            </w:r>
            <w:r>
              <w:rPr>
                <w:rFonts w:ascii="Times New Roman" w:hAnsi="Times New Roman"/>
                <w:snapToGrid w:val="0"/>
              </w:rPr>
              <w:t xml:space="preserve"> Pt.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31 of 2012</w:t>
            </w:r>
          </w:p>
        </w:tc>
        <w:tc>
          <w:tcPr>
            <w:tcW w:w="1134" w:type="dxa"/>
            <w:shd w:val="clear" w:color="auto" w:fill="auto"/>
          </w:tcPr>
          <w:p>
            <w:pPr>
              <w:pStyle w:val="nTable"/>
              <w:spacing w:after="40"/>
              <w:rPr>
                <w:rFonts w:ascii="Times New Roman" w:hAnsi="Times New Roman"/>
              </w:rPr>
            </w:pPr>
            <w:r>
              <w:rPr>
                <w:rFonts w:ascii="Times New Roman" w:hAnsi="Times New Roman"/>
              </w:rPr>
              <w:t>2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Nov 2012 (see s. 2(b) and </w:t>
            </w:r>
            <w:r>
              <w:rPr>
                <w:rFonts w:ascii="Times New Roman" w:hAnsi="Times New Roman"/>
                <w:i/>
                <w:snapToGrid w:val="0"/>
              </w:rPr>
              <w:t>Gazette</w:t>
            </w:r>
            <w:r>
              <w:rPr>
                <w:rFonts w:ascii="Times New Roman" w:hAnsi="Times New Roman"/>
                <w:snapToGrid w:val="0"/>
              </w:rPr>
              <w:t xml:space="preserve"> 20 Nov 2012 p. 5685)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Public Interest Disclosure Act 2003</w:t>
            </w:r>
            <w:r>
              <w:rPr>
                <w:rFonts w:ascii="Times New Roman" w:hAnsi="Times New Roman"/>
                <w:b/>
                <w:bCs/>
                <w:snapToGrid w:val="0"/>
              </w:rPr>
              <w:t xml:space="preserve"> as at 1 Feb 2013</w:t>
            </w:r>
            <w:r>
              <w:rPr>
                <w:rFonts w:ascii="Times New Roman" w:hAnsi="Times New Roman"/>
                <w:snapToGrid w:val="0"/>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lang w:val="en-US"/>
              </w:rPr>
              <w:t>35 of 2014</w:t>
            </w:r>
          </w:p>
        </w:tc>
        <w:tc>
          <w:tcPr>
            <w:tcW w:w="1134" w:type="dxa"/>
            <w:shd w:val="clear" w:color="auto" w:fill="auto"/>
          </w:tcPr>
          <w:p>
            <w:pPr>
              <w:pStyle w:val="nTable"/>
              <w:spacing w:after="40"/>
              <w:rPr>
                <w:rFonts w:ascii="Times New Roman" w:hAnsi="Times New Roman"/>
              </w:rPr>
            </w:pPr>
            <w:r>
              <w:rPr>
                <w:rFonts w:ascii="Times New Roman" w:hAnsi="Times New Roman"/>
              </w:rPr>
              <w:t>9 Dec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snapToGrid w:val="0"/>
                <w:lang w:val="en-US"/>
              </w:rPr>
            </w:pPr>
            <w:r>
              <w:rPr>
                <w:i/>
                <w:snapToGrid w:val="0"/>
                <w:szCs w:val="19"/>
              </w:rPr>
              <w:t>Local Government Legislation Amendment Act 2016</w:t>
            </w:r>
            <w:r>
              <w:rPr>
                <w:snapToGrid w:val="0"/>
                <w:szCs w:val="19"/>
              </w:rPr>
              <w:t xml:space="preserve"> Pt. 3 Div. 29</w:t>
            </w:r>
          </w:p>
        </w:tc>
        <w:tc>
          <w:tcPr>
            <w:tcW w:w="1134" w:type="dxa"/>
            <w:tcBorders>
              <w:bottom w:val="single" w:sz="4" w:space="0" w:color="auto"/>
            </w:tcBorders>
            <w:shd w:val="clear" w:color="auto" w:fill="auto"/>
          </w:tcPr>
          <w:p>
            <w:pPr>
              <w:pStyle w:val="nTable"/>
              <w:spacing w:after="40"/>
              <w:rPr>
                <w:rFonts w:ascii="Times New Roman" w:hAnsi="Times New Roman"/>
                <w:snapToGrid w:val="0"/>
                <w:lang w:val="en-US"/>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64" w:name="_Toc423593855"/>
      <w:bookmarkStart w:id="165" w:name="_Toc423593896"/>
      <w:bookmarkStart w:id="166" w:name="_Toc462733387"/>
      <w:bookmarkStart w:id="167" w:name="_Toc462751983"/>
      <w:bookmarkStart w:id="168" w:name="_Toc462752025"/>
      <w:bookmarkStart w:id="169" w:name="_Toc472681795"/>
      <w:bookmarkStart w:id="170" w:name="_Toc472685258"/>
      <w:r>
        <w:rPr>
          <w:sz w:val="28"/>
        </w:rPr>
        <w:t>Defined terms</w:t>
      </w:r>
      <w:bookmarkEnd w:id="164"/>
      <w:bookmarkEnd w:id="165"/>
      <w:bookmarkEnd w:id="166"/>
      <w:bookmarkEnd w:id="167"/>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3451F-6322-4629-BA79-9FBE0D61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6897</Words>
  <Characters>33455</Characters>
  <Application>Microsoft Office Word</Application>
  <DocSecurity>0</DocSecurity>
  <Lines>955</Lines>
  <Paragraphs>545</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39807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2003 - 02-e0-01</dc:title>
  <dc:subject/>
  <dc:creator/>
  <cp:keywords/>
  <dc:description/>
  <cp:lastModifiedBy>svcMRProcess</cp:lastModifiedBy>
  <cp:revision>4</cp:revision>
  <cp:lastPrinted>2013-02-05T00:20:00Z</cp:lastPrinted>
  <dcterms:created xsi:type="dcterms:W3CDTF">2019-01-23T04:20:00Z</dcterms:created>
  <dcterms:modified xsi:type="dcterms:W3CDTF">2019-01-23T04:20:00Z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02-e0-01</vt:lpwstr>
  </property>
</Properties>
</file>