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Drugs of Addiction Notification Regulations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_Toc472689876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_Toc472689877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conditions</w:t>
      </w:r>
      <w:r>
        <w:tab/>
      </w:r>
      <w:r>
        <w:fldChar w:fldCharType="begin"/>
      </w:r>
      <w:r>
        <w:instrText xml:space="preserve"> PAGEREF _Toc472689878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Notification by medical practitioners</w:t>
      </w:r>
      <w:r>
        <w:tab/>
      </w:r>
      <w:r>
        <w:fldChar w:fldCharType="begin"/>
      </w:r>
      <w:r>
        <w:instrText xml:space="preserve"> PAGEREF _Toc472689879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Register</w:t>
      </w:r>
      <w:r>
        <w:tab/>
      </w:r>
      <w:r>
        <w:fldChar w:fldCharType="begin"/>
      </w:r>
      <w:r>
        <w:instrText xml:space="preserve"> PAGEREF _Toc472689880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_Toc472689883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_Toc472689884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(Miscellaneous Provision) Act 1911</w:t>
      </w:r>
    </w:p>
    <w:p>
      <w:pPr>
        <w:pStyle w:val="NameofActReg"/>
      </w:pPr>
      <w:r>
        <w:t>Drugs of Addiction Notification Regulations 1980</w:t>
      </w:r>
    </w:p>
    <w:p>
      <w:pPr>
        <w:pStyle w:val="Heading5"/>
        <w:rPr>
          <w:snapToGrid w:val="0"/>
        </w:rPr>
      </w:pPr>
      <w:bookmarkStart w:id="3" w:name="_Toc392244933"/>
      <w:bookmarkStart w:id="4" w:name="_Toc47268987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72689877"/>
      <w:r>
        <w:rPr>
          <w:rStyle w:val="CharSectno"/>
        </w:rPr>
        <w:t>2</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(Miscellaneous Provisions) Act 1911</w:t>
      </w:r>
      <w:r>
        <w:t>.</w:t>
      </w:r>
    </w:p>
    <w:p>
      <w:pPr>
        <w:pStyle w:val="Footnotesection"/>
      </w:pPr>
      <w:r>
        <w:tab/>
        <w:t xml:space="preserve">[Regulation 2 amended in Gazette 20 Mar 1996 p. 1419; 10 Jan 2017 p. 251.] </w:t>
      </w:r>
    </w:p>
    <w:p>
      <w:pPr>
        <w:pStyle w:val="Heading5"/>
        <w:rPr>
          <w:snapToGrid w:val="0"/>
        </w:rPr>
      </w:pPr>
      <w:bookmarkStart w:id="7" w:name="_Toc392244935"/>
      <w:bookmarkStart w:id="8" w:name="_Toc472689878"/>
      <w:r>
        <w:rPr>
          <w:rStyle w:val="CharSectno"/>
        </w:rPr>
        <w:t>3</w:t>
      </w:r>
      <w:r>
        <w:rPr>
          <w:snapToGrid w:val="0"/>
        </w:rPr>
        <w:t>.</w:t>
      </w:r>
      <w:r>
        <w:rPr>
          <w:snapToGrid w:val="0"/>
        </w:rPr>
        <w:tab/>
        <w:t>Prescribed conditions</w:t>
      </w:r>
      <w:bookmarkEnd w:id="7"/>
      <w:bookmarkEnd w:id="8"/>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9" w:name="_Toc392244936"/>
      <w:bookmarkStart w:id="10" w:name="_Toc472689879"/>
      <w:r>
        <w:rPr>
          <w:rStyle w:val="CharSectno"/>
        </w:rPr>
        <w:t>4</w:t>
      </w:r>
      <w:r>
        <w:rPr>
          <w:snapToGrid w:val="0"/>
        </w:rPr>
        <w:t>.</w:t>
      </w:r>
      <w:r>
        <w:rPr>
          <w:snapToGrid w:val="0"/>
        </w:rPr>
        <w:tab/>
        <w:t>Notification by medical practitioners</w:t>
      </w:r>
      <w:bookmarkEnd w:id="9"/>
      <w:bookmarkEnd w:id="10"/>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w:t>
      </w:r>
      <w:r>
        <w:t>Chief Health Officer</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w:t>
      </w:r>
      <w:r>
        <w:t>Chief Health Officer</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10 Jan 2017 p. 251.] </w:t>
      </w:r>
    </w:p>
    <w:p>
      <w:pPr>
        <w:pStyle w:val="Heading5"/>
        <w:rPr>
          <w:snapToGrid w:val="0"/>
        </w:rPr>
      </w:pPr>
      <w:bookmarkStart w:id="11" w:name="_Toc392244937"/>
      <w:bookmarkStart w:id="12" w:name="_Toc472689880"/>
      <w:r>
        <w:rPr>
          <w:rStyle w:val="CharSectno"/>
        </w:rPr>
        <w:t>5</w:t>
      </w:r>
      <w:r>
        <w:rPr>
          <w:snapToGrid w:val="0"/>
        </w:rPr>
        <w:t>.</w:t>
      </w:r>
      <w:r>
        <w:rPr>
          <w:snapToGrid w:val="0"/>
        </w:rPr>
        <w:tab/>
        <w:t>Register</w:t>
      </w:r>
      <w:bookmarkEnd w:id="11"/>
      <w:bookmarkEnd w:id="12"/>
    </w:p>
    <w:p>
      <w:pPr>
        <w:pStyle w:val="Subsection"/>
        <w:rPr>
          <w:snapToGrid w:val="0"/>
        </w:rPr>
      </w:pPr>
      <w:r>
        <w:rPr>
          <w:snapToGrid w:val="0"/>
        </w:rPr>
        <w:tab/>
        <w:t>(1)</w:t>
      </w:r>
      <w:r>
        <w:rPr>
          <w:snapToGrid w:val="0"/>
        </w:rPr>
        <w:tab/>
        <w:t xml:space="preserve">The </w:t>
      </w:r>
      <w:r>
        <w:t>Chief Health Officer</w:t>
      </w:r>
      <w:r>
        <w:rPr>
          <w:snapToGrid w:val="0"/>
        </w:rPr>
        <w:t xml:space="preserve"> shall cause to be kept a register of the information forwarded to him in accordance with regulation 4.</w:t>
      </w:r>
    </w:p>
    <w:p>
      <w:pPr>
        <w:pStyle w:val="Subsection"/>
        <w:rPr>
          <w:snapToGrid w:val="0"/>
        </w:rPr>
      </w:pPr>
      <w:r>
        <w:rPr>
          <w:snapToGrid w:val="0"/>
        </w:rPr>
        <w:tab/>
        <w:t>(2)</w:t>
      </w:r>
      <w:r>
        <w:rPr>
          <w:snapToGrid w:val="0"/>
        </w:rPr>
        <w:tab/>
        <w:t xml:space="preserve">The </w:t>
      </w:r>
      <w:r>
        <w:t>Chief Health Officer</w:t>
      </w:r>
      <w:r>
        <w:rPr>
          <w:snapToGrid w:val="0"/>
        </w:rPr>
        <w:t xml:space="preserve">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Alcohol and Other Drugs 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17 Apr 2015 p. 1375; 10 Jan 2017 p. 251.] </w:t>
      </w:r>
    </w:p>
    <w:p>
      <w:pPr>
        <w:pStyle w:val="Defpara"/>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 w:name="_Toc392244938"/>
      <w:bookmarkStart w:id="14" w:name="_Toc416684793"/>
      <w:bookmarkStart w:id="15" w:name="_Toc416684827"/>
      <w:bookmarkStart w:id="16" w:name="_Toc423343712"/>
      <w:bookmarkStart w:id="17" w:name="_Toc472517901"/>
      <w:bookmarkStart w:id="18" w:name="_Toc472518644"/>
      <w:bookmarkStart w:id="19" w:name="_Toc472689881"/>
      <w:r>
        <w:rPr>
          <w:rStyle w:val="CharSchNo"/>
        </w:rPr>
        <w:t>Schedule</w:t>
      </w:r>
      <w:bookmarkEnd w:id="13"/>
      <w:bookmarkEnd w:id="14"/>
      <w:bookmarkEnd w:id="15"/>
      <w:bookmarkEnd w:id="16"/>
      <w:bookmarkEnd w:id="17"/>
      <w:bookmarkEnd w:id="18"/>
      <w:bookmarkEnd w:id="19"/>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rPr>
      </w:pPr>
      <w:r>
        <w:rPr>
          <w:snapToGrid w:val="0"/>
        </w:rPr>
        <w:t>CHIEF HEALTH OFFICER:</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w:t>
      </w:r>
      <w:r>
        <w:rPr>
          <w:szCs w:val="22"/>
        </w:rPr>
        <w:t>the</w:t>
      </w:r>
      <w:r>
        <w:t xml:space="preserve"> </w:t>
      </w:r>
      <w:r>
        <w:rPr>
          <w:i/>
          <w:snapToGrid w:val="0"/>
        </w:rPr>
        <w:t>Health (Miscellaneous Provisions) Act 1911</w:t>
      </w:r>
      <w:r>
        <w:rPr>
          <w:snapToGrid w:val="0"/>
        </w:rPr>
        <w:t xml:space="preserve"> section 289B (as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pStyle w:val="yFootnotesection"/>
      </w:pPr>
      <w:r>
        <w:tab/>
        <w:t>[Schedule amended in Gazette 10 Jan 2017 p. 252.]</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 w:name="_Toc392244939"/>
      <w:bookmarkStart w:id="22" w:name="_Toc416684794"/>
      <w:bookmarkStart w:id="23" w:name="_Toc416684828"/>
      <w:bookmarkStart w:id="24" w:name="_Toc423343713"/>
      <w:bookmarkStart w:id="25" w:name="_Toc472517902"/>
      <w:bookmarkStart w:id="26" w:name="_Toc472518645"/>
      <w:bookmarkStart w:id="27" w:name="_Toc472689882"/>
      <w:r>
        <w:t>Notes</w:t>
      </w:r>
      <w:bookmarkEnd w:id="21"/>
      <w:bookmarkEnd w:id="22"/>
      <w:bookmarkEnd w:id="23"/>
      <w:bookmarkEnd w:id="24"/>
      <w:bookmarkEnd w:id="25"/>
      <w:bookmarkEnd w:id="26"/>
      <w:bookmarkEnd w:id="27"/>
    </w:p>
    <w:p>
      <w:pPr>
        <w:pStyle w:val="nSubsection"/>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t>The table also contains information about any reprint.</w:t>
      </w:r>
    </w:p>
    <w:p>
      <w:pPr>
        <w:pStyle w:val="nHeading3"/>
        <w:rPr>
          <w:snapToGrid w:val="0"/>
        </w:rPr>
      </w:pPr>
      <w:bookmarkStart w:id="28" w:name="_Toc392244940"/>
      <w:bookmarkStart w:id="29" w:name="_Toc472689883"/>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Pr>
          <w:p>
            <w:pPr>
              <w:pStyle w:val="nTable"/>
              <w:spacing w:before="120"/>
              <w:ind w:right="113"/>
            </w:pPr>
            <w:r>
              <w:rPr>
                <w:i/>
              </w:rPr>
              <w:t>Drugs of Addiction Notification Amendment Regulations 2015</w:t>
            </w:r>
          </w:p>
        </w:tc>
        <w:tc>
          <w:tcPr>
            <w:tcW w:w="1276" w:type="dxa"/>
          </w:tcPr>
          <w:p>
            <w:pPr>
              <w:pStyle w:val="nTable"/>
              <w:spacing w:before="120"/>
            </w:pPr>
            <w:r>
              <w:t>17 Apr 2015 p. 1375</w:t>
            </w:r>
          </w:p>
        </w:tc>
        <w:tc>
          <w:tcPr>
            <w:tcW w:w="2481" w:type="dxa"/>
          </w:tcPr>
          <w:p>
            <w:pPr>
              <w:pStyle w:val="nTable"/>
              <w:spacing w:before="120"/>
            </w:pPr>
            <w:r>
              <w:t>r. 1 and 2: 17 Apr 2015 (see r. 2(a));</w:t>
            </w:r>
            <w:r>
              <w:br/>
              <w:t xml:space="preserve">Regulations other than r. 1 and 2: 1 Jul 2015 (see r. 2(b)(ii) and </w:t>
            </w:r>
            <w:r>
              <w:rPr>
                <w:i/>
              </w:rPr>
              <w:t>Gazette</w:t>
            </w:r>
            <w:r>
              <w:t xml:space="preserve"> 10 Apr 2015 p. 1249)</w:t>
            </w:r>
          </w:p>
        </w:tc>
      </w:tr>
      <w:tr>
        <w:trPr>
          <w:gridAfter w:val="1"/>
          <w:wAfter w:w="14" w:type="dxa"/>
          <w:cantSplit/>
        </w:trPr>
        <w:tc>
          <w:tcPr>
            <w:tcW w:w="3119" w:type="dxa"/>
            <w:tcBorders>
              <w:bottom w:val="single" w:sz="4" w:space="0" w:color="auto"/>
            </w:tcBorders>
          </w:tcPr>
          <w:p>
            <w:pPr>
              <w:pStyle w:val="nTable"/>
              <w:spacing w:before="120"/>
              <w:ind w:right="113"/>
            </w:pPr>
            <w:r>
              <w:rPr>
                <w:i/>
              </w:rPr>
              <w:t xml:space="preserve">Health Regulations Amendment (Public Health) Regulations 2016 </w:t>
            </w:r>
            <w:r>
              <w:t>Pt.</w:t>
            </w:r>
            <w:r>
              <w:rPr>
                <w:i/>
              </w:rPr>
              <w:t> </w:t>
            </w:r>
            <w:r>
              <w:t>4</w:t>
            </w:r>
          </w:p>
        </w:tc>
        <w:tc>
          <w:tcPr>
            <w:tcW w:w="1276" w:type="dxa"/>
            <w:tcBorders>
              <w:bottom w:val="single" w:sz="4" w:space="0" w:color="auto"/>
            </w:tcBorders>
          </w:tcPr>
          <w:p>
            <w:pPr>
              <w:pStyle w:val="nTable"/>
              <w:spacing w:before="120"/>
            </w:pPr>
            <w:r>
              <w:t>10 Jan 2017 p. 237</w:t>
            </w:r>
            <w:r>
              <w:noBreakHyphen/>
              <w:t>308</w:t>
            </w:r>
          </w:p>
        </w:tc>
        <w:tc>
          <w:tcPr>
            <w:tcW w:w="2481"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392244941"/>
      <w:bookmarkStart w:id="31" w:name="_Toc472689884"/>
      <w:r>
        <w:t>Provisions that have not come into operation</w:t>
      </w:r>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24"/>
        <w:gridCol w:w="1276"/>
        <w:gridCol w:w="2481"/>
      </w:tblGrid>
      <w:tr>
        <w:trPr>
          <w:cantSplit/>
          <w:tblHeader/>
        </w:trPr>
        <w:tc>
          <w:tcPr>
            <w:tcW w:w="3124" w:type="dxa"/>
            <w:tcBorders>
              <w:top w:val="single" w:sz="12" w:space="0" w:color="auto"/>
              <w:bottom w:val="single" w:sz="12" w:space="0" w:color="auto"/>
            </w:tcBorders>
          </w:tcPr>
          <w:p>
            <w:pPr>
              <w:pStyle w:val="nTable"/>
              <w:keepNext/>
              <w:spacing w:before="60" w:after="60"/>
              <w:ind w:right="113"/>
              <w:rPr>
                <w:b/>
              </w:rPr>
            </w:pPr>
            <w:r>
              <w:rPr>
                <w:b/>
              </w:rPr>
              <w:t>Citation</w:t>
            </w:r>
          </w:p>
        </w:tc>
        <w:tc>
          <w:tcPr>
            <w:tcW w:w="1276" w:type="dxa"/>
            <w:tcBorders>
              <w:top w:val="single" w:sz="12" w:space="0" w:color="auto"/>
              <w:bottom w:val="single" w:sz="12" w:space="0" w:color="auto"/>
            </w:tcBorders>
          </w:tcPr>
          <w:p>
            <w:pPr>
              <w:pStyle w:val="nTable"/>
              <w:keepNext/>
              <w:spacing w:before="60" w:after="60"/>
              <w:rPr>
                <w:b/>
              </w:rPr>
            </w:pPr>
            <w:r>
              <w:rPr>
                <w:b/>
              </w:rPr>
              <w:t>Gazettal</w:t>
            </w:r>
          </w:p>
        </w:tc>
        <w:tc>
          <w:tcPr>
            <w:tcW w:w="2481" w:type="dxa"/>
            <w:tcBorders>
              <w:top w:val="single" w:sz="12" w:space="0" w:color="auto"/>
              <w:bottom w:val="single" w:sz="12" w:space="0" w:color="auto"/>
            </w:tcBorders>
          </w:tcPr>
          <w:p>
            <w:pPr>
              <w:pStyle w:val="nTable"/>
              <w:keepNext/>
              <w:spacing w:before="60" w:after="60"/>
              <w:rPr>
                <w:b/>
              </w:rPr>
            </w:pPr>
            <w:r>
              <w:rPr>
                <w:b/>
              </w:rPr>
              <w:t>Commencement</w:t>
            </w:r>
          </w:p>
        </w:tc>
      </w:tr>
      <w:tr>
        <w:trPr>
          <w:cantSplit/>
        </w:trPr>
        <w:tc>
          <w:tcPr>
            <w:tcW w:w="4400" w:type="dxa"/>
            <w:gridSpan w:val="2"/>
            <w:tcBorders>
              <w:top w:val="single" w:sz="12" w:space="0" w:color="auto"/>
              <w:bottom w:val="single" w:sz="4" w:space="0" w:color="auto"/>
            </w:tcBorders>
          </w:tcPr>
          <w:p>
            <w:pPr>
              <w:pStyle w:val="nTable"/>
              <w:spacing w:before="120"/>
            </w:pPr>
            <w:r>
              <w:rPr>
                <w:i/>
                <w:noProof/>
                <w:snapToGrid w:val="0"/>
              </w:rPr>
              <w:t>Medicines and Poisons Act 2014</w:t>
            </w:r>
            <w:r>
              <w:rPr>
                <w:noProof/>
                <w:snapToGrid w:val="0"/>
              </w:rPr>
              <w:t xml:space="preserve"> s. 139(a) and 147</w:t>
            </w:r>
            <w:r>
              <w:rPr>
                <w:noProof/>
                <w:snapToGrid w:val="0"/>
                <w:vertAlign w:val="superscript"/>
              </w:rPr>
              <w:t xml:space="preserve"> </w:t>
            </w:r>
            <w:r>
              <w:rPr>
                <w:noProof/>
                <w:snapToGrid w:val="0"/>
              </w:rPr>
              <w:t>assented to 2 Jul 2014 </w:t>
            </w:r>
            <w:r>
              <w:rPr>
                <w:noProof/>
                <w:snapToGrid w:val="0"/>
                <w:vertAlign w:val="superscript"/>
              </w:rPr>
              <w:t>3</w:t>
            </w:r>
          </w:p>
        </w:tc>
        <w:tc>
          <w:tcPr>
            <w:tcW w:w="2481" w:type="dxa"/>
            <w:tcBorders>
              <w:top w:val="single" w:sz="12" w:space="0" w:color="auto"/>
              <w:bottom w:val="single" w:sz="4" w:space="0" w:color="auto"/>
            </w:tcBorders>
          </w:tcPr>
          <w:p>
            <w:pPr>
              <w:pStyle w:val="nTable"/>
              <w:spacing w:before="120"/>
            </w:pPr>
            <w:r>
              <w:rPr>
                <w:snapToGrid w:val="0"/>
              </w:rPr>
              <w:t>30 Jan 2017 (see s. 2(b) &amp; Gazette 17 Jan 2017 p. 403)</w:t>
            </w:r>
          </w:p>
        </w:tc>
      </w:tr>
    </w:tbl>
    <w:p>
      <w:pPr>
        <w:pStyle w:val="nSubsection"/>
      </w:pPr>
      <w:r>
        <w:rPr>
          <w:vertAlign w:val="superscript"/>
        </w:rPr>
        <w:t>2</w:t>
      </w:r>
      <w:r>
        <w:rPr>
          <w:vertAlign w:val="superscript"/>
        </w:rPr>
        <w:tab/>
      </w:r>
      <w:r>
        <w:t>Footnote no longer applicable.</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139(a) and 147</w:t>
      </w:r>
      <w:r>
        <w:rPr>
          <w:snapToGrid w:val="0"/>
        </w:rPr>
        <w:t xml:space="preserve"> had not come into operation.  They read as follows:</w:t>
      </w:r>
    </w:p>
    <w:p>
      <w:pPr>
        <w:pStyle w:val="BlankOpen"/>
      </w:pP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3" w:name="_Toc472689885"/>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drug of addiction</w:t>
      </w:r>
      <w:r>
        <w:tab/>
        <w:t>2</w:t>
      </w:r>
    </w:p>
    <w:p>
      <w:pPr>
        <w:pStyle w:val="DefinedTerms"/>
      </w:pPr>
      <w:r>
        <w:t>the Act</w:t>
      </w:r>
      <w:r>
        <w:tab/>
        <w:t>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Drugs of Addiction Notification Regulations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44625">
      <w:bodyDiv w:val="1"/>
      <w:marLeft w:val="0"/>
      <w:marRight w:val="0"/>
      <w:marTop w:val="0"/>
      <w:marBottom w:val="0"/>
      <w:divBdr>
        <w:top w:val="none" w:sz="0" w:space="0" w:color="auto"/>
        <w:left w:val="none" w:sz="0" w:space="0" w:color="auto"/>
        <w:bottom w:val="none" w:sz="0" w:space="0" w:color="auto"/>
        <w:right w:val="none" w:sz="0" w:space="0" w:color="auto"/>
      </w:divBdr>
    </w:div>
    <w:div w:id="920992457">
      <w:bodyDiv w:val="1"/>
      <w:marLeft w:val="0"/>
      <w:marRight w:val="0"/>
      <w:marTop w:val="0"/>
      <w:marBottom w:val="0"/>
      <w:divBdr>
        <w:top w:val="none" w:sz="0" w:space="0" w:color="auto"/>
        <w:left w:val="none" w:sz="0" w:space="0" w:color="auto"/>
        <w:bottom w:val="none" w:sz="0" w:space="0" w:color="auto"/>
        <w:right w:val="none" w:sz="0" w:space="0" w:color="auto"/>
      </w:divBdr>
    </w:div>
    <w:div w:id="11807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16F43B-3585-4B24-A841-30EBB7D86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1491</Words>
  <Characters>8443</Characters>
  <Application>Microsoft Office Word</Application>
  <DocSecurity>0</DocSecurity>
  <Lines>255</Lines>
  <Paragraphs>165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1980 - 01-f0-01</dc:title>
  <dc:subject/>
  <dc:creator/>
  <cp:keywords/>
  <dc:description/>
  <cp:lastModifiedBy>svcMRProcess</cp:lastModifiedBy>
  <cp:revision>4</cp:revision>
  <cp:lastPrinted>2001-09-20T01:56:00Z</cp:lastPrinted>
  <dcterms:created xsi:type="dcterms:W3CDTF">2017-02-02T04:15:00Z</dcterms:created>
  <dcterms:modified xsi:type="dcterms:W3CDTF">2017-02-02T04:15:00Z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AsAtDate">
    <vt:lpwstr>24 Jan 2017</vt:lpwstr>
  </property>
  <property fmtid="{D5CDD505-2E9C-101B-9397-08002B2CF9AE}" pid="6" name="Suffix">
    <vt:lpwstr>01-f0-01</vt:lpwstr>
  </property>
  <property fmtid="{D5CDD505-2E9C-101B-9397-08002B2CF9AE}" pid="7" name="CommencementDate">
    <vt:lpwstr>20170124</vt:lpwstr>
  </property>
</Properties>
</file>