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_Toc473036744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w:t>
      </w:r>
      <w:r>
        <w:tab/>
      </w:r>
      <w:r>
        <w:fldChar w:fldCharType="begin"/>
      </w:r>
      <w:r>
        <w:instrText xml:space="preserve"> PAGEREF _Toc473036745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_Toc473036746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Allowable noise emissions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_Toc473036749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_Toc473036750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_Toc473036751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_Toc473036752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_Toc473036753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_Toc473036754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_Toc473036755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_Toc473036757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_Toc473036758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_Toc473036759 \h </w:instrText>
      </w:r>
      <w:r>
        <w:fldChar w:fldCharType="separate"/>
      </w:r>
      <w:r>
        <w:t>20</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_Toc473036760 \h </w:instrText>
      </w:r>
      <w:r>
        <w:fldChar w:fldCharType="separate"/>
      </w:r>
      <w:r>
        <w:t>24</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_Toc473036761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_Toc473036762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_Toc473036763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_Toc473036765 \h </w:instrText>
      </w:r>
      <w:r>
        <w:fldChar w:fldCharType="separate"/>
      </w:r>
      <w:r>
        <w:t>32</w:t>
      </w:r>
      <w:r>
        <w:fldChar w:fldCharType="end"/>
      </w:r>
    </w:p>
    <w:p>
      <w:pPr>
        <w:pStyle w:val="TOC8"/>
        <w:rPr>
          <w:rFonts w:asciiTheme="minorHAnsi" w:eastAsiaTheme="minorEastAsia" w:hAnsiTheme="minorHAnsi" w:cstheme="minorBidi"/>
          <w:szCs w:val="22"/>
        </w:rPr>
      </w:pPr>
      <w:r>
        <w:t>16AA.</w:t>
      </w:r>
      <w:r>
        <w:tab/>
        <w:t>Approval of noise management plan: motor sport venue</w:t>
      </w:r>
      <w:r>
        <w:tab/>
      </w:r>
      <w:r>
        <w:fldChar w:fldCharType="begin"/>
      </w:r>
      <w:r>
        <w:instrText xml:space="preserve"> PAGEREF _Toc473036766 \h </w:instrText>
      </w:r>
      <w:r>
        <w:fldChar w:fldCharType="separate"/>
      </w:r>
      <w:r>
        <w:t>33</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_Toc473036767 \h </w:instrText>
      </w:r>
      <w:r>
        <w:fldChar w:fldCharType="separate"/>
      </w:r>
      <w:r>
        <w:t>36</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_Toc473036768 \h </w:instrText>
      </w:r>
      <w:r>
        <w:fldChar w:fldCharType="separate"/>
      </w:r>
      <w:r>
        <w:t>36</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_Toc473036769 \h </w:instrText>
      </w:r>
      <w:r>
        <w:fldChar w:fldCharType="separate"/>
      </w:r>
      <w:r>
        <w:t>37</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_Toc473036770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_Toc473036772 \h </w:instrText>
      </w:r>
      <w:r>
        <w:fldChar w:fldCharType="separate"/>
      </w:r>
      <w:r>
        <w:t>39</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_Toc473036773 \h </w:instrText>
      </w:r>
      <w:r>
        <w:fldChar w:fldCharType="separate"/>
      </w:r>
      <w:r>
        <w:t>39</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_Toc473036774 \h </w:instrText>
      </w:r>
      <w:r>
        <w:fldChar w:fldCharType="separate"/>
      </w:r>
      <w:r>
        <w:t>42</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_Toc473036775 \h </w:instrText>
      </w:r>
      <w:r>
        <w:fldChar w:fldCharType="separate"/>
      </w:r>
      <w:r>
        <w:t>42</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_Toc473036776 \h </w:instrText>
      </w:r>
      <w:r>
        <w:fldChar w:fldCharType="separate"/>
      </w:r>
      <w:r>
        <w:t>44</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_Toc473036777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_Toc473036779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_Toc473036781 \h </w:instrText>
      </w:r>
      <w:r>
        <w:fldChar w:fldCharType="separate"/>
      </w:r>
      <w:r>
        <w:t>48</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_Toc473036782 \h </w:instrText>
      </w:r>
      <w:r>
        <w:fldChar w:fldCharType="separate"/>
      </w:r>
      <w:r>
        <w:t>50</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_Toc473036783 \h </w:instrText>
      </w:r>
      <w:r>
        <w:fldChar w:fldCharType="separate"/>
      </w:r>
      <w:r>
        <w:t>52</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_Toc473036784 \h </w:instrText>
      </w:r>
      <w:r>
        <w:fldChar w:fldCharType="separate"/>
      </w:r>
      <w:r>
        <w:t>52</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_Toc473036785 \h </w:instrText>
      </w:r>
      <w:r>
        <w:fldChar w:fldCharType="separate"/>
      </w:r>
      <w:r>
        <w:t>52</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_Toc473036786 \h </w:instrText>
      </w:r>
      <w:r>
        <w:fldChar w:fldCharType="separate"/>
      </w:r>
      <w:r>
        <w:t>53</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_Toc473036787 \h </w:instrText>
      </w:r>
      <w:r>
        <w:fldChar w:fldCharType="separate"/>
      </w:r>
      <w:r>
        <w:t>53</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_Toc473036788 \h </w:instrText>
      </w:r>
      <w:r>
        <w:fldChar w:fldCharType="separate"/>
      </w:r>
      <w:r>
        <w:t>54</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_Toc473036789 \h </w:instrText>
      </w:r>
      <w:r>
        <w:fldChar w:fldCharType="separate"/>
      </w:r>
      <w:r>
        <w:t>54</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_Toc473036790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_Toc473036792 \h </w:instrText>
      </w:r>
      <w:r>
        <w:fldChar w:fldCharType="separate"/>
      </w:r>
      <w:r>
        <w:t>56</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_Toc473036793 \h </w:instrText>
      </w:r>
      <w:r>
        <w:fldChar w:fldCharType="separate"/>
      </w:r>
      <w:r>
        <w:t>57</w:t>
      </w:r>
      <w:r>
        <w:fldChar w:fldCharType="end"/>
      </w:r>
    </w:p>
    <w:p>
      <w:pPr>
        <w:pStyle w:val="TOC8"/>
        <w:rPr>
          <w:rFonts w:asciiTheme="minorHAnsi" w:eastAsiaTheme="minorEastAsia" w:hAnsiTheme="minorHAnsi" w:cstheme="minorBidi"/>
          <w:szCs w:val="22"/>
        </w:rPr>
      </w:pPr>
      <w:r>
        <w:t>19A.</w:t>
      </w:r>
      <w:r>
        <w:tab/>
        <w:t>Ancillary conditions: approved events</w:t>
      </w:r>
      <w:r>
        <w:tab/>
      </w:r>
      <w:r>
        <w:fldChar w:fldCharType="begin"/>
      </w:r>
      <w:r>
        <w:instrText xml:space="preserve"> PAGEREF _Toc473036794 \h </w:instrText>
      </w:r>
      <w:r>
        <w:fldChar w:fldCharType="separate"/>
      </w:r>
      <w:r>
        <w:t>60</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_Toc473036795 \h </w:instrText>
      </w:r>
      <w:r>
        <w:fldChar w:fldCharType="separate"/>
      </w:r>
      <w:r>
        <w:t>61</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_Toc473036796 \h </w:instrText>
      </w:r>
      <w:r>
        <w:fldChar w:fldCharType="separate"/>
      </w:r>
      <w:r>
        <w:t>64</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_Toc473036797 \h </w:instrText>
      </w:r>
      <w:r>
        <w:fldChar w:fldCharType="separate"/>
      </w:r>
      <w:r>
        <w:t>65</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_Toc473036798 \h </w:instrText>
      </w:r>
      <w:r>
        <w:fldChar w:fldCharType="separate"/>
      </w:r>
      <w:r>
        <w:t>67</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_Toc473036799 \h </w:instrText>
      </w:r>
      <w:r>
        <w:fldChar w:fldCharType="separate"/>
      </w:r>
      <w:r>
        <w:t>67</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_Toc473036800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_Toc473036802 \h </w:instrText>
      </w:r>
      <w:r>
        <w:fldChar w:fldCharType="separate"/>
      </w:r>
      <w:r>
        <w:t>70</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_Toc473036803 \h </w:instrText>
      </w:r>
      <w:r>
        <w:fldChar w:fldCharType="separate"/>
      </w:r>
      <w:r>
        <w:t>71</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_Toc473036804 \h </w:instrText>
      </w:r>
      <w:r>
        <w:fldChar w:fldCharType="separate"/>
      </w:r>
      <w:r>
        <w:t>71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_Toc473036805 \h </w:instrText>
      </w:r>
      <w:r>
        <w:fldChar w:fldCharType="separate"/>
      </w:r>
      <w:r>
        <w:t>72</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_Toc473036806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premises</w:t>
      </w:r>
    </w:p>
    <w:p>
      <w:pPr>
        <w:pStyle w:val="TOC2"/>
        <w:tabs>
          <w:tab w:val="right" w:leader="dot" w:pos="7077"/>
        </w:tabs>
        <w:rPr>
          <w:rFonts w:asciiTheme="minorHAnsi" w:eastAsiaTheme="minorEastAsia" w:hAnsiTheme="minorHAnsi" w:cstheme="minorBidi"/>
          <w:b w:val="0"/>
          <w:sz w:val="22"/>
          <w:szCs w:val="22"/>
        </w:rPr>
      </w:pPr>
      <w:r>
        <w:t>Schedule 2 — Community noise</w:t>
      </w:r>
    </w:p>
    <w:p>
      <w:pPr>
        <w:pStyle w:val="TOC2"/>
        <w:tabs>
          <w:tab w:val="right" w:leader="dot" w:pos="7077"/>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_Toc473036810 \h </w:instrText>
      </w:r>
      <w:r>
        <w:fldChar w:fldCharType="separate"/>
      </w:r>
      <w:r>
        <w:t>78</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_Toc473036811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_Toc473036813 \h </w:instrText>
      </w:r>
      <w:r>
        <w:fldChar w:fldCharType="separate"/>
      </w:r>
      <w:r>
        <w:t>83</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_Toc473036814 \h </w:instrText>
      </w:r>
      <w:r>
        <w:fldChar w:fldCharType="separate"/>
      </w:r>
      <w:r>
        <w:t>83</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_Toc473036815 \h </w:instrText>
      </w:r>
      <w:r>
        <w:fldChar w:fldCharType="separate"/>
      </w:r>
      <w:r>
        <w:t>85</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_Toc473036816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_Toc473036818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3" w:name="_Toc473032674"/>
      <w:bookmarkStart w:id="4" w:name="_Toc473036666"/>
      <w:bookmarkStart w:id="5" w:name="_Toc473036743"/>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473036744"/>
      <w:r>
        <w:rPr>
          <w:rStyle w:val="CharSectno"/>
        </w:rPr>
        <w:t>1</w:t>
      </w:r>
      <w:r>
        <w:rPr>
          <w:snapToGrid w:val="0"/>
        </w:rPr>
        <w:t xml:space="preserve">. </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vertAlign w:val="superscript"/>
        </w:rPr>
        <w:t> 1</w:t>
      </w:r>
      <w:r>
        <w:rPr>
          <w:snapToGrid w:val="0"/>
        </w:rPr>
        <w:t>.</w:t>
      </w:r>
    </w:p>
    <w:p>
      <w:pPr>
        <w:pStyle w:val="Heading5"/>
        <w:rPr>
          <w:snapToGrid w:val="0"/>
        </w:rPr>
      </w:pPr>
      <w:bookmarkStart w:id="7" w:name="_Toc473036745"/>
      <w:r>
        <w:rPr>
          <w:rStyle w:val="CharSectno"/>
        </w:rPr>
        <w:t>2</w:t>
      </w:r>
      <w:r>
        <w:rPr>
          <w:snapToGrid w:val="0"/>
        </w:rPr>
        <w:t xml:space="preserve">. </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pPr>
      <w:r>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Publication made in substitution for the publication specified in the regulation.</w:t>
      </w:r>
    </w:p>
    <w:p>
      <w:pPr>
        <w:pStyle w:val="Footnotesection"/>
        <w:spacing w:before="80"/>
        <w:ind w:left="890" w:hanging="890"/>
      </w:pPr>
      <w:r>
        <w:tab/>
        <w:t>[Regulation 2 amended: Gazette 5 Dec 2013 p. 5647</w:t>
      </w:r>
      <w:r>
        <w:noBreakHyphen/>
        <w:t>9.]</w:t>
      </w:r>
    </w:p>
    <w:p>
      <w:pPr>
        <w:pStyle w:val="Heading5"/>
        <w:spacing w:before="180"/>
      </w:pPr>
      <w:bookmarkStart w:id="8" w:name="_Toc473036746"/>
      <w:r>
        <w:rPr>
          <w:rStyle w:val="CharSectno"/>
        </w:rPr>
        <w:t>3</w:t>
      </w:r>
      <w:r>
        <w:t>.</w:t>
      </w:r>
      <w:r>
        <w:tab/>
        <w:t>Regulations do not apply to certain noise emissions</w:t>
      </w:r>
      <w:bookmarkEnd w:id="8"/>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noise emissions —</w:t>
      </w:r>
    </w:p>
    <w:p>
      <w:pPr>
        <w:pStyle w:val="Indenti"/>
        <w:rPr>
          <w:snapToGrid w:val="0"/>
        </w:rPr>
      </w:pPr>
      <w:r>
        <w:rPr>
          <w:snapToGrid w:val="0"/>
        </w:rPr>
        <w:tab/>
        <w:t>(i)</w:t>
      </w:r>
      <w:r>
        <w:rPr>
          <w:snapToGrid w:val="0"/>
        </w:rPr>
        <w:tab/>
        <w:t>from a device for warning pedestrians installed at a pedestrian crossing on a road; or</w:t>
      </w:r>
    </w:p>
    <w:p>
      <w:pPr>
        <w:pStyle w:val="Indenti"/>
        <w:rPr>
          <w:snapToGrid w:val="0"/>
        </w:rPr>
      </w:pPr>
      <w:r>
        <w:rPr>
          <w:snapToGrid w:val="0"/>
        </w:rPr>
        <w:tab/>
        <w:t>(ii)</w:t>
      </w:r>
      <w:r>
        <w:rPr>
          <w:snapToGrid w:val="0"/>
        </w:rPr>
        <w:tab/>
        <w:t>from a device for warning of the passage of a train installed at a level crossing; or</w:t>
      </w:r>
    </w:p>
    <w:p>
      <w:pPr>
        <w:pStyle w:val="Indenti"/>
        <w:rPr>
          <w:snapToGrid w:val="0"/>
        </w:rPr>
      </w:pPr>
      <w:r>
        <w:rPr>
          <w:snapToGrid w:val="0"/>
        </w:rPr>
        <w:tab/>
        <w:t>(iii)</w:t>
      </w:r>
      <w:r>
        <w:rPr>
          <w:snapToGrid w:val="0"/>
        </w:rPr>
        <w:tab/>
        <w:t xml:space="preserve">from a safety warning device fitted to a building as a requirement of the Building Code as defined in the </w:t>
      </w:r>
      <w:r>
        <w:rPr>
          <w:i/>
          <w:snapToGrid w:val="0"/>
        </w:rPr>
        <w:t>Building Regulations 2012</w:t>
      </w:r>
      <w:r>
        <w:rPr>
          <w:snapToGrid w:val="0"/>
        </w:rPr>
        <w:t xml:space="preserve"> regulation 3; or</w:t>
      </w:r>
    </w:p>
    <w:p>
      <w:pPr>
        <w:pStyle w:val="Indenti"/>
        <w:rPr>
          <w:snapToGrid w:val="0"/>
        </w:rPr>
      </w:pPr>
      <w:r>
        <w:rPr>
          <w:snapToGrid w:val="0"/>
        </w:rPr>
        <w:tab/>
        <w:t>(iv)</w:t>
      </w:r>
      <w:r>
        <w:rPr>
          <w:snapToGrid w:val="0"/>
        </w:rPr>
        <w:tab/>
        <w:t xml:space="preserve">for the purpose of giving a warning required under the </w:t>
      </w:r>
      <w:r>
        <w:rPr>
          <w:i/>
          <w:snapToGrid w:val="0"/>
        </w:rPr>
        <w:t>Mines Safety and Inspection Regulations 1995</w:t>
      </w:r>
      <w:r>
        <w:rPr>
          <w:snapToGrid w:val="0"/>
        </w:rPr>
        <w:t xml:space="preserve"> regulation 8.26,</w:t>
      </w:r>
    </w:p>
    <w:p>
      <w:pPr>
        <w:pStyle w:val="Indenta"/>
      </w:pPr>
      <w:r>
        <w:tab/>
      </w:r>
      <w:r>
        <w:tab/>
        <w:t xml:space="preserve">if every reasonable and practicable measure has been taken to reduce the effect of the noise emission consistent with providing an audible warning to people; </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pPr>
      <w:r>
        <w:tab/>
        <w:t>(2)</w:t>
      </w:r>
      <w:r>
        <w:tab/>
        <w:t xml:space="preserve">In subregulation (1)(i) — </w:t>
      </w:r>
    </w:p>
    <w:p>
      <w:pPr>
        <w:pStyle w:val="Defstar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w:t>
      </w:r>
    </w:p>
    <w:p>
      <w:pPr>
        <w:pStyle w:val="Heading2"/>
      </w:pPr>
      <w:bookmarkStart w:id="9" w:name="_Toc473032678"/>
      <w:bookmarkStart w:id="10" w:name="_Toc473036670"/>
      <w:bookmarkStart w:id="11" w:name="_Toc473036747"/>
      <w:r>
        <w:rPr>
          <w:rStyle w:val="CharPartNo"/>
        </w:rPr>
        <w:t>Part 2</w:t>
      </w:r>
      <w:r>
        <w:t> — </w:t>
      </w:r>
      <w:r>
        <w:rPr>
          <w:rStyle w:val="CharPartText"/>
        </w:rPr>
        <w:t>Allowable noise emissions</w:t>
      </w:r>
      <w:bookmarkEnd w:id="9"/>
      <w:bookmarkEnd w:id="10"/>
      <w:bookmarkEnd w:id="11"/>
      <w:r>
        <w:rPr>
          <w:rStyle w:val="CharPartText"/>
        </w:rPr>
        <w:t xml:space="preserve"> </w:t>
      </w:r>
    </w:p>
    <w:p>
      <w:pPr>
        <w:pStyle w:val="Heading3"/>
      </w:pPr>
      <w:bookmarkStart w:id="12" w:name="_Toc473032679"/>
      <w:bookmarkStart w:id="13" w:name="_Toc473036671"/>
      <w:bookmarkStart w:id="14" w:name="_Toc473036748"/>
      <w:r>
        <w:rPr>
          <w:rStyle w:val="CharDivNo"/>
        </w:rPr>
        <w:t>Division 1</w:t>
      </w:r>
      <w:r>
        <w:t> — </w:t>
      </w:r>
      <w:r>
        <w:rPr>
          <w:rStyle w:val="CharDivText"/>
        </w:rPr>
        <w:t>General provisions</w:t>
      </w:r>
      <w:bookmarkEnd w:id="12"/>
      <w:bookmarkEnd w:id="13"/>
      <w:bookmarkEnd w:id="14"/>
    </w:p>
    <w:p>
      <w:pPr>
        <w:pStyle w:val="Footnoteheading"/>
      </w:pPr>
      <w:r>
        <w:tab/>
        <w:t>[Heading inserted: Gazette 5 Dec 2013 p. 5651.]</w:t>
      </w:r>
    </w:p>
    <w:p>
      <w:pPr>
        <w:pStyle w:val="Heading5"/>
        <w:rPr>
          <w:snapToGrid w:val="0"/>
        </w:rPr>
      </w:pPr>
      <w:bookmarkStart w:id="15" w:name="_Toc473036749"/>
      <w:r>
        <w:rPr>
          <w:rStyle w:val="CharSectno"/>
        </w:rPr>
        <w:t>4</w:t>
      </w:r>
      <w:r>
        <w:rPr>
          <w:snapToGrid w:val="0"/>
        </w:rPr>
        <w:t xml:space="preserve">. </w:t>
      </w:r>
      <w:r>
        <w:rPr>
          <w:snapToGrid w:val="0"/>
        </w:rPr>
        <w:tab/>
        <w:t>General effect of this Part</w:t>
      </w:r>
      <w:bookmarkEnd w:id="15"/>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16" w:name="_Toc473036750"/>
      <w:r>
        <w:rPr>
          <w:rStyle w:val="CharSectno"/>
        </w:rPr>
        <w:t>5</w:t>
      </w:r>
      <w:r>
        <w:t>.</w:t>
      </w:r>
      <w:r>
        <w:tab/>
        <w:t>Unreasonable noise</w:t>
      </w:r>
      <w:bookmarkEnd w:id="16"/>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17" w:name="_Toc473036751"/>
      <w:r>
        <w:rPr>
          <w:rStyle w:val="CharSectno"/>
        </w:rPr>
        <w:t>6</w:t>
      </w:r>
      <w:r>
        <w:rPr>
          <w:snapToGrid w:val="0"/>
        </w:rPr>
        <w:t xml:space="preserve">. </w:t>
      </w:r>
      <w:r>
        <w:rPr>
          <w:snapToGrid w:val="0"/>
        </w:rPr>
        <w:tab/>
        <w:t>Regulation of noise from public places</w:t>
      </w:r>
      <w:bookmarkEnd w:id="17"/>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18" w:name="_Toc473036752"/>
      <w:r>
        <w:rPr>
          <w:rStyle w:val="CharSectno"/>
        </w:rPr>
        <w:t>7</w:t>
      </w:r>
      <w:r>
        <w:rPr>
          <w:snapToGrid w:val="0"/>
        </w:rPr>
        <w:t xml:space="preserve">. </w:t>
      </w:r>
      <w:r>
        <w:rPr>
          <w:snapToGrid w:val="0"/>
        </w:rPr>
        <w:tab/>
        <w:t>Prescribed standard for noise emissions</w:t>
      </w:r>
      <w:bookmarkEnd w:id="18"/>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19" w:name="_Toc473036753"/>
      <w:r>
        <w:rPr>
          <w:rStyle w:val="CharSectno"/>
        </w:rPr>
        <w:t>8</w:t>
      </w:r>
      <w:r>
        <w:t>.</w:t>
      </w:r>
      <w:r>
        <w:tab/>
        <w:t>Assigned levels</w:t>
      </w:r>
      <w:bookmarkEnd w:id="19"/>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smartTag w:uri="urn:schemas-microsoft-com:office:smarttags" w:element="place">
        <w:smartTag w:uri="urn:schemas-microsoft-com:office:smarttags" w:element="PlaceName">
          <w:r>
            <w:rPr>
              <w:i/>
              <w:snapToGrid/>
            </w:rPr>
            <w:t>Caravan</w:t>
          </w:r>
        </w:smartTag>
        <w:r>
          <w:rPr>
            <w:i/>
            <w:snapToGrid/>
          </w:rPr>
          <w:t xml:space="preserve"> </w:t>
        </w:r>
        <w:smartTag w:uri="urn:schemas-microsoft-com:office:smarttags" w:element="PlaceType">
          <w:r>
            <w:rPr>
              <w:i/>
              <w:snapToGrid/>
            </w:rPr>
            <w:t>Parks</w:t>
          </w:r>
        </w:smartTag>
      </w:smartTag>
      <w:r>
        <w:rPr>
          <w:i/>
          <w:snapToGrid/>
        </w:rPr>
        <w:t xml:space="preserve"> and Camping Grounds Regulations 1997</w:t>
      </w:r>
      <w:r>
        <w:rPr>
          <w:snapToGrid/>
        </w:rPr>
        <w:t xml:space="preserve"> </w:t>
      </w:r>
      <w:r>
        <w:t>regulation 11(2) or 12(2),</w:t>
      </w:r>
    </w:p>
    <w:p>
      <w:pPr>
        <w:pStyle w:val="Defstart"/>
      </w:pPr>
      <w:r>
        <w:tab/>
        <w:t>but does not include a veranda, patio, pergola, balcony or other similar outdoor area;</w:t>
      </w:r>
    </w:p>
    <w:p>
      <w:pPr>
        <w:pStyle w:val="Defstart"/>
        <w:keepNext/>
      </w:pPr>
      <w:r>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w:t>
      </w:r>
    </w:p>
    <w:p>
      <w:pPr>
        <w:pStyle w:val="Heading5"/>
        <w:rPr>
          <w:snapToGrid w:val="0"/>
        </w:rPr>
      </w:pPr>
      <w:bookmarkStart w:id="20" w:name="_Toc473036754"/>
      <w:r>
        <w:rPr>
          <w:rStyle w:val="CharSectno"/>
        </w:rPr>
        <w:t>9</w:t>
      </w:r>
      <w:r>
        <w:rPr>
          <w:snapToGrid w:val="0"/>
        </w:rPr>
        <w:t xml:space="preserve">. </w:t>
      </w:r>
      <w:r>
        <w:rPr>
          <w:snapToGrid w:val="0"/>
        </w:rPr>
        <w:tab/>
        <w:t>Intrusive or dominant noise characteristics</w:t>
      </w:r>
      <w:bookmarkEnd w:id="20"/>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21" w:name="_Toc473036755"/>
      <w:r>
        <w:rPr>
          <w:rStyle w:val="CharSectno"/>
        </w:rPr>
        <w:t>10</w:t>
      </w:r>
      <w:r>
        <w:rPr>
          <w:snapToGrid w:val="0"/>
        </w:rPr>
        <w:t xml:space="preserve">. </w:t>
      </w:r>
      <w:r>
        <w:rPr>
          <w:snapToGrid w:val="0"/>
        </w:rPr>
        <w:tab/>
        <w:t>Non</w:t>
      </w:r>
      <w:r>
        <w:rPr>
          <w:snapToGrid w:val="0"/>
        </w:rPr>
        <w:noBreakHyphen/>
        <w:t>conforming uses and changes of zoning</w:t>
      </w:r>
      <w:bookmarkEnd w:id="21"/>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w:t>
      </w:r>
      <w:r>
        <w:rPr>
          <w:vertAlign w:val="superscript"/>
        </w:rPr>
        <w:t> 1</w:t>
      </w:r>
      <w:r>
        <w:t xml:space="preserve"> has effect as if it were an acknowledgment from the CEO.</w:t>
      </w:r>
    </w:p>
    <w:p>
      <w:pPr>
        <w:pStyle w:val="Footnotesection"/>
      </w:pPr>
      <w:r>
        <w:tab/>
        <w:t>[Regulation 10 amended: Gazette 5 Dec 2013 p. 5657</w:t>
      </w:r>
      <w:r>
        <w:noBreakHyphen/>
        <w:t>9.]</w:t>
      </w:r>
    </w:p>
    <w:p>
      <w:pPr>
        <w:pStyle w:val="Heading3"/>
      </w:pPr>
      <w:bookmarkStart w:id="22" w:name="_Toc473032687"/>
      <w:bookmarkStart w:id="23" w:name="_Toc473036679"/>
      <w:bookmarkStart w:id="24" w:name="_Toc473036756"/>
      <w:r>
        <w:rPr>
          <w:rStyle w:val="CharDivNo"/>
        </w:rPr>
        <w:t>Division 2</w:t>
      </w:r>
      <w:r>
        <w:t> — </w:t>
      </w:r>
      <w:r>
        <w:rPr>
          <w:rStyle w:val="CharDivText"/>
        </w:rPr>
        <w:t>Various premises and activities</w:t>
      </w:r>
      <w:bookmarkEnd w:id="22"/>
      <w:bookmarkEnd w:id="23"/>
      <w:bookmarkEnd w:id="24"/>
    </w:p>
    <w:p>
      <w:pPr>
        <w:pStyle w:val="Footnoteheading"/>
        <w:rPr>
          <w:snapToGrid w:val="0"/>
        </w:rPr>
      </w:pPr>
      <w:r>
        <w:tab/>
        <w:t>[Heading inserted: Gazette 5 Dec 2013 p. 5659.]</w:t>
      </w:r>
    </w:p>
    <w:p>
      <w:pPr>
        <w:pStyle w:val="Heading5"/>
      </w:pPr>
      <w:bookmarkStart w:id="25" w:name="_Toc473036757"/>
      <w:r>
        <w:rPr>
          <w:rStyle w:val="CharSectno"/>
        </w:rPr>
        <w:t>11</w:t>
      </w:r>
      <w:r>
        <w:t>.</w:t>
      </w:r>
      <w:r>
        <w:tab/>
        <w:t>Airblast levels due to blasting</w:t>
      </w:r>
      <w:bookmarkEnd w:id="25"/>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pPr>
      <w:r>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pPr>
      <w:r>
        <w:tab/>
        <w:t>(4)</w:t>
      </w:r>
      <w:r>
        <w:tab/>
        <w:t xml:space="preserve">Subject to subregulation (5), no airblast level resulting from blasting on any premises or public place, when received at any other premises between </w:t>
      </w:r>
      <w:r>
        <w:rPr>
          <w:snapToGrid w:val="0"/>
        </w:rPr>
        <w:t>0700 hours and 1800 hours on any day</w:t>
      </w:r>
      <w:r>
        <w:t xml:space="preserve">, may exceed — </w:t>
      </w:r>
    </w:p>
    <w:p>
      <w:pPr>
        <w:pStyle w:val="Indenta"/>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For the purposes of subregulation (6), an airblast level for a blast that would, but for this subregulation, exceed a level specified in subregulation (6)(a)(i) or (ii) or (b) is taken not to exceed that level when received at premises, or a part of premises, on which the blaster believes on reasonable grounds no person is present at the time of the blast.</w:t>
      </w:r>
    </w:p>
    <w:p>
      <w:pPr>
        <w:pStyle w:val="Subsection"/>
        <w:rPr>
          <w:snapToGrid w:val="0"/>
        </w:rPr>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out in accordance with the </w:t>
      </w:r>
      <w:r>
        <w:rPr>
          <w:i/>
          <w:snapToGrid w:val="0"/>
        </w:rPr>
        <w:t>Mines Safety and Inspection Regulations 1995</w:t>
      </w:r>
      <w:r>
        <w:rPr>
          <w:snapToGrid w:val="0"/>
        </w:rPr>
        <w:t xml:space="preserve"> regulation 8.28(4).</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rPr>
          <w:snapToGrid w:val="0"/>
        </w:rPr>
      </w:pPr>
      <w:r>
        <w:tab/>
        <w:t>(10)</w:t>
      </w:r>
      <w:r>
        <w:tab/>
        <w:t xml:space="preserve">Where blasting is carried out in accordance with the </w:t>
      </w:r>
      <w:r>
        <w:rPr>
          <w:i/>
          <w:snapToGrid w:val="0"/>
        </w:rPr>
        <w:t>Mines Safety and Inspection Regulations 1995</w:t>
      </w:r>
      <w:r>
        <w:rPr>
          <w:snapToGrid w:val="0"/>
        </w:rPr>
        <w:t xml:space="preserve"> regulation 8.28(4) 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pPr>
      <w:r>
        <w:tab/>
        <w:t>(b)</w:t>
      </w:r>
      <w:r>
        <w:tab/>
        <w:t>calculation of the airblast level at its point of reception based on measurement of the airblast level at a reference point determined by the inspector or authorised person to be a point where the relationship between the airblast level as measured at the reference point and at the point of reception can be established.</w:t>
      </w:r>
    </w:p>
    <w:p>
      <w:pPr>
        <w:pStyle w:val="Footnotesection"/>
      </w:pPr>
      <w:r>
        <w:tab/>
        <w:t>[Regulation 11 inserted: Gazette 5 Dec 2013 p. 5659</w:t>
      </w:r>
      <w:r>
        <w:noBreakHyphen/>
        <w:t>63; amended: Gazette 10 Jan 2017 p. 196.]</w:t>
      </w:r>
    </w:p>
    <w:p>
      <w:pPr>
        <w:pStyle w:val="Heading5"/>
        <w:rPr>
          <w:snapToGrid w:val="0"/>
        </w:rPr>
      </w:pPr>
      <w:bookmarkStart w:id="26" w:name="_Toc473036758"/>
      <w:r>
        <w:rPr>
          <w:rStyle w:val="CharSectno"/>
        </w:rPr>
        <w:t>12</w:t>
      </w:r>
      <w:r>
        <w:rPr>
          <w:snapToGrid w:val="0"/>
        </w:rPr>
        <w:t xml:space="preserve">. </w:t>
      </w:r>
      <w:r>
        <w:rPr>
          <w:snapToGrid w:val="0"/>
        </w:rPr>
        <w:tab/>
        <w:t>Rural premises</w:t>
      </w:r>
      <w:bookmarkEnd w:id="2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rPr>
          <w:snapToGrid w:val="0"/>
        </w:rPr>
      </w:pPr>
      <w:r>
        <w:rPr>
          <w:snapToGrid w:val="0"/>
        </w:rPr>
        <w:tab/>
        <w:t>(5)</w:t>
      </w:r>
      <w:r>
        <w:rPr>
          <w:snapToGrid w:val="0"/>
        </w:rPr>
        <w:tab/>
        <w:t>A farming vehicle complies with this subregulation if the occupier of the premises shows that the vehicle, including its noise reduction system, has been maintained to a reasonable standard.</w:t>
      </w:r>
    </w:p>
    <w:p>
      <w:pPr>
        <w:pStyle w:val="Footnotesection"/>
      </w:pPr>
      <w:r>
        <w:tab/>
        <w:t>[Regulation 12 amended: Gazette 5 Dec 2013 p. 5663.]</w:t>
      </w:r>
    </w:p>
    <w:p>
      <w:pPr>
        <w:pStyle w:val="Heading5"/>
        <w:rPr>
          <w:snapToGrid w:val="0"/>
        </w:rPr>
      </w:pPr>
      <w:bookmarkStart w:id="27" w:name="_Toc473036759"/>
      <w:r>
        <w:rPr>
          <w:rStyle w:val="CharSectno"/>
        </w:rPr>
        <w:t>13</w:t>
      </w:r>
      <w:r>
        <w:rPr>
          <w:snapToGrid w:val="0"/>
        </w:rPr>
        <w:t xml:space="preserve">. </w:t>
      </w:r>
      <w:r>
        <w:rPr>
          <w:snapToGrid w:val="0"/>
        </w:rPr>
        <w:tab/>
        <w:t>Construction sites</w:t>
      </w:r>
      <w:bookmarkEnd w:id="2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rPr>
          <w:snapToGrid w:val="0"/>
        </w:rPr>
      </w:pPr>
      <w:r>
        <w:rPr>
          <w:snapToGrid w:val="0"/>
        </w:rPr>
        <w:tab/>
        <w:t>(3)</w:t>
      </w:r>
      <w:r>
        <w:rPr>
          <w:snapToGrid w:val="0"/>
        </w:rPr>
        <w:tab/>
        <w:t>Regulation 7 does not apply to noise emitted from a construction site as a result of construction work carried out 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28" w:name="_Toc473036760"/>
      <w:r>
        <w:rPr>
          <w:rStyle w:val="CharSectno"/>
        </w:rPr>
        <w:t>14A</w:t>
      </w:r>
      <w:r>
        <w:t>.</w:t>
      </w:r>
      <w:r>
        <w:tab/>
        <w:t>Waste collection and other works</w:t>
      </w:r>
      <w:bookmarkEnd w:id="28"/>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pPr>
      <w:r>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pPr>
      <w:r>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29" w:name="_Toc473036761"/>
      <w:r>
        <w:rPr>
          <w:rStyle w:val="CharSectno"/>
        </w:rPr>
        <w:t>14B</w:t>
      </w:r>
      <w:r>
        <w:t>.</w:t>
      </w:r>
      <w:r>
        <w:tab/>
        <w:t>Ancillary measures: waste collection and other works</w:t>
      </w:r>
      <w:bookmarkEnd w:id="29"/>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30" w:name="_Toc473036762"/>
      <w:r>
        <w:rPr>
          <w:rStyle w:val="CharSectno"/>
        </w:rPr>
        <w:t>14</w:t>
      </w:r>
      <w:r>
        <w:rPr>
          <w:snapToGrid w:val="0"/>
        </w:rPr>
        <w:t xml:space="preserve">. </w:t>
      </w:r>
      <w:r>
        <w:rPr>
          <w:snapToGrid w:val="0"/>
        </w:rPr>
        <w:tab/>
        <w:t>Equipment used on residential premises</w:t>
      </w:r>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rPr>
          <w:snapToGrid w:val="0"/>
        </w:rPr>
      </w:pPr>
      <w:r>
        <w:rPr>
          <w:snapToGrid w:val="0"/>
        </w:rPr>
        <w:tab/>
        <w:t>(ii)</w:t>
      </w:r>
      <w:r>
        <w:rPr>
          <w:snapToGrid w:val="0"/>
        </w:rPr>
        <w:tab/>
        <w:t>in the case of a musical instrument, for more than one hour since the beginning of the relevant day;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31" w:name="_Toc473036763"/>
      <w:r>
        <w:rPr>
          <w:rStyle w:val="CharSectno"/>
        </w:rPr>
        <w:t>15</w:t>
      </w:r>
      <w:r>
        <w:rPr>
          <w:snapToGrid w:val="0"/>
        </w:rPr>
        <w:t xml:space="preserve">. </w:t>
      </w:r>
      <w:r>
        <w:rPr>
          <w:snapToGrid w:val="0"/>
        </w:rPr>
        <w:tab/>
        <w:t>Bellringing and calls to worship</w:t>
      </w:r>
      <w:bookmarkEnd w:id="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32" w:name="_Toc473032695"/>
      <w:bookmarkStart w:id="33" w:name="_Toc473036687"/>
      <w:bookmarkStart w:id="34" w:name="_Toc473036764"/>
      <w:r>
        <w:rPr>
          <w:rStyle w:val="CharDivNo"/>
        </w:rPr>
        <w:t>Division 3</w:t>
      </w:r>
      <w:r>
        <w:t> — </w:t>
      </w:r>
      <w:r>
        <w:rPr>
          <w:rStyle w:val="CharDivText"/>
        </w:rPr>
        <w:t>Motor sport venues</w:t>
      </w:r>
      <w:bookmarkEnd w:id="32"/>
      <w:bookmarkEnd w:id="33"/>
      <w:bookmarkEnd w:id="34"/>
    </w:p>
    <w:p>
      <w:pPr>
        <w:pStyle w:val="Footnoteheading"/>
        <w:keepNext/>
        <w:rPr>
          <w:snapToGrid w:val="0"/>
        </w:rPr>
      </w:pPr>
      <w:r>
        <w:tab/>
        <w:t>[Heading inserted: Gazette 5 Dec 2013 p. 5673.]</w:t>
      </w:r>
    </w:p>
    <w:p>
      <w:pPr>
        <w:pStyle w:val="Heading5"/>
      </w:pPr>
      <w:bookmarkStart w:id="35" w:name="_Toc473036765"/>
      <w:r>
        <w:rPr>
          <w:rStyle w:val="CharSectno"/>
        </w:rPr>
        <w:t>16A</w:t>
      </w:r>
      <w:r>
        <w:t>.</w:t>
      </w:r>
      <w:r>
        <w:tab/>
        <w:t>Terms used</w:t>
      </w:r>
      <w:bookmarkEnd w:id="35"/>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 xml:space="preserve">Motorcycling </w:t>
      </w:r>
      <w:smartTag w:uri="urn:schemas-microsoft-com:office:smarttags" w:element="place">
        <w:smartTag w:uri="urn:schemas-microsoft-com:office:smarttags" w:element="country-region">
          <w:r>
            <w:t>Australia</w:t>
          </w:r>
        </w:smartTag>
      </w:smartTag>
      <w:r>
        <w:t>;</w:t>
      </w:r>
    </w:p>
    <w:p>
      <w:pPr>
        <w:pStyle w:val="Defpara"/>
      </w:pPr>
      <w:r>
        <w:tab/>
        <w:t>(e)</w:t>
      </w:r>
      <w:r>
        <w:tab/>
        <w:t xml:space="preserve">Motorcycling </w:t>
      </w:r>
      <w:smartTag w:uri="urn:schemas-microsoft-com:office:smarttags" w:element="place">
        <w:smartTag w:uri="urn:schemas-microsoft-com:office:smarttags" w:element="State">
          <w:r>
            <w:t>Western Australia</w:t>
          </w:r>
        </w:smartTag>
      </w:smartTag>
      <w:r>
        <w:t>;</w:t>
      </w:r>
    </w:p>
    <w:p>
      <w:pPr>
        <w:pStyle w:val="Defpara"/>
      </w:pPr>
      <w:r>
        <w:tab/>
        <w:t>(f)</w:t>
      </w:r>
      <w:r>
        <w:tab/>
        <w:t>National Association of Drag Racing Inc.;</w:t>
      </w:r>
    </w:p>
    <w:p>
      <w:pPr>
        <w:pStyle w:val="Defpara"/>
      </w:pPr>
      <w:r>
        <w:tab/>
        <w:t>(g)</w:t>
      </w:r>
      <w:r>
        <w:tab/>
        <w:t xml:space="preserve">National Association of </w:t>
      </w:r>
      <w:smartTag w:uri="urn:schemas-microsoft-com:office:smarttags" w:element="place">
        <w:smartTag w:uri="urn:schemas-microsoft-com:office:smarttags" w:element="City">
          <w:r>
            <w:t>Speedway</w:t>
          </w:r>
        </w:smartTag>
      </w:smartTag>
      <w:r>
        <w:t xml:space="preserve"> Racing;</w:t>
      </w:r>
    </w:p>
    <w:p>
      <w:pPr>
        <w:pStyle w:val="Defpara"/>
      </w:pPr>
      <w:r>
        <w:tab/>
        <w:t>(h)</w:t>
      </w:r>
      <w:r>
        <w:tab/>
        <w:t xml:space="preserve">Western Australian </w:t>
      </w:r>
      <w:smartTag w:uri="urn:schemas-microsoft-com:office:smarttags" w:element="place">
        <w:smartTag w:uri="urn:schemas-microsoft-com:office:smarttags" w:element="City">
          <w:r>
            <w:t>Speedway</w:t>
          </w:r>
        </w:smartTag>
      </w:smartTag>
      <w:r>
        <w:t xml:space="preserve">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36" w:name="_Toc473036766"/>
      <w:r>
        <w:rPr>
          <w:rStyle w:val="CharSectno"/>
        </w:rPr>
        <w:t>16AA</w:t>
      </w:r>
      <w:r>
        <w:t>.</w:t>
      </w:r>
      <w:r>
        <w:tab/>
        <w:t>Approval of noise management plan: motor sport venue</w:t>
      </w:r>
      <w:bookmarkEnd w:id="36"/>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contains a map (current at the time of the application) showing the motor sport venue, including the area where 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37" w:name="_Toc473036767"/>
      <w:r>
        <w:rPr>
          <w:rStyle w:val="CharSectno"/>
        </w:rPr>
        <w:t>16AB</w:t>
      </w:r>
      <w:r>
        <w:t>.</w:t>
      </w:r>
      <w:r>
        <w:tab/>
        <w:t>Ancillary measures: motor sport venue</w:t>
      </w:r>
      <w:bookmarkEnd w:id="37"/>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38" w:name="_Toc473036768"/>
      <w:r>
        <w:rPr>
          <w:rStyle w:val="CharSectno"/>
        </w:rPr>
        <w:t>16AC</w:t>
      </w:r>
      <w:r>
        <w:t>.</w:t>
      </w:r>
      <w:r>
        <w:tab/>
        <w:t>Revocation of noise management plan for motor sport venue</w:t>
      </w:r>
      <w:bookmarkEnd w:id="38"/>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39" w:name="_Toc473036769"/>
      <w:r>
        <w:rPr>
          <w:rStyle w:val="CharSectno"/>
        </w:rPr>
        <w:t>16AD</w:t>
      </w:r>
      <w:r>
        <w:t>.</w:t>
      </w:r>
      <w:r>
        <w:tab/>
        <w:t>Notice of appellable decision</w:t>
      </w:r>
      <w:bookmarkEnd w:id="39"/>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40" w:name="_Toc473036770"/>
      <w:r>
        <w:rPr>
          <w:rStyle w:val="CharSectno"/>
        </w:rPr>
        <w:t>16AE</w:t>
      </w:r>
      <w:r>
        <w:t>.</w:t>
      </w:r>
      <w:r>
        <w:tab/>
        <w:t>Appeals against decisions in respect of noise management plan for motor sport venue</w:t>
      </w:r>
      <w:bookmarkEnd w:id="40"/>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rPr>
          <w:snapToGrid w:val="0"/>
        </w:rPr>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41" w:name="_Toc473032702"/>
      <w:bookmarkStart w:id="42" w:name="_Toc473036694"/>
      <w:bookmarkStart w:id="43" w:name="_Toc473036771"/>
      <w:r>
        <w:rPr>
          <w:rStyle w:val="CharDivNo"/>
        </w:rPr>
        <w:t>Division 4</w:t>
      </w:r>
      <w:r>
        <w:t> — </w:t>
      </w:r>
      <w:r>
        <w:rPr>
          <w:rStyle w:val="CharDivText"/>
        </w:rPr>
        <w:t>Shooting venues</w:t>
      </w:r>
      <w:bookmarkEnd w:id="41"/>
      <w:bookmarkEnd w:id="42"/>
      <w:bookmarkEnd w:id="43"/>
    </w:p>
    <w:p>
      <w:pPr>
        <w:pStyle w:val="Footnoteheading"/>
        <w:rPr>
          <w:snapToGrid w:val="0"/>
        </w:rPr>
      </w:pPr>
      <w:r>
        <w:tab/>
        <w:t>[Heading inserted: Gazette 5 Dec 2013 p. 5681.]</w:t>
      </w:r>
    </w:p>
    <w:p>
      <w:pPr>
        <w:pStyle w:val="Heading5"/>
      </w:pPr>
      <w:bookmarkStart w:id="44" w:name="_Toc473036772"/>
      <w:r>
        <w:rPr>
          <w:rStyle w:val="CharSectno"/>
        </w:rPr>
        <w:t>16B</w:t>
      </w:r>
      <w:r>
        <w:t>.</w:t>
      </w:r>
      <w:r>
        <w:tab/>
        <w:t>Terms used</w:t>
      </w:r>
      <w:bookmarkEnd w:id="44"/>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Gazette 5 Dec 2013 p. 5681.]</w:t>
      </w:r>
    </w:p>
    <w:p>
      <w:pPr>
        <w:pStyle w:val="Heading5"/>
      </w:pPr>
      <w:bookmarkStart w:id="45" w:name="_Toc473036773"/>
      <w:r>
        <w:rPr>
          <w:rStyle w:val="CharSectno"/>
        </w:rPr>
        <w:t>16BA</w:t>
      </w:r>
      <w:r>
        <w:t>.</w:t>
      </w:r>
      <w:r>
        <w:tab/>
        <w:t>Approval of noise management plan: shooting venue</w:t>
      </w:r>
      <w:bookmarkEnd w:id="45"/>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46" w:name="_Toc473036774"/>
      <w:r>
        <w:rPr>
          <w:rStyle w:val="CharSectno"/>
        </w:rPr>
        <w:t>16BB</w:t>
      </w:r>
      <w:r>
        <w:t>.</w:t>
      </w:r>
      <w:r>
        <w:tab/>
        <w:t>Ancillary measures: shooting venue</w:t>
      </w:r>
      <w:bookmarkEnd w:id="46"/>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47" w:name="_Toc473036775"/>
      <w:r>
        <w:rPr>
          <w:rStyle w:val="CharSectno"/>
        </w:rPr>
        <w:t>16BC</w:t>
      </w:r>
      <w:r>
        <w:t>.</w:t>
      </w:r>
      <w:r>
        <w:tab/>
        <w:t>Revocation of noise management plan for shooting venue</w:t>
      </w:r>
      <w:bookmarkEnd w:id="47"/>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ageBreakBefore/>
        <w:spacing w:before="0"/>
      </w:pPr>
      <w:bookmarkStart w:id="48" w:name="_Toc473036776"/>
      <w:r>
        <w:rPr>
          <w:rStyle w:val="CharSectno"/>
        </w:rPr>
        <w:t>16BD</w:t>
      </w:r>
      <w:r>
        <w:t>.</w:t>
      </w:r>
      <w:r>
        <w:tab/>
        <w:t>Notice of appellable decision</w:t>
      </w:r>
      <w:bookmarkEnd w:id="48"/>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49" w:name="_Toc473036777"/>
      <w:r>
        <w:rPr>
          <w:rStyle w:val="CharSectno"/>
        </w:rPr>
        <w:t>16BE</w:t>
      </w:r>
      <w:r>
        <w:t>.</w:t>
      </w:r>
      <w:r>
        <w:tab/>
        <w:t>Appeals against decisions in respect of noise management plan for shooting venue</w:t>
      </w:r>
      <w:bookmarkEnd w:id="49"/>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50" w:name="_Toc473032709"/>
      <w:bookmarkStart w:id="51" w:name="_Toc473036701"/>
      <w:bookmarkStart w:id="52" w:name="_Toc473036778"/>
      <w:r>
        <w:rPr>
          <w:rStyle w:val="CharDivNo"/>
        </w:rPr>
        <w:t>Division 5</w:t>
      </w:r>
      <w:r>
        <w:t> — </w:t>
      </w:r>
      <w:r>
        <w:rPr>
          <w:rStyle w:val="CharDivText"/>
        </w:rPr>
        <w:t>Community activities</w:t>
      </w:r>
      <w:bookmarkEnd w:id="50"/>
      <w:bookmarkEnd w:id="51"/>
      <w:bookmarkEnd w:id="52"/>
    </w:p>
    <w:p>
      <w:pPr>
        <w:pStyle w:val="Footnoteheading"/>
        <w:rPr>
          <w:snapToGrid w:val="0"/>
        </w:rPr>
      </w:pPr>
      <w:r>
        <w:tab/>
        <w:t>[Heading inserted: Gazette 5 Dec 2013 p. 5688.]</w:t>
      </w:r>
    </w:p>
    <w:p>
      <w:pPr>
        <w:pStyle w:val="Heading5"/>
        <w:rPr>
          <w:snapToGrid w:val="0"/>
        </w:rPr>
      </w:pPr>
      <w:bookmarkStart w:id="53" w:name="_Toc473036779"/>
      <w:r>
        <w:rPr>
          <w:rStyle w:val="CharSectno"/>
        </w:rPr>
        <w:t>16</w:t>
      </w:r>
      <w:r>
        <w:rPr>
          <w:snapToGrid w:val="0"/>
        </w:rPr>
        <w:t xml:space="preserve">. </w:t>
      </w:r>
      <w:r>
        <w:rPr>
          <w:snapToGrid w:val="0"/>
        </w:rPr>
        <w:tab/>
        <w:t>Community noise</w:t>
      </w:r>
      <w:bookmarkEnd w:id="53"/>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54" w:name="_Toc473032711"/>
      <w:bookmarkStart w:id="55" w:name="_Toc473036703"/>
      <w:bookmarkStart w:id="56" w:name="_Toc473036780"/>
      <w:r>
        <w:rPr>
          <w:rStyle w:val="CharDivNo"/>
        </w:rPr>
        <w:t>Division 6</w:t>
      </w:r>
      <w:r>
        <w:t> — </w:t>
      </w:r>
      <w:r>
        <w:rPr>
          <w:rStyle w:val="CharDivText"/>
        </w:rPr>
        <w:t>Where standard cannot reasonably be met</w:t>
      </w:r>
      <w:bookmarkEnd w:id="54"/>
      <w:bookmarkEnd w:id="55"/>
      <w:bookmarkEnd w:id="56"/>
    </w:p>
    <w:p>
      <w:pPr>
        <w:pStyle w:val="Footnoteheading"/>
        <w:rPr>
          <w:snapToGrid w:val="0"/>
        </w:rPr>
      </w:pPr>
      <w:r>
        <w:tab/>
        <w:t>[Heading inserted: Gazette 5 Dec 2013 p. 5691.]</w:t>
      </w:r>
    </w:p>
    <w:p>
      <w:pPr>
        <w:pStyle w:val="Heading5"/>
        <w:spacing w:before="180"/>
      </w:pPr>
      <w:bookmarkStart w:id="57" w:name="_Toc473036781"/>
      <w:r>
        <w:rPr>
          <w:rStyle w:val="CharSectno"/>
        </w:rPr>
        <w:t>17</w:t>
      </w:r>
      <w:r>
        <w:t>.</w:t>
      </w:r>
      <w:r>
        <w:tab/>
        <w:t>Approval to allow emission of noise to exceed or vary from standard: application and referral</w:t>
      </w:r>
      <w:bookmarkEnd w:id="57"/>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58" w:name="_Toc473036782"/>
      <w:r>
        <w:rPr>
          <w:rStyle w:val="CharSectno"/>
        </w:rPr>
        <w:t>18A</w:t>
      </w:r>
      <w:r>
        <w:t>.</w:t>
      </w:r>
      <w:r>
        <w:tab/>
        <w:t>Assessment by CEO</w:t>
      </w:r>
      <w:bookmarkEnd w:id="58"/>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ageBreakBefore/>
        <w:spacing w:before="120"/>
      </w:pPr>
      <w:bookmarkStart w:id="59" w:name="_Toc473036783"/>
      <w:r>
        <w:rPr>
          <w:rStyle w:val="CharSectno"/>
        </w:rPr>
        <w:t>18B</w:t>
      </w:r>
      <w:r>
        <w:t>.</w:t>
      </w:r>
      <w:r>
        <w:tab/>
        <w:t>Decision by Minister</w:t>
      </w:r>
      <w:bookmarkEnd w:id="59"/>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60" w:name="_Toc473036784"/>
      <w:r>
        <w:rPr>
          <w:rStyle w:val="CharSectno"/>
        </w:rPr>
        <w:t>18C</w:t>
      </w:r>
      <w:r>
        <w:t>.</w:t>
      </w:r>
      <w:r>
        <w:tab/>
        <w:t>Notification of approval, amendment or revocation</w:t>
      </w:r>
      <w:bookmarkEnd w:id="60"/>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61" w:name="_Toc473036785"/>
      <w:r>
        <w:rPr>
          <w:rStyle w:val="CharSectno"/>
        </w:rPr>
        <w:t>18D</w:t>
      </w:r>
      <w:r>
        <w:t>.</w:t>
      </w:r>
      <w:r>
        <w:tab/>
        <w:t>Ancillary conditions</w:t>
      </w:r>
      <w:bookmarkEnd w:id="61"/>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62" w:name="_Toc473036786"/>
      <w:r>
        <w:rPr>
          <w:rStyle w:val="CharSectno"/>
        </w:rPr>
        <w:t>18E</w:t>
      </w:r>
      <w:r>
        <w:t>.</w:t>
      </w:r>
      <w:r>
        <w:tab/>
        <w:t>Amendment or revocation of approval</w:t>
      </w:r>
      <w:bookmarkEnd w:id="62"/>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63" w:name="_Toc473036787"/>
      <w:r>
        <w:rPr>
          <w:rStyle w:val="CharSectno"/>
        </w:rPr>
        <w:t>18F</w:t>
      </w:r>
      <w:r>
        <w:t>.</w:t>
      </w:r>
      <w:r>
        <w:tab/>
        <w:t>Effect of breach of condition or revocation of approval</w:t>
      </w:r>
      <w:bookmarkEnd w:id="63"/>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64" w:name="_Toc473036788"/>
      <w:r>
        <w:rPr>
          <w:rStyle w:val="CharSectno"/>
        </w:rPr>
        <w:t>18G</w:t>
      </w:r>
      <w:r>
        <w:t>.</w:t>
      </w:r>
      <w:r>
        <w:tab/>
        <w:t>Noise monitoring fees</w:t>
      </w:r>
      <w:bookmarkEnd w:id="64"/>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65" w:name="_Toc473036789"/>
      <w:r>
        <w:rPr>
          <w:rStyle w:val="CharSectno"/>
        </w:rPr>
        <w:t>18H</w:t>
      </w:r>
      <w:r>
        <w:t>.</w:t>
      </w:r>
      <w:r>
        <w:tab/>
        <w:t>Appeals against decisions under this Division</w:t>
      </w:r>
      <w:bookmarkEnd w:id="65"/>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pageBreakBefore/>
        <w:widowControl w:val="0"/>
        <w:spacing w:before="0"/>
      </w:pPr>
      <w:bookmarkStart w:id="66" w:name="_Toc473036790"/>
      <w:r>
        <w:rPr>
          <w:rStyle w:val="CharSectno"/>
        </w:rPr>
        <w:t>18I</w:t>
      </w:r>
      <w:r>
        <w:t>.</w:t>
      </w:r>
      <w:r>
        <w:tab/>
        <w:t>Transitional provisions</w:t>
      </w:r>
      <w:bookmarkEnd w:id="66"/>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67" w:name="_Toc473032722"/>
      <w:bookmarkStart w:id="68" w:name="_Toc473036714"/>
      <w:bookmarkStart w:id="69" w:name="_Toc473036791"/>
      <w:r>
        <w:rPr>
          <w:rStyle w:val="CharDivNo"/>
        </w:rPr>
        <w:t>Division 7</w:t>
      </w:r>
      <w:r>
        <w:t> — </w:t>
      </w:r>
      <w:r>
        <w:rPr>
          <w:rStyle w:val="CharDivText"/>
        </w:rPr>
        <w:t>Sporting, cultural and entertainment events</w:t>
      </w:r>
      <w:bookmarkEnd w:id="67"/>
      <w:bookmarkEnd w:id="68"/>
      <w:bookmarkEnd w:id="69"/>
    </w:p>
    <w:p>
      <w:pPr>
        <w:pStyle w:val="Footnoteheading"/>
        <w:rPr>
          <w:snapToGrid w:val="0"/>
        </w:rPr>
      </w:pPr>
      <w:r>
        <w:tab/>
        <w:t>[Heading inserted: Gazette 5 Dec 2013 p. 5700.]</w:t>
      </w:r>
    </w:p>
    <w:p>
      <w:pPr>
        <w:pStyle w:val="Heading5"/>
      </w:pPr>
      <w:bookmarkStart w:id="70" w:name="_Toc473036792"/>
      <w:r>
        <w:rPr>
          <w:rStyle w:val="CharSectno"/>
        </w:rPr>
        <w:t>18J</w:t>
      </w:r>
      <w:r>
        <w:t>.</w:t>
      </w:r>
      <w:r>
        <w:tab/>
        <w:t>Terms used</w:t>
      </w:r>
      <w:bookmarkEnd w:id="70"/>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71" w:name="_Toc473036793"/>
      <w:r>
        <w:rPr>
          <w:rStyle w:val="CharSectno"/>
        </w:rPr>
        <w:t>18</w:t>
      </w:r>
      <w:r>
        <w:rPr>
          <w:snapToGrid w:val="0"/>
        </w:rPr>
        <w:t xml:space="preserve">. </w:t>
      </w:r>
      <w:r>
        <w:rPr>
          <w:snapToGrid w:val="0"/>
        </w:rPr>
        <w:tab/>
        <w:t>Approved sporting, cultural and entertainment events</w:t>
      </w:r>
      <w:bookmarkEnd w:id="71"/>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rPr>
          <w:snapToGrid w:val="0"/>
        </w:rPr>
      </w:pPr>
      <w:r>
        <w:rPr>
          <w:snapToGrid w:val="0"/>
        </w:rPr>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rPr>
          <w:snapToGrid w:val="0"/>
        </w:rPr>
      </w:pPr>
      <w:r>
        <w:rPr>
          <w:snapToGrid w:val="0"/>
        </w:rPr>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72" w:name="_Toc473036794"/>
      <w:r>
        <w:rPr>
          <w:rStyle w:val="CharSectno"/>
        </w:rPr>
        <w:t>19A</w:t>
      </w:r>
      <w:r>
        <w:t>.</w:t>
      </w:r>
      <w:r>
        <w:tab/>
        <w:t>Ancillary conditions: approved events</w:t>
      </w:r>
      <w:bookmarkEnd w:id="72"/>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73" w:name="_Toc473036795"/>
      <w:r>
        <w:rPr>
          <w:rStyle w:val="CharSectno"/>
        </w:rPr>
        <w:t>19B</w:t>
      </w:r>
      <w:r>
        <w:t>.</w:t>
      </w:r>
      <w:r>
        <w:tab/>
        <w:t>Approved venues for sporting, cultural or entertainment events</w:t>
      </w:r>
      <w:bookmarkEnd w:id="73"/>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pPr>
      <w:r>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74" w:name="_Toc473036796"/>
      <w:r>
        <w:rPr>
          <w:rStyle w:val="CharSectno"/>
        </w:rPr>
        <w:t>19C</w:t>
      </w:r>
      <w:r>
        <w:t>.</w:t>
      </w:r>
      <w:r>
        <w:tab/>
        <w:t>Ancillary conditions: venue approval</w:t>
      </w:r>
      <w:bookmarkEnd w:id="74"/>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75" w:name="_Toc473036797"/>
      <w:r>
        <w:rPr>
          <w:rStyle w:val="CharSectno"/>
        </w:rPr>
        <w:t>19D</w:t>
      </w:r>
      <w:r>
        <w:t>.</w:t>
      </w:r>
      <w:r>
        <w:tab/>
        <w:t>Notifiable event at approved venue</w:t>
      </w:r>
      <w:bookmarkEnd w:id="75"/>
    </w:p>
    <w:p>
      <w:pPr>
        <w:pStyle w:val="Subsection"/>
      </w:pPr>
      <w:r>
        <w:tab/>
        <w:t>(1)</w:t>
      </w:r>
      <w:r>
        <w:tab/>
        <w:t>A person who proposes to hold an event at an approved venue that is a notifiable event of a type specified in the conditions of 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76" w:name="_Toc473036798"/>
      <w:r>
        <w:rPr>
          <w:rStyle w:val="CharSectno"/>
        </w:rPr>
        <w:t>19E</w:t>
      </w:r>
      <w:r>
        <w:t>.</w:t>
      </w:r>
      <w:r>
        <w:tab/>
        <w:t>Amendment or revocation of venue approval</w:t>
      </w:r>
      <w:bookmarkEnd w:id="76"/>
    </w:p>
    <w:p>
      <w:pPr>
        <w:pStyle w:val="Subsection"/>
        <w:spacing w:before="200"/>
      </w:pPr>
      <w:r>
        <w:tab/>
        <w:t>(1)</w:t>
      </w:r>
      <w:r>
        <w:tab/>
        <w:t>The CEO may, on his or her own initiative, amend a venue approval if the CEO is satisfied that there is reasonable cause for the amendment.</w:t>
      </w:r>
    </w:p>
    <w:p>
      <w:pPr>
        <w:pStyle w:val="Subsection"/>
        <w:spacing w:before="200"/>
      </w:pPr>
      <w:r>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77" w:name="_Toc473036799"/>
      <w:r>
        <w:rPr>
          <w:rStyle w:val="CharSectno"/>
        </w:rPr>
        <w:t>19F</w:t>
      </w:r>
      <w:r>
        <w:t>.</w:t>
      </w:r>
      <w:r>
        <w:tab/>
        <w:t>Notice of appellable decision</w:t>
      </w:r>
      <w:bookmarkEnd w:id="77"/>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78" w:name="_Toc473036800"/>
      <w:r>
        <w:rPr>
          <w:rStyle w:val="CharSectno"/>
        </w:rPr>
        <w:t>19G</w:t>
      </w:r>
      <w:r>
        <w:t>.</w:t>
      </w:r>
      <w:r>
        <w:tab/>
        <w:t>Appeals against decisions under this Division</w:t>
      </w:r>
      <w:bookmarkEnd w:id="78"/>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79" w:name="_Toc473032732"/>
      <w:bookmarkStart w:id="80" w:name="_Toc473036724"/>
      <w:bookmarkStart w:id="81" w:name="_Toc473036801"/>
      <w:r>
        <w:rPr>
          <w:rStyle w:val="CharPartNo"/>
        </w:rPr>
        <w:t>Part 3</w:t>
      </w:r>
      <w:r>
        <w:rPr>
          <w:rStyle w:val="CharDivNo"/>
        </w:rPr>
        <w:t> </w:t>
      </w:r>
      <w:r>
        <w:t>—</w:t>
      </w:r>
      <w:r>
        <w:rPr>
          <w:rStyle w:val="CharDivText"/>
        </w:rPr>
        <w:t> </w:t>
      </w:r>
      <w:r>
        <w:rPr>
          <w:rStyle w:val="CharPartText"/>
        </w:rPr>
        <w:t>Noise measurement</w:t>
      </w:r>
      <w:bookmarkEnd w:id="79"/>
      <w:bookmarkEnd w:id="80"/>
      <w:bookmarkEnd w:id="81"/>
      <w:r>
        <w:rPr>
          <w:rStyle w:val="CharPartText"/>
        </w:rPr>
        <w:t xml:space="preserve"> </w:t>
      </w:r>
    </w:p>
    <w:p>
      <w:pPr>
        <w:pStyle w:val="Heading5"/>
        <w:rPr>
          <w:snapToGrid w:val="0"/>
        </w:rPr>
      </w:pPr>
      <w:bookmarkStart w:id="82" w:name="_Toc473036802"/>
      <w:r>
        <w:rPr>
          <w:rStyle w:val="CharSectno"/>
        </w:rPr>
        <w:t>19</w:t>
      </w:r>
      <w:r>
        <w:rPr>
          <w:snapToGrid w:val="0"/>
        </w:rPr>
        <w:t xml:space="preserve">. </w:t>
      </w:r>
      <w:r>
        <w:rPr>
          <w:snapToGrid w:val="0"/>
        </w:rPr>
        <w:tab/>
        <w:t>Place of measurement of noise</w:t>
      </w:r>
      <w:bookmarkEnd w:id="8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83" w:name="_Toc473036803"/>
      <w:r>
        <w:rPr>
          <w:rStyle w:val="CharSectno"/>
        </w:rPr>
        <w:t>20</w:t>
      </w:r>
      <w:r>
        <w:rPr>
          <w:snapToGrid w:val="0"/>
        </w:rPr>
        <w:t xml:space="preserve">. </w:t>
      </w:r>
      <w:r>
        <w:rPr>
          <w:snapToGrid w:val="0"/>
        </w:rPr>
        <w:tab/>
        <w:t>Measurement of noise at premises</w:t>
      </w:r>
      <w:bookmarkEnd w:id="83"/>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84" w:name="_Toc473036804"/>
      <w:r>
        <w:rPr>
          <w:rStyle w:val="CharSectno"/>
        </w:rPr>
        <w:t>21</w:t>
      </w:r>
      <w:r>
        <w:rPr>
          <w:snapToGrid w:val="0"/>
        </w:rPr>
        <w:t xml:space="preserve">. </w:t>
      </w:r>
      <w:r>
        <w:rPr>
          <w:snapToGrid w:val="0"/>
        </w:rPr>
        <w:tab/>
        <w:t>Measurement of airblast levels</w:t>
      </w:r>
      <w:bookmarkEnd w:id="84"/>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85" w:name="_Toc473036805"/>
      <w:r>
        <w:rPr>
          <w:rStyle w:val="CharSectno"/>
        </w:rPr>
        <w:t>22</w:t>
      </w:r>
      <w:r>
        <w:rPr>
          <w:snapToGrid w:val="0"/>
        </w:rPr>
        <w:t>.</w:t>
      </w:r>
      <w:r>
        <w:rPr>
          <w:snapToGrid w:val="0"/>
        </w:rPr>
        <w:tab/>
        <w:t>Sound measuring equipment must comply with Schedule 4</w:t>
      </w:r>
      <w:bookmarkEnd w:id="85"/>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86" w:name="_Toc473036806"/>
      <w:r>
        <w:rPr>
          <w:rStyle w:val="CharSectno"/>
        </w:rPr>
        <w:t>23</w:t>
      </w:r>
      <w:r>
        <w:rPr>
          <w:snapToGrid w:val="0"/>
        </w:rPr>
        <w:t xml:space="preserve">. </w:t>
      </w:r>
      <w:r>
        <w:rPr>
          <w:snapToGrid w:val="0"/>
        </w:rPr>
        <w:tab/>
        <w:t>Calibration results to be available</w:t>
      </w:r>
      <w:bookmarkEnd w:id="86"/>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7" w:name="_Toc473032738"/>
      <w:bookmarkStart w:id="88" w:name="_Toc473036730"/>
      <w:bookmarkStart w:id="89" w:name="_Toc473036807"/>
      <w:r>
        <w:rPr>
          <w:rStyle w:val="CharSchNo"/>
        </w:rPr>
        <w:t>Schedule 1</w:t>
      </w:r>
      <w:r>
        <w:t> — </w:t>
      </w:r>
      <w:r>
        <w:rPr>
          <w:rStyle w:val="CharSchText"/>
        </w:rPr>
        <w:t>Classification of premises</w:t>
      </w:r>
      <w:bookmarkEnd w:id="87"/>
      <w:bookmarkEnd w:id="88"/>
      <w:bookmarkEnd w:id="89"/>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Grounds, administrative premises, and premises or parts of premises used for the personal comfort, convenience or enjoyment of leisure of employees, or persons otherwise engaged in the conduct of an industry 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structures within the meaning of the </w:t>
      </w:r>
      <w:r>
        <w:rPr>
          <w:i/>
          <w:snapToGrid w:val="0"/>
        </w:rPr>
        <w:t>Occupational Safety and Health Regulations 1996</w:t>
      </w:r>
      <w:r>
        <w:rPr>
          <w:snapToGrid w:val="0"/>
        </w:rPr>
        <w:t>.</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90" w:name="_Toc473032739"/>
      <w:bookmarkStart w:id="91" w:name="_Toc473036731"/>
      <w:bookmarkStart w:id="92" w:name="_Toc473036808"/>
      <w:r>
        <w:rPr>
          <w:rStyle w:val="CharSchNo"/>
        </w:rPr>
        <w:t>Schedule 2</w:t>
      </w:r>
      <w:r>
        <w:rPr>
          <w:rStyle w:val="CharSDivNo"/>
        </w:rPr>
        <w:t> </w:t>
      </w:r>
      <w:r>
        <w:t>—</w:t>
      </w:r>
      <w:r>
        <w:rPr>
          <w:rStyle w:val="CharSDivText"/>
        </w:rPr>
        <w:t> </w:t>
      </w:r>
      <w:r>
        <w:rPr>
          <w:rStyle w:val="CharSchText"/>
        </w:rPr>
        <w:t>Community noise</w:t>
      </w:r>
      <w:bookmarkEnd w:id="90"/>
      <w:bookmarkEnd w:id="91"/>
      <w:bookmarkEnd w:id="92"/>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pPr>
        <w:pStyle w:val="yScheduleHeading"/>
      </w:pPr>
      <w:bookmarkStart w:id="94" w:name="_Toc473032740"/>
      <w:bookmarkStart w:id="95" w:name="_Toc473036732"/>
      <w:bookmarkStart w:id="96" w:name="_Toc473036809"/>
      <w:r>
        <w:rPr>
          <w:rStyle w:val="CharSchNo"/>
        </w:rPr>
        <w:t>Schedule 3</w:t>
      </w:r>
      <w:r>
        <w:t> — </w:t>
      </w:r>
      <w:r>
        <w:rPr>
          <w:rStyle w:val="CharSchText"/>
        </w:rPr>
        <w:t>Determination of influencing factor on noise sensitive premises</w:t>
      </w:r>
      <w:bookmarkEnd w:id="94"/>
      <w:bookmarkEnd w:id="95"/>
      <w:bookmarkEnd w:id="96"/>
    </w:p>
    <w:p>
      <w:pPr>
        <w:pStyle w:val="yShoulderClause"/>
      </w:pPr>
      <w:r>
        <w:t>[r. 8]</w:t>
      </w:r>
    </w:p>
    <w:p>
      <w:pPr>
        <w:pStyle w:val="yFootnoteheading"/>
      </w:pPr>
      <w:r>
        <w:tab/>
        <w:t>[Heading inserted: Gazette 5 Dec 2013 p. 5716</w:t>
      </w:r>
      <w:r>
        <w:noBreakHyphen/>
        <w:t>17.]</w:t>
      </w:r>
    </w:p>
    <w:p>
      <w:pPr>
        <w:pStyle w:val="yHeading5"/>
        <w:spacing w:before="240"/>
        <w:outlineLvl w:val="9"/>
        <w:rPr>
          <w:snapToGrid w:val="0"/>
        </w:rPr>
      </w:pPr>
      <w:bookmarkStart w:id="97" w:name="_Toc473036810"/>
      <w:r>
        <w:rPr>
          <w:rStyle w:val="CharSClsNo"/>
        </w:rPr>
        <w:t>1</w:t>
      </w:r>
      <w:r>
        <w:rPr>
          <w:snapToGrid w:val="0"/>
        </w:rPr>
        <w:t xml:space="preserve">. </w:t>
      </w:r>
      <w:r>
        <w:rPr>
          <w:snapToGrid w:val="0"/>
        </w:rPr>
        <w:tab/>
        <w:t>Terms used</w:t>
      </w:r>
      <w:bookmarkEnd w:id="97"/>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outlineLvl w:val="9"/>
        <w:rPr>
          <w:snapToGrid w:val="0"/>
        </w:rPr>
      </w:pPr>
      <w:bookmarkStart w:id="98" w:name="_Toc473036811"/>
      <w:r>
        <w:rPr>
          <w:rStyle w:val="CharSClsNo"/>
        </w:rPr>
        <w:t>2</w:t>
      </w:r>
      <w:r>
        <w:rPr>
          <w:snapToGrid w:val="0"/>
        </w:rPr>
        <w:t xml:space="preserve">. </w:t>
      </w:r>
      <w:r>
        <w:rPr>
          <w:snapToGrid w:val="0"/>
        </w:rPr>
        <w:tab/>
        <w:t>Influencing factor</w:t>
      </w:r>
      <w:bookmarkEnd w:id="98"/>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tabs>
          <w:tab w:val="clear" w:pos="1616"/>
          <w:tab w:val="left" w:pos="1985"/>
        </w:tabs>
        <w:spacing w:before="100"/>
        <w:rPr>
          <w:snapToGrid w:val="0"/>
        </w:rPr>
      </w:pPr>
      <w:r>
        <w:rPr>
          <w:snapToGrid w:val="0"/>
        </w:rPr>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pPr>
      <w:r>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99" w:name="_Toc473032743"/>
      <w:bookmarkStart w:id="100" w:name="_Toc473036735"/>
      <w:bookmarkStart w:id="101" w:name="_Toc473036812"/>
      <w:r>
        <w:rPr>
          <w:rStyle w:val="CharSchNo"/>
        </w:rPr>
        <w:t>Schedule 4</w:t>
      </w:r>
      <w:r>
        <w:t> — </w:t>
      </w:r>
      <w:r>
        <w:rPr>
          <w:rStyle w:val="CharSchText"/>
        </w:rPr>
        <w:t>Rules for sound measuring equipment</w:t>
      </w:r>
      <w:bookmarkEnd w:id="99"/>
      <w:bookmarkEnd w:id="100"/>
      <w:bookmarkEnd w:id="101"/>
    </w:p>
    <w:p>
      <w:pPr>
        <w:pStyle w:val="yShoulderClause"/>
      </w:pPr>
      <w:r>
        <w:t>[r. 22]</w:t>
      </w:r>
    </w:p>
    <w:p>
      <w:pPr>
        <w:pStyle w:val="yFootnoteheading"/>
      </w:pPr>
      <w:r>
        <w:tab/>
        <w:t>[Heading inserted: Gazette 5 Dec 2013 p. 5720.]</w:t>
      </w:r>
    </w:p>
    <w:p>
      <w:pPr>
        <w:pStyle w:val="yHeading5"/>
        <w:spacing w:before="180"/>
      </w:pPr>
      <w:bookmarkStart w:id="102" w:name="_Toc473036813"/>
      <w:r>
        <w:rPr>
          <w:rStyle w:val="CharSClsNo"/>
        </w:rPr>
        <w:t>1</w:t>
      </w:r>
      <w:r>
        <w:t>.</w:t>
      </w:r>
      <w:r>
        <w:tab/>
        <w:t>Sound measuring equipment</w:t>
      </w:r>
      <w:bookmarkEnd w:id="102"/>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103" w:name="_Toc473036814"/>
      <w:r>
        <w:rPr>
          <w:rStyle w:val="CharSClsNo"/>
        </w:rPr>
        <w:t>2</w:t>
      </w:r>
      <w:r>
        <w:t>.</w:t>
      </w:r>
      <w:r>
        <w:tab/>
        <w:t>Calibration of sound measuring equipment</w:t>
      </w:r>
      <w:bookmarkEnd w:id="103"/>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104" w:name="_Toc473036815"/>
      <w:r>
        <w:rPr>
          <w:rStyle w:val="CharSClsNo"/>
        </w:rPr>
        <w:t>3</w:t>
      </w:r>
      <w:r>
        <w:t>.</w:t>
      </w:r>
      <w:r>
        <w:tab/>
        <w:t>Field performance checks</w:t>
      </w:r>
      <w:bookmarkEnd w:id="104"/>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105" w:name="_Toc473036816"/>
      <w:r>
        <w:rPr>
          <w:rStyle w:val="CharSClsNo"/>
        </w:rPr>
        <w:t>4</w:t>
      </w:r>
      <w:r>
        <w:t>.</w:t>
      </w:r>
      <w:r>
        <w:tab/>
        <w:t>Equipment</w:t>
      </w:r>
      <w:r>
        <w:rPr>
          <w:snapToGrid w:val="0"/>
        </w:rPr>
        <w:t xml:space="preserve"> used for measurement of airblast levels</w:t>
      </w:r>
      <w:bookmarkEnd w:id="105"/>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pPr>
      <w:r>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06" w:name="_Toc473032748"/>
      <w:bookmarkStart w:id="107" w:name="_Toc473036740"/>
      <w:bookmarkStart w:id="108" w:name="_Toc473036817"/>
      <w:r>
        <w:t>Notes</w:t>
      </w:r>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(Noise)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109" w:name="_Toc473036818"/>
      <w:r>
        <w:t>Compilation table</w:t>
      </w:r>
      <w:bookmarkEnd w:id="1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single" w:sz="4" w:space="0" w:color="auto"/>
            </w:tcBorders>
          </w:tcPr>
          <w:p>
            <w:pPr>
              <w:pStyle w:val="nTable"/>
              <w:keepNext/>
              <w:spacing w:after="40"/>
            </w:pPr>
            <w:r>
              <w:rPr>
                <w:i/>
              </w:rPr>
              <w:t>Environment Regulations Amendment (Public Health) Regulations 2016</w:t>
            </w:r>
            <w:r>
              <w:t xml:space="preserve"> Pt. 6</w:t>
            </w:r>
          </w:p>
        </w:tc>
        <w:tc>
          <w:tcPr>
            <w:tcW w:w="1276" w:type="dxa"/>
            <w:tcBorders>
              <w:top w:val="nil"/>
              <w:bottom w:val="single" w:sz="4" w:space="0" w:color="auto"/>
            </w:tcBorders>
          </w:tcPr>
          <w:p>
            <w:pPr>
              <w:pStyle w:val="nTable"/>
              <w:keepNext/>
              <w:spacing w:after="40"/>
            </w:pPr>
            <w:r>
              <w:t>10 Jan 2017 p. 191-7</w:t>
            </w:r>
          </w:p>
        </w:tc>
        <w:tc>
          <w:tcPr>
            <w:tcW w:w="2693" w:type="dxa"/>
            <w:tcBorders>
              <w:top w:val="nil"/>
              <w:bottom w:val="single" w:sz="4" w:space="0" w:color="auto"/>
            </w:tcBorders>
          </w:tcPr>
          <w:p>
            <w:pPr>
              <w:pStyle w:val="nTable"/>
              <w:keepNext/>
              <w:spacing w:after="40"/>
            </w:pPr>
            <w:r>
              <w:t xml:space="preserve">24 Jan 2017 (see r. 2(b) and </w:t>
            </w:r>
            <w:r>
              <w:rPr>
                <w:i/>
              </w:rPr>
              <w:t>Gazette</w:t>
            </w:r>
            <w:r>
              <w:t xml:space="preserve"> 10 Jan 2017 p. 165)</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11" w:name="_Toc473032750"/>
      <w:bookmarkStart w:id="112" w:name="_Toc473036742"/>
      <w:bookmarkStart w:id="113" w:name="_Toc473036819"/>
      <w:r>
        <w:rPr>
          <w:sz w:val="28"/>
        </w:rPr>
        <w:t>Defined terms</w:t>
      </w:r>
      <w:bookmarkEnd w:id="111"/>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airblast level</w:t>
      </w:r>
      <w:r>
        <w:tab/>
        <w:t>11(1)</w:t>
      </w:r>
    </w:p>
    <w:p>
      <w:pPr>
        <w:pStyle w:val="DefinedTerms"/>
      </w:pPr>
      <w:r>
        <w:t>amending provision</w:t>
      </w:r>
      <w:r>
        <w:tab/>
        <w:t>18I(1)</w:t>
      </w:r>
    </w:p>
    <w:p>
      <w:pPr>
        <w:pStyle w:val="DefinedTerms"/>
      </w:pPr>
      <w:r>
        <w:t>amplified call to worship</w:t>
      </w:r>
      <w:r>
        <w:tab/>
        <w:t>15(1)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building</w:t>
      </w:r>
      <w:r>
        <w:tab/>
        <w:t>8(1), 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t>Kwinana Policy Area</w:t>
      </w:r>
      <w:r>
        <w:tab/>
        <w:t>Sch. 3 cl. 1(1)</w:t>
      </w:r>
    </w:p>
    <w:p>
      <w:pPr>
        <w:pStyle w:val="DefinedTerms"/>
      </w:pPr>
      <w:r>
        <w:t>LA 1 assigned level</w:t>
      </w:r>
      <w:r>
        <w:tab/>
        <w:t>8(1)</w:t>
      </w:r>
    </w:p>
    <w:p>
      <w:pPr>
        <w:pStyle w:val="DefinedTerms"/>
      </w:pPr>
      <w:r>
        <w:t>LA 10 assigned level</w:t>
      </w:r>
      <w:r>
        <w:tab/>
        <w:t>8(1)</w:t>
      </w:r>
    </w:p>
    <w:p>
      <w:pPr>
        <w:pStyle w:val="DefinedTerms"/>
      </w:pPr>
      <w:r>
        <w:t>LA Fast</w:t>
      </w:r>
      <w:r>
        <w:tab/>
        <w:t>9(2)</w:t>
      </w:r>
    </w:p>
    <w:p>
      <w:pPr>
        <w:pStyle w:val="DefinedTerms"/>
      </w:pPr>
      <w:r>
        <w:t>LA max assigned level</w:t>
      </w:r>
      <w:r>
        <w:tab/>
        <w:t>8(1)</w:t>
      </w:r>
    </w:p>
    <w:p>
      <w:pPr>
        <w:pStyle w:val="DefinedTerms"/>
      </w:pPr>
      <w:r>
        <w:t>LA peak</w:t>
      </w:r>
      <w:r>
        <w:tab/>
        <w:t>9(2)</w:t>
      </w:r>
    </w:p>
    <w:p>
      <w:pPr>
        <w:pStyle w:val="DefinedTerms"/>
      </w:pPr>
      <w:r>
        <w:t>LA Slow</w:t>
      </w:r>
      <w:r>
        <w:tab/>
        <w:t>2(1)</w:t>
      </w:r>
    </w:p>
    <w:p>
      <w:pPr>
        <w:pStyle w:val="DefinedTerms"/>
      </w:pPr>
      <w:r>
        <w:t>LA Slow max</w:t>
      </w:r>
      <w:r>
        <w:tab/>
        <w:t>9(2)</w:t>
      </w:r>
    </w:p>
    <w:p>
      <w:pPr>
        <w:pStyle w:val="DefinedTerms"/>
      </w:pPr>
      <w:r>
        <w:t>LAeqT</w:t>
      </w:r>
      <w:r>
        <w:tab/>
        <w:t>9(2)</w:t>
      </w:r>
    </w:p>
    <w:p>
      <w:pPr>
        <w:pStyle w:val="DefinedTerms"/>
      </w:pPr>
      <w:r>
        <w:t>land use map</w:t>
      </w:r>
      <w:r>
        <w:tab/>
        <w:t>Sch. 3 cl. 1(1)</w:t>
      </w:r>
    </w:p>
    <w:p>
      <w:pPr>
        <w:pStyle w:val="DefinedTerms"/>
      </w:pPr>
      <w:r>
        <w:t>local government</w:t>
      </w:r>
      <w:r>
        <w:tab/>
        <w:t>2(1)</w:t>
      </w:r>
    </w:p>
    <w:p>
      <w:pPr>
        <w:pStyle w:val="DefinedTerms"/>
      </w:pPr>
      <w:r>
        <w:t>local government CEO</w:t>
      </w:r>
      <w:r>
        <w:tab/>
        <w:t>18(12)</w:t>
      </w:r>
    </w:p>
    <w:p>
      <w:pPr>
        <w:pStyle w:val="DefinedTerms"/>
      </w:pPr>
      <w:r>
        <w:t>LZ peak</w:t>
      </w:r>
      <w:r>
        <w:tab/>
        <w:t>11(1)</w:t>
      </w:r>
    </w:p>
    <w:p>
      <w:pPr>
        <w:pStyle w:val="DefinedTerms"/>
      </w:pPr>
      <w:r>
        <w:t>major road</w:t>
      </w:r>
      <w:r>
        <w:tab/>
        <w:t>Sch. 3 cl. 1(1)</w:t>
      </w:r>
    </w:p>
    <w:p>
      <w:pPr>
        <w:pStyle w:val="DefinedTerms"/>
      </w:pPr>
      <w:r>
        <w:t>measured</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w:t>
      </w:r>
      <w:r>
        <w:tab/>
        <w:t>2(1)</w:t>
      </w:r>
    </w:p>
    <w:p>
      <w:pPr>
        <w:pStyle w:val="DefinedTerms"/>
      </w:pPr>
      <w:r>
        <w:t>non</w:t>
      </w:r>
      <w:r>
        <w:noBreakHyphen/>
        <w:t>conforming use</w:t>
      </w:r>
      <w:r>
        <w:tab/>
        <w:t>10(1)</w:t>
      </w:r>
    </w:p>
    <w:p>
      <w:pPr>
        <w:pStyle w:val="DefinedTerms"/>
      </w:pPr>
      <w:r>
        <w:t>notifiable event</w:t>
      </w:r>
      <w:r>
        <w:tab/>
        <w:t>19B(1)</w:t>
      </w:r>
    </w:p>
    <w:p>
      <w:pPr>
        <w:pStyle w:val="DefinedTerms"/>
      </w:pPr>
      <w:r>
        <w:t>one</w:t>
      </w:r>
      <w:r>
        <w:noBreakHyphen/>
        <w:t>third octave band</w:t>
      </w:r>
      <w:r>
        <w:tab/>
        <w:t>9(2)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tonality</w:t>
      </w:r>
      <w:r>
        <w:tab/>
        <w:t>9(1)</w:t>
      </w:r>
    </w:p>
    <w:p>
      <w:pPr>
        <w:pStyle w:val="DefinedTerms"/>
      </w:pPr>
      <w:r>
        <w:t>transport factor</w:t>
      </w:r>
      <w:r>
        <w:tab/>
        <w:t>Sch. 3 cl. 1(1)</w:t>
      </w:r>
    </w:p>
    <w:p>
      <w:pPr>
        <w:pStyle w:val="DefinedTerms"/>
      </w:pPr>
      <w:r>
        <w:t>venue</w:t>
      </w:r>
      <w:r>
        <w:tab/>
        <w:t>18J</w:t>
      </w:r>
    </w:p>
    <w:p>
      <w:pPr>
        <w:pStyle w:val="DefinedTerms"/>
      </w:pPr>
      <w:r>
        <w:t>venue approval</w:t>
      </w:r>
      <w:r>
        <w:tab/>
        <w:t>18J</w:t>
      </w:r>
    </w:p>
    <w:p>
      <w:pPr>
        <w:pStyle w:val="DefinedTerms"/>
      </w:pPr>
      <w:r>
        <w:t>waste</w:t>
      </w:r>
      <w:r>
        <w:tab/>
        <w:t>14A(1)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05712"/>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83525-20B3-4D34-8FF9-5F6D2128A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97</Pages>
  <Words>22312</Words>
  <Characters>109555</Characters>
  <Application>Microsoft Office Word</Application>
  <DocSecurity>0</DocSecurity>
  <Lines>3043</Lines>
  <Paragraphs>1712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1997 - 02-c0-01</dc:title>
  <dc:subject/>
  <dc:creator/>
  <cp:keywords/>
  <dc:description/>
  <cp:lastModifiedBy>svcMRProcess</cp:lastModifiedBy>
  <cp:revision>4</cp:revision>
  <cp:lastPrinted>2014-05-22T02:00:00Z</cp:lastPrinted>
  <dcterms:created xsi:type="dcterms:W3CDTF">2019-01-16T08:28:00Z</dcterms:created>
  <dcterms:modified xsi:type="dcterms:W3CDTF">2019-01-16T08:29:00Z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CommencementDate">
    <vt:lpwstr>20170124</vt:lpwstr>
  </property>
  <property fmtid="{D5CDD505-2E9C-101B-9397-08002B2CF9AE}" pid="8" name="AsAtDate">
    <vt:lpwstr>24 Jan 2017</vt:lpwstr>
  </property>
  <property fmtid="{D5CDD505-2E9C-101B-9397-08002B2CF9AE}" pid="9" name="Suffix">
    <vt:lpwstr>02-c0-01</vt:lpwstr>
  </property>
</Properties>
</file>