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6.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Regulations 1987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Regulations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_Toc473036855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_Toc473036856 \h </w:instrText>
      </w:r>
      <w:r>
        <w:fldChar w:fldCharType="separate"/>
      </w:r>
      <w:r>
        <w:t>1</w:t>
      </w:r>
      <w:r>
        <w:fldChar w:fldCharType="end"/>
      </w:r>
    </w:p>
    <w:p>
      <w:pPr>
        <w:pStyle w:val="TOC8"/>
        <w:rPr>
          <w:rFonts w:asciiTheme="minorHAnsi" w:eastAsiaTheme="minorEastAsia" w:hAnsiTheme="minorHAnsi" w:cstheme="minorBidi"/>
          <w:szCs w:val="22"/>
        </w:rPr>
      </w:pPr>
      <w:r>
        <w:t>2AA.</w:t>
      </w:r>
      <w:r>
        <w:tab/>
        <w:t>Term used: head office</w:t>
      </w:r>
      <w:r>
        <w:tab/>
      </w:r>
      <w:r>
        <w:fldChar w:fldCharType="begin"/>
      </w:r>
      <w:r>
        <w:instrText xml:space="preserve"> PAGEREF _Toc473036857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2A</w:t>
      </w:r>
      <w:r>
        <w:rPr>
          <w:snapToGrid w:val="0"/>
        </w:rPr>
        <w:t>.</w:t>
      </w:r>
      <w:r>
        <w:rPr>
          <w:snapToGrid w:val="0"/>
        </w:rPr>
        <w:tab/>
        <w:t>Draft policies, where and when public may inspect (Act s. 26(1)(d))</w:t>
      </w:r>
      <w:r>
        <w:tab/>
      </w:r>
      <w:r>
        <w:fldChar w:fldCharType="begin"/>
      </w:r>
      <w:r>
        <w:instrText xml:space="preserve"> PAGEREF _Toc473036859 \h </w:instrText>
      </w:r>
      <w:r>
        <w:fldChar w:fldCharType="separate"/>
      </w:r>
      <w:r>
        <w:t>2</w:t>
      </w:r>
      <w:r>
        <w:fldChar w:fldCharType="end"/>
      </w:r>
    </w:p>
    <w:p>
      <w:pPr>
        <w:pStyle w:val="TOC8"/>
        <w:rPr>
          <w:rFonts w:asciiTheme="minorHAnsi" w:eastAsiaTheme="minorEastAsia" w:hAnsiTheme="minorHAnsi" w:cstheme="minorBidi"/>
          <w:szCs w:val="22"/>
        </w:rPr>
      </w:pPr>
      <w:r>
        <w:t>2B</w:t>
      </w:r>
      <w:r>
        <w:rPr>
          <w:snapToGrid w:val="0"/>
        </w:rPr>
        <w:t>.</w:t>
      </w:r>
      <w:r>
        <w:rPr>
          <w:snapToGrid w:val="0"/>
        </w:rPr>
        <w:tab/>
        <w:t>Minutes of EPA, public inspection of</w:t>
      </w:r>
      <w:r>
        <w:tab/>
      </w:r>
      <w:r>
        <w:fldChar w:fldCharType="begin"/>
      </w:r>
      <w:r>
        <w:instrText xml:space="preserve"> PAGEREF _Toc473036860 \h </w:instrText>
      </w:r>
      <w:r>
        <w:fldChar w:fldCharType="separate"/>
      </w:r>
      <w:r>
        <w:t>2</w:t>
      </w:r>
      <w:r>
        <w:fldChar w:fldCharType="end"/>
      </w:r>
    </w:p>
    <w:p>
      <w:pPr>
        <w:pStyle w:val="TOC8"/>
        <w:rPr>
          <w:rFonts w:asciiTheme="minorHAnsi" w:eastAsiaTheme="minorEastAsia" w:hAnsiTheme="minorHAnsi" w:cstheme="minorBidi"/>
          <w:szCs w:val="22"/>
        </w:rPr>
      </w:pPr>
      <w:r>
        <w:t>2C</w:t>
      </w:r>
      <w:r>
        <w:rPr>
          <w:snapToGrid w:val="0"/>
        </w:rPr>
        <w:t>.</w:t>
      </w:r>
      <w:r>
        <w:rPr>
          <w:snapToGrid w:val="0"/>
        </w:rPr>
        <w:tab/>
        <w:t>Proposals of prescribed class (Act s. 38)</w:t>
      </w:r>
      <w:r>
        <w:tab/>
      </w:r>
      <w:r>
        <w:fldChar w:fldCharType="begin"/>
      </w:r>
      <w:r>
        <w:instrText xml:space="preserve"> PAGEREF _Toc473036861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Details prescribed for records of proposals (Act s. 39(1)); where and when public may inspect records</w:t>
      </w:r>
      <w:r>
        <w:tab/>
      </w:r>
      <w:r>
        <w:fldChar w:fldCharType="begin"/>
      </w:r>
      <w:r>
        <w:instrText xml:space="preserve"> PAGEREF _Toc473036862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Control of pollution generally</w:t>
      </w:r>
    </w:p>
    <w:p>
      <w:pPr>
        <w:pStyle w:val="TOC8"/>
        <w:rPr>
          <w:rFonts w:asciiTheme="minorHAnsi" w:eastAsiaTheme="minorEastAsia" w:hAnsiTheme="minorHAnsi" w:cstheme="minorBidi"/>
          <w:szCs w:val="22"/>
        </w:rPr>
      </w:pPr>
      <w:r>
        <w:t>4</w:t>
      </w:r>
      <w:r>
        <w:rPr>
          <w:snapToGrid w:val="0"/>
        </w:rPr>
        <w:t>.</w:t>
      </w:r>
      <w:r>
        <w:rPr>
          <w:snapToGrid w:val="0"/>
        </w:rPr>
        <w:tab/>
        <w:t>Terms used; amounts of units for fees</w:t>
      </w:r>
      <w:r>
        <w:tab/>
      </w:r>
      <w:r>
        <w:fldChar w:fldCharType="begin"/>
      </w:r>
      <w:r>
        <w:instrText xml:space="preserve"> PAGEREF _Toc473036864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Premises prescribed (Act Part V)</w:t>
      </w:r>
      <w:r>
        <w:tab/>
      </w:r>
      <w:r>
        <w:fldChar w:fldCharType="begin"/>
      </w:r>
      <w:r>
        <w:instrText xml:space="preserve"> PAGEREF _Toc473036865 \h </w:instrText>
      </w:r>
      <w:r>
        <w:fldChar w:fldCharType="separate"/>
      </w:r>
      <w:r>
        <w:t>8</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Registration of Sch. 1 Part 2 premises, effect and cancellation of etc.</w:t>
      </w:r>
      <w:r>
        <w:tab/>
      </w:r>
      <w:r>
        <w:fldChar w:fldCharType="begin"/>
      </w:r>
      <w:r>
        <w:instrText xml:space="preserve"> PAGEREF _Toc473036866 \h </w:instrText>
      </w:r>
      <w:r>
        <w:fldChar w:fldCharType="separate"/>
      </w:r>
      <w:r>
        <w:t>8</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Registration of premises, application for etc.</w:t>
      </w:r>
      <w:r>
        <w:tab/>
      </w:r>
      <w:r>
        <w:fldChar w:fldCharType="begin"/>
      </w:r>
      <w:r>
        <w:instrText xml:space="preserve"> PAGEREF _Toc473036867 \h </w:instrText>
      </w:r>
      <w:r>
        <w:fldChar w:fldCharType="separate"/>
      </w:r>
      <w:r>
        <w:t>9</w:t>
      </w:r>
      <w:r>
        <w:fldChar w:fldCharType="end"/>
      </w:r>
    </w:p>
    <w:p>
      <w:pPr>
        <w:pStyle w:val="TOC8"/>
        <w:rPr>
          <w:rFonts w:asciiTheme="minorHAnsi" w:eastAsiaTheme="minorEastAsia" w:hAnsiTheme="minorHAnsi" w:cstheme="minorBidi"/>
          <w:szCs w:val="22"/>
        </w:rPr>
      </w:pPr>
      <w:r>
        <w:t>5BA.</w:t>
      </w:r>
      <w:r>
        <w:tab/>
        <w:t>Fees prescribed for works approval (Act s. 54(1))</w:t>
      </w:r>
      <w:r>
        <w:tab/>
      </w:r>
      <w:r>
        <w:fldChar w:fldCharType="begin"/>
      </w:r>
      <w:r>
        <w:instrText xml:space="preserve"> PAGEREF _Toc473036868 \h </w:instrText>
      </w:r>
      <w:r>
        <w:fldChar w:fldCharType="separate"/>
      </w:r>
      <w:r>
        <w:t>10</w:t>
      </w:r>
      <w:r>
        <w:fldChar w:fldCharType="end"/>
      </w:r>
    </w:p>
    <w:p>
      <w:pPr>
        <w:pStyle w:val="TOC8"/>
        <w:rPr>
          <w:rFonts w:asciiTheme="minorHAnsi" w:eastAsiaTheme="minorEastAsia" w:hAnsiTheme="minorHAnsi" w:cstheme="minorBidi"/>
          <w:szCs w:val="22"/>
        </w:rPr>
      </w:pPr>
      <w:r>
        <w:t>5BB.</w:t>
      </w:r>
      <w:r>
        <w:tab/>
        <w:t>Fees prescribed for amending works approval or licence (Act s. 59B(1))</w:t>
      </w:r>
      <w:r>
        <w:tab/>
      </w:r>
      <w:r>
        <w:fldChar w:fldCharType="begin"/>
      </w:r>
      <w:r>
        <w:instrText xml:space="preserve"> PAGEREF _Toc473036869 \h </w:instrText>
      </w:r>
      <w:r>
        <w:fldChar w:fldCharType="separate"/>
      </w:r>
      <w:r>
        <w:t>10</w:t>
      </w:r>
      <w:r>
        <w:fldChar w:fldCharType="end"/>
      </w:r>
    </w:p>
    <w:p>
      <w:pPr>
        <w:pStyle w:val="TOC8"/>
        <w:rPr>
          <w:rFonts w:asciiTheme="minorHAnsi" w:eastAsiaTheme="minorEastAsia" w:hAnsiTheme="minorHAnsi" w:cstheme="minorBidi"/>
          <w:szCs w:val="22"/>
        </w:rPr>
      </w:pPr>
      <w:r>
        <w:t>5C.</w:t>
      </w:r>
      <w:r>
        <w:tab/>
        <w:t>Fees prescribed for transfer of works approval or licence (Act s. 64(1))</w:t>
      </w:r>
      <w:r>
        <w:tab/>
      </w:r>
      <w:r>
        <w:fldChar w:fldCharType="begin"/>
      </w:r>
      <w:r>
        <w:instrText xml:space="preserve"> PAGEREF _Toc473036870 \h </w:instrText>
      </w:r>
      <w:r>
        <w:fldChar w:fldCharType="separate"/>
      </w:r>
      <w:r>
        <w:t>11</w:t>
      </w:r>
      <w:r>
        <w:fldChar w:fldCharType="end"/>
      </w:r>
    </w:p>
    <w:p>
      <w:pPr>
        <w:pStyle w:val="TOC8"/>
        <w:rPr>
          <w:rFonts w:asciiTheme="minorHAnsi" w:eastAsiaTheme="minorEastAsia" w:hAnsiTheme="minorHAnsi" w:cstheme="minorBidi"/>
          <w:szCs w:val="22"/>
        </w:rPr>
      </w:pPr>
      <w:r>
        <w:t>5CA.</w:t>
      </w:r>
      <w:r>
        <w:tab/>
        <w:t>Fee for works approval, CEO may waive</w:t>
      </w:r>
      <w:r>
        <w:tab/>
      </w:r>
      <w:r>
        <w:fldChar w:fldCharType="begin"/>
      </w:r>
      <w:r>
        <w:instrText xml:space="preserve"> PAGEREF _Toc473036871 \h </w:instrText>
      </w:r>
      <w:r>
        <w:fldChar w:fldCharType="separate"/>
      </w:r>
      <w:r>
        <w:t>11</w:t>
      </w:r>
      <w:r>
        <w:fldChar w:fldCharType="end"/>
      </w:r>
    </w:p>
    <w:p>
      <w:pPr>
        <w:pStyle w:val="TOC8"/>
        <w:rPr>
          <w:rFonts w:asciiTheme="minorHAnsi" w:eastAsiaTheme="minorEastAsia" w:hAnsiTheme="minorHAnsi" w:cstheme="minorBidi"/>
          <w:szCs w:val="22"/>
        </w:rPr>
      </w:pPr>
      <w:r>
        <w:t>5CAA.</w:t>
      </w:r>
      <w:r>
        <w:tab/>
        <w:t>Manner of advertising prescribed</w:t>
      </w:r>
      <w:r>
        <w:rPr>
          <w:snapToGrid w:val="0"/>
        </w:rPr>
        <w:t xml:space="preserve"> (Act s. 54(2a))</w:t>
      </w:r>
      <w:r>
        <w:tab/>
      </w:r>
      <w:r>
        <w:fldChar w:fldCharType="begin"/>
      </w:r>
      <w:r>
        <w:instrText xml:space="preserve"> PAGEREF _Toc473036872 \h </w:instrText>
      </w:r>
      <w:r>
        <w:fldChar w:fldCharType="separate"/>
      </w:r>
      <w:r>
        <w:t>11</w:t>
      </w:r>
      <w:r>
        <w:fldChar w:fldCharType="end"/>
      </w:r>
    </w:p>
    <w:p>
      <w:pPr>
        <w:pStyle w:val="TOC8"/>
        <w:rPr>
          <w:rFonts w:asciiTheme="minorHAnsi" w:eastAsiaTheme="minorEastAsia" w:hAnsiTheme="minorHAnsi" w:cstheme="minorBidi"/>
          <w:szCs w:val="22"/>
        </w:rPr>
      </w:pPr>
      <w:r>
        <w:t>5CB.</w:t>
      </w:r>
      <w:r>
        <w:tab/>
        <w:t>Replacement of expiring licence, application for</w:t>
      </w:r>
      <w:r>
        <w:tab/>
      </w:r>
      <w:r>
        <w:fldChar w:fldCharType="begin"/>
      </w:r>
      <w:r>
        <w:instrText xml:space="preserve"> PAGEREF _Toc473036873 \h </w:instrText>
      </w:r>
      <w:r>
        <w:fldChar w:fldCharType="separate"/>
      </w:r>
      <w:r>
        <w:t>12</w:t>
      </w:r>
      <w:r>
        <w:fldChar w:fldCharType="end"/>
      </w:r>
    </w:p>
    <w:p>
      <w:pPr>
        <w:pStyle w:val="TOC8"/>
        <w:rPr>
          <w:rFonts w:asciiTheme="minorHAnsi" w:eastAsiaTheme="minorEastAsia" w:hAnsiTheme="minorHAnsi" w:cstheme="minorBidi"/>
          <w:szCs w:val="22"/>
        </w:rPr>
      </w:pPr>
      <w:r>
        <w:t>5D</w:t>
      </w:r>
      <w:r>
        <w:rPr>
          <w:snapToGrid w:val="0"/>
        </w:rPr>
        <w:t>.</w:t>
      </w:r>
      <w:r>
        <w:rPr>
          <w:snapToGrid w:val="0"/>
        </w:rPr>
        <w:tab/>
        <w:t>Prescribed premises, fee for licence for</w:t>
      </w:r>
      <w:r>
        <w:tab/>
      </w:r>
      <w:r>
        <w:fldChar w:fldCharType="begin"/>
      </w:r>
      <w:r>
        <w:instrText xml:space="preserve"> PAGEREF _Toc473036874 \h </w:instrText>
      </w:r>
      <w:r>
        <w:fldChar w:fldCharType="separate"/>
      </w:r>
      <w:r>
        <w:t>12</w:t>
      </w:r>
      <w:r>
        <w:fldChar w:fldCharType="end"/>
      </w:r>
    </w:p>
    <w:p>
      <w:pPr>
        <w:pStyle w:val="TOC8"/>
        <w:rPr>
          <w:rFonts w:asciiTheme="minorHAnsi" w:eastAsiaTheme="minorEastAsia" w:hAnsiTheme="minorHAnsi" w:cstheme="minorBidi"/>
          <w:szCs w:val="22"/>
        </w:rPr>
      </w:pPr>
      <w:r>
        <w:t>5DA.</w:t>
      </w:r>
      <w:r>
        <w:tab/>
        <w:t>Payment of licence fees</w:t>
      </w:r>
      <w:r>
        <w:tab/>
      </w:r>
      <w:r>
        <w:fldChar w:fldCharType="begin"/>
      </w:r>
      <w:r>
        <w:instrText xml:space="preserve"> PAGEREF _Toc473036875 \h </w:instrText>
      </w:r>
      <w:r>
        <w:fldChar w:fldCharType="separate"/>
      </w:r>
      <w:r>
        <w:t>14</w:t>
      </w:r>
      <w:r>
        <w:fldChar w:fldCharType="end"/>
      </w:r>
    </w:p>
    <w:p>
      <w:pPr>
        <w:pStyle w:val="TOC8"/>
        <w:rPr>
          <w:rFonts w:asciiTheme="minorHAnsi" w:eastAsiaTheme="minorEastAsia" w:hAnsiTheme="minorHAnsi" w:cstheme="minorBidi"/>
          <w:szCs w:val="22"/>
        </w:rPr>
      </w:pPr>
      <w:r>
        <w:t>5E</w:t>
      </w:r>
      <w:r>
        <w:rPr>
          <w:snapToGrid w:val="0"/>
        </w:rPr>
        <w:t>.</w:t>
      </w:r>
      <w:r>
        <w:rPr>
          <w:snapToGrid w:val="0"/>
        </w:rPr>
        <w:tab/>
        <w:t>Amount in r. 5D(1a)(c), calculation of</w:t>
      </w:r>
      <w:r>
        <w:tab/>
      </w:r>
      <w:r>
        <w:fldChar w:fldCharType="begin"/>
      </w:r>
      <w:r>
        <w:instrText xml:space="preserve"> PAGEREF _Toc473036876 \h </w:instrText>
      </w:r>
      <w:r>
        <w:fldChar w:fldCharType="separate"/>
      </w:r>
      <w:r>
        <w:t>15</w:t>
      </w:r>
      <w:r>
        <w:fldChar w:fldCharType="end"/>
      </w:r>
    </w:p>
    <w:p>
      <w:pPr>
        <w:pStyle w:val="TOC8"/>
        <w:rPr>
          <w:rFonts w:asciiTheme="minorHAnsi" w:eastAsiaTheme="minorEastAsia" w:hAnsiTheme="minorHAnsi" w:cstheme="minorBidi"/>
          <w:szCs w:val="22"/>
        </w:rPr>
      </w:pPr>
      <w:r>
        <w:t>5EA</w:t>
      </w:r>
      <w:r>
        <w:rPr>
          <w:snapToGrid w:val="0"/>
        </w:rPr>
        <w:t>.</w:t>
      </w:r>
      <w:r>
        <w:rPr>
          <w:snapToGrid w:val="0"/>
        </w:rPr>
        <w:tab/>
        <w:t>Fees under r. 5D(1a)(b) and (c), CEO may waive</w:t>
      </w:r>
      <w:r>
        <w:tab/>
      </w:r>
      <w:r>
        <w:fldChar w:fldCharType="begin"/>
      </w:r>
      <w:r>
        <w:instrText xml:space="preserve"> PAGEREF _Toc473036877 \h </w:instrText>
      </w:r>
      <w:r>
        <w:fldChar w:fldCharType="separate"/>
      </w:r>
      <w:r>
        <w:t>16</w:t>
      </w:r>
      <w:r>
        <w:fldChar w:fldCharType="end"/>
      </w:r>
    </w:p>
    <w:p>
      <w:pPr>
        <w:pStyle w:val="TOC8"/>
        <w:rPr>
          <w:rFonts w:asciiTheme="minorHAnsi" w:eastAsiaTheme="minorEastAsia" w:hAnsiTheme="minorHAnsi" w:cstheme="minorBidi"/>
          <w:szCs w:val="22"/>
        </w:rPr>
      </w:pPr>
      <w:r>
        <w:t>5EB.</w:t>
      </w:r>
      <w:r>
        <w:tab/>
        <w:t>Fees under r. 5D, CEO may waive</w:t>
      </w:r>
      <w:r>
        <w:tab/>
      </w:r>
      <w:r>
        <w:fldChar w:fldCharType="begin"/>
      </w:r>
      <w:r>
        <w:instrText xml:space="preserve"> PAGEREF _Toc473036878 \h </w:instrText>
      </w:r>
      <w:r>
        <w:fldChar w:fldCharType="separate"/>
      </w:r>
      <w:r>
        <w:t>16</w:t>
      </w:r>
      <w:r>
        <w:fldChar w:fldCharType="end"/>
      </w:r>
    </w:p>
    <w:p>
      <w:pPr>
        <w:pStyle w:val="TOC8"/>
        <w:rPr>
          <w:rFonts w:asciiTheme="minorHAnsi" w:eastAsiaTheme="minorEastAsia" w:hAnsiTheme="minorHAnsi" w:cstheme="minorBidi"/>
          <w:szCs w:val="22"/>
        </w:rPr>
      </w:pPr>
      <w:r>
        <w:t>5F</w:t>
      </w:r>
      <w:r>
        <w:rPr>
          <w:snapToGrid w:val="0"/>
        </w:rPr>
        <w:t>.</w:t>
      </w:r>
      <w:r>
        <w:rPr>
          <w:snapToGrid w:val="0"/>
        </w:rPr>
        <w:tab/>
        <w:t>Fee under r. 5D(1a)(c) if discharged waste harmless</w:t>
      </w:r>
      <w:r>
        <w:tab/>
      </w:r>
      <w:r>
        <w:fldChar w:fldCharType="begin"/>
      </w:r>
      <w:r>
        <w:instrText xml:space="preserve"> PAGEREF _Toc473036879 \h </w:instrText>
      </w:r>
      <w:r>
        <w:fldChar w:fldCharType="separate"/>
      </w:r>
      <w:r>
        <w:t>16</w:t>
      </w:r>
      <w:r>
        <w:fldChar w:fldCharType="end"/>
      </w:r>
    </w:p>
    <w:p>
      <w:pPr>
        <w:pStyle w:val="TOC8"/>
        <w:rPr>
          <w:rFonts w:asciiTheme="minorHAnsi" w:eastAsiaTheme="minorEastAsia" w:hAnsiTheme="minorHAnsi" w:cstheme="minorBidi"/>
          <w:szCs w:val="22"/>
        </w:rPr>
      </w:pPr>
      <w:r>
        <w:t>5G.</w:t>
      </w:r>
      <w:r>
        <w:tab/>
        <w:t>Maximum fees under r. 5D(1a)</w:t>
      </w:r>
      <w:r>
        <w:tab/>
      </w:r>
      <w:r>
        <w:fldChar w:fldCharType="begin"/>
      </w:r>
      <w:r>
        <w:instrText xml:space="preserve"> PAGEREF _Toc473036880 \h </w:instrText>
      </w:r>
      <w:r>
        <w:fldChar w:fldCharType="separate"/>
      </w:r>
      <w:r>
        <w:t>17</w:t>
      </w:r>
      <w:r>
        <w:fldChar w:fldCharType="end"/>
      </w:r>
    </w:p>
    <w:p>
      <w:pPr>
        <w:pStyle w:val="TOC8"/>
        <w:rPr>
          <w:rFonts w:asciiTheme="minorHAnsi" w:eastAsiaTheme="minorEastAsia" w:hAnsiTheme="minorHAnsi" w:cstheme="minorBidi"/>
          <w:szCs w:val="22"/>
        </w:rPr>
      </w:pPr>
      <w:r>
        <w:t>5H</w:t>
      </w:r>
      <w:r>
        <w:rPr>
          <w:snapToGrid w:val="0"/>
        </w:rPr>
        <w:t>.</w:t>
      </w:r>
      <w:r>
        <w:rPr>
          <w:snapToGrid w:val="0"/>
        </w:rPr>
        <w:tab/>
        <w:t>Partial refunds of fees for licences</w:t>
      </w:r>
      <w:r>
        <w:tab/>
      </w:r>
      <w:r>
        <w:fldChar w:fldCharType="begin"/>
      </w:r>
      <w:r>
        <w:instrText xml:space="preserve"> PAGEREF _Toc473036881 \h </w:instrText>
      </w:r>
      <w:r>
        <w:fldChar w:fldCharType="separate"/>
      </w:r>
      <w:r>
        <w:t>20</w:t>
      </w:r>
      <w:r>
        <w:fldChar w:fldCharType="end"/>
      </w:r>
    </w:p>
    <w:p>
      <w:pPr>
        <w:pStyle w:val="TOC8"/>
        <w:rPr>
          <w:rFonts w:asciiTheme="minorHAnsi" w:eastAsiaTheme="minorEastAsia" w:hAnsiTheme="minorHAnsi" w:cstheme="minorBidi"/>
          <w:szCs w:val="22"/>
        </w:rPr>
      </w:pPr>
      <w:r>
        <w:t>5I</w:t>
      </w:r>
      <w:r>
        <w:rPr>
          <w:snapToGrid w:val="0"/>
        </w:rPr>
        <w:t>.</w:t>
      </w:r>
      <w:r>
        <w:rPr>
          <w:snapToGrid w:val="0"/>
        </w:rPr>
        <w:tab/>
        <w:t>Certain matters relevant to fees to be determined by CEO</w:t>
      </w:r>
      <w:r>
        <w:tab/>
      </w:r>
      <w:r>
        <w:fldChar w:fldCharType="begin"/>
      </w:r>
      <w:r>
        <w:instrText xml:space="preserve"> PAGEREF _Toc473036882 \h </w:instrText>
      </w:r>
      <w:r>
        <w:fldChar w:fldCharType="separate"/>
      </w:r>
      <w:r>
        <w:t>21</w:t>
      </w:r>
      <w:r>
        <w:fldChar w:fldCharType="end"/>
      </w:r>
    </w:p>
    <w:p>
      <w:pPr>
        <w:pStyle w:val="TOC8"/>
        <w:rPr>
          <w:rFonts w:asciiTheme="minorHAnsi" w:eastAsiaTheme="minorEastAsia" w:hAnsiTheme="minorHAnsi" w:cstheme="minorBidi"/>
          <w:szCs w:val="22"/>
        </w:rPr>
      </w:pPr>
      <w:r>
        <w:t>5IA</w:t>
      </w:r>
      <w:r>
        <w:rPr>
          <w:snapToGrid w:val="0"/>
        </w:rPr>
        <w:t>.</w:t>
      </w:r>
      <w:r>
        <w:rPr>
          <w:snapToGrid w:val="0"/>
        </w:rPr>
        <w:tab/>
        <w:t>Compliance with best practice criteria may be condition of licence (Act s. 62(2))</w:t>
      </w:r>
      <w:r>
        <w:tab/>
      </w:r>
      <w:r>
        <w:fldChar w:fldCharType="begin"/>
      </w:r>
      <w:r>
        <w:instrText xml:space="preserve"> PAGEREF _Toc473036883 \h </w:instrText>
      </w:r>
      <w:r>
        <w:fldChar w:fldCharType="separate"/>
      </w:r>
      <w:r>
        <w:t>21</w:t>
      </w:r>
      <w:r>
        <w:fldChar w:fldCharType="end"/>
      </w:r>
    </w:p>
    <w:p>
      <w:pPr>
        <w:pStyle w:val="TOC8"/>
        <w:rPr>
          <w:rFonts w:asciiTheme="minorHAnsi" w:eastAsiaTheme="minorEastAsia" w:hAnsiTheme="minorHAnsi" w:cstheme="minorBidi"/>
          <w:szCs w:val="22"/>
        </w:rPr>
      </w:pPr>
      <w:r>
        <w:t>5J.</w:t>
      </w:r>
      <w:r>
        <w:tab/>
        <w:t>Manner of advertising prescribed</w:t>
      </w:r>
      <w:r>
        <w:rPr>
          <w:snapToGrid w:val="0"/>
        </w:rPr>
        <w:t xml:space="preserve"> (Act s. 57(2a))</w:t>
      </w:r>
      <w:r>
        <w:tab/>
      </w:r>
      <w:r>
        <w:fldChar w:fldCharType="begin"/>
      </w:r>
      <w:r>
        <w:instrText xml:space="preserve"> PAGEREF _Toc473036884 \h </w:instrText>
      </w:r>
      <w:r>
        <w:fldChar w:fldCharType="separate"/>
      </w:r>
      <w:r>
        <w:t>22</w:t>
      </w:r>
      <w:r>
        <w:fldChar w:fldCharType="end"/>
      </w:r>
    </w:p>
    <w:p>
      <w:pPr>
        <w:pStyle w:val="TOC8"/>
        <w:rPr>
          <w:rFonts w:asciiTheme="minorHAnsi" w:eastAsiaTheme="minorEastAsia" w:hAnsiTheme="minorHAnsi" w:cstheme="minorBidi"/>
          <w:szCs w:val="22"/>
        </w:rPr>
      </w:pPr>
      <w:r>
        <w:t>5K.</w:t>
      </w:r>
      <w:r>
        <w:tab/>
        <w:t xml:space="preserve">Details of discharge prescribed </w:t>
      </w:r>
      <w:r>
        <w:rPr>
          <w:snapToGrid w:val="0"/>
        </w:rPr>
        <w:t>(Act s. 72(1))</w:t>
      </w:r>
      <w:r>
        <w:tab/>
      </w:r>
      <w:r>
        <w:fldChar w:fldCharType="begin"/>
      </w:r>
      <w:r>
        <w:instrText xml:space="preserve"> PAGEREF _Toc473036885 \h </w:instrText>
      </w:r>
      <w:r>
        <w:fldChar w:fldCharType="separate"/>
      </w:r>
      <w:r>
        <w:t>22</w:t>
      </w:r>
      <w:r>
        <w:fldChar w:fldCharType="end"/>
      </w:r>
    </w:p>
    <w:p>
      <w:pPr>
        <w:pStyle w:val="TOC8"/>
        <w:rPr>
          <w:rFonts w:asciiTheme="minorHAnsi" w:eastAsiaTheme="minorEastAsia" w:hAnsiTheme="minorHAnsi" w:cstheme="minorBidi"/>
          <w:szCs w:val="22"/>
        </w:rPr>
      </w:pPr>
      <w:r>
        <w:t>5L.</w:t>
      </w:r>
      <w:r>
        <w:tab/>
        <w:t>Manner of notifying prescribed</w:t>
      </w:r>
      <w:r>
        <w:rPr>
          <w:snapToGrid w:val="0"/>
        </w:rPr>
        <w:t xml:space="preserve"> (Act s. 72)</w:t>
      </w:r>
      <w:r>
        <w:tab/>
      </w:r>
      <w:r>
        <w:fldChar w:fldCharType="begin"/>
      </w:r>
      <w:r>
        <w:instrText xml:space="preserve"> PAGEREF _Toc473036886 \h </w:instrText>
      </w:r>
      <w:r>
        <w:fldChar w:fldCharType="separate"/>
      </w:r>
      <w:r>
        <w:t>23</w:t>
      </w:r>
      <w:r>
        <w:fldChar w:fldCharType="end"/>
      </w:r>
    </w:p>
    <w:p>
      <w:pPr>
        <w:pStyle w:val="TOC8"/>
        <w:rPr>
          <w:rFonts w:asciiTheme="minorHAnsi" w:eastAsiaTheme="minorEastAsia" w:hAnsiTheme="minorHAnsi" w:cstheme="minorBidi"/>
          <w:szCs w:val="22"/>
        </w:rPr>
      </w:pPr>
      <w:r>
        <w:t>5M.</w:t>
      </w:r>
      <w:r>
        <w:tab/>
        <w:t>Changes in information given to Department, occupier etc. to notify Department of</w:t>
      </w:r>
      <w:r>
        <w:tab/>
      </w:r>
      <w:r>
        <w:fldChar w:fldCharType="begin"/>
      </w:r>
      <w:r>
        <w:instrText xml:space="preserve"> PAGEREF _Toc473036887 \h </w:instrText>
      </w:r>
      <w:r>
        <w:fldChar w:fldCharType="separate"/>
      </w:r>
      <w:r>
        <w:t>23</w:t>
      </w:r>
      <w:r>
        <w:fldChar w:fldCharType="end"/>
      </w:r>
    </w:p>
    <w:p>
      <w:pPr>
        <w:pStyle w:val="TOC8"/>
        <w:rPr>
          <w:rFonts w:asciiTheme="minorHAnsi" w:eastAsiaTheme="minorEastAsia" w:hAnsiTheme="minorHAnsi" w:cstheme="minorBidi"/>
          <w:szCs w:val="22"/>
        </w:rPr>
      </w:pPr>
      <w:r>
        <w:t>5N.</w:t>
      </w:r>
      <w:r>
        <w:tab/>
        <w:t>Transitional provision (reduced fees)</w:t>
      </w:r>
      <w:r>
        <w:tab/>
      </w:r>
      <w:r>
        <w:fldChar w:fldCharType="begin"/>
      </w:r>
      <w:r>
        <w:instrText xml:space="preserve"> PAGEREF _Toc473036888 \h </w:instrText>
      </w:r>
      <w:r>
        <w:fldChar w:fldCharType="separate"/>
      </w:r>
      <w:r>
        <w:t>24</w:t>
      </w:r>
      <w:r>
        <w:fldChar w:fldCharType="end"/>
      </w:r>
    </w:p>
    <w:p>
      <w:pPr>
        <w:pStyle w:val="TOC8"/>
        <w:rPr>
          <w:rFonts w:asciiTheme="minorHAnsi" w:eastAsiaTheme="minorEastAsia" w:hAnsiTheme="minorHAnsi" w:cstheme="minorBidi"/>
          <w:szCs w:val="22"/>
        </w:rPr>
      </w:pPr>
      <w:r>
        <w:t>5O.</w:t>
      </w:r>
      <w:r>
        <w:tab/>
        <w:t>Reduction, waiver, or refund of fees, CEO’s powers as to</w:t>
      </w:r>
      <w:r>
        <w:tab/>
      </w:r>
      <w:r>
        <w:fldChar w:fldCharType="begin"/>
      </w:r>
      <w:r>
        <w:instrText xml:space="preserve"> PAGEREF _Toc473036889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4 — Audible alarms</w:t>
      </w:r>
    </w:p>
    <w:p>
      <w:pPr>
        <w:pStyle w:val="TOC8"/>
        <w:rPr>
          <w:rFonts w:asciiTheme="minorHAnsi" w:eastAsiaTheme="minorEastAsia" w:hAnsiTheme="minorHAnsi" w:cstheme="minorBidi"/>
          <w:szCs w:val="22"/>
        </w:rPr>
      </w:pPr>
      <w:r>
        <w:t>6</w:t>
      </w:r>
      <w:r>
        <w:rPr>
          <w:snapToGrid w:val="0"/>
        </w:rPr>
        <w:t>.</w:t>
      </w:r>
      <w:r>
        <w:rPr>
          <w:snapToGrid w:val="0"/>
        </w:rPr>
        <w:tab/>
        <w:t>Period prescribed for audible alarms (Act s. 99(1)(a))</w:t>
      </w:r>
      <w:r>
        <w:tab/>
      </w:r>
      <w:r>
        <w:fldChar w:fldCharType="begin"/>
      </w:r>
      <w:r>
        <w:instrText xml:space="preserve"> PAGEREF _Toc473036891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5 — Appeals</w:t>
      </w:r>
    </w:p>
    <w:p>
      <w:pPr>
        <w:pStyle w:val="TOC8"/>
        <w:rPr>
          <w:rFonts w:asciiTheme="minorHAnsi" w:eastAsiaTheme="minorEastAsia" w:hAnsiTheme="minorHAnsi" w:cstheme="minorBidi"/>
          <w:szCs w:val="22"/>
        </w:rPr>
      </w:pPr>
      <w:r>
        <w:t>7</w:t>
      </w:r>
      <w:r>
        <w:rPr>
          <w:snapToGrid w:val="0"/>
        </w:rPr>
        <w:t>.</w:t>
      </w:r>
      <w:r>
        <w:rPr>
          <w:snapToGrid w:val="0"/>
        </w:rPr>
        <w:tab/>
        <w:t>Commencing appeals under Act Part VII, manner of</w:t>
      </w:r>
      <w:r>
        <w:tab/>
      </w:r>
      <w:r>
        <w:fldChar w:fldCharType="begin"/>
      </w:r>
      <w:r>
        <w:instrText xml:space="preserve"> PAGEREF _Toc473036893 \h </w:instrText>
      </w:r>
      <w:r>
        <w:fldChar w:fldCharType="separate"/>
      </w:r>
      <w:r>
        <w:t>27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Decisions on appeals, Minister to publish</w:t>
      </w:r>
      <w:r>
        <w:tab/>
      </w:r>
      <w:r>
        <w:fldChar w:fldCharType="begin"/>
      </w:r>
      <w:r>
        <w:instrText xml:space="preserve"> PAGEREF _Toc473036894 \h </w:instrText>
      </w:r>
      <w:r>
        <w:fldChar w:fldCharType="separate"/>
      </w:r>
      <w:r>
        <w:t>28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Decisions on appeals, persons to be notified of</w:t>
      </w:r>
      <w:r>
        <w:tab/>
      </w:r>
      <w:r>
        <w:fldChar w:fldCharType="begin"/>
      </w:r>
      <w:r>
        <w:instrText xml:space="preserve"> PAGEREF _Toc473036895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6 — Tyres</w:t>
      </w:r>
    </w:p>
    <w:p>
      <w:pPr>
        <w:pStyle w:val="TOC8"/>
        <w:rPr>
          <w:rFonts w:asciiTheme="minorHAnsi" w:eastAsiaTheme="minorEastAsia" w:hAnsiTheme="minorHAnsi" w:cstheme="minorBidi"/>
          <w:szCs w:val="22"/>
        </w:rPr>
      </w:pPr>
      <w:r>
        <w:t>11</w:t>
      </w:r>
      <w:r>
        <w:rPr>
          <w:snapToGrid w:val="0"/>
        </w:rPr>
        <w:t>.</w:t>
      </w:r>
      <w:r>
        <w:rPr>
          <w:snapToGrid w:val="0"/>
        </w:rPr>
        <w:tab/>
        <w:t>Terms used; calculating quantity of used tyres</w:t>
      </w:r>
      <w:r>
        <w:tab/>
      </w:r>
      <w:r>
        <w:fldChar w:fldCharType="begin"/>
      </w:r>
      <w:r>
        <w:instrText xml:space="preserve"> PAGEREF _Toc473036897 \h </w:instrText>
      </w:r>
      <w:r>
        <w:fldChar w:fldCharType="separate"/>
      </w:r>
      <w:r>
        <w:t>31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r>
        <w:tab/>
      </w:r>
      <w:r>
        <w:fldChar w:fldCharType="begin"/>
      </w:r>
      <w:r>
        <w:instrText xml:space="preserve"> PAGEREF _Toc473036898 \h </w:instrText>
      </w:r>
      <w:r>
        <w:fldChar w:fldCharType="separate"/>
      </w:r>
      <w:r>
        <w:t>32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Transport of used tyres for reward etc., when permitted</w:t>
      </w:r>
      <w:r>
        <w:tab/>
      </w:r>
      <w:r>
        <w:fldChar w:fldCharType="begin"/>
      </w:r>
      <w:r>
        <w:instrText xml:space="preserve"> PAGEREF _Toc473036899 \h </w:instrText>
      </w:r>
      <w:r>
        <w:fldChar w:fldCharType="separate"/>
      </w:r>
      <w:r>
        <w:t>32</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Tyre retailer not to damage used tyres</w:t>
      </w:r>
      <w:r>
        <w:tab/>
      </w:r>
      <w:r>
        <w:fldChar w:fldCharType="begin"/>
      </w:r>
      <w:r>
        <w:instrText xml:space="preserve"> PAGEREF _Toc473036900 \h </w:instrText>
      </w:r>
      <w:r>
        <w:fldChar w:fldCharType="separate"/>
      </w:r>
      <w:r>
        <w:t>33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Disposal of tyres, permitted means for</w:t>
      </w:r>
      <w:r>
        <w:tab/>
      </w:r>
      <w:r>
        <w:fldChar w:fldCharType="begin"/>
      </w:r>
      <w:r>
        <w:instrText xml:space="preserve"> PAGEREF _Toc473036901 \h </w:instrText>
      </w:r>
      <w:r>
        <w:fldChar w:fldCharType="separate"/>
      </w:r>
      <w:r>
        <w:t>33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Used tyres, storage of on licensed premises</w:t>
      </w:r>
      <w:r>
        <w:tab/>
      </w:r>
      <w:r>
        <w:fldChar w:fldCharType="begin"/>
      </w:r>
      <w:r>
        <w:instrText xml:space="preserve"> PAGEREF _Toc473036902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7 — Anti</w:t>
      </w:r>
      <w:r>
        <w:noBreakHyphen/>
        <w:t>fouling paint</w:t>
      </w:r>
    </w:p>
    <w:p>
      <w:pPr>
        <w:pStyle w:val="TOC8"/>
        <w:rPr>
          <w:rFonts w:asciiTheme="minorHAnsi" w:eastAsiaTheme="minorEastAsia" w:hAnsiTheme="minorHAnsi" w:cstheme="minorBidi"/>
          <w:szCs w:val="22"/>
        </w:rPr>
      </w:pPr>
      <w:r>
        <w:t>16</w:t>
      </w:r>
      <w:r>
        <w:rPr>
          <w:snapToGrid w:val="0"/>
        </w:rPr>
        <w:t>.</w:t>
      </w:r>
      <w:r>
        <w:rPr>
          <w:snapToGrid w:val="0"/>
        </w:rPr>
        <w:tab/>
        <w:t>Organotin anti</w:t>
      </w:r>
      <w:r>
        <w:rPr>
          <w:snapToGrid w:val="0"/>
        </w:rPr>
        <w:noBreakHyphen/>
        <w:t>fouling paint, restrictions on use, sale etc. of</w:t>
      </w:r>
      <w:r>
        <w:tab/>
      </w:r>
      <w:r>
        <w:fldChar w:fldCharType="begin"/>
      </w:r>
      <w:r>
        <w:instrText xml:space="preserve"> PAGEREF _Toc473036904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7A — Burning on development sites</w:t>
      </w:r>
    </w:p>
    <w:p>
      <w:pPr>
        <w:pStyle w:val="TOC8"/>
        <w:rPr>
          <w:rFonts w:asciiTheme="minorHAnsi" w:eastAsiaTheme="minorEastAsia" w:hAnsiTheme="minorHAnsi" w:cstheme="minorBidi"/>
          <w:szCs w:val="22"/>
        </w:rPr>
      </w:pPr>
      <w:r>
        <w:t>16A.</w:t>
      </w:r>
      <w:r>
        <w:tab/>
        <w:t>Terms used</w:t>
      </w:r>
      <w:r>
        <w:tab/>
      </w:r>
      <w:r>
        <w:fldChar w:fldCharType="begin"/>
      </w:r>
      <w:r>
        <w:instrText xml:space="preserve"> PAGEREF _Toc473036906 \h </w:instrText>
      </w:r>
      <w:r>
        <w:fldChar w:fldCharType="separate"/>
      </w:r>
      <w:r>
        <w:t>38</w:t>
      </w:r>
      <w:r>
        <w:fldChar w:fldCharType="end"/>
      </w:r>
    </w:p>
    <w:p>
      <w:pPr>
        <w:pStyle w:val="TOC8"/>
        <w:rPr>
          <w:rFonts w:asciiTheme="minorHAnsi" w:eastAsiaTheme="minorEastAsia" w:hAnsiTheme="minorHAnsi" w:cstheme="minorBidi"/>
          <w:szCs w:val="22"/>
        </w:rPr>
      </w:pPr>
      <w:r>
        <w:t>16B.</w:t>
      </w:r>
      <w:r>
        <w:tab/>
        <w:t>Burning vegetation etc. on development sites in Sch. 5A areas restricted</w:t>
      </w:r>
      <w:r>
        <w:tab/>
      </w:r>
      <w:r>
        <w:fldChar w:fldCharType="begin"/>
      </w:r>
      <w:r>
        <w:instrText xml:space="preserve"> PAGEREF _Toc473036907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8 — Monitoring</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_Toc473036909 \h </w:instrText>
      </w:r>
      <w:r>
        <w:fldChar w:fldCharType="separate"/>
      </w:r>
      <w:r>
        <w:t>39</w:t>
      </w:r>
      <w:r>
        <w:fldChar w:fldCharType="end"/>
      </w:r>
    </w:p>
    <w:p>
      <w:pPr>
        <w:pStyle w:val="TOC8"/>
        <w:rPr>
          <w:rFonts w:asciiTheme="minorHAnsi" w:eastAsiaTheme="minorEastAsia" w:hAnsiTheme="minorHAnsi" w:cstheme="minorBidi"/>
          <w:szCs w:val="22"/>
        </w:rPr>
      </w:pPr>
      <w:r>
        <w:t>18.</w:t>
      </w:r>
      <w:r>
        <w:tab/>
        <w:t>Conditions prescribed (Act s. 62(2))</w:t>
      </w:r>
      <w:r>
        <w:tab/>
      </w:r>
      <w:r>
        <w:fldChar w:fldCharType="begin"/>
      </w:r>
      <w:r>
        <w:instrText xml:space="preserve"> PAGEREF _Toc473036910 \h </w:instrText>
      </w:r>
      <w:r>
        <w:fldChar w:fldCharType="separate"/>
      </w:r>
      <w:r>
        <w:t>39</w:t>
      </w:r>
      <w:r>
        <w:fldChar w:fldCharType="end"/>
      </w:r>
    </w:p>
    <w:p>
      <w:pPr>
        <w:pStyle w:val="TOC8"/>
        <w:rPr>
          <w:rFonts w:asciiTheme="minorHAnsi" w:eastAsiaTheme="minorEastAsia" w:hAnsiTheme="minorHAnsi" w:cstheme="minorBidi"/>
          <w:szCs w:val="22"/>
        </w:rPr>
      </w:pPr>
      <w:r>
        <w:t>19.</w:t>
      </w:r>
      <w:r>
        <w:tab/>
        <w:t>Approved monitoring equipment, to be used in specified monitoring programmes</w:t>
      </w:r>
      <w:r>
        <w:tab/>
      </w:r>
      <w:r>
        <w:fldChar w:fldCharType="begin"/>
      </w:r>
      <w:r>
        <w:instrText xml:space="preserve"> PAGEREF _Toc473036911 \h </w:instrText>
      </w:r>
      <w:r>
        <w:fldChar w:fldCharType="separate"/>
      </w:r>
      <w:r>
        <w:t>39</w:t>
      </w:r>
      <w:r>
        <w:fldChar w:fldCharType="end"/>
      </w:r>
    </w:p>
    <w:p>
      <w:pPr>
        <w:pStyle w:val="TOC8"/>
        <w:rPr>
          <w:rFonts w:asciiTheme="minorHAnsi" w:eastAsiaTheme="minorEastAsia" w:hAnsiTheme="minorHAnsi" w:cstheme="minorBidi"/>
          <w:szCs w:val="22"/>
        </w:rPr>
      </w:pPr>
      <w:r>
        <w:t>20.</w:t>
      </w:r>
      <w:r>
        <w:tab/>
        <w:t>Approved monitoring equipment, duty to ensure accuracy of</w:t>
      </w:r>
      <w:r>
        <w:tab/>
      </w:r>
      <w:r>
        <w:fldChar w:fldCharType="begin"/>
      </w:r>
      <w:r>
        <w:instrText xml:space="preserve"> PAGEREF _Toc473036912 \h </w:instrText>
      </w:r>
      <w:r>
        <w:fldChar w:fldCharType="separate"/>
      </w:r>
      <w:r>
        <w:t>40</w:t>
      </w:r>
      <w:r>
        <w:fldChar w:fldCharType="end"/>
      </w:r>
    </w:p>
    <w:p>
      <w:pPr>
        <w:pStyle w:val="TOC8"/>
        <w:rPr>
          <w:rFonts w:asciiTheme="minorHAnsi" w:eastAsiaTheme="minorEastAsia" w:hAnsiTheme="minorHAnsi" w:cstheme="minorBidi"/>
          <w:szCs w:val="22"/>
        </w:rPr>
      </w:pPr>
      <w:r>
        <w:t>20A.</w:t>
      </w:r>
      <w:r>
        <w:tab/>
        <w:t>Approved monitoring equipment, duty to comply with conditions of approval of</w:t>
      </w:r>
      <w:r>
        <w:tab/>
      </w:r>
      <w:r>
        <w:fldChar w:fldCharType="begin"/>
      </w:r>
      <w:r>
        <w:instrText xml:space="preserve"> PAGEREF _Toc473036913 \h </w:instrText>
      </w:r>
      <w:r>
        <w:fldChar w:fldCharType="separate"/>
      </w:r>
      <w:r>
        <w:t>40</w:t>
      </w:r>
      <w:r>
        <w:fldChar w:fldCharType="end"/>
      </w:r>
    </w:p>
    <w:p>
      <w:pPr>
        <w:pStyle w:val="TOC8"/>
        <w:rPr>
          <w:rFonts w:asciiTheme="minorHAnsi" w:eastAsiaTheme="minorEastAsia" w:hAnsiTheme="minorHAnsi" w:cstheme="minorBidi"/>
          <w:szCs w:val="22"/>
        </w:rPr>
      </w:pPr>
      <w:r>
        <w:t>20B.</w:t>
      </w:r>
      <w:r>
        <w:tab/>
        <w:t>Approved monitoring equipment, duty to report results of to CEO</w:t>
      </w:r>
      <w:r>
        <w:tab/>
      </w:r>
      <w:r>
        <w:fldChar w:fldCharType="begin"/>
      </w:r>
      <w:r>
        <w:instrText xml:space="preserve"> PAGEREF _Toc473036914 \h </w:instrText>
      </w:r>
      <w:r>
        <w:fldChar w:fldCharType="separate"/>
      </w:r>
      <w:r>
        <w:t>41</w:t>
      </w:r>
      <w:r>
        <w:fldChar w:fldCharType="end"/>
      </w:r>
    </w:p>
    <w:p>
      <w:pPr>
        <w:pStyle w:val="TOC8"/>
        <w:rPr>
          <w:rFonts w:asciiTheme="minorHAnsi" w:eastAsiaTheme="minorEastAsia" w:hAnsiTheme="minorHAnsi" w:cstheme="minorBidi"/>
          <w:szCs w:val="22"/>
        </w:rPr>
      </w:pPr>
      <w:r>
        <w:t>20C.</w:t>
      </w:r>
      <w:r>
        <w:tab/>
        <w:t>Approved monitoring equipment, presumption of accuracy of</w:t>
      </w:r>
      <w:r>
        <w:tab/>
      </w:r>
      <w:r>
        <w:fldChar w:fldCharType="begin"/>
      </w:r>
      <w:r>
        <w:instrText xml:space="preserve"> PAGEREF _Toc473036915 \h </w:instrText>
      </w:r>
      <w:r>
        <w:fldChar w:fldCharType="separate"/>
      </w:r>
      <w:r>
        <w:t>42</w:t>
      </w:r>
      <w:r>
        <w:fldChar w:fldCharType="end"/>
      </w:r>
    </w:p>
    <w:p>
      <w:pPr>
        <w:pStyle w:val="TOC8"/>
        <w:rPr>
          <w:rFonts w:asciiTheme="minorHAnsi" w:eastAsiaTheme="minorEastAsia" w:hAnsiTheme="minorHAnsi" w:cstheme="minorBidi"/>
          <w:szCs w:val="22"/>
        </w:rPr>
      </w:pPr>
      <w:r>
        <w:t>20D.</w:t>
      </w:r>
      <w:r>
        <w:tab/>
        <w:t>Report of specified monitoring programme, presumption of accuracy of measurement in</w:t>
      </w:r>
      <w:r>
        <w:tab/>
      </w:r>
      <w:r>
        <w:fldChar w:fldCharType="begin"/>
      </w:r>
      <w:r>
        <w:instrText xml:space="preserve"> PAGEREF _Toc473036916 \h </w:instrText>
      </w:r>
      <w:r>
        <w:fldChar w:fldCharType="separate"/>
      </w:r>
      <w:r>
        <w:t>42</w:t>
      </w:r>
      <w:r>
        <w:fldChar w:fldCharType="end"/>
      </w:r>
    </w:p>
    <w:p>
      <w:pPr>
        <w:pStyle w:val="TOC8"/>
        <w:rPr>
          <w:rFonts w:asciiTheme="minorHAnsi" w:eastAsiaTheme="minorEastAsia" w:hAnsiTheme="minorHAnsi" w:cstheme="minorBidi"/>
          <w:szCs w:val="22"/>
        </w:rPr>
      </w:pPr>
      <w:r>
        <w:t>20E.</w:t>
      </w:r>
      <w:r>
        <w:tab/>
        <w:t>Inaccurate measurement in r. 20B report, duty to notify CEO of</w:t>
      </w:r>
      <w:r>
        <w:tab/>
      </w:r>
      <w:r>
        <w:fldChar w:fldCharType="begin"/>
      </w:r>
      <w:r>
        <w:instrText xml:space="preserve"> PAGEREF _Toc473036917 \h </w:instrText>
      </w:r>
      <w:r>
        <w:fldChar w:fldCharType="separate"/>
      </w:r>
      <w:r>
        <w:t>42</w:t>
      </w:r>
      <w:r>
        <w:fldChar w:fldCharType="end"/>
      </w:r>
    </w:p>
    <w:p>
      <w:pPr>
        <w:pStyle w:val="TOC8"/>
        <w:rPr>
          <w:rFonts w:asciiTheme="minorHAnsi" w:eastAsiaTheme="minorEastAsia" w:hAnsiTheme="minorHAnsi" w:cstheme="minorBidi"/>
          <w:szCs w:val="22"/>
        </w:rPr>
      </w:pPr>
      <w:r>
        <w:t>20F.</w:t>
      </w:r>
      <w:r>
        <w:tab/>
        <w:t>Monitoring equipment, approval of</w:t>
      </w:r>
      <w:r>
        <w:tab/>
      </w:r>
      <w:r>
        <w:fldChar w:fldCharType="begin"/>
      </w:r>
      <w:r>
        <w:instrText xml:space="preserve"> PAGEREF _Toc473036918 \h </w:instrText>
      </w:r>
      <w:r>
        <w:fldChar w:fldCharType="separate"/>
      </w:r>
      <w:r>
        <w:t>43</w:t>
      </w:r>
      <w:r>
        <w:fldChar w:fldCharType="end"/>
      </w:r>
    </w:p>
    <w:p>
      <w:pPr>
        <w:pStyle w:val="TOC8"/>
        <w:rPr>
          <w:rFonts w:asciiTheme="minorHAnsi" w:eastAsiaTheme="minorEastAsia" w:hAnsiTheme="minorHAnsi" w:cstheme="minorBidi"/>
          <w:szCs w:val="22"/>
        </w:rPr>
      </w:pPr>
      <w:r>
        <w:t>20G.</w:t>
      </w:r>
      <w:r>
        <w:tab/>
        <w:t>Monitoring equipment, conditions of approval of</w:t>
      </w:r>
      <w:r>
        <w:tab/>
      </w:r>
      <w:r>
        <w:fldChar w:fldCharType="begin"/>
      </w:r>
      <w:r>
        <w:instrText xml:space="preserve"> PAGEREF _Toc473036919 \h </w:instrText>
      </w:r>
      <w:r>
        <w:fldChar w:fldCharType="separate"/>
      </w:r>
      <w:r>
        <w:t>44</w:t>
      </w:r>
      <w:r>
        <w:fldChar w:fldCharType="end"/>
      </w:r>
    </w:p>
    <w:p>
      <w:pPr>
        <w:pStyle w:val="TOC8"/>
        <w:rPr>
          <w:rFonts w:asciiTheme="minorHAnsi" w:eastAsiaTheme="minorEastAsia" w:hAnsiTheme="minorHAnsi" w:cstheme="minorBidi"/>
          <w:szCs w:val="22"/>
        </w:rPr>
      </w:pPr>
      <w:r>
        <w:t>20H.</w:t>
      </w:r>
      <w:r>
        <w:tab/>
        <w:t>Approval of monitoring equipment, revoking</w:t>
      </w:r>
      <w:r>
        <w:tab/>
      </w:r>
      <w:r>
        <w:fldChar w:fldCharType="begin"/>
      </w:r>
      <w:r>
        <w:instrText xml:space="preserve"> PAGEREF _Toc473036920 \h </w:instrText>
      </w:r>
      <w:r>
        <w:fldChar w:fldCharType="separate"/>
      </w:r>
      <w:r>
        <w:t>45</w:t>
      </w:r>
      <w:r>
        <w:fldChar w:fldCharType="end"/>
      </w:r>
    </w:p>
    <w:p>
      <w:pPr>
        <w:pStyle w:val="TOC8"/>
        <w:rPr>
          <w:rFonts w:asciiTheme="minorHAnsi" w:eastAsiaTheme="minorEastAsia" w:hAnsiTheme="minorHAnsi" w:cstheme="minorBidi"/>
          <w:szCs w:val="22"/>
        </w:rPr>
      </w:pPr>
      <w:r>
        <w:t>20I.</w:t>
      </w:r>
      <w:r>
        <w:tab/>
        <w:t>Appeal against r. 20F, 20G or 20H decision</w:t>
      </w:r>
      <w:r>
        <w:tab/>
      </w:r>
      <w:r>
        <w:fldChar w:fldCharType="begin"/>
      </w:r>
      <w:r>
        <w:instrText xml:space="preserve"> PAGEREF _Toc473036921 \h </w:instrText>
      </w:r>
      <w:r>
        <w:fldChar w:fldCharType="separate"/>
      </w:r>
      <w:r>
        <w:t>46</w:t>
      </w:r>
      <w:r>
        <w:fldChar w:fldCharType="end"/>
      </w:r>
    </w:p>
    <w:p>
      <w:pPr>
        <w:pStyle w:val="TOC8"/>
        <w:rPr>
          <w:rFonts w:asciiTheme="minorHAnsi" w:eastAsiaTheme="minorEastAsia" w:hAnsiTheme="minorHAnsi" w:cstheme="minorBidi"/>
          <w:szCs w:val="22"/>
        </w:rPr>
      </w:pPr>
      <w:r>
        <w:t>20J.</w:t>
      </w:r>
      <w:r>
        <w:tab/>
        <w:t>Revocation of approval, use of monitoring equipment pending determination of appeal against</w:t>
      </w:r>
      <w:r>
        <w:tab/>
      </w:r>
      <w:r>
        <w:fldChar w:fldCharType="begin"/>
      </w:r>
      <w:r>
        <w:instrText xml:space="preserve"> PAGEREF _Toc473036922 \h </w:instrText>
      </w:r>
      <w:r>
        <w:fldChar w:fldCharType="separate"/>
      </w:r>
      <w:r>
        <w:t>46</w:t>
      </w:r>
      <w:r>
        <w:fldChar w:fldCharType="end"/>
      </w:r>
    </w:p>
    <w:p>
      <w:pPr>
        <w:pStyle w:val="TOC8"/>
        <w:rPr>
          <w:rFonts w:asciiTheme="minorHAnsi" w:eastAsiaTheme="minorEastAsia" w:hAnsiTheme="minorHAnsi" w:cstheme="minorBidi"/>
          <w:szCs w:val="22"/>
        </w:rPr>
      </w:pPr>
      <w:r>
        <w:t>20K.</w:t>
      </w:r>
      <w:r>
        <w:tab/>
        <w:t>CEO’s signature, judicial notice of</w:t>
      </w:r>
      <w:r>
        <w:tab/>
      </w:r>
      <w:r>
        <w:fldChar w:fldCharType="begin"/>
      </w:r>
      <w:r>
        <w:instrText xml:space="preserve"> PAGEREF _Toc473036923 \h </w:instrText>
      </w:r>
      <w:r>
        <w:fldChar w:fldCharType="separate"/>
      </w:r>
      <w:r>
        <w:t>47</w:t>
      </w:r>
      <w:r>
        <w:fldChar w:fldCharType="end"/>
      </w:r>
    </w:p>
    <w:p>
      <w:pPr>
        <w:pStyle w:val="TOC8"/>
        <w:rPr>
          <w:rFonts w:asciiTheme="minorHAnsi" w:eastAsiaTheme="minorEastAsia" w:hAnsiTheme="minorHAnsi" w:cstheme="minorBidi"/>
          <w:szCs w:val="22"/>
        </w:rPr>
      </w:pPr>
      <w:r>
        <w:t>20KA.</w:t>
      </w:r>
      <w:r>
        <w:tab/>
        <w:t>Guidelines for performance of CEO’s functions, Minister may make etc.</w:t>
      </w:r>
      <w:r>
        <w:tab/>
      </w:r>
      <w:r>
        <w:fldChar w:fldCharType="begin"/>
      </w:r>
      <w:r>
        <w:instrText xml:space="preserve"> PAGEREF _Toc473036924 \h </w:instrText>
      </w:r>
      <w:r>
        <w:fldChar w:fldCharType="separate"/>
      </w:r>
      <w:r>
        <w:t>47</w:t>
      </w:r>
      <w:r>
        <w:fldChar w:fldCharType="end"/>
      </w:r>
    </w:p>
    <w:p>
      <w:pPr>
        <w:pStyle w:val="TOC8"/>
        <w:rPr>
          <w:rFonts w:asciiTheme="minorHAnsi" w:eastAsiaTheme="minorEastAsia" w:hAnsiTheme="minorHAnsi" w:cstheme="minorBidi"/>
          <w:szCs w:val="22"/>
        </w:rPr>
      </w:pPr>
      <w:r>
        <w:t>20L.</w:t>
      </w:r>
      <w:r>
        <w:tab/>
        <w:t>Review of this Part</w:t>
      </w:r>
      <w:r>
        <w:tab/>
      </w:r>
      <w:r>
        <w:fldChar w:fldCharType="begin"/>
      </w:r>
      <w:r>
        <w:instrText xml:space="preserve"> PAGEREF _Toc473036925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9 — Landfill levy</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_Toc473036927 \h </w:instrText>
      </w:r>
      <w:r>
        <w:fldChar w:fldCharType="separate"/>
      </w:r>
      <w:r>
        <w:t>49</w:t>
      </w:r>
      <w:r>
        <w:fldChar w:fldCharType="end"/>
      </w:r>
    </w:p>
    <w:p>
      <w:pPr>
        <w:pStyle w:val="TOC8"/>
        <w:rPr>
          <w:rFonts w:asciiTheme="minorHAnsi" w:eastAsiaTheme="minorEastAsia" w:hAnsiTheme="minorHAnsi" w:cstheme="minorBidi"/>
          <w:szCs w:val="22"/>
        </w:rPr>
      </w:pPr>
      <w:r>
        <w:t>22</w:t>
      </w:r>
      <w:r>
        <w:rPr>
          <w:snapToGrid w:val="0"/>
        </w:rPr>
        <w:t xml:space="preserve">. </w:t>
      </w:r>
      <w:r>
        <w:rPr>
          <w:snapToGrid w:val="0"/>
        </w:rPr>
        <w:tab/>
        <w:t>Application of this Part</w:t>
      </w:r>
      <w:r>
        <w:tab/>
      </w:r>
      <w:r>
        <w:fldChar w:fldCharType="begin"/>
      </w:r>
      <w:r>
        <w:instrText xml:space="preserve"> PAGEREF _Toc473036928 \h </w:instrText>
      </w:r>
      <w:r>
        <w:fldChar w:fldCharType="separate"/>
      </w:r>
      <w:r>
        <w:t>50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Exemptions from this Part; refunds etc. of levy</w:t>
      </w:r>
      <w:r>
        <w:tab/>
      </w:r>
      <w:r>
        <w:fldChar w:fldCharType="begin"/>
      </w:r>
      <w:r>
        <w:instrText xml:space="preserve"> PAGEREF _Toc473036929 \h </w:instrText>
      </w:r>
      <w:r>
        <w:fldChar w:fldCharType="separate"/>
      </w:r>
      <w:r>
        <w:t>51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Financial assurance, CEO may require from licensee with r. 23(1)(b) exemption</w:t>
      </w:r>
      <w:r>
        <w:tab/>
      </w:r>
      <w:r>
        <w:fldChar w:fldCharType="begin"/>
      </w:r>
      <w:r>
        <w:instrText xml:space="preserve"> PAGEREF _Toc473036930 \h </w:instrText>
      </w:r>
      <w:r>
        <w:fldChar w:fldCharType="separate"/>
      </w:r>
      <w:r>
        <w:t>52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Waste received at category 64 or 65 licensed landfill, calculating amount of</w:t>
      </w:r>
      <w:r>
        <w:tab/>
      </w:r>
      <w:r>
        <w:fldChar w:fldCharType="begin"/>
      </w:r>
      <w:r>
        <w:instrText xml:space="preserve"> PAGEREF _Toc473036931 \h </w:instrText>
      </w:r>
      <w:r>
        <w:fldChar w:fldCharType="separate"/>
      </w:r>
      <w:r>
        <w:t>53</w:t>
      </w:r>
      <w:r>
        <w:fldChar w:fldCharType="end"/>
      </w:r>
    </w:p>
    <w:p>
      <w:pPr>
        <w:pStyle w:val="TOC8"/>
        <w:rPr>
          <w:rFonts w:asciiTheme="minorHAnsi" w:eastAsiaTheme="minorEastAsia" w:hAnsiTheme="minorHAnsi" w:cstheme="minorBidi"/>
          <w:szCs w:val="22"/>
        </w:rPr>
      </w:pPr>
      <w:r>
        <w:t>26.</w:t>
      </w:r>
      <w:r>
        <w:tab/>
        <w:t>Waste disposed of in category 63 licensed landfill, calculating amount of</w:t>
      </w:r>
      <w:r>
        <w:tab/>
      </w:r>
      <w:r>
        <w:fldChar w:fldCharType="begin"/>
      </w:r>
      <w:r>
        <w:instrText xml:space="preserve"> PAGEREF _Toc473036932 \h </w:instrText>
      </w:r>
      <w:r>
        <w:fldChar w:fldCharType="separate"/>
      </w:r>
      <w:r>
        <w:t>54</w:t>
      </w:r>
      <w:r>
        <w:fldChar w:fldCharType="end"/>
      </w:r>
    </w:p>
    <w:p>
      <w:pPr>
        <w:pStyle w:val="TOC8"/>
        <w:rPr>
          <w:rFonts w:asciiTheme="minorHAnsi" w:eastAsiaTheme="minorEastAsia" w:hAnsiTheme="minorHAnsi" w:cstheme="minorBidi"/>
          <w:szCs w:val="22"/>
        </w:rPr>
      </w:pPr>
      <w:r>
        <w:t>26A.</w:t>
      </w:r>
      <w:r>
        <w:tab/>
        <w:t>Breach of r. 26, CEO may estimate amount in case of etc.</w:t>
      </w:r>
      <w:r>
        <w:tab/>
      </w:r>
      <w:r>
        <w:fldChar w:fldCharType="begin"/>
      </w:r>
      <w:r>
        <w:instrText xml:space="preserve"> PAGEREF _Toc473036933 \h </w:instrText>
      </w:r>
      <w:r>
        <w:fldChar w:fldCharType="separate"/>
      </w:r>
      <w:r>
        <w:t>56</w:t>
      </w:r>
      <w:r>
        <w:fldChar w:fldCharType="end"/>
      </w:r>
    </w:p>
    <w:p>
      <w:pPr>
        <w:pStyle w:val="TOC8"/>
        <w:rPr>
          <w:rFonts w:asciiTheme="minorHAnsi" w:eastAsiaTheme="minorEastAsia" w:hAnsiTheme="minorHAnsi" w:cstheme="minorBidi"/>
          <w:szCs w:val="22"/>
        </w:rPr>
      </w:pPr>
      <w:r>
        <w:t>27.</w:t>
      </w:r>
      <w:r>
        <w:tab/>
        <w:t>Levy, determining amount of</w:t>
      </w:r>
      <w:r>
        <w:tab/>
      </w:r>
      <w:r>
        <w:fldChar w:fldCharType="begin"/>
      </w:r>
      <w:r>
        <w:instrText xml:space="preserve"> PAGEREF _Toc473036934 \h </w:instrText>
      </w:r>
      <w:r>
        <w:fldChar w:fldCharType="separate"/>
      </w:r>
      <w:r>
        <w:t>57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Financial assurance, licensees to pay</w:t>
      </w:r>
      <w:r>
        <w:tab/>
      </w:r>
      <w:r>
        <w:fldChar w:fldCharType="begin"/>
      </w:r>
      <w:r>
        <w:instrText xml:space="preserve"> PAGEREF _Toc473036935 \h </w:instrText>
      </w:r>
      <w:r>
        <w:fldChar w:fldCharType="separate"/>
      </w:r>
      <w:r>
        <w:t>58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Records of waste received, licensees’ duties as to</w:t>
      </w:r>
      <w:r>
        <w:tab/>
      </w:r>
      <w:r>
        <w:fldChar w:fldCharType="begin"/>
      </w:r>
      <w:r>
        <w:instrText xml:space="preserve"> PAGEREF _Toc473036936 \h </w:instrText>
      </w:r>
      <w:r>
        <w:fldChar w:fldCharType="separate"/>
      </w:r>
      <w:r>
        <w:t>60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Levy, payment of; returns to be lodged</w:t>
      </w:r>
      <w:r>
        <w:tab/>
      </w:r>
      <w:r>
        <w:fldChar w:fldCharType="begin"/>
      </w:r>
      <w:r>
        <w:instrText xml:space="preserve"> PAGEREF _Toc473036937 \h </w:instrText>
      </w:r>
      <w:r>
        <w:fldChar w:fldCharType="separate"/>
      </w:r>
      <w:r>
        <w:t>61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Audits, CEO’s powers to direct etc.</w:t>
      </w:r>
      <w:r>
        <w:tab/>
      </w:r>
      <w:r>
        <w:fldChar w:fldCharType="begin"/>
      </w:r>
      <w:r>
        <w:instrText xml:space="preserve"> PAGEREF _Toc473036938 \h </w:instrText>
      </w:r>
      <w:r>
        <w:fldChar w:fldCharType="separate"/>
      </w:r>
      <w:r>
        <w:t>61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CEO’s decisions, review of and appeal against</w:t>
      </w:r>
      <w:r>
        <w:tab/>
      </w:r>
      <w:r>
        <w:fldChar w:fldCharType="begin"/>
      </w:r>
      <w:r>
        <w:instrText xml:space="preserve"> PAGEREF _Toc473036939 \h </w:instrText>
      </w:r>
      <w:r>
        <w:fldChar w:fldCharType="separate"/>
      </w:r>
      <w:r>
        <w:t>62</w:t>
      </w:r>
      <w:r>
        <w:fldChar w:fldCharType="end"/>
      </w:r>
    </w:p>
    <w:p>
      <w:pPr>
        <w:pStyle w:val="TOC8"/>
        <w:rPr>
          <w:rFonts w:asciiTheme="minorHAnsi" w:eastAsiaTheme="minorEastAsia" w:hAnsiTheme="minorHAnsi" w:cstheme="minorBidi"/>
          <w:szCs w:val="22"/>
        </w:rPr>
      </w:pPr>
      <w:r>
        <w:t>33.</w:t>
      </w:r>
      <w:r>
        <w:tab/>
        <w:t>Payment of levies is condition of licence</w:t>
      </w:r>
      <w:r>
        <w:tab/>
      </w:r>
      <w:r>
        <w:fldChar w:fldCharType="begin"/>
      </w:r>
      <w:r>
        <w:instrText xml:space="preserve"> PAGEREF _Toc473036940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10 — Things seized or forfeited</w:t>
      </w:r>
    </w:p>
    <w:p>
      <w:pPr>
        <w:pStyle w:val="TOC8"/>
        <w:rPr>
          <w:rFonts w:asciiTheme="minorHAnsi" w:eastAsiaTheme="minorEastAsia" w:hAnsiTheme="minorHAnsi" w:cstheme="minorBidi"/>
          <w:szCs w:val="22"/>
        </w:rPr>
      </w:pPr>
      <w:r>
        <w:t>34.</w:t>
      </w:r>
      <w:r>
        <w:tab/>
        <w:t>Ways prescribed of dealing with seized things (Act s. 92B(1))</w:t>
      </w:r>
      <w:r>
        <w:tab/>
      </w:r>
      <w:r>
        <w:fldChar w:fldCharType="begin"/>
      </w:r>
      <w:r>
        <w:instrText xml:space="preserve"> PAGEREF _Toc473036942 \h </w:instrText>
      </w:r>
      <w:r>
        <w:fldChar w:fldCharType="separate"/>
      </w:r>
      <w:r>
        <w:t>64</w:t>
      </w:r>
      <w:r>
        <w:fldChar w:fldCharType="end"/>
      </w:r>
    </w:p>
    <w:p>
      <w:pPr>
        <w:pStyle w:val="TOC8"/>
        <w:rPr>
          <w:rFonts w:asciiTheme="minorHAnsi" w:eastAsiaTheme="minorEastAsia" w:hAnsiTheme="minorHAnsi" w:cstheme="minorBidi"/>
          <w:szCs w:val="22"/>
        </w:rPr>
      </w:pPr>
      <w:r>
        <w:t>35.</w:t>
      </w:r>
      <w:r>
        <w:tab/>
        <w:t>Manner of giving notice prescribed (Act s. 92D)</w:t>
      </w:r>
      <w:r>
        <w:tab/>
      </w:r>
      <w:r>
        <w:fldChar w:fldCharType="begin"/>
      </w:r>
      <w:r>
        <w:instrText xml:space="preserve"> PAGEREF _Toc473036943 \h </w:instrText>
      </w:r>
      <w:r>
        <w:fldChar w:fldCharType="separate"/>
      </w:r>
      <w:r>
        <w:t>64</w:t>
      </w:r>
      <w:r>
        <w:fldChar w:fldCharType="end"/>
      </w:r>
    </w:p>
    <w:p>
      <w:pPr>
        <w:pStyle w:val="TOC8"/>
        <w:rPr>
          <w:rFonts w:asciiTheme="minorHAnsi" w:eastAsiaTheme="minorEastAsia" w:hAnsiTheme="minorHAnsi" w:cstheme="minorBidi"/>
          <w:szCs w:val="22"/>
        </w:rPr>
      </w:pPr>
      <w:r>
        <w:t>36.</w:t>
      </w:r>
      <w:r>
        <w:tab/>
        <w:t>Ways prescribed of disposing of thing forfeited to Crown</w:t>
      </w:r>
      <w:r>
        <w:rPr>
          <w:snapToGrid w:val="0"/>
        </w:rPr>
        <w:t xml:space="preserve"> (Act s. 99W(1))</w:t>
      </w:r>
      <w:r>
        <w:tab/>
      </w:r>
      <w:r>
        <w:fldChar w:fldCharType="begin"/>
      </w:r>
      <w:r>
        <w:instrText xml:space="preserve"> PAGEREF _Toc473036944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11 — Modified penalties and Tier 2 offences</w:t>
      </w:r>
    </w:p>
    <w:p>
      <w:pPr>
        <w:pStyle w:val="TOC8"/>
        <w:rPr>
          <w:rFonts w:asciiTheme="minorHAnsi" w:eastAsiaTheme="minorEastAsia" w:hAnsiTheme="minorHAnsi" w:cstheme="minorBidi"/>
          <w:szCs w:val="22"/>
        </w:rPr>
      </w:pPr>
      <w:r>
        <w:t>37.</w:t>
      </w:r>
      <w:r>
        <w:tab/>
        <w:t>Form of modified penalty notice prescribed (Act s. 99B(1))</w:t>
      </w:r>
      <w:r>
        <w:tab/>
      </w:r>
      <w:r>
        <w:fldChar w:fldCharType="begin"/>
      </w:r>
      <w:r>
        <w:instrText xml:space="preserve"> PAGEREF _Toc473036946 \h </w:instrText>
      </w:r>
      <w:r>
        <w:fldChar w:fldCharType="separate"/>
      </w:r>
      <w:r>
        <w:t>66</w:t>
      </w:r>
      <w:r>
        <w:fldChar w:fldCharType="end"/>
      </w:r>
    </w:p>
    <w:p>
      <w:pPr>
        <w:pStyle w:val="TOC8"/>
        <w:rPr>
          <w:rFonts w:asciiTheme="minorHAnsi" w:eastAsiaTheme="minorEastAsia" w:hAnsiTheme="minorHAnsi" w:cstheme="minorBidi"/>
          <w:szCs w:val="22"/>
        </w:rPr>
      </w:pPr>
      <w:r>
        <w:t>38.</w:t>
      </w:r>
      <w:r>
        <w:tab/>
        <w:t>Form of notice of withdrawal prescribed (Act s. 99D(1))</w:t>
      </w:r>
      <w:r>
        <w:tab/>
      </w:r>
      <w:r>
        <w:fldChar w:fldCharType="begin"/>
      </w:r>
      <w:r>
        <w:instrText xml:space="preserve"> PAGEREF _Toc473036947 \h </w:instrText>
      </w:r>
      <w:r>
        <w:fldChar w:fldCharType="separate"/>
      </w:r>
      <w:r>
        <w:t>66</w:t>
      </w:r>
      <w:r>
        <w:fldChar w:fldCharType="end"/>
      </w:r>
    </w:p>
    <w:p>
      <w:pPr>
        <w:pStyle w:val="TOC8"/>
        <w:rPr>
          <w:rFonts w:asciiTheme="minorHAnsi" w:eastAsiaTheme="minorEastAsia" w:hAnsiTheme="minorHAnsi" w:cstheme="minorBidi"/>
          <w:szCs w:val="22"/>
        </w:rPr>
      </w:pPr>
      <w:r>
        <w:t>39.</w:t>
      </w:r>
      <w:r>
        <w:tab/>
        <w:t>Particulars prescribed (Act s. 99E(3))</w:t>
      </w:r>
      <w:r>
        <w:tab/>
      </w:r>
      <w:r>
        <w:fldChar w:fldCharType="begin"/>
      </w:r>
      <w:r>
        <w:instrText xml:space="preserve"> PAGEREF _Toc473036948 \h </w:instrText>
      </w:r>
      <w:r>
        <w:fldChar w:fldCharType="separate"/>
      </w:r>
      <w:r>
        <w:t>66</w:t>
      </w:r>
      <w:r>
        <w:fldChar w:fldCharType="end"/>
      </w:r>
    </w:p>
    <w:p>
      <w:pPr>
        <w:pStyle w:val="TOC8"/>
        <w:rPr>
          <w:rFonts w:asciiTheme="minorHAnsi" w:eastAsiaTheme="minorEastAsia" w:hAnsiTheme="minorHAnsi" w:cstheme="minorBidi"/>
          <w:szCs w:val="22"/>
        </w:rPr>
      </w:pPr>
      <w:r>
        <w:t>40.</w:t>
      </w:r>
      <w:r>
        <w:tab/>
        <w:t>Where and when public may inspect register (Act s. 99F(2))</w:t>
      </w:r>
      <w:r>
        <w:tab/>
      </w:r>
      <w:r>
        <w:fldChar w:fldCharType="begin"/>
      </w:r>
      <w:r>
        <w:instrText xml:space="preserve"> PAGEREF _Toc473036949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12 — Infringement notices and offences</w:t>
      </w:r>
    </w:p>
    <w:p>
      <w:pPr>
        <w:pStyle w:val="TOC8"/>
        <w:rPr>
          <w:rFonts w:asciiTheme="minorHAnsi" w:eastAsiaTheme="minorEastAsia" w:hAnsiTheme="minorHAnsi" w:cstheme="minorBidi"/>
          <w:szCs w:val="22"/>
        </w:rPr>
      </w:pPr>
      <w:r>
        <w:t>41.</w:t>
      </w:r>
      <w:r>
        <w:tab/>
        <w:t>Infringement notice offences and modified penalties prescribed (Act s. 99H and 99K)</w:t>
      </w:r>
      <w:r>
        <w:tab/>
      </w:r>
      <w:r>
        <w:fldChar w:fldCharType="begin"/>
      </w:r>
      <w:r>
        <w:instrText xml:space="preserve"> PAGEREF _Toc473036951 \h </w:instrText>
      </w:r>
      <w:r>
        <w:fldChar w:fldCharType="separate"/>
      </w:r>
      <w:r>
        <w:t>68</w:t>
      </w:r>
      <w:r>
        <w:fldChar w:fldCharType="end"/>
      </w:r>
    </w:p>
    <w:p>
      <w:pPr>
        <w:pStyle w:val="TOC8"/>
        <w:rPr>
          <w:rFonts w:asciiTheme="minorHAnsi" w:eastAsiaTheme="minorEastAsia" w:hAnsiTheme="minorHAnsi" w:cstheme="minorBidi"/>
          <w:szCs w:val="22"/>
        </w:rPr>
      </w:pPr>
      <w:r>
        <w:t>42.</w:t>
      </w:r>
      <w:r>
        <w:tab/>
        <w:t>Form of infringement notice prescribed (Act s. 99K(1))</w:t>
      </w:r>
      <w:r>
        <w:tab/>
      </w:r>
      <w:r>
        <w:fldChar w:fldCharType="begin"/>
      </w:r>
      <w:r>
        <w:instrText xml:space="preserve"> PAGEREF _Toc473036952 \h </w:instrText>
      </w:r>
      <w:r>
        <w:fldChar w:fldCharType="separate"/>
      </w:r>
      <w:r>
        <w:t>69</w:t>
      </w:r>
      <w:r>
        <w:fldChar w:fldCharType="end"/>
      </w:r>
    </w:p>
    <w:p>
      <w:pPr>
        <w:pStyle w:val="TOC8"/>
        <w:rPr>
          <w:rFonts w:asciiTheme="minorHAnsi" w:eastAsiaTheme="minorEastAsia" w:hAnsiTheme="minorHAnsi" w:cstheme="minorBidi"/>
          <w:szCs w:val="22"/>
        </w:rPr>
      </w:pPr>
      <w:r>
        <w:t>43.</w:t>
      </w:r>
      <w:r>
        <w:tab/>
        <w:t>Form of notice of withdrawal prescribed (Act s. 99N(1))</w:t>
      </w:r>
      <w:r>
        <w:tab/>
      </w:r>
      <w:r>
        <w:fldChar w:fldCharType="begin"/>
      </w:r>
      <w:r>
        <w:instrText xml:space="preserve"> PAGEREF _Toc473036953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44.</w:t>
      </w:r>
      <w:r>
        <w:tab/>
        <w:t>Maximum amount prescribed (Act s. 99Y(1))</w:t>
      </w:r>
      <w:r>
        <w:tab/>
      </w:r>
      <w:r>
        <w:fldChar w:fldCharType="begin"/>
      </w:r>
      <w:r>
        <w:instrText xml:space="preserve"> PAGEREF _Toc473036955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premises</w:t>
      </w:r>
    </w:p>
    <w:p>
      <w:pPr>
        <w:pStyle w:val="TOC2"/>
        <w:tabs>
          <w:tab w:val="right" w:leader="dot" w:pos="7077"/>
        </w:tabs>
        <w:rPr>
          <w:rFonts w:asciiTheme="minorHAnsi" w:eastAsiaTheme="minorEastAsia" w:hAnsiTheme="minorHAnsi" w:cstheme="minorBidi"/>
          <w:b w:val="0"/>
          <w:sz w:val="22"/>
          <w:szCs w:val="22"/>
        </w:rPr>
      </w:pPr>
      <w:r>
        <w:t>Schedule 3 — Works approval fee</w:t>
      </w:r>
    </w:p>
    <w:p>
      <w:pPr>
        <w:pStyle w:val="TOC2"/>
        <w:tabs>
          <w:tab w:val="right" w:leader="dot" w:pos="7077"/>
        </w:tabs>
        <w:rPr>
          <w:rFonts w:asciiTheme="minorHAnsi" w:eastAsiaTheme="minorEastAsia" w:hAnsiTheme="minorHAnsi" w:cstheme="minorBidi"/>
          <w:b w:val="0"/>
          <w:sz w:val="22"/>
          <w:szCs w:val="22"/>
        </w:rPr>
      </w:pPr>
      <w:r>
        <w:t>Schedule 4 — Licence fee</w:t>
      </w:r>
    </w:p>
    <w:p>
      <w:pPr>
        <w:pStyle w:val="TOC4"/>
        <w:tabs>
          <w:tab w:val="right" w:leader="dot" w:pos="7077"/>
        </w:tabs>
        <w:rPr>
          <w:rFonts w:asciiTheme="minorHAnsi" w:eastAsiaTheme="minorEastAsia" w:hAnsiTheme="minorHAnsi" w:cstheme="minorBidi"/>
          <w:b w:val="0"/>
          <w:szCs w:val="22"/>
        </w:rPr>
      </w:pPr>
      <w:r>
        <w:t>Part 1 — Premises component</w:t>
      </w:r>
    </w:p>
    <w:p>
      <w:pPr>
        <w:pStyle w:val="TOC4"/>
        <w:tabs>
          <w:tab w:val="right" w:leader="dot" w:pos="7077"/>
        </w:tabs>
        <w:rPr>
          <w:rFonts w:asciiTheme="minorHAnsi" w:eastAsiaTheme="minorEastAsia" w:hAnsiTheme="minorHAnsi" w:cstheme="minorBidi"/>
          <w:b w:val="0"/>
          <w:szCs w:val="22"/>
        </w:rPr>
      </w:pPr>
      <w:r>
        <w:t>Part 2 — Part 2 waste</w:t>
      </w:r>
    </w:p>
    <w:p>
      <w:pPr>
        <w:pStyle w:val="TOC4"/>
        <w:tabs>
          <w:tab w:val="right" w:leader="dot" w:pos="7077"/>
        </w:tabs>
        <w:rPr>
          <w:rFonts w:asciiTheme="minorHAnsi" w:eastAsiaTheme="minorEastAsia" w:hAnsiTheme="minorHAnsi" w:cstheme="minorBidi"/>
          <w:b w:val="0"/>
          <w:szCs w:val="22"/>
        </w:rPr>
      </w:pPr>
      <w:r>
        <w:t>Part 3 — Discharge component</w:t>
      </w:r>
    </w:p>
    <w:p>
      <w:pPr>
        <w:pStyle w:val="TOC2"/>
        <w:tabs>
          <w:tab w:val="right" w:leader="dot" w:pos="7077"/>
        </w:tabs>
        <w:rPr>
          <w:rFonts w:asciiTheme="minorHAnsi" w:eastAsiaTheme="minorEastAsia" w:hAnsiTheme="minorHAnsi" w:cstheme="minorBidi"/>
          <w:b w:val="0"/>
          <w:sz w:val="22"/>
          <w:szCs w:val="22"/>
        </w:rPr>
      </w:pPr>
      <w:r>
        <w:t>Schedule 5 — Tyre landfill exclusion zone</w:t>
      </w:r>
    </w:p>
    <w:p>
      <w:pPr>
        <w:pStyle w:val="TOC4"/>
        <w:tabs>
          <w:tab w:val="right" w:leader="dot" w:pos="7077"/>
        </w:tabs>
        <w:rPr>
          <w:rFonts w:asciiTheme="minorHAnsi" w:eastAsiaTheme="minorEastAsia" w:hAnsiTheme="minorHAnsi" w:cstheme="minorBidi"/>
          <w:b w:val="0"/>
          <w:szCs w:val="22"/>
        </w:rPr>
      </w:pPr>
      <w:r>
        <w:t>Part 1 — Metropolitan</w:t>
      </w:r>
    </w:p>
    <w:p>
      <w:pPr>
        <w:pStyle w:val="TOC4"/>
        <w:tabs>
          <w:tab w:val="right" w:leader="dot" w:pos="7077"/>
        </w:tabs>
        <w:rPr>
          <w:rFonts w:asciiTheme="minorHAnsi" w:eastAsiaTheme="minorEastAsia" w:hAnsiTheme="minorHAnsi" w:cstheme="minorBidi"/>
          <w:b w:val="0"/>
          <w:szCs w:val="22"/>
        </w:rPr>
      </w:pPr>
      <w:r>
        <w:t>Part 2 — Country</w:t>
      </w:r>
    </w:p>
    <w:p>
      <w:pPr>
        <w:pStyle w:val="TOC2"/>
        <w:tabs>
          <w:tab w:val="right" w:leader="dot" w:pos="7077"/>
        </w:tabs>
        <w:rPr>
          <w:rFonts w:asciiTheme="minorHAnsi" w:eastAsiaTheme="minorEastAsia" w:hAnsiTheme="minorHAnsi" w:cstheme="minorBidi"/>
          <w:b w:val="0"/>
          <w:sz w:val="22"/>
          <w:szCs w:val="22"/>
        </w:rPr>
      </w:pPr>
      <w:r>
        <w:t>Schedule 5A — Areas where burning matter on or from development sites is prohibited</w:t>
      </w:r>
    </w:p>
    <w:p>
      <w:pPr>
        <w:pStyle w:val="TOC8"/>
        <w:rPr>
          <w:rFonts w:asciiTheme="minorHAnsi" w:eastAsiaTheme="minorEastAsia" w:hAnsiTheme="minorHAnsi" w:cstheme="minorBidi"/>
          <w:szCs w:val="22"/>
        </w:rPr>
      </w:pPr>
      <w:r>
        <w:t>1.</w:t>
      </w:r>
      <w:r>
        <w:tab/>
        <w:t>Perth metropolitan area</w:t>
      </w:r>
      <w:r>
        <w:tab/>
      </w:r>
      <w:r>
        <w:fldChar w:fldCharType="begin"/>
      </w:r>
      <w:r>
        <w:instrText xml:space="preserve"> PAGEREF _Toc473036966 \h </w:instrText>
      </w:r>
      <w:r>
        <w:fldChar w:fldCharType="separate"/>
      </w:r>
      <w:r>
        <w:t>98</w:t>
      </w:r>
      <w:r>
        <w:fldChar w:fldCharType="end"/>
      </w:r>
    </w:p>
    <w:p>
      <w:pPr>
        <w:pStyle w:val="TOC8"/>
        <w:rPr>
          <w:rFonts w:asciiTheme="minorHAnsi" w:eastAsiaTheme="minorEastAsia" w:hAnsiTheme="minorHAnsi" w:cstheme="minorBidi"/>
          <w:szCs w:val="22"/>
        </w:rPr>
      </w:pPr>
      <w:r>
        <w:t>2.</w:t>
      </w:r>
      <w:r>
        <w:tab/>
        <w:t>Mandurah area</w:t>
      </w:r>
      <w:r>
        <w:tab/>
      </w:r>
      <w:r>
        <w:fldChar w:fldCharType="begin"/>
      </w:r>
      <w:r>
        <w:instrText xml:space="preserve"> PAGEREF _Toc473036967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Schedule 6 — Infringement notice offences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_Toc473036971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Environmental Protection Act 1986</w:t>
      </w:r>
    </w:p>
    <w:p>
      <w:pPr>
        <w:pStyle w:val="NameofActReg"/>
        <w:spacing w:before="600" w:after="720"/>
      </w:pPr>
      <w:r>
        <w:t>Environmental Protection Regulations 1987</w:t>
      </w:r>
    </w:p>
    <w:p>
      <w:pPr>
        <w:pStyle w:val="Heading2"/>
        <w:pageBreakBefore w:val="0"/>
      </w:pPr>
      <w:bookmarkStart w:id="3" w:name="_Toc473032966"/>
      <w:bookmarkStart w:id="4" w:name="_Toc473036854"/>
      <w:r>
        <w:rPr>
          <w:rStyle w:val="CharPartNo"/>
        </w:rPr>
        <w:t>Part 1</w:t>
      </w:r>
      <w:r>
        <w:rPr>
          <w:rStyle w:val="CharDivNo"/>
        </w:rPr>
        <w:t> </w:t>
      </w:r>
      <w:r>
        <w:t>—</w:t>
      </w:r>
      <w:r>
        <w:rPr>
          <w:rStyle w:val="CharDivText"/>
        </w:rPr>
        <w:t> </w:t>
      </w:r>
      <w:r>
        <w:rPr>
          <w:rStyle w:val="CharPartText"/>
        </w:rPr>
        <w:t>Preliminary</w:t>
      </w:r>
      <w:bookmarkEnd w:id="3"/>
      <w:bookmarkEnd w:id="4"/>
    </w:p>
    <w:p>
      <w:pPr>
        <w:pStyle w:val="Footnoteheading"/>
        <w:rPr>
          <w:snapToGrid w:val="0"/>
        </w:rPr>
      </w:pPr>
      <w:r>
        <w:rPr>
          <w:snapToGrid w:val="0"/>
        </w:rPr>
        <w:tab/>
        <w:t>[Heading inserted in Gazette 13 Sep 1996 p. 4545.]</w:t>
      </w:r>
    </w:p>
    <w:p>
      <w:pPr>
        <w:pStyle w:val="Heading5"/>
        <w:spacing w:before="180"/>
        <w:rPr>
          <w:snapToGrid w:val="0"/>
        </w:rPr>
      </w:pPr>
      <w:bookmarkStart w:id="5" w:name="_Toc473036855"/>
      <w:r>
        <w:rPr>
          <w:rStyle w:val="CharSectno"/>
        </w:rPr>
        <w:t>1</w:t>
      </w:r>
      <w:r>
        <w:rPr>
          <w:snapToGrid w:val="0"/>
        </w:rPr>
        <w:t xml:space="preserve">. </w:t>
      </w:r>
      <w:r>
        <w:rPr>
          <w:snapToGrid w:val="0"/>
        </w:rPr>
        <w:tab/>
        <w:t>Citation</w:t>
      </w:r>
      <w:bookmarkEnd w:id="5"/>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 xml:space="preserve"> </w:t>
      </w:r>
      <w:r>
        <w:rPr>
          <w:snapToGrid w:val="0"/>
          <w:vertAlign w:val="superscript"/>
        </w:rPr>
        <w:t>1</w:t>
      </w:r>
      <w:r>
        <w:rPr>
          <w:snapToGrid w:val="0"/>
        </w:rPr>
        <w:t>.</w:t>
      </w:r>
    </w:p>
    <w:p>
      <w:pPr>
        <w:pStyle w:val="Heading5"/>
        <w:spacing w:before="180"/>
        <w:rPr>
          <w:snapToGrid w:val="0"/>
        </w:rPr>
      </w:pPr>
      <w:bookmarkStart w:id="6" w:name="_Toc473036856"/>
      <w:r>
        <w:rPr>
          <w:rStyle w:val="CharSectno"/>
        </w:rPr>
        <w:t>2</w:t>
      </w:r>
      <w:r>
        <w:rPr>
          <w:snapToGrid w:val="0"/>
        </w:rPr>
        <w:t xml:space="preserve">. </w:t>
      </w:r>
      <w:r>
        <w:rPr>
          <w:snapToGrid w:val="0"/>
        </w:rPr>
        <w:tab/>
        <w:t>Commencement</w:t>
      </w:r>
      <w:bookmarkEnd w:id="6"/>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r>
        <w:rPr>
          <w:snapToGrid w:val="0"/>
          <w:vertAlign w:val="superscript"/>
        </w:rPr>
        <w:t xml:space="preserve"> 1</w:t>
      </w:r>
      <w:r>
        <w:rPr>
          <w:snapToGrid w:val="0"/>
        </w:rPr>
        <w:t>.</w:t>
      </w:r>
    </w:p>
    <w:p>
      <w:pPr>
        <w:pStyle w:val="Footnotesection"/>
      </w:pPr>
      <w:r>
        <w:tab/>
        <w:t>[Regulation 2 amended in Gazette 28 Jun 2016 p. 2631.]</w:t>
      </w:r>
    </w:p>
    <w:p>
      <w:pPr>
        <w:pStyle w:val="Heading5"/>
        <w:spacing w:before="180"/>
      </w:pPr>
      <w:bookmarkStart w:id="7" w:name="_Toc473036857"/>
      <w:r>
        <w:rPr>
          <w:rStyle w:val="CharSectno"/>
        </w:rPr>
        <w:t>2AA</w:t>
      </w:r>
      <w:r>
        <w:t>.</w:t>
      </w:r>
      <w:r>
        <w:tab/>
        <w:t>Term used: head office</w:t>
      </w:r>
      <w:bookmarkEnd w:id="7"/>
    </w:p>
    <w:p>
      <w:pPr>
        <w:pStyle w:val="Subsection"/>
        <w:spacing w:before="120"/>
      </w:pPr>
      <w:r>
        <w:tab/>
      </w:r>
      <w:r>
        <w:tab/>
        <w:t>In these regulations, unless the contrary intention appears —</w:t>
      </w:r>
    </w:p>
    <w:p>
      <w:pPr>
        <w:pStyle w:val="Defstart"/>
      </w:pPr>
      <w:r>
        <w:rPr>
          <w:b/>
        </w:rPr>
        <w:tab/>
      </w:r>
      <w:r>
        <w:rPr>
          <w:rStyle w:val="CharDefText"/>
        </w:rPr>
        <w:t>head office</w:t>
      </w:r>
      <w:r>
        <w:t xml:space="preserve"> means the premises of the Authority at Level 8, The Atrium, 168 St Georges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w:t>
      </w:r>
    </w:p>
    <w:p>
      <w:pPr>
        <w:pStyle w:val="Footnotesection"/>
      </w:pPr>
      <w:r>
        <w:tab/>
        <w:t>[Regulation 2AA inserted in Gazette 29 Sep 2006 p. 4261; amended in Gazette 28 Jun 2016 p. 2629.]</w:t>
      </w:r>
    </w:p>
    <w:p>
      <w:pPr>
        <w:pStyle w:val="Heading2"/>
      </w:pPr>
      <w:bookmarkStart w:id="8" w:name="_Toc473032970"/>
      <w:bookmarkStart w:id="9" w:name="_Toc473036858"/>
      <w:r>
        <w:rPr>
          <w:rStyle w:val="CharPartNo"/>
        </w:rPr>
        <w:t>Part 2</w:t>
      </w:r>
      <w:r>
        <w:rPr>
          <w:rStyle w:val="CharDivNo"/>
        </w:rPr>
        <w:t> </w:t>
      </w:r>
      <w:r>
        <w:t>—</w:t>
      </w:r>
      <w:r>
        <w:rPr>
          <w:rStyle w:val="CharDivText"/>
        </w:rPr>
        <w:t> </w:t>
      </w:r>
      <w:r>
        <w:rPr>
          <w:rStyle w:val="CharPartText"/>
        </w:rPr>
        <w:t>Administrative matters</w:t>
      </w:r>
      <w:bookmarkEnd w:id="8"/>
      <w:bookmarkEnd w:id="9"/>
    </w:p>
    <w:p>
      <w:pPr>
        <w:pStyle w:val="Footnoteheading"/>
        <w:rPr>
          <w:snapToGrid w:val="0"/>
        </w:rPr>
      </w:pPr>
      <w:r>
        <w:rPr>
          <w:snapToGrid w:val="0"/>
        </w:rPr>
        <w:tab/>
        <w:t>[Heading inserted in Gazette 13 Sep 1996 p. 4545.]</w:t>
      </w:r>
    </w:p>
    <w:p>
      <w:pPr>
        <w:pStyle w:val="Heading5"/>
        <w:spacing w:before="180"/>
        <w:rPr>
          <w:snapToGrid w:val="0"/>
        </w:rPr>
      </w:pPr>
      <w:bookmarkStart w:id="10" w:name="_Toc473036859"/>
      <w:r>
        <w:rPr>
          <w:rStyle w:val="CharSectno"/>
        </w:rPr>
        <w:t>2A</w:t>
      </w:r>
      <w:r>
        <w:rPr>
          <w:snapToGrid w:val="0"/>
        </w:rPr>
        <w:t>.</w:t>
      </w:r>
      <w:r>
        <w:rPr>
          <w:snapToGrid w:val="0"/>
        </w:rPr>
        <w:tab/>
        <w:t>Draft policies, where and when public may inspect (Act s. 26(1)(d))</w:t>
      </w:r>
      <w:bookmarkEnd w:id="10"/>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in Gazette 5 May 1989 p. 1379; amended in Gazette 24 Jan 1992 p. 362; 11 Dec 1998 p. 6598; 29 Sep 2006 p. 4261; 28 Jun 2016 p. 2629</w:t>
      </w:r>
      <w:r>
        <w:noBreakHyphen/>
        <w:t>30.]</w:t>
      </w:r>
    </w:p>
    <w:p>
      <w:pPr>
        <w:pStyle w:val="Heading5"/>
        <w:spacing w:before="180"/>
        <w:rPr>
          <w:snapToGrid w:val="0"/>
        </w:rPr>
      </w:pPr>
      <w:bookmarkStart w:id="11" w:name="_Toc473036860"/>
      <w:r>
        <w:rPr>
          <w:rStyle w:val="CharSectno"/>
        </w:rPr>
        <w:t>2B</w:t>
      </w:r>
      <w:r>
        <w:rPr>
          <w:snapToGrid w:val="0"/>
        </w:rPr>
        <w:t>.</w:t>
      </w:r>
      <w:r>
        <w:rPr>
          <w:snapToGrid w:val="0"/>
        </w:rPr>
        <w:tab/>
        <w:t>Minutes of EPA, public inspection of</w:t>
      </w:r>
      <w:bookmarkEnd w:id="11"/>
    </w:p>
    <w:p>
      <w:pPr>
        <w:pStyle w:val="Subsection"/>
        <w:spacing w:before="120"/>
        <w:rPr>
          <w:snapToGrid w:val="0"/>
        </w:rPr>
      </w:pPr>
      <w:r>
        <w:rPr>
          <w:snapToGrid w:val="0"/>
        </w:rPr>
        <w:tab/>
        <w:t>(1)</w:t>
      </w:r>
      <w:r>
        <w:rPr>
          <w:snapToGrid w:val="0"/>
        </w:rPr>
        <w:tab/>
        <w:t>In this regulation —</w:t>
      </w:r>
    </w:p>
    <w:p>
      <w:pPr>
        <w:pStyle w:val="Defstart"/>
      </w:pPr>
      <w:r>
        <w:tab/>
      </w:r>
      <w:r>
        <w:rPr>
          <w:rStyle w:val="CharDefText"/>
        </w:rPr>
        <w:t>exempt matter</w:t>
      </w:r>
      <w:r>
        <w:t xml:space="preserve"> means matter that is exempt under the </w:t>
      </w:r>
      <w:r>
        <w:rPr>
          <w:i/>
        </w:rPr>
        <w:t xml:space="preserve">Freedom of Information Act 1992 </w:t>
      </w:r>
      <w:r>
        <w:t>Schedule 1;</w:t>
      </w:r>
    </w:p>
    <w:p>
      <w:pPr>
        <w:pStyle w:val="Defstart"/>
      </w:pPr>
      <w:r>
        <w:rPr>
          <w:b/>
        </w:rPr>
        <w:tab/>
      </w:r>
      <w:r>
        <w:rPr>
          <w:rStyle w:val="CharDefText"/>
        </w:rPr>
        <w:t>minute</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pPr>
      <w:r>
        <w:tab/>
        <w:t>(3)</w:t>
      </w:r>
      <w:r>
        <w:tab/>
        <w:t>The Authority may determine that a particular minute contains exempt matter.</w:t>
      </w:r>
    </w:p>
    <w:p>
      <w:pPr>
        <w:pStyle w:val="Subsection"/>
      </w:pPr>
      <w:r>
        <w:tab/>
        <w:t>(4)</w:t>
      </w:r>
      <w:r>
        <w:tab/>
        <w:t xml:space="preserve">No part of a minute that is the subject of a determination referred to in subregulation (3) is to be made available to a person under subregulation (2) unless a decision has been made pursuant to an access application under the </w:t>
      </w:r>
      <w:r>
        <w:rPr>
          <w:i/>
        </w:rPr>
        <w:t xml:space="preserve">Freedom of Information Act 1992 </w:t>
      </w:r>
      <w:r>
        <w:t>that the person is to be given access to the minute or part of the minute.</w:t>
      </w:r>
    </w:p>
    <w:p>
      <w:pPr>
        <w:pStyle w:val="Subsection"/>
      </w:pPr>
      <w:r>
        <w:tab/>
        <w:t>(5A)</w:t>
      </w:r>
      <w:r>
        <w:tab/>
        <w:t>The Authority may revoke a determination made under subregulation (3).</w:t>
      </w:r>
    </w:p>
    <w:p>
      <w:pPr>
        <w:pStyle w:val="Subsection"/>
        <w:spacing w:before="120"/>
        <w:rPr>
          <w:snapToGrid w:val="0"/>
        </w:rPr>
      </w:pPr>
      <w:r>
        <w:tab/>
        <w:t>(5)</w:t>
      </w:r>
      <w:r>
        <w:tab/>
      </w:r>
      <w:r>
        <w:rPr>
          <w:snapToGrid w:val="0"/>
        </w:rPr>
        <w:t>Minutes</w:t>
      </w:r>
      <w:r>
        <w:t xml:space="preserve"> are to be made available for public inspection during normal office hours at the head office.</w:t>
      </w:r>
    </w:p>
    <w:p>
      <w:pPr>
        <w:pStyle w:val="Footnotesection"/>
      </w:pPr>
      <w:r>
        <w:tab/>
        <w:t>[Regulation 2B inserted in Gazette 5 May 1995 p. 1701</w:t>
      </w:r>
      <w:r>
        <w:noBreakHyphen/>
        <w:t>2; amended in Gazette 11 Dec 1998 p. 6598; 29 Sep 2006 p. 4261; 27 Nov 2012 p. 5738; 28 Jun 2016 p. 2630.]</w:t>
      </w:r>
    </w:p>
    <w:p>
      <w:pPr>
        <w:pStyle w:val="Heading5"/>
        <w:rPr>
          <w:snapToGrid w:val="0"/>
        </w:rPr>
      </w:pPr>
      <w:bookmarkStart w:id="12" w:name="_Toc473036861"/>
      <w:r>
        <w:rPr>
          <w:rStyle w:val="CharSectno"/>
        </w:rPr>
        <w:t>2C</w:t>
      </w:r>
      <w:r>
        <w:rPr>
          <w:snapToGrid w:val="0"/>
        </w:rPr>
        <w:t>.</w:t>
      </w:r>
      <w:r>
        <w:rPr>
          <w:snapToGrid w:val="0"/>
        </w:rPr>
        <w:tab/>
        <w:t>Proposals of prescribed class (Act s. 38)</w:t>
      </w:r>
      <w:bookmarkEnd w:id="12"/>
    </w:p>
    <w:p>
      <w:pPr>
        <w:pStyle w:val="Subsection"/>
        <w:spacing w:before="120"/>
        <w:rPr>
          <w:snapToGrid w:val="0"/>
        </w:rPr>
      </w:pPr>
      <w:r>
        <w:rPr>
          <w:snapToGrid w:val="0"/>
        </w:rPr>
        <w:tab/>
      </w:r>
      <w:r>
        <w:rPr>
          <w:snapToGrid w:val="0"/>
        </w:rPr>
        <w:tab/>
        <w:t xml:space="preserve">For the purposes of </w:t>
      </w:r>
      <w:r>
        <w:t xml:space="preserve">section 38(5) and (5c) of the Act, </w:t>
      </w:r>
      <w:r>
        <w:rPr>
          <w:snapToGrid w:val="0"/>
        </w:rPr>
        <w:t>a proposal which involves a significant —</w:t>
      </w:r>
    </w:p>
    <w:p>
      <w:pPr>
        <w:pStyle w:val="Indenta"/>
        <w:rPr>
          <w:snapToGrid w:val="0"/>
        </w:rPr>
      </w:pPr>
      <w:r>
        <w:rPr>
          <w:snapToGrid w:val="0"/>
        </w:rPr>
        <w:tab/>
        <w:t>(a)</w:t>
      </w:r>
      <w:r>
        <w:rPr>
          <w:snapToGrid w:val="0"/>
        </w:rPr>
        <w:tab/>
        <w:t>discharge of waste; or</w:t>
      </w:r>
    </w:p>
    <w:p>
      <w:pPr>
        <w:pStyle w:val="Indenta"/>
        <w:rPr>
          <w:snapToGrid w:val="0"/>
        </w:rPr>
      </w:pPr>
      <w:r>
        <w:rPr>
          <w:snapToGrid w:val="0"/>
        </w:rPr>
        <w:tab/>
        <w:t>(b)</w:t>
      </w:r>
      <w:r>
        <w:rPr>
          <w:snapToGrid w:val="0"/>
        </w:rPr>
        <w:tab/>
        <w:t>emission of noise, odour or electromagnetic radiation,</w:t>
      </w:r>
    </w:p>
    <w:p>
      <w:pPr>
        <w:pStyle w:val="Subsection"/>
        <w:rPr>
          <w:snapToGrid w:val="0"/>
        </w:rPr>
      </w:pPr>
      <w:r>
        <w:rPr>
          <w:snapToGrid w:val="0"/>
        </w:rPr>
        <w:tab/>
      </w:r>
      <w:r>
        <w:rPr>
          <w:snapToGrid w:val="0"/>
        </w:rPr>
        <w:tab/>
        <w:t>into the environment is a proposal of a prescribed class.</w:t>
      </w:r>
    </w:p>
    <w:p>
      <w:pPr>
        <w:pStyle w:val="Footnotesection"/>
      </w:pPr>
      <w:r>
        <w:tab/>
        <w:t>[Regulation 2C inserted in Gazette 11 Oct 1996 p. 5395; amended in Gazette 27 Nov 2012 p. 5738.]</w:t>
      </w:r>
    </w:p>
    <w:p>
      <w:pPr>
        <w:pStyle w:val="Heading5"/>
        <w:rPr>
          <w:snapToGrid w:val="0"/>
        </w:rPr>
      </w:pPr>
      <w:bookmarkStart w:id="13" w:name="_Toc473036862"/>
      <w:r>
        <w:rPr>
          <w:rStyle w:val="CharSectno"/>
        </w:rPr>
        <w:t>3</w:t>
      </w:r>
      <w:r>
        <w:rPr>
          <w:snapToGrid w:val="0"/>
        </w:rPr>
        <w:t>.</w:t>
      </w:r>
      <w:r>
        <w:rPr>
          <w:snapToGrid w:val="0"/>
        </w:rPr>
        <w:tab/>
        <w:t>Details prescribed for records of proposals (Act s. 39(1)); where and when public may inspect records</w:t>
      </w:r>
      <w:bookmarkEnd w:id="13"/>
    </w:p>
    <w:p>
      <w:pPr>
        <w:pStyle w:val="Subsection"/>
        <w:rPr>
          <w:snapToGrid w:val="0"/>
        </w:rPr>
      </w:pPr>
      <w:r>
        <w:rPr>
          <w:snapToGrid w:val="0"/>
        </w:rPr>
        <w:tab/>
        <w:t>(1)</w:t>
      </w:r>
      <w:r>
        <w:rPr>
          <w:snapToGrid w:val="0"/>
        </w:rPr>
        <w:tab/>
        <w:t xml:space="preserve">The Authority </w:t>
      </w:r>
      <w:r>
        <w:t>must</w:t>
      </w:r>
      <w:r>
        <w:rPr>
          <w:snapToGrid w:val="0"/>
        </w:rPr>
        <w:t xml:space="preserve"> in a public record of a proposal kept by it under section 39(1) of the Act set out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 xml:space="preserve">The Authority </w:t>
      </w:r>
      <w:r>
        <w:t>must</w:t>
      </w:r>
      <w:r>
        <w:rPr>
          <w:snapToGrid w:val="0"/>
        </w:rPr>
        <w:t xml:space="preserve">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[Regulation 3 amended in Gazette 24 Jan 1992 p. 362; 11 Dec 1998 p. 6598; 28 Jun 2016 p. 2632.]</w:t>
      </w:r>
    </w:p>
    <w:p>
      <w:pPr>
        <w:pStyle w:val="Ednotesection"/>
      </w:pPr>
      <w:r>
        <w:t>[</w:t>
      </w:r>
      <w:r>
        <w:rPr>
          <w:b/>
        </w:rPr>
        <w:t>3A.</w:t>
      </w:r>
      <w:r>
        <w:tab/>
      </w:r>
      <w:smartTag w:uri="urn:schemas-microsoft-com:office:smarttags" w:element="State">
        <w:smartTag w:uri="urn:schemas-microsoft-com:office:smarttags" w:element="place">
          <w:r>
            <w:t>Del</w:t>
          </w:r>
        </w:smartTag>
      </w:smartTag>
      <w:r>
        <w:t>eted in Gazette 27 Nov 2012 p. 5738.]</w:t>
      </w:r>
    </w:p>
    <w:p>
      <w:pPr>
        <w:pStyle w:val="Heading2"/>
      </w:pPr>
      <w:bookmarkStart w:id="14" w:name="_Toc473032975"/>
      <w:bookmarkStart w:id="15" w:name="_Toc473036863"/>
      <w:r>
        <w:rPr>
          <w:rStyle w:val="CharPartNo"/>
        </w:rPr>
        <w:t>Part 3</w:t>
      </w:r>
      <w:r>
        <w:rPr>
          <w:rStyle w:val="CharDivNo"/>
        </w:rPr>
        <w:t> </w:t>
      </w:r>
      <w:r>
        <w:t>—</w:t>
      </w:r>
      <w:r>
        <w:rPr>
          <w:rStyle w:val="CharDivText"/>
        </w:rPr>
        <w:t> </w:t>
      </w:r>
      <w:r>
        <w:rPr>
          <w:rStyle w:val="CharPartText"/>
        </w:rPr>
        <w:t>Control of pollution generally</w:t>
      </w:r>
      <w:bookmarkEnd w:id="14"/>
      <w:bookmarkEnd w:id="15"/>
    </w:p>
    <w:p>
      <w:pPr>
        <w:pStyle w:val="Footnoteheading"/>
        <w:rPr>
          <w:snapToGrid w:val="0"/>
        </w:rPr>
      </w:pPr>
      <w:r>
        <w:rPr>
          <w:snapToGrid w:val="0"/>
        </w:rPr>
        <w:tab/>
        <w:t>[Heading inserted in Gazette 13 Sep 1996 p. 4545.]</w:t>
      </w:r>
    </w:p>
    <w:p>
      <w:pPr>
        <w:pStyle w:val="Heading5"/>
        <w:spacing w:before="240"/>
        <w:rPr>
          <w:snapToGrid w:val="0"/>
        </w:rPr>
      </w:pPr>
      <w:bookmarkStart w:id="16" w:name="_Toc473036864"/>
      <w:r>
        <w:rPr>
          <w:rStyle w:val="CharSectno"/>
        </w:rPr>
        <w:t>4</w:t>
      </w:r>
      <w:r>
        <w:rPr>
          <w:snapToGrid w:val="0"/>
        </w:rPr>
        <w:t>.</w:t>
      </w:r>
      <w:r>
        <w:rPr>
          <w:snapToGrid w:val="0"/>
        </w:rPr>
        <w:tab/>
        <w:t>Terms used; amounts of units for fees</w:t>
      </w:r>
      <w:bookmarkEnd w:id="16"/>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 </w:t>
      </w:r>
      <w:r>
        <w:rPr>
          <w:snapToGrid w:val="0"/>
          <w:vertAlign w:val="superscript"/>
        </w:rPr>
        <w:t>2</w:t>
      </w:r>
      <w:r>
        <w:rPr>
          <w:snapToGrid w:val="0"/>
        </w:rPr>
        <w:t>.</w:t>
      </w:r>
    </w:p>
    <w:p>
      <w:pPr>
        <w:pStyle w:val="Subsection"/>
      </w:pPr>
      <w:r>
        <w:tab/>
        <w:t>(5)</w:t>
      </w:r>
      <w:r>
        <w:tab/>
        <w:t>In regulations 5B, 5C, 5CB, 5D(5),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On and from 1 July 2017</w:t>
            </w:r>
          </w:p>
        </w:tc>
        <w:tc>
          <w:tcPr>
            <w:tcW w:w="1616" w:type="dxa"/>
            <w:tcBorders>
              <w:bottom w:val="single" w:sz="4" w:space="0" w:color="auto"/>
            </w:tcBorders>
          </w:tcPr>
          <w:p>
            <w:pPr>
              <w:pStyle w:val="TableNAm"/>
              <w:jc w:val="center"/>
            </w:pPr>
            <w:r>
              <w:t>35.60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On and from 1 July 2017</w:t>
            </w:r>
          </w:p>
        </w:tc>
        <w:tc>
          <w:tcPr>
            <w:tcW w:w="1616" w:type="dxa"/>
            <w:tcBorders>
              <w:bottom w:val="single" w:sz="4" w:space="0" w:color="auto"/>
            </w:tcBorders>
          </w:tcPr>
          <w:p>
            <w:pPr>
              <w:pStyle w:val="TableNAm"/>
              <w:jc w:val="center"/>
            </w:pPr>
            <w:r>
              <w:t>35.60</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42.60</w:t>
            </w:r>
          </w:p>
        </w:tc>
      </w:tr>
      <w:tr>
        <w:tc>
          <w:tcPr>
            <w:tcW w:w="4263" w:type="dxa"/>
          </w:tcPr>
          <w:p>
            <w:pPr>
              <w:pStyle w:val="TableNAm"/>
            </w:pPr>
            <w:r>
              <w:t>Beginning on 1 July 2014 and ending on 30 June 2015</w:t>
            </w:r>
          </w:p>
        </w:tc>
        <w:tc>
          <w:tcPr>
            <w:tcW w:w="1616" w:type="dxa"/>
          </w:tcPr>
          <w:p>
            <w:pPr>
              <w:pStyle w:val="TableNAm"/>
              <w:jc w:val="center"/>
            </w:pPr>
            <w:r>
              <w:br/>
              <w:t>44.30</w:t>
            </w:r>
          </w:p>
        </w:tc>
      </w:tr>
      <w:tr>
        <w:tc>
          <w:tcPr>
            <w:tcW w:w="4263" w:type="dxa"/>
          </w:tcPr>
          <w:p>
            <w:pPr>
              <w:pStyle w:val="TableNAm"/>
            </w:pPr>
            <w:r>
              <w:t>Beginning on 1 July 2015 and ending on 30 June 2016</w:t>
            </w:r>
          </w:p>
        </w:tc>
        <w:tc>
          <w:tcPr>
            <w:tcW w:w="1616" w:type="dxa"/>
          </w:tcPr>
          <w:p>
            <w:pPr>
              <w:pStyle w:val="TableNAm"/>
              <w:jc w:val="center"/>
            </w:pPr>
            <w:r>
              <w:br/>
              <w:t>46.10</w:t>
            </w:r>
          </w:p>
        </w:tc>
      </w:tr>
      <w:tr>
        <w:tc>
          <w:tcPr>
            <w:tcW w:w="4263" w:type="dxa"/>
          </w:tcPr>
          <w:p>
            <w:pPr>
              <w:pStyle w:val="TableNAm"/>
            </w:pPr>
            <w:r>
              <w:t>Beginning on 1 July 2016 and ending on 30 June 2017</w:t>
            </w:r>
          </w:p>
        </w:tc>
        <w:tc>
          <w:tcPr>
            <w:tcW w:w="1616" w:type="dxa"/>
          </w:tcPr>
          <w:p>
            <w:pPr>
              <w:pStyle w:val="TableNAm"/>
              <w:jc w:val="center"/>
            </w:pPr>
            <w:r>
              <w:br/>
              <w:t>47.90</w:t>
            </w:r>
          </w:p>
        </w:tc>
      </w:tr>
      <w:tr>
        <w:tc>
          <w:tcPr>
            <w:tcW w:w="4263" w:type="dxa"/>
            <w:tcBorders>
              <w:bottom w:val="single" w:sz="4" w:space="0" w:color="auto"/>
            </w:tcBorders>
          </w:tcPr>
          <w:p>
            <w:pPr>
              <w:pStyle w:val="TableNAm"/>
            </w:pPr>
            <w:r>
              <w:t>On and from 1 July 2017</w:t>
            </w:r>
          </w:p>
        </w:tc>
        <w:tc>
          <w:tcPr>
            <w:tcW w:w="1616" w:type="dxa"/>
            <w:tcBorders>
              <w:bottom w:val="single" w:sz="4" w:space="0" w:color="auto"/>
            </w:tcBorders>
          </w:tcPr>
          <w:p>
            <w:pPr>
              <w:pStyle w:val="TableNAm"/>
              <w:jc w:val="center"/>
            </w:pPr>
            <w:r>
              <w:t>49.80</w:t>
            </w:r>
          </w:p>
        </w:tc>
      </w:tr>
    </w:tbl>
    <w:p>
      <w:pPr>
        <w:pStyle w:val="Footnotesection"/>
        <w:ind w:left="890" w:hanging="890"/>
      </w:pPr>
      <w:r>
        <w:tab/>
        <w:t>[Regulation 4 inserted in Gazette 13 Sep 1996 p. 4546; amended in Gazette 12 Sep 1997 p. 5150; 4 Aug 2000 p. 4199</w:t>
      </w:r>
      <w:r>
        <w:noBreakHyphen/>
        <w:t>200; 9 Sep 2003 p. 4053; 22 Jun 2004 p. 2143</w:t>
      </w:r>
      <w:r>
        <w:noBreakHyphen/>
        <w:t>4; 12 Oct 2004 p. 4755; 22 Jun 2007 p. 2839</w:t>
      </w:r>
      <w:r>
        <w:noBreakHyphen/>
        <w:t>41; 18 Jun 2013 p. 2294-5; 28 Jun 2016 p. 2630.]</w:t>
      </w:r>
    </w:p>
    <w:p>
      <w:pPr>
        <w:pStyle w:val="Heading5"/>
        <w:keepNext w:val="0"/>
        <w:keepLines w:val="0"/>
        <w:pageBreakBefore/>
        <w:spacing w:before="0"/>
        <w:rPr>
          <w:snapToGrid w:val="0"/>
        </w:rPr>
      </w:pPr>
      <w:bookmarkStart w:id="17" w:name="_Toc473036865"/>
      <w:r>
        <w:rPr>
          <w:rStyle w:val="CharSectno"/>
        </w:rPr>
        <w:t>5</w:t>
      </w:r>
      <w:r>
        <w:rPr>
          <w:snapToGrid w:val="0"/>
        </w:rPr>
        <w:t>.</w:t>
      </w:r>
      <w:r>
        <w:rPr>
          <w:snapToGrid w:val="0"/>
        </w:rPr>
        <w:tab/>
        <w:t>Premises prescribed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w:t>
      </w:r>
      <w:bookmarkEnd w:id="17"/>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in Gazette 13 Sep 1996 p. 4546.]</w:t>
      </w:r>
    </w:p>
    <w:p>
      <w:pPr>
        <w:pStyle w:val="Heading5"/>
        <w:rPr>
          <w:snapToGrid w:val="0"/>
        </w:rPr>
      </w:pPr>
      <w:bookmarkStart w:id="18" w:name="_Toc473036866"/>
      <w:r>
        <w:rPr>
          <w:rStyle w:val="CharSectno"/>
        </w:rPr>
        <w:t>5A</w:t>
      </w:r>
      <w:r>
        <w:rPr>
          <w:snapToGrid w:val="0"/>
        </w:rPr>
        <w:t>.</w:t>
      </w:r>
      <w:r>
        <w:rPr>
          <w:snapToGrid w:val="0"/>
        </w:rPr>
        <w:tab/>
        <w:t>Registration of Sch. 1 Part 2 premises, effect and cancellation of etc.</w:t>
      </w:r>
      <w:bookmarkEnd w:id="18"/>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in Gazette 13 Sep 1996 p. 4546; amended in Gazette 15 Aug 2000 p. 4711</w:t>
      </w:r>
      <w:r>
        <w:noBreakHyphen/>
        <w:t>12.]</w:t>
      </w:r>
    </w:p>
    <w:p>
      <w:pPr>
        <w:pStyle w:val="Heading5"/>
        <w:spacing w:before="180"/>
        <w:rPr>
          <w:snapToGrid w:val="0"/>
        </w:rPr>
      </w:pPr>
      <w:bookmarkStart w:id="19" w:name="_Toc473036867"/>
      <w:r>
        <w:rPr>
          <w:rStyle w:val="CharSectno"/>
        </w:rPr>
        <w:t>5B</w:t>
      </w:r>
      <w:r>
        <w:rPr>
          <w:snapToGrid w:val="0"/>
        </w:rPr>
        <w:t>.</w:t>
      </w:r>
      <w:r>
        <w:rPr>
          <w:snapToGrid w:val="0"/>
        </w:rPr>
        <w:tab/>
        <w:t>Registration of premises, application for etc.</w:t>
      </w:r>
      <w:bookmarkEnd w:id="19"/>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in Gazette 13 Sep 1996 p. 4546</w:t>
      </w:r>
      <w:r>
        <w:noBreakHyphen/>
        <w:t>7; amended in Gazette 11 Dec 1998 p. 6599; 15 Aug 2000 p. 4712; 8 May 2012 p. 1893.]</w:t>
      </w:r>
    </w:p>
    <w:p>
      <w:pPr>
        <w:pStyle w:val="Heading5"/>
      </w:pPr>
      <w:bookmarkStart w:id="20" w:name="_Toc473036868"/>
      <w:r>
        <w:rPr>
          <w:rStyle w:val="CharSectno"/>
        </w:rPr>
        <w:t>5BA</w:t>
      </w:r>
      <w:r>
        <w:t>.</w:t>
      </w:r>
      <w:r>
        <w:tab/>
        <w:t>Fees prescribed for works approval (Act s. 54(1))</w:t>
      </w:r>
      <w:bookmarkEnd w:id="20"/>
    </w:p>
    <w:p>
      <w:pPr>
        <w:pStyle w:val="Subsection"/>
      </w:pPr>
      <w:r>
        <w:tab/>
        <w:t>(1)</w:t>
      </w:r>
      <w:r>
        <w:tab/>
        <w:t>The fee prescribed for the purposes of section 54(1)(b) of the Act is the appropriate fee specified in Schedule 3 determined on the basis of the cost of the works that are the subject of the application.</w:t>
      </w:r>
    </w:p>
    <w:p>
      <w:pPr>
        <w:pStyle w:val="Subsection"/>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tab/>
        <w:t>(b)</w:t>
      </w:r>
      <w:r>
        <w:tab/>
        <w:t>the cost of buildings to be used for purposes unrelated to the purposes in respect of which the premises are, or will become, prescribed premises; or</w:t>
      </w:r>
    </w:p>
    <w:p>
      <w:pPr>
        <w:pStyle w:val="Indenta"/>
      </w:pPr>
      <w:r>
        <w:tab/>
        <w:t>(c)</w:t>
      </w:r>
      <w:r>
        <w:tab/>
        <w:t>consultancy fees paid or to be paid in relation to those works.</w:t>
      </w:r>
    </w:p>
    <w:p>
      <w:pPr>
        <w:pStyle w:val="Footnotesection"/>
        <w:keepLines w:val="0"/>
        <w:spacing w:before="80"/>
        <w:ind w:left="890" w:hanging="890"/>
      </w:pPr>
      <w:r>
        <w:tab/>
        <w:t>[Regulation 5BA inserted in Gazette 28 Jun 2016 p. 2630.]</w:t>
      </w:r>
    </w:p>
    <w:p>
      <w:pPr>
        <w:pStyle w:val="Heading5"/>
      </w:pPr>
      <w:bookmarkStart w:id="21" w:name="_Toc473036869"/>
      <w:r>
        <w:rPr>
          <w:rStyle w:val="CharSectno"/>
        </w:rPr>
        <w:t>5BB</w:t>
      </w:r>
      <w:r>
        <w:t>.</w:t>
      </w:r>
      <w:r>
        <w:tab/>
        <w:t>Fees prescribed for amending works approval or licence (Act s. 59B(1))</w:t>
      </w:r>
      <w:bookmarkEnd w:id="21"/>
    </w:p>
    <w:p>
      <w:pPr>
        <w:pStyle w:val="Subsection"/>
      </w:pPr>
      <w:r>
        <w:tab/>
        <w:t>(1)</w:t>
      </w:r>
      <w:r>
        <w:tab/>
        <w:t>For the purpose of section 59B(1)(b) of the Act, the fee prescribed for an application for an amendment to a works approval or licence is based on a unit value for 2016</w:t>
      </w:r>
      <w:r>
        <w:noBreakHyphen/>
        <w:t xml:space="preserve">2017 of $3.40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pPr>
      <w:r>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 in Gazette 28 Jun 2016 p. 2630</w:t>
      </w:r>
      <w:r>
        <w:noBreakHyphen/>
        <w:t>1.]</w:t>
      </w:r>
    </w:p>
    <w:p>
      <w:pPr>
        <w:pStyle w:val="Heading5"/>
      </w:pPr>
      <w:bookmarkStart w:id="22" w:name="_Toc473036870"/>
      <w:r>
        <w:rPr>
          <w:rStyle w:val="CharSectno"/>
        </w:rPr>
        <w:t>5C</w:t>
      </w:r>
      <w:r>
        <w:t>.</w:t>
      </w:r>
      <w:r>
        <w:tab/>
        <w:t>Fees prescribed for transfer of works approval or licence (Act s. 64(1))</w:t>
      </w:r>
      <w:bookmarkEnd w:id="22"/>
    </w:p>
    <w:p>
      <w:pPr>
        <w:pStyle w:val="Subsection"/>
      </w:pPr>
      <w:r>
        <w:tab/>
      </w:r>
      <w:r>
        <w:tab/>
        <w:t>For the purpose of section 64(1)(b) of the Act the fee prescribed for the transfer of a works approval or licence is 2 units.</w:t>
      </w:r>
    </w:p>
    <w:p>
      <w:pPr>
        <w:pStyle w:val="Footnotesection"/>
        <w:keepLines w:val="0"/>
        <w:spacing w:before="80"/>
        <w:ind w:left="890" w:hanging="890"/>
      </w:pPr>
      <w:r>
        <w:tab/>
        <w:t>[Regulation 5C inserted in Gazette 28 Jun 2016 p. 2631.]</w:t>
      </w:r>
    </w:p>
    <w:p>
      <w:pPr>
        <w:pStyle w:val="Heading5"/>
      </w:pPr>
      <w:bookmarkStart w:id="23" w:name="_Toc473036871"/>
      <w:r>
        <w:rPr>
          <w:rStyle w:val="CharSectno"/>
        </w:rPr>
        <w:t>5CA</w:t>
      </w:r>
      <w:r>
        <w:t>.</w:t>
      </w:r>
      <w:r>
        <w:tab/>
        <w:t>Fee for works approval, CEO may waive</w:t>
      </w:r>
      <w:bookmarkEnd w:id="23"/>
    </w:p>
    <w:p>
      <w:pPr>
        <w:pStyle w:val="Subsection"/>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spacing w:before="80"/>
        <w:ind w:left="890" w:hanging="890"/>
      </w:pPr>
      <w:r>
        <w:tab/>
        <w:t>[Regulation 5CA inserted in Gazette 15 Aug 2000 p. 4713.]</w:t>
      </w:r>
    </w:p>
    <w:p>
      <w:pPr>
        <w:pStyle w:val="Heading5"/>
      </w:pPr>
      <w:bookmarkStart w:id="24" w:name="_Toc473036872"/>
      <w:r>
        <w:rPr>
          <w:rStyle w:val="CharSectno"/>
        </w:rPr>
        <w:t>5CAA</w:t>
      </w:r>
      <w:r>
        <w:t>.</w:t>
      </w:r>
      <w:r>
        <w:tab/>
        <w:t>Manner of advertising prescribed</w:t>
      </w:r>
      <w:r>
        <w:rPr>
          <w:snapToGrid w:val="0"/>
        </w:rPr>
        <w:t xml:space="preserve"> (Act s. 54(2a))</w:t>
      </w:r>
      <w:bookmarkEnd w:id="24"/>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3</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ind w:left="890" w:hanging="890"/>
      </w:pPr>
      <w:r>
        <w:tab/>
        <w:t>[Regulation 5CAA inserted in Gazette 23 Nov 2004 p. 5222</w:t>
      </w:r>
      <w:r>
        <w:noBreakHyphen/>
        <w:t>3.]</w:t>
      </w:r>
    </w:p>
    <w:p>
      <w:pPr>
        <w:pStyle w:val="Heading5"/>
      </w:pPr>
      <w:bookmarkStart w:id="25" w:name="_Toc473036873"/>
      <w:r>
        <w:rPr>
          <w:rStyle w:val="CharSectno"/>
        </w:rPr>
        <w:t>5CB</w:t>
      </w:r>
      <w:r>
        <w:t>.</w:t>
      </w:r>
      <w:r>
        <w:tab/>
        <w:t>Replacement of expiring licence, application for</w:t>
      </w:r>
      <w:bookmarkEnd w:id="25"/>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in Gazette 22 Jun 2004 p. 2144.]</w:t>
      </w:r>
    </w:p>
    <w:p>
      <w:pPr>
        <w:pStyle w:val="Heading5"/>
        <w:rPr>
          <w:snapToGrid w:val="0"/>
        </w:rPr>
      </w:pPr>
      <w:bookmarkStart w:id="26" w:name="_Toc473036874"/>
      <w:r>
        <w:rPr>
          <w:rStyle w:val="CharSectno"/>
        </w:rPr>
        <w:t>5D</w:t>
      </w:r>
      <w:r>
        <w:rPr>
          <w:snapToGrid w:val="0"/>
        </w:rPr>
        <w:t>.</w:t>
      </w:r>
      <w:r>
        <w:rPr>
          <w:snapToGrid w:val="0"/>
        </w:rPr>
        <w:tab/>
        <w:t>Prescribed premises, fee for licence for</w:t>
      </w:r>
      <w:bookmarkEnd w:id="26"/>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Subsection"/>
      </w:pPr>
      <w:r>
        <w:tab/>
        <w:t>(5)</w:t>
      </w:r>
      <w:r>
        <w:tab/>
        <w:t>For the purpose of section 64(1)(b) of the Act the fee prescribed for the transfer of a licence is 2 units.</w:t>
      </w:r>
    </w:p>
    <w:p>
      <w:pPr>
        <w:pStyle w:val="Subsection"/>
      </w:pPr>
      <w:r>
        <w:tab/>
        <w:t>(6)</w:t>
      </w:r>
      <w:r>
        <w:tab/>
        <w:t>In this regulation and Schedule 4 —</w:t>
      </w:r>
    </w:p>
    <w:p>
      <w:pPr>
        <w:pStyle w:val="Defstar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pPr>
      <w:r>
        <w:tab/>
        <w:t>(e)</w:t>
      </w:r>
      <w:r>
        <w:tab/>
        <w:t>waste water from a desalination plant.</w:t>
      </w:r>
    </w:p>
    <w:p>
      <w:pPr>
        <w:pStyle w:val="Footnotesection"/>
      </w:pPr>
      <w:r>
        <w:tab/>
        <w:t>[Regulation 5D inserted in Gazette 13 Sep 1996 p. 4547; amended in Gazette 10 Dec 1996 p. 6876</w:t>
      </w:r>
      <w:r>
        <w:noBreakHyphen/>
        <w:t>7; 15 Aug 2000 p. 4713; 22 Jun 2004 p. 2144</w:t>
      </w:r>
      <w:r>
        <w:noBreakHyphen/>
        <w:t>5; 13 Dec 2005 p. 5982-3; 22 Jun 2007 p. 2841.]</w:t>
      </w:r>
    </w:p>
    <w:p>
      <w:pPr>
        <w:pStyle w:val="Heading5"/>
      </w:pPr>
      <w:bookmarkStart w:id="27" w:name="_Toc473036875"/>
      <w:r>
        <w:rPr>
          <w:rStyle w:val="CharSectno"/>
        </w:rPr>
        <w:t>5DA</w:t>
      </w:r>
      <w:r>
        <w:t>.</w:t>
      </w:r>
      <w:r>
        <w:tab/>
        <w:t>Payment of licence fees</w:t>
      </w:r>
      <w:bookmarkEnd w:id="27"/>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in Gazette 22 Jun 2004 p. 2145</w:t>
      </w:r>
      <w:r>
        <w:noBreakHyphen/>
        <w:t>6.]</w:t>
      </w:r>
    </w:p>
    <w:p>
      <w:pPr>
        <w:pStyle w:val="Heading5"/>
        <w:rPr>
          <w:snapToGrid w:val="0"/>
        </w:rPr>
      </w:pPr>
      <w:bookmarkStart w:id="28" w:name="_Toc473036876"/>
      <w:r>
        <w:rPr>
          <w:rStyle w:val="CharSectno"/>
        </w:rPr>
        <w:t>5E</w:t>
      </w:r>
      <w:r>
        <w:rPr>
          <w:snapToGrid w:val="0"/>
        </w:rPr>
        <w:t>.</w:t>
      </w:r>
      <w:r>
        <w:rPr>
          <w:snapToGrid w:val="0"/>
        </w:rPr>
        <w:tab/>
        <w:t>Amount in r. 5D(1a)(c), calculation of</w:t>
      </w:r>
      <w:bookmarkEnd w:id="28"/>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in Gazette 13 Sep 1996 p. 4548; amended in Gazette 22 Jun 2004 p. 2146</w:t>
      </w:r>
      <w:r>
        <w:noBreakHyphen/>
        <w:t>7; 22 Jun 2007 p. 2841.]</w:t>
      </w:r>
    </w:p>
    <w:p>
      <w:pPr>
        <w:pStyle w:val="Heading5"/>
        <w:rPr>
          <w:snapToGrid w:val="0"/>
        </w:rPr>
      </w:pPr>
      <w:bookmarkStart w:id="29" w:name="_Toc473036877"/>
      <w:r>
        <w:rPr>
          <w:rStyle w:val="CharSectno"/>
        </w:rPr>
        <w:t>5EA</w:t>
      </w:r>
      <w:r>
        <w:rPr>
          <w:snapToGrid w:val="0"/>
        </w:rPr>
        <w:t>.</w:t>
      </w:r>
      <w:r>
        <w:rPr>
          <w:snapToGrid w:val="0"/>
        </w:rPr>
        <w:tab/>
        <w:t>Fees under r. 5D(1a)(b) and (c), CEO may waive</w:t>
      </w:r>
      <w:bookmarkEnd w:id="29"/>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in Gazette 12 Sep 1997 p. 5150; amended in Gazette 22 Jun 2004 p. 2147.]</w:t>
      </w:r>
    </w:p>
    <w:p>
      <w:pPr>
        <w:pStyle w:val="Heading5"/>
      </w:pPr>
      <w:bookmarkStart w:id="30" w:name="_Toc473036878"/>
      <w:r>
        <w:rPr>
          <w:rStyle w:val="CharSectno"/>
        </w:rPr>
        <w:t>5EB</w:t>
      </w:r>
      <w:r>
        <w:t>.</w:t>
      </w:r>
      <w:r>
        <w:tab/>
        <w:t>Fees under r. 5D, CEO may waive</w:t>
      </w:r>
      <w:bookmarkEnd w:id="30"/>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in Gazette 15 Aug 2000 p. 4713.]</w:t>
      </w:r>
    </w:p>
    <w:p>
      <w:pPr>
        <w:pStyle w:val="Heading5"/>
        <w:spacing w:before="180"/>
        <w:rPr>
          <w:snapToGrid w:val="0"/>
        </w:rPr>
      </w:pPr>
      <w:bookmarkStart w:id="31" w:name="_Toc473036879"/>
      <w:r>
        <w:rPr>
          <w:rStyle w:val="CharSectno"/>
        </w:rPr>
        <w:t>5F</w:t>
      </w:r>
      <w:r>
        <w:rPr>
          <w:snapToGrid w:val="0"/>
        </w:rPr>
        <w:t>.</w:t>
      </w:r>
      <w:r>
        <w:rPr>
          <w:snapToGrid w:val="0"/>
        </w:rPr>
        <w:tab/>
        <w:t>Fee under r. 5D(1a)(c) if discharged waste harmless</w:t>
      </w:r>
      <w:bookmarkEnd w:id="31"/>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tab/>
        <w:t>[(2)</w:t>
      </w:r>
      <w:r>
        <w:tab/>
        <w:t>deleted]</w:t>
      </w:r>
    </w:p>
    <w:p>
      <w:pPr>
        <w:pStyle w:val="Footnotesection"/>
        <w:spacing w:before="80"/>
        <w:ind w:left="890" w:hanging="890"/>
      </w:pPr>
      <w:r>
        <w:tab/>
        <w:t>[Regulation 5F inserted in Gazette 13 Sep 1996 p. 4548; amended in Gazette 22 Jun 2004 p. 2147; 22 Jun 2007 p. 2841.]</w:t>
      </w:r>
    </w:p>
    <w:p>
      <w:pPr>
        <w:pStyle w:val="Heading5"/>
        <w:spacing w:before="180"/>
      </w:pPr>
      <w:bookmarkStart w:id="32" w:name="_Toc473036880"/>
      <w:r>
        <w:rPr>
          <w:rStyle w:val="CharSectno"/>
        </w:rPr>
        <w:t>5G</w:t>
      </w:r>
      <w:r>
        <w:t>.</w:t>
      </w:r>
      <w:r>
        <w:tab/>
        <w:t>Maximum fees under r. 5D(1a)</w:t>
      </w:r>
      <w:bookmarkEnd w:id="32"/>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864"/>
      </w:tblGrid>
      <w:tr>
        <w:trPr>
          <w:cantSplit/>
          <w:tblHeader/>
        </w:trPr>
        <w:tc>
          <w:tcPr>
            <w:tcW w:w="4263" w:type="dxa"/>
            <w:tcBorders>
              <w:top w:val="single" w:sz="4" w:space="0" w:color="auto"/>
              <w:bottom w:val="single" w:sz="4" w:space="0" w:color="auto"/>
            </w:tcBorders>
          </w:tcPr>
          <w:p>
            <w:pPr>
              <w:pStyle w:val="TableNAm"/>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pPr>
            <w:r>
              <w:br/>
            </w:r>
            <w:r>
              <w:tab/>
              <w:t>605 000.00</w:t>
            </w:r>
          </w:p>
        </w:tc>
      </w:tr>
      <w:tr>
        <w:tc>
          <w:tcPr>
            <w:tcW w:w="4263" w:type="dxa"/>
          </w:tcPr>
          <w:p>
            <w:pPr>
              <w:pStyle w:val="TableNAm"/>
            </w:pPr>
            <w:r>
              <w:t>Beginning on 1 July 2008 and ending on 30 June 2009</w:t>
            </w:r>
          </w:p>
        </w:tc>
        <w:tc>
          <w:tcPr>
            <w:tcW w:w="1774" w:type="dxa"/>
          </w:tcPr>
          <w:p>
            <w:pPr>
              <w:pStyle w:val="TableNAm"/>
            </w:pPr>
            <w:r>
              <w:br/>
            </w:r>
            <w:r>
              <w:tab/>
              <w:t>705 000.00</w:t>
            </w:r>
          </w:p>
        </w:tc>
      </w:tr>
      <w:tr>
        <w:tc>
          <w:tcPr>
            <w:tcW w:w="4263" w:type="dxa"/>
          </w:tcPr>
          <w:p>
            <w:pPr>
              <w:pStyle w:val="TableNAm"/>
            </w:pPr>
            <w:r>
              <w:t>Beginning on 1 July 2009 and ending on 30 June 2010</w:t>
            </w:r>
          </w:p>
        </w:tc>
        <w:tc>
          <w:tcPr>
            <w:tcW w:w="1774" w:type="dxa"/>
          </w:tcPr>
          <w:p>
            <w:pPr>
              <w:pStyle w:val="TableNAm"/>
            </w:pPr>
            <w:r>
              <w:br/>
            </w:r>
            <w:r>
              <w:tab/>
              <w:t>755 000.00</w:t>
            </w:r>
          </w:p>
        </w:tc>
      </w:tr>
      <w:tr>
        <w:tc>
          <w:tcPr>
            <w:tcW w:w="4263" w:type="dxa"/>
          </w:tcPr>
          <w:p>
            <w:pPr>
              <w:pStyle w:val="TableNAm"/>
            </w:pPr>
            <w:r>
              <w:t>Beginning on 1 July 2010 and ending on 30 June 2011</w:t>
            </w:r>
          </w:p>
        </w:tc>
        <w:tc>
          <w:tcPr>
            <w:tcW w:w="1774" w:type="dxa"/>
          </w:tcPr>
          <w:p>
            <w:pPr>
              <w:pStyle w:val="TableNAm"/>
            </w:pPr>
            <w:r>
              <w:br/>
            </w:r>
            <w:r>
              <w:tab/>
              <w:t>805 000.00</w:t>
            </w:r>
          </w:p>
        </w:tc>
      </w:tr>
      <w:tr>
        <w:tc>
          <w:tcPr>
            <w:tcW w:w="4263" w:type="dxa"/>
          </w:tcPr>
          <w:p>
            <w:pPr>
              <w:pStyle w:val="TableNAm"/>
            </w:pPr>
            <w:r>
              <w:t>Beginning on 1 July 2011 and ending on 30 June 2012</w:t>
            </w:r>
          </w:p>
        </w:tc>
        <w:tc>
          <w:tcPr>
            <w:tcW w:w="1774" w:type="dxa"/>
          </w:tcPr>
          <w:p>
            <w:pPr>
              <w:pStyle w:val="TableNAm"/>
            </w:pPr>
            <w:r>
              <w:br/>
            </w:r>
            <w:r>
              <w:tab/>
              <w:t>855 000.00</w:t>
            </w:r>
          </w:p>
        </w:tc>
      </w:tr>
      <w:tr>
        <w:tc>
          <w:tcPr>
            <w:tcW w:w="4263" w:type="dxa"/>
            <w:tcBorders>
              <w:bottom w:val="single" w:sz="4" w:space="0" w:color="auto"/>
            </w:tcBorders>
          </w:tcPr>
          <w:p>
            <w:pPr>
              <w:pStyle w:val="TableNAm"/>
            </w:pPr>
            <w:r>
              <w:t>On and from 1 July 2012</w:t>
            </w:r>
          </w:p>
        </w:tc>
        <w:tc>
          <w:tcPr>
            <w:tcW w:w="1774" w:type="dxa"/>
            <w:tcBorders>
              <w:bottom w:val="single" w:sz="4" w:space="0" w:color="auto"/>
            </w:tcBorders>
          </w:tcPr>
          <w:p>
            <w:pPr>
              <w:pStyle w:val="TableNAm"/>
            </w:pPr>
            <w:r>
              <w:tab/>
              <w:t>905 000.00</w:t>
            </w:r>
          </w:p>
        </w:tc>
      </w:tr>
    </w:tbl>
    <w:p>
      <w:pPr>
        <w:pStyle w:val="Subsection"/>
        <w:spacing w:before="200"/>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550 000.00</w:t>
            </w:r>
          </w:p>
        </w:tc>
      </w:tr>
      <w:tr>
        <w:tc>
          <w:tcPr>
            <w:tcW w:w="4263" w:type="dxa"/>
          </w:tcPr>
          <w:p>
            <w:pPr>
              <w:pStyle w:val="TableNAm"/>
            </w:pPr>
            <w:r>
              <w:t>Beginning on 1 July 2008 and ending on 30 June 2009</w:t>
            </w:r>
          </w:p>
        </w:tc>
        <w:tc>
          <w:tcPr>
            <w:tcW w:w="1774" w:type="dxa"/>
          </w:tcPr>
          <w:p>
            <w:pPr>
              <w:pStyle w:val="TableNAm"/>
              <w:jc w:val="center"/>
            </w:pPr>
            <w:r>
              <w:br/>
              <w:t>650 000.00</w:t>
            </w:r>
          </w:p>
        </w:tc>
      </w:tr>
      <w:tr>
        <w:tc>
          <w:tcPr>
            <w:tcW w:w="4263" w:type="dxa"/>
          </w:tcPr>
          <w:p>
            <w:pPr>
              <w:pStyle w:val="TableNAm"/>
            </w:pPr>
            <w:r>
              <w:t>Beginning on 1 July 2009 and ending on 30 June 2010</w:t>
            </w:r>
          </w:p>
        </w:tc>
        <w:tc>
          <w:tcPr>
            <w:tcW w:w="1774" w:type="dxa"/>
          </w:tcPr>
          <w:p>
            <w:pPr>
              <w:pStyle w:val="TableNAm"/>
              <w:jc w:val="center"/>
            </w:pPr>
            <w:r>
              <w:br/>
              <w:t>700 000.00</w:t>
            </w:r>
          </w:p>
        </w:tc>
      </w:tr>
      <w:tr>
        <w:tc>
          <w:tcPr>
            <w:tcW w:w="4263" w:type="dxa"/>
          </w:tcPr>
          <w:p>
            <w:pPr>
              <w:pStyle w:val="TableNAm"/>
            </w:pPr>
            <w:r>
              <w:t>Beginning on 1 July 2010 and ending on 30 June 2011</w:t>
            </w:r>
          </w:p>
        </w:tc>
        <w:tc>
          <w:tcPr>
            <w:tcW w:w="1774" w:type="dxa"/>
          </w:tcPr>
          <w:p>
            <w:pPr>
              <w:pStyle w:val="TableNAm"/>
              <w:jc w:val="center"/>
            </w:pPr>
            <w:r>
              <w:br/>
              <w:t>750 000.00</w:t>
            </w:r>
          </w:p>
        </w:tc>
      </w:tr>
      <w:tr>
        <w:trPr>
          <w:cantSplit/>
        </w:trPr>
        <w:tc>
          <w:tcPr>
            <w:tcW w:w="4263" w:type="dxa"/>
          </w:tcPr>
          <w:p>
            <w:pPr>
              <w:pStyle w:val="TableNAm"/>
            </w:pPr>
            <w:r>
              <w:t>Beginning on 1 July 2011 and ending on 30 June 2012</w:t>
            </w:r>
          </w:p>
        </w:tc>
        <w:tc>
          <w:tcPr>
            <w:tcW w:w="1774" w:type="dxa"/>
          </w:tcPr>
          <w:p>
            <w:pPr>
              <w:pStyle w:val="TableNAm"/>
              <w:jc w:val="center"/>
            </w:pPr>
            <w:r>
              <w:br/>
              <w:t>800 000.00</w:t>
            </w:r>
          </w:p>
        </w:tc>
      </w:tr>
      <w:tr>
        <w:tc>
          <w:tcPr>
            <w:tcW w:w="4263" w:type="dxa"/>
            <w:tcBorders>
              <w:bottom w:val="single" w:sz="4" w:space="0" w:color="auto"/>
            </w:tcBorders>
          </w:tcPr>
          <w:p>
            <w:pPr>
              <w:pStyle w:val="TableNAm"/>
            </w:pPr>
            <w:r>
              <w:t>On and from 1 July 2012</w:t>
            </w:r>
          </w:p>
        </w:tc>
        <w:tc>
          <w:tcPr>
            <w:tcW w:w="1774" w:type="dxa"/>
            <w:tcBorders>
              <w:bottom w:val="single" w:sz="4" w:space="0" w:color="auto"/>
            </w:tcBorders>
          </w:tcPr>
          <w:p>
            <w:pPr>
              <w:pStyle w:val="TableNAm"/>
              <w:jc w:val="center"/>
            </w:pPr>
            <w:r>
              <w:t>850 000.00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pPr>
            <w:r>
              <w:t>On and from 1 July 2012</w:t>
            </w:r>
          </w:p>
        </w:tc>
        <w:tc>
          <w:tcPr>
            <w:tcW w:w="1774" w:type="dxa"/>
            <w:tcBorders>
              <w:bottom w:val="single" w:sz="4" w:space="0" w:color="auto"/>
            </w:tcBorders>
          </w:tcPr>
          <w:p>
            <w:pPr>
              <w:pStyle w:val="TableNAm"/>
              <w:jc w:val="center"/>
            </w:pPr>
            <w:r>
              <w:t>940 000.00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pPr>
            <w:r>
              <w:t>On and from 1 July 2012</w:t>
            </w:r>
          </w:p>
        </w:tc>
        <w:tc>
          <w:tcPr>
            <w:tcW w:w="1774" w:type="dxa"/>
            <w:tcBorders>
              <w:bottom w:val="single" w:sz="4" w:space="0" w:color="auto"/>
            </w:tcBorders>
          </w:tcPr>
          <w:p>
            <w:pPr>
              <w:pStyle w:val="TableNAm"/>
              <w:jc w:val="center"/>
            </w:pPr>
            <w:r>
              <w:t>940 000.00</w:t>
            </w:r>
          </w:p>
        </w:tc>
      </w:tr>
    </w:tbl>
    <w:p>
      <w:pPr>
        <w:pStyle w:val="Footnotesection"/>
      </w:pPr>
      <w:r>
        <w:tab/>
        <w:t>[Regulation 5G inserted in Gazette 22 Jun 2004 p. 2147</w:t>
      </w:r>
      <w:r>
        <w:noBreakHyphen/>
        <w:t>50; amended in Gazette 22 Jun 2007 p. 2841</w:t>
      </w:r>
      <w:r>
        <w:noBreakHyphen/>
        <w:t>3.]</w:t>
      </w:r>
    </w:p>
    <w:p>
      <w:pPr>
        <w:pStyle w:val="Heading5"/>
        <w:rPr>
          <w:snapToGrid w:val="0"/>
        </w:rPr>
      </w:pPr>
      <w:bookmarkStart w:id="33" w:name="_Toc473036881"/>
      <w:r>
        <w:rPr>
          <w:rStyle w:val="CharSectno"/>
        </w:rPr>
        <w:t>5H</w:t>
      </w:r>
      <w:r>
        <w:rPr>
          <w:snapToGrid w:val="0"/>
        </w:rPr>
        <w:t>.</w:t>
      </w:r>
      <w:r>
        <w:rPr>
          <w:snapToGrid w:val="0"/>
        </w:rPr>
        <w:tab/>
        <w:t>Partial refunds of fees for licences</w:t>
      </w:r>
      <w:bookmarkEnd w:id="33"/>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in Gazette 13 Sep 1996 p. 4549; amended in Gazette 12 Sep 1997 p. 5150; 15 Aug 2000 p. 4713</w:t>
      </w:r>
      <w:r>
        <w:noBreakHyphen/>
        <w:t>14; 22 Jun 2004 p. 2150.]</w:t>
      </w:r>
    </w:p>
    <w:p>
      <w:pPr>
        <w:pStyle w:val="Heading5"/>
        <w:keepNext w:val="0"/>
        <w:keepLines w:val="0"/>
        <w:spacing w:before="180"/>
        <w:rPr>
          <w:snapToGrid w:val="0"/>
        </w:rPr>
      </w:pPr>
      <w:bookmarkStart w:id="34" w:name="_Toc473036882"/>
      <w:r>
        <w:rPr>
          <w:rStyle w:val="CharSectno"/>
        </w:rPr>
        <w:t>5I</w:t>
      </w:r>
      <w:r>
        <w:rPr>
          <w:snapToGrid w:val="0"/>
        </w:rPr>
        <w:t>.</w:t>
      </w:r>
      <w:r>
        <w:rPr>
          <w:snapToGrid w:val="0"/>
        </w:rPr>
        <w:tab/>
        <w:t>Certain matters relevant to fees to be determined by CEO</w:t>
      </w:r>
      <w:bookmarkEnd w:id="34"/>
    </w:p>
    <w:p>
      <w:pPr>
        <w:pStyle w:val="Subsection"/>
        <w:spacing w:before="120"/>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in Gazette 13 Sep 1996 p. 4549.]</w:t>
      </w:r>
    </w:p>
    <w:p>
      <w:pPr>
        <w:pStyle w:val="Heading5"/>
        <w:rPr>
          <w:snapToGrid w:val="0"/>
        </w:rPr>
      </w:pPr>
      <w:bookmarkStart w:id="35" w:name="_Toc473036883"/>
      <w:r>
        <w:rPr>
          <w:rStyle w:val="CharSectno"/>
        </w:rPr>
        <w:t>5IA</w:t>
      </w:r>
      <w:r>
        <w:rPr>
          <w:snapToGrid w:val="0"/>
        </w:rPr>
        <w:t>.</w:t>
      </w:r>
      <w:r>
        <w:rPr>
          <w:snapToGrid w:val="0"/>
        </w:rPr>
        <w:tab/>
        <w:t>Compliance with best practice criteria may be condition of licence (Act s. 62(2))</w:t>
      </w:r>
      <w:bookmarkEnd w:id="35"/>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in Gazette 12 Sep 1997 p. 5151; amended in Gazette 20 Aug 2013 p. 3856.]</w:t>
      </w:r>
    </w:p>
    <w:p>
      <w:pPr>
        <w:pStyle w:val="Heading5"/>
      </w:pPr>
      <w:bookmarkStart w:id="36" w:name="_Toc473036884"/>
      <w:r>
        <w:rPr>
          <w:rStyle w:val="CharSectno"/>
        </w:rPr>
        <w:t>5J</w:t>
      </w:r>
      <w:r>
        <w:t>.</w:t>
      </w:r>
      <w:r>
        <w:tab/>
        <w:t>Manner of advertising prescribed</w:t>
      </w:r>
      <w:r>
        <w:rPr>
          <w:snapToGrid w:val="0"/>
        </w:rPr>
        <w:t xml:space="preserve"> (Act s. 57(2a))</w:t>
      </w:r>
      <w:bookmarkEnd w:id="36"/>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3</w:t>
      </w:r>
      <w:r>
        <w:t xml:space="preserve"> at the address and within the time period specified in the advertisement; and</w:t>
      </w:r>
    </w:p>
    <w:p>
      <w:pPr>
        <w:pStyle w:val="Indenta"/>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in Gazette 23 Nov 2004 p. 5223.]</w:t>
      </w:r>
    </w:p>
    <w:p>
      <w:pPr>
        <w:pStyle w:val="Heading5"/>
      </w:pPr>
      <w:bookmarkStart w:id="37" w:name="_Toc473036885"/>
      <w:r>
        <w:rPr>
          <w:rStyle w:val="CharSectno"/>
        </w:rPr>
        <w:t>5K</w:t>
      </w:r>
      <w:r>
        <w:t>.</w:t>
      </w:r>
      <w:r>
        <w:tab/>
        <w:t xml:space="preserve">Details of discharge prescribed </w:t>
      </w:r>
      <w:r>
        <w:rPr>
          <w:snapToGrid w:val="0"/>
        </w:rPr>
        <w:t>(Act s. 72(1))</w:t>
      </w:r>
      <w:bookmarkEnd w:id="37"/>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in Gazette 11 Dec 1998 p. 6599.]</w:t>
      </w:r>
    </w:p>
    <w:p>
      <w:pPr>
        <w:pStyle w:val="Heading5"/>
      </w:pPr>
      <w:bookmarkStart w:id="38" w:name="_Toc473036886"/>
      <w:r>
        <w:rPr>
          <w:rStyle w:val="CharSectno"/>
        </w:rPr>
        <w:t>5L</w:t>
      </w:r>
      <w:r>
        <w:t>.</w:t>
      </w:r>
      <w:r>
        <w:tab/>
        <w:t>Manner of notifying prescribed</w:t>
      </w:r>
      <w:r>
        <w:rPr>
          <w:snapToGrid w:val="0"/>
        </w:rPr>
        <w:t xml:space="preserve"> (Act s. 72)</w:t>
      </w:r>
      <w:bookmarkEnd w:id="38"/>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in Gazette 11 Dec 1998 p. 6600.]</w:t>
      </w:r>
    </w:p>
    <w:p>
      <w:pPr>
        <w:pStyle w:val="Heading5"/>
      </w:pPr>
      <w:bookmarkStart w:id="39" w:name="_Toc473036887"/>
      <w:r>
        <w:rPr>
          <w:rStyle w:val="CharSectno"/>
        </w:rPr>
        <w:t>5M</w:t>
      </w:r>
      <w:r>
        <w:t>.</w:t>
      </w:r>
      <w:r>
        <w:tab/>
        <w:t>Changes in information given to Department, occupier etc. to notify Department of</w:t>
      </w:r>
      <w:bookmarkEnd w:id="39"/>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in Gazette 15 Aug 2000 p. 4714</w:t>
      </w:r>
      <w:r>
        <w:noBreakHyphen/>
        <w:t>15.]</w:t>
      </w:r>
    </w:p>
    <w:p>
      <w:pPr>
        <w:pStyle w:val="Heading5"/>
      </w:pPr>
      <w:bookmarkStart w:id="40" w:name="_Toc473036888"/>
      <w:r>
        <w:rPr>
          <w:rStyle w:val="CharSectno"/>
        </w:rPr>
        <w:t>5N</w:t>
      </w:r>
      <w:r>
        <w:t>.</w:t>
      </w:r>
      <w:r>
        <w:tab/>
        <w:t>Transitional provision (reduced fees)</w:t>
      </w:r>
      <w:bookmarkEnd w:id="40"/>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w:t>
      </w:r>
      <w:r>
        <w:rPr>
          <w:vertAlign w:val="superscript"/>
        </w:rPr>
        <w:t> 1</w:t>
      </w:r>
      <w:r>
        <w:t>, the Chief Executive Officer may refund to the payer the portion of the fee that exceeds the fee payable under this Part had those regulations come into force on 1 October 1998.</w:t>
      </w:r>
    </w:p>
    <w:p>
      <w:pPr>
        <w:pStyle w:val="Footnotesection"/>
      </w:pPr>
      <w:r>
        <w:tab/>
        <w:t>[Regulation 5N inserted in Gazette 15 Aug 2000 p. 4715.]</w:t>
      </w:r>
    </w:p>
    <w:p>
      <w:pPr>
        <w:pStyle w:val="Heading5"/>
      </w:pPr>
      <w:bookmarkStart w:id="41" w:name="_Toc473036889"/>
      <w:r>
        <w:rPr>
          <w:rStyle w:val="CharSectno"/>
        </w:rPr>
        <w:t>5O</w:t>
      </w:r>
      <w:r>
        <w:t>.</w:t>
      </w:r>
      <w:r>
        <w:tab/>
        <w:t>Reduction, waiver, or refund of fees, CEO’s powers as to</w:t>
      </w:r>
      <w:bookmarkEnd w:id="41"/>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in Gazette 15 Aug 2000 p. 4715.]</w:t>
      </w:r>
    </w:p>
    <w:p>
      <w:pPr>
        <w:pStyle w:val="Heading2"/>
      </w:pPr>
      <w:bookmarkStart w:id="42" w:name="_Toc473033002"/>
      <w:bookmarkStart w:id="43" w:name="_Toc473036890"/>
      <w:r>
        <w:rPr>
          <w:rStyle w:val="CharPartNo"/>
        </w:rPr>
        <w:t>Part 4</w:t>
      </w:r>
      <w:r>
        <w:rPr>
          <w:rStyle w:val="CharDivNo"/>
        </w:rPr>
        <w:t> </w:t>
      </w:r>
      <w:r>
        <w:t>—</w:t>
      </w:r>
      <w:r>
        <w:rPr>
          <w:rStyle w:val="CharDivText"/>
        </w:rPr>
        <w:t> </w:t>
      </w:r>
      <w:r>
        <w:rPr>
          <w:rStyle w:val="CharPartText"/>
        </w:rPr>
        <w:t>Audible alarms</w:t>
      </w:r>
      <w:bookmarkEnd w:id="42"/>
      <w:bookmarkEnd w:id="43"/>
    </w:p>
    <w:p>
      <w:pPr>
        <w:pStyle w:val="Footnoteheading"/>
        <w:rPr>
          <w:snapToGrid w:val="0"/>
        </w:rPr>
      </w:pPr>
      <w:r>
        <w:rPr>
          <w:snapToGrid w:val="0"/>
        </w:rPr>
        <w:tab/>
        <w:t>[Heading inserted in Gazette 13 Sep 1996 p. 4545.]</w:t>
      </w:r>
    </w:p>
    <w:p>
      <w:pPr>
        <w:pStyle w:val="Heading5"/>
        <w:rPr>
          <w:snapToGrid w:val="0"/>
        </w:rPr>
      </w:pPr>
      <w:bookmarkStart w:id="44" w:name="_Toc473036891"/>
      <w:r>
        <w:rPr>
          <w:rStyle w:val="CharSectno"/>
        </w:rPr>
        <w:t>6</w:t>
      </w:r>
      <w:r>
        <w:rPr>
          <w:snapToGrid w:val="0"/>
        </w:rPr>
        <w:t>.</w:t>
      </w:r>
      <w:r>
        <w:rPr>
          <w:snapToGrid w:val="0"/>
        </w:rPr>
        <w:tab/>
        <w:t>Period prescribed for audible alarms (Act s. 99(1)(a))</w:t>
      </w:r>
      <w:bookmarkEnd w:id="44"/>
    </w:p>
    <w:p>
      <w:pPr>
        <w:pStyle w:val="Subsection"/>
        <w:rPr>
          <w:snapToGrid w:val="0"/>
        </w:rPr>
      </w:pPr>
      <w:r>
        <w:rPr>
          <w:snapToGrid w:val="0"/>
        </w:rPr>
        <w:tab/>
      </w:r>
      <w:r>
        <w:rPr>
          <w:snapToGrid w:val="0"/>
        </w:rPr>
        <w:tab/>
        <w:t>For the purposes of section 99(1)(a), the prescribed period is 30 minutes.</w:t>
      </w:r>
    </w:p>
    <w:p>
      <w:pPr>
        <w:pStyle w:val="Heading2"/>
      </w:pPr>
      <w:bookmarkStart w:id="45" w:name="_Toc473033004"/>
      <w:bookmarkStart w:id="46" w:name="_Toc473036892"/>
      <w:r>
        <w:rPr>
          <w:rStyle w:val="CharPartNo"/>
        </w:rPr>
        <w:t>Part 5</w:t>
      </w:r>
      <w:r>
        <w:rPr>
          <w:rStyle w:val="CharDivNo"/>
        </w:rPr>
        <w:t> </w:t>
      </w:r>
      <w:r>
        <w:t>—</w:t>
      </w:r>
      <w:r>
        <w:rPr>
          <w:rStyle w:val="CharDivText"/>
        </w:rPr>
        <w:t> </w:t>
      </w:r>
      <w:r>
        <w:rPr>
          <w:rStyle w:val="CharPartText"/>
        </w:rPr>
        <w:t>Appeals</w:t>
      </w:r>
      <w:bookmarkEnd w:id="45"/>
      <w:bookmarkEnd w:id="46"/>
    </w:p>
    <w:p>
      <w:pPr>
        <w:pStyle w:val="Footnoteheading"/>
        <w:rPr>
          <w:snapToGrid w:val="0"/>
        </w:rPr>
      </w:pPr>
      <w:r>
        <w:rPr>
          <w:snapToGrid w:val="0"/>
        </w:rPr>
        <w:tab/>
        <w:t>[Heading inserted in Gazette 13 Sep 1996 p. 4545.]</w:t>
      </w:r>
    </w:p>
    <w:p>
      <w:pPr>
        <w:pStyle w:val="Heading5"/>
        <w:spacing w:before="240"/>
        <w:rPr>
          <w:snapToGrid w:val="0"/>
        </w:rPr>
      </w:pPr>
      <w:bookmarkStart w:id="47" w:name="_Toc473036893"/>
      <w:r>
        <w:rPr>
          <w:rStyle w:val="CharSectno"/>
        </w:rPr>
        <w:t>7</w:t>
      </w:r>
      <w:r>
        <w:rPr>
          <w:snapToGrid w:val="0"/>
        </w:rPr>
        <w:t>.</w:t>
      </w:r>
      <w:r>
        <w:rPr>
          <w:snapToGrid w:val="0"/>
        </w:rPr>
        <w:tab/>
        <w:t xml:space="preserve">Commencing appeals under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VII, manner of</w:t>
      </w:r>
      <w:bookmarkEnd w:id="47"/>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r>
        <w:tab/>
        <w:t>[Regulation 7 amended in Gazette 28 Jun 2016 p. 2632.]</w:t>
      </w:r>
    </w:p>
    <w:p>
      <w:pPr>
        <w:pStyle w:val="Heading5"/>
        <w:rPr>
          <w:snapToGrid w:val="0"/>
        </w:rPr>
      </w:pPr>
      <w:bookmarkStart w:id="48" w:name="_Toc473036894"/>
      <w:r>
        <w:rPr>
          <w:rStyle w:val="CharSectno"/>
        </w:rPr>
        <w:t>8</w:t>
      </w:r>
      <w:r>
        <w:rPr>
          <w:snapToGrid w:val="0"/>
        </w:rPr>
        <w:t>.</w:t>
      </w:r>
      <w:r>
        <w:rPr>
          <w:snapToGrid w:val="0"/>
        </w:rPr>
        <w:tab/>
        <w:t>Decisions on appeals, Minister to publish</w:t>
      </w:r>
      <w:bookmarkEnd w:id="48"/>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in Gazette 24 Jan 1992 p. 362; 11 Dec 1998 p. 6600; 28 Jun 2016 p. 2632.]</w:t>
      </w:r>
    </w:p>
    <w:p>
      <w:pPr>
        <w:pStyle w:val="Heading5"/>
        <w:rPr>
          <w:snapToGrid w:val="0"/>
        </w:rPr>
      </w:pPr>
      <w:bookmarkStart w:id="49" w:name="_Toc473036895"/>
      <w:r>
        <w:rPr>
          <w:rStyle w:val="CharSectno"/>
        </w:rPr>
        <w:t>9</w:t>
      </w:r>
      <w:r>
        <w:rPr>
          <w:snapToGrid w:val="0"/>
        </w:rPr>
        <w:t>.</w:t>
      </w:r>
      <w:r>
        <w:rPr>
          <w:snapToGrid w:val="0"/>
        </w:rPr>
        <w:tab/>
        <w:t>Decisions on appeals, persons to be notified of</w:t>
      </w:r>
      <w:bookmarkEnd w:id="49"/>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r>
        <w:tab/>
        <w:t>[Regulation 9 amended in Gazette 28 Jun 2016 p. 2632.]</w:t>
      </w:r>
    </w:p>
    <w:p>
      <w:pPr>
        <w:pStyle w:val="Heading2"/>
      </w:pPr>
      <w:bookmarkStart w:id="50" w:name="_Toc473033008"/>
      <w:bookmarkStart w:id="51" w:name="_Toc473036896"/>
      <w:r>
        <w:rPr>
          <w:rStyle w:val="CharPartNo"/>
        </w:rPr>
        <w:t>Part 6</w:t>
      </w:r>
      <w:r>
        <w:rPr>
          <w:rStyle w:val="CharDivNo"/>
        </w:rPr>
        <w:t> </w:t>
      </w:r>
      <w:r>
        <w:t>—</w:t>
      </w:r>
      <w:r>
        <w:rPr>
          <w:rStyle w:val="CharDivText"/>
        </w:rPr>
        <w:t> </w:t>
      </w:r>
      <w:r>
        <w:rPr>
          <w:rStyle w:val="CharPartText"/>
        </w:rPr>
        <w:t>Tyres</w:t>
      </w:r>
      <w:bookmarkEnd w:id="50"/>
      <w:bookmarkEnd w:id="51"/>
    </w:p>
    <w:p>
      <w:pPr>
        <w:pStyle w:val="Footnoteheading"/>
        <w:rPr>
          <w:snapToGrid w:val="0"/>
        </w:rPr>
      </w:pPr>
      <w:r>
        <w:rPr>
          <w:snapToGrid w:val="0"/>
        </w:rPr>
        <w:tab/>
        <w:t>[Heading inserted in Gazette 13 Sep 1996 p. 4545.]</w:t>
      </w:r>
    </w:p>
    <w:p>
      <w:pPr>
        <w:pStyle w:val="Ednotesection"/>
      </w:pPr>
      <w:r>
        <w:t>[</w:t>
      </w:r>
      <w:r>
        <w:rPr>
          <w:b/>
        </w:rPr>
        <w:t>10.</w:t>
      </w:r>
      <w:r>
        <w:tab/>
        <w:t>Deleted in Gazette 31 Dec 1993 p. 6878.]</w:t>
      </w:r>
    </w:p>
    <w:p>
      <w:pPr>
        <w:pStyle w:val="Heading5"/>
        <w:rPr>
          <w:snapToGrid w:val="0"/>
        </w:rPr>
      </w:pPr>
      <w:bookmarkStart w:id="52" w:name="_Toc473036897"/>
      <w:r>
        <w:rPr>
          <w:rStyle w:val="CharSectno"/>
        </w:rPr>
        <w:t>11</w:t>
      </w:r>
      <w:r>
        <w:rPr>
          <w:snapToGrid w:val="0"/>
        </w:rPr>
        <w:t>.</w:t>
      </w:r>
      <w:r>
        <w:rPr>
          <w:snapToGrid w:val="0"/>
        </w:rPr>
        <w:tab/>
        <w:t>Terms used; calculating quantity of used tyres</w:t>
      </w:r>
      <w:bookmarkEnd w:id="52"/>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(Miscellaneous Provisions) Act 1911</w:t>
      </w:r>
      <w:r>
        <w:t>; or</w:t>
      </w:r>
      <w:r>
        <w:rPr>
          <w:i/>
        </w:rPr>
        <w:t xml:space="preserve"> </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 in Gazette 30 Aug 1991 p. 4554</w:t>
      </w:r>
      <w:r>
        <w:noBreakHyphen/>
        <w:t>5; amended in Gazette 12 Nov 1996 p. 6303; 10 Dec 1996 p. 6877; 28 Jun 2016 p. 2631</w:t>
      </w:r>
      <w:r>
        <w:noBreakHyphen/>
        <w:t>2; 10 Jan 2017 p. 197.]</w:t>
      </w:r>
    </w:p>
    <w:p>
      <w:pPr>
        <w:pStyle w:val="Heading5"/>
        <w:rPr>
          <w:snapToGrid w:val="0"/>
        </w:rPr>
      </w:pPr>
      <w:bookmarkStart w:id="53" w:name="_Toc473036898"/>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53"/>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in Gazette 30 Aug 1991 p. 4555; amended in Gazette 12 Nov 1996 p. 6303</w:t>
      </w:r>
      <w:r>
        <w:noBreakHyphen/>
        <w:t>4.]</w:t>
      </w:r>
    </w:p>
    <w:p>
      <w:pPr>
        <w:pStyle w:val="Heading5"/>
        <w:rPr>
          <w:snapToGrid w:val="0"/>
        </w:rPr>
      </w:pPr>
      <w:bookmarkStart w:id="54" w:name="_Toc473036899"/>
      <w:r>
        <w:rPr>
          <w:rStyle w:val="CharSectno"/>
        </w:rPr>
        <w:t>13</w:t>
      </w:r>
      <w:r>
        <w:rPr>
          <w:snapToGrid w:val="0"/>
        </w:rPr>
        <w:t>.</w:t>
      </w:r>
      <w:r>
        <w:rPr>
          <w:snapToGrid w:val="0"/>
        </w:rPr>
        <w:tab/>
        <w:t>Transport of used tyres for reward etc., when permitted</w:t>
      </w:r>
      <w:bookmarkEnd w:id="54"/>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in Gazette 30 Aug 1991 p. 4555; amended in Gazette 11 Dec 1998 p. 6600; 28 Jun 2016 p. 2632.]</w:t>
      </w:r>
    </w:p>
    <w:p>
      <w:pPr>
        <w:pStyle w:val="Heading5"/>
        <w:spacing w:before="200"/>
        <w:rPr>
          <w:snapToGrid w:val="0"/>
        </w:rPr>
      </w:pPr>
      <w:bookmarkStart w:id="55" w:name="_Toc473036900"/>
      <w:r>
        <w:rPr>
          <w:rStyle w:val="CharSectno"/>
        </w:rPr>
        <w:t>13A</w:t>
      </w:r>
      <w:r>
        <w:rPr>
          <w:snapToGrid w:val="0"/>
        </w:rPr>
        <w:t>.</w:t>
      </w:r>
      <w:r>
        <w:rPr>
          <w:snapToGrid w:val="0"/>
        </w:rPr>
        <w:tab/>
      </w:r>
      <w:smartTag w:uri="urn:schemas-microsoft-com:office:smarttags" w:element="place">
        <w:smartTag w:uri="urn:schemas-microsoft-com:office:smarttags" w:element="City">
          <w:r>
            <w:rPr>
              <w:snapToGrid w:val="0"/>
            </w:rPr>
            <w:t>Tyre</w:t>
          </w:r>
        </w:smartTag>
      </w:smartTag>
      <w:r>
        <w:rPr>
          <w:snapToGrid w:val="0"/>
        </w:rPr>
        <w:t xml:space="preserve"> retailer not to damage used tyres</w:t>
      </w:r>
      <w:bookmarkEnd w:id="55"/>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in Gazette 12 Nov 1996 p. 6304; amended in Gazette 11 Dec 1998 p. 6600; 28 Jun 2016 p. 2632.]</w:t>
      </w:r>
    </w:p>
    <w:p>
      <w:pPr>
        <w:pStyle w:val="Heading5"/>
        <w:spacing w:before="200"/>
        <w:rPr>
          <w:snapToGrid w:val="0"/>
        </w:rPr>
      </w:pPr>
      <w:bookmarkStart w:id="56" w:name="_Toc473036901"/>
      <w:r>
        <w:rPr>
          <w:rStyle w:val="CharSectno"/>
        </w:rPr>
        <w:t>14</w:t>
      </w:r>
      <w:r>
        <w:rPr>
          <w:snapToGrid w:val="0"/>
        </w:rPr>
        <w:t>.</w:t>
      </w:r>
      <w:r>
        <w:rPr>
          <w:snapToGrid w:val="0"/>
        </w:rPr>
        <w:tab/>
        <w:t>Disposal of tyres, permitted means for</w:t>
      </w:r>
      <w:bookmarkEnd w:id="56"/>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507"/>
        <w:gridCol w:w="2359"/>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in Gazette 30 Aug 1991 p. 4555; amended in Gazette 4 Dec 1992 p. 5889; 12 Nov 1996 p. 6304</w:t>
      </w:r>
      <w:r>
        <w:noBreakHyphen/>
        <w:t>5.]</w:t>
      </w:r>
    </w:p>
    <w:p>
      <w:pPr>
        <w:pStyle w:val="Heading5"/>
        <w:rPr>
          <w:snapToGrid w:val="0"/>
        </w:rPr>
      </w:pPr>
      <w:bookmarkStart w:id="57" w:name="_Toc473036902"/>
      <w:r>
        <w:rPr>
          <w:rStyle w:val="CharSectno"/>
        </w:rPr>
        <w:t>15</w:t>
      </w:r>
      <w:r>
        <w:rPr>
          <w:snapToGrid w:val="0"/>
        </w:rPr>
        <w:t>.</w:t>
      </w:r>
      <w:r>
        <w:rPr>
          <w:snapToGrid w:val="0"/>
        </w:rPr>
        <w:tab/>
        <w:t>Used tyres, storage of on licensed premises</w:t>
      </w:r>
      <w:bookmarkEnd w:id="57"/>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 in Gazette 30 Aug 1991 p. 4555; amended in Gazettte 28 Jun 2016 p. 2632.]</w:t>
      </w:r>
    </w:p>
    <w:p>
      <w:pPr>
        <w:pStyle w:val="Heading2"/>
      </w:pPr>
      <w:bookmarkStart w:id="58" w:name="_Toc473033015"/>
      <w:bookmarkStart w:id="59" w:name="_Toc473036903"/>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58"/>
      <w:bookmarkEnd w:id="59"/>
    </w:p>
    <w:p>
      <w:pPr>
        <w:pStyle w:val="Footnoteheading"/>
        <w:rPr>
          <w:snapToGrid w:val="0"/>
        </w:rPr>
      </w:pPr>
      <w:r>
        <w:rPr>
          <w:snapToGrid w:val="0"/>
        </w:rPr>
        <w:tab/>
        <w:t>[Heading inserted in Gazette 13 Sep 1996 p. 4545.]</w:t>
      </w:r>
    </w:p>
    <w:p>
      <w:pPr>
        <w:pStyle w:val="Heading5"/>
        <w:rPr>
          <w:snapToGrid w:val="0"/>
        </w:rPr>
      </w:pPr>
      <w:bookmarkStart w:id="60" w:name="_Toc473036904"/>
      <w:r>
        <w:rPr>
          <w:rStyle w:val="CharSectno"/>
        </w:rPr>
        <w:t>16</w:t>
      </w:r>
      <w:r>
        <w:rPr>
          <w:snapToGrid w:val="0"/>
        </w:rPr>
        <w:t>.</w:t>
      </w:r>
      <w:r>
        <w:rPr>
          <w:snapToGrid w:val="0"/>
        </w:rPr>
        <w:tab/>
        <w:t>Organotin anti</w:t>
      </w:r>
      <w:r>
        <w:rPr>
          <w:snapToGrid w:val="0"/>
        </w:rPr>
        <w:noBreakHyphen/>
        <w:t>fouling paint, restrictions on use, sale etc. of</w:t>
      </w:r>
      <w:bookmarkEnd w:id="60"/>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in Gazette 30 Aug 1991 p. 4553</w:t>
      </w:r>
      <w:r>
        <w:noBreakHyphen/>
        <w:t>4; amended in Gazette 11 Dec 1998 p. 6600; 28 Jun 2016 p. 2632.]</w:t>
      </w:r>
    </w:p>
    <w:p>
      <w:pPr>
        <w:pStyle w:val="Heading2"/>
      </w:pPr>
      <w:bookmarkStart w:id="61" w:name="_Toc473033017"/>
      <w:bookmarkStart w:id="62" w:name="_Toc473036905"/>
      <w:r>
        <w:rPr>
          <w:rStyle w:val="CharPartNo"/>
        </w:rPr>
        <w:t>Part 7A</w:t>
      </w:r>
      <w:r>
        <w:t> — </w:t>
      </w:r>
      <w:r>
        <w:rPr>
          <w:rStyle w:val="CharPartText"/>
        </w:rPr>
        <w:t>Burning on development sites</w:t>
      </w:r>
      <w:bookmarkEnd w:id="61"/>
      <w:bookmarkEnd w:id="62"/>
    </w:p>
    <w:p>
      <w:pPr>
        <w:pStyle w:val="Footnoteheading"/>
      </w:pPr>
      <w:r>
        <w:tab/>
        <w:t>[Heading inserted in Gazette 19 Dec 2000 p. 7283.]</w:t>
      </w:r>
    </w:p>
    <w:p>
      <w:pPr>
        <w:pStyle w:val="Heading5"/>
      </w:pPr>
      <w:bookmarkStart w:id="63" w:name="_Toc473036906"/>
      <w:r>
        <w:rPr>
          <w:rStyle w:val="CharSectno"/>
        </w:rPr>
        <w:t>16A</w:t>
      </w:r>
      <w:r>
        <w:t>.</w:t>
      </w:r>
      <w:r>
        <w:tab/>
        <w:t>Terms used</w:t>
      </w:r>
      <w:bookmarkEnd w:id="63"/>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in Gazette 19 Dec 2000 p. 7283; amended in Gazette 29 Sep 2006 p. 4261.]</w:t>
      </w:r>
    </w:p>
    <w:p>
      <w:pPr>
        <w:pStyle w:val="Heading5"/>
      </w:pPr>
      <w:bookmarkStart w:id="64" w:name="_Toc473036907"/>
      <w:r>
        <w:rPr>
          <w:rStyle w:val="CharSectno"/>
        </w:rPr>
        <w:t>16B</w:t>
      </w:r>
      <w:r>
        <w:t>.</w:t>
      </w:r>
      <w:r>
        <w:tab/>
        <w:t>Burning vegetation etc. on development sites in Sch. 5A areas restricted</w:t>
      </w:r>
      <w:bookmarkEnd w:id="64"/>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in Gazette 19 Dec 2000 p. 7284.]</w:t>
      </w:r>
    </w:p>
    <w:p>
      <w:pPr>
        <w:pStyle w:val="Heading2"/>
      </w:pPr>
      <w:bookmarkStart w:id="65" w:name="_Toc473033020"/>
      <w:bookmarkStart w:id="66" w:name="_Toc473036908"/>
      <w:r>
        <w:rPr>
          <w:rStyle w:val="CharPartNo"/>
        </w:rPr>
        <w:t>Part 8</w:t>
      </w:r>
      <w:r>
        <w:t xml:space="preserve"> — </w:t>
      </w:r>
      <w:r>
        <w:rPr>
          <w:rStyle w:val="CharPartText"/>
        </w:rPr>
        <w:t>Monitoring</w:t>
      </w:r>
      <w:bookmarkEnd w:id="65"/>
      <w:bookmarkEnd w:id="66"/>
    </w:p>
    <w:p>
      <w:pPr>
        <w:pStyle w:val="Footnoteheading"/>
        <w:spacing w:before="80"/>
        <w:rPr>
          <w:snapToGrid w:val="0"/>
        </w:rPr>
      </w:pPr>
      <w:r>
        <w:rPr>
          <w:snapToGrid w:val="0"/>
        </w:rPr>
        <w:tab/>
        <w:t>[Heading inserted in Gazette 5 Jan 2001 p. 115.]</w:t>
      </w:r>
    </w:p>
    <w:p>
      <w:pPr>
        <w:pStyle w:val="Heading5"/>
        <w:spacing w:before="180"/>
      </w:pPr>
      <w:bookmarkStart w:id="67" w:name="_Toc473036909"/>
      <w:r>
        <w:rPr>
          <w:rStyle w:val="CharSectno"/>
        </w:rPr>
        <w:t>17</w:t>
      </w:r>
      <w:r>
        <w:t>.</w:t>
      </w:r>
      <w:r>
        <w:tab/>
        <w:t>Terms used</w:t>
      </w:r>
      <w:bookmarkEnd w:id="67"/>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in Gazette 5 Jan 2001 p. 115.]</w:t>
      </w:r>
    </w:p>
    <w:p>
      <w:pPr>
        <w:pStyle w:val="Heading5"/>
        <w:spacing w:before="180"/>
      </w:pPr>
      <w:bookmarkStart w:id="68" w:name="_Toc473036910"/>
      <w:r>
        <w:rPr>
          <w:rStyle w:val="CharSectno"/>
        </w:rPr>
        <w:t>18</w:t>
      </w:r>
      <w:r>
        <w:t>.</w:t>
      </w:r>
      <w:r>
        <w:tab/>
        <w:t>Conditions prescribed (Act s. 62(2))</w:t>
      </w:r>
      <w:bookmarkEnd w:id="68"/>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in Gazette 5 Jan 2001 p. 115</w:t>
      </w:r>
      <w:r>
        <w:noBreakHyphen/>
        <w:t>16; amended in Gazette 28 Jun 2016 p. 2631.]</w:t>
      </w:r>
    </w:p>
    <w:p>
      <w:pPr>
        <w:pStyle w:val="Heading5"/>
        <w:keepNext w:val="0"/>
        <w:keepLines w:val="0"/>
        <w:spacing w:before="160"/>
      </w:pPr>
      <w:bookmarkStart w:id="69" w:name="_Toc473036911"/>
      <w:r>
        <w:rPr>
          <w:rStyle w:val="CharSectno"/>
        </w:rPr>
        <w:t>19</w:t>
      </w:r>
      <w:r>
        <w:t>.</w:t>
      </w:r>
      <w:r>
        <w:tab/>
        <w:t>Approved monitoring equipment, to be used in specified monitoring programmes</w:t>
      </w:r>
      <w:bookmarkEnd w:id="69"/>
    </w:p>
    <w:p>
      <w:pPr>
        <w:pStyle w:val="Subsection"/>
        <w:spacing w:before="100"/>
      </w:pPr>
      <w:r>
        <w:tab/>
      </w:r>
      <w:r>
        <w:tab/>
        <w:t>A person who —</w:t>
      </w:r>
    </w:p>
    <w:p>
      <w:pPr>
        <w:pStyle w:val="Indenta"/>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70" w:author="Isobel Bond" w:date="2015-08-20T13:29:00Z" w:original=""/>
        </w:fldChar>
      </w:r>
      <w:r>
        <w:tab/>
        <w:t>Penalty: $5 000.</w:t>
      </w:r>
    </w:p>
    <w:p>
      <w:pPr>
        <w:pStyle w:val="Footnotesection"/>
        <w:ind w:left="890" w:hanging="890"/>
      </w:pPr>
      <w:r>
        <w:tab/>
        <w:t>[Regulation 19 inserted in Gazette 7 Jul 2000 p. 3678.]</w:t>
      </w:r>
    </w:p>
    <w:p>
      <w:pPr>
        <w:pStyle w:val="Heading5"/>
        <w:keepNext w:val="0"/>
        <w:keepLines w:val="0"/>
        <w:spacing w:before="180"/>
      </w:pPr>
      <w:bookmarkStart w:id="71" w:name="_Toc473036912"/>
      <w:r>
        <w:rPr>
          <w:rStyle w:val="CharSectno"/>
        </w:rPr>
        <w:t>20</w:t>
      </w:r>
      <w:r>
        <w:t>.</w:t>
      </w:r>
      <w:r>
        <w:tab/>
        <w:t>Approved monitoring equipment, duty to ensure accuracy of</w:t>
      </w:r>
      <w:bookmarkEnd w:id="71"/>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72" w:author="Isobel Bond" w:date="2015-08-20T13:29:00Z" w:original=""/>
        </w:fldChar>
      </w: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in Gazette 7 Jul 2000 p. 3678</w:t>
      </w:r>
      <w:r>
        <w:noBreakHyphen/>
        <w:t>9.]</w:t>
      </w:r>
    </w:p>
    <w:p>
      <w:pPr>
        <w:pStyle w:val="Heading5"/>
        <w:keepNext w:val="0"/>
        <w:keepLines w:val="0"/>
        <w:spacing w:before="180"/>
      </w:pPr>
      <w:bookmarkStart w:id="73" w:name="_Toc473036913"/>
      <w:r>
        <w:rPr>
          <w:rStyle w:val="CharSectno"/>
        </w:rPr>
        <w:t>20A</w:t>
      </w:r>
      <w:r>
        <w:t>.</w:t>
      </w:r>
      <w:r>
        <w:tab/>
        <w:t>Approved monitoring equipment, duty to comply with conditions of approval of</w:t>
      </w:r>
      <w:bookmarkEnd w:id="73"/>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in Gazette 7 Jul 2000 p. 3679.]</w:t>
      </w:r>
    </w:p>
    <w:p>
      <w:pPr>
        <w:pStyle w:val="Heading5"/>
      </w:pPr>
      <w:bookmarkStart w:id="74" w:name="_Toc473036914"/>
      <w:r>
        <w:rPr>
          <w:rStyle w:val="CharSectno"/>
        </w:rPr>
        <w:t>20B</w:t>
      </w:r>
      <w:r>
        <w:t>.</w:t>
      </w:r>
      <w:r>
        <w:tab/>
        <w:t>Approved monitoring equipment, duty to report results of to CEO</w:t>
      </w:r>
      <w:bookmarkEnd w:id="74"/>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in Gazette 7 Jul 2000 p. 3679</w:t>
      </w:r>
      <w:r>
        <w:noBreakHyphen/>
        <w:t>80; amended in Gazette 5 Jan 2001 p. 116.]</w:t>
      </w:r>
    </w:p>
    <w:p>
      <w:pPr>
        <w:pStyle w:val="Heading5"/>
      </w:pPr>
      <w:bookmarkStart w:id="75" w:name="_Toc473036915"/>
      <w:r>
        <w:rPr>
          <w:rStyle w:val="CharSectno"/>
        </w:rPr>
        <w:t>20C</w:t>
      </w:r>
      <w:r>
        <w:t>.</w:t>
      </w:r>
      <w:r>
        <w:tab/>
        <w:t>Approved monitoring equipment, presumption of accuracy of</w:t>
      </w:r>
      <w:bookmarkEnd w:id="75"/>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in Gazette 7 Jul 2000 p. 3680.]</w:t>
      </w:r>
    </w:p>
    <w:p>
      <w:pPr>
        <w:pStyle w:val="Heading5"/>
      </w:pPr>
      <w:bookmarkStart w:id="76" w:name="_Toc473036916"/>
      <w:r>
        <w:rPr>
          <w:rStyle w:val="CharSectno"/>
        </w:rPr>
        <w:t>20D</w:t>
      </w:r>
      <w:r>
        <w:t>.</w:t>
      </w:r>
      <w:r>
        <w:tab/>
        <w:t>Report of specified monitoring programme, presumption of accuracy of measurement in</w:t>
      </w:r>
      <w:bookmarkEnd w:id="76"/>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in Gazette 7 Jul 2000 p. 3680.]</w:t>
      </w:r>
    </w:p>
    <w:p>
      <w:pPr>
        <w:pStyle w:val="Heading5"/>
      </w:pPr>
      <w:bookmarkStart w:id="77" w:name="_Toc473036917"/>
      <w:r>
        <w:rPr>
          <w:rStyle w:val="CharSectno"/>
        </w:rPr>
        <w:t>20E</w:t>
      </w:r>
      <w:r>
        <w:t>.</w:t>
      </w:r>
      <w:r>
        <w:tab/>
        <w:t>Inaccurate measurement in r. 20B report, duty to notify CEO of</w:t>
      </w:r>
      <w:bookmarkEnd w:id="77"/>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in Gazette 7 Jul 2000 p. 3680.]</w:t>
      </w:r>
    </w:p>
    <w:p>
      <w:pPr>
        <w:pStyle w:val="Heading5"/>
      </w:pPr>
      <w:bookmarkStart w:id="78" w:name="_Toc473036918"/>
      <w:r>
        <w:rPr>
          <w:rStyle w:val="CharSectno"/>
        </w:rPr>
        <w:t>20F</w:t>
      </w:r>
      <w:r>
        <w:t>.</w:t>
      </w:r>
      <w:r>
        <w:tab/>
        <w:t>Monitoring equipment, approval of</w:t>
      </w:r>
      <w:bookmarkEnd w:id="78"/>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in Gazette 5 Jan 2001 p. 116</w:t>
      </w:r>
      <w:r>
        <w:noBreakHyphen/>
        <w:t>17.]</w:t>
      </w:r>
    </w:p>
    <w:p>
      <w:pPr>
        <w:pStyle w:val="Heading5"/>
      </w:pPr>
      <w:bookmarkStart w:id="79" w:name="_Toc473036919"/>
      <w:r>
        <w:rPr>
          <w:rStyle w:val="CharSectno"/>
        </w:rPr>
        <w:t>20G</w:t>
      </w:r>
      <w:r>
        <w:t>.</w:t>
      </w:r>
      <w:r>
        <w:tab/>
        <w:t>Monitoring equipment, conditions of approval of</w:t>
      </w:r>
      <w:bookmarkEnd w:id="79"/>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in Gazette 7 Jul 2000 p. 3681.]</w:t>
      </w:r>
    </w:p>
    <w:p>
      <w:pPr>
        <w:pStyle w:val="Heading5"/>
      </w:pPr>
      <w:bookmarkStart w:id="80" w:name="_Toc473036920"/>
      <w:r>
        <w:rPr>
          <w:rStyle w:val="CharSectno"/>
        </w:rPr>
        <w:t>20H</w:t>
      </w:r>
      <w:r>
        <w:t>.</w:t>
      </w:r>
      <w:r>
        <w:tab/>
        <w:t>Approval of monitoring equipment, revoking</w:t>
      </w:r>
      <w:bookmarkEnd w:id="80"/>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in Gazette 7 Jul 2000 p. 3681</w:t>
      </w:r>
      <w:r>
        <w:noBreakHyphen/>
        <w:t>2; amended in Gazette 5 Jan 2001 p. 117</w:t>
      </w:r>
      <w:r>
        <w:noBreakHyphen/>
        <w:t>18.]</w:t>
      </w:r>
    </w:p>
    <w:p>
      <w:pPr>
        <w:pStyle w:val="Heading5"/>
        <w:spacing w:before="180"/>
      </w:pPr>
      <w:bookmarkStart w:id="81" w:name="_Toc473036921"/>
      <w:r>
        <w:rPr>
          <w:rStyle w:val="CharSectno"/>
        </w:rPr>
        <w:t>20I</w:t>
      </w:r>
      <w:r>
        <w:t>.</w:t>
      </w:r>
      <w:r>
        <w:tab/>
        <w:t>Appeal against r. 20F, 20G or 20H decision</w:t>
      </w:r>
      <w:bookmarkEnd w:id="81"/>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in Gazette 7 Jul 2000 p. 3682.]</w:t>
      </w:r>
    </w:p>
    <w:p>
      <w:pPr>
        <w:pStyle w:val="Heading5"/>
        <w:spacing w:before="180"/>
      </w:pPr>
      <w:bookmarkStart w:id="82" w:name="_Toc473036922"/>
      <w:r>
        <w:rPr>
          <w:rStyle w:val="CharSectno"/>
        </w:rPr>
        <w:t>20J</w:t>
      </w:r>
      <w:r>
        <w:t>.</w:t>
      </w:r>
      <w:r>
        <w:tab/>
        <w:t>Revocation of approval, use of monitoring equipment pending determination of appeal against</w:t>
      </w:r>
      <w:bookmarkEnd w:id="82"/>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in Gazette 7 Jul 2000 p. 3682</w:t>
      </w:r>
      <w:r>
        <w:noBreakHyphen/>
        <w:t>3.]</w:t>
      </w:r>
    </w:p>
    <w:p>
      <w:pPr>
        <w:pStyle w:val="Heading5"/>
      </w:pPr>
      <w:bookmarkStart w:id="83" w:name="_Toc473036923"/>
      <w:r>
        <w:rPr>
          <w:rStyle w:val="CharSectno"/>
        </w:rPr>
        <w:t>20K</w:t>
      </w:r>
      <w:r>
        <w:t>.</w:t>
      </w:r>
      <w:r>
        <w:tab/>
        <w:t>CEO’s signature, judicial notice of</w:t>
      </w:r>
      <w:bookmarkEnd w:id="83"/>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in Gazette 7 Jul 2000 p. 3683; amended in Gazette 5 Jan 2001 p. 118.]</w:t>
      </w:r>
    </w:p>
    <w:p>
      <w:pPr>
        <w:pStyle w:val="Heading5"/>
      </w:pPr>
      <w:bookmarkStart w:id="84" w:name="_Toc473036924"/>
      <w:r>
        <w:rPr>
          <w:rStyle w:val="CharSectno"/>
        </w:rPr>
        <w:t>20KA</w:t>
      </w:r>
      <w:r>
        <w:t>.</w:t>
      </w:r>
      <w:r>
        <w:tab/>
        <w:t>Guidelines for performance of CEO’s functions, Minister may make etc.</w:t>
      </w:r>
      <w:bookmarkEnd w:id="84"/>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in Gazette 5 Jan 2001 p. 118.]</w:t>
      </w:r>
    </w:p>
    <w:p>
      <w:pPr>
        <w:pStyle w:val="Heading5"/>
      </w:pPr>
      <w:bookmarkStart w:id="85" w:name="_Toc473036925"/>
      <w:r>
        <w:rPr>
          <w:rStyle w:val="CharSectno"/>
        </w:rPr>
        <w:t>20L</w:t>
      </w:r>
      <w:r>
        <w:t>.</w:t>
      </w:r>
      <w:r>
        <w:tab/>
        <w:t>Review of this Part</w:t>
      </w:r>
      <w:bookmarkEnd w:id="85"/>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in Gazette 7 Jul 2000 p. 3683; amended in Gazette 5 Jan 2001 p. 118.]</w:t>
      </w:r>
    </w:p>
    <w:p>
      <w:pPr>
        <w:pStyle w:val="Heading2"/>
      </w:pPr>
      <w:bookmarkStart w:id="86" w:name="_Toc473033038"/>
      <w:bookmarkStart w:id="87" w:name="_Toc473036926"/>
      <w:r>
        <w:rPr>
          <w:rStyle w:val="CharPartNo"/>
        </w:rPr>
        <w:t>Part 9</w:t>
      </w:r>
      <w:r>
        <w:rPr>
          <w:rStyle w:val="CharDivNo"/>
        </w:rPr>
        <w:t> </w:t>
      </w:r>
      <w:r>
        <w:t>—</w:t>
      </w:r>
      <w:r>
        <w:rPr>
          <w:rStyle w:val="CharDivText"/>
        </w:rPr>
        <w:t> </w:t>
      </w:r>
      <w:r>
        <w:rPr>
          <w:rStyle w:val="CharPartText"/>
        </w:rPr>
        <w:t>Landfill levy</w:t>
      </w:r>
      <w:bookmarkEnd w:id="86"/>
      <w:bookmarkEnd w:id="87"/>
    </w:p>
    <w:p>
      <w:pPr>
        <w:pStyle w:val="Footnoteheading"/>
        <w:rPr>
          <w:snapToGrid w:val="0"/>
        </w:rPr>
      </w:pPr>
      <w:r>
        <w:rPr>
          <w:snapToGrid w:val="0"/>
        </w:rPr>
        <w:tab/>
        <w:t>[Heading inserted in Gazette 26 Jun 1998 p. 3370.]</w:t>
      </w:r>
    </w:p>
    <w:p>
      <w:pPr>
        <w:pStyle w:val="Heading5"/>
        <w:rPr>
          <w:snapToGrid w:val="0"/>
        </w:rPr>
      </w:pPr>
      <w:bookmarkStart w:id="88" w:name="_Toc473036927"/>
      <w:r>
        <w:rPr>
          <w:rStyle w:val="CharSectno"/>
        </w:rPr>
        <w:t>21</w:t>
      </w:r>
      <w:r>
        <w:rPr>
          <w:snapToGrid w:val="0"/>
        </w:rPr>
        <w:t>.</w:t>
      </w:r>
      <w:r>
        <w:rPr>
          <w:snapToGrid w:val="0"/>
        </w:rPr>
        <w:tab/>
        <w:t>Terms used</w:t>
      </w:r>
      <w:bookmarkEnd w:id="88"/>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 </w:t>
      </w:r>
      <w:r>
        <w:rPr>
          <w:vertAlign w:val="superscript"/>
        </w:rPr>
        <w:t>4</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 </w:t>
      </w:r>
      <w:r>
        <w:rPr>
          <w:vertAlign w:val="superscript"/>
        </w:rPr>
        <w:t>5</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pPr>
      <w:r>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in Gazette 26 Jun 1998 p. 3370</w:t>
      </w:r>
      <w:r>
        <w:noBreakHyphen/>
        <w:t>1; amended in Gazette 29 Sep 2006 p. 4261.]</w:t>
      </w:r>
    </w:p>
    <w:p>
      <w:pPr>
        <w:pStyle w:val="Heading5"/>
        <w:spacing w:before="260"/>
        <w:rPr>
          <w:snapToGrid w:val="0"/>
        </w:rPr>
      </w:pPr>
      <w:bookmarkStart w:id="89" w:name="_Toc473036928"/>
      <w:r>
        <w:rPr>
          <w:rStyle w:val="CharSectno"/>
        </w:rPr>
        <w:t>22</w:t>
      </w:r>
      <w:r>
        <w:rPr>
          <w:snapToGrid w:val="0"/>
        </w:rPr>
        <w:t xml:space="preserve">. </w:t>
      </w:r>
      <w:r>
        <w:rPr>
          <w:snapToGrid w:val="0"/>
        </w:rPr>
        <w:tab/>
        <w:t>Application of this Part</w:t>
      </w:r>
      <w:bookmarkEnd w:id="89"/>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in Gazette 26 Jun 1998 p. 3371; amended in Gazette 20 Jun 2008 p. 2683.]</w:t>
      </w:r>
    </w:p>
    <w:p>
      <w:pPr>
        <w:pStyle w:val="Heading5"/>
        <w:keepNext w:val="0"/>
        <w:keepLines w:val="0"/>
        <w:pageBreakBefore/>
        <w:spacing w:before="0"/>
        <w:rPr>
          <w:snapToGrid w:val="0"/>
        </w:rPr>
      </w:pPr>
      <w:bookmarkStart w:id="90" w:name="_Toc473036929"/>
      <w:r>
        <w:rPr>
          <w:rStyle w:val="CharSectno"/>
        </w:rPr>
        <w:t>23</w:t>
      </w:r>
      <w:r>
        <w:rPr>
          <w:snapToGrid w:val="0"/>
        </w:rPr>
        <w:t>.</w:t>
      </w:r>
      <w:r>
        <w:rPr>
          <w:snapToGrid w:val="0"/>
        </w:rPr>
        <w:tab/>
        <w:t>Exemptions from this Part; refunds etc. of levy</w:t>
      </w:r>
      <w:bookmarkEnd w:id="90"/>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in Gazette 26 Jun 1998 p. 3371; amended in Gazette 29 Sep 2006 p. 4262.]</w:t>
      </w:r>
    </w:p>
    <w:p>
      <w:pPr>
        <w:pStyle w:val="Heading5"/>
        <w:rPr>
          <w:snapToGrid w:val="0"/>
        </w:rPr>
      </w:pPr>
      <w:bookmarkStart w:id="91" w:name="_Toc473036930"/>
      <w:r>
        <w:rPr>
          <w:rStyle w:val="CharSectno"/>
        </w:rPr>
        <w:t>24</w:t>
      </w:r>
      <w:r>
        <w:rPr>
          <w:snapToGrid w:val="0"/>
        </w:rPr>
        <w:t>.</w:t>
      </w:r>
      <w:r>
        <w:rPr>
          <w:snapToGrid w:val="0"/>
        </w:rPr>
        <w:tab/>
        <w:t>Financial assurance, CEO may require from licensee with r. 23(1)(b) exemption</w:t>
      </w:r>
      <w:bookmarkEnd w:id="91"/>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in Gazette 26 Jun 1998 p. 3371</w:t>
      </w:r>
      <w:r>
        <w:noBreakHyphen/>
        <w:t>2; amended in Gazette 29 Sep 2006 p. 4262.]</w:t>
      </w:r>
    </w:p>
    <w:p>
      <w:pPr>
        <w:pStyle w:val="Heading5"/>
        <w:keepNext w:val="0"/>
        <w:keepLines w:val="0"/>
        <w:spacing w:before="180"/>
        <w:rPr>
          <w:snapToGrid w:val="0"/>
        </w:rPr>
      </w:pPr>
      <w:bookmarkStart w:id="92" w:name="_Toc473036931"/>
      <w:r>
        <w:rPr>
          <w:rStyle w:val="CharSectno"/>
        </w:rPr>
        <w:t>25</w:t>
      </w:r>
      <w:r>
        <w:rPr>
          <w:snapToGrid w:val="0"/>
        </w:rPr>
        <w:t>.</w:t>
      </w:r>
      <w:r>
        <w:rPr>
          <w:snapToGrid w:val="0"/>
        </w:rPr>
        <w:tab/>
        <w:t>Waste received at category 64 or 65 licensed landfill, calculating amount of</w:t>
      </w:r>
      <w:bookmarkEnd w:id="92"/>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in Gazette 26 Jun 1998 p. 3372; amended in Gazette 29 Sep 2006 p. 4262-3.]</w:t>
      </w:r>
    </w:p>
    <w:p>
      <w:pPr>
        <w:pStyle w:val="Heading5"/>
      </w:pPr>
      <w:bookmarkStart w:id="93" w:name="_Toc473036932"/>
      <w:r>
        <w:rPr>
          <w:rStyle w:val="CharSectno"/>
        </w:rPr>
        <w:t>26</w:t>
      </w:r>
      <w:r>
        <w:t>.</w:t>
      </w:r>
      <w:r>
        <w:tab/>
        <w:t>Waste disposed of in category 63 licensed landfill, calculating amount of</w:t>
      </w:r>
      <w:bookmarkEnd w:id="93"/>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 xml:space="preserve">the Institution of Surveyors, </w:t>
      </w:r>
      <w:smartTag w:uri="urn:schemas-microsoft-com:office:smarttags" w:element="place">
        <w:smartTag w:uri="urn:schemas-microsoft-com:office:smarttags" w:element="country-region">
          <w:r>
            <w:t>Australia</w:t>
          </w:r>
        </w:smartTag>
      </w:smartTag>
      <w:r>
        <w:t>; or</w:t>
      </w:r>
    </w:p>
    <w:p>
      <w:pPr>
        <w:pStyle w:val="Defsubpara"/>
      </w:pPr>
      <w:r>
        <w:tab/>
        <w:t>(ii)</w:t>
      </w:r>
      <w:r>
        <w:tab/>
        <w:t>the Spatial Sciences Institute.</w:t>
      </w:r>
    </w:p>
    <w:p>
      <w:pPr>
        <w:pStyle w:val="Footnotesection"/>
      </w:pPr>
      <w:r>
        <w:tab/>
        <w:t>[Regulation 26 inserted in Gazette 29 Sep 2006 p. 4263-4.]</w:t>
      </w:r>
    </w:p>
    <w:p>
      <w:pPr>
        <w:pStyle w:val="Heading5"/>
      </w:pPr>
      <w:bookmarkStart w:id="94" w:name="_Toc473036933"/>
      <w:r>
        <w:rPr>
          <w:rStyle w:val="CharSectno"/>
        </w:rPr>
        <w:t>26A</w:t>
      </w:r>
      <w:r>
        <w:t>.</w:t>
      </w:r>
      <w:r>
        <w:tab/>
      </w:r>
      <w:smartTag w:uri="urn:schemas-microsoft-com:office:smarttags" w:element="City">
        <w:smartTag w:uri="urn:schemas-microsoft-com:office:smarttags" w:element="place">
          <w:r>
            <w:t>Brea</w:t>
          </w:r>
        </w:smartTag>
      </w:smartTag>
      <w:r>
        <w:t>ch of r. 26, CEO may estimate amount in case of etc.</w:t>
      </w:r>
      <w:bookmarkEnd w:id="94"/>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in Gazette 29 Sep 2006 p. 4264-5.]</w:t>
      </w:r>
    </w:p>
    <w:p>
      <w:pPr>
        <w:pStyle w:val="Heading5"/>
        <w:spacing w:before="240"/>
      </w:pPr>
      <w:bookmarkStart w:id="95" w:name="_Toc473036934"/>
      <w:r>
        <w:rPr>
          <w:rStyle w:val="CharSectno"/>
        </w:rPr>
        <w:t>27</w:t>
      </w:r>
      <w:r>
        <w:t>.</w:t>
      </w:r>
      <w:r>
        <w:tab/>
        <w:t>Levy, determining amount of</w:t>
      </w:r>
      <w:bookmarkEnd w:id="95"/>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in Gazette 29 Sep 2006 p. 4265-6.]</w:t>
      </w:r>
    </w:p>
    <w:p>
      <w:pPr>
        <w:pStyle w:val="Heading5"/>
        <w:spacing w:before="240"/>
        <w:rPr>
          <w:snapToGrid w:val="0"/>
        </w:rPr>
      </w:pPr>
      <w:bookmarkStart w:id="96" w:name="_Toc473036935"/>
      <w:r>
        <w:rPr>
          <w:rStyle w:val="CharSectno"/>
        </w:rPr>
        <w:t>28</w:t>
      </w:r>
      <w:r>
        <w:rPr>
          <w:snapToGrid w:val="0"/>
        </w:rPr>
        <w:t>.</w:t>
      </w:r>
      <w:r>
        <w:rPr>
          <w:snapToGrid w:val="0"/>
        </w:rPr>
        <w:tab/>
        <w:t>Financial assurance, licensees to pay</w:t>
      </w:r>
      <w:bookmarkEnd w:id="96"/>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[Regulation 28 inserted in Gazette 26 Jun 1998 p. 3373; amended in Gazette 11 Dec 1998 p. 6601; 29 Sep 2006 p. 4266.]</w:t>
      </w:r>
    </w:p>
    <w:p>
      <w:pPr>
        <w:pStyle w:val="Heading5"/>
        <w:rPr>
          <w:snapToGrid w:val="0"/>
        </w:rPr>
      </w:pPr>
      <w:bookmarkStart w:id="97" w:name="_Toc473036936"/>
      <w:r>
        <w:rPr>
          <w:rStyle w:val="CharSectno"/>
        </w:rPr>
        <w:t>29</w:t>
      </w:r>
      <w:r>
        <w:rPr>
          <w:snapToGrid w:val="0"/>
        </w:rPr>
        <w:t>.</w:t>
      </w:r>
      <w:r>
        <w:rPr>
          <w:snapToGrid w:val="0"/>
        </w:rPr>
        <w:tab/>
        <w:t>Records of waste received, licensees’ duties as to</w:t>
      </w:r>
      <w:bookmarkEnd w:id="97"/>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in Gazette 26 Jun 1998 p. 3373</w:t>
      </w:r>
      <w:r>
        <w:noBreakHyphen/>
        <w:t>4; amended in Gazette 11 Dec 1998 p. 6601; 29 Sep 2006 p. 4266.]</w:t>
      </w:r>
    </w:p>
    <w:p>
      <w:pPr>
        <w:pStyle w:val="Heading5"/>
        <w:rPr>
          <w:snapToGrid w:val="0"/>
        </w:rPr>
      </w:pPr>
      <w:bookmarkStart w:id="98" w:name="_Toc473036937"/>
      <w:r>
        <w:rPr>
          <w:rStyle w:val="CharSectno"/>
        </w:rPr>
        <w:t>30</w:t>
      </w:r>
      <w:r>
        <w:rPr>
          <w:snapToGrid w:val="0"/>
        </w:rPr>
        <w:t>.</w:t>
      </w:r>
      <w:r>
        <w:rPr>
          <w:snapToGrid w:val="0"/>
        </w:rPr>
        <w:tab/>
        <w:t>Levy, payment of; returns to be lodged</w:t>
      </w:r>
      <w:bookmarkEnd w:id="98"/>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in Gazette 26 Jun 1998 p. 3374; amended in Gazette 29 Sep 2006 p. 4266.]</w:t>
      </w:r>
    </w:p>
    <w:p>
      <w:pPr>
        <w:pStyle w:val="Heading5"/>
        <w:rPr>
          <w:snapToGrid w:val="0"/>
        </w:rPr>
      </w:pPr>
      <w:bookmarkStart w:id="99" w:name="_Toc473036938"/>
      <w:r>
        <w:rPr>
          <w:rStyle w:val="CharSectno"/>
        </w:rPr>
        <w:t>31</w:t>
      </w:r>
      <w:r>
        <w:rPr>
          <w:snapToGrid w:val="0"/>
        </w:rPr>
        <w:t>.</w:t>
      </w:r>
      <w:r>
        <w:rPr>
          <w:snapToGrid w:val="0"/>
        </w:rPr>
        <w:tab/>
        <w:t>Audits, CEO’s powers to direct etc.</w:t>
      </w:r>
      <w:bookmarkEnd w:id="99"/>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in Gazette 26 Jun 1998 p. 3374; amended in Gazette 11 Dec 1998 p. 6601.]</w:t>
      </w:r>
    </w:p>
    <w:p>
      <w:pPr>
        <w:pStyle w:val="Heading5"/>
        <w:rPr>
          <w:snapToGrid w:val="0"/>
        </w:rPr>
      </w:pPr>
      <w:bookmarkStart w:id="100" w:name="_Toc473036939"/>
      <w:r>
        <w:rPr>
          <w:rStyle w:val="CharSectno"/>
        </w:rPr>
        <w:t>32</w:t>
      </w:r>
      <w:r>
        <w:rPr>
          <w:snapToGrid w:val="0"/>
        </w:rPr>
        <w:t>.</w:t>
      </w:r>
      <w:r>
        <w:rPr>
          <w:snapToGrid w:val="0"/>
        </w:rPr>
        <w:tab/>
        <w:t>CEO’s decisions, review of and appeal against</w:t>
      </w:r>
      <w:bookmarkEnd w:id="100"/>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in Gazette 26 Jun 1998 p. 3374.]</w:t>
      </w:r>
    </w:p>
    <w:p>
      <w:pPr>
        <w:pStyle w:val="Heading5"/>
      </w:pPr>
      <w:bookmarkStart w:id="101" w:name="_Toc473036940"/>
      <w:r>
        <w:rPr>
          <w:rStyle w:val="CharSectno"/>
        </w:rPr>
        <w:t>33</w:t>
      </w:r>
      <w:r>
        <w:t>.</w:t>
      </w:r>
      <w:r>
        <w:tab/>
        <w:t>Payment of levies is condition of licence</w:t>
      </w:r>
      <w:bookmarkEnd w:id="101"/>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in Gazette 20 Jun 2008 p. 2683-4.]</w:t>
      </w:r>
    </w:p>
    <w:p>
      <w:pPr>
        <w:pStyle w:val="Heading2"/>
      </w:pPr>
      <w:bookmarkStart w:id="102" w:name="_Toc473033053"/>
      <w:bookmarkStart w:id="103" w:name="_Toc473036941"/>
      <w:r>
        <w:rPr>
          <w:rStyle w:val="CharPartNo"/>
        </w:rPr>
        <w:t>Part 10</w:t>
      </w:r>
      <w:r>
        <w:t xml:space="preserve"> — </w:t>
      </w:r>
      <w:r>
        <w:rPr>
          <w:rStyle w:val="CharPartText"/>
        </w:rPr>
        <w:t>Things seized or forfeited</w:t>
      </w:r>
      <w:bookmarkEnd w:id="102"/>
      <w:bookmarkEnd w:id="103"/>
    </w:p>
    <w:p>
      <w:pPr>
        <w:pStyle w:val="Footnoteheading"/>
      </w:pPr>
      <w:r>
        <w:tab/>
        <w:t>[Heading inserted in Gazette 11 Dec 1998 p. 6601.]</w:t>
      </w:r>
    </w:p>
    <w:p>
      <w:pPr>
        <w:pStyle w:val="Heading5"/>
      </w:pPr>
      <w:bookmarkStart w:id="104" w:name="_Toc473036942"/>
      <w:r>
        <w:rPr>
          <w:rStyle w:val="CharSectno"/>
        </w:rPr>
        <w:t>34</w:t>
      </w:r>
      <w:r>
        <w:t>.</w:t>
      </w:r>
      <w:r>
        <w:tab/>
        <w:t>Ways prescribed of dealing with seized things (Act s. 92B(1))</w:t>
      </w:r>
      <w:bookmarkEnd w:id="104"/>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in Gazette 11 Dec 1998 p. 6601</w:t>
      </w:r>
      <w:r>
        <w:noBreakHyphen/>
        <w:t>2.]</w:t>
      </w:r>
    </w:p>
    <w:p>
      <w:pPr>
        <w:pStyle w:val="Heading5"/>
      </w:pPr>
      <w:bookmarkStart w:id="105" w:name="_Toc473036943"/>
      <w:r>
        <w:rPr>
          <w:rStyle w:val="CharSectno"/>
        </w:rPr>
        <w:t>35</w:t>
      </w:r>
      <w:r>
        <w:t>.</w:t>
      </w:r>
      <w:r>
        <w:tab/>
        <w:t>Manner of giving notice prescribed (Act s. 92D)</w:t>
      </w:r>
      <w:bookmarkEnd w:id="105"/>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in Gazette 11 Dec 1998 p. 6602.]</w:t>
      </w:r>
    </w:p>
    <w:p>
      <w:pPr>
        <w:pStyle w:val="Heading5"/>
      </w:pPr>
      <w:bookmarkStart w:id="106" w:name="_Toc473036944"/>
      <w:r>
        <w:rPr>
          <w:rStyle w:val="CharSectno"/>
        </w:rPr>
        <w:t>36</w:t>
      </w:r>
      <w:r>
        <w:t>.</w:t>
      </w:r>
      <w:r>
        <w:tab/>
        <w:t>Ways prescribed of disposing of thing forfeited to Crown</w:t>
      </w:r>
      <w:r>
        <w:rPr>
          <w:snapToGrid w:val="0"/>
        </w:rPr>
        <w:t xml:space="preserve"> (Act s. 99W(1))</w:t>
      </w:r>
      <w:bookmarkEnd w:id="106"/>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in Gazette 11 Dec 1998 p. 6602</w:t>
      </w:r>
      <w:r>
        <w:noBreakHyphen/>
        <w:t>3.]</w:t>
      </w:r>
    </w:p>
    <w:p>
      <w:pPr>
        <w:pStyle w:val="Heading2"/>
      </w:pPr>
      <w:bookmarkStart w:id="107" w:name="_Toc473033057"/>
      <w:bookmarkStart w:id="108" w:name="_Toc473036945"/>
      <w:r>
        <w:rPr>
          <w:rStyle w:val="CharPartNo"/>
        </w:rPr>
        <w:t>Part 11</w:t>
      </w:r>
      <w:r>
        <w:t xml:space="preserve"> — </w:t>
      </w:r>
      <w:r>
        <w:rPr>
          <w:rStyle w:val="CharPartText"/>
        </w:rPr>
        <w:t>Modified penalties and Tier 2 offences</w:t>
      </w:r>
      <w:bookmarkEnd w:id="107"/>
      <w:bookmarkEnd w:id="108"/>
    </w:p>
    <w:p>
      <w:pPr>
        <w:pStyle w:val="Footnoteheading"/>
      </w:pPr>
      <w:r>
        <w:tab/>
        <w:t>[Heading inserted in Gazette 11 Dec 1998 p. 6603.]</w:t>
      </w:r>
    </w:p>
    <w:p>
      <w:pPr>
        <w:pStyle w:val="Heading5"/>
        <w:spacing w:before="180"/>
      </w:pPr>
      <w:bookmarkStart w:id="109" w:name="_Toc473036946"/>
      <w:r>
        <w:rPr>
          <w:rStyle w:val="CharSectno"/>
        </w:rPr>
        <w:t>37</w:t>
      </w:r>
      <w:r>
        <w:t>.</w:t>
      </w:r>
      <w:r>
        <w:tab/>
        <w:t>Form of modified penalty notice prescribed (Act s. 99B(1))</w:t>
      </w:r>
      <w:bookmarkEnd w:id="109"/>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in Gazette 11 Dec 1998 p. 6603.]</w:t>
      </w:r>
    </w:p>
    <w:p>
      <w:pPr>
        <w:pStyle w:val="Heading5"/>
        <w:spacing w:before="180"/>
      </w:pPr>
      <w:bookmarkStart w:id="110" w:name="_Toc473036947"/>
      <w:r>
        <w:rPr>
          <w:rStyle w:val="CharSectno"/>
        </w:rPr>
        <w:t>38</w:t>
      </w:r>
      <w:r>
        <w:t>.</w:t>
      </w:r>
      <w:r>
        <w:tab/>
        <w:t>Form of notice of withdrawal prescribed (Act s. 99D(1))</w:t>
      </w:r>
      <w:bookmarkEnd w:id="110"/>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in Gazette 11 Dec 1998 p. 6603.]</w:t>
      </w:r>
    </w:p>
    <w:p>
      <w:pPr>
        <w:pStyle w:val="Heading5"/>
        <w:spacing w:before="180"/>
      </w:pPr>
      <w:bookmarkStart w:id="111" w:name="_Toc473036948"/>
      <w:r>
        <w:rPr>
          <w:rStyle w:val="CharSectno"/>
        </w:rPr>
        <w:t>39</w:t>
      </w:r>
      <w:r>
        <w:t>.</w:t>
      </w:r>
      <w:r>
        <w:tab/>
        <w:t>Particulars prescribed (Act s. 99E(3))</w:t>
      </w:r>
      <w:bookmarkEnd w:id="111"/>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in Gazette 11 Dec 1998 p. 6603.]</w:t>
      </w:r>
    </w:p>
    <w:p>
      <w:pPr>
        <w:pStyle w:val="Heading5"/>
        <w:spacing w:before="180"/>
      </w:pPr>
      <w:bookmarkStart w:id="112" w:name="_Toc473036949"/>
      <w:r>
        <w:rPr>
          <w:rStyle w:val="CharSectno"/>
        </w:rPr>
        <w:t>40</w:t>
      </w:r>
      <w:r>
        <w:t>.</w:t>
      </w:r>
      <w:r>
        <w:tab/>
        <w:t>Where and when public may inspect register (Act s. 99F(2))</w:t>
      </w:r>
      <w:bookmarkEnd w:id="112"/>
    </w:p>
    <w:p>
      <w:pPr>
        <w:pStyle w:val="Subsection"/>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 in Gazette 11 Dec 1998 p. 6603; amended in Gazette 29 Sep 2006 p. 4261; 28 Jun 2016 p. 2631.]</w:t>
      </w:r>
    </w:p>
    <w:p>
      <w:pPr>
        <w:pStyle w:val="Heading2"/>
      </w:pPr>
      <w:bookmarkStart w:id="113" w:name="_Toc473033062"/>
      <w:bookmarkStart w:id="114" w:name="_Toc473036950"/>
      <w:r>
        <w:rPr>
          <w:rStyle w:val="CharPartNo"/>
        </w:rPr>
        <w:t>Part 12</w:t>
      </w:r>
      <w:r>
        <w:t xml:space="preserve"> — </w:t>
      </w:r>
      <w:r>
        <w:rPr>
          <w:rStyle w:val="CharPartText"/>
        </w:rPr>
        <w:t>Infringement notices and offences</w:t>
      </w:r>
      <w:bookmarkEnd w:id="113"/>
      <w:bookmarkEnd w:id="114"/>
    </w:p>
    <w:p>
      <w:pPr>
        <w:pStyle w:val="Footnoteheading"/>
      </w:pPr>
      <w:r>
        <w:tab/>
        <w:t>[Heading inserted in Gazette 11 Dec 1998 p. 6603.]</w:t>
      </w:r>
    </w:p>
    <w:p>
      <w:pPr>
        <w:pStyle w:val="Heading5"/>
      </w:pPr>
      <w:bookmarkStart w:id="115" w:name="_Toc473036951"/>
      <w:r>
        <w:rPr>
          <w:rStyle w:val="CharSectno"/>
        </w:rPr>
        <w:t>41</w:t>
      </w:r>
      <w:r>
        <w:t>.</w:t>
      </w:r>
      <w:r>
        <w:tab/>
        <w:t>Infringement notice offences and modified penalties prescribed (Act s. 99H and 99K)</w:t>
      </w:r>
      <w:bookmarkEnd w:id="115"/>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in Gazette 11 Dec 1998 p. 6603</w:t>
      </w:r>
      <w:r>
        <w:noBreakHyphen/>
        <w:t>4.]</w:t>
      </w:r>
    </w:p>
    <w:p>
      <w:pPr>
        <w:pStyle w:val="Heading5"/>
      </w:pPr>
      <w:bookmarkStart w:id="116" w:name="_Toc473036952"/>
      <w:r>
        <w:rPr>
          <w:rStyle w:val="CharSectno"/>
        </w:rPr>
        <w:t>42</w:t>
      </w:r>
      <w:r>
        <w:t>.</w:t>
      </w:r>
      <w:r>
        <w:tab/>
        <w:t>Form of infringement notice prescribed (Act s. 99K(1))</w:t>
      </w:r>
      <w:bookmarkEnd w:id="116"/>
    </w:p>
    <w:p>
      <w:pPr>
        <w:pStyle w:val="Subsection"/>
      </w:pPr>
      <w:r>
        <w:tab/>
      </w:r>
      <w:r>
        <w:tab/>
        <w:t>Form 3 in Schedule 7 is prescribed, under section 99K(1) of the Act, as the form of infringement notice.</w:t>
      </w:r>
    </w:p>
    <w:p>
      <w:pPr>
        <w:pStyle w:val="Footnotesection"/>
      </w:pPr>
      <w:r>
        <w:tab/>
        <w:t>[Regulation 42 inserted in Gazette 11 Dec 1998 p. 6604.]</w:t>
      </w:r>
    </w:p>
    <w:p>
      <w:pPr>
        <w:pStyle w:val="Heading5"/>
      </w:pPr>
      <w:bookmarkStart w:id="117" w:name="_Toc473036953"/>
      <w:r>
        <w:rPr>
          <w:rStyle w:val="CharSectno"/>
        </w:rPr>
        <w:t>43</w:t>
      </w:r>
      <w:r>
        <w:t>.</w:t>
      </w:r>
      <w:r>
        <w:tab/>
        <w:t>Form of notice of withdrawal prescribed (Act s. 99N(1))</w:t>
      </w:r>
      <w:bookmarkEnd w:id="117"/>
    </w:p>
    <w:p>
      <w:pPr>
        <w:pStyle w:val="Subsection"/>
      </w:pPr>
      <w:r>
        <w:tab/>
      </w:r>
      <w:r>
        <w:tab/>
        <w:t>Form 4 in Schedule 7 is prescribed, under section 99N(1) of the Act, as the form of withdrawal of infringement notice.</w:t>
      </w:r>
    </w:p>
    <w:p>
      <w:pPr>
        <w:pStyle w:val="Footnotesection"/>
      </w:pPr>
      <w:r>
        <w:tab/>
        <w:t>[Regulation 43 inserted in Gazette 11 Dec 1998 p. 6604.]</w:t>
      </w:r>
    </w:p>
    <w:p>
      <w:pPr>
        <w:pStyle w:val="Heading2"/>
      </w:pPr>
      <w:bookmarkStart w:id="118" w:name="_Toc473033066"/>
      <w:bookmarkStart w:id="119" w:name="_Toc473036954"/>
      <w:r>
        <w:rPr>
          <w:rStyle w:val="CharPartNo"/>
        </w:rPr>
        <w:t>Part 13</w:t>
      </w:r>
      <w:r>
        <w:t xml:space="preserve"> — </w:t>
      </w:r>
      <w:r>
        <w:rPr>
          <w:rStyle w:val="CharPartText"/>
        </w:rPr>
        <w:t>Miscellaneous</w:t>
      </w:r>
      <w:bookmarkEnd w:id="118"/>
      <w:bookmarkEnd w:id="119"/>
    </w:p>
    <w:p>
      <w:pPr>
        <w:pStyle w:val="Footnoteheading"/>
      </w:pPr>
      <w:r>
        <w:tab/>
        <w:t>[Heading inserted in Gazette 11 Dec 1998 p. 6604.]</w:t>
      </w:r>
    </w:p>
    <w:p>
      <w:pPr>
        <w:pStyle w:val="Heading5"/>
      </w:pPr>
      <w:bookmarkStart w:id="120" w:name="_Toc473036955"/>
      <w:r>
        <w:rPr>
          <w:rStyle w:val="CharSectno"/>
        </w:rPr>
        <w:t>44</w:t>
      </w:r>
      <w:r>
        <w:t>.</w:t>
      </w:r>
      <w:r>
        <w:tab/>
        <w:t>Maximum amount prescribed (Act s. 99Y(1))</w:t>
      </w:r>
      <w:bookmarkEnd w:id="120"/>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in Gazette 11 Dec 1998 p. 6604</w:t>
      </w:r>
      <w:r>
        <w:noBreakHyphen/>
        <w:t>5.]</w:t>
      </w:r>
    </w:p>
    <w:p>
      <w:pPr>
        <w:pStyle w:val="Defpara"/>
        <w:sectPr>
          <w:headerReference w:type="even" r:id="rId24"/>
          <w:headerReference w:type="default" r:id="rId25"/>
          <w:footerReference w:type="even" r:id="rId26"/>
          <w:footerReference w:type="default" r:id="rId27"/>
          <w:headerReference w:type="first" r:id="rId28"/>
          <w:pgSz w:w="11907" w:h="16840" w:code="9"/>
          <w:pgMar w:top="2376" w:right="2405" w:bottom="3542" w:left="2405" w:header="706" w:footer="3380" w:gutter="0"/>
          <w:pgNumType w:start="1"/>
          <w:cols w:space="720"/>
          <w:noEndnote/>
          <w:titlePg/>
          <w:docGrid w:linePitch="326"/>
        </w:sectPr>
      </w:pPr>
    </w:p>
    <w:p>
      <w:pPr>
        <w:pStyle w:val="yScheduleHeading"/>
      </w:pPr>
      <w:bookmarkStart w:id="121" w:name="_Toc473033068"/>
      <w:bookmarkStart w:id="122" w:name="_Toc473036956"/>
      <w:r>
        <w:rPr>
          <w:rStyle w:val="CharSchNo"/>
        </w:rPr>
        <w:t>Schedule 1</w:t>
      </w:r>
      <w:r>
        <w:t> — </w:t>
      </w:r>
      <w:r>
        <w:rPr>
          <w:rStyle w:val="CharSchText"/>
        </w:rPr>
        <w:t>Prescribed premises</w:t>
      </w:r>
      <w:bookmarkEnd w:id="121"/>
      <w:bookmarkEnd w:id="122"/>
    </w:p>
    <w:p>
      <w:pPr>
        <w:pStyle w:val="yShoulderClause"/>
        <w:rPr>
          <w:snapToGrid w:val="0"/>
        </w:rPr>
      </w:pPr>
      <w:r>
        <w:rPr>
          <w:snapToGrid w:val="0"/>
        </w:rPr>
        <w:t>[r. 5]</w:t>
      </w:r>
    </w:p>
    <w:p>
      <w:pPr>
        <w:pStyle w:val="yFootnoteheading"/>
      </w:pPr>
      <w:r>
        <w:tab/>
        <w:t>[Heading inserted in Gazette 13 Sep 1996 p. 4549.]</w:t>
      </w:r>
    </w:p>
    <w:p>
      <w:pPr>
        <w:pStyle w:val="yMiscellaneousHeading"/>
        <w:spacing w:after="80"/>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tcPr>
          <w:p>
            <w:pPr>
              <w:pStyle w:val="yTableNAm"/>
            </w:pPr>
            <w:r>
              <w:t>62</w:t>
            </w:r>
          </w:p>
        </w:tc>
        <w:tc>
          <w:tcPr>
            <w:tcW w:w="4449" w:type="dxa"/>
          </w:tcPr>
          <w:p>
            <w:pPr>
              <w:pStyle w:val="yTableNAm"/>
              <w:tabs>
                <w:tab w:val="clear" w:pos="567"/>
                <w:tab w:val="left" w:pos="423"/>
                <w:tab w:val="left" w:pos="739"/>
              </w:tabs>
            </w:pPr>
            <w:r>
              <w:t>Solid waste depot:  premises on which waste is stored, or sorted, pending final disposal or re</w:t>
            </w:r>
            <w:r>
              <w:noBreakHyphen/>
              <w:t>use.</w:t>
            </w:r>
          </w:p>
        </w:tc>
        <w:tc>
          <w:tcPr>
            <w:tcW w:w="1701" w:type="dxa"/>
          </w:tcPr>
          <w:p>
            <w:pPr>
              <w:pStyle w:val="yTableNAm"/>
            </w:pPr>
            <w:r>
              <w:t>500 tonnes or more per year</w:t>
            </w:r>
          </w:p>
        </w:tc>
      </w:tr>
      <w:tr>
        <w:trPr>
          <w:cantSplit/>
        </w:trPr>
        <w:tc>
          <w:tcPr>
            <w:tcW w:w="1080" w:type="dxa"/>
          </w:tcPr>
          <w:p>
            <w:pPr>
              <w:pStyle w:val="yTableNAm"/>
            </w:pPr>
            <w:r>
              <w:t>63</w:t>
            </w:r>
          </w:p>
        </w:tc>
        <w:tc>
          <w:tcPr>
            <w:tcW w:w="4449" w:type="dxa"/>
          </w:tcPr>
          <w:p>
            <w:pPr>
              <w:pStyle w:val="yTableNAm"/>
              <w:tabs>
                <w:tab w:val="clear" w:pos="567"/>
                <w:tab w:val="left" w:pos="423"/>
                <w:tab w:val="left" w:pos="739"/>
              </w:tabs>
            </w:pPr>
            <w:r>
              <w:t>Class I inert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NAm"/>
            </w:pPr>
            <w:r>
              <w:t>500 tonnes or more per year</w:t>
            </w:r>
          </w:p>
        </w:tc>
      </w:tr>
      <w:tr>
        <w:trPr>
          <w:cantSplit/>
        </w:trPr>
        <w:tc>
          <w:tcPr>
            <w:tcW w:w="1080" w:type="dxa"/>
          </w:tcPr>
          <w:p>
            <w:pPr>
              <w:pStyle w:val="yTableNAm"/>
              <w:spacing w:before="100"/>
            </w:pPr>
            <w:r>
              <w:t>64</w:t>
            </w:r>
          </w:p>
        </w:tc>
        <w:tc>
          <w:tcPr>
            <w:tcW w:w="4449" w:type="dxa"/>
          </w:tcPr>
          <w:p>
            <w:pPr>
              <w:pStyle w:val="yTableNAm"/>
              <w:tabs>
                <w:tab w:val="clear" w:pos="567"/>
                <w:tab w:val="left" w:pos="423"/>
                <w:tab w:val="left" w:pos="739"/>
              </w:tabs>
              <w:spacing w:before="100"/>
            </w:pPr>
            <w:r>
              <w:t>Class II or III putrescible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NAm"/>
              <w:spacing w:before="100"/>
            </w:pPr>
            <w:r>
              <w:t>20 tonnes or more per year</w:t>
            </w:r>
          </w:p>
        </w:tc>
      </w:tr>
      <w:tr>
        <w:trPr>
          <w:cantSplit/>
        </w:trPr>
        <w:tc>
          <w:tcPr>
            <w:tcW w:w="1080" w:type="dxa"/>
          </w:tcPr>
          <w:p>
            <w:pPr>
              <w:pStyle w:val="yTableNAm"/>
            </w:pPr>
            <w:r>
              <w:t>65</w:t>
            </w:r>
          </w:p>
        </w:tc>
        <w:tc>
          <w:tcPr>
            <w:tcW w:w="4449" w:type="dxa"/>
          </w:tcPr>
          <w:p>
            <w:pPr>
              <w:pStyle w:val="yTableNAm"/>
              <w:tabs>
                <w:tab w:val="clear" w:pos="567"/>
                <w:tab w:val="left" w:pos="423"/>
                <w:tab w:val="left" w:pos="739"/>
              </w:tabs>
            </w:pPr>
            <w:r>
              <w:t>Class IV secure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NAm"/>
            </w:pPr>
            <w:r>
              <w:t>Not applicable</w:t>
            </w:r>
          </w:p>
        </w:tc>
      </w:tr>
      <w:tr>
        <w:trPr>
          <w:cantSplit/>
        </w:trPr>
        <w:tc>
          <w:tcPr>
            <w:tcW w:w="1080" w:type="dxa"/>
          </w:tcPr>
          <w:p>
            <w:pPr>
              <w:pStyle w:val="yTableNAm"/>
            </w:pPr>
            <w:r>
              <w:t>66</w:t>
            </w:r>
          </w:p>
        </w:tc>
        <w:tc>
          <w:tcPr>
            <w:tcW w:w="4449" w:type="dxa"/>
          </w:tcPr>
          <w:p>
            <w:pPr>
              <w:pStyle w:val="yTableNAm"/>
              <w:tabs>
                <w:tab w:val="clear" w:pos="567"/>
                <w:tab w:val="left" w:pos="423"/>
                <w:tab w:val="left" w:pos="739"/>
              </w:tabs>
            </w:pPr>
            <w:r>
              <w:t>Class V intractable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NAm"/>
            </w:pPr>
            <w: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in Gazette 13 Sep 1996 p. 4549</w:t>
      </w:r>
      <w:r>
        <w:noBreakHyphen/>
        <w:t>59; amended in Gazette 10 Dec 1996 p. 6877; 12 Sep 1997 p. 5151; 15 Aug 2000 p. 4715</w:t>
      </w:r>
      <w:r>
        <w:noBreakHyphen/>
        <w:t>17;14 Jun 2002 p. 2293</w:t>
      </w:r>
      <w:r>
        <w:noBreakHyphen/>
        <w:t>4; 13 Dec 2005 p. 5983; 22 Jun 2007 p. 2843, 30 Oct 2007 p. 5877; 23 Jul 2010 p. 3401; 20 Aug 2013 p. 3856.]</w:t>
      </w:r>
    </w:p>
    <w:p>
      <w:pPr>
        <w:pStyle w:val="yMiscellaneousHeading"/>
        <w:keepNext w:val="0"/>
        <w:pageBreakBefore/>
        <w:spacing w:before="0" w:after="80"/>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spacing w:before="80"/>
            </w:pPr>
            <w:r>
              <w:t>72</w:t>
            </w:r>
          </w:p>
        </w:tc>
        <w:tc>
          <w:tcPr>
            <w:tcW w:w="4440" w:type="dxa"/>
          </w:tcPr>
          <w:p>
            <w:pPr>
              <w:pStyle w:val="yTableNAm"/>
              <w:spacing w:before="80"/>
            </w:pPr>
            <w:r>
              <w:t>Chemical manufacturing:  premises on which chemical products are manufactured by a chemical process.</w:t>
            </w:r>
          </w:p>
        </w:tc>
        <w:tc>
          <w:tcPr>
            <w:tcW w:w="1680" w:type="dxa"/>
          </w:tcPr>
          <w:p>
            <w:pPr>
              <w:pStyle w:val="yTableNAm"/>
              <w:spacing w:before="80"/>
            </w:pPr>
            <w:r>
              <w:t>Not more than 100 tonnes per year</w:t>
            </w:r>
          </w:p>
        </w:tc>
      </w:tr>
      <w:tr>
        <w:trPr>
          <w:cantSplit/>
        </w:trPr>
        <w:tc>
          <w:tcPr>
            <w:tcW w:w="1080" w:type="dxa"/>
          </w:tcPr>
          <w:p>
            <w:pPr>
              <w:pStyle w:val="yTableNAm"/>
              <w:spacing w:before="80"/>
            </w:pPr>
            <w:r>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spacing w:before="80"/>
            </w:pPr>
            <w:r>
              <w:t>78</w:t>
            </w:r>
          </w:p>
        </w:tc>
        <w:tc>
          <w:tcPr>
            <w:tcW w:w="4440" w:type="dxa"/>
          </w:tcPr>
          <w:p>
            <w:pPr>
              <w:pStyle w:val="yTableNAm"/>
              <w:spacing w:before="80"/>
            </w:pPr>
            <w:r>
              <w:t>Plaster manufacturing:  premises on which plaster, plaster board, gyprock or other products comprised wholly or primarily of gypsum are manufactured.</w:t>
            </w:r>
          </w:p>
        </w:tc>
        <w:tc>
          <w:tcPr>
            <w:tcW w:w="1680" w:type="dxa"/>
          </w:tcPr>
          <w:p>
            <w:pPr>
              <w:pStyle w:val="yTableNAm"/>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pPr>
            <w:r>
              <w:t>85</w:t>
            </w:r>
          </w:p>
        </w:tc>
        <w:tc>
          <w:tcPr>
            <w:tcW w:w="4440" w:type="dxa"/>
          </w:tcPr>
          <w:p>
            <w:pPr>
              <w:pStyle w:val="yTableNAm"/>
            </w:pPr>
            <w:r>
              <w:t>Sewage facility: premises —</w:t>
            </w:r>
          </w:p>
          <w:p>
            <w:pPr>
              <w:pStyle w:val="yTableNAm"/>
              <w:ind w:left="567" w:hanging="567"/>
            </w:pPr>
            <w:r>
              <w:t>(a)</w:t>
            </w:r>
            <w:r>
              <w:tab/>
              <w:t>on which sewage is treated (excluding septic tanks); or</w:t>
            </w:r>
          </w:p>
          <w:p>
            <w:pPr>
              <w:pStyle w:val="yTableNAm"/>
              <w:ind w:left="567" w:hanging="567"/>
            </w:pPr>
            <w:r>
              <w:t>(b)</w:t>
            </w:r>
            <w:r>
              <w:tab/>
              <w:t>from which treated sewage is discharged onto land or into waters.</w:t>
            </w:r>
          </w:p>
        </w:tc>
        <w:tc>
          <w:tcPr>
            <w:tcW w:w="1680" w:type="dxa"/>
          </w:tcPr>
          <w:p>
            <w:pPr>
              <w:pStyle w:val="yTableNAm"/>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pPr>
            <w:r>
              <w:t>89</w:t>
            </w:r>
          </w:p>
        </w:tc>
        <w:tc>
          <w:tcPr>
            <w:tcW w:w="4440" w:type="dxa"/>
          </w:tcPr>
          <w:p>
            <w:pPr>
              <w:pStyle w:val="yTableNAm"/>
            </w:pPr>
            <w:r>
              <w:t>Putrescible landfill site: premises on which waste (as determined by reference to the waste type set out in the document entitled “Landfill Waste Classification and Waste Definitions 1996” published by the Chief Executive Officer, as amended from time to time) is accepted for burial.</w:t>
            </w:r>
          </w:p>
        </w:tc>
        <w:tc>
          <w:tcPr>
            <w:tcW w:w="1680" w:type="dxa"/>
          </w:tcPr>
          <w:p>
            <w:pPr>
              <w:pStyle w:val="yTableNAm"/>
            </w:pPr>
            <w:r>
              <w:t>More than 20 but less than 5 000 tonnes per year</w:t>
            </w:r>
          </w:p>
        </w:tc>
      </w:tr>
    </w:tbl>
    <w:p>
      <w:pPr>
        <w:pStyle w:val="yFootnotesection"/>
      </w:pPr>
      <w:r>
        <w:tab/>
        <w:t>[Part 2 inserted in Gazette 13 Sep 1996 p. 4557</w:t>
      </w:r>
      <w:r>
        <w:noBreakHyphen/>
        <w:t>59; amended in Gazette 10 Dec 1996 p. 6877; 15 Aug 2000 p. 4716-17; 13 Dec 2005 p. 5983; 20 Aug 2013 p. 3856</w:t>
      </w:r>
      <w:r>
        <w:noBreakHyphen/>
        <w:t>7.]</w:t>
      </w:r>
    </w:p>
    <w:p>
      <w:pPr>
        <w:pStyle w:val="yEdnoteschedule"/>
      </w:pPr>
      <w:r>
        <w:t xml:space="preserve">[Schedule 2 </w:t>
      </w:r>
      <w:smartTag w:uri="urn:schemas-microsoft-com:office:smarttags" w:element="State">
        <w:smartTag w:uri="urn:schemas-microsoft-com:office:smarttags" w:element="place">
          <w:r>
            <w:t>del</w:t>
          </w:r>
        </w:smartTag>
      </w:smartTag>
      <w:r>
        <w:t>eted in Gazette 8 May 2012 p. 1893.]</w:t>
      </w:r>
    </w:p>
    <w:p>
      <w:pPr>
        <w:pStyle w:val="yScheduleHeading"/>
      </w:pPr>
      <w:bookmarkStart w:id="123" w:name="_Toc473033069"/>
      <w:bookmarkStart w:id="124" w:name="_Toc473036957"/>
      <w:r>
        <w:rPr>
          <w:rStyle w:val="CharSchNo"/>
        </w:rPr>
        <w:t>Schedule 3</w:t>
      </w:r>
      <w:r>
        <w:rPr>
          <w:rStyle w:val="CharSDivNo"/>
        </w:rPr>
        <w:t> </w:t>
      </w:r>
      <w:r>
        <w:t>— </w:t>
      </w:r>
      <w:r>
        <w:rPr>
          <w:rStyle w:val="CharSchText"/>
        </w:rPr>
        <w:t>Works approval fee</w:t>
      </w:r>
      <w:bookmarkEnd w:id="123"/>
      <w:bookmarkEnd w:id="124"/>
    </w:p>
    <w:p>
      <w:pPr>
        <w:pStyle w:val="yShoulderClause"/>
        <w:rPr>
          <w:snapToGrid w:val="0"/>
        </w:rPr>
      </w:pPr>
      <w:r>
        <w:rPr>
          <w:snapToGrid w:val="0"/>
        </w:rPr>
        <w:t>[r. 5C]</w:t>
      </w:r>
    </w:p>
    <w:p>
      <w:pPr>
        <w:pStyle w:val="yTable"/>
        <w:jc w:val="right"/>
        <w:rPr>
          <w:snapToGrid w:val="0"/>
        </w:rPr>
      </w:pP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in Gazette 13 Sep 1996 p. 4559</w:t>
      </w:r>
      <w:r>
        <w:noBreakHyphen/>
        <w:t>60.]</w:t>
      </w:r>
    </w:p>
    <w:p>
      <w:pPr>
        <w:pStyle w:val="yScheduleHeading"/>
      </w:pPr>
      <w:bookmarkStart w:id="125" w:name="_Toc473033070"/>
      <w:bookmarkStart w:id="126" w:name="_Toc473036958"/>
      <w:r>
        <w:rPr>
          <w:rStyle w:val="CharSchNo"/>
        </w:rPr>
        <w:t>Schedule 4</w:t>
      </w:r>
      <w:r>
        <w:t> — </w:t>
      </w:r>
      <w:r>
        <w:rPr>
          <w:rStyle w:val="CharSchText"/>
        </w:rPr>
        <w:t>Licence fee</w:t>
      </w:r>
      <w:bookmarkEnd w:id="125"/>
      <w:bookmarkEnd w:id="126"/>
    </w:p>
    <w:p>
      <w:pPr>
        <w:pStyle w:val="yShoulderClause"/>
        <w:rPr>
          <w:snapToGrid w:val="0"/>
        </w:rPr>
      </w:pPr>
      <w:r>
        <w:rPr>
          <w:snapToGrid w:val="0"/>
        </w:rPr>
        <w:t>[r. 5D]</w:t>
      </w:r>
    </w:p>
    <w:p>
      <w:pPr>
        <w:pStyle w:val="yFootnoteheading"/>
      </w:pPr>
      <w:r>
        <w:tab/>
        <w:t>[Heading inserted in Gazette 13 Sep 1996 p. 4560.]</w:t>
      </w:r>
    </w:p>
    <w:p>
      <w:pPr>
        <w:pStyle w:val="yHeading3"/>
      </w:pPr>
      <w:bookmarkStart w:id="127" w:name="_Toc473033071"/>
      <w:bookmarkStart w:id="128" w:name="_Toc473036959"/>
      <w:r>
        <w:rPr>
          <w:rStyle w:val="CharSDivNo"/>
          <w:sz w:val="28"/>
        </w:rPr>
        <w:t>Part 1</w:t>
      </w:r>
      <w:r>
        <w:t> — </w:t>
      </w:r>
      <w:r>
        <w:rPr>
          <w:rStyle w:val="CharSDivText"/>
          <w:sz w:val="28"/>
        </w:rPr>
        <w:t>Premises component</w:t>
      </w:r>
      <w:bookmarkEnd w:id="127"/>
      <w:bookmarkEnd w:id="128"/>
    </w:p>
    <w:p>
      <w:pPr>
        <w:pStyle w:val="yFootnoteheading"/>
        <w:spacing w:after="60"/>
      </w:pPr>
      <w:r>
        <w:tab/>
        <w:t>[Heading inserted in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pPr>
      <w:r>
        <w:tab/>
        <w:t>[Part 1 inserted in Gazette 13 Sep 1996 p. 4560</w:t>
      </w:r>
      <w:r>
        <w:noBreakHyphen/>
        <w:t>7; amended in Gazette 10 Dec 1996 p. 6878; 15 Aug 2000 p. 4717</w:t>
      </w:r>
      <w:r>
        <w:noBreakHyphen/>
        <w:t>18; 14 Jun 2002 p. 2794; 13 Dec 2005 p. 5983; 22 Jun 2007 p. 2844; 30 Oct 2007 p. 5878; 23 Jul 2010 p. 3401.]</w:t>
      </w:r>
    </w:p>
    <w:p>
      <w:pPr>
        <w:pStyle w:val="yHeading3"/>
      </w:pPr>
      <w:bookmarkStart w:id="129" w:name="_Toc473033072"/>
      <w:bookmarkStart w:id="130" w:name="_Toc473036960"/>
      <w:r>
        <w:rPr>
          <w:rStyle w:val="CharSDivNo"/>
          <w:sz w:val="28"/>
        </w:rPr>
        <w:t>Part 2</w:t>
      </w:r>
      <w:r>
        <w:t> — </w:t>
      </w:r>
      <w:r>
        <w:rPr>
          <w:rStyle w:val="CharSDivText"/>
          <w:sz w:val="28"/>
        </w:rPr>
        <w:t>Part 2 waste</w:t>
      </w:r>
      <w:bookmarkEnd w:id="129"/>
      <w:bookmarkEnd w:id="130"/>
    </w:p>
    <w:p>
      <w:pPr>
        <w:pStyle w:val="yFootnotesection"/>
        <w:keepNext/>
      </w:pPr>
      <w:r>
        <w:tab/>
        <w:t>[Heading inserted in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in Gazette 13 Sep 1996 p. 4565.]</w:t>
      </w:r>
    </w:p>
    <w:p>
      <w:pPr>
        <w:pStyle w:val="yHeading3"/>
      </w:pPr>
      <w:bookmarkStart w:id="131" w:name="_Toc473033073"/>
      <w:bookmarkStart w:id="132" w:name="_Toc473036961"/>
      <w:r>
        <w:rPr>
          <w:rStyle w:val="CharSDivNo"/>
          <w:sz w:val="28"/>
        </w:rPr>
        <w:t>Part 3</w:t>
      </w:r>
      <w:r>
        <w:t> — </w:t>
      </w:r>
      <w:r>
        <w:rPr>
          <w:rStyle w:val="CharSDivText"/>
          <w:sz w:val="28"/>
        </w:rPr>
        <w:t>Discharge component</w:t>
      </w:r>
      <w:bookmarkEnd w:id="131"/>
      <w:bookmarkEnd w:id="132"/>
    </w:p>
    <w:p>
      <w:pPr>
        <w:pStyle w:val="yFootnoteheading"/>
        <w:keepNext/>
      </w:pPr>
      <w:r>
        <w:tab/>
        <w:t>[Heading inserted in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ind w:left="567" w:hanging="567"/>
            </w:pPr>
            <w:r>
              <w:t>3.</w:t>
            </w:r>
            <w:r>
              <w:tab/>
              <w:t>Volatile organic compounds (being compounds not specified elsewhere in this Table that participate in atmospheric photochemical reactions)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in Gazette 13 Sep 1996 p. 4565</w:t>
      </w:r>
      <w:r>
        <w:noBreakHyphen/>
        <w:t>7; amended in Gazette 10 Dec 1996 p. 6878; 15 Aug 2000 p. 4718; 29 Sep 2006 p. 4266; 22 Jun 2007 p. 2844; 28 Jun 2016 p. 2631.]</w:t>
      </w:r>
    </w:p>
    <w:p>
      <w:pPr>
        <w:pStyle w:val="yScheduleHeading"/>
      </w:pPr>
      <w:bookmarkStart w:id="133" w:name="_Toc473033074"/>
      <w:bookmarkStart w:id="134" w:name="_Toc473036962"/>
      <w:r>
        <w:rPr>
          <w:rStyle w:val="CharSchNo"/>
        </w:rPr>
        <w:t>Schedule 5</w:t>
      </w:r>
      <w:r>
        <w:t xml:space="preserve"> — </w:t>
      </w:r>
      <w:smartTag w:uri="urn:schemas-microsoft-com:office:smarttags" w:element="place">
        <w:smartTag w:uri="urn:schemas-microsoft-com:office:smarttags" w:element="City">
          <w:r>
            <w:rPr>
              <w:rStyle w:val="CharSchText"/>
            </w:rPr>
            <w:t>Tyre</w:t>
          </w:r>
        </w:smartTag>
      </w:smartTag>
      <w:r>
        <w:rPr>
          <w:rStyle w:val="CharSchText"/>
        </w:rPr>
        <w:t xml:space="preserve"> landfill exclusion zone</w:t>
      </w:r>
      <w:bookmarkEnd w:id="133"/>
      <w:bookmarkEnd w:id="134"/>
    </w:p>
    <w:p>
      <w:pPr>
        <w:pStyle w:val="yShoulderClause"/>
        <w:rPr>
          <w:snapToGrid w:val="0"/>
        </w:rPr>
      </w:pPr>
      <w:r>
        <w:rPr>
          <w:snapToGrid w:val="0"/>
        </w:rPr>
        <w:t>[r. 11(1)]</w:t>
      </w:r>
    </w:p>
    <w:p>
      <w:pPr>
        <w:pStyle w:val="yFootnoteheading"/>
      </w:pPr>
      <w:r>
        <w:tab/>
        <w:t>[Heading inserted in Gazette 10 Dec 1996 p. 6879.]</w:t>
      </w:r>
    </w:p>
    <w:p>
      <w:pPr>
        <w:pStyle w:val="yHeading3"/>
      </w:pPr>
      <w:bookmarkStart w:id="135" w:name="_Toc473033075"/>
      <w:bookmarkStart w:id="136" w:name="_Toc473036963"/>
      <w:r>
        <w:rPr>
          <w:rStyle w:val="CharSDivNo"/>
          <w:sz w:val="28"/>
        </w:rPr>
        <w:t>Part 1</w:t>
      </w:r>
      <w:r>
        <w:t> — </w:t>
      </w:r>
      <w:r>
        <w:rPr>
          <w:rStyle w:val="CharSDivText"/>
          <w:sz w:val="28"/>
        </w:rPr>
        <w:t>Metropolitan</w:t>
      </w:r>
      <w:bookmarkEnd w:id="135"/>
      <w:bookmarkEnd w:id="136"/>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in Gazette 10 Dec 1996 p. 6879.]</w:t>
      </w:r>
    </w:p>
    <w:p>
      <w:pPr>
        <w:pStyle w:val="yTable"/>
      </w:pPr>
    </w:p>
    <w:p>
      <w:pPr>
        <w:pStyle w:val="yHeading3"/>
      </w:pPr>
      <w:bookmarkStart w:id="137" w:name="_Toc473033076"/>
      <w:bookmarkStart w:id="138" w:name="_Toc473036964"/>
      <w:r>
        <w:rPr>
          <w:rStyle w:val="CharSDivNo"/>
          <w:sz w:val="28"/>
        </w:rPr>
        <w:t>Part 2</w:t>
      </w:r>
      <w:r>
        <w:t> — </w:t>
      </w:r>
      <w:r>
        <w:rPr>
          <w:rStyle w:val="CharSDivText"/>
          <w:sz w:val="28"/>
        </w:rPr>
        <w:t>Country</w:t>
      </w:r>
      <w:bookmarkEnd w:id="137"/>
      <w:bookmarkEnd w:id="138"/>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smartTag w:uri="urn:schemas-microsoft-com:office:smarttags" w:element="place">
              <w:smartTag w:uri="urn:schemas-microsoft-com:office:smarttags" w:element="City">
                <w:r>
                  <w:t>Murray</w:t>
                </w:r>
              </w:smartTag>
            </w:smartTag>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smartTag w:uri="urn:schemas-microsoft-com:office:smarttags" w:element="place">
              <w:smartTag w:uri="urn:schemas-microsoft-com:office:smarttags" w:element="City">
                <w:r>
                  <w:t>York</w:t>
                </w:r>
              </w:smartTag>
            </w:smartTag>
          </w:p>
        </w:tc>
      </w:tr>
    </w:tbl>
    <w:p>
      <w:pPr>
        <w:pStyle w:val="yFootnotesection"/>
      </w:pPr>
      <w:r>
        <w:tab/>
        <w:t>[Part 2 inserted in Gazette 10 Dec 1996 p. 6879.]</w:t>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yScheduleHeading"/>
      </w:pPr>
      <w:bookmarkStart w:id="140" w:name="_Toc473033077"/>
      <w:bookmarkStart w:id="141" w:name="_Toc473036965"/>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140"/>
      <w:bookmarkEnd w:id="141"/>
    </w:p>
    <w:p>
      <w:pPr>
        <w:pStyle w:val="yShoulderClause"/>
      </w:pPr>
      <w:r>
        <w:t>[r. 16B]</w:t>
      </w:r>
    </w:p>
    <w:p>
      <w:pPr>
        <w:pStyle w:val="yFootnoteheading"/>
      </w:pPr>
      <w:r>
        <w:tab/>
        <w:t>[Heading inserted in Gazette 19 Dec 2000 p. 7284.]</w:t>
      </w:r>
    </w:p>
    <w:p>
      <w:pPr>
        <w:pStyle w:val="yHeading5"/>
        <w:outlineLvl w:val="9"/>
      </w:pPr>
      <w:bookmarkStart w:id="142" w:name="_Toc473036966"/>
      <w:r>
        <w:rPr>
          <w:rStyle w:val="CharSClsNo"/>
        </w:rPr>
        <w:t>1</w:t>
      </w:r>
      <w:r>
        <w:t>.</w:t>
      </w:r>
      <w:r>
        <w:tab/>
      </w:r>
      <w:smartTag w:uri="urn:schemas-microsoft-com:office:smarttags" w:element="place">
        <w:smartTag w:uri="urn:schemas-microsoft-com:office:smarttags" w:element="City">
          <w:r>
            <w:t>Perth</w:t>
          </w:r>
        </w:smartTag>
      </w:smartTag>
      <w:r>
        <w:t xml:space="preserve"> metropolitan area</w:t>
      </w:r>
      <w:bookmarkEnd w:id="142"/>
    </w:p>
    <w:p>
      <w:pPr>
        <w:pStyle w:val="ySubsection"/>
      </w:pPr>
      <w:r>
        <w:tab/>
      </w:r>
      <w:r>
        <w:tab/>
        <w:t xml:space="preserve">The area comprising the area bound by the coastline and the local government district boundaries of the City of </w:t>
      </w:r>
      <w:smartTag w:uri="urn:schemas-microsoft-com:office:smarttags" w:element="City">
        <w:r>
          <w:t>Wanneroo</w:t>
        </w:r>
      </w:smartTag>
      <w:r>
        <w:t xml:space="preserve">, the City of </w:t>
      </w:r>
      <w:smartTag w:uri="urn:schemas-microsoft-com:office:smarttags" w:element="City">
        <w:r>
          <w:t>Swan</w:t>
        </w:r>
      </w:smartTag>
      <w:r>
        <w:t xml:space="preserve">, the Shire of Mundaring, the Shire of Kalamunda, the City of </w:t>
      </w:r>
      <w:smartTag w:uri="urn:schemas-microsoft-com:office:smarttags" w:element="City">
        <w:r>
          <w:t>Armadale</w:t>
        </w:r>
      </w:smartTag>
      <w:r>
        <w:t>, the Shire of Serpentine</w:t>
      </w:r>
      <w:r>
        <w:noBreakHyphen/>
        <w:t xml:space="preserve">Jarrahdale and the City of </w:t>
      </w:r>
      <w:smartTag w:uri="urn:schemas-microsoft-com:office:smarttags" w:element="place">
        <w:smartTag w:uri="urn:schemas-microsoft-com:office:smarttags" w:element="City">
          <w:r>
            <w:t>Rockingham</w:t>
          </w:r>
        </w:smartTag>
      </w:smartTag>
      <w:r>
        <w:t>.</w:t>
      </w:r>
    </w:p>
    <w:p>
      <w:pPr>
        <w:pStyle w:val="yFootnotesection"/>
      </w:pPr>
      <w:r>
        <w:tab/>
        <w:t>[Clause 1 inserted in Gazette 19 Dec 2000 p. 7284.]</w:t>
      </w:r>
    </w:p>
    <w:p>
      <w:pPr>
        <w:pStyle w:val="yHeading5"/>
        <w:outlineLvl w:val="9"/>
      </w:pPr>
      <w:bookmarkStart w:id="143" w:name="_Toc473036967"/>
      <w:r>
        <w:rPr>
          <w:rStyle w:val="CharSClsNo"/>
        </w:rPr>
        <w:t>2</w:t>
      </w:r>
      <w:r>
        <w:t>.</w:t>
      </w:r>
      <w:r>
        <w:tab/>
        <w:t>Mandurah area</w:t>
      </w:r>
      <w:bookmarkEnd w:id="143"/>
    </w:p>
    <w:p>
      <w:pPr>
        <w:pStyle w:val="ySubsection"/>
      </w:pPr>
      <w:r>
        <w:tab/>
      </w:r>
      <w:r>
        <w:tab/>
        <w:t xml:space="preserve">The area comprising the local government district of the City of </w:t>
      </w:r>
      <w:smartTag w:uri="urn:schemas-microsoft-com:office:smarttags" w:element="place">
        <w:smartTag w:uri="urn:schemas-microsoft-com:office:smarttags" w:element="City">
          <w:r>
            <w:t>Mandurah</w:t>
          </w:r>
        </w:smartTag>
      </w:smartTag>
      <w:r>
        <w:t>.</w:t>
      </w:r>
    </w:p>
    <w:p>
      <w:pPr>
        <w:pStyle w:val="yFootnotesection"/>
      </w:pPr>
      <w:r>
        <w:tab/>
        <w:t>[Clause 2 inserted in Gazette 19 Dec 2000 p. 7284.]</w:t>
      </w:r>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yScheduleHeading"/>
      </w:pPr>
      <w:bookmarkStart w:id="144" w:name="_Toc473033080"/>
      <w:bookmarkStart w:id="145" w:name="_Toc473036968"/>
      <w:r>
        <w:rPr>
          <w:rStyle w:val="CharSchNo"/>
        </w:rPr>
        <w:t>Schedule 6</w:t>
      </w:r>
      <w:r>
        <w:t xml:space="preserve"> — </w:t>
      </w:r>
      <w:r>
        <w:rPr>
          <w:rStyle w:val="CharSchText"/>
        </w:rPr>
        <w:t>Infringement notice offences</w:t>
      </w:r>
      <w:bookmarkEnd w:id="144"/>
      <w:bookmarkEnd w:id="145"/>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rPr>
                <w:i/>
                <w:iCs/>
              </w:rPr>
            </w:pPr>
            <w:r>
              <w:rPr>
                <w:i/>
                <w:iCs/>
              </w:rPr>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keepLines/>
              <w:rPr>
                <w:i/>
                <w:iCs/>
              </w:rPr>
            </w:pPr>
            <w:r>
              <w:rPr>
                <w:i/>
                <w:iCs/>
              </w:rPr>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5"/>
        </w:trPr>
        <w:tc>
          <w:tcPr>
            <w:tcW w:w="2968" w:type="dxa"/>
          </w:tcPr>
          <w:p>
            <w:pPr>
              <w:pStyle w:val="yTableNAm"/>
              <w:rPr>
                <w:i/>
                <w:iCs/>
              </w:rPr>
            </w:pPr>
            <w:r>
              <w:rPr>
                <w:i/>
                <w:iCs/>
              </w:rPr>
              <w:t>Environmental Protection (Domestic Solid Fuel Burning Appliances and Firewood Supply) Regulations 1998</w:t>
            </w:r>
          </w:p>
        </w:tc>
        <w:tc>
          <w:tcPr>
            <w:tcW w:w="1837" w:type="dxa"/>
          </w:tcPr>
          <w:p>
            <w:pPr>
              <w:pStyle w:val="yTableNAm"/>
              <w:rPr>
                <w:i/>
                <w:iCs/>
              </w:rPr>
            </w:pPr>
          </w:p>
        </w:tc>
        <w:tc>
          <w:tcPr>
            <w:tcW w:w="2425" w:type="dxa"/>
            <w:gridSpan w:val="2"/>
          </w:tcPr>
          <w:p>
            <w:pPr>
              <w:pStyle w:val="yTableNAm"/>
              <w:rPr>
                <w:i/>
                <w:iCs/>
              </w:rPr>
            </w:pPr>
          </w:p>
        </w:tc>
      </w:tr>
      <w:tr>
        <w:trPr>
          <w:cantSplit/>
          <w:trHeight w:val="52"/>
        </w:trPr>
        <w:tc>
          <w:tcPr>
            <w:tcW w:w="2968" w:type="dxa"/>
          </w:tcPr>
          <w:p>
            <w:pPr>
              <w:pStyle w:val="yTableNAm"/>
            </w:pPr>
            <w:r>
              <w:t>1.</w:t>
            </w:r>
            <w:r>
              <w:tab/>
              <w:t>regulation 1B(1)</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2.</w:t>
            </w:r>
            <w:r>
              <w:tab/>
              <w:t>regulation 1C</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3.</w:t>
            </w:r>
            <w:r>
              <w:tab/>
              <w:t>regulation 1D(3)</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4.</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5.</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6.</w:t>
            </w:r>
            <w:r>
              <w:tab/>
              <w:t>regulation 5(5)</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7.</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(Abattoirs) Regulations 2001</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4(1)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(Rural Landfill) Regulations 2002</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(Unauthorised Discharges)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3(1)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(NEPM-UPM) Regulations 2007</w:t>
            </w:r>
            <w:r>
              <w:rPr>
                <w:i/>
                <w:snapToGrid w:val="0"/>
                <w:vertAlign w:val="superscript"/>
              </w:rPr>
              <w:t> </w:t>
            </w:r>
            <w:r>
              <w:rPr>
                <w:snapToGrid w:val="0"/>
                <w:vertAlign w:val="superscript"/>
              </w:rPr>
              <w:t>6</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tblHeader/>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bl>
    <w:p>
      <w:pPr>
        <w:pStyle w:val="yFootnotesection"/>
        <w:keepLines w:val="0"/>
      </w:pPr>
      <w:r>
        <w:tab/>
        <w:t>[Schedule 6 inserted in Gazette 11 Dec 1998 p. 6605</w:t>
      </w:r>
      <w:r>
        <w:noBreakHyphen/>
        <w:t>8; amended in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w:t>
      </w:r>
    </w:p>
    <w:p>
      <w:pPr>
        <w:pStyle w:val="yFootnotesection"/>
        <w:keepLines w:val="0"/>
        <w:rPr>
          <w:i w:val="0"/>
        </w:rPr>
        <w:sectPr>
          <w:headerReference w:type="even" r:id="rId34"/>
          <w:headerReference w:type="default" r:id="rId35"/>
          <w:pgSz w:w="11907" w:h="16840" w:code="9"/>
          <w:pgMar w:top="2376" w:right="2405" w:bottom="3542" w:left="2405" w:header="706" w:footer="3380" w:gutter="0"/>
          <w:cols w:space="720"/>
          <w:noEndnote/>
          <w:docGrid w:linePitch="326"/>
        </w:sectPr>
      </w:pPr>
    </w:p>
    <w:p>
      <w:pPr>
        <w:pStyle w:val="yScheduleHeading"/>
      </w:pPr>
      <w:bookmarkStart w:id="146" w:name="_Toc473033081"/>
      <w:bookmarkStart w:id="147" w:name="_Toc473036969"/>
      <w:r>
        <w:rPr>
          <w:rStyle w:val="CharSchNo"/>
        </w:rPr>
        <w:t>Schedule 7</w:t>
      </w:r>
      <w:r>
        <w:t xml:space="preserve"> — </w:t>
      </w:r>
      <w:r>
        <w:rPr>
          <w:rStyle w:val="CharSchText"/>
        </w:rPr>
        <w:t>Forms</w:t>
      </w:r>
      <w:bookmarkEnd w:id="146"/>
      <w:bookmarkEnd w:id="147"/>
    </w:p>
    <w:p>
      <w:pPr>
        <w:pStyle w:val="yShoulderClause"/>
      </w:pPr>
      <w:r>
        <w:t>[r. 37, 38, 42, 43]</w:t>
      </w:r>
    </w:p>
    <w:p>
      <w:pPr>
        <w:pStyle w:val="yFootnoteheading"/>
      </w:pPr>
      <w:r>
        <w:tab/>
        <w:t>[Heading inserted in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3</w:t>
      </w:r>
      <w:r>
        <w:rPr>
          <w:b/>
          <w:spacing w:val="-4"/>
        </w:rPr>
        <w:t>, this Modified Penalty Notice may be withdrawn and other action taken.</w:t>
      </w:r>
    </w:p>
    <w:p>
      <w:pPr>
        <w:pStyle w:val="yTable"/>
        <w:keepNext/>
        <w:keepLines/>
        <w:spacing w:before="120"/>
        <w:rPr>
          <w:sz w:val="18"/>
        </w:rPr>
      </w:pPr>
      <w:r>
        <w:rPr>
          <w:sz w:val="18"/>
        </w:rPr>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3</w:t>
      </w:r>
    </w:p>
    <w:p>
      <w:pPr>
        <w:pStyle w:val="yTable"/>
        <w:keepNext/>
        <w:tabs>
          <w:tab w:val="left" w:pos="567"/>
        </w:tabs>
        <w:spacing w:before="20"/>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spacing w:before="20"/>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in Gazette 11 Dec 1998 p. 6608</w:t>
      </w:r>
      <w:r>
        <w:noBreakHyphen/>
        <w:t>9; amended in Gazette 21 Aug 2015 p. 3336.]</w:t>
      </w:r>
    </w:p>
    <w:p>
      <w:pPr>
        <w:pStyle w:val="yTable"/>
        <w:pageBreakBefore/>
        <w:spacing w:after="120"/>
        <w:jc w:val="center"/>
        <w:rPr>
          <w:b/>
        </w:rPr>
      </w:pPr>
      <w:r>
        <w:rPr>
          <w:rStyle w:val="CharSClsNo"/>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in Gazette 11 Dec 1998 p. 6609; amended in Gazette 21 Aug 2015 p. 3336.]</w:t>
      </w:r>
    </w:p>
    <w:p>
      <w:pPr>
        <w:pStyle w:val="yTable"/>
        <w:pageBreakBefore/>
        <w:spacing w:after="120"/>
        <w:jc w:val="center"/>
        <w:rPr>
          <w:b/>
        </w:rPr>
      </w:pPr>
      <w:r>
        <w:rPr>
          <w:rStyle w:val="CharSClsNo"/>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 </w:t>
      </w:r>
      <w:r>
        <w:rPr>
          <w:spacing w:val="-4"/>
          <w:vertAlign w:val="superscript"/>
        </w:rPr>
        <w:t>3</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3</w:t>
      </w:r>
    </w:p>
    <w:p>
      <w:pPr>
        <w:pStyle w:val="yTable"/>
        <w:tabs>
          <w:tab w:val="left" w:pos="567"/>
        </w:tabs>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in Gazette 11 Dec 1998 p. 6610</w:t>
      </w:r>
      <w:r>
        <w:noBreakHyphen/>
        <w:t>11; amended in Gazette 20 Aug 2013 p. 3857; 21 Aug 2015 p. 3336.]</w:t>
      </w:r>
    </w:p>
    <w:p>
      <w:pPr>
        <w:pStyle w:val="yTable"/>
        <w:pageBreakBefore/>
        <w:spacing w:after="120"/>
        <w:jc w:val="center"/>
        <w:rPr>
          <w:b/>
        </w:rPr>
      </w:pPr>
      <w:r>
        <w:rPr>
          <w:rStyle w:val="CharSClsNo"/>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in Gazette 11 Dec 1998 p. 6611; amended in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7"/>
          <w:headerReference w:type="default" r:id="rId38"/>
          <w:pgSz w:w="11907" w:h="16840" w:code="9"/>
          <w:pgMar w:top="2376" w:right="2405" w:bottom="3542" w:left="2405" w:header="706" w:footer="3380" w:gutter="0"/>
          <w:cols w:space="720"/>
          <w:noEndnote/>
          <w:docGrid w:linePitch="326"/>
        </w:sectPr>
      </w:pPr>
    </w:p>
    <w:p>
      <w:pPr>
        <w:pStyle w:val="nHeading2"/>
      </w:pPr>
      <w:bookmarkStart w:id="148" w:name="_Toc473033082"/>
      <w:bookmarkStart w:id="149" w:name="_Toc473036970"/>
      <w:r>
        <w:t>Notes</w:t>
      </w:r>
      <w:bookmarkEnd w:id="148"/>
      <w:bookmarkEnd w:id="149"/>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0" w:name="_Toc473036971"/>
      <w:r>
        <w:rPr>
          <w:snapToGrid w:val="0"/>
        </w:rPr>
        <w:t>Compilation table</w:t>
      </w:r>
      <w:bookmarkEnd w:id="15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i/>
              </w:rPr>
            </w:pPr>
            <w:r>
              <w:rPr>
                <w:i/>
              </w:rPr>
              <w:t xml:space="preserve">Environmental Protection Regulations 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rPr>
          <w:cantSplit/>
        </w:trPr>
        <w:tc>
          <w:tcPr>
            <w:tcW w:w="3118" w:type="dxa"/>
          </w:tcPr>
          <w:p>
            <w:pPr>
              <w:pStyle w:val="nTable"/>
              <w:spacing w:after="40"/>
              <w:rPr>
                <w:i/>
              </w:rPr>
            </w:pPr>
            <w:r>
              <w:rPr>
                <w:i/>
              </w:rPr>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rPr>
          <w:cantSplit/>
        </w:trPr>
        <w:tc>
          <w:tcPr>
            <w:tcW w:w="3118" w:type="dxa"/>
          </w:tcPr>
          <w:p>
            <w:pPr>
              <w:pStyle w:val="nTable"/>
              <w:spacing w:after="40"/>
              <w:rPr>
                <w:i/>
              </w:rPr>
            </w:pPr>
            <w:r>
              <w:rPr>
                <w:i/>
              </w:rPr>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3) 1996 </w:t>
            </w:r>
            <w:r>
              <w:rPr>
                <w:vertAlign w:val="superscript"/>
              </w:rPr>
              <w:t>7</w:t>
            </w:r>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rPr>
          <w:cantSplit/>
        </w:trPr>
        <w:tc>
          <w:tcPr>
            <w:tcW w:w="3118" w:type="dxa"/>
          </w:tcPr>
          <w:p>
            <w:pPr>
              <w:pStyle w:val="nTable"/>
              <w:spacing w:after="40"/>
              <w:ind w:right="113"/>
              <w:rPr>
                <w:i/>
              </w:rPr>
            </w:pPr>
            <w:r>
              <w:rPr>
                <w:i/>
              </w:rPr>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rPr>
          <w:cantSplit/>
        </w:trPr>
        <w:tc>
          <w:tcPr>
            <w:tcW w:w="3118" w:type="dxa"/>
          </w:tcPr>
          <w:p>
            <w:pPr>
              <w:pStyle w:val="nTable"/>
              <w:spacing w:after="40"/>
              <w:ind w:right="113"/>
            </w:pPr>
            <w:r>
              <w:rPr>
                <w:i/>
              </w:rPr>
              <w:t>Environmental Protection Amendment Regulations (No. 5) 2000</w:t>
            </w:r>
            <w:r>
              <w:t> </w:t>
            </w:r>
            <w:r>
              <w:rPr>
                <w:vertAlign w:val="superscript"/>
              </w:rPr>
              <w:t>8</w:t>
            </w:r>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rPr>
          <w:cantSplit/>
        </w:trPr>
        <w:tc>
          <w:tcPr>
            <w:tcW w:w="3118" w:type="dxa"/>
          </w:tcPr>
          <w:p>
            <w:pPr>
              <w:pStyle w:val="nTable"/>
              <w:spacing w:after="40"/>
              <w:ind w:right="113"/>
              <w:rPr>
                <w:i/>
              </w:rPr>
            </w:pPr>
            <w:r>
              <w:rPr>
                <w:i/>
              </w:rPr>
              <w:t xml:space="preserve">Environmental Protection (Controlled Waste) Regulations 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rPr>
          <w:cantSplit/>
        </w:trPr>
        <w:tc>
          <w:tcPr>
            <w:tcW w:w="3118" w:type="dxa"/>
          </w:tcPr>
          <w:p>
            <w:pPr>
              <w:pStyle w:val="nTable"/>
              <w:spacing w:after="40"/>
              <w:ind w:right="113"/>
              <w:rPr>
                <w:i/>
              </w:rPr>
            </w:pPr>
            <w:r>
              <w:rPr>
                <w:i/>
              </w:rPr>
              <w:t>Environmental Protection Amendment Regulations (No. 3) 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rPr>
          <w:cantSplit/>
        </w:trPr>
        <w:tc>
          <w:tcPr>
            <w:tcW w:w="3118" w:type="dxa"/>
          </w:tcPr>
          <w:p>
            <w:pPr>
              <w:pStyle w:val="nTable"/>
              <w:spacing w:after="40"/>
              <w:ind w:right="113"/>
              <w:rPr>
                <w:i/>
              </w:rPr>
            </w:pPr>
            <w:r>
              <w:rPr>
                <w:i/>
              </w:rPr>
              <w:t>Environmental Protection Amendment Regulations (No. 2) 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2) 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 2011 (see r. 2(c))</w:t>
            </w:r>
          </w:p>
        </w:tc>
      </w:tr>
      <w:tr>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rPr>
          <w:cantSplit/>
        </w:trPr>
        <w:tc>
          <w:tcPr>
            <w:tcW w:w="3118" w:type="dxa"/>
            <w:shd w:val="clear" w:color="auto" w:fill="auto"/>
          </w:tcPr>
          <w:p>
            <w:pPr>
              <w:pStyle w:val="nTable"/>
              <w:spacing w:after="40"/>
              <w:ind w:right="113"/>
              <w:rPr>
                <w:i/>
              </w:rPr>
            </w:pPr>
            <w:r>
              <w:rPr>
                <w:i/>
              </w:rPr>
              <w:t>Environmental Protection Amendment Regulations (No. 2) 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rPr>
          <w:cantSplit/>
        </w:trPr>
        <w:tc>
          <w:tcPr>
            <w:tcW w:w="3118" w:type="dxa"/>
            <w:shd w:val="clear" w:color="auto" w:fill="auto"/>
          </w:tcPr>
          <w:p>
            <w:pPr>
              <w:pStyle w:val="nTable"/>
              <w:spacing w:after="40"/>
              <w:ind w:right="113"/>
              <w:rPr>
                <w:i/>
              </w:rPr>
            </w:pPr>
            <w:r>
              <w:rPr>
                <w:i/>
              </w:rPr>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rPr>
          <w:cantSplit/>
        </w:trPr>
        <w:tc>
          <w:tcPr>
            <w:tcW w:w="3118" w:type="dxa"/>
            <w:shd w:val="clear" w:color="auto" w:fill="auto"/>
          </w:tcPr>
          <w:p>
            <w:pPr>
              <w:pStyle w:val="nTable"/>
              <w:spacing w:after="40"/>
              <w:ind w:right="113"/>
              <w:rPr>
                <w:i/>
              </w:rPr>
            </w:pPr>
            <w:r>
              <w:rPr>
                <w:i/>
              </w:rPr>
              <w:t>Environmental Protection Amendment Regulations (No. 3) 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rFonts w:ascii="Times" w:hAnsi="Times"/>
                <w:bCs/>
                <w:snapToGrid w:val="0"/>
                <w:spacing w:val="-2"/>
              </w:rPr>
              <w:t>))</w:t>
            </w:r>
          </w:p>
        </w:tc>
      </w:tr>
      <w:tr>
        <w:trPr>
          <w:cantSplit/>
        </w:trPr>
        <w:tc>
          <w:tcPr>
            <w:tcW w:w="3118" w:type="dxa"/>
            <w:shd w:val="clear" w:color="auto" w:fill="auto"/>
          </w:tcPr>
          <w:p>
            <w:pPr>
              <w:pStyle w:val="nTable"/>
              <w:spacing w:after="40"/>
              <w:ind w:right="113"/>
              <w:rPr>
                <w:i/>
              </w:rPr>
            </w:pPr>
            <w:r>
              <w:rPr>
                <w:i/>
              </w:rPr>
              <w:t>Environmental Protection Amendment Regulations (No. 2) 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rFonts w:ascii="Times" w:hAnsi="Times"/>
                <w:bCs/>
                <w:snapToGrid w:val="0"/>
                <w:spacing w:val="-2"/>
              </w:rPr>
              <w:t>r. 1 and 2: 1 Aug 2014 (see r. 2(a));</w:t>
            </w:r>
            <w:r>
              <w:rPr>
                <w:rFonts w:ascii="Times" w:hAnsi="Times"/>
                <w:bCs/>
                <w:snapToGrid w:val="0"/>
                <w:spacing w:val="-2"/>
              </w:rPr>
              <w:br/>
              <w:t>Regulations other than r. 1 and 2: 2 Aug 2014 (see r. 2(b))</w:t>
            </w:r>
          </w:p>
        </w:tc>
      </w:tr>
      <w:tr>
        <w:trPr>
          <w:cantSplit/>
        </w:trPr>
        <w:tc>
          <w:tcPr>
            <w:tcW w:w="7087" w:type="dxa"/>
            <w:gridSpan w:val="3"/>
            <w:shd w:val="clear" w:color="auto" w:fill="auto"/>
          </w:tcPr>
          <w:p>
            <w:pPr>
              <w:pStyle w:val="nTable"/>
              <w:spacing w:after="40"/>
              <w:rPr>
                <w:rFonts w:ascii="Times" w:hAnsi="Times"/>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rPr>
          <w:cantSplit/>
        </w:trPr>
        <w:tc>
          <w:tcPr>
            <w:tcW w:w="3118" w:type="dxa"/>
            <w:shd w:val="clear" w:color="auto" w:fill="auto"/>
          </w:tcPr>
          <w:p>
            <w:pPr>
              <w:pStyle w:val="nTable"/>
              <w:spacing w:after="40"/>
              <w:ind w:right="113"/>
              <w:rPr>
                <w:i/>
              </w:rPr>
            </w:pPr>
            <w:r>
              <w:rPr>
                <w:i/>
              </w:rPr>
              <w:t>Environmental Protection Amendment Regulations 2015</w:t>
            </w:r>
          </w:p>
        </w:tc>
        <w:tc>
          <w:tcPr>
            <w:tcW w:w="127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rFonts w:ascii="Times" w:hAnsi="Times"/>
                <w:bCs/>
                <w:snapToGrid w:val="0"/>
                <w:spacing w:val="-2"/>
              </w:rPr>
              <w:t>r. 1 and 2: 21 Aug 2015 (see r. 2(a));</w:t>
            </w:r>
            <w:r>
              <w:rPr>
                <w:rFonts w:ascii="Times" w:hAnsi="Times"/>
                <w:bCs/>
                <w:snapToGrid w:val="0"/>
                <w:spacing w:val="-2"/>
              </w:rPr>
              <w:br/>
              <w:t>Regulations other than r. 1 and 2: 22 Aug 2015 (see r. 2(b))</w:t>
            </w:r>
          </w:p>
        </w:tc>
      </w:tr>
      <w:tr>
        <w:trPr>
          <w:cantSplit/>
        </w:trPr>
        <w:tc>
          <w:tcPr>
            <w:tcW w:w="3118" w:type="dxa"/>
            <w:shd w:val="clear" w:color="auto" w:fill="auto"/>
          </w:tcPr>
          <w:p>
            <w:pPr>
              <w:pStyle w:val="nTable"/>
              <w:spacing w:after="40"/>
              <w:ind w:right="113"/>
              <w:rPr>
                <w:i/>
              </w:rPr>
            </w:pPr>
            <w:r>
              <w:rPr>
                <w:i/>
              </w:rPr>
              <w:t>Environmental Protection Amendment Regulations 2016</w:t>
            </w:r>
          </w:p>
        </w:tc>
        <w:tc>
          <w:tcPr>
            <w:tcW w:w="1276" w:type="dxa"/>
            <w:shd w:val="clear" w:color="auto" w:fill="auto"/>
          </w:tcPr>
          <w:p>
            <w:pPr>
              <w:pStyle w:val="nTable"/>
              <w:spacing w:after="40"/>
            </w:pPr>
            <w:r>
              <w:t>28 Jun 2016 p. 2629</w:t>
            </w:r>
            <w:r>
              <w:noBreakHyphen/>
              <w:t>32</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28 Jun 2016 (see r. 2(a));</w:t>
            </w:r>
            <w:r>
              <w:rPr>
                <w:rFonts w:ascii="Times" w:hAnsi="Times"/>
                <w:bCs/>
                <w:snapToGrid w:val="0"/>
                <w:spacing w:val="-2"/>
              </w:rPr>
              <w:br/>
              <w:t>Regulations other than r. 1 and 2: 1 Jul 2016 (see r. 2(b))</w:t>
            </w:r>
          </w:p>
        </w:tc>
      </w:tr>
      <w:tr>
        <w:tblPrEx>
          <w:tblBorders>
            <w:top w:val="single" w:sz="8" w:space="0" w:color="auto"/>
            <w:bottom w:val="single" w:sz="4" w:space="0" w:color="auto"/>
            <w:insideH w:val="single" w:sz="8" w:space="0" w:color="auto"/>
          </w:tblBorders>
        </w:tblPrEx>
        <w:tc>
          <w:tcPr>
            <w:tcW w:w="3118" w:type="dxa"/>
            <w:tcBorders>
              <w:top w:val="nil"/>
              <w:bottom w:val="single" w:sz="4" w:space="0" w:color="auto"/>
            </w:tcBorders>
          </w:tcPr>
          <w:p>
            <w:pPr>
              <w:pStyle w:val="nTable"/>
              <w:spacing w:after="40"/>
            </w:pPr>
            <w:r>
              <w:rPr>
                <w:i/>
              </w:rPr>
              <w:t>Environment Regulations Amendment (Public Health) Regulations 2016</w:t>
            </w:r>
            <w:r>
              <w:t xml:space="preserve"> Pt. 7</w:t>
            </w:r>
          </w:p>
        </w:tc>
        <w:tc>
          <w:tcPr>
            <w:tcW w:w="1276" w:type="dxa"/>
            <w:tcBorders>
              <w:top w:val="nil"/>
              <w:bottom w:val="single" w:sz="4" w:space="0" w:color="auto"/>
            </w:tcBorders>
          </w:tcPr>
          <w:p>
            <w:pPr>
              <w:pStyle w:val="nTable"/>
              <w:spacing w:after="40"/>
            </w:pPr>
            <w:r>
              <w:t>10 Jan 2017 p. 191-7</w:t>
            </w:r>
          </w:p>
        </w:tc>
        <w:tc>
          <w:tcPr>
            <w:tcW w:w="2693" w:type="dxa"/>
            <w:tcBorders>
              <w:top w:val="nil"/>
              <w:bottom w:val="single" w:sz="4" w:space="0" w:color="auto"/>
            </w:tcBorders>
          </w:tcPr>
          <w:p>
            <w:pPr>
              <w:pStyle w:val="nTable"/>
              <w:spacing w:after="40"/>
            </w:pPr>
            <w:r>
              <w:t xml:space="preserve">24 Jan 2017 (see r. 2(b) and </w:t>
            </w:r>
            <w:r>
              <w:rPr>
                <w:i/>
              </w:rPr>
              <w:t>Gazette</w:t>
            </w:r>
            <w:r>
              <w:t xml:space="preserve"> 10 Jan 2017 p. 165)</w:t>
            </w:r>
          </w:p>
        </w:tc>
      </w:tr>
    </w:tbl>
    <w:p>
      <w:pPr>
        <w:pStyle w:val="nSubsection"/>
        <w:spacing w:before="160"/>
        <w:rPr>
          <w:snapToGrid w:val="0"/>
        </w:rPr>
      </w:pPr>
      <w:r>
        <w:rPr>
          <w:snapToGrid w:val="0"/>
          <w:vertAlign w:val="superscript"/>
        </w:rPr>
        <w:t>2</w:t>
      </w:r>
      <w:r>
        <w:rPr>
          <w:snapToGrid w:val="0"/>
        </w:rPr>
        <w:tab/>
        <w:t xml:space="preserve">Published in </w:t>
      </w:r>
      <w:r>
        <w:rPr>
          <w:i/>
          <w:snapToGrid w:val="0"/>
        </w:rPr>
        <w:t>Gazette</w:t>
      </w:r>
      <w:r>
        <w:rPr>
          <w:snapToGrid w:val="0"/>
        </w:rPr>
        <w:t xml:space="preserve"> 18 December 1992 p. 6099.</w:t>
      </w:r>
    </w:p>
    <w:p>
      <w:pPr>
        <w:pStyle w:val="nSubsection"/>
        <w:rPr>
          <w:snapToGrid w:val="0"/>
        </w:rPr>
      </w:pPr>
      <w:r>
        <w:rPr>
          <w:snapToGrid w:val="0"/>
          <w:vertAlign w:val="superscript"/>
        </w:rPr>
        <w:t>3</w:t>
      </w:r>
      <w:r>
        <w:rPr>
          <w:snapToGrid w:val="0"/>
        </w:rPr>
        <w:tab/>
        <w:t xml:space="preserve">Under the </w:t>
      </w:r>
      <w:r>
        <w:rPr>
          <w:i/>
          <w:iCs/>
          <w:snapToGrid w:val="0"/>
        </w:rPr>
        <w:t>Alteration of Statutory Designations Order (No. 2) 2013</w:t>
      </w:r>
      <w:r>
        <w:rPr>
          <w:snapToGrid w:val="0"/>
        </w:rPr>
        <w:t xml:space="preserve"> a reference in a written law to the Department of Environmental Protection or Department of Environment is, unless the context requires otherwise, to be read and construed as a reference to the Department of Environment Regulation.</w:t>
      </w:r>
    </w:p>
    <w:p>
      <w:pPr>
        <w:pStyle w:val="nSubsection"/>
        <w:rPr>
          <w:snapToGrid w:val="0"/>
        </w:rPr>
      </w:pPr>
      <w:r>
        <w:rPr>
          <w:snapToGrid w:val="0"/>
          <w:vertAlign w:val="superscript"/>
        </w:rPr>
        <w:t>4</w:t>
      </w:r>
      <w:r>
        <w:rPr>
          <w:snapToGrid w:val="0"/>
        </w:rPr>
        <w:tab/>
        <w:t xml:space="preserve">Proclaimed 1 July 1988 in </w:t>
      </w:r>
      <w:r>
        <w:rPr>
          <w:i/>
          <w:snapToGrid w:val="0"/>
        </w:rPr>
        <w:t xml:space="preserve">Gazette </w:t>
      </w:r>
      <w:r>
        <w:rPr>
          <w:snapToGrid w:val="0"/>
        </w:rPr>
        <w:t>26 June 1998 p. 3369.</w:t>
      </w:r>
    </w:p>
    <w:p>
      <w:pPr>
        <w:pStyle w:val="nSubsection"/>
        <w:rPr>
          <w:snapToGrid w:val="0"/>
        </w:rPr>
      </w:pPr>
      <w:r>
        <w:rPr>
          <w:snapToGrid w:val="0"/>
          <w:vertAlign w:val="superscript"/>
        </w:rPr>
        <w:t>5</w:t>
      </w:r>
      <w:r>
        <w:rPr>
          <w:snapToGrid w:val="0"/>
        </w:rPr>
        <w:tab/>
      </w:r>
      <w:r>
        <w:rPr>
          <w:color w:val="000000"/>
        </w:rPr>
        <w:t>At the time of this compilation section 110H of the Act provides for the establishment of an account called the Waste Management and Recycling Account.</w:t>
      </w:r>
    </w:p>
    <w:p>
      <w:pPr>
        <w:pStyle w:val="nSubsection"/>
        <w:rPr>
          <w:snapToGrid w:val="0"/>
        </w:rPr>
      </w:pPr>
      <w:r>
        <w:rPr>
          <w:snapToGrid w:val="0"/>
          <w:vertAlign w:val="superscript"/>
        </w:rPr>
        <w:t>6</w:t>
      </w:r>
      <w:r>
        <w:rPr>
          <w:snapToGrid w:val="0"/>
        </w:rPr>
        <w:tab/>
        <w:t xml:space="preserve">Expired </w:t>
      </w:r>
      <w:r>
        <w:rPr>
          <w:spacing w:val="-2"/>
        </w:rPr>
        <w:t>30 June 2012</w:t>
      </w: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Subsection"/>
      </w:pPr>
      <w:r>
        <w:rPr>
          <w:vertAlign w:val="superscript"/>
        </w:rPr>
        <w:t>8</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in </w:t>
      </w:r>
      <w:r>
        <w:rPr>
          <w:i/>
        </w:rPr>
        <w:t xml:space="preserve">Gazette </w:t>
      </w:r>
      <w:r>
        <w:t>19 December 2000 p. 7284.</w:t>
      </w:r>
    </w:p>
    <w:p>
      <w:pPr>
        <w:sectPr>
          <w:headerReference w:type="even" r:id="rId39"/>
          <w:headerReference w:type="default" r:id="rId40"/>
          <w:headerReference w:type="first" r:id="rId41"/>
          <w:pgSz w:w="11907" w:h="16840" w:code="9"/>
          <w:pgMar w:top="2376" w:right="2404" w:bottom="3544" w:left="2404" w:header="720" w:footer="3380" w:gutter="0"/>
          <w:cols w:space="720"/>
          <w:noEndnote/>
          <w:docGrid w:linePitch="326"/>
        </w:sectPr>
      </w:pPr>
    </w:p>
    <w:p>
      <w:pPr>
        <w:pStyle w:val="nHeading2"/>
        <w:rPr>
          <w:sz w:val="28"/>
        </w:rPr>
      </w:pPr>
      <w:bookmarkStart w:id="152" w:name="_Toc473033084"/>
      <w:bookmarkStart w:id="153" w:name="_Toc473036972"/>
      <w:r>
        <w:rPr>
          <w:sz w:val="28"/>
        </w:rPr>
        <w:t>Defined terms</w:t>
      </w:r>
      <w:bookmarkEnd w:id="152"/>
      <w:bookmarkEnd w:id="1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actual discharge</w:t>
      </w:r>
      <w:r>
        <w:tab/>
        <w:t>5H(2)</w:t>
      </w:r>
    </w:p>
    <w:p>
      <w:pPr>
        <w:pStyle w:val="DefinedTerms"/>
      </w:pPr>
      <w:r>
        <w:t>approved</w:t>
      </w:r>
      <w:r>
        <w:tab/>
        <w:t>21(1)</w:t>
      </w:r>
    </w:p>
    <w:p>
      <w:pPr>
        <w:pStyle w:val="DefinedTerms"/>
      </w:pPr>
      <w:r>
        <w:t>approved monitoring equipment</w:t>
      </w:r>
      <w:r>
        <w:tab/>
        <w:t>17</w:t>
      </w:r>
    </w:p>
    <w:p>
      <w:pPr>
        <w:pStyle w:val="DefinedTerms"/>
      </w:pPr>
      <w:r>
        <w:t>approved site</w:t>
      </w:r>
      <w:r>
        <w:tab/>
        <w:t>11(1)</w:t>
      </w:r>
    </w:p>
    <w:p>
      <w:pPr>
        <w:pStyle w:val="DefinedTerms"/>
      </w:pPr>
      <w:r>
        <w:t>baseline report</w:t>
      </w:r>
      <w:r>
        <w:tab/>
        <w:t>26(1)</w:t>
      </w:r>
    </w:p>
    <w:p>
      <w:pPr>
        <w:pStyle w:val="DefinedTerms"/>
      </w:pPr>
      <w:r>
        <w:t>baseline survey</w:t>
      </w:r>
      <w:r>
        <w:tab/>
        <w:t>26(1)</w:t>
      </w:r>
    </w:p>
    <w:p>
      <w:pPr>
        <w:pStyle w:val="DefinedTerms"/>
      </w:pPr>
      <w:r>
        <w:t>best practice criteria</w:t>
      </w:r>
      <w:r>
        <w:tab/>
        <w:t>4(1)</w:t>
      </w:r>
    </w:p>
    <w:p>
      <w:pPr>
        <w:pStyle w:val="DefinedTerms"/>
      </w:pPr>
      <w:r>
        <w:t>category</w:t>
      </w:r>
      <w:r>
        <w:tab/>
        <w:t>4(1)</w:t>
      </w:r>
    </w:p>
    <w:p>
      <w:pPr>
        <w:pStyle w:val="DefinedTerms"/>
      </w:pPr>
      <w:r>
        <w:t>commencement day</w:t>
      </w:r>
      <w:r>
        <w:tab/>
        <w:t>21(1)</w:t>
      </w:r>
    </w:p>
    <w:p>
      <w:pPr>
        <w:pStyle w:val="DefinedTerms"/>
      </w:pPr>
      <w:r>
        <w:t>development site</w:t>
      </w:r>
      <w:r>
        <w:tab/>
        <w:t>16A</w:t>
      </w:r>
    </w:p>
    <w:p>
      <w:pPr>
        <w:pStyle w:val="DefinedTerms"/>
      </w:pPr>
      <w:r>
        <w:t>development work</w:t>
      </w:r>
      <w:r>
        <w:tab/>
        <w:t>16A</w:t>
      </w:r>
    </w:p>
    <w:p>
      <w:pPr>
        <w:pStyle w:val="DefinedTerms"/>
      </w:pPr>
      <w:r>
        <w:t>enclosed water body</w:t>
      </w:r>
      <w:r>
        <w:tab/>
        <w:t>16(4)</w:t>
      </w:r>
    </w:p>
    <w:p>
      <w:pPr>
        <w:pStyle w:val="DefinedTerms"/>
      </w:pPr>
      <w:r>
        <w:t>exempt matter</w:t>
      </w:r>
      <w:r>
        <w:tab/>
        <w:t>2B(1)</w:t>
      </w:r>
    </w:p>
    <w:p>
      <w:pPr>
        <w:pStyle w:val="DefinedTerms"/>
      </w:pPr>
      <w:r>
        <w:t>exemption period</w:t>
      </w:r>
      <w:r>
        <w:tab/>
        <w:t>21(1)</w:t>
      </w:r>
    </w:p>
    <w:p>
      <w:pPr>
        <w:pStyle w:val="DefinedTerms"/>
      </w:pPr>
      <w:r>
        <w:t>existing landfill</w:t>
      </w:r>
      <w:r>
        <w:tab/>
        <w:t>26(8)</w:t>
      </w:r>
    </w:p>
    <w:p>
      <w:pPr>
        <w:pStyle w:val="DefinedTerms"/>
      </w:pPr>
      <w:r>
        <w:t>existing licensee</w:t>
      </w:r>
      <w:r>
        <w:tab/>
        <w:t>21(1)</w:t>
      </w:r>
    </w:p>
    <w:p>
      <w:pPr>
        <w:pStyle w:val="DefinedTerms"/>
      </w:pPr>
      <w:r>
        <w:t>Fund</w:t>
      </w:r>
      <w:r>
        <w:tab/>
        <w:t>21(1)</w:t>
      </w:r>
    </w:p>
    <w:p>
      <w:pPr>
        <w:pStyle w:val="DefinedTerms"/>
      </w:pPr>
      <w:r>
        <w:t>head office</w:t>
      </w:r>
      <w:r>
        <w:tab/>
        <w:t>2AA</w:t>
      </w:r>
    </w:p>
    <w:p>
      <w:pPr>
        <w:pStyle w:val="DefinedTerms"/>
      </w:pPr>
      <w:r>
        <w:t>length</w:t>
      </w:r>
      <w:r>
        <w:tab/>
        <w:t>16(4)</w:t>
      </w:r>
    </w:p>
    <w:p>
      <w:pPr>
        <w:pStyle w:val="DefinedTerms"/>
      </w:pPr>
      <w:r>
        <w:t>levy</w:t>
      </w:r>
      <w:r>
        <w:tab/>
        <w:t>21(1)</w:t>
      </w:r>
    </w:p>
    <w:p>
      <w:pPr>
        <w:pStyle w:val="DefinedTerms"/>
      </w:pPr>
      <w:r>
        <w:t>licence</w:t>
      </w:r>
      <w:r>
        <w:tab/>
        <w:t>4(1)</w:t>
      </w:r>
    </w:p>
    <w:p>
      <w:pPr>
        <w:pStyle w:val="DefinedTerms"/>
      </w:pPr>
      <w:r>
        <w:t>licence period</w:t>
      </w:r>
      <w:r>
        <w:tab/>
        <w:t>4(1)</w:t>
      </w:r>
    </w:p>
    <w:p>
      <w:pPr>
        <w:pStyle w:val="DefinedTerms"/>
      </w:pPr>
      <w:r>
        <w:t>licensed landfill</w:t>
      </w:r>
      <w:r>
        <w:tab/>
        <w:t>21(1)</w:t>
      </w:r>
    </w:p>
    <w:p>
      <w:pPr>
        <w:pStyle w:val="DefinedTerms"/>
      </w:pPr>
      <w:r>
        <w:t>licensed premises</w:t>
      </w:r>
      <w:r>
        <w:tab/>
        <w:t>11(1)</w:t>
      </w:r>
    </w:p>
    <w:p>
      <w:pPr>
        <w:pStyle w:val="DefinedTerms"/>
      </w:pPr>
      <w:r>
        <w:t>licensee</w:t>
      </w:r>
      <w:r>
        <w:tab/>
        <w:t>21(1), 24(1), 28(1)</w:t>
      </w:r>
    </w:p>
    <w:p>
      <w:pPr>
        <w:pStyle w:val="DefinedTerms"/>
      </w:pPr>
      <w:r>
        <w:t>lot</w:t>
      </w:r>
      <w:r>
        <w:tab/>
        <w:t>16A</w:t>
      </w:r>
    </w:p>
    <w:p>
      <w:pPr>
        <w:pStyle w:val="DefinedTerms"/>
      </w:pPr>
      <w:r>
        <w:t>metropolitan region</w:t>
      </w:r>
      <w:r>
        <w:tab/>
        <w:t>21(1)</w:t>
      </w:r>
    </w:p>
    <w:p>
      <w:pPr>
        <w:pStyle w:val="DefinedTerms"/>
      </w:pPr>
      <w:r>
        <w:t>minute</w:t>
      </w:r>
      <w:r>
        <w:tab/>
        <w:t>2B(1)</w:t>
      </w:r>
    </w:p>
    <w:p>
      <w:pPr>
        <w:pStyle w:val="DefinedTerms"/>
      </w:pPr>
      <w:r>
        <w:t>organotin anti</w:t>
      </w:r>
      <w:r>
        <w:noBreakHyphen/>
        <w:t>fouling paint</w:t>
      </w:r>
      <w:r>
        <w:tab/>
        <w:t>16(4)</w:t>
      </w:r>
    </w:p>
    <w:p>
      <w:pPr>
        <w:pStyle w:val="DefinedTerms"/>
      </w:pPr>
      <w:r>
        <w:t>Part 2 waste</w:t>
      </w:r>
      <w:r>
        <w:tab/>
        <w:t>5D(6)</w:t>
      </w:r>
    </w:p>
    <w:p>
      <w:pPr>
        <w:pStyle w:val="DefinedTerms"/>
      </w:pPr>
      <w:r>
        <w:t>payer</w:t>
      </w:r>
      <w:r>
        <w:tab/>
        <w:t>5N</w:t>
      </w:r>
    </w:p>
    <w:p>
      <w:pPr>
        <w:pStyle w:val="DefinedTerms"/>
      </w:pPr>
      <w:r>
        <w:t>quarterly survey</w:t>
      </w:r>
      <w:r>
        <w:tab/>
        <w:t>26(4)</w:t>
      </w:r>
    </w:p>
    <w:p>
      <w:pPr>
        <w:pStyle w:val="DefinedTerms"/>
      </w:pPr>
      <w:r>
        <w:t>return period</w:t>
      </w:r>
      <w:r>
        <w:tab/>
        <w:t>21(1)</w:t>
      </w:r>
    </w:p>
    <w:p>
      <w:pPr>
        <w:pStyle w:val="DefinedTerms"/>
      </w:pPr>
      <w:r>
        <w:t>semi</w:t>
      </w:r>
      <w:r>
        <w:noBreakHyphen/>
        <w:t>enclosed water body</w:t>
      </w:r>
      <w:r>
        <w:tab/>
        <w:t>16(4)</w:t>
      </w:r>
    </w:p>
    <w:p>
      <w:pPr>
        <w:pStyle w:val="DefinedTerms"/>
      </w:pPr>
      <w:r>
        <w:t>specified</w:t>
      </w:r>
      <w:r>
        <w:tab/>
        <w:t>31(3)</w:t>
      </w:r>
    </w:p>
    <w:p>
      <w:pPr>
        <w:pStyle w:val="DefinedTerms"/>
      </w:pPr>
      <w:r>
        <w:t>specified monitoring programme</w:t>
      </w:r>
      <w:r>
        <w:tab/>
        <w:t>17</w:t>
      </w:r>
    </w:p>
    <w:p>
      <w:pPr>
        <w:pStyle w:val="DefinedTerms"/>
      </w:pPr>
      <w:r>
        <w:t>storage</w:t>
      </w:r>
      <w:r>
        <w:tab/>
        <w:t>11(1)</w:t>
      </w:r>
    </w:p>
    <w:p>
      <w:pPr>
        <w:pStyle w:val="DefinedTerms"/>
      </w:pPr>
      <w:r>
        <w:t>surveyor</w:t>
      </w:r>
      <w:r>
        <w:tab/>
        <w:t>26(8)</w:t>
      </w:r>
    </w:p>
    <w:p>
      <w:pPr>
        <w:pStyle w:val="DefinedTerms"/>
      </w:pPr>
      <w:r>
        <w:t>tyre</w:t>
      </w:r>
      <w:r>
        <w:tab/>
        <w:t>11(1)</w:t>
      </w:r>
    </w:p>
    <w:p>
      <w:pPr>
        <w:pStyle w:val="DefinedTerms"/>
      </w:pPr>
      <w:r>
        <w:t>Tyre Landfill Exclusion Zone</w:t>
      </w:r>
      <w:r>
        <w:tab/>
        <w:t>11(1)</w:t>
      </w:r>
    </w:p>
    <w:p>
      <w:pPr>
        <w:pStyle w:val="DefinedTerms"/>
      </w:pPr>
      <w:r>
        <w:t>tyre retailer</w:t>
      </w:r>
      <w:r>
        <w:tab/>
        <w:t>11(1)</w:t>
      </w:r>
    </w:p>
    <w:p>
      <w:pPr>
        <w:pStyle w:val="DefinedTerms"/>
      </w:pPr>
      <w:r>
        <w:t>vessel</w:t>
      </w:r>
      <w:r>
        <w:tab/>
        <w:t>16(4)</w:t>
      </w:r>
    </w:p>
    <w:p/>
    <w:p>
      <w:pPr>
        <w:sectPr>
          <w:headerReference w:type="even" r:id="rId42"/>
          <w:headerReference w:type="default" r:id="rId43"/>
          <w:pgSz w:w="11907" w:h="16840" w:code="9"/>
          <w:pgMar w:top="2381" w:right="2409" w:bottom="3543" w:left="2409" w:header="720" w:footer="3380" w:gutter="0"/>
          <w:cols w:space="720"/>
          <w:noEndnote/>
          <w:docGrid w:linePitch="326"/>
        </w:sectPr>
      </w:pPr>
    </w:p>
    <w:p/>
    <w:sectPr>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Jan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Jan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08-e0-00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139" w:name="Schedule"/>
    <w:bookmarkEnd w:id="1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1" w:name="Compilation"/>
    <w:bookmarkEnd w:id="151"/>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4" w:name="DefinedTerms"/>
    <w:bookmarkEnd w:id="154"/>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5" w:name="Coversheet"/>
    <w:bookmarkEnd w:id="1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6"/>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4105726"/>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 w:name="WAFER_20170124105726" w:val="RemoveTocBookmarks,RemoveUnusedBookmarks,RemoveLanguageTags,UsedStyles,ResetPageSize"/>
    <w:docVar w:name="WAFER_20170124105726_GUID" w:val="01a2aca9-6d20-40ec-94b4-208acd7aa2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City"/>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7.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header" Target="header22.xml"/><Relationship Id="rId47" Type="http://schemas.openxmlformats.org/officeDocument/2006/relationships/footer" Target="footer10.xm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8.xml"/><Relationship Id="rId46"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header" Target="header2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header" Target="header9.xml"/><Relationship Id="rId36" Type="http://schemas.openxmlformats.org/officeDocument/2006/relationships/image" Target="media/image4.png"/><Relationship Id="rId49" Type="http://schemas.openxmlformats.org/officeDocument/2006/relationships/footer" Target="footer1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header" Target="header2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footer" Target="footer8.xml"/><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header" Target="header23.xml"/><Relationship Id="rId48" Type="http://schemas.openxmlformats.org/officeDocument/2006/relationships/header" Target="header26.xm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1BB097-1197-4F56-9B01-AA181BFB4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131</Pages>
  <Words>27039</Words>
  <Characters>129792</Characters>
  <Application>Microsoft Office Word</Application>
  <DocSecurity>0</DocSecurity>
  <Lines>5191</Lines>
  <Paragraphs>3564</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153267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1987 - 08-e0-00</dc:title>
  <dc:subject/>
  <dc:creator/>
  <cp:keywords/>
  <dc:description/>
  <cp:lastModifiedBy>svcMRProcess</cp:lastModifiedBy>
  <cp:revision>4</cp:revision>
  <cp:lastPrinted>2014-12-16T03:04:00Z</cp:lastPrinted>
  <dcterms:created xsi:type="dcterms:W3CDTF">2020-02-24T16:15:00Z</dcterms:created>
  <dcterms:modified xsi:type="dcterms:W3CDTF">2020-02-24T16:15:00Z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AsAtDate">
    <vt:lpwstr>24 Jan 2017</vt:lpwstr>
  </property>
  <property fmtid="{D5CDD505-2E9C-101B-9397-08002B2CF9AE}" pid="8" name="Suffix">
    <vt:lpwstr>08-e0-00</vt:lpwstr>
  </property>
  <property fmtid="{D5CDD505-2E9C-101B-9397-08002B2CF9AE}" pid="9" name="CommencementDate">
    <vt:lpwstr>20170124</vt:lpwstr>
  </property>
</Properties>
</file>